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E87" w:rsidRPr="00564E1F" w:rsidRDefault="00437E87">
      <w:pPr>
        <w:jc w:val="center"/>
        <w:rPr>
          <w:rFonts w:ascii="Arial" w:hAnsi="Arial" w:cs="Arial"/>
          <w:b/>
          <w:sz w:val="24"/>
        </w:rPr>
      </w:pPr>
      <w:bookmarkStart w:id="0" w:name="_GoBack"/>
      <w:bookmarkEnd w:id="0"/>
    </w:p>
    <w:p w:rsidR="00437E87" w:rsidRPr="00564E1F" w:rsidRDefault="00437E87">
      <w:pPr>
        <w:jc w:val="center"/>
        <w:rPr>
          <w:rFonts w:ascii="Arial" w:hAnsi="Arial" w:cs="Arial"/>
          <w:b/>
          <w:sz w:val="24"/>
        </w:rPr>
      </w:pPr>
    </w:p>
    <w:p w:rsidR="00437E87" w:rsidRPr="00564E1F" w:rsidRDefault="00437E87">
      <w:pPr>
        <w:jc w:val="center"/>
        <w:rPr>
          <w:rFonts w:ascii="Arial" w:hAnsi="Arial" w:cs="Arial"/>
          <w:b/>
          <w:sz w:val="24"/>
        </w:rPr>
      </w:pPr>
    </w:p>
    <w:p w:rsidR="00437E87" w:rsidRPr="00564E1F" w:rsidRDefault="00437E87">
      <w:pPr>
        <w:jc w:val="center"/>
        <w:rPr>
          <w:rFonts w:ascii="Arial" w:hAnsi="Arial" w:cs="Arial"/>
          <w:b/>
          <w:sz w:val="24"/>
        </w:rPr>
      </w:pPr>
    </w:p>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4788"/>
        <w:gridCol w:w="4851"/>
      </w:tblGrid>
      <w:tr w:rsidR="00437E87" w:rsidRPr="00A74311" w:rsidTr="002340BC">
        <w:tc>
          <w:tcPr>
            <w:tcW w:w="3525" w:type="dxa"/>
            <w:tcBorders>
              <w:bottom w:val="single" w:sz="18" w:space="0" w:color="808080"/>
              <w:right w:val="single" w:sz="18" w:space="0" w:color="808080"/>
            </w:tcBorders>
            <w:shd w:val="clear" w:color="auto" w:fill="C2D69B" w:themeFill="accent3" w:themeFillTint="99"/>
            <w:vAlign w:val="center"/>
          </w:tcPr>
          <w:p w:rsidR="00437E87" w:rsidRPr="00A74311" w:rsidRDefault="00437E87" w:rsidP="00824CF2">
            <w:pPr>
              <w:pStyle w:val="NoSpacing"/>
              <w:rPr>
                <w:rFonts w:eastAsia="Times New Roman"/>
                <w:sz w:val="96"/>
                <w:szCs w:val="96"/>
              </w:rPr>
            </w:pPr>
            <w:r w:rsidRPr="00A74311">
              <w:rPr>
                <w:rFonts w:eastAsia="Times New Roman"/>
                <w:sz w:val="96"/>
                <w:szCs w:val="96"/>
              </w:rPr>
              <w:t>Informe Alternativo</w:t>
            </w:r>
          </w:p>
        </w:tc>
        <w:tc>
          <w:tcPr>
            <w:tcW w:w="6267" w:type="dxa"/>
            <w:tcBorders>
              <w:left w:val="single" w:sz="18" w:space="0" w:color="808080"/>
              <w:bottom w:val="single" w:sz="18" w:space="0" w:color="808080"/>
            </w:tcBorders>
            <w:shd w:val="clear" w:color="auto" w:fill="D6E3BC" w:themeFill="accent3" w:themeFillTint="66"/>
            <w:vAlign w:val="center"/>
          </w:tcPr>
          <w:p w:rsidR="00437E87" w:rsidRPr="00A74311" w:rsidRDefault="00437E87" w:rsidP="00824CF2">
            <w:pPr>
              <w:pStyle w:val="NoSpacing"/>
              <w:rPr>
                <w:rFonts w:eastAsia="Times New Roman"/>
                <w:sz w:val="96"/>
                <w:szCs w:val="96"/>
              </w:rPr>
            </w:pPr>
            <w:r w:rsidRPr="00A74311">
              <w:rPr>
                <w:rFonts w:eastAsia="Times New Roman"/>
                <w:sz w:val="96"/>
                <w:szCs w:val="96"/>
              </w:rPr>
              <w:t>8 agosto</w:t>
            </w:r>
          </w:p>
          <w:p w:rsidR="00437E87" w:rsidRPr="00A74311" w:rsidRDefault="00437E87" w:rsidP="00824CF2">
            <w:pPr>
              <w:pStyle w:val="NoSpacing"/>
              <w:rPr>
                <w:color w:val="4F81BD"/>
                <w:sz w:val="96"/>
                <w:szCs w:val="96"/>
              </w:rPr>
            </w:pPr>
            <w:r w:rsidRPr="00A74311">
              <w:rPr>
                <w:color w:val="4F81BD"/>
                <w:sz w:val="96"/>
                <w:szCs w:val="96"/>
              </w:rPr>
              <w:t>2</w:t>
            </w:r>
            <w:r w:rsidR="002340BC" w:rsidRPr="00A74311">
              <w:rPr>
                <w:color w:val="4F81BD"/>
                <w:sz w:val="96"/>
                <w:szCs w:val="96"/>
              </w:rPr>
              <w:t>,</w:t>
            </w:r>
            <w:r w:rsidRPr="00A74311">
              <w:rPr>
                <w:color w:val="4F81BD"/>
                <w:sz w:val="96"/>
                <w:szCs w:val="96"/>
              </w:rPr>
              <w:t>020</w:t>
            </w:r>
          </w:p>
        </w:tc>
      </w:tr>
    </w:tbl>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8"/>
          <w:szCs w:val="28"/>
        </w:rPr>
      </w:pPr>
      <w:r w:rsidRPr="00A74311">
        <w:rPr>
          <w:sz w:val="28"/>
          <w:szCs w:val="28"/>
        </w:rPr>
        <w:t>Informe Alternativo para el Comité de Derechos Económicos, Sociales y Culturales, sobre el Derecho Humano a la Alimentación</w:t>
      </w:r>
      <w:r w:rsidR="00836446" w:rsidRPr="00A74311">
        <w:rPr>
          <w:sz w:val="28"/>
          <w:szCs w:val="28"/>
        </w:rPr>
        <w:t xml:space="preserve"> en Guatemala. </w:t>
      </w: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437E87" w:rsidRPr="00A74311" w:rsidRDefault="00437E87">
      <w:pPr>
        <w:jc w:val="center"/>
        <w:rPr>
          <w:rFonts w:ascii="Arial" w:hAnsi="Arial" w:cs="Arial"/>
          <w:b/>
          <w:sz w:val="24"/>
        </w:rPr>
      </w:pPr>
    </w:p>
    <w:p w:rsidR="00281D6B" w:rsidRPr="00A74311" w:rsidRDefault="00281D6B">
      <w:pPr>
        <w:rPr>
          <w:rFonts w:ascii="Arial" w:hAnsi="Arial" w:cs="Arial"/>
          <w:b/>
          <w:sz w:val="24"/>
        </w:rPr>
        <w:sectPr w:rsidR="00281D6B" w:rsidRPr="00A74311" w:rsidSect="00151BAF">
          <w:headerReference w:type="default" r:id="rId9"/>
          <w:pgSz w:w="12240" w:h="15840"/>
          <w:pgMar w:top="124" w:right="1183" w:bottom="568" w:left="1418" w:header="426" w:footer="708" w:gutter="0"/>
          <w:cols w:space="708"/>
          <w:docGrid w:linePitch="360"/>
        </w:sectPr>
      </w:pPr>
    </w:p>
    <w:p w:rsidR="00437E87" w:rsidRPr="00A74311" w:rsidRDefault="00836446" w:rsidP="003F1267">
      <w:pPr>
        <w:shd w:val="clear" w:color="auto" w:fill="76923C" w:themeFill="accent3" w:themeFillShade="BF"/>
        <w:jc w:val="both"/>
        <w:rPr>
          <w:rFonts w:ascii="Copperplate Gothic Bold" w:hAnsi="Copperplate Gothic Bold" w:cs="Arial"/>
          <w:b/>
          <w:color w:val="FFFFFF" w:themeColor="background1"/>
          <w:sz w:val="28"/>
          <w:szCs w:val="28"/>
        </w:rPr>
      </w:pPr>
      <w:r w:rsidRPr="00A74311">
        <w:rPr>
          <w:rFonts w:ascii="Copperplate Gothic Bold" w:hAnsi="Copperplate Gothic Bold" w:cs="Arial"/>
          <w:b/>
          <w:color w:val="FFFFFF" w:themeColor="background1"/>
          <w:sz w:val="28"/>
          <w:szCs w:val="28"/>
        </w:rPr>
        <w:lastRenderedPageBreak/>
        <w:t>Presentación:</w:t>
      </w:r>
    </w:p>
    <w:p w:rsidR="00836446" w:rsidRPr="00A74311" w:rsidRDefault="00836446" w:rsidP="00836446">
      <w:pPr>
        <w:jc w:val="both"/>
        <w:rPr>
          <w:rFonts w:asciiTheme="minorHAnsi" w:hAnsiTheme="minorHAnsi" w:cstheme="minorHAnsi"/>
        </w:rPr>
      </w:pPr>
      <w:r w:rsidRPr="00A74311">
        <w:rPr>
          <w:rFonts w:asciiTheme="minorHAnsi" w:hAnsiTheme="minorHAnsi" w:cstheme="minorHAnsi"/>
        </w:rPr>
        <w:t xml:space="preserve">Como defensoras y defensores de Derechos Humanos, el Colectivo Social por el Derecho a la Alimentación, </w:t>
      </w:r>
      <w:r w:rsidRPr="00A74311">
        <w:rPr>
          <w:rStyle w:val="A3"/>
          <w:rFonts w:asciiTheme="minorHAnsi" w:hAnsiTheme="minorHAnsi" w:cstheme="minorHAnsi"/>
          <w:sz w:val="22"/>
          <w:szCs w:val="22"/>
        </w:rPr>
        <w:t>preocupad</w:t>
      </w:r>
      <w:r w:rsidR="00951D95" w:rsidRPr="00A74311">
        <w:rPr>
          <w:rStyle w:val="A3"/>
          <w:rFonts w:asciiTheme="minorHAnsi" w:hAnsiTheme="minorHAnsi" w:cstheme="minorHAnsi"/>
          <w:sz w:val="22"/>
          <w:szCs w:val="22"/>
        </w:rPr>
        <w:t>os por la situación de</w:t>
      </w:r>
      <w:r w:rsidRPr="00A74311">
        <w:rPr>
          <w:rStyle w:val="A3"/>
          <w:rFonts w:asciiTheme="minorHAnsi" w:hAnsiTheme="minorHAnsi" w:cstheme="minorHAnsi"/>
          <w:sz w:val="22"/>
          <w:szCs w:val="22"/>
        </w:rPr>
        <w:t xml:space="preserve"> los derechos económicos, sociales, culturales y ambientales</w:t>
      </w:r>
      <w:r w:rsidR="00951D95" w:rsidRPr="00A74311">
        <w:rPr>
          <w:rStyle w:val="A3"/>
          <w:rFonts w:asciiTheme="minorHAnsi" w:hAnsiTheme="minorHAnsi" w:cstheme="minorHAnsi"/>
          <w:sz w:val="22"/>
          <w:szCs w:val="22"/>
        </w:rPr>
        <w:t xml:space="preserve"> (DESCA</w:t>
      </w:r>
      <w:r w:rsidRPr="00A74311">
        <w:rPr>
          <w:rStyle w:val="A3"/>
          <w:rFonts w:asciiTheme="minorHAnsi" w:hAnsiTheme="minorHAnsi" w:cstheme="minorHAnsi"/>
          <w:sz w:val="22"/>
          <w:szCs w:val="22"/>
        </w:rPr>
        <w:t>)</w:t>
      </w:r>
      <w:r w:rsidR="00281D6B" w:rsidRPr="00A74311">
        <w:rPr>
          <w:rStyle w:val="A3"/>
          <w:rFonts w:asciiTheme="minorHAnsi" w:hAnsiTheme="minorHAnsi" w:cstheme="minorHAnsi"/>
          <w:sz w:val="22"/>
          <w:szCs w:val="22"/>
        </w:rPr>
        <w:t xml:space="preserve"> en Guatemala, ha</w:t>
      </w:r>
      <w:r w:rsidRPr="00A74311">
        <w:rPr>
          <w:rStyle w:val="A3"/>
          <w:rFonts w:asciiTheme="minorHAnsi" w:hAnsiTheme="minorHAnsi" w:cstheme="minorHAnsi"/>
          <w:sz w:val="22"/>
          <w:szCs w:val="22"/>
        </w:rPr>
        <w:t xml:space="preserve"> considerado importante contribuir en este proceso, </w:t>
      </w:r>
      <w:r w:rsidR="00951D95" w:rsidRPr="00A74311">
        <w:rPr>
          <w:rStyle w:val="A3"/>
          <w:rFonts w:asciiTheme="minorHAnsi" w:hAnsiTheme="minorHAnsi" w:cstheme="minorHAnsi"/>
          <w:sz w:val="22"/>
          <w:szCs w:val="22"/>
        </w:rPr>
        <w:t xml:space="preserve">con información fidedigna </w:t>
      </w:r>
      <w:r w:rsidRPr="00A74311">
        <w:rPr>
          <w:rStyle w:val="A3"/>
          <w:rFonts w:asciiTheme="minorHAnsi" w:hAnsiTheme="minorHAnsi" w:cstheme="minorHAnsi"/>
          <w:sz w:val="22"/>
          <w:szCs w:val="22"/>
        </w:rPr>
        <w:t xml:space="preserve">presentando </w:t>
      </w:r>
      <w:r w:rsidR="00951D95" w:rsidRPr="00A74311">
        <w:rPr>
          <w:rStyle w:val="A3"/>
          <w:rFonts w:asciiTheme="minorHAnsi" w:hAnsiTheme="minorHAnsi" w:cstheme="minorHAnsi"/>
          <w:sz w:val="22"/>
          <w:szCs w:val="22"/>
        </w:rPr>
        <w:t>el</w:t>
      </w:r>
      <w:r w:rsidRPr="00A74311">
        <w:rPr>
          <w:rStyle w:val="A3"/>
          <w:rFonts w:asciiTheme="minorHAnsi" w:hAnsiTheme="minorHAnsi" w:cstheme="minorHAnsi"/>
          <w:sz w:val="22"/>
          <w:szCs w:val="22"/>
        </w:rPr>
        <w:t xml:space="preserve"> infor</w:t>
      </w:r>
      <w:r w:rsidRPr="00A74311">
        <w:rPr>
          <w:rStyle w:val="A3"/>
          <w:rFonts w:asciiTheme="minorHAnsi" w:hAnsiTheme="minorHAnsi" w:cstheme="minorHAnsi"/>
          <w:sz w:val="22"/>
          <w:szCs w:val="22"/>
        </w:rPr>
        <w:softHyphen/>
        <w:t xml:space="preserve">me </w:t>
      </w:r>
      <w:r w:rsidR="002340BC" w:rsidRPr="00A74311">
        <w:rPr>
          <w:rStyle w:val="A3"/>
          <w:rFonts w:asciiTheme="minorHAnsi" w:hAnsiTheme="minorHAnsi" w:cstheme="minorHAnsi"/>
          <w:sz w:val="22"/>
          <w:szCs w:val="22"/>
        </w:rPr>
        <w:t>alternativo</w:t>
      </w:r>
      <w:r w:rsidR="002340BC" w:rsidRPr="00A74311">
        <w:rPr>
          <w:rFonts w:asciiTheme="minorHAnsi" w:hAnsiTheme="minorHAnsi" w:cstheme="minorHAnsi"/>
        </w:rPr>
        <w:t xml:space="preserve">. </w:t>
      </w:r>
    </w:p>
    <w:p w:rsidR="003F1267" w:rsidRPr="00A74311" w:rsidRDefault="003F1267" w:rsidP="00836446">
      <w:pPr>
        <w:jc w:val="both"/>
        <w:rPr>
          <w:rFonts w:asciiTheme="minorHAnsi" w:hAnsiTheme="minorHAnsi" w:cstheme="minorHAnsi"/>
          <w:iCs/>
        </w:rPr>
      </w:pPr>
      <w:r w:rsidRPr="00A74311">
        <w:rPr>
          <w:rFonts w:asciiTheme="minorHAnsi" w:hAnsiTheme="minorHAnsi" w:cstheme="minorHAnsi"/>
          <w:iCs/>
        </w:rPr>
        <w:t xml:space="preserve">El presente informe es producto del trabajo del  Colectivo Social por el Derecho a la Alimentación, Campaña Guatemala sin Hambre, Red Nacional por la defensa de la Soberanía Alimentaria, Pastoral de la Tierra de las Diócesis de San Marcos,  Colectivo de Estudios Rurales IXIM, Fundación Guillermo Toriello, </w:t>
      </w:r>
      <w:r w:rsidR="001E6B4C" w:rsidRPr="00A74311">
        <w:rPr>
          <w:rFonts w:asciiTheme="minorHAnsi" w:hAnsiTheme="minorHAnsi" w:cstheme="minorHAnsi"/>
          <w:iCs/>
        </w:rPr>
        <w:t>Fundación</w:t>
      </w:r>
      <w:r w:rsidRPr="00A74311">
        <w:rPr>
          <w:rFonts w:asciiTheme="minorHAnsi" w:hAnsiTheme="minorHAnsi" w:cstheme="minorHAnsi"/>
          <w:iCs/>
        </w:rPr>
        <w:t xml:space="preserve"> Tierra  Nuestra, que representan a más de 50 organizaciones sociales. </w:t>
      </w:r>
    </w:p>
    <w:p w:rsidR="00281D6B" w:rsidRPr="00A74311" w:rsidRDefault="001E6B4C" w:rsidP="00281D6B">
      <w:pPr>
        <w:jc w:val="both"/>
        <w:rPr>
          <w:rFonts w:asciiTheme="minorHAnsi" w:hAnsiTheme="minorHAnsi" w:cstheme="minorHAnsi"/>
        </w:rPr>
      </w:pPr>
      <w:r w:rsidRPr="00A74311">
        <w:rPr>
          <w:rFonts w:asciiTheme="minorHAnsi" w:hAnsiTheme="minorHAnsi" w:cstheme="minorHAnsi"/>
          <w:iCs/>
        </w:rPr>
        <w:t xml:space="preserve">La metodología </w:t>
      </w:r>
      <w:r w:rsidR="00D46980" w:rsidRPr="00A74311">
        <w:rPr>
          <w:rFonts w:asciiTheme="minorHAnsi" w:hAnsiTheme="minorHAnsi" w:cstheme="minorHAnsi"/>
          <w:iCs/>
        </w:rPr>
        <w:t xml:space="preserve">para su realización parte de varias etapas. La primera etapa es la investigación documental, realizada por medio de un permanente monitoreo de información proveniente de fuentes oficiales de información, entrevistas a personas expertas, así como memoriales de encuentros y foros realizados por quienes impulsamos esta alianza. La segunda etapa se basa en un diálogo permanente que mantenemos como organizaciones sobre las problemáticas coyunturales vinculadas a la realización del Derecho Humano a la Alimentación. La última etapa, parte de la retoma de las Recomendaciones del Comité DESC realizadas al Estado de Guatemala en 2014, como ejes temáticos a los que damos seguimiento específico. </w:t>
      </w:r>
      <w:r w:rsidR="00281D6B" w:rsidRPr="00A74311">
        <w:rPr>
          <w:rFonts w:asciiTheme="minorHAnsi" w:hAnsiTheme="minorHAnsi" w:cstheme="minorHAnsi"/>
        </w:rPr>
        <w:t xml:space="preserve">El informe toma como punto de partida </w:t>
      </w:r>
      <w:r w:rsidR="002340BC" w:rsidRPr="00A74311">
        <w:rPr>
          <w:rFonts w:asciiTheme="minorHAnsi" w:hAnsiTheme="minorHAnsi" w:cstheme="minorHAnsi"/>
        </w:rPr>
        <w:t>el reconocimiento que el Estado de Guatemala hace respecto a los Derechos Económicos, Sociales, Culturales y Ambientales –DESCA-  con la ratificación del PIDESC.</w:t>
      </w:r>
    </w:p>
    <w:p w:rsidR="00564E1F" w:rsidRPr="00A74311" w:rsidRDefault="002340BC" w:rsidP="00564E1F">
      <w:pPr>
        <w:jc w:val="both"/>
        <w:rPr>
          <w:rFonts w:ascii="Arial" w:hAnsi="Arial" w:cs="Arial"/>
          <w:b/>
          <w:sz w:val="24"/>
        </w:rPr>
      </w:pPr>
      <w:r w:rsidRPr="00A74311">
        <w:rPr>
          <w:rFonts w:asciiTheme="minorHAnsi" w:hAnsiTheme="minorHAnsi" w:cstheme="minorHAnsi"/>
        </w:rPr>
        <w:t xml:space="preserve">Los temas que aborda parte del contexto de la situación del derecho a la alimentación y del impacto que </w:t>
      </w:r>
      <w:r w:rsidR="003D1B09" w:rsidRPr="00A74311">
        <w:rPr>
          <w:rFonts w:asciiTheme="minorHAnsi" w:hAnsiTheme="minorHAnsi" w:cstheme="minorHAnsi"/>
        </w:rPr>
        <w:t>tiene en</w:t>
      </w:r>
      <w:r w:rsidRPr="00A74311">
        <w:rPr>
          <w:rFonts w:asciiTheme="minorHAnsi" w:hAnsiTheme="minorHAnsi" w:cstheme="minorHAnsi"/>
        </w:rPr>
        <w:t xml:space="preserve"> la pandemia  del SARS-CoV-2 (COVID-19)</w:t>
      </w:r>
      <w:r w:rsidR="003D1B09" w:rsidRPr="00A74311">
        <w:rPr>
          <w:rFonts w:asciiTheme="minorHAnsi" w:hAnsiTheme="minorHAnsi" w:cstheme="minorHAnsi"/>
        </w:rPr>
        <w:t xml:space="preserve">, de la </w:t>
      </w:r>
      <w:r w:rsidRPr="00A74311">
        <w:rPr>
          <w:rFonts w:asciiTheme="minorHAnsi" w:hAnsiTheme="minorHAnsi" w:cstheme="minorHAnsi"/>
        </w:rPr>
        <w:t>justiciabilidad del Derecho a la alimentación, políticas y programa en el marco del Desarrollo Rural Integra</w:t>
      </w:r>
      <w:r w:rsidR="003D1B09" w:rsidRPr="00A74311">
        <w:rPr>
          <w:rFonts w:asciiTheme="minorHAnsi" w:hAnsiTheme="minorHAnsi" w:cstheme="minorHAnsi"/>
        </w:rPr>
        <w:t xml:space="preserve">l, recursos </w:t>
      </w:r>
      <w:r w:rsidRPr="00A74311">
        <w:rPr>
          <w:rFonts w:asciiTheme="minorHAnsi" w:hAnsiTheme="minorHAnsi" w:cstheme="minorHAnsi"/>
        </w:rPr>
        <w:t xml:space="preserve">genéticos para la alimentación, y sobre el derecho humano al agua. </w:t>
      </w:r>
    </w:p>
    <w:p w:rsidR="00564E1F" w:rsidRPr="00A74311" w:rsidRDefault="00564E1F" w:rsidP="00564E1F">
      <w:pPr>
        <w:jc w:val="both"/>
        <w:rPr>
          <w:rFonts w:ascii="Arial" w:hAnsi="Arial" w:cs="Arial"/>
          <w:b/>
          <w:sz w:val="24"/>
        </w:rPr>
      </w:pPr>
      <w:r w:rsidRPr="00A74311">
        <w:rPr>
          <w:rFonts w:asciiTheme="minorHAnsi" w:hAnsiTheme="minorHAnsi" w:cstheme="minorHAnsi"/>
        </w:rPr>
        <w:t>Se tomó como base lo establecido en el a</w:t>
      </w:r>
      <w:r w:rsidR="00824CF2" w:rsidRPr="00A74311">
        <w:rPr>
          <w:rFonts w:asciiTheme="minorHAnsi" w:hAnsiTheme="minorHAnsi" w:cstheme="minorHAnsi"/>
        </w:rPr>
        <w:t xml:space="preserve">rtículo 11 </w:t>
      </w:r>
      <w:r w:rsidRPr="00A74311">
        <w:rPr>
          <w:rFonts w:asciiTheme="minorHAnsi" w:hAnsiTheme="minorHAnsi" w:cstheme="minorHAnsi"/>
        </w:rPr>
        <w:t xml:space="preserve">del PIDESC: </w:t>
      </w:r>
    </w:p>
    <w:p w:rsidR="00564E1F" w:rsidRPr="00A74311" w:rsidRDefault="00824CF2" w:rsidP="00564E1F">
      <w:pPr>
        <w:pStyle w:val="ListParagraph"/>
        <w:numPr>
          <w:ilvl w:val="0"/>
          <w:numId w:val="9"/>
        </w:numPr>
        <w:jc w:val="both"/>
        <w:rPr>
          <w:rFonts w:asciiTheme="minorHAnsi" w:hAnsiTheme="minorHAnsi" w:cstheme="minorHAnsi"/>
        </w:rPr>
      </w:pPr>
      <w:r w:rsidRPr="00A74311">
        <w:rPr>
          <w:rFonts w:asciiTheme="minorHAnsi" w:hAnsiTheme="minorHAnsi" w:cstheme="minorHAnsi"/>
        </w:rPr>
        <w:t>Los Estados Partes en el presente Pacto reconocen el derecho de toda persona a un nivel de vida adecuado para sí y su familia, incluso alimentación, vestido y vivienda adecuados, y a una mejora continua de las condiciones de existencia</w:t>
      </w:r>
      <w:r w:rsidR="00564E1F" w:rsidRPr="00A74311">
        <w:rPr>
          <w:rFonts w:asciiTheme="minorHAnsi" w:hAnsiTheme="minorHAnsi" w:cstheme="minorHAnsi"/>
        </w:rPr>
        <w:t xml:space="preserve">… </w:t>
      </w:r>
    </w:p>
    <w:p w:rsidR="00564E1F" w:rsidRPr="00A74311" w:rsidRDefault="00564E1F" w:rsidP="00564E1F">
      <w:pPr>
        <w:pStyle w:val="ListParagraph"/>
        <w:ind w:left="0"/>
        <w:jc w:val="both"/>
        <w:rPr>
          <w:rFonts w:asciiTheme="minorHAnsi" w:hAnsiTheme="minorHAnsi" w:cstheme="minorHAnsi"/>
        </w:rPr>
      </w:pPr>
    </w:p>
    <w:p w:rsidR="00564E1F" w:rsidRPr="00A74311" w:rsidRDefault="00564E1F" w:rsidP="00564E1F">
      <w:pPr>
        <w:pStyle w:val="ListParagraph"/>
        <w:ind w:left="0"/>
        <w:jc w:val="both"/>
        <w:rPr>
          <w:rFonts w:asciiTheme="minorHAnsi" w:hAnsiTheme="minorHAnsi" w:cstheme="minorHAnsi"/>
        </w:rPr>
      </w:pPr>
      <w:r w:rsidRPr="00A74311">
        <w:rPr>
          <w:rFonts w:asciiTheme="minorHAnsi" w:hAnsiTheme="minorHAnsi" w:cstheme="minorHAnsi"/>
        </w:rPr>
        <w:t xml:space="preserve">Cada uno de los capítulos en su contenido explica los aspectos contextuales de cada tema, y la situación </w:t>
      </w:r>
      <w:r w:rsidR="003D1B09" w:rsidRPr="00A74311">
        <w:rPr>
          <w:rFonts w:asciiTheme="minorHAnsi" w:hAnsiTheme="minorHAnsi" w:cstheme="minorHAnsi"/>
        </w:rPr>
        <w:t xml:space="preserve">en </w:t>
      </w:r>
      <w:r w:rsidRPr="00A74311">
        <w:rPr>
          <w:rFonts w:asciiTheme="minorHAnsi" w:hAnsiTheme="minorHAnsi" w:cstheme="minorHAnsi"/>
        </w:rPr>
        <w:t xml:space="preserve">que se encuentra </w:t>
      </w:r>
      <w:r w:rsidR="003D1B09" w:rsidRPr="00A74311">
        <w:rPr>
          <w:rFonts w:asciiTheme="minorHAnsi" w:hAnsiTheme="minorHAnsi" w:cstheme="minorHAnsi"/>
        </w:rPr>
        <w:t xml:space="preserve">actualmente </w:t>
      </w:r>
      <w:r w:rsidRPr="00A74311">
        <w:rPr>
          <w:rFonts w:asciiTheme="minorHAnsi" w:hAnsiTheme="minorHAnsi" w:cstheme="minorHAnsi"/>
        </w:rPr>
        <w:t xml:space="preserve">en el país, a partir de la experiencia </w:t>
      </w:r>
      <w:r w:rsidR="003D1B09" w:rsidRPr="00A74311">
        <w:rPr>
          <w:rFonts w:asciiTheme="minorHAnsi" w:hAnsiTheme="minorHAnsi" w:cstheme="minorHAnsi"/>
        </w:rPr>
        <w:t>los trabajos comunitarios de cada una de las redes, colectivos</w:t>
      </w:r>
      <w:r w:rsidRPr="00A74311">
        <w:rPr>
          <w:rFonts w:asciiTheme="minorHAnsi" w:hAnsiTheme="minorHAnsi" w:cstheme="minorHAnsi"/>
        </w:rPr>
        <w:t xml:space="preserve"> y organizaciones que presentan el informe. </w:t>
      </w: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p w:rsidR="00836446" w:rsidRPr="00A74311" w:rsidRDefault="00836446">
      <w:pPr>
        <w:jc w:val="center"/>
        <w:rPr>
          <w:rFonts w:ascii="Arial" w:hAnsi="Arial"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6923C" w:themeFill="accent3" w:themeFillShade="BF"/>
        <w:tblLook w:val="04A0" w:firstRow="1" w:lastRow="0" w:firstColumn="1" w:lastColumn="0" w:noHBand="0" w:noVBand="1"/>
      </w:tblPr>
      <w:tblGrid>
        <w:gridCol w:w="8978"/>
      </w:tblGrid>
      <w:tr w:rsidR="003F1267" w:rsidRPr="00A74311" w:rsidTr="003F1267">
        <w:tc>
          <w:tcPr>
            <w:tcW w:w="8978" w:type="dxa"/>
            <w:shd w:val="clear" w:color="auto" w:fill="76923C" w:themeFill="accent3" w:themeFillShade="BF"/>
          </w:tcPr>
          <w:p w:rsidR="003F1267" w:rsidRPr="00A74311" w:rsidRDefault="003F1267" w:rsidP="00824CF2">
            <w:pPr>
              <w:spacing w:after="0" w:line="240" w:lineRule="auto"/>
              <w:rPr>
                <w:rFonts w:cs="Calibri"/>
                <w:b/>
                <w:color w:val="FFFFFF"/>
                <w:sz w:val="28"/>
                <w:szCs w:val="24"/>
              </w:rPr>
            </w:pPr>
            <w:r w:rsidRPr="00A74311">
              <w:br w:type="page"/>
            </w:r>
          </w:p>
          <w:p w:rsidR="003F1267" w:rsidRPr="00A74311" w:rsidRDefault="003F1267" w:rsidP="00824CF2">
            <w:pPr>
              <w:spacing w:after="0" w:line="240" w:lineRule="auto"/>
              <w:rPr>
                <w:rFonts w:ascii="Copperplate Gothic Bold" w:hAnsi="Copperplate Gothic Bold" w:cs="Calibri"/>
                <w:b/>
                <w:color w:val="FFFFFF"/>
                <w:sz w:val="28"/>
                <w:szCs w:val="24"/>
              </w:rPr>
            </w:pPr>
            <w:r w:rsidRPr="00A74311">
              <w:rPr>
                <w:rFonts w:ascii="Copperplate Gothic Bold" w:hAnsi="Copperplate Gothic Bold" w:cs="Calibri"/>
                <w:b/>
                <w:color w:val="FFFFFF"/>
                <w:sz w:val="28"/>
                <w:szCs w:val="24"/>
              </w:rPr>
              <w:t>Capítulo 1: Contexto general</w:t>
            </w:r>
          </w:p>
          <w:p w:rsidR="003F1267" w:rsidRPr="00A74311" w:rsidRDefault="003F1267" w:rsidP="00824CF2">
            <w:pPr>
              <w:spacing w:after="0" w:line="240" w:lineRule="auto"/>
              <w:rPr>
                <w:rFonts w:cs="Calibri"/>
                <w:b/>
                <w:sz w:val="24"/>
                <w:szCs w:val="24"/>
              </w:rPr>
            </w:pPr>
          </w:p>
        </w:tc>
      </w:tr>
    </w:tbl>
    <w:p w:rsidR="00437E87" w:rsidRPr="00A74311" w:rsidRDefault="00437E87">
      <w:pPr>
        <w:jc w:val="center"/>
        <w:rPr>
          <w:rFonts w:ascii="Arial" w:hAnsi="Arial" w:cs="Arial"/>
          <w:b/>
          <w:sz w:val="24"/>
        </w:rPr>
      </w:pPr>
    </w:p>
    <w:p w:rsidR="00333872" w:rsidRPr="00A74311" w:rsidRDefault="00500B82">
      <w:pPr>
        <w:jc w:val="center"/>
        <w:rPr>
          <w:rFonts w:asciiTheme="minorHAnsi" w:hAnsiTheme="minorHAnsi" w:cstheme="minorHAnsi"/>
          <w:b/>
        </w:rPr>
      </w:pPr>
      <w:r w:rsidRPr="00A74311">
        <w:rPr>
          <w:rFonts w:asciiTheme="minorHAnsi" w:hAnsiTheme="minorHAnsi" w:cstheme="minorHAnsi"/>
          <w:b/>
        </w:rPr>
        <w:t xml:space="preserve">El Derecho a la Alimentación y la Soberanía Alimentaria </w:t>
      </w:r>
      <w:r w:rsidR="00D46980" w:rsidRPr="00A74311">
        <w:rPr>
          <w:rFonts w:asciiTheme="minorHAnsi" w:hAnsiTheme="minorHAnsi" w:cstheme="minorHAnsi"/>
          <w:b/>
        </w:rPr>
        <w:t xml:space="preserve">y Nutricional </w:t>
      </w:r>
      <w:r w:rsidRPr="00A74311">
        <w:rPr>
          <w:rFonts w:asciiTheme="minorHAnsi" w:hAnsiTheme="minorHAnsi" w:cstheme="minorHAnsi"/>
          <w:b/>
        </w:rPr>
        <w:t>frente a</w:t>
      </w:r>
      <w:r w:rsidR="00333872" w:rsidRPr="00A74311">
        <w:rPr>
          <w:rFonts w:asciiTheme="minorHAnsi" w:hAnsiTheme="minorHAnsi" w:cstheme="minorHAnsi"/>
          <w:b/>
        </w:rPr>
        <w:t xml:space="preserve"> la crisis provocada por la pandemia del C</w:t>
      </w:r>
      <w:r w:rsidRPr="00A74311">
        <w:rPr>
          <w:rFonts w:asciiTheme="minorHAnsi" w:hAnsiTheme="minorHAnsi" w:cstheme="minorHAnsi"/>
          <w:b/>
        </w:rPr>
        <w:t>OVID 19</w:t>
      </w:r>
    </w:p>
    <w:p w:rsidR="007F7537" w:rsidRPr="00A74311" w:rsidRDefault="00167B60" w:rsidP="007F7537">
      <w:pPr>
        <w:jc w:val="both"/>
        <w:rPr>
          <w:rFonts w:asciiTheme="minorHAnsi" w:hAnsiTheme="minorHAnsi" w:cstheme="minorHAnsi"/>
        </w:rPr>
      </w:pPr>
      <w:r w:rsidRPr="00A74311">
        <w:rPr>
          <w:rFonts w:asciiTheme="minorHAnsi" w:hAnsiTheme="minorHAnsi" w:cstheme="minorHAnsi"/>
        </w:rPr>
        <w:t>Previo a la situación de crisis provocada por la pandemia SARS-CoV-2 (COVID-19) ya se reconocía que Guatemala ocupaba el primer lugar del continente americano en cuanto a Desnutrición Crónica y el tercero a nivel mundial, con la mitad de su población infantil en esta situación</w:t>
      </w:r>
      <w:r w:rsidR="00E01131" w:rsidRPr="00A74311">
        <w:rPr>
          <w:rFonts w:asciiTheme="minorHAnsi" w:hAnsiTheme="minorHAnsi" w:cstheme="minorHAnsi"/>
        </w:rPr>
        <w:t xml:space="preserve">. </w:t>
      </w:r>
      <w:r w:rsidR="00333872" w:rsidRPr="00A74311">
        <w:rPr>
          <w:rFonts w:asciiTheme="minorHAnsi" w:hAnsiTheme="minorHAnsi" w:cstheme="minorHAnsi"/>
        </w:rPr>
        <w:t>La D</w:t>
      </w:r>
      <w:r w:rsidR="007F7537" w:rsidRPr="00A74311">
        <w:rPr>
          <w:rFonts w:asciiTheme="minorHAnsi" w:hAnsiTheme="minorHAnsi" w:cstheme="minorHAnsi"/>
        </w:rPr>
        <w:t xml:space="preserve">esnutrición </w:t>
      </w:r>
      <w:r w:rsidR="00333872" w:rsidRPr="00A74311">
        <w:rPr>
          <w:rFonts w:asciiTheme="minorHAnsi" w:hAnsiTheme="minorHAnsi" w:cstheme="minorHAnsi"/>
        </w:rPr>
        <w:t>C</w:t>
      </w:r>
      <w:r w:rsidR="007F7537" w:rsidRPr="00A74311">
        <w:rPr>
          <w:rFonts w:asciiTheme="minorHAnsi" w:hAnsiTheme="minorHAnsi" w:cstheme="minorHAnsi"/>
        </w:rPr>
        <w:t xml:space="preserve">rónica es el resultado de prolongados estados de alimentación insuficiente, no temporales o por </w:t>
      </w:r>
      <w:r w:rsidR="00CA29EF" w:rsidRPr="00A74311">
        <w:rPr>
          <w:rFonts w:asciiTheme="minorHAnsi" w:hAnsiTheme="minorHAnsi" w:cstheme="minorHAnsi"/>
        </w:rPr>
        <w:t>“</w:t>
      </w:r>
      <w:r w:rsidR="007F7537" w:rsidRPr="00A74311">
        <w:rPr>
          <w:rFonts w:asciiTheme="minorHAnsi" w:hAnsiTheme="minorHAnsi" w:cstheme="minorHAnsi"/>
        </w:rPr>
        <w:t>situaciones especiales</w:t>
      </w:r>
      <w:r w:rsidR="00CA29EF" w:rsidRPr="00A74311">
        <w:rPr>
          <w:rFonts w:asciiTheme="minorHAnsi" w:hAnsiTheme="minorHAnsi" w:cstheme="minorHAnsi"/>
        </w:rPr>
        <w:t>”</w:t>
      </w:r>
      <w:r w:rsidR="007F7537" w:rsidRPr="00A74311">
        <w:rPr>
          <w:rFonts w:asciiTheme="minorHAnsi" w:hAnsiTheme="minorHAnsi" w:cstheme="minorHAnsi"/>
        </w:rPr>
        <w:t xml:space="preserve">, </w:t>
      </w:r>
      <w:r w:rsidR="00333872" w:rsidRPr="00A74311">
        <w:rPr>
          <w:rFonts w:asciiTheme="minorHAnsi" w:hAnsiTheme="minorHAnsi" w:cstheme="minorHAnsi"/>
        </w:rPr>
        <w:t>sino como</w:t>
      </w:r>
      <w:r w:rsidR="007F7537" w:rsidRPr="00A74311">
        <w:rPr>
          <w:rFonts w:asciiTheme="minorHAnsi" w:hAnsiTheme="minorHAnsi" w:cstheme="minorHAnsi"/>
        </w:rPr>
        <w:t xml:space="preserve"> resultado de una situación de pobreza </w:t>
      </w:r>
      <w:r w:rsidR="00CA29EF" w:rsidRPr="00A74311">
        <w:rPr>
          <w:rFonts w:asciiTheme="minorHAnsi" w:hAnsiTheme="minorHAnsi" w:cstheme="minorHAnsi"/>
        </w:rPr>
        <w:t xml:space="preserve">que implica insuficiente consumo de alimentos adecuados y </w:t>
      </w:r>
      <w:r w:rsidR="007F7537" w:rsidRPr="00A74311">
        <w:rPr>
          <w:rFonts w:asciiTheme="minorHAnsi" w:hAnsiTheme="minorHAnsi" w:cstheme="minorHAnsi"/>
        </w:rPr>
        <w:t xml:space="preserve">que en </w:t>
      </w:r>
      <w:r w:rsidR="00333872" w:rsidRPr="00A74311">
        <w:rPr>
          <w:rFonts w:asciiTheme="minorHAnsi" w:hAnsiTheme="minorHAnsi" w:cstheme="minorHAnsi"/>
        </w:rPr>
        <w:t xml:space="preserve">el caso de </w:t>
      </w:r>
      <w:r w:rsidR="007F7537" w:rsidRPr="00A74311">
        <w:rPr>
          <w:rFonts w:asciiTheme="minorHAnsi" w:hAnsiTheme="minorHAnsi" w:cstheme="minorHAnsi"/>
        </w:rPr>
        <w:t>Guatemala afecta a la mitad de la población</w:t>
      </w:r>
      <w:r w:rsidR="00333872" w:rsidRPr="00A74311">
        <w:rPr>
          <w:rFonts w:asciiTheme="minorHAnsi" w:hAnsiTheme="minorHAnsi" w:cstheme="minorHAnsi"/>
        </w:rPr>
        <w:t>. E</w:t>
      </w:r>
      <w:r w:rsidR="007F7537" w:rsidRPr="00A74311">
        <w:rPr>
          <w:rFonts w:asciiTheme="minorHAnsi" w:hAnsiTheme="minorHAnsi" w:cstheme="minorHAnsi"/>
        </w:rPr>
        <w:t xml:space="preserve">s un signo de las desigualdades histórico-estructurales en el acceso a </w:t>
      </w:r>
      <w:r w:rsidR="00CA29EF" w:rsidRPr="00A74311">
        <w:rPr>
          <w:rFonts w:asciiTheme="minorHAnsi" w:hAnsiTheme="minorHAnsi" w:cstheme="minorHAnsi"/>
        </w:rPr>
        <w:t>satisfactore</w:t>
      </w:r>
      <w:r w:rsidR="007F7537" w:rsidRPr="00A74311">
        <w:rPr>
          <w:rFonts w:asciiTheme="minorHAnsi" w:hAnsiTheme="minorHAnsi" w:cstheme="minorHAnsi"/>
        </w:rPr>
        <w:t>s básicos para la población (</w:t>
      </w:r>
      <w:r w:rsidR="00CA29EF" w:rsidRPr="00A74311">
        <w:rPr>
          <w:rFonts w:asciiTheme="minorHAnsi" w:hAnsiTheme="minorHAnsi" w:cstheme="minorHAnsi"/>
        </w:rPr>
        <w:t xml:space="preserve">vivienda digna, </w:t>
      </w:r>
      <w:r w:rsidR="007F7537" w:rsidRPr="00A74311">
        <w:rPr>
          <w:rFonts w:asciiTheme="minorHAnsi" w:hAnsiTheme="minorHAnsi" w:cstheme="minorHAnsi"/>
        </w:rPr>
        <w:t>agua potable, drenajes, saneamiento ambiental, energía eléctrica, cobertura educativa y de servicios de salud</w:t>
      </w:r>
      <w:r w:rsidR="00CA29EF" w:rsidRPr="00A74311">
        <w:rPr>
          <w:rFonts w:asciiTheme="minorHAnsi" w:hAnsiTheme="minorHAnsi" w:cstheme="minorHAnsi"/>
        </w:rPr>
        <w:t>, entre otros)</w:t>
      </w:r>
      <w:r w:rsidR="007F7537" w:rsidRPr="00A74311">
        <w:rPr>
          <w:rFonts w:asciiTheme="minorHAnsi" w:hAnsiTheme="minorHAnsi" w:cstheme="minorHAnsi"/>
        </w:rPr>
        <w:t>. Es</w:t>
      </w:r>
      <w:r w:rsidR="00466DA4" w:rsidRPr="00A74311">
        <w:rPr>
          <w:rFonts w:asciiTheme="minorHAnsi" w:hAnsiTheme="minorHAnsi" w:cstheme="minorHAnsi"/>
        </w:rPr>
        <w:t xml:space="preserve"> </w:t>
      </w:r>
      <w:r w:rsidR="007F7537" w:rsidRPr="00A74311">
        <w:rPr>
          <w:rFonts w:asciiTheme="minorHAnsi" w:hAnsiTheme="minorHAnsi" w:cstheme="minorHAnsi"/>
        </w:rPr>
        <w:t>también resultado de</w:t>
      </w:r>
      <w:r w:rsidR="00466DA4" w:rsidRPr="00A74311">
        <w:rPr>
          <w:rFonts w:asciiTheme="minorHAnsi" w:hAnsiTheme="minorHAnsi" w:cstheme="minorHAnsi"/>
        </w:rPr>
        <w:t xml:space="preserve"> la aplicación de un</w:t>
      </w:r>
      <w:r w:rsidR="007F7537" w:rsidRPr="00A74311">
        <w:rPr>
          <w:rFonts w:asciiTheme="minorHAnsi" w:hAnsiTheme="minorHAnsi" w:cstheme="minorHAnsi"/>
        </w:rPr>
        <w:t xml:space="preserve"> modelo </w:t>
      </w:r>
      <w:r w:rsidR="00466DA4" w:rsidRPr="00A74311">
        <w:rPr>
          <w:rFonts w:asciiTheme="minorHAnsi" w:hAnsiTheme="minorHAnsi" w:cstheme="minorHAnsi"/>
        </w:rPr>
        <w:t xml:space="preserve">económico </w:t>
      </w:r>
      <w:r w:rsidR="007F7537" w:rsidRPr="00A74311">
        <w:rPr>
          <w:rFonts w:asciiTheme="minorHAnsi" w:hAnsiTheme="minorHAnsi" w:cstheme="minorHAnsi"/>
        </w:rPr>
        <w:t>basado en la creación y acumulación de riqueza</w:t>
      </w:r>
      <w:r w:rsidR="00466DA4" w:rsidRPr="00A74311">
        <w:rPr>
          <w:rFonts w:asciiTheme="minorHAnsi" w:hAnsiTheme="minorHAnsi" w:cstheme="minorHAnsi"/>
        </w:rPr>
        <w:t xml:space="preserve">, </w:t>
      </w:r>
      <w:r w:rsidR="007F7537" w:rsidRPr="00A74311">
        <w:rPr>
          <w:rFonts w:asciiTheme="minorHAnsi" w:hAnsiTheme="minorHAnsi" w:cstheme="minorHAnsi"/>
        </w:rPr>
        <w:t>que arrincona al 71% de la población a la informalidad en el empleo, al 59 % a la pobreza general y al 23.4% a la pobreza extrema</w:t>
      </w:r>
      <w:r w:rsidR="007F7537" w:rsidRPr="00A74311">
        <w:rPr>
          <w:rStyle w:val="FootnoteReference"/>
          <w:rFonts w:asciiTheme="minorHAnsi" w:hAnsiTheme="minorHAnsi" w:cstheme="minorHAnsi"/>
        </w:rPr>
        <w:footnoteReference w:id="1"/>
      </w:r>
      <w:r w:rsidR="00CA29EF" w:rsidRPr="00A74311">
        <w:rPr>
          <w:rFonts w:asciiTheme="minorHAnsi" w:hAnsiTheme="minorHAnsi" w:cstheme="minorHAnsi"/>
        </w:rPr>
        <w:t>.</w:t>
      </w:r>
    </w:p>
    <w:p w:rsidR="00167B60" w:rsidRPr="00A74311" w:rsidRDefault="00E01131" w:rsidP="00167B60">
      <w:pPr>
        <w:jc w:val="both"/>
        <w:rPr>
          <w:rFonts w:asciiTheme="minorHAnsi" w:hAnsiTheme="minorHAnsi" w:cstheme="minorHAnsi"/>
        </w:rPr>
      </w:pPr>
      <w:r w:rsidRPr="00A74311">
        <w:rPr>
          <w:rFonts w:asciiTheme="minorHAnsi" w:hAnsiTheme="minorHAnsi" w:cstheme="minorHAnsi"/>
        </w:rPr>
        <w:t xml:space="preserve">Las débiles iniciativas generadas para </w:t>
      </w:r>
      <w:r w:rsidR="00466DA4" w:rsidRPr="00A74311">
        <w:rPr>
          <w:rFonts w:asciiTheme="minorHAnsi" w:hAnsiTheme="minorHAnsi" w:cstheme="minorHAnsi"/>
        </w:rPr>
        <w:t xml:space="preserve">el </w:t>
      </w:r>
      <w:r w:rsidRPr="00A74311">
        <w:rPr>
          <w:rFonts w:asciiTheme="minorHAnsi" w:hAnsiTheme="minorHAnsi" w:cstheme="minorHAnsi"/>
        </w:rPr>
        <w:t xml:space="preserve">abordaje </w:t>
      </w:r>
      <w:r w:rsidR="00466DA4" w:rsidRPr="00A74311">
        <w:rPr>
          <w:rFonts w:asciiTheme="minorHAnsi" w:hAnsiTheme="minorHAnsi" w:cstheme="minorHAnsi"/>
        </w:rPr>
        <w:t xml:space="preserve">del Hambre </w:t>
      </w:r>
      <w:r w:rsidR="00734D17" w:rsidRPr="00A74311">
        <w:rPr>
          <w:rFonts w:asciiTheme="minorHAnsi" w:hAnsiTheme="minorHAnsi" w:cstheme="minorHAnsi"/>
        </w:rPr>
        <w:t>en Guatemala</w:t>
      </w:r>
      <w:r w:rsidR="00D46980" w:rsidRPr="00A74311">
        <w:rPr>
          <w:rFonts w:asciiTheme="minorHAnsi" w:hAnsiTheme="minorHAnsi" w:cstheme="minorHAnsi"/>
        </w:rPr>
        <w:t xml:space="preserve"> en la última década y media</w:t>
      </w:r>
      <w:r w:rsidR="00486144" w:rsidRPr="00A74311">
        <w:rPr>
          <w:rFonts w:asciiTheme="minorHAnsi" w:hAnsiTheme="minorHAnsi" w:cstheme="minorHAnsi"/>
        </w:rPr>
        <w:t>,</w:t>
      </w:r>
      <w:r w:rsidR="00734D17" w:rsidRPr="00A74311">
        <w:rPr>
          <w:rFonts w:asciiTheme="minorHAnsi" w:hAnsiTheme="minorHAnsi" w:cstheme="minorHAnsi"/>
        </w:rPr>
        <w:t xml:space="preserve"> </w:t>
      </w:r>
      <w:r w:rsidR="00CA29EF" w:rsidRPr="00A74311">
        <w:rPr>
          <w:rFonts w:asciiTheme="minorHAnsi" w:hAnsiTheme="minorHAnsi" w:cstheme="minorHAnsi"/>
        </w:rPr>
        <w:t xml:space="preserve">no </w:t>
      </w:r>
      <w:r w:rsidRPr="00A74311">
        <w:rPr>
          <w:rFonts w:asciiTheme="minorHAnsi" w:hAnsiTheme="minorHAnsi" w:cstheme="minorHAnsi"/>
        </w:rPr>
        <w:t xml:space="preserve">llevaron a que la situación </w:t>
      </w:r>
      <w:r w:rsidR="00A335A2" w:rsidRPr="00A74311">
        <w:rPr>
          <w:rFonts w:asciiTheme="minorHAnsi" w:hAnsiTheme="minorHAnsi" w:cstheme="minorHAnsi"/>
        </w:rPr>
        <w:t xml:space="preserve">se </w:t>
      </w:r>
      <w:r w:rsidR="00CA29EF" w:rsidRPr="00A74311">
        <w:rPr>
          <w:rFonts w:asciiTheme="minorHAnsi" w:hAnsiTheme="minorHAnsi" w:cstheme="minorHAnsi"/>
        </w:rPr>
        <w:t>mejorara</w:t>
      </w:r>
      <w:r w:rsidRPr="00A74311">
        <w:rPr>
          <w:rFonts w:asciiTheme="minorHAnsi" w:hAnsiTheme="minorHAnsi" w:cstheme="minorHAnsi"/>
        </w:rPr>
        <w:t xml:space="preserve"> </w:t>
      </w:r>
      <w:r w:rsidR="00662507" w:rsidRPr="00A74311">
        <w:rPr>
          <w:rFonts w:asciiTheme="minorHAnsi" w:hAnsiTheme="minorHAnsi" w:cstheme="minorHAnsi"/>
        </w:rPr>
        <w:t xml:space="preserve">sensiblemente </w:t>
      </w:r>
      <w:r w:rsidR="00D46980" w:rsidRPr="00A74311">
        <w:rPr>
          <w:rFonts w:asciiTheme="minorHAnsi" w:hAnsiTheme="minorHAnsi" w:cstheme="minorHAnsi"/>
        </w:rPr>
        <w:t>a pesar de contar con</w:t>
      </w:r>
      <w:r w:rsidRPr="00A74311">
        <w:rPr>
          <w:rFonts w:asciiTheme="minorHAnsi" w:hAnsiTheme="minorHAnsi" w:cstheme="minorHAnsi"/>
        </w:rPr>
        <w:t xml:space="preserve"> un Sistema Nacional de Seguridad Alimentaria y Nutricional</w:t>
      </w:r>
      <w:r w:rsidR="00662507" w:rsidRPr="00A74311">
        <w:rPr>
          <w:rFonts w:asciiTheme="minorHAnsi" w:hAnsiTheme="minorHAnsi" w:cstheme="minorHAnsi"/>
        </w:rPr>
        <w:t xml:space="preserve"> (Decreto 32-2005). </w:t>
      </w:r>
      <w:r w:rsidR="00466DA4" w:rsidRPr="00A74311">
        <w:rPr>
          <w:rFonts w:asciiTheme="minorHAnsi" w:hAnsiTheme="minorHAnsi" w:cstheme="minorHAnsi"/>
        </w:rPr>
        <w:t xml:space="preserve">En este tiempo el Estado de Guatemala no generó capacidades que fortalecieran </w:t>
      </w:r>
      <w:r w:rsidR="00734D17" w:rsidRPr="00A74311">
        <w:rPr>
          <w:rFonts w:asciiTheme="minorHAnsi" w:hAnsiTheme="minorHAnsi" w:cstheme="minorHAnsi"/>
        </w:rPr>
        <w:t xml:space="preserve">el </w:t>
      </w:r>
      <w:r w:rsidR="00466DA4" w:rsidRPr="00A74311">
        <w:rPr>
          <w:rFonts w:asciiTheme="minorHAnsi" w:hAnsiTheme="minorHAnsi" w:cstheme="minorHAnsi"/>
        </w:rPr>
        <w:t>Sistema Alimentario</w:t>
      </w:r>
      <w:r w:rsidR="00734D17" w:rsidRPr="00A74311">
        <w:rPr>
          <w:rFonts w:asciiTheme="minorHAnsi" w:hAnsiTheme="minorHAnsi" w:cstheme="minorHAnsi"/>
        </w:rPr>
        <w:t xml:space="preserve"> y l</w:t>
      </w:r>
      <w:r w:rsidR="00662507" w:rsidRPr="00A74311">
        <w:rPr>
          <w:rFonts w:asciiTheme="minorHAnsi" w:hAnsiTheme="minorHAnsi" w:cstheme="minorHAnsi"/>
        </w:rPr>
        <w:t xml:space="preserve">as </w:t>
      </w:r>
      <w:r w:rsidR="00734D17" w:rsidRPr="00A74311">
        <w:rPr>
          <w:rFonts w:asciiTheme="minorHAnsi" w:hAnsiTheme="minorHAnsi" w:cstheme="minorHAnsi"/>
        </w:rPr>
        <w:t xml:space="preserve">acciones </w:t>
      </w:r>
      <w:r w:rsidR="00662507" w:rsidRPr="00A74311">
        <w:rPr>
          <w:rFonts w:asciiTheme="minorHAnsi" w:hAnsiTheme="minorHAnsi" w:cstheme="minorHAnsi"/>
        </w:rPr>
        <w:t>implementadas se orientaron fundamentalmente a “aliviar” la Desnutrición Aguda, manteniendo la situación de vulnerab</w:t>
      </w:r>
      <w:r w:rsidR="008B4AF1" w:rsidRPr="00A74311">
        <w:rPr>
          <w:rFonts w:asciiTheme="minorHAnsi" w:hAnsiTheme="minorHAnsi" w:cstheme="minorHAnsi"/>
        </w:rPr>
        <w:t xml:space="preserve">ilidad </w:t>
      </w:r>
      <w:r w:rsidR="00466DA4" w:rsidRPr="00A74311">
        <w:rPr>
          <w:rFonts w:asciiTheme="minorHAnsi" w:hAnsiTheme="minorHAnsi" w:cstheme="minorHAnsi"/>
        </w:rPr>
        <w:t xml:space="preserve">alimentaria </w:t>
      </w:r>
      <w:r w:rsidR="008B4AF1" w:rsidRPr="00A74311">
        <w:rPr>
          <w:rFonts w:asciiTheme="minorHAnsi" w:hAnsiTheme="minorHAnsi" w:cstheme="minorHAnsi"/>
        </w:rPr>
        <w:t xml:space="preserve">invariable y orillando a que las </w:t>
      </w:r>
      <w:r w:rsidR="00CA29EF" w:rsidRPr="00A74311">
        <w:rPr>
          <w:rFonts w:asciiTheme="minorHAnsi" w:hAnsiTheme="minorHAnsi" w:cstheme="minorHAnsi"/>
        </w:rPr>
        <w:t>respuestas</w:t>
      </w:r>
      <w:r w:rsidR="008B4AF1" w:rsidRPr="00A74311">
        <w:rPr>
          <w:rFonts w:asciiTheme="minorHAnsi" w:hAnsiTheme="minorHAnsi" w:cstheme="minorHAnsi"/>
        </w:rPr>
        <w:t xml:space="preserve"> fueran generalm</w:t>
      </w:r>
      <w:r w:rsidR="00CA29EF" w:rsidRPr="00A74311">
        <w:rPr>
          <w:rFonts w:asciiTheme="minorHAnsi" w:hAnsiTheme="minorHAnsi" w:cstheme="minorHAnsi"/>
        </w:rPr>
        <w:t>ente de asistencia alimentaria y provocando nuevas dependencias, como los tratamientos de “recuperación nutricional” en niñez al borde de la muerte.</w:t>
      </w:r>
    </w:p>
    <w:p w:rsidR="00AB6FB9" w:rsidRPr="00A74311" w:rsidRDefault="00AB6FB9" w:rsidP="00AB6FB9">
      <w:pPr>
        <w:jc w:val="both"/>
        <w:rPr>
          <w:rFonts w:asciiTheme="minorHAnsi" w:hAnsiTheme="minorHAnsi" w:cstheme="minorHAnsi"/>
        </w:rPr>
      </w:pPr>
      <w:r w:rsidRPr="00A74311">
        <w:rPr>
          <w:rFonts w:asciiTheme="minorHAnsi" w:hAnsiTheme="minorHAnsi" w:cstheme="minorHAnsi"/>
        </w:rPr>
        <w:t xml:space="preserve">El sistema alimentario nacional entra en crisis </w:t>
      </w:r>
      <w:r w:rsidR="005E744C" w:rsidRPr="00A74311">
        <w:rPr>
          <w:rFonts w:asciiTheme="minorHAnsi" w:hAnsiTheme="minorHAnsi" w:cstheme="minorHAnsi"/>
        </w:rPr>
        <w:t>en apenas sei</w:t>
      </w:r>
      <w:r w:rsidR="008B4AF1" w:rsidRPr="00A74311">
        <w:rPr>
          <w:rFonts w:asciiTheme="minorHAnsi" w:hAnsiTheme="minorHAnsi" w:cstheme="minorHAnsi"/>
        </w:rPr>
        <w:t xml:space="preserve">s meses </w:t>
      </w:r>
      <w:r w:rsidR="000D53FC" w:rsidRPr="00A74311">
        <w:rPr>
          <w:rFonts w:asciiTheme="minorHAnsi" w:hAnsiTheme="minorHAnsi" w:cstheme="minorHAnsi"/>
        </w:rPr>
        <w:t xml:space="preserve">que se </w:t>
      </w:r>
      <w:r w:rsidR="00E13530" w:rsidRPr="00A74311">
        <w:rPr>
          <w:rFonts w:asciiTheme="minorHAnsi" w:hAnsiTheme="minorHAnsi" w:cstheme="minorHAnsi"/>
        </w:rPr>
        <w:t xml:space="preserve">declaró </w:t>
      </w:r>
      <w:r w:rsidR="008B4AF1" w:rsidRPr="00A74311">
        <w:rPr>
          <w:rFonts w:asciiTheme="minorHAnsi" w:hAnsiTheme="minorHAnsi" w:cstheme="minorHAnsi"/>
        </w:rPr>
        <w:t>“e</w:t>
      </w:r>
      <w:r w:rsidR="00E13530" w:rsidRPr="00A74311">
        <w:rPr>
          <w:rFonts w:asciiTheme="minorHAnsi" w:hAnsiTheme="minorHAnsi" w:cstheme="minorHAnsi"/>
        </w:rPr>
        <w:t>stado de calamidad pública</w:t>
      </w:r>
      <w:r w:rsidR="008B4AF1" w:rsidRPr="00A74311">
        <w:rPr>
          <w:rFonts w:asciiTheme="minorHAnsi" w:hAnsiTheme="minorHAnsi" w:cstheme="minorHAnsi"/>
        </w:rPr>
        <w:t>”</w:t>
      </w:r>
      <w:r w:rsidR="000D53FC" w:rsidRPr="00A74311">
        <w:rPr>
          <w:rFonts w:asciiTheme="minorHAnsi" w:hAnsiTheme="minorHAnsi" w:cstheme="minorHAnsi"/>
        </w:rPr>
        <w:t xml:space="preserve"> </w:t>
      </w:r>
      <w:r w:rsidR="00E13530" w:rsidRPr="00A74311">
        <w:rPr>
          <w:rFonts w:asciiTheme="minorHAnsi" w:hAnsiTheme="minorHAnsi" w:cstheme="minorHAnsi"/>
        </w:rPr>
        <w:t xml:space="preserve">por la </w:t>
      </w:r>
      <w:r w:rsidR="000D53FC" w:rsidRPr="00A74311">
        <w:rPr>
          <w:rFonts w:asciiTheme="minorHAnsi" w:hAnsiTheme="minorHAnsi" w:cstheme="minorHAnsi"/>
        </w:rPr>
        <w:t>emergencia de</w:t>
      </w:r>
      <w:r w:rsidR="008B4AF1" w:rsidRPr="00A74311">
        <w:rPr>
          <w:rFonts w:asciiTheme="minorHAnsi" w:hAnsiTheme="minorHAnsi" w:cstheme="minorHAnsi"/>
        </w:rPr>
        <w:t xml:space="preserve">l COVID-19. La improvisación y ausencia de un análisis integral de las características de la sociedad guatemalteca, llevaron a implementar acciones que no solamente no llevaron a “contener” la propagación del virus, sino que aún mantienen profundos efectos negativos en toda la población, especialmente la más vulnerable. </w:t>
      </w:r>
      <w:r w:rsidRPr="00A74311">
        <w:rPr>
          <w:rFonts w:asciiTheme="minorHAnsi" w:hAnsiTheme="minorHAnsi" w:cstheme="minorHAnsi"/>
        </w:rPr>
        <w:t>Las</w:t>
      </w:r>
      <w:r w:rsidR="00734D17" w:rsidRPr="00A74311">
        <w:rPr>
          <w:rFonts w:asciiTheme="minorHAnsi" w:hAnsiTheme="minorHAnsi" w:cstheme="minorHAnsi"/>
        </w:rPr>
        <w:t xml:space="preserve"> </w:t>
      </w:r>
      <w:r w:rsidRPr="00A74311">
        <w:rPr>
          <w:rFonts w:asciiTheme="minorHAnsi" w:hAnsiTheme="minorHAnsi" w:cstheme="minorHAnsi"/>
        </w:rPr>
        <w:t>“</w:t>
      </w:r>
      <w:r w:rsidR="00734D17" w:rsidRPr="00A74311">
        <w:rPr>
          <w:rFonts w:asciiTheme="minorHAnsi" w:hAnsiTheme="minorHAnsi" w:cstheme="minorHAnsi"/>
        </w:rPr>
        <w:t>acciones de contención</w:t>
      </w:r>
      <w:r w:rsidRPr="00A74311">
        <w:rPr>
          <w:rFonts w:asciiTheme="minorHAnsi" w:hAnsiTheme="minorHAnsi" w:cstheme="minorHAnsi"/>
        </w:rPr>
        <w:t>” de</w:t>
      </w:r>
      <w:r w:rsidR="00734D17" w:rsidRPr="00A74311">
        <w:rPr>
          <w:rFonts w:asciiTheme="minorHAnsi" w:hAnsiTheme="minorHAnsi" w:cstheme="minorHAnsi"/>
        </w:rPr>
        <w:t>l COVID-19</w:t>
      </w:r>
      <w:r w:rsidR="008B4AF1" w:rsidRPr="00A74311">
        <w:rPr>
          <w:rFonts w:asciiTheme="minorHAnsi" w:hAnsiTheme="minorHAnsi" w:cstheme="minorHAnsi"/>
        </w:rPr>
        <w:t xml:space="preserve"> </w:t>
      </w:r>
      <w:r w:rsidRPr="00A74311">
        <w:rPr>
          <w:rFonts w:asciiTheme="minorHAnsi" w:hAnsiTheme="minorHAnsi" w:cstheme="minorHAnsi"/>
        </w:rPr>
        <w:t xml:space="preserve">si bien replican acciones implementadas en otros países, no atendieron los múltiples impactos sociales, económicos y políticos que las mismas medidas implican para una población tan diversa. Esto llevó a que el Estado de Emergencia se concentrara en restricciones del libre tránsito, así como el cierre de actividades regulares a horarios mínimos. (Decretos 5-2020, 6-2020 y 7-2020), que tuvo como efecto inmediato el cierre temporal de las pequeñas y medianas empresas, así como del empleo informal que sustenta a dos terceras partes de </w:t>
      </w:r>
      <w:r w:rsidRPr="00A74311">
        <w:rPr>
          <w:rFonts w:asciiTheme="minorHAnsi" w:hAnsiTheme="minorHAnsi" w:cstheme="minorHAnsi"/>
        </w:rPr>
        <w:lastRenderedPageBreak/>
        <w:t>la Población Económicamente Activa, llevando a que se perdieran al menos 90 mil empleos formales en apenas el primer mes de la crisis, aunque se estima que podrían llegar a 500 mil empleos</w:t>
      </w:r>
      <w:r w:rsidR="00724130" w:rsidRPr="00A74311">
        <w:rPr>
          <w:rStyle w:val="FootnoteReference"/>
          <w:rFonts w:asciiTheme="minorHAnsi" w:hAnsiTheme="minorHAnsi" w:cstheme="minorHAnsi"/>
        </w:rPr>
        <w:footnoteReference w:id="2"/>
      </w:r>
      <w:r w:rsidRPr="00A74311">
        <w:rPr>
          <w:rFonts w:asciiTheme="minorHAnsi" w:hAnsiTheme="minorHAnsi" w:cstheme="minorHAnsi"/>
        </w:rPr>
        <w:t xml:space="preserve">. </w:t>
      </w:r>
    </w:p>
    <w:p w:rsidR="00AB6FB9" w:rsidRPr="00A74311" w:rsidRDefault="00AB6FB9" w:rsidP="00AB6FB9">
      <w:pPr>
        <w:jc w:val="both"/>
        <w:rPr>
          <w:rFonts w:asciiTheme="minorHAnsi" w:hAnsiTheme="minorHAnsi" w:cstheme="minorHAnsi"/>
        </w:rPr>
      </w:pPr>
      <w:r w:rsidRPr="00A74311">
        <w:rPr>
          <w:rFonts w:asciiTheme="minorHAnsi" w:hAnsiTheme="minorHAnsi" w:cstheme="minorHAnsi"/>
        </w:rPr>
        <w:t>Las restricciones impactaron a la obstaculización del pequeño comercio, especialmente agrícola, llevando a que miles de productores perdieran sus cosechas y no lograran completar sus ciclos productivos</w:t>
      </w:r>
      <w:r w:rsidR="008D4D14" w:rsidRPr="00A74311">
        <w:rPr>
          <w:rFonts w:asciiTheme="minorHAnsi" w:hAnsiTheme="minorHAnsi" w:cstheme="minorHAnsi"/>
        </w:rPr>
        <w:t xml:space="preserve">. </w:t>
      </w:r>
      <w:r w:rsidRPr="00A74311">
        <w:rPr>
          <w:rFonts w:asciiTheme="minorHAnsi" w:hAnsiTheme="minorHAnsi" w:cstheme="minorHAnsi"/>
        </w:rPr>
        <w:t xml:space="preserve">Entre otros efectos, miles de familias se han quedado insolventes para responder a sus créditos, alquiler de vivienda o servicios básicos. Al mes de </w:t>
      </w:r>
      <w:r w:rsidR="00363104" w:rsidRPr="00A74311">
        <w:rPr>
          <w:rFonts w:asciiTheme="minorHAnsi" w:hAnsiTheme="minorHAnsi" w:cstheme="minorHAnsi"/>
        </w:rPr>
        <w:t>junio</w:t>
      </w:r>
      <w:r w:rsidRPr="00A74311">
        <w:rPr>
          <w:rFonts w:asciiTheme="minorHAnsi" w:hAnsiTheme="minorHAnsi" w:cstheme="minorHAnsi"/>
        </w:rPr>
        <w:t xml:space="preserve"> el </w:t>
      </w:r>
      <w:r w:rsidRPr="00A74311">
        <w:rPr>
          <w:rFonts w:asciiTheme="minorHAnsi" w:hAnsiTheme="minorHAnsi" w:cstheme="minorHAnsi"/>
          <w:bCs/>
        </w:rPr>
        <w:t>costo de la Canasta</w:t>
      </w:r>
      <w:r w:rsidRPr="00A74311">
        <w:rPr>
          <w:rFonts w:asciiTheme="minorHAnsi" w:hAnsiTheme="minorHAnsi" w:cstheme="minorHAnsi"/>
        </w:rPr>
        <w:t> B</w:t>
      </w:r>
      <w:r w:rsidR="005E744C" w:rsidRPr="00A74311">
        <w:rPr>
          <w:rFonts w:asciiTheme="minorHAnsi" w:hAnsiTheme="minorHAnsi" w:cstheme="minorHAnsi"/>
        </w:rPr>
        <w:t xml:space="preserve">ásica Alimentaria se ubicó en Q </w:t>
      </w:r>
      <w:r w:rsidRPr="00A74311">
        <w:rPr>
          <w:rFonts w:asciiTheme="minorHAnsi" w:hAnsiTheme="minorHAnsi" w:cstheme="minorHAnsi"/>
        </w:rPr>
        <w:t>3</w:t>
      </w:r>
      <w:r w:rsidR="005E744C" w:rsidRPr="00A74311">
        <w:rPr>
          <w:rFonts w:asciiTheme="minorHAnsi" w:hAnsiTheme="minorHAnsi" w:cstheme="minorHAnsi"/>
        </w:rPr>
        <w:t>,</w:t>
      </w:r>
      <w:r w:rsidR="00564E1F" w:rsidRPr="00A74311">
        <w:rPr>
          <w:rFonts w:asciiTheme="minorHAnsi" w:hAnsiTheme="minorHAnsi" w:cstheme="minorHAnsi"/>
        </w:rPr>
        <w:t>669</w:t>
      </w:r>
      <w:r w:rsidR="00363104" w:rsidRPr="00A74311">
        <w:rPr>
          <w:rFonts w:asciiTheme="minorHAnsi" w:hAnsiTheme="minorHAnsi" w:cstheme="minorHAnsi"/>
        </w:rPr>
        <w:t>, incrementándose Q</w:t>
      </w:r>
      <w:r w:rsidR="005E744C" w:rsidRPr="00A74311">
        <w:rPr>
          <w:rFonts w:asciiTheme="minorHAnsi" w:hAnsiTheme="minorHAnsi" w:cstheme="minorHAnsi"/>
        </w:rPr>
        <w:t xml:space="preserve"> </w:t>
      </w:r>
      <w:r w:rsidR="00363104" w:rsidRPr="00A74311">
        <w:rPr>
          <w:rFonts w:asciiTheme="minorHAnsi" w:hAnsiTheme="minorHAnsi" w:cstheme="minorHAnsi"/>
        </w:rPr>
        <w:t>108 desde enero</w:t>
      </w:r>
      <w:r w:rsidRPr="00A74311">
        <w:rPr>
          <w:rFonts w:asciiTheme="minorHAnsi" w:hAnsiTheme="minorHAnsi" w:cstheme="minorHAnsi"/>
        </w:rPr>
        <w:t>, mientras la Canasta Básica Ampliada se ubicó en</w:t>
      </w:r>
      <w:r w:rsidR="00363104" w:rsidRPr="00A74311">
        <w:rPr>
          <w:rFonts w:asciiTheme="minorHAnsi" w:hAnsiTheme="minorHAnsi" w:cstheme="minorHAnsi"/>
        </w:rPr>
        <w:t xml:space="preserve"> Q</w:t>
      </w:r>
      <w:r w:rsidR="005E744C" w:rsidRPr="00A74311">
        <w:rPr>
          <w:rFonts w:asciiTheme="minorHAnsi" w:hAnsiTheme="minorHAnsi" w:cstheme="minorHAnsi"/>
        </w:rPr>
        <w:t xml:space="preserve"> </w:t>
      </w:r>
      <w:r w:rsidR="00363104" w:rsidRPr="00A74311">
        <w:rPr>
          <w:rFonts w:asciiTheme="minorHAnsi" w:hAnsiTheme="minorHAnsi" w:cstheme="minorHAnsi"/>
        </w:rPr>
        <w:t>8,471, incrementándose Q</w:t>
      </w:r>
      <w:r w:rsidR="005E744C" w:rsidRPr="00A74311">
        <w:rPr>
          <w:rFonts w:asciiTheme="minorHAnsi" w:hAnsiTheme="minorHAnsi" w:cstheme="minorHAnsi"/>
        </w:rPr>
        <w:t xml:space="preserve"> </w:t>
      </w:r>
      <w:r w:rsidR="00363104" w:rsidRPr="00A74311">
        <w:rPr>
          <w:rFonts w:asciiTheme="minorHAnsi" w:hAnsiTheme="minorHAnsi" w:cstheme="minorHAnsi"/>
        </w:rPr>
        <w:t>248 en este mismo periodo</w:t>
      </w:r>
      <w:r w:rsidRPr="00A74311">
        <w:rPr>
          <w:rFonts w:asciiTheme="minorHAnsi" w:hAnsiTheme="minorHAnsi" w:cstheme="minorHAnsi"/>
        </w:rPr>
        <w:t>.</w:t>
      </w:r>
      <w:r w:rsidRPr="00A74311">
        <w:rPr>
          <w:rStyle w:val="FootnoteReference"/>
          <w:rFonts w:asciiTheme="minorHAnsi" w:hAnsiTheme="minorHAnsi" w:cstheme="minorHAnsi"/>
        </w:rPr>
        <w:footnoteReference w:id="3"/>
      </w:r>
      <w:r w:rsidR="005E744C" w:rsidRPr="00A74311">
        <w:rPr>
          <w:rFonts w:asciiTheme="minorHAnsi" w:hAnsiTheme="minorHAnsi" w:cstheme="minorHAnsi"/>
        </w:rPr>
        <w:t xml:space="preserve"> </w:t>
      </w:r>
    </w:p>
    <w:p w:rsidR="00734D17" w:rsidRPr="00A74311" w:rsidRDefault="008D4D14" w:rsidP="00AB6FB9">
      <w:pPr>
        <w:jc w:val="both"/>
        <w:rPr>
          <w:rFonts w:asciiTheme="minorHAnsi" w:hAnsiTheme="minorHAnsi" w:cstheme="minorHAnsi"/>
        </w:rPr>
      </w:pPr>
      <w:r w:rsidRPr="00A74311">
        <w:rPr>
          <w:rFonts w:asciiTheme="minorHAnsi" w:hAnsiTheme="minorHAnsi" w:cstheme="minorHAnsi"/>
        </w:rPr>
        <w:t xml:space="preserve">Si bien aún no hay datos actualizados sobre los efectos de la crisis evidentemente </w:t>
      </w:r>
      <w:r w:rsidR="000D53FC" w:rsidRPr="00A74311">
        <w:rPr>
          <w:rFonts w:asciiTheme="minorHAnsi" w:hAnsiTheme="minorHAnsi" w:cstheme="minorHAnsi"/>
        </w:rPr>
        <w:t xml:space="preserve">la situación de </w:t>
      </w:r>
      <w:r w:rsidR="008B4AF1" w:rsidRPr="00A74311">
        <w:rPr>
          <w:rFonts w:asciiTheme="minorHAnsi" w:hAnsiTheme="minorHAnsi" w:cstheme="minorHAnsi"/>
        </w:rPr>
        <w:t>pobreza, hambre y</w:t>
      </w:r>
      <w:r w:rsidR="000D53FC" w:rsidRPr="00A74311">
        <w:rPr>
          <w:rFonts w:asciiTheme="minorHAnsi" w:hAnsiTheme="minorHAnsi" w:cstheme="minorHAnsi"/>
        </w:rPr>
        <w:t xml:space="preserve"> desnutrición </w:t>
      </w:r>
      <w:r w:rsidRPr="00A74311">
        <w:rPr>
          <w:rFonts w:asciiTheme="minorHAnsi" w:hAnsiTheme="minorHAnsi" w:cstheme="minorHAnsi"/>
        </w:rPr>
        <w:t>retrocedieron</w:t>
      </w:r>
      <w:r w:rsidR="008B4AF1" w:rsidRPr="00A74311">
        <w:rPr>
          <w:rFonts w:asciiTheme="minorHAnsi" w:hAnsiTheme="minorHAnsi" w:cstheme="minorHAnsi"/>
        </w:rPr>
        <w:t xml:space="preserve"> considerablemente,</w:t>
      </w:r>
      <w:r w:rsidR="000D53FC" w:rsidRPr="00A74311">
        <w:rPr>
          <w:rFonts w:asciiTheme="minorHAnsi" w:hAnsiTheme="minorHAnsi" w:cstheme="minorHAnsi"/>
        </w:rPr>
        <w:t xml:space="preserve"> con graves consecuencias en el mediano y largo plazo. </w:t>
      </w:r>
      <w:r w:rsidR="007F7537" w:rsidRPr="00A74311">
        <w:rPr>
          <w:rFonts w:asciiTheme="minorHAnsi" w:hAnsiTheme="minorHAnsi" w:cstheme="minorHAnsi"/>
        </w:rPr>
        <w:t xml:space="preserve">Un análisis comparativo de la situación de la Desnutrición Aguda grafica esta situación. </w:t>
      </w:r>
      <w:r w:rsidR="00CA4779" w:rsidRPr="00A74311">
        <w:rPr>
          <w:rFonts w:asciiTheme="minorHAnsi" w:hAnsiTheme="minorHAnsi" w:cstheme="minorHAnsi"/>
        </w:rPr>
        <w:t>E</w:t>
      </w:r>
      <w:r w:rsidR="007F7537" w:rsidRPr="00A74311">
        <w:rPr>
          <w:rFonts w:asciiTheme="minorHAnsi" w:hAnsiTheme="minorHAnsi" w:cstheme="minorHAnsi"/>
        </w:rPr>
        <w:t>l año pasado, e</w:t>
      </w:r>
      <w:r w:rsidR="00CA4779" w:rsidRPr="00A74311">
        <w:rPr>
          <w:rFonts w:asciiTheme="minorHAnsi" w:hAnsiTheme="minorHAnsi" w:cstheme="minorHAnsi"/>
        </w:rPr>
        <w:t>n 2019 se registró un total de 15,395 casos de Desnutrición Aguda, en 2018 se registró un total de 12,</w:t>
      </w:r>
      <w:r w:rsidRPr="00A74311">
        <w:rPr>
          <w:rFonts w:asciiTheme="minorHAnsi" w:hAnsiTheme="minorHAnsi" w:cstheme="minorHAnsi"/>
        </w:rPr>
        <w:t>597; en 2017 se registró 12,626</w:t>
      </w:r>
      <w:r w:rsidR="005C2C3A" w:rsidRPr="00A74311">
        <w:rPr>
          <w:rFonts w:asciiTheme="minorHAnsi" w:hAnsiTheme="minorHAnsi" w:cstheme="minorHAnsi"/>
        </w:rPr>
        <w:t>. Mientras que</w:t>
      </w:r>
      <w:r w:rsidR="00466DA4" w:rsidRPr="00A74311">
        <w:rPr>
          <w:rFonts w:asciiTheme="minorHAnsi" w:hAnsiTheme="minorHAnsi" w:cstheme="minorHAnsi"/>
        </w:rPr>
        <w:t>,</w:t>
      </w:r>
      <w:r w:rsidR="005C2C3A" w:rsidRPr="00A74311">
        <w:rPr>
          <w:rFonts w:asciiTheme="minorHAnsi" w:hAnsiTheme="minorHAnsi" w:cstheme="minorHAnsi"/>
        </w:rPr>
        <w:t xml:space="preserve"> en 2020, apenas a la semana epidemiológica </w:t>
      </w:r>
      <w:r w:rsidR="00073EE0" w:rsidRPr="00A74311">
        <w:rPr>
          <w:rFonts w:asciiTheme="minorHAnsi" w:hAnsiTheme="minorHAnsi" w:cstheme="minorHAnsi"/>
        </w:rPr>
        <w:t>23</w:t>
      </w:r>
      <w:r w:rsidR="005C2C3A" w:rsidRPr="00A74311">
        <w:rPr>
          <w:rFonts w:asciiTheme="minorHAnsi" w:hAnsiTheme="minorHAnsi" w:cstheme="minorHAnsi"/>
        </w:rPr>
        <w:t xml:space="preserve"> (al </w:t>
      </w:r>
      <w:r w:rsidR="00073EE0" w:rsidRPr="00A74311">
        <w:rPr>
          <w:rFonts w:asciiTheme="minorHAnsi" w:hAnsiTheme="minorHAnsi" w:cstheme="minorHAnsi"/>
        </w:rPr>
        <w:t>6 de junio</w:t>
      </w:r>
      <w:r w:rsidR="005C2C3A" w:rsidRPr="00A74311">
        <w:rPr>
          <w:rFonts w:asciiTheme="minorHAnsi" w:hAnsiTheme="minorHAnsi" w:cstheme="minorHAnsi"/>
        </w:rPr>
        <w:t>) ya se reportan 1</w:t>
      </w:r>
      <w:r w:rsidR="00073EE0" w:rsidRPr="00A74311">
        <w:rPr>
          <w:rFonts w:asciiTheme="minorHAnsi" w:hAnsiTheme="minorHAnsi" w:cstheme="minorHAnsi"/>
        </w:rPr>
        <w:t>5,580</w:t>
      </w:r>
      <w:r w:rsidR="005C2C3A" w:rsidRPr="00A74311">
        <w:rPr>
          <w:rFonts w:asciiTheme="minorHAnsi" w:hAnsiTheme="minorHAnsi" w:cstheme="minorHAnsi"/>
        </w:rPr>
        <w:t xml:space="preserve"> casos</w:t>
      </w:r>
      <w:r w:rsidR="00466DA4" w:rsidRPr="00A74311">
        <w:rPr>
          <w:rFonts w:asciiTheme="minorHAnsi" w:hAnsiTheme="minorHAnsi" w:cstheme="minorHAnsi"/>
        </w:rPr>
        <w:t>, una cifra similar a lo acumulado en los años completos anteriores y</w:t>
      </w:r>
      <w:r w:rsidR="005C2C3A" w:rsidRPr="00A74311">
        <w:rPr>
          <w:rFonts w:asciiTheme="minorHAnsi" w:hAnsiTheme="minorHAnsi" w:cstheme="minorHAnsi"/>
        </w:rPr>
        <w:t xml:space="preserve"> </w:t>
      </w:r>
      <w:r w:rsidR="005E744C" w:rsidRPr="00A74311">
        <w:rPr>
          <w:rFonts w:asciiTheme="minorHAnsi" w:hAnsiTheme="minorHAnsi" w:cstheme="minorHAnsi"/>
        </w:rPr>
        <w:t xml:space="preserve">que </w:t>
      </w:r>
      <w:r w:rsidR="005C2C3A" w:rsidRPr="00A74311">
        <w:rPr>
          <w:rFonts w:asciiTheme="minorHAnsi" w:hAnsiTheme="minorHAnsi" w:cstheme="minorHAnsi"/>
        </w:rPr>
        <w:t xml:space="preserve">prácticamente </w:t>
      </w:r>
      <w:r w:rsidR="005E744C" w:rsidRPr="00A74311">
        <w:rPr>
          <w:rFonts w:asciiTheme="minorHAnsi" w:hAnsiTheme="minorHAnsi" w:cstheme="minorHAnsi"/>
        </w:rPr>
        <w:t>se duplica</w:t>
      </w:r>
      <w:r w:rsidR="005C2C3A" w:rsidRPr="00A74311">
        <w:rPr>
          <w:rFonts w:asciiTheme="minorHAnsi" w:hAnsiTheme="minorHAnsi" w:cstheme="minorHAnsi"/>
        </w:rPr>
        <w:t xml:space="preserve"> que en la misma semana de años anteriores (</w:t>
      </w:r>
      <w:r w:rsidR="00073EE0" w:rsidRPr="00A74311">
        <w:rPr>
          <w:rFonts w:asciiTheme="minorHAnsi" w:hAnsiTheme="minorHAnsi" w:cstheme="minorHAnsi"/>
        </w:rPr>
        <w:t xml:space="preserve">7,030 </w:t>
      </w:r>
      <w:r w:rsidR="005C2C3A" w:rsidRPr="00A74311">
        <w:rPr>
          <w:rFonts w:asciiTheme="minorHAnsi" w:hAnsiTheme="minorHAnsi" w:cstheme="minorHAnsi"/>
        </w:rPr>
        <w:t xml:space="preserve">en 2019; </w:t>
      </w:r>
      <w:r w:rsidR="00073EE0" w:rsidRPr="00A74311">
        <w:rPr>
          <w:rFonts w:asciiTheme="minorHAnsi" w:hAnsiTheme="minorHAnsi" w:cstheme="minorHAnsi"/>
        </w:rPr>
        <w:t>5,634</w:t>
      </w:r>
      <w:r w:rsidR="005C2C3A" w:rsidRPr="00A74311">
        <w:rPr>
          <w:rFonts w:asciiTheme="minorHAnsi" w:hAnsiTheme="minorHAnsi" w:cstheme="minorHAnsi"/>
        </w:rPr>
        <w:t xml:space="preserve"> en 2018)</w:t>
      </w:r>
      <w:r w:rsidRPr="00A74311">
        <w:rPr>
          <w:rStyle w:val="FootnoteReference"/>
          <w:rFonts w:asciiTheme="minorHAnsi" w:hAnsiTheme="minorHAnsi" w:cstheme="minorHAnsi"/>
        </w:rPr>
        <w:t xml:space="preserve"> </w:t>
      </w:r>
      <w:r w:rsidRPr="00A74311">
        <w:rPr>
          <w:rStyle w:val="FootnoteReference"/>
          <w:rFonts w:asciiTheme="minorHAnsi" w:hAnsiTheme="minorHAnsi" w:cstheme="minorHAnsi"/>
        </w:rPr>
        <w:footnoteReference w:id="4"/>
      </w:r>
      <w:r w:rsidR="005C2C3A" w:rsidRPr="00A74311">
        <w:rPr>
          <w:rFonts w:asciiTheme="minorHAnsi" w:hAnsiTheme="minorHAnsi" w:cstheme="minorHAnsi"/>
        </w:rPr>
        <w:t xml:space="preserve">. </w:t>
      </w:r>
    </w:p>
    <w:p w:rsidR="00724130" w:rsidRPr="00A74311" w:rsidRDefault="00722D76" w:rsidP="00724130">
      <w:pPr>
        <w:jc w:val="both"/>
        <w:rPr>
          <w:rFonts w:asciiTheme="minorHAnsi" w:hAnsiTheme="minorHAnsi" w:cstheme="minorHAnsi"/>
        </w:rPr>
      </w:pPr>
      <w:r w:rsidRPr="00A74311">
        <w:rPr>
          <w:rFonts w:asciiTheme="minorHAnsi" w:hAnsiTheme="minorHAnsi" w:cstheme="minorHAnsi"/>
        </w:rPr>
        <w:t xml:space="preserve">Como respuesta a la crisis </w:t>
      </w:r>
      <w:r w:rsidR="001021CF" w:rsidRPr="00A74311">
        <w:rPr>
          <w:rFonts w:asciiTheme="minorHAnsi" w:hAnsiTheme="minorHAnsi" w:cstheme="minorHAnsi"/>
        </w:rPr>
        <w:t>se impuls</w:t>
      </w:r>
      <w:r w:rsidR="00B669CA" w:rsidRPr="00A74311">
        <w:rPr>
          <w:rFonts w:asciiTheme="minorHAnsi" w:hAnsiTheme="minorHAnsi" w:cstheme="minorHAnsi"/>
        </w:rPr>
        <w:t>ó</w:t>
      </w:r>
      <w:r w:rsidR="001021CF" w:rsidRPr="00A74311">
        <w:rPr>
          <w:rFonts w:asciiTheme="minorHAnsi" w:hAnsiTheme="minorHAnsi" w:cstheme="minorHAnsi"/>
        </w:rPr>
        <w:t xml:space="preserve"> </w:t>
      </w:r>
      <w:r w:rsidR="00B669CA" w:rsidRPr="00A74311">
        <w:rPr>
          <w:rFonts w:asciiTheme="minorHAnsi" w:hAnsiTheme="minorHAnsi" w:cstheme="minorHAnsi"/>
        </w:rPr>
        <w:t>e</w:t>
      </w:r>
      <w:r w:rsidR="001021CF" w:rsidRPr="00A74311">
        <w:rPr>
          <w:rFonts w:asciiTheme="minorHAnsi" w:hAnsiTheme="minorHAnsi" w:cstheme="minorHAnsi"/>
        </w:rPr>
        <w:t xml:space="preserve">l Decreto 12-2020 </w:t>
      </w:r>
      <w:r w:rsidR="00E903E3" w:rsidRPr="00A74311">
        <w:rPr>
          <w:rFonts w:asciiTheme="minorHAnsi" w:hAnsiTheme="minorHAnsi" w:cstheme="minorHAnsi"/>
        </w:rPr>
        <w:t>“</w:t>
      </w:r>
      <w:r w:rsidR="00E903E3" w:rsidRPr="00605CA3">
        <w:rPr>
          <w:rFonts w:asciiTheme="minorHAnsi" w:hAnsiTheme="minorHAnsi" w:cstheme="minorHAnsi"/>
          <w:i/>
        </w:rPr>
        <w:t>Ley de Emergencia para proteger a los guatemaltecos de los efectos causados por la Pandemia Coronavirus COVID-19</w:t>
      </w:r>
      <w:r w:rsidR="00E903E3" w:rsidRPr="00605CA3">
        <w:rPr>
          <w:rFonts w:asciiTheme="minorHAnsi" w:hAnsiTheme="minorHAnsi" w:cstheme="minorHAnsi"/>
        </w:rPr>
        <w:t>”,</w:t>
      </w:r>
      <w:r w:rsidR="00E903E3" w:rsidRPr="00A74311">
        <w:rPr>
          <w:rFonts w:asciiTheme="minorHAnsi" w:hAnsiTheme="minorHAnsi" w:cstheme="minorHAnsi"/>
        </w:rPr>
        <w:t xml:space="preserve"> </w:t>
      </w:r>
      <w:r w:rsidR="00B669CA" w:rsidRPr="00A74311">
        <w:rPr>
          <w:rFonts w:asciiTheme="minorHAnsi" w:hAnsiTheme="minorHAnsi" w:cstheme="minorHAnsi"/>
        </w:rPr>
        <w:t>para ampliar el Presupuesto estatal para el año 2020 en Q3,667.5 millones, el cual s</w:t>
      </w:r>
      <w:r w:rsidR="00F62AEC" w:rsidRPr="00A74311">
        <w:rPr>
          <w:rFonts w:asciiTheme="minorHAnsi" w:hAnsiTheme="minorHAnsi" w:cstheme="minorHAnsi"/>
        </w:rPr>
        <w:t>e financiará con endeudamiento. Sin embargo, esta iniciativa asume de forma marginal a la población más empobrecida, que sufre con mayor ímpetu los impactos de la pandemia. S</w:t>
      </w:r>
      <w:r w:rsidR="00B91B4E" w:rsidRPr="00A74311">
        <w:rPr>
          <w:rFonts w:asciiTheme="minorHAnsi" w:hAnsiTheme="minorHAnsi" w:cstheme="minorHAnsi"/>
        </w:rPr>
        <w:t xml:space="preserve">e reconoce </w:t>
      </w:r>
      <w:r w:rsidR="00F62AEC" w:rsidRPr="00A74311">
        <w:rPr>
          <w:rFonts w:asciiTheme="minorHAnsi" w:hAnsiTheme="minorHAnsi" w:cstheme="minorHAnsi"/>
        </w:rPr>
        <w:t>que,</w:t>
      </w:r>
      <w:r w:rsidR="00B91B4E" w:rsidRPr="00A74311">
        <w:rPr>
          <w:rFonts w:asciiTheme="minorHAnsi" w:hAnsiTheme="minorHAnsi" w:cstheme="minorHAnsi"/>
        </w:rPr>
        <w:t xml:space="preserve"> de la cifra total</w:t>
      </w:r>
      <w:r w:rsidR="00F62AEC" w:rsidRPr="00A74311">
        <w:rPr>
          <w:rFonts w:asciiTheme="minorHAnsi" w:hAnsiTheme="minorHAnsi" w:cstheme="minorHAnsi"/>
        </w:rPr>
        <w:t>,</w:t>
      </w:r>
      <w:r w:rsidR="00B91B4E" w:rsidRPr="00A74311">
        <w:rPr>
          <w:rFonts w:asciiTheme="minorHAnsi" w:hAnsiTheme="minorHAnsi" w:cstheme="minorHAnsi"/>
        </w:rPr>
        <w:t xml:space="preserve"> Q1,417.5 millones no tiene relación directa con la emergencia y más bien se enfocan a responder a compromisos de pactos colectivos suscritos por el gobierno. De los Q2,250 millones que sí tienen relación con la pandemia, </w:t>
      </w:r>
      <w:r w:rsidR="00F62AEC" w:rsidRPr="00A74311">
        <w:rPr>
          <w:rFonts w:asciiTheme="minorHAnsi" w:hAnsiTheme="minorHAnsi" w:cstheme="minorHAnsi"/>
        </w:rPr>
        <w:t xml:space="preserve">solamente </w:t>
      </w:r>
      <w:r w:rsidR="00B91B4E" w:rsidRPr="00A74311">
        <w:rPr>
          <w:rFonts w:asciiTheme="minorHAnsi" w:hAnsiTheme="minorHAnsi" w:cstheme="minorHAnsi"/>
        </w:rPr>
        <w:t xml:space="preserve">Q700 millones (Q350 millones para el MIDES y Q350 millones para el MAGA, </w:t>
      </w:r>
      <w:r w:rsidR="00F62AEC" w:rsidRPr="00A74311">
        <w:rPr>
          <w:rFonts w:asciiTheme="minorHAnsi" w:hAnsiTheme="minorHAnsi" w:cstheme="minorHAnsi"/>
        </w:rPr>
        <w:t>se orientan a apoyo alimentario</w:t>
      </w:r>
      <w:r w:rsidR="00B91B4E" w:rsidRPr="00A74311">
        <w:rPr>
          <w:rFonts w:asciiTheme="minorHAnsi" w:hAnsiTheme="minorHAnsi" w:cstheme="minorHAnsi"/>
        </w:rPr>
        <w:t>.</w:t>
      </w:r>
      <w:r w:rsidR="00F62AEC" w:rsidRPr="00A74311">
        <w:rPr>
          <w:rFonts w:asciiTheme="minorHAnsi" w:hAnsiTheme="minorHAnsi" w:cstheme="minorHAnsi"/>
        </w:rPr>
        <w:t xml:space="preserve"> Mientras que Q50 millones se orientarán para el Programa del Adulto Mayor</w:t>
      </w:r>
      <w:r w:rsidR="00486144" w:rsidRPr="00A74311">
        <w:rPr>
          <w:rFonts w:asciiTheme="minorHAnsi" w:hAnsiTheme="minorHAnsi" w:cstheme="minorHAnsi"/>
        </w:rPr>
        <w:t xml:space="preserve"> del</w:t>
      </w:r>
      <w:r w:rsidR="00F62AEC" w:rsidRPr="00A74311">
        <w:rPr>
          <w:rFonts w:asciiTheme="minorHAnsi" w:hAnsiTheme="minorHAnsi" w:cstheme="minorHAnsi"/>
        </w:rPr>
        <w:t xml:space="preserve"> MINTRAB, y otros Q50 millones para el Programa de Agricultura Campesina del MAGA. Es decir que solamente el 21.8% del monto se orientará a la población más vulnerable. </w:t>
      </w:r>
      <w:r w:rsidR="00724130" w:rsidRPr="00A74311">
        <w:rPr>
          <w:rFonts w:asciiTheme="minorHAnsi" w:hAnsiTheme="minorHAnsi" w:cstheme="minorHAnsi"/>
        </w:rPr>
        <w:t>Por su parte, el Decreto 13-2020 “</w:t>
      </w:r>
      <w:r w:rsidR="00724130" w:rsidRPr="00605CA3">
        <w:rPr>
          <w:rFonts w:asciiTheme="minorHAnsi" w:hAnsiTheme="minorHAnsi" w:cstheme="minorHAnsi"/>
          <w:i/>
        </w:rPr>
        <w:t>Ley de rescate económico a las familias por los efectos causados por el COVID-19</w:t>
      </w:r>
      <w:r w:rsidR="00724130" w:rsidRPr="00605CA3">
        <w:rPr>
          <w:rFonts w:asciiTheme="minorHAnsi" w:hAnsiTheme="minorHAnsi" w:cstheme="minorHAnsi"/>
        </w:rPr>
        <w:t>”</w:t>
      </w:r>
      <w:r w:rsidR="00724130" w:rsidRPr="00A74311">
        <w:rPr>
          <w:rFonts w:asciiTheme="minorHAnsi" w:hAnsiTheme="minorHAnsi" w:cstheme="minorHAnsi"/>
        </w:rPr>
        <w:t>, publicado una semana después, implica un nuevo aporte de Q11 mil millones nuevamente por endeudamiento, de los cuales se definen Q6 mil millones para el denominado Bono Familia Pandemia COVID-19 y Q2 mil millones para un Fondo de Protección del Empleo.</w:t>
      </w:r>
    </w:p>
    <w:p w:rsidR="00D140BA" w:rsidRPr="00A74311" w:rsidRDefault="009A23D4" w:rsidP="00D03F4B">
      <w:pPr>
        <w:jc w:val="both"/>
        <w:rPr>
          <w:rFonts w:asciiTheme="minorHAnsi" w:hAnsiTheme="minorHAnsi" w:cstheme="minorHAnsi"/>
        </w:rPr>
      </w:pPr>
      <w:r w:rsidRPr="00A74311">
        <w:rPr>
          <w:rFonts w:asciiTheme="minorHAnsi" w:hAnsiTheme="minorHAnsi" w:cstheme="minorHAnsi"/>
        </w:rPr>
        <w:t xml:space="preserve">Estimaciones basadas en el último censo calculan en al menos 1.53 millones de hogares rurales, </w:t>
      </w:r>
      <w:r w:rsidR="00486144" w:rsidRPr="00A74311">
        <w:rPr>
          <w:rFonts w:asciiTheme="minorHAnsi" w:hAnsiTheme="minorHAnsi" w:cstheme="minorHAnsi"/>
        </w:rPr>
        <w:t>-</w:t>
      </w:r>
      <w:r w:rsidRPr="00A74311">
        <w:rPr>
          <w:rFonts w:asciiTheme="minorHAnsi" w:hAnsiTheme="minorHAnsi" w:cstheme="minorHAnsi"/>
        </w:rPr>
        <w:t>que implicaría unas 1.17 millones de hogares</w:t>
      </w:r>
      <w:r w:rsidR="00486144" w:rsidRPr="00A74311">
        <w:rPr>
          <w:rFonts w:asciiTheme="minorHAnsi" w:hAnsiTheme="minorHAnsi" w:cstheme="minorHAnsi"/>
        </w:rPr>
        <w:t>-</w:t>
      </w:r>
      <w:r w:rsidRPr="00A74311">
        <w:rPr>
          <w:rFonts w:asciiTheme="minorHAnsi" w:hAnsiTheme="minorHAnsi" w:cstheme="minorHAnsi"/>
        </w:rPr>
        <w:t xml:space="preserve"> en situación de pobreza y 540 mil familias e</w:t>
      </w:r>
      <w:r w:rsidR="008D4D14" w:rsidRPr="00A74311">
        <w:rPr>
          <w:rFonts w:asciiTheme="minorHAnsi" w:hAnsiTheme="minorHAnsi" w:cstheme="minorHAnsi"/>
        </w:rPr>
        <w:t>n si</w:t>
      </w:r>
      <w:r w:rsidR="00114380" w:rsidRPr="00A74311">
        <w:rPr>
          <w:rFonts w:asciiTheme="minorHAnsi" w:hAnsiTheme="minorHAnsi" w:cstheme="minorHAnsi"/>
        </w:rPr>
        <w:t xml:space="preserve">tuación de pobreza extrema. </w:t>
      </w:r>
      <w:r w:rsidR="007B7F15" w:rsidRPr="00A74311">
        <w:rPr>
          <w:rFonts w:asciiTheme="minorHAnsi" w:hAnsiTheme="minorHAnsi" w:cstheme="minorHAnsi"/>
        </w:rPr>
        <w:t>P</w:t>
      </w:r>
      <w:r w:rsidR="00724130" w:rsidRPr="00A74311">
        <w:rPr>
          <w:rFonts w:asciiTheme="minorHAnsi" w:hAnsiTheme="minorHAnsi" w:cstheme="minorHAnsi"/>
        </w:rPr>
        <w:t xml:space="preserve">or lo que </w:t>
      </w:r>
      <w:r w:rsidR="00486144" w:rsidRPr="00A74311">
        <w:rPr>
          <w:rFonts w:asciiTheme="minorHAnsi" w:hAnsiTheme="minorHAnsi" w:cstheme="minorHAnsi"/>
        </w:rPr>
        <w:t>el alcance</w:t>
      </w:r>
      <w:r w:rsidR="00724130" w:rsidRPr="00A74311">
        <w:rPr>
          <w:rFonts w:asciiTheme="minorHAnsi" w:hAnsiTheme="minorHAnsi" w:cstheme="minorHAnsi"/>
        </w:rPr>
        <w:t xml:space="preserve"> de los apoyos</w:t>
      </w:r>
      <w:r w:rsidR="00486144" w:rsidRPr="00A74311">
        <w:rPr>
          <w:rFonts w:asciiTheme="minorHAnsi" w:hAnsiTheme="minorHAnsi" w:cstheme="minorHAnsi"/>
        </w:rPr>
        <w:t xml:space="preserve"> -</w:t>
      </w:r>
      <w:r w:rsidR="00724130" w:rsidRPr="00A74311">
        <w:rPr>
          <w:rFonts w:asciiTheme="minorHAnsi" w:hAnsiTheme="minorHAnsi" w:cstheme="minorHAnsi"/>
        </w:rPr>
        <w:t>en el caso de que se orienten adecuadamente</w:t>
      </w:r>
      <w:r w:rsidR="00486144" w:rsidRPr="00A74311">
        <w:rPr>
          <w:rFonts w:asciiTheme="minorHAnsi" w:hAnsiTheme="minorHAnsi" w:cstheme="minorHAnsi"/>
        </w:rPr>
        <w:t>-</w:t>
      </w:r>
      <w:r w:rsidR="00724130" w:rsidRPr="00A74311">
        <w:rPr>
          <w:rFonts w:asciiTheme="minorHAnsi" w:hAnsiTheme="minorHAnsi" w:cstheme="minorHAnsi"/>
        </w:rPr>
        <w:t xml:space="preserve"> lograrían aportar </w:t>
      </w:r>
      <w:r w:rsidR="007B7F15" w:rsidRPr="00A74311">
        <w:rPr>
          <w:rFonts w:asciiTheme="minorHAnsi" w:hAnsiTheme="minorHAnsi" w:cstheme="minorHAnsi"/>
        </w:rPr>
        <w:t xml:space="preserve">unos Q6,800 por familia. </w:t>
      </w:r>
      <w:r w:rsidR="00B669CA" w:rsidRPr="00A74311">
        <w:rPr>
          <w:rFonts w:asciiTheme="minorHAnsi" w:hAnsiTheme="minorHAnsi" w:cstheme="minorHAnsi"/>
        </w:rPr>
        <w:t>Si bien ambas leyes plantean acciones fundamentales para la población más empobrecida, su diseño carece de un análisis más profundo de la realidad en la que se desenvuelve la población más pobre y s</w:t>
      </w:r>
      <w:r w:rsidR="00D03F4B" w:rsidRPr="00A74311">
        <w:rPr>
          <w:rFonts w:asciiTheme="minorHAnsi" w:hAnsiTheme="minorHAnsi" w:cstheme="minorHAnsi"/>
        </w:rPr>
        <w:t xml:space="preserve">us propias vulnerabilidades, así como sobre la incierta temporalidad que podría durar la pandemia. Además, la inconsistencia de las bases de datos donde se registran las familias pobres y vulnerables, </w:t>
      </w:r>
      <w:r w:rsidR="007B7F15" w:rsidRPr="00A74311">
        <w:rPr>
          <w:rFonts w:asciiTheme="minorHAnsi" w:hAnsiTheme="minorHAnsi" w:cstheme="minorHAnsi"/>
        </w:rPr>
        <w:t xml:space="preserve">y en especial la población campesina, pone en riesgo que </w:t>
      </w:r>
      <w:r w:rsidR="00D03F4B" w:rsidRPr="00A74311">
        <w:rPr>
          <w:rFonts w:asciiTheme="minorHAnsi" w:hAnsiTheme="minorHAnsi" w:cstheme="minorHAnsi"/>
        </w:rPr>
        <w:t>una parte importante de la población no logrará acceder a estos apoyos.</w:t>
      </w:r>
      <w:r w:rsidR="00114380" w:rsidRPr="00A74311">
        <w:rPr>
          <w:rFonts w:asciiTheme="minorHAnsi" w:hAnsiTheme="minorHAnsi" w:cstheme="minorHAnsi"/>
        </w:rPr>
        <w:t xml:space="preserve"> </w:t>
      </w:r>
    </w:p>
    <w:p w:rsidR="002D2580" w:rsidRPr="00A74311" w:rsidRDefault="002D2580" w:rsidP="002D2580">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6923C" w:themeFill="accent3" w:themeFillShade="BF"/>
        <w:tblLook w:val="04A0" w:firstRow="1" w:lastRow="0" w:firstColumn="1" w:lastColumn="0" w:noHBand="0" w:noVBand="1"/>
      </w:tblPr>
      <w:tblGrid>
        <w:gridCol w:w="8978"/>
      </w:tblGrid>
      <w:tr w:rsidR="002D2580" w:rsidRPr="00A74311" w:rsidTr="00824CF2">
        <w:tc>
          <w:tcPr>
            <w:tcW w:w="8978" w:type="dxa"/>
            <w:shd w:val="clear" w:color="auto" w:fill="76923C" w:themeFill="accent3" w:themeFillShade="BF"/>
          </w:tcPr>
          <w:p w:rsidR="002D2580" w:rsidRPr="00A74311" w:rsidRDefault="002D2580" w:rsidP="00824CF2">
            <w:pPr>
              <w:spacing w:after="0" w:line="240" w:lineRule="auto"/>
              <w:rPr>
                <w:rFonts w:asciiTheme="minorHAnsi" w:hAnsiTheme="minorHAnsi" w:cstheme="minorHAnsi"/>
                <w:b/>
                <w:color w:val="FFFFFF"/>
              </w:rPr>
            </w:pPr>
            <w:r w:rsidRPr="00A74311">
              <w:rPr>
                <w:rFonts w:asciiTheme="minorHAnsi" w:hAnsiTheme="minorHAnsi" w:cstheme="minorHAnsi"/>
              </w:rPr>
              <w:lastRenderedPageBreak/>
              <w:br w:type="page"/>
            </w:r>
          </w:p>
          <w:p w:rsidR="002D2580" w:rsidRPr="00A74311" w:rsidRDefault="002D2580" w:rsidP="001361B7">
            <w:pPr>
              <w:spacing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rPr>
              <w:t>Capítulo 2: Derecho a un nivel de vida adecuado(Artículo 11 del PIDESC)</w:t>
            </w:r>
          </w:p>
          <w:p w:rsidR="002D2580" w:rsidRPr="00A74311" w:rsidRDefault="002D2580" w:rsidP="001361B7">
            <w:pPr>
              <w:numPr>
                <w:ilvl w:val="0"/>
                <w:numId w:val="6"/>
              </w:numPr>
              <w:spacing w:after="0"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rPr>
              <w:t xml:space="preserve">Alimentación </w:t>
            </w:r>
          </w:p>
          <w:p w:rsidR="002D2580" w:rsidRPr="00A74311" w:rsidRDefault="002D2580" w:rsidP="001361B7">
            <w:pPr>
              <w:numPr>
                <w:ilvl w:val="0"/>
                <w:numId w:val="6"/>
              </w:numPr>
              <w:spacing w:after="0"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rPr>
              <w:t>Políticas y programas de combate a la pobreza y la desnutrición</w:t>
            </w:r>
            <w:r w:rsidR="003D1B09" w:rsidRPr="00A74311">
              <w:rPr>
                <w:rFonts w:ascii="Copperplate Gothic Bold" w:hAnsi="Copperplate Gothic Bold" w:cstheme="minorHAnsi"/>
                <w:b/>
                <w:color w:val="FFFFFF"/>
              </w:rPr>
              <w:t xml:space="preserve">  y el </w:t>
            </w:r>
            <w:r w:rsidR="002340BC" w:rsidRPr="00A74311">
              <w:rPr>
                <w:rFonts w:ascii="Copperplate Gothic Bold" w:hAnsi="Copperplate Gothic Bold" w:cstheme="minorHAnsi"/>
                <w:b/>
                <w:color w:val="FFFFFF"/>
              </w:rPr>
              <w:t>Desarrollo rural Integral</w:t>
            </w:r>
          </w:p>
          <w:p w:rsidR="002D2580" w:rsidRPr="00A74311" w:rsidRDefault="002D2580" w:rsidP="001361B7">
            <w:pPr>
              <w:numPr>
                <w:ilvl w:val="0"/>
                <w:numId w:val="6"/>
              </w:numPr>
              <w:spacing w:after="0"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themeColor="background1"/>
              </w:rPr>
              <w:t>Justiciabilidad</w:t>
            </w:r>
            <w:r w:rsidRPr="00A74311">
              <w:rPr>
                <w:rFonts w:ascii="Copperplate Gothic Bold" w:hAnsi="Copperplate Gothic Bold" w:cstheme="minorHAnsi"/>
                <w:b/>
              </w:rPr>
              <w:t xml:space="preserve"> </w:t>
            </w:r>
            <w:r w:rsidRPr="00A74311">
              <w:rPr>
                <w:rFonts w:ascii="Copperplate Gothic Bold" w:hAnsi="Copperplate Gothic Bold" w:cstheme="minorHAnsi"/>
                <w:b/>
                <w:color w:val="FFFFFF" w:themeColor="background1"/>
              </w:rPr>
              <w:t>del Derecho a la alimentación</w:t>
            </w:r>
          </w:p>
          <w:p w:rsidR="002D2580" w:rsidRPr="00A74311" w:rsidRDefault="003D1B09" w:rsidP="001361B7">
            <w:pPr>
              <w:numPr>
                <w:ilvl w:val="0"/>
                <w:numId w:val="6"/>
              </w:numPr>
              <w:spacing w:after="0"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rPr>
              <w:t xml:space="preserve">Derecho humano al </w:t>
            </w:r>
            <w:r w:rsidR="002D2580" w:rsidRPr="00A74311">
              <w:rPr>
                <w:rFonts w:ascii="Copperplate Gothic Bold" w:hAnsi="Copperplate Gothic Bold" w:cstheme="minorHAnsi"/>
                <w:b/>
                <w:color w:val="FFFFFF"/>
              </w:rPr>
              <w:t>Agua</w:t>
            </w:r>
          </w:p>
          <w:p w:rsidR="00440D89" w:rsidRPr="00A74311" w:rsidRDefault="00440D89" w:rsidP="001361B7">
            <w:pPr>
              <w:numPr>
                <w:ilvl w:val="0"/>
                <w:numId w:val="6"/>
              </w:numPr>
              <w:spacing w:after="0" w:line="240" w:lineRule="auto"/>
              <w:rPr>
                <w:rFonts w:ascii="Copperplate Gothic Bold" w:hAnsi="Copperplate Gothic Bold" w:cstheme="minorHAnsi"/>
                <w:b/>
                <w:color w:val="FFFFFF"/>
              </w:rPr>
            </w:pPr>
            <w:r w:rsidRPr="00A74311">
              <w:rPr>
                <w:rFonts w:ascii="Copperplate Gothic Bold" w:hAnsi="Copperplate Gothic Bold" w:cstheme="minorHAnsi"/>
                <w:b/>
                <w:color w:val="FFFFFF"/>
              </w:rPr>
              <w:t xml:space="preserve">Recursos genéticos para la agricultura y la alimentación   </w:t>
            </w:r>
          </w:p>
          <w:p w:rsidR="002D2580" w:rsidRPr="00A74311" w:rsidRDefault="002D2580" w:rsidP="00824CF2">
            <w:pPr>
              <w:spacing w:after="0" w:line="240" w:lineRule="auto"/>
              <w:rPr>
                <w:rFonts w:asciiTheme="minorHAnsi" w:hAnsiTheme="minorHAnsi" w:cstheme="minorHAnsi"/>
                <w:b/>
              </w:rPr>
            </w:pPr>
          </w:p>
        </w:tc>
      </w:tr>
    </w:tbl>
    <w:p w:rsidR="001361B7" w:rsidRPr="00A74311" w:rsidRDefault="001361B7" w:rsidP="00440D89">
      <w:pPr>
        <w:pStyle w:val="Default"/>
        <w:jc w:val="both"/>
        <w:rPr>
          <w:rFonts w:asciiTheme="minorHAnsi" w:hAnsiTheme="minorHAnsi" w:cstheme="minorHAnsi"/>
          <w:b/>
          <w:bCs/>
          <w:sz w:val="22"/>
          <w:szCs w:val="22"/>
          <w:u w:val="single"/>
        </w:rPr>
      </w:pPr>
    </w:p>
    <w:p w:rsidR="00440D89" w:rsidRPr="00A74311" w:rsidRDefault="00440D89" w:rsidP="00440D89">
      <w:pPr>
        <w:pStyle w:val="Default"/>
        <w:jc w:val="both"/>
        <w:rPr>
          <w:rFonts w:asciiTheme="minorHAnsi" w:hAnsiTheme="minorHAnsi" w:cstheme="minorHAnsi"/>
          <w:b/>
          <w:bCs/>
          <w:sz w:val="22"/>
          <w:szCs w:val="22"/>
          <w:u w:val="single"/>
        </w:rPr>
      </w:pPr>
      <w:r w:rsidRPr="00A74311">
        <w:rPr>
          <w:rFonts w:asciiTheme="minorHAnsi" w:hAnsiTheme="minorHAnsi" w:cstheme="minorHAnsi"/>
          <w:b/>
          <w:bCs/>
          <w:sz w:val="22"/>
          <w:szCs w:val="22"/>
          <w:u w:val="single"/>
        </w:rPr>
        <w:t xml:space="preserve">Derecho Humano a la </w:t>
      </w:r>
      <w:r w:rsidR="00427725" w:rsidRPr="00A74311">
        <w:rPr>
          <w:rFonts w:asciiTheme="minorHAnsi" w:hAnsiTheme="minorHAnsi" w:cstheme="minorHAnsi"/>
          <w:b/>
          <w:bCs/>
          <w:sz w:val="22"/>
          <w:szCs w:val="22"/>
          <w:u w:val="single"/>
        </w:rPr>
        <w:t>A</w:t>
      </w:r>
      <w:r w:rsidRPr="00A74311">
        <w:rPr>
          <w:rFonts w:asciiTheme="minorHAnsi" w:hAnsiTheme="minorHAnsi" w:cstheme="minorHAnsi"/>
          <w:b/>
          <w:bCs/>
          <w:sz w:val="22"/>
          <w:szCs w:val="22"/>
          <w:u w:val="single"/>
        </w:rPr>
        <w:t>limentación</w:t>
      </w:r>
      <w:r w:rsidR="00427725" w:rsidRPr="00A74311">
        <w:rPr>
          <w:rFonts w:asciiTheme="minorHAnsi" w:hAnsiTheme="minorHAnsi" w:cstheme="minorHAnsi"/>
          <w:b/>
          <w:bCs/>
          <w:sz w:val="22"/>
          <w:szCs w:val="22"/>
          <w:u w:val="single"/>
        </w:rPr>
        <w:t xml:space="preserve"> y la Nutrición Adecuada</w:t>
      </w:r>
      <w:r w:rsidRPr="00A74311">
        <w:rPr>
          <w:rFonts w:asciiTheme="minorHAnsi" w:hAnsiTheme="minorHAnsi" w:cstheme="minorHAnsi"/>
          <w:b/>
          <w:bCs/>
          <w:sz w:val="22"/>
          <w:szCs w:val="22"/>
          <w:u w:val="single"/>
        </w:rPr>
        <w:t xml:space="preserve">: </w:t>
      </w:r>
    </w:p>
    <w:p w:rsidR="00440D89" w:rsidRPr="00A74311" w:rsidRDefault="00440D89" w:rsidP="00440D89">
      <w:pPr>
        <w:pStyle w:val="Default"/>
        <w:jc w:val="both"/>
        <w:rPr>
          <w:rFonts w:asciiTheme="minorHAnsi" w:hAnsiTheme="minorHAnsi" w:cstheme="minorHAnsi"/>
          <w:bCs/>
          <w:sz w:val="22"/>
          <w:szCs w:val="22"/>
        </w:rPr>
      </w:pPr>
    </w:p>
    <w:p w:rsidR="00427725" w:rsidRPr="00A74311" w:rsidRDefault="00427725" w:rsidP="00427725">
      <w:pPr>
        <w:jc w:val="both"/>
        <w:rPr>
          <w:rFonts w:asciiTheme="minorHAnsi" w:hAnsiTheme="minorHAnsi" w:cstheme="minorHAnsi"/>
          <w:bCs/>
        </w:rPr>
      </w:pPr>
      <w:r w:rsidRPr="00A74311">
        <w:rPr>
          <w:rFonts w:asciiTheme="minorHAnsi" w:hAnsiTheme="minorHAnsi" w:cstheme="minorHAnsi"/>
          <w:bCs/>
        </w:rPr>
        <w:t xml:space="preserve">El abordaje de las causas estructurales de la pobreza que sufren las comunidades económicamente más vulnerables, en particular en lo que respecta a la desnutrición crónica, no refleja ningún avance en la última década. Por el contrario, la desigualdad se profundiza y las causas estructurales se acentúan. Recientemente se han establecido las condiciones económicas, que afectan a la población en general, el incremento del costo de los productos de la canasta básica en relación a los salarios, que es desproporcional. </w:t>
      </w:r>
    </w:p>
    <w:p w:rsidR="00440D89" w:rsidRPr="00A74311" w:rsidRDefault="00534A33" w:rsidP="0028526D">
      <w:pPr>
        <w:pStyle w:val="Default"/>
        <w:jc w:val="both"/>
        <w:rPr>
          <w:rFonts w:asciiTheme="minorHAnsi" w:hAnsiTheme="minorHAnsi" w:cstheme="minorHAnsi"/>
          <w:bCs/>
          <w:sz w:val="22"/>
          <w:szCs w:val="22"/>
        </w:rPr>
      </w:pPr>
      <w:r w:rsidRPr="00A74311">
        <w:rPr>
          <w:rFonts w:asciiTheme="minorHAnsi" w:hAnsiTheme="minorHAnsi" w:cstheme="minorHAnsi"/>
          <w:bCs/>
          <w:sz w:val="22"/>
          <w:szCs w:val="22"/>
        </w:rPr>
        <w:t xml:space="preserve">Para atender </w:t>
      </w:r>
      <w:r w:rsidR="00427725" w:rsidRPr="00A74311">
        <w:rPr>
          <w:rFonts w:asciiTheme="minorHAnsi" w:hAnsiTheme="minorHAnsi" w:cstheme="minorHAnsi"/>
          <w:bCs/>
          <w:sz w:val="22"/>
          <w:szCs w:val="22"/>
        </w:rPr>
        <w:t>la alimentación de la población</w:t>
      </w:r>
      <w:r w:rsidRPr="00A74311">
        <w:rPr>
          <w:rFonts w:asciiTheme="minorHAnsi" w:hAnsiTheme="minorHAnsi" w:cstheme="minorHAnsi"/>
          <w:bCs/>
          <w:sz w:val="22"/>
          <w:szCs w:val="22"/>
        </w:rPr>
        <w:t xml:space="preserve"> </w:t>
      </w:r>
      <w:r w:rsidR="00440D89" w:rsidRPr="00A74311">
        <w:rPr>
          <w:rFonts w:asciiTheme="minorHAnsi" w:hAnsiTheme="minorHAnsi" w:cstheme="minorHAnsi"/>
          <w:bCs/>
          <w:sz w:val="22"/>
          <w:szCs w:val="22"/>
        </w:rPr>
        <w:t>en cada gobie</w:t>
      </w:r>
      <w:r w:rsidRPr="00A74311">
        <w:rPr>
          <w:rFonts w:asciiTheme="minorHAnsi" w:hAnsiTheme="minorHAnsi" w:cstheme="minorHAnsi"/>
          <w:bCs/>
          <w:sz w:val="22"/>
          <w:szCs w:val="22"/>
        </w:rPr>
        <w:t xml:space="preserve">rno </w:t>
      </w:r>
      <w:r w:rsidR="00427725" w:rsidRPr="00A74311">
        <w:rPr>
          <w:rFonts w:asciiTheme="minorHAnsi" w:hAnsiTheme="minorHAnsi" w:cstheme="minorHAnsi"/>
          <w:bCs/>
          <w:sz w:val="22"/>
          <w:szCs w:val="22"/>
        </w:rPr>
        <w:t>se ha privilegiado un enfoque</w:t>
      </w:r>
      <w:r w:rsidRPr="00A74311">
        <w:rPr>
          <w:rFonts w:asciiTheme="minorHAnsi" w:hAnsiTheme="minorHAnsi" w:cstheme="minorHAnsi"/>
          <w:bCs/>
          <w:sz w:val="22"/>
          <w:szCs w:val="22"/>
        </w:rPr>
        <w:t xml:space="preserve"> asistencialista, </w:t>
      </w:r>
      <w:r w:rsidR="00427725" w:rsidRPr="00A74311">
        <w:rPr>
          <w:rFonts w:asciiTheme="minorHAnsi" w:hAnsiTheme="minorHAnsi" w:cstheme="minorHAnsi"/>
          <w:bCs/>
          <w:sz w:val="22"/>
          <w:szCs w:val="22"/>
        </w:rPr>
        <w:t xml:space="preserve">y </w:t>
      </w:r>
      <w:r w:rsidR="00440D89" w:rsidRPr="00A74311">
        <w:rPr>
          <w:rFonts w:asciiTheme="minorHAnsi" w:hAnsiTheme="minorHAnsi" w:cstheme="minorHAnsi"/>
          <w:bCs/>
          <w:sz w:val="22"/>
          <w:szCs w:val="22"/>
        </w:rPr>
        <w:t xml:space="preserve">los programas para erradicación de la pobreza </w:t>
      </w:r>
      <w:r w:rsidR="00427725" w:rsidRPr="00A74311">
        <w:rPr>
          <w:rFonts w:asciiTheme="minorHAnsi" w:hAnsiTheme="minorHAnsi" w:cstheme="minorHAnsi"/>
          <w:bCs/>
          <w:sz w:val="22"/>
          <w:szCs w:val="22"/>
        </w:rPr>
        <w:t>y la extrema pobreza son incoherentes, en tanto que no superan una visión focalizada en regiones cada vez más pequeñas y con grupos muy específicos. Se ha impuesto la lógica de priorizar a los grupos “medianos” de agricultores, con la hipótesis que generarán empleo e ingresos a miles de familias sin tierra y en extrema pobreza. Esta lógica no solamente no se ha cumplido, sino que, por el contrario, solamente ha generado nuevas dependencias para los agricultores empobrecidos.  L</w:t>
      </w:r>
      <w:r w:rsidR="00440D89" w:rsidRPr="00A74311">
        <w:rPr>
          <w:rFonts w:asciiTheme="minorHAnsi" w:hAnsiTheme="minorHAnsi" w:cstheme="minorHAnsi"/>
          <w:bCs/>
          <w:sz w:val="22"/>
          <w:szCs w:val="22"/>
        </w:rPr>
        <w:t>os limitados esfuerzos que se generan para fortalecer la agricultura de pequeña escala son desde el enfoque de la seguridad alimentaria, lo que contraviene la cultura local y los conocimientos ancestrales de producción de alimentos, los sistemas alimentarios no son sustentables y generan dependencia al uso de agrotoxicos y agentes externos a las comunidades, lo que no es coherente y pertinente, no tienen el enfoque de los Derechos Humanos,</w:t>
      </w:r>
      <w:r w:rsidRPr="00A74311">
        <w:rPr>
          <w:rFonts w:asciiTheme="minorHAnsi" w:hAnsiTheme="minorHAnsi" w:cstheme="minorHAnsi"/>
          <w:bCs/>
          <w:sz w:val="22"/>
          <w:szCs w:val="22"/>
        </w:rPr>
        <w:t xml:space="preserve"> donde el bien colectivo debe</w:t>
      </w:r>
      <w:r w:rsidR="00440D89" w:rsidRPr="00A74311">
        <w:rPr>
          <w:rFonts w:asciiTheme="minorHAnsi" w:hAnsiTheme="minorHAnsi" w:cstheme="minorHAnsi"/>
          <w:bCs/>
          <w:sz w:val="22"/>
          <w:szCs w:val="22"/>
        </w:rPr>
        <w:t xml:space="preserve"> prevalecer sobre el bien individual</w:t>
      </w:r>
      <w:r w:rsidR="00427725" w:rsidRPr="00A74311">
        <w:rPr>
          <w:rFonts w:asciiTheme="minorHAnsi" w:hAnsiTheme="minorHAnsi" w:cstheme="minorHAnsi"/>
          <w:bCs/>
          <w:sz w:val="22"/>
          <w:szCs w:val="22"/>
        </w:rPr>
        <w:t>.</w:t>
      </w:r>
    </w:p>
    <w:p w:rsidR="00427725" w:rsidRPr="00A74311" w:rsidRDefault="00427725" w:rsidP="0028526D">
      <w:pPr>
        <w:pStyle w:val="Default"/>
        <w:jc w:val="both"/>
        <w:rPr>
          <w:rFonts w:asciiTheme="minorHAnsi" w:hAnsiTheme="minorHAnsi" w:cstheme="minorHAnsi"/>
          <w:bCs/>
          <w:sz w:val="22"/>
          <w:szCs w:val="22"/>
        </w:rPr>
      </w:pPr>
    </w:p>
    <w:p w:rsidR="00471966" w:rsidRPr="00A74311" w:rsidRDefault="00471966" w:rsidP="0028526D">
      <w:pPr>
        <w:pStyle w:val="Default"/>
        <w:jc w:val="both"/>
        <w:rPr>
          <w:rFonts w:asciiTheme="minorHAnsi" w:hAnsiTheme="minorHAnsi" w:cstheme="minorHAnsi"/>
          <w:bCs/>
          <w:sz w:val="22"/>
          <w:szCs w:val="22"/>
        </w:rPr>
      </w:pPr>
      <w:r w:rsidRPr="00A74311">
        <w:rPr>
          <w:rFonts w:asciiTheme="minorHAnsi" w:hAnsiTheme="minorHAnsi" w:cstheme="minorHAnsi"/>
          <w:bCs/>
          <w:sz w:val="22"/>
          <w:szCs w:val="22"/>
        </w:rPr>
        <w:t>Se debe de redoblar los esfuerzos para atender a las personas que padecen desnutrición, los programas destinados a reducir la pobreza no están funcionando</w:t>
      </w:r>
      <w:r w:rsidR="00427725" w:rsidRPr="00A74311">
        <w:rPr>
          <w:rFonts w:asciiTheme="minorHAnsi" w:hAnsiTheme="minorHAnsi" w:cstheme="minorHAnsi"/>
          <w:bCs/>
          <w:sz w:val="22"/>
          <w:szCs w:val="22"/>
        </w:rPr>
        <w:t>. Los programas que se anuncian generalmente parten de una misma lógica de asistencia alimentaria y por ende fracasan.</w:t>
      </w:r>
      <w:r w:rsidR="0097224C" w:rsidRPr="00A74311">
        <w:rPr>
          <w:rFonts w:asciiTheme="minorHAnsi" w:hAnsiTheme="minorHAnsi" w:cstheme="minorHAnsi"/>
          <w:bCs/>
          <w:sz w:val="22"/>
          <w:szCs w:val="22"/>
        </w:rPr>
        <w:t xml:space="preserve"> Desde el establecimiento de una </w:t>
      </w:r>
      <w:r w:rsidRPr="00A74311">
        <w:rPr>
          <w:rFonts w:asciiTheme="minorHAnsi" w:hAnsiTheme="minorHAnsi" w:cstheme="minorHAnsi"/>
          <w:bCs/>
          <w:sz w:val="22"/>
          <w:szCs w:val="22"/>
        </w:rPr>
        <w:t xml:space="preserve">Estrategia Nacional para Prevenir la Desnutrición Crónica, </w:t>
      </w:r>
      <w:r w:rsidR="0097224C" w:rsidRPr="00A74311">
        <w:rPr>
          <w:rFonts w:asciiTheme="minorHAnsi" w:hAnsiTheme="minorHAnsi" w:cstheme="minorHAnsi"/>
          <w:bCs/>
          <w:sz w:val="22"/>
          <w:szCs w:val="22"/>
        </w:rPr>
        <w:t xml:space="preserve">posteriormente un Plan de Hambre Cero y en la actualidad, una Cruzada por la Nutrición, generalmente se observa que no se supera la lógica de entrega de víveres y atención médica a la desnutrición aguda, sin generar capacidades en la población para que por sus propios medios logre acceder a una Alimentación Adecuada.  En el transcurrir de una década y media de existencia de un Sistema Nacional de Seguridad Alimentaria y Nutricional los planes son cada vez más débiles, van </w:t>
      </w:r>
      <w:r w:rsidR="0028526D" w:rsidRPr="00A74311">
        <w:rPr>
          <w:rFonts w:asciiTheme="minorHAnsi" w:hAnsiTheme="minorHAnsi" w:cstheme="minorHAnsi"/>
          <w:sz w:val="22"/>
          <w:szCs w:val="22"/>
        </w:rPr>
        <w:t>reduc</w:t>
      </w:r>
      <w:r w:rsidR="0097224C" w:rsidRPr="00A74311">
        <w:rPr>
          <w:rFonts w:asciiTheme="minorHAnsi" w:hAnsiTheme="minorHAnsi" w:cstheme="minorHAnsi"/>
          <w:sz w:val="22"/>
          <w:szCs w:val="22"/>
        </w:rPr>
        <w:t xml:space="preserve">iendo </w:t>
      </w:r>
      <w:r w:rsidR="0028526D" w:rsidRPr="00A74311">
        <w:rPr>
          <w:rFonts w:asciiTheme="minorHAnsi" w:hAnsiTheme="minorHAnsi" w:cstheme="minorHAnsi"/>
          <w:sz w:val="22"/>
          <w:szCs w:val="22"/>
        </w:rPr>
        <w:t>la cantidad de población beneficiaria, reduce el número de municipios prioritarios y se eleva la sub ejecución del Ministerio de Desarrollo y del Ministerio de Agricultura, lo cual incrementó los casos de desnutrición.</w:t>
      </w:r>
    </w:p>
    <w:p w:rsidR="0028526D" w:rsidRPr="00A74311" w:rsidRDefault="0028526D" w:rsidP="0028526D">
      <w:pPr>
        <w:pStyle w:val="Default"/>
        <w:jc w:val="both"/>
        <w:rPr>
          <w:rFonts w:asciiTheme="minorHAnsi" w:hAnsiTheme="minorHAnsi" w:cstheme="minorHAnsi"/>
          <w:bCs/>
          <w:sz w:val="22"/>
          <w:szCs w:val="22"/>
        </w:rPr>
      </w:pPr>
    </w:p>
    <w:p w:rsidR="00471966" w:rsidRPr="00A74311" w:rsidRDefault="00471966" w:rsidP="0028526D">
      <w:pPr>
        <w:spacing w:after="0" w:line="240" w:lineRule="auto"/>
        <w:jc w:val="both"/>
        <w:rPr>
          <w:rFonts w:asciiTheme="minorHAnsi" w:hAnsiTheme="minorHAnsi" w:cstheme="minorHAnsi"/>
          <w:bCs/>
        </w:rPr>
      </w:pPr>
      <w:r w:rsidRPr="00A74311">
        <w:rPr>
          <w:rFonts w:asciiTheme="minorHAnsi" w:hAnsiTheme="minorHAnsi" w:cstheme="minorHAnsi"/>
          <w:bCs/>
        </w:rPr>
        <w:t>En febrero de este año el gobierno de Guatemala anuncio la Cruzada Nacional por la Nutrición priorizando únicamente los departamentos de Alta Verapaz, Chiquimula, Huehuetenango, Quiché, Sololá, Totonicapán, Chimaltenango, San Marcos Jalapa y Quetzaltenango, sin embargo estos esfuerzos son limitados y escasos, hasta la fecha no se ha implementado n</w:t>
      </w:r>
      <w:r w:rsidR="0028526D" w:rsidRPr="00A74311">
        <w:rPr>
          <w:rFonts w:asciiTheme="minorHAnsi" w:hAnsiTheme="minorHAnsi" w:cstheme="minorHAnsi"/>
          <w:bCs/>
        </w:rPr>
        <w:t>inguna acción de forma integral,</w:t>
      </w:r>
      <w:r w:rsidRPr="00A74311">
        <w:rPr>
          <w:rFonts w:asciiTheme="minorHAnsi" w:hAnsiTheme="minorHAnsi" w:cstheme="minorHAnsi"/>
          <w:bCs/>
        </w:rPr>
        <w:t xml:space="preserve"> </w:t>
      </w:r>
      <w:r w:rsidR="0028526D" w:rsidRPr="00A74311">
        <w:rPr>
          <w:rFonts w:asciiTheme="minorHAnsi" w:hAnsiTheme="minorHAnsi" w:cstheme="minorHAnsi"/>
          <w:bCs/>
          <w:lang w:eastAsia="es-ES"/>
        </w:rPr>
        <w:t>sigue siendo lo mismo que otros gobiernos han presentado solo que con diferente nombre.</w:t>
      </w:r>
    </w:p>
    <w:p w:rsidR="0028526D" w:rsidRPr="00A74311" w:rsidRDefault="0028526D" w:rsidP="0028526D">
      <w:pPr>
        <w:pStyle w:val="Default"/>
        <w:jc w:val="both"/>
        <w:rPr>
          <w:rFonts w:asciiTheme="minorHAnsi" w:hAnsiTheme="minorHAnsi" w:cstheme="minorHAnsi"/>
          <w:bCs/>
          <w:sz w:val="22"/>
          <w:szCs w:val="22"/>
        </w:rPr>
      </w:pPr>
    </w:p>
    <w:p w:rsidR="00340849" w:rsidRPr="00A74311" w:rsidRDefault="00340849" w:rsidP="00340849">
      <w:pPr>
        <w:spacing w:after="0" w:line="240" w:lineRule="auto"/>
        <w:jc w:val="both"/>
        <w:rPr>
          <w:rFonts w:asciiTheme="minorHAnsi" w:hAnsiTheme="minorHAnsi" w:cstheme="minorHAnsi"/>
          <w:bCs/>
          <w:lang w:eastAsia="es-ES"/>
        </w:rPr>
      </w:pPr>
      <w:r w:rsidRPr="00A74311">
        <w:rPr>
          <w:rFonts w:asciiTheme="minorHAnsi" w:hAnsiTheme="minorHAnsi" w:cstheme="minorHAnsi"/>
          <w:bCs/>
          <w:lang w:eastAsia="es-ES"/>
        </w:rPr>
        <w:t>Uno de los graves problemas del país es que las políticas, programas, pactos o estrategias no son de Estado, si no de gobierno, lo que implica que cada vez que cambia gobierno a cada cuatro años se cambian esas políticas y programas</w:t>
      </w:r>
      <w:r w:rsidR="009D0693" w:rsidRPr="00A74311">
        <w:rPr>
          <w:rFonts w:asciiTheme="minorHAnsi" w:hAnsiTheme="minorHAnsi" w:cstheme="minorHAnsi"/>
          <w:bCs/>
          <w:lang w:eastAsia="es-ES"/>
        </w:rPr>
        <w:t>.</w:t>
      </w:r>
    </w:p>
    <w:p w:rsidR="009D0693" w:rsidRPr="00A74311" w:rsidRDefault="009D0693" w:rsidP="00340849">
      <w:pPr>
        <w:spacing w:after="0" w:line="240" w:lineRule="auto"/>
        <w:jc w:val="both"/>
        <w:rPr>
          <w:rFonts w:asciiTheme="minorHAnsi" w:hAnsiTheme="minorHAnsi" w:cstheme="minorHAnsi"/>
          <w:bCs/>
          <w:lang w:eastAsia="es-ES"/>
        </w:rPr>
      </w:pPr>
    </w:p>
    <w:p w:rsidR="0028526D" w:rsidRPr="00A74311" w:rsidRDefault="0028526D" w:rsidP="0028526D">
      <w:pPr>
        <w:pStyle w:val="Default"/>
        <w:jc w:val="both"/>
        <w:rPr>
          <w:rFonts w:asciiTheme="minorHAnsi" w:hAnsiTheme="minorHAnsi" w:cstheme="minorHAnsi"/>
          <w:bCs/>
          <w:sz w:val="22"/>
          <w:szCs w:val="22"/>
        </w:rPr>
      </w:pPr>
      <w:r w:rsidRPr="00A74311">
        <w:rPr>
          <w:rFonts w:asciiTheme="minorHAnsi" w:hAnsiTheme="minorHAnsi" w:cstheme="minorHAnsi"/>
          <w:bCs/>
          <w:sz w:val="22"/>
          <w:szCs w:val="22"/>
        </w:rPr>
        <w:t xml:space="preserve">En cuanto a la institucionalidad creada para atender la Seguridad Alimentaria sigue siendo deficiente, todos los años se registra sub ejecución, la ayuda no llega a las familias pobres y vulnerables, no se resuelve el problema del hambre porque los programas no son sostenibles. </w:t>
      </w:r>
    </w:p>
    <w:p w:rsidR="0028526D" w:rsidRPr="00A74311" w:rsidRDefault="0028526D" w:rsidP="0028526D">
      <w:pPr>
        <w:pStyle w:val="Default"/>
        <w:jc w:val="both"/>
        <w:rPr>
          <w:rFonts w:asciiTheme="minorHAnsi" w:hAnsiTheme="minorHAnsi" w:cstheme="minorHAnsi"/>
          <w:sz w:val="22"/>
          <w:szCs w:val="22"/>
        </w:rPr>
      </w:pPr>
      <w:r w:rsidRPr="00A74311">
        <w:rPr>
          <w:rFonts w:asciiTheme="minorHAnsi" w:hAnsiTheme="minorHAnsi" w:cstheme="minorHAnsi"/>
          <w:bCs/>
          <w:sz w:val="22"/>
          <w:szCs w:val="22"/>
        </w:rPr>
        <w:t xml:space="preserve">Al 30 de junio de 2,020 el Ministerio de Desarrollo social, reporta una ejecución del 46.76%, sin embargo  el Ministro de Salud reporta </w:t>
      </w:r>
      <w:r w:rsidRPr="00A74311">
        <w:rPr>
          <w:rFonts w:asciiTheme="minorHAnsi" w:hAnsiTheme="minorHAnsi" w:cstheme="minorHAnsi"/>
          <w:sz w:val="22"/>
          <w:szCs w:val="22"/>
        </w:rPr>
        <w:t xml:space="preserve"> 15,580 casos de desnutrición aguda. </w:t>
      </w:r>
    </w:p>
    <w:p w:rsidR="0028526D" w:rsidRPr="00A74311" w:rsidRDefault="0028526D" w:rsidP="0028526D">
      <w:pPr>
        <w:pStyle w:val="Default"/>
        <w:jc w:val="both"/>
        <w:rPr>
          <w:rFonts w:asciiTheme="minorHAnsi" w:hAnsiTheme="minorHAnsi" w:cstheme="minorHAnsi"/>
          <w:sz w:val="22"/>
          <w:szCs w:val="22"/>
        </w:rPr>
      </w:pPr>
    </w:p>
    <w:p w:rsidR="0028526D" w:rsidRPr="00A74311" w:rsidRDefault="0028526D" w:rsidP="0028526D">
      <w:pPr>
        <w:pStyle w:val="Default"/>
        <w:jc w:val="both"/>
        <w:rPr>
          <w:rFonts w:asciiTheme="minorHAnsi" w:hAnsiTheme="minorHAnsi" w:cstheme="minorHAnsi"/>
          <w:sz w:val="22"/>
          <w:szCs w:val="22"/>
        </w:rPr>
      </w:pPr>
      <w:r w:rsidRPr="00A74311">
        <w:rPr>
          <w:rFonts w:asciiTheme="minorHAnsi" w:hAnsiTheme="minorHAnsi" w:cstheme="minorHAnsi"/>
          <w:sz w:val="22"/>
          <w:szCs w:val="22"/>
        </w:rPr>
        <w:t>Los impactos de los programas y de la institucionalidad son limitados y cuentan con muchos problemas en su ejecución. Se evidencia  la ampliación de los casos de hambre y desnutrición y  retrocesos en el desempeño institucional.</w:t>
      </w:r>
    </w:p>
    <w:p w:rsidR="007A700D" w:rsidRPr="00A74311" w:rsidRDefault="007A700D" w:rsidP="0028526D">
      <w:pPr>
        <w:pStyle w:val="Default"/>
        <w:jc w:val="both"/>
        <w:rPr>
          <w:rFonts w:asciiTheme="minorHAnsi" w:hAnsiTheme="minorHAnsi" w:cstheme="minorHAnsi"/>
          <w:sz w:val="22"/>
          <w:szCs w:val="22"/>
        </w:rPr>
      </w:pPr>
    </w:p>
    <w:p w:rsidR="007A700D" w:rsidRPr="00A74311" w:rsidRDefault="007A700D" w:rsidP="0028526D">
      <w:pPr>
        <w:pStyle w:val="Default"/>
        <w:jc w:val="both"/>
        <w:rPr>
          <w:rFonts w:asciiTheme="minorHAnsi" w:hAnsiTheme="minorHAnsi" w:cstheme="minorHAnsi"/>
          <w:b/>
          <w:sz w:val="22"/>
          <w:szCs w:val="22"/>
          <w:u w:val="single"/>
        </w:rPr>
      </w:pPr>
      <w:r w:rsidRPr="00A74311">
        <w:rPr>
          <w:rFonts w:asciiTheme="minorHAnsi" w:hAnsiTheme="minorHAnsi" w:cstheme="minorHAnsi"/>
          <w:b/>
          <w:sz w:val="22"/>
          <w:szCs w:val="22"/>
          <w:u w:val="single"/>
        </w:rPr>
        <w:t xml:space="preserve">Desarrollo Rural Integral: </w:t>
      </w:r>
    </w:p>
    <w:p w:rsidR="007A700D" w:rsidRPr="00A74311" w:rsidRDefault="007A700D" w:rsidP="0028526D">
      <w:pPr>
        <w:pStyle w:val="Default"/>
        <w:jc w:val="both"/>
        <w:rPr>
          <w:rFonts w:asciiTheme="minorHAnsi" w:hAnsiTheme="minorHAnsi" w:cstheme="minorHAnsi"/>
          <w:sz w:val="22"/>
          <w:szCs w:val="22"/>
        </w:rPr>
      </w:pPr>
    </w:p>
    <w:p w:rsidR="00A74311" w:rsidRPr="00A74311" w:rsidRDefault="00A74311" w:rsidP="00973D27">
      <w:pPr>
        <w:pStyle w:val="Default"/>
        <w:jc w:val="both"/>
        <w:rPr>
          <w:rFonts w:asciiTheme="minorHAnsi" w:hAnsiTheme="minorHAnsi" w:cstheme="minorHAnsi"/>
          <w:bCs/>
          <w:sz w:val="22"/>
          <w:szCs w:val="22"/>
        </w:rPr>
      </w:pPr>
      <w:r w:rsidRPr="00A74311">
        <w:rPr>
          <w:rFonts w:ascii="Calibri" w:eastAsia="Calibri" w:hAnsi="Calibri" w:cs="Calibri"/>
          <w:bCs/>
          <w:sz w:val="22"/>
          <w:szCs w:val="22"/>
        </w:rPr>
        <w:t>Guatemala es un país predominantemente agrario, en tanto que la mitad de su población vive en el campo, trabaja en actividades agropecuarias o vinculadas a las mismas, y su principal actividad económica es agrícola. El desarrollo nacional está directamente vinculado con el mundo campesino, el cual alimenta al país y genera la mayoría de las actividades económicas nacionales. En este sentido, la problemática agraria es la principal determinante de la pobreza, el hambre y las desigualdades sociales.</w:t>
      </w:r>
    </w:p>
    <w:p w:rsidR="00973D27" w:rsidRDefault="00973D27" w:rsidP="00973D27">
      <w:pPr>
        <w:pStyle w:val="Default"/>
        <w:jc w:val="both"/>
        <w:rPr>
          <w:rFonts w:asciiTheme="minorHAnsi" w:hAnsiTheme="minorHAnsi" w:cstheme="minorHAnsi"/>
          <w:bCs/>
          <w:sz w:val="22"/>
          <w:szCs w:val="22"/>
        </w:rPr>
      </w:pPr>
    </w:p>
    <w:p w:rsidR="001440C4" w:rsidRDefault="00A74311" w:rsidP="00973D27">
      <w:pPr>
        <w:pStyle w:val="Default"/>
        <w:jc w:val="both"/>
        <w:rPr>
          <w:rFonts w:asciiTheme="minorHAnsi" w:hAnsiTheme="minorHAnsi" w:cstheme="minorHAnsi"/>
          <w:bCs/>
          <w:sz w:val="22"/>
          <w:szCs w:val="22"/>
        </w:rPr>
      </w:pPr>
      <w:r w:rsidRPr="00A74311">
        <w:rPr>
          <w:rFonts w:asciiTheme="minorHAnsi" w:hAnsiTheme="minorHAnsi" w:cstheme="minorHAnsi"/>
          <w:bCs/>
          <w:sz w:val="22"/>
          <w:szCs w:val="22"/>
        </w:rPr>
        <w:t xml:space="preserve">Los diferentes gobiernos han </w:t>
      </w:r>
      <w:r w:rsidRPr="00A74311">
        <w:rPr>
          <w:rFonts w:ascii="Calibri" w:eastAsia="Calibri" w:hAnsi="Calibri" w:cs="Calibri"/>
          <w:bCs/>
          <w:sz w:val="22"/>
          <w:szCs w:val="22"/>
        </w:rPr>
        <w:t>logrado evadir el abordaje de las temáticas vinculadas al Desarrollo Rural, neutralizando los principales procesos que las organizaciones campesinas han planteado en la agenda política nacional. Las organizaciones sociales nacionales han aportado a la construcción de una propuesta política y la ruta para su abordaje desde un formato integral, sin embargo este proceso ha sido obstaculizado por el sector económico agroexportador. En tanto que el Desarrollo Rural constituye un compromiso político del Estado de Guatemala ante la comunidad internacional, los gobiernos de turno han tratado de desvirtuar el sentido del tema, orientando los énfasis hacia el desarrollo de la agricultura para la exportación.</w:t>
      </w:r>
      <w:r w:rsidRPr="00A74311">
        <w:rPr>
          <w:rFonts w:ascii="Calibri" w:eastAsia="Calibri" w:hAnsi="Calibri" w:cs="Calibri"/>
          <w:color w:val="auto"/>
          <w:sz w:val="22"/>
          <w:szCs w:val="22"/>
        </w:rPr>
        <w:t xml:space="preserve"> </w:t>
      </w:r>
      <w:r w:rsidRPr="00A74311">
        <w:rPr>
          <w:rFonts w:ascii="Calibri" w:eastAsia="Calibri" w:hAnsi="Calibri" w:cs="Calibri"/>
          <w:bCs/>
          <w:sz w:val="22"/>
          <w:szCs w:val="22"/>
        </w:rPr>
        <w:t>Si bien se han impulsado agendas de gobierno bajo la etiqueta de “Agendas de Desarrollo” en materia agrícola, esto ha implicado un proceso de descampesinización para dar lugar a las grandes inversiones en el campo</w:t>
      </w:r>
      <w:r w:rsidRPr="00A74311">
        <w:rPr>
          <w:rFonts w:asciiTheme="minorHAnsi" w:hAnsiTheme="minorHAnsi" w:cstheme="minorHAnsi"/>
          <w:bCs/>
          <w:sz w:val="22"/>
          <w:szCs w:val="22"/>
        </w:rPr>
        <w:t xml:space="preserve">. </w:t>
      </w:r>
      <w:r w:rsidRPr="00A74311">
        <w:rPr>
          <w:rStyle w:val="FootnoteReference"/>
          <w:rFonts w:asciiTheme="minorHAnsi" w:hAnsiTheme="minorHAnsi" w:cstheme="minorHAnsi"/>
          <w:bCs/>
          <w:sz w:val="22"/>
          <w:szCs w:val="22"/>
        </w:rPr>
        <w:footnoteReference w:id="5"/>
      </w:r>
    </w:p>
    <w:p w:rsidR="001440C4" w:rsidRPr="001440C4" w:rsidRDefault="001440C4" w:rsidP="001440C4">
      <w:pPr>
        <w:pStyle w:val="Default"/>
        <w:jc w:val="both"/>
        <w:rPr>
          <w:rFonts w:ascii="Calibri" w:eastAsia="Calibri" w:hAnsi="Calibri" w:cs="Calibri"/>
          <w:bCs/>
          <w:sz w:val="22"/>
          <w:szCs w:val="22"/>
        </w:rPr>
      </w:pPr>
      <w:r w:rsidRPr="001440C4">
        <w:rPr>
          <w:rFonts w:ascii="Calibri" w:eastAsia="Calibri" w:hAnsi="Calibri" w:cs="Calibri"/>
          <w:bCs/>
          <w:sz w:val="22"/>
          <w:szCs w:val="22"/>
          <w:lang w:eastAsia="es-ES"/>
        </w:rPr>
        <w:t>El Estado de Guatemala ha sido incapaz de cumplir con el compromiso político de hacer realidad el Desarrollo Rural Integral que necesita la población campesina guatemalteca. Durante más de dos décadas ha evadido la responsabilidad de respaldar los procesos que se promueven y se ha obstaculizado la realización de acciones que correspondan con sus principios. Si bien existe una política con esta denominación, la PNDRI, las intervenciones estatales se han enfocado en las actividades agrícolas y de forma muy limitada a grupos pequeños, no representativos de las dimensiones d</w:t>
      </w:r>
      <w:r w:rsidR="00973D27">
        <w:rPr>
          <w:rFonts w:asciiTheme="minorHAnsi" w:hAnsiTheme="minorHAnsi" w:cstheme="minorHAnsi"/>
          <w:bCs/>
          <w:sz w:val="22"/>
          <w:szCs w:val="22"/>
          <w:lang w:eastAsia="es-ES"/>
        </w:rPr>
        <w:t xml:space="preserve">e la pobreza rural en Guatemala y sin asignación de un presupuesto que le permita implementar las acciones. </w:t>
      </w:r>
    </w:p>
    <w:p w:rsidR="0028526D" w:rsidRPr="001440C4" w:rsidRDefault="0028526D" w:rsidP="00340849">
      <w:pPr>
        <w:spacing w:after="0" w:line="240" w:lineRule="auto"/>
        <w:jc w:val="both"/>
        <w:rPr>
          <w:rFonts w:asciiTheme="minorHAnsi" w:hAnsiTheme="minorHAnsi" w:cstheme="minorHAnsi"/>
          <w:bCs/>
          <w:lang w:eastAsia="es-ES"/>
        </w:rPr>
      </w:pPr>
    </w:p>
    <w:p w:rsidR="001440C4" w:rsidRPr="001440C4" w:rsidRDefault="001440C4" w:rsidP="001440C4">
      <w:pPr>
        <w:spacing w:after="0" w:line="240" w:lineRule="auto"/>
        <w:jc w:val="both"/>
        <w:rPr>
          <w:rFonts w:cs="Calibri"/>
          <w:b/>
          <w:bCs/>
          <w:lang w:eastAsia="es-ES"/>
        </w:rPr>
      </w:pPr>
      <w:r w:rsidRPr="001440C4">
        <w:rPr>
          <w:rFonts w:cs="Calibri"/>
          <w:b/>
          <w:bCs/>
          <w:lang w:eastAsia="es-ES"/>
        </w:rPr>
        <w:t xml:space="preserve">Iniciativa de ley 4084 </w:t>
      </w:r>
      <w:r w:rsidR="00973D27">
        <w:rPr>
          <w:rFonts w:cs="Calibri"/>
          <w:b/>
          <w:bCs/>
          <w:lang w:eastAsia="es-ES"/>
        </w:rPr>
        <w:t xml:space="preserve">– Ley de </w:t>
      </w:r>
      <w:r w:rsidRPr="001440C4">
        <w:rPr>
          <w:rFonts w:cs="Calibri"/>
          <w:b/>
          <w:bCs/>
          <w:lang w:eastAsia="es-ES"/>
        </w:rPr>
        <w:t>Desarrollo Rural Integral</w:t>
      </w:r>
      <w:r w:rsidR="00973D27">
        <w:rPr>
          <w:rFonts w:cs="Calibri"/>
          <w:b/>
          <w:bCs/>
          <w:lang w:eastAsia="es-ES"/>
        </w:rPr>
        <w:t>-</w:t>
      </w:r>
    </w:p>
    <w:p w:rsidR="001440C4" w:rsidRPr="00973D27" w:rsidRDefault="001440C4" w:rsidP="00973D27">
      <w:pPr>
        <w:spacing w:after="0" w:line="240" w:lineRule="auto"/>
        <w:jc w:val="both"/>
        <w:rPr>
          <w:rFonts w:asciiTheme="minorHAnsi" w:hAnsiTheme="minorHAnsi" w:cstheme="minorHAnsi"/>
          <w:bCs/>
          <w:lang w:eastAsia="es-ES"/>
        </w:rPr>
      </w:pPr>
      <w:r w:rsidRPr="00973D27">
        <w:rPr>
          <w:rFonts w:asciiTheme="minorHAnsi" w:hAnsiTheme="minorHAnsi" w:cstheme="minorHAnsi"/>
          <w:bCs/>
          <w:lang w:eastAsia="es-ES"/>
        </w:rPr>
        <w:t>Los procesos de discusión para incluir todos los derechos humanos de la población campesina marcan la pauta para desarrollar una propuesta de ley cuya denominación ya establece su naturaleza holística. La iniciativa de ley 4084 es presentada al pleno del Congreso de la República el 11 de agosto de 2009, y plantea la creación del Sistema Nacional de Desarrollo Rural Integral. Su creación logró superar complejos escenarios políticos y obstáculos promovidos por la Cámara del Agro, sin embargo logró avanzar derivado de la movilización de importantes sectores sociales, que se vieron reflejados en la misma.</w:t>
      </w:r>
    </w:p>
    <w:p w:rsidR="00973D27" w:rsidRPr="00973D27" w:rsidRDefault="00973D27" w:rsidP="00973D27">
      <w:pPr>
        <w:spacing w:after="0" w:line="240" w:lineRule="auto"/>
        <w:jc w:val="both"/>
        <w:rPr>
          <w:rFonts w:asciiTheme="minorHAnsi" w:hAnsiTheme="minorHAnsi" w:cstheme="minorHAnsi"/>
          <w:bCs/>
          <w:lang w:eastAsia="es-ES"/>
        </w:rPr>
      </w:pPr>
      <w:r w:rsidRPr="00973D27">
        <w:rPr>
          <w:rFonts w:asciiTheme="minorHAnsi" w:hAnsiTheme="minorHAnsi" w:cstheme="minorHAnsi"/>
          <w:bCs/>
          <w:lang w:eastAsia="es-ES"/>
        </w:rPr>
        <w:t xml:space="preserve">Desde el año 2016 que en Congreso de la Republica volvieron abordar la iniciativa y le hicieron un nuevo dictamen, después de ello no ha dado seguimiento a la iniciativa 4084, y tampoco a la ley de Agricultura Familiar Campesina, por el contrario hay aprobado paquetes le leyes que favorecen solo a grupos pequeños en el país y no de beneficio común para la toda la población. </w:t>
      </w:r>
    </w:p>
    <w:p w:rsidR="001440C4" w:rsidRPr="00A74311" w:rsidRDefault="001440C4" w:rsidP="00340849">
      <w:pPr>
        <w:spacing w:after="0" w:line="240" w:lineRule="auto"/>
        <w:jc w:val="both"/>
        <w:rPr>
          <w:rFonts w:asciiTheme="minorHAnsi" w:hAnsiTheme="minorHAnsi" w:cstheme="minorHAnsi"/>
          <w:bCs/>
          <w:lang w:eastAsia="es-ES"/>
        </w:rPr>
      </w:pPr>
    </w:p>
    <w:p w:rsidR="005E4E30" w:rsidRPr="00A74311" w:rsidRDefault="005E4E30" w:rsidP="00973D27">
      <w:pPr>
        <w:spacing w:after="0" w:line="240" w:lineRule="auto"/>
        <w:jc w:val="both"/>
        <w:rPr>
          <w:rFonts w:asciiTheme="minorHAnsi" w:hAnsiTheme="minorHAnsi" w:cstheme="minorHAnsi"/>
          <w:b/>
          <w:bCs/>
          <w:u w:val="single"/>
        </w:rPr>
      </w:pPr>
      <w:r w:rsidRPr="00A74311">
        <w:rPr>
          <w:rFonts w:asciiTheme="minorHAnsi" w:hAnsiTheme="minorHAnsi" w:cstheme="minorHAnsi"/>
          <w:b/>
          <w:bCs/>
          <w:u w:val="single"/>
        </w:rPr>
        <w:t>Programa de Agricultura Familiar para el Fomento de la Economía Campesina</w:t>
      </w:r>
    </w:p>
    <w:p w:rsidR="00973D27" w:rsidRDefault="00973D27" w:rsidP="00973D27">
      <w:pPr>
        <w:spacing w:after="0" w:line="240" w:lineRule="auto"/>
        <w:jc w:val="both"/>
        <w:rPr>
          <w:rFonts w:asciiTheme="minorHAnsi" w:hAnsiTheme="minorHAnsi" w:cstheme="minorHAnsi"/>
        </w:rPr>
      </w:pPr>
    </w:p>
    <w:p w:rsidR="005E4E30" w:rsidRPr="00A74311" w:rsidRDefault="005E4E30" w:rsidP="00973D27">
      <w:pPr>
        <w:spacing w:line="240" w:lineRule="auto"/>
        <w:jc w:val="both"/>
        <w:rPr>
          <w:rFonts w:asciiTheme="minorHAnsi" w:hAnsiTheme="minorHAnsi" w:cstheme="minorHAnsi"/>
        </w:rPr>
      </w:pPr>
      <w:r w:rsidRPr="00A74311">
        <w:rPr>
          <w:rFonts w:asciiTheme="minorHAnsi" w:hAnsiTheme="minorHAnsi" w:cstheme="minorHAnsi"/>
        </w:rPr>
        <w:t xml:space="preserve">El Programa de Agricultura Familiar para el Fortalecimiento de la Economía Campesina (PAFFEC) el cual se presenta como el “programa insignia” del Ministerio de Agricultura, Ganadería y Alimentación (MAGA). Con el PAFFEC el MAGA busca </w:t>
      </w:r>
      <w:r w:rsidR="0028526D" w:rsidRPr="00A74311">
        <w:rPr>
          <w:rFonts w:asciiTheme="minorHAnsi" w:hAnsiTheme="minorHAnsi" w:cstheme="minorHAnsi"/>
        </w:rPr>
        <w:t xml:space="preserve">fortalecer su llegada al campo. </w:t>
      </w:r>
    </w:p>
    <w:p w:rsidR="00907292" w:rsidRPr="00A74311" w:rsidRDefault="005E4E30" w:rsidP="00973D27">
      <w:pPr>
        <w:pStyle w:val="Default"/>
        <w:jc w:val="both"/>
        <w:rPr>
          <w:rFonts w:asciiTheme="minorHAnsi" w:hAnsiTheme="minorHAnsi" w:cstheme="minorHAnsi"/>
          <w:sz w:val="22"/>
          <w:szCs w:val="22"/>
        </w:rPr>
      </w:pPr>
      <w:r w:rsidRPr="00A74311">
        <w:rPr>
          <w:rFonts w:asciiTheme="minorHAnsi" w:hAnsiTheme="minorHAnsi" w:cstheme="minorHAnsi"/>
          <w:sz w:val="22"/>
          <w:szCs w:val="22"/>
        </w:rPr>
        <w:t xml:space="preserve">Prácticamente el MAGA definió como su población objetivo a los agricultores excedentarios y  comerciales, dejando a los productores de infra subsistencia o de subsistencia a la acción de las </w:t>
      </w:r>
      <w:r w:rsidR="00973D27" w:rsidRPr="00A74311">
        <w:rPr>
          <w:rFonts w:asciiTheme="minorHAnsi" w:hAnsiTheme="minorHAnsi" w:cstheme="minorHAnsi"/>
          <w:sz w:val="22"/>
          <w:szCs w:val="22"/>
        </w:rPr>
        <w:t>ONG’s</w:t>
      </w:r>
      <w:r w:rsidRPr="00A74311">
        <w:rPr>
          <w:rFonts w:asciiTheme="minorHAnsi" w:hAnsiTheme="minorHAnsi" w:cstheme="minorHAnsi"/>
          <w:sz w:val="22"/>
          <w:szCs w:val="22"/>
        </w:rPr>
        <w:t xml:space="preserve"> y otros prestadores de servicios.</w:t>
      </w:r>
    </w:p>
    <w:p w:rsidR="005E4E30" w:rsidRPr="00A74311" w:rsidRDefault="005E4E30" w:rsidP="00A74311">
      <w:pPr>
        <w:spacing w:line="240" w:lineRule="auto"/>
        <w:jc w:val="both"/>
        <w:rPr>
          <w:rFonts w:asciiTheme="minorHAnsi" w:hAnsiTheme="minorHAnsi" w:cstheme="minorHAnsi"/>
        </w:rPr>
      </w:pPr>
      <w:r w:rsidRPr="00A74311">
        <w:rPr>
          <w:rFonts w:asciiTheme="minorHAnsi" w:hAnsiTheme="minorHAnsi" w:cstheme="minorHAnsi"/>
        </w:rPr>
        <w:t>Los recursos financieros asignados al MAGA han venido disminuyendo, desde un 4% del presupuesto hasta casi un 2% actualmente. Es necesario dotarlo de mayores recursos dada la importancia y características de la población a quienes dirige su acción. Debe reconocerse que el servicio de extensionismo no es un gasto en personal, sino una inversión en formación, capacitación y organización comunitaria para la producción y la comercialización.</w:t>
      </w:r>
    </w:p>
    <w:p w:rsidR="0040083D" w:rsidRPr="00A74311" w:rsidRDefault="0040083D" w:rsidP="00A74311">
      <w:pPr>
        <w:spacing w:line="240" w:lineRule="auto"/>
        <w:jc w:val="both"/>
        <w:rPr>
          <w:rFonts w:asciiTheme="minorHAnsi" w:hAnsiTheme="minorHAnsi" w:cstheme="minorHAnsi"/>
        </w:rPr>
      </w:pPr>
      <w:r w:rsidRPr="00A74311">
        <w:rPr>
          <w:rFonts w:asciiTheme="minorHAnsi" w:hAnsiTheme="minorHAnsi" w:cstheme="minorHAnsi"/>
        </w:rPr>
        <w:t xml:space="preserve">El PAFFEC define a la </w:t>
      </w:r>
      <w:r w:rsidRPr="00A74311">
        <w:rPr>
          <w:rFonts w:asciiTheme="minorHAnsi" w:hAnsiTheme="minorHAnsi" w:cstheme="minorHAnsi"/>
          <w:i/>
        </w:rPr>
        <w:t>Economía campesina</w:t>
      </w:r>
      <w:r w:rsidRPr="00A74311">
        <w:rPr>
          <w:rFonts w:asciiTheme="minorHAnsi" w:hAnsiTheme="minorHAnsi" w:cstheme="minorHAnsi"/>
        </w:rPr>
        <w:t xml:space="preserve"> como “El conjunto sistemático de estrategias y actividades que la familia y la comunidad rural desarrollan para lograr satisfacer sus necesidades vitales, materiales y espirituales, en función de alcanzar una vida digna, en armonía con el territorio y el ambiente con los que conviven; siendo tres sus características fundamentales: El trabajo familiar y la producción de sus propios alimentos y el rol central de la mujer en la reproducción y fortalecimiento del sistema. La economía campesina es poli-activa y sus expresiones varían de región en región, determinadas por elementos socioculturales y por los factores físicos del entorno.</w:t>
      </w:r>
    </w:p>
    <w:p w:rsidR="0040083D" w:rsidRPr="00A74311" w:rsidRDefault="0040083D" w:rsidP="00A74311">
      <w:pPr>
        <w:spacing w:line="240" w:lineRule="auto"/>
        <w:jc w:val="both"/>
        <w:rPr>
          <w:rFonts w:asciiTheme="minorHAnsi" w:hAnsiTheme="minorHAnsi" w:cstheme="minorHAnsi"/>
        </w:rPr>
      </w:pPr>
      <w:r w:rsidRPr="00A74311">
        <w:rPr>
          <w:rFonts w:asciiTheme="minorHAnsi" w:hAnsiTheme="minorHAnsi" w:cstheme="minorHAnsi"/>
        </w:rPr>
        <w:t>El PAFFEC se propone contribuir con la meta nacional de disminuir la prevalencia de la desnutrición crónica en niñas y niños menores de dos años en 10% para el año 2020; también al Resultado Estratégico de País: “Para el 2019, se ha disminuido la población subalimentada en 1 punto porcentual (de 15.6% en 2015 a 14.6% en 2019” y a reducir la pobreza general, a través de mejorar, diversificar y consolidar la agricultura familiar para fortalecer la economía campesina, dando prioridad a los hogares agropecuarios con incidencia de pobreza y pobreza extrema en todo el país. (MAGA, 2016).</w:t>
      </w:r>
    </w:p>
    <w:p w:rsidR="0040083D" w:rsidRPr="00A74311" w:rsidRDefault="0040083D" w:rsidP="00A74311">
      <w:pPr>
        <w:spacing w:line="240" w:lineRule="auto"/>
        <w:jc w:val="both"/>
        <w:rPr>
          <w:rFonts w:asciiTheme="minorHAnsi" w:hAnsiTheme="minorHAnsi" w:cstheme="minorHAnsi"/>
        </w:rPr>
      </w:pPr>
      <w:r w:rsidRPr="00A74311">
        <w:rPr>
          <w:rFonts w:asciiTheme="minorHAnsi" w:hAnsiTheme="minorHAnsi" w:cstheme="minorHAnsi"/>
        </w:rPr>
        <w:t>Para el 2020 la asignación presupuestaria para el MAGA es de Q 1,365,407,000, específicamente para el PAFFEC</w:t>
      </w:r>
      <w:r w:rsidR="005D2A65" w:rsidRPr="00A74311">
        <w:rPr>
          <w:rFonts w:asciiTheme="minorHAnsi" w:hAnsiTheme="minorHAnsi" w:cstheme="minorHAnsi"/>
        </w:rPr>
        <w:t>,</w:t>
      </w:r>
      <w:r w:rsidRPr="00A74311">
        <w:rPr>
          <w:rFonts w:asciiTheme="minorHAnsi" w:hAnsiTheme="minorHAnsi" w:cstheme="minorHAnsi"/>
        </w:rPr>
        <w:t xml:space="preserve"> son Q 601,717,233.</w:t>
      </w:r>
    </w:p>
    <w:p w:rsidR="00B3527A" w:rsidRPr="00A74311" w:rsidRDefault="0040083D" w:rsidP="00A74311">
      <w:pPr>
        <w:spacing w:line="240" w:lineRule="auto"/>
        <w:jc w:val="both"/>
        <w:rPr>
          <w:rFonts w:asciiTheme="minorHAnsi" w:hAnsiTheme="minorHAnsi" w:cstheme="minorHAnsi"/>
        </w:rPr>
      </w:pPr>
      <w:r w:rsidRPr="00A74311">
        <w:rPr>
          <w:rFonts w:asciiTheme="minorHAnsi" w:hAnsiTheme="minorHAnsi" w:cstheme="minorHAnsi"/>
        </w:rPr>
        <w:t xml:space="preserve">La crisis provocada por la pandemia del COVID-19 hizo que el Gobierno de Guatemala tomara algunas acciones para hacerle frente a los efectos de la misma, presentó y fue aprobado en el Congreso de la República del Decreto 12-2020 el 25 de marzo de 2020. Este Decreto aprobó una ampliación presupuestaria de Q 3,667,500,000. (MAGA, mayo 2,020) </w:t>
      </w:r>
      <w:r w:rsidR="00B3527A" w:rsidRPr="00A74311">
        <w:rPr>
          <w:rFonts w:asciiTheme="minorHAnsi" w:hAnsiTheme="minorHAnsi" w:cstheme="minorHAnsi"/>
        </w:rPr>
        <w:t xml:space="preserve">, y a pesar de la crisis, el desabastecimiento de alimentos,  y la ayuda en las comunidades sigue porque no lo han ejecutado, lo cual puede verificarse en el Sistema Integrado de Contabilidad del Estado que registra cero ejecución con el presupuesto de la pandemia. </w:t>
      </w:r>
    </w:p>
    <w:p w:rsidR="00440D89" w:rsidRPr="00A74311" w:rsidRDefault="00896A85" w:rsidP="00440D89">
      <w:pPr>
        <w:pStyle w:val="Default"/>
        <w:jc w:val="both"/>
        <w:rPr>
          <w:rFonts w:asciiTheme="minorHAnsi" w:hAnsiTheme="minorHAnsi" w:cstheme="minorHAnsi"/>
          <w:b/>
          <w:bCs/>
          <w:sz w:val="22"/>
          <w:szCs w:val="22"/>
          <w:u w:val="single"/>
        </w:rPr>
      </w:pPr>
      <w:r w:rsidRPr="00A74311">
        <w:rPr>
          <w:rFonts w:asciiTheme="minorHAnsi" w:hAnsiTheme="minorHAnsi" w:cstheme="minorHAnsi"/>
          <w:b/>
          <w:bCs/>
          <w:sz w:val="22"/>
          <w:szCs w:val="22"/>
          <w:u w:val="single"/>
        </w:rPr>
        <w:t>J</w:t>
      </w:r>
      <w:r w:rsidR="0040083D" w:rsidRPr="00A74311">
        <w:rPr>
          <w:rFonts w:asciiTheme="minorHAnsi" w:hAnsiTheme="minorHAnsi" w:cstheme="minorHAnsi"/>
          <w:b/>
          <w:bCs/>
          <w:sz w:val="22"/>
          <w:szCs w:val="22"/>
          <w:u w:val="single"/>
        </w:rPr>
        <w:t xml:space="preserve">usticiabilidad del Derecho a la alimentación: </w:t>
      </w:r>
    </w:p>
    <w:p w:rsidR="001C3F46" w:rsidRPr="00A74311" w:rsidRDefault="001C3F46" w:rsidP="00E23C4F">
      <w:pPr>
        <w:pStyle w:val="Default"/>
        <w:rPr>
          <w:rFonts w:asciiTheme="minorHAnsi" w:hAnsiTheme="minorHAnsi" w:cstheme="minorHAnsi"/>
          <w:sz w:val="22"/>
          <w:szCs w:val="22"/>
        </w:rPr>
      </w:pPr>
    </w:p>
    <w:p w:rsidR="001361B7" w:rsidRPr="00A74311" w:rsidRDefault="001361B7" w:rsidP="00B3527A">
      <w:pPr>
        <w:pStyle w:val="Default"/>
        <w:jc w:val="both"/>
        <w:rPr>
          <w:rFonts w:asciiTheme="minorHAnsi" w:hAnsiTheme="minorHAnsi" w:cstheme="minorHAnsi"/>
          <w:sz w:val="22"/>
          <w:szCs w:val="22"/>
        </w:rPr>
      </w:pPr>
      <w:r w:rsidRPr="00A74311">
        <w:rPr>
          <w:rFonts w:asciiTheme="minorHAnsi" w:hAnsiTheme="minorHAnsi" w:cstheme="minorHAnsi"/>
          <w:sz w:val="22"/>
          <w:szCs w:val="22"/>
        </w:rPr>
        <w:t xml:space="preserve">En noviembre 2011 las cinco niñas y niños – entonces entre 2 y 11 años de edad – plantearon sus demandas al Estado de Guatemala, ante el Juzgado de la Niñez y la Adolescencia y de Adolescentes en Conflicto con la Ley Penal del Departamento de Zacapa; Zacapa. Las demandas fueron presentadas por omisión del Estado de Guatemala, en virtud de que no adoptó las medidas necesarias para asegurar el cumplimiento del derecho humano a la alimentación de las niñas y niños, por la situación de desnutrición y pobreza que </w:t>
      </w:r>
      <w:r w:rsidR="001C3F46" w:rsidRPr="00A74311">
        <w:rPr>
          <w:rFonts w:asciiTheme="minorHAnsi" w:hAnsiTheme="minorHAnsi" w:cstheme="minorHAnsi"/>
          <w:sz w:val="22"/>
          <w:szCs w:val="22"/>
        </w:rPr>
        <w:t>vivían</w:t>
      </w:r>
      <w:r w:rsidRPr="00A74311">
        <w:rPr>
          <w:rFonts w:asciiTheme="minorHAnsi" w:hAnsiTheme="minorHAnsi" w:cstheme="minorHAnsi"/>
          <w:sz w:val="22"/>
          <w:szCs w:val="22"/>
        </w:rPr>
        <w:t xml:space="preserve">. </w:t>
      </w:r>
    </w:p>
    <w:p w:rsidR="001361B7" w:rsidRPr="00A74311" w:rsidRDefault="001361B7" w:rsidP="00B3527A">
      <w:pPr>
        <w:pStyle w:val="Default"/>
        <w:jc w:val="both"/>
        <w:rPr>
          <w:rFonts w:asciiTheme="minorHAnsi" w:hAnsiTheme="minorHAnsi" w:cstheme="minorHAnsi"/>
          <w:bCs/>
          <w:sz w:val="22"/>
          <w:szCs w:val="22"/>
        </w:rPr>
      </w:pPr>
    </w:p>
    <w:p w:rsidR="00E23C4F" w:rsidRPr="00A74311" w:rsidRDefault="001361B7" w:rsidP="00B3527A">
      <w:pPr>
        <w:pStyle w:val="Default"/>
        <w:jc w:val="both"/>
        <w:rPr>
          <w:rFonts w:asciiTheme="minorHAnsi" w:hAnsiTheme="minorHAnsi" w:cstheme="minorHAnsi"/>
          <w:bCs/>
          <w:sz w:val="22"/>
          <w:szCs w:val="22"/>
        </w:rPr>
      </w:pPr>
      <w:r w:rsidRPr="00A74311">
        <w:rPr>
          <w:rFonts w:asciiTheme="minorHAnsi" w:hAnsiTheme="minorHAnsi" w:cstheme="minorHAnsi"/>
          <w:bCs/>
          <w:sz w:val="22"/>
          <w:szCs w:val="22"/>
        </w:rPr>
        <w:t>Desde hace siete</w:t>
      </w:r>
      <w:r w:rsidR="00E23C4F" w:rsidRPr="00A74311">
        <w:rPr>
          <w:rFonts w:asciiTheme="minorHAnsi" w:hAnsiTheme="minorHAnsi" w:cstheme="minorHAnsi"/>
          <w:bCs/>
          <w:sz w:val="22"/>
          <w:szCs w:val="22"/>
        </w:rPr>
        <w:t xml:space="preserve"> años se sentó jurisprudencia en Derechos Económicos Sociales, Culturales y Ambientales con cuatro familias Chortís, de Camotán Chiquimula, sin embargo hasta la fecha no se han cumplido con las sentencias ratificadas por la Corte de Constitucionalidad, y en ese marco preocupa la incapacidad del Estado de atender a cuatro familias, como pueden enfrentar la atención a los 13,740 casos de desnutrición que reportan del 1 de enero al 25 de abril 2020, mas los  casos de años anteriores. </w:t>
      </w:r>
    </w:p>
    <w:p w:rsidR="001C3F46" w:rsidRPr="00A74311" w:rsidRDefault="001C3F46" w:rsidP="00B3527A">
      <w:pPr>
        <w:spacing w:after="0" w:line="240" w:lineRule="auto"/>
        <w:contextualSpacing/>
        <w:jc w:val="both"/>
        <w:rPr>
          <w:rFonts w:asciiTheme="minorHAnsi" w:hAnsiTheme="minorHAnsi" w:cstheme="minorHAnsi"/>
        </w:rPr>
      </w:pPr>
    </w:p>
    <w:p w:rsidR="001C3F46" w:rsidRPr="00A74311" w:rsidRDefault="001C3F46" w:rsidP="00B3527A">
      <w:pPr>
        <w:spacing w:after="0" w:line="240" w:lineRule="auto"/>
        <w:contextualSpacing/>
        <w:jc w:val="both"/>
        <w:rPr>
          <w:rFonts w:asciiTheme="minorHAnsi" w:hAnsiTheme="minorHAnsi" w:cstheme="minorHAnsi"/>
        </w:rPr>
      </w:pPr>
      <w:r w:rsidRPr="00A74311">
        <w:rPr>
          <w:rFonts w:asciiTheme="minorHAnsi" w:hAnsiTheme="minorHAnsi" w:cstheme="minorHAnsi"/>
        </w:rPr>
        <w:t>En las sentencias el Juez ordena al Estado de Guatemala, que por medio de sus instituciones restituya los derechos humanos violentados al haber incumplido el deber constitucional de proteger sus derechos</w:t>
      </w:r>
      <w:r w:rsidRPr="00A74311">
        <w:rPr>
          <w:rStyle w:val="FootnoteReference"/>
          <w:rFonts w:asciiTheme="minorHAnsi" w:hAnsiTheme="minorHAnsi" w:cstheme="minorHAnsi"/>
        </w:rPr>
        <w:footnoteReference w:id="6"/>
      </w:r>
      <w:r w:rsidRPr="00A74311">
        <w:rPr>
          <w:rFonts w:asciiTheme="minorHAnsi" w:hAnsiTheme="minorHAnsi" w:cstheme="minorHAnsi"/>
        </w:rPr>
        <w:t>, solicita a su vez se le brinde información periódica sobre la situación de las niñas y los niños para poder tener información sobre los esfuerzos y desafíos que se dan por parte del Estado para reparar el daño causado.</w:t>
      </w:r>
      <w:r w:rsidRPr="00A74311">
        <w:rPr>
          <w:rStyle w:val="FootnoteReference"/>
          <w:rFonts w:asciiTheme="minorHAnsi" w:hAnsiTheme="minorHAnsi" w:cstheme="minorHAnsi"/>
        </w:rPr>
        <w:footnoteReference w:id="7"/>
      </w:r>
    </w:p>
    <w:p w:rsidR="001C3F46" w:rsidRPr="00A74311" w:rsidRDefault="001C3F46" w:rsidP="00B3527A">
      <w:pPr>
        <w:spacing w:after="0" w:line="240" w:lineRule="auto"/>
        <w:contextualSpacing/>
        <w:jc w:val="both"/>
        <w:rPr>
          <w:rFonts w:asciiTheme="minorHAnsi" w:hAnsiTheme="minorHAnsi" w:cstheme="minorHAnsi"/>
        </w:rPr>
      </w:pPr>
      <w:r w:rsidRPr="00A74311">
        <w:rPr>
          <w:rFonts w:asciiTheme="minorHAnsi" w:hAnsiTheme="minorHAnsi" w:cstheme="minorHAnsi"/>
        </w:rPr>
        <w:t xml:space="preserve">Las sentencias contemplan más de 26 acciones que diferentes instancias gubernamentales deben de cumplir, sin embargo a pesar del trabajo realizado desde la Campaña Guatemala sin hambre y las organizaciones aliadas, han realizado de exigibilidad para que el estado cumpla con las sentencias, las familias no ven reparados sus derechos, por lo tanto sus </w:t>
      </w:r>
      <w:r w:rsidR="00236C87" w:rsidRPr="00A74311">
        <w:rPr>
          <w:rFonts w:asciiTheme="minorHAnsi" w:hAnsiTheme="minorHAnsi" w:cstheme="minorHAnsi"/>
        </w:rPr>
        <w:t>Derechos</w:t>
      </w:r>
      <w:r w:rsidRPr="00A74311">
        <w:rPr>
          <w:rFonts w:asciiTheme="minorHAnsi" w:hAnsiTheme="minorHAnsi" w:cstheme="minorHAnsi"/>
        </w:rPr>
        <w:t xml:space="preserve"> </w:t>
      </w:r>
      <w:r w:rsidR="00236C87" w:rsidRPr="00A74311">
        <w:rPr>
          <w:rFonts w:asciiTheme="minorHAnsi" w:hAnsiTheme="minorHAnsi" w:cstheme="minorHAnsi"/>
        </w:rPr>
        <w:t>Económicos</w:t>
      </w:r>
      <w:r w:rsidRPr="00A74311">
        <w:rPr>
          <w:rFonts w:asciiTheme="minorHAnsi" w:hAnsiTheme="minorHAnsi" w:cstheme="minorHAnsi"/>
        </w:rPr>
        <w:t xml:space="preserve"> Sociales, Culturales y </w:t>
      </w:r>
      <w:r w:rsidR="00236C87" w:rsidRPr="00A74311">
        <w:rPr>
          <w:rFonts w:asciiTheme="minorHAnsi" w:hAnsiTheme="minorHAnsi" w:cstheme="minorHAnsi"/>
        </w:rPr>
        <w:t>Ambientales</w:t>
      </w:r>
      <w:r w:rsidRPr="00A74311">
        <w:rPr>
          <w:rFonts w:asciiTheme="minorHAnsi" w:hAnsiTheme="minorHAnsi" w:cstheme="minorHAnsi"/>
        </w:rPr>
        <w:t xml:space="preserve"> siguen siendo violados, por la falta de voluntad política de los últimos  tres gobiernos de turno  de </w:t>
      </w:r>
      <w:r w:rsidR="00236C87" w:rsidRPr="00A74311">
        <w:rPr>
          <w:rFonts w:asciiTheme="minorHAnsi" w:hAnsiTheme="minorHAnsi" w:cstheme="minorHAnsi"/>
        </w:rPr>
        <w:t>no querer reparar el daño causado a las familias.</w:t>
      </w:r>
    </w:p>
    <w:p w:rsidR="00236C87" w:rsidRPr="00A74311" w:rsidRDefault="00236C87" w:rsidP="00B3527A">
      <w:pPr>
        <w:spacing w:after="0" w:line="240" w:lineRule="auto"/>
        <w:contextualSpacing/>
        <w:jc w:val="both"/>
        <w:rPr>
          <w:rFonts w:asciiTheme="minorHAnsi" w:eastAsiaTheme="minorHAnsi" w:hAnsiTheme="minorHAnsi" w:cstheme="minorHAnsi"/>
          <w:bCs/>
          <w:color w:val="000000"/>
        </w:rPr>
      </w:pPr>
    </w:p>
    <w:p w:rsidR="00236C87" w:rsidRPr="00A74311" w:rsidRDefault="00236C87" w:rsidP="00B3527A">
      <w:pPr>
        <w:spacing w:after="0" w:line="240" w:lineRule="auto"/>
        <w:contextualSpacing/>
        <w:jc w:val="both"/>
        <w:rPr>
          <w:rFonts w:asciiTheme="minorHAnsi" w:eastAsiaTheme="minorHAnsi" w:hAnsiTheme="minorHAnsi" w:cstheme="minorHAnsi"/>
          <w:bCs/>
          <w:color w:val="000000"/>
        </w:rPr>
      </w:pPr>
      <w:r w:rsidRPr="00A74311">
        <w:rPr>
          <w:rFonts w:asciiTheme="minorHAnsi" w:eastAsiaTheme="minorHAnsi" w:hAnsiTheme="minorHAnsi" w:cstheme="minorHAnsi"/>
          <w:bCs/>
          <w:color w:val="000000"/>
        </w:rPr>
        <w:t>El 14 de agosto de 2017 por ausencia de una asistencia médica oportuna, adecuada y correcta; falleció Mavélita Interiano una de las niñas amparadas por las sentencias judiciales, su muerte pudo haber sido prevenida si se cumplieran los protocolos existentes en salud y la prestación de atención efectiva y  eficaz  por parte del Estado</w:t>
      </w:r>
      <w:r w:rsidRPr="00A74311">
        <w:rPr>
          <w:rStyle w:val="FootnoteReference"/>
          <w:rFonts w:asciiTheme="minorHAnsi" w:eastAsiaTheme="minorHAnsi" w:hAnsiTheme="minorHAnsi" w:cstheme="minorHAnsi"/>
          <w:bCs/>
          <w:color w:val="000000"/>
        </w:rPr>
        <w:footnoteReference w:id="8"/>
      </w:r>
    </w:p>
    <w:p w:rsidR="0040083D" w:rsidRPr="00A74311" w:rsidRDefault="0040083D" w:rsidP="00B3527A">
      <w:pPr>
        <w:pStyle w:val="Default"/>
        <w:jc w:val="both"/>
        <w:rPr>
          <w:rFonts w:asciiTheme="minorHAnsi" w:hAnsiTheme="minorHAnsi" w:cstheme="minorHAnsi"/>
          <w:bCs/>
          <w:sz w:val="22"/>
          <w:szCs w:val="22"/>
        </w:rPr>
      </w:pPr>
    </w:p>
    <w:p w:rsidR="00236C87" w:rsidRPr="00A74311" w:rsidRDefault="00236C87" w:rsidP="00B3527A">
      <w:pPr>
        <w:spacing w:after="0" w:line="240" w:lineRule="auto"/>
        <w:jc w:val="both"/>
        <w:rPr>
          <w:rFonts w:asciiTheme="minorHAnsi" w:hAnsiTheme="minorHAnsi" w:cstheme="minorHAnsi"/>
          <w:lang w:eastAsia="es-ES"/>
        </w:rPr>
      </w:pPr>
      <w:r w:rsidRPr="00A74311">
        <w:rPr>
          <w:rFonts w:asciiTheme="minorHAnsi" w:hAnsiTheme="minorHAnsi" w:cstheme="minorHAnsi"/>
          <w:lang w:eastAsia="es-ES"/>
        </w:rPr>
        <w:t>Las medidas ordenadas por el Juez de Zacapa a favor de los niños desnutridos de Camotán, en realidad, corresponden a las obligaciones ya existentes de las distintas instituciones del Estado, en cumplimiento con lo que estipulan la legislación interna y el derecho internacional de derechos humanos vigente en Guatemala.</w:t>
      </w:r>
    </w:p>
    <w:p w:rsidR="009D0693" w:rsidRPr="00A74311" w:rsidRDefault="009D0693" w:rsidP="00B3527A">
      <w:pPr>
        <w:spacing w:after="0" w:line="240" w:lineRule="auto"/>
        <w:jc w:val="both"/>
        <w:rPr>
          <w:rFonts w:asciiTheme="minorHAnsi" w:hAnsiTheme="minorHAnsi" w:cstheme="minorHAnsi"/>
          <w:lang w:eastAsia="es-ES"/>
        </w:rPr>
      </w:pPr>
    </w:p>
    <w:p w:rsidR="009D0693" w:rsidRPr="00A74311" w:rsidRDefault="00340849" w:rsidP="00B3527A">
      <w:pPr>
        <w:spacing w:after="0" w:line="240" w:lineRule="auto"/>
        <w:jc w:val="both"/>
        <w:rPr>
          <w:rFonts w:asciiTheme="minorHAnsi" w:hAnsiTheme="minorHAnsi" w:cstheme="minorHAnsi"/>
          <w:bCs/>
        </w:rPr>
      </w:pPr>
      <w:r w:rsidRPr="00A74311">
        <w:rPr>
          <w:rFonts w:asciiTheme="minorHAnsi" w:hAnsiTheme="minorHAnsi" w:cstheme="minorHAnsi"/>
          <w:lang w:eastAsia="es-ES"/>
        </w:rPr>
        <w:t xml:space="preserve">Es necesario que el Estado tome en consideración y cumpla con las recomendaciones realizadas por el </w:t>
      </w:r>
      <w:r w:rsidR="009D0693" w:rsidRPr="00A74311">
        <w:rPr>
          <w:rFonts w:asciiTheme="minorHAnsi" w:hAnsiTheme="minorHAnsi" w:cstheme="minorHAnsi"/>
          <w:lang w:eastAsia="es-ES"/>
        </w:rPr>
        <w:t>Comité</w:t>
      </w:r>
      <w:r w:rsidRPr="00A74311">
        <w:rPr>
          <w:rFonts w:asciiTheme="minorHAnsi" w:hAnsiTheme="minorHAnsi" w:cstheme="minorHAnsi"/>
          <w:lang w:eastAsia="es-ES"/>
        </w:rPr>
        <w:t xml:space="preserve"> DESC, </w:t>
      </w:r>
      <w:r w:rsidRPr="00A74311">
        <w:rPr>
          <w:rFonts w:asciiTheme="minorHAnsi" w:hAnsiTheme="minorHAnsi" w:cstheme="minorHAnsi"/>
          <w:bCs/>
        </w:rPr>
        <w:t xml:space="preserve">prevenir y combatir la desnutrición infantil, especialmente la que afecta a los niños que viven en zonas rurales;  </w:t>
      </w:r>
      <w:r w:rsidR="009D0693" w:rsidRPr="00A74311">
        <w:rPr>
          <w:rFonts w:asciiTheme="minorHAnsi" w:hAnsiTheme="minorHAnsi" w:cstheme="minorHAnsi"/>
          <w:bCs/>
        </w:rPr>
        <w:t>y cumpla con el mandato legal de respetar, garantizar , cumplir con el derecho a la alimentación de población, y con las sentencias a favor de las cuatro familias de Camotán quienes siguen a la espera de ser atendidas por una vida digna, salud, educación, agua, vivienda, trabajo</w:t>
      </w:r>
      <w:r w:rsidR="00E1369D" w:rsidRPr="00A74311">
        <w:rPr>
          <w:rFonts w:asciiTheme="minorHAnsi" w:hAnsiTheme="minorHAnsi" w:cstheme="minorHAnsi"/>
          <w:bCs/>
        </w:rPr>
        <w:t xml:space="preserve"> y </w:t>
      </w:r>
      <w:r w:rsidR="009D0693" w:rsidRPr="00A74311">
        <w:rPr>
          <w:rFonts w:asciiTheme="minorHAnsi" w:hAnsiTheme="minorHAnsi" w:cstheme="minorHAnsi"/>
          <w:bCs/>
        </w:rPr>
        <w:t xml:space="preserve">alimentación. </w:t>
      </w:r>
    </w:p>
    <w:p w:rsidR="009D0693" w:rsidRPr="00A74311" w:rsidRDefault="009D0693" w:rsidP="00B3527A">
      <w:pPr>
        <w:spacing w:after="0" w:line="240" w:lineRule="auto"/>
        <w:jc w:val="both"/>
        <w:rPr>
          <w:rFonts w:asciiTheme="minorHAnsi" w:hAnsiTheme="minorHAnsi" w:cstheme="minorHAnsi"/>
          <w:bCs/>
        </w:rPr>
      </w:pPr>
    </w:p>
    <w:p w:rsidR="0040083D" w:rsidRPr="00A74311" w:rsidRDefault="009D0693" w:rsidP="00B3527A">
      <w:pPr>
        <w:spacing w:after="0" w:line="240" w:lineRule="auto"/>
        <w:jc w:val="center"/>
        <w:rPr>
          <w:rFonts w:asciiTheme="minorHAnsi" w:hAnsiTheme="minorHAnsi" w:cstheme="minorHAnsi"/>
          <w:b/>
          <w:bCs/>
        </w:rPr>
      </w:pPr>
      <w:r w:rsidRPr="00A74311">
        <w:rPr>
          <w:rFonts w:asciiTheme="minorHAnsi" w:hAnsiTheme="minorHAnsi" w:cstheme="minorHAnsi"/>
          <w:b/>
          <w:bCs/>
        </w:rPr>
        <w:t>Alimentarnos es nuestro derecho ¡Exijámoslo!</w:t>
      </w:r>
    </w:p>
    <w:p w:rsidR="0040083D" w:rsidRPr="00A74311" w:rsidRDefault="0040083D" w:rsidP="00B3527A">
      <w:pPr>
        <w:pStyle w:val="Default"/>
        <w:jc w:val="both"/>
        <w:rPr>
          <w:rFonts w:asciiTheme="minorHAnsi" w:hAnsiTheme="minorHAnsi" w:cstheme="minorHAnsi"/>
          <w:bCs/>
          <w:sz w:val="22"/>
          <w:szCs w:val="22"/>
        </w:rPr>
      </w:pPr>
    </w:p>
    <w:p w:rsidR="0040083D" w:rsidRPr="00A74311" w:rsidRDefault="0040083D" w:rsidP="00B3527A">
      <w:pPr>
        <w:pStyle w:val="Default"/>
        <w:jc w:val="both"/>
        <w:rPr>
          <w:rFonts w:asciiTheme="minorHAnsi" w:hAnsiTheme="minorHAnsi" w:cstheme="minorHAnsi"/>
          <w:bCs/>
          <w:sz w:val="22"/>
          <w:szCs w:val="22"/>
        </w:rPr>
      </w:pPr>
    </w:p>
    <w:p w:rsidR="009D0693" w:rsidRPr="00A74311" w:rsidRDefault="00896A85" w:rsidP="00896A85">
      <w:pPr>
        <w:jc w:val="both"/>
        <w:rPr>
          <w:rFonts w:asciiTheme="minorHAnsi" w:hAnsiTheme="minorHAnsi" w:cstheme="minorHAnsi"/>
          <w:u w:val="single"/>
        </w:rPr>
      </w:pPr>
      <w:r w:rsidRPr="00A74311">
        <w:rPr>
          <w:rFonts w:asciiTheme="minorHAnsi" w:hAnsiTheme="minorHAnsi" w:cstheme="minorHAnsi"/>
          <w:b/>
          <w:u w:val="single"/>
        </w:rPr>
        <w:t>Recursos genéticos para la agricultura y la alimentación recursos genéticos para la agricultura y la alimentación</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Los transgénicos en Guatemala han sido una amenaza para</w:t>
      </w:r>
      <w:r w:rsidR="00E1369D" w:rsidRPr="00A74311">
        <w:rPr>
          <w:rFonts w:asciiTheme="minorHAnsi" w:hAnsiTheme="minorHAnsi" w:cstheme="minorHAnsi"/>
        </w:rPr>
        <w:t xml:space="preserve"> la alimentación de los pueblos</w:t>
      </w:r>
      <w:r w:rsidRPr="00A74311">
        <w:rPr>
          <w:rFonts w:asciiTheme="minorHAnsi" w:hAnsiTheme="minorHAnsi" w:cstheme="minorHAnsi"/>
        </w:rPr>
        <w:t xml:space="preserve">, no existe evidencia científica que sustente que los transgénicos son beneficiosos, al contrario son innumerables testimonios y razones de base científica que los rechazan, recientemente se aprobó el 1 de octubre de 2019 el Reglamento Técnico de Bíoseguridad de Organismos vivos Modificados OVMs para usos agropecuarios, este reglamento se deriva de un acuerdo ministerial aduanero entre Guatemala, Honduras y El Salvador, contenido en el protocolo habilitante, inmerso en tratados de libre comercio reconocidos por la Organización Mundial de Comercio OMC, en ese sentido y dado el enfoque de este reglamento, claramente puede evidenciarse que su carácter es eminentemente comercial y no contiene enfoque de derechos, derecho humano a la alimentación, respeto del conocimiento ancestral y los derechos de los pueblos indígenas, protección a la biodiversidad y los bienes naturales, derecho a la salud. </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El reglamento es inconstitucional porque contraviene los artículos 2, 44, 46, 64, 66, 67, 94, 97, 99, 153 y 154 de la Constitución Política de la República de Guatemala.</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 xml:space="preserve">Para este reglamento debe aplicarse el </w:t>
      </w:r>
      <w:r w:rsidRPr="00A74311">
        <w:rPr>
          <w:rFonts w:asciiTheme="minorHAnsi" w:hAnsiTheme="minorHAnsi" w:cstheme="minorHAnsi"/>
          <w:bCs/>
        </w:rPr>
        <w:t>principio de precaución o principio precautorio</w:t>
      </w:r>
      <w:r w:rsidR="00E1369D" w:rsidRPr="00A74311">
        <w:rPr>
          <w:rFonts w:asciiTheme="minorHAnsi" w:hAnsiTheme="minorHAnsi" w:cstheme="minorHAnsi"/>
          <w:bCs/>
        </w:rPr>
        <w:t>,</w:t>
      </w:r>
      <w:r w:rsidRPr="00A74311">
        <w:rPr>
          <w:rFonts w:asciiTheme="minorHAnsi" w:hAnsiTheme="minorHAnsi" w:cstheme="minorHAnsi"/>
        </w:rPr>
        <w:t xml:space="preserve"> es un concepto que respalda la adopción de medidas protectoras ante las sospechas fundadas de que ciertos productos o tecnologías crean un riesgo grave para la salud pública o el medio ambiente, pero sin que se cuente todavía con una prueba científica definitiva</w:t>
      </w:r>
      <w:r w:rsidR="00E1369D" w:rsidRPr="00A74311">
        <w:rPr>
          <w:rStyle w:val="FootnoteReference"/>
          <w:rFonts w:asciiTheme="minorHAnsi" w:hAnsiTheme="minorHAnsi" w:cstheme="minorHAnsi"/>
        </w:rPr>
        <w:footnoteReference w:id="9"/>
      </w:r>
      <w:r w:rsidRPr="00A74311">
        <w:rPr>
          <w:rFonts w:asciiTheme="minorHAnsi" w:hAnsiTheme="minorHAnsi" w:cstheme="minorHAnsi"/>
        </w:rPr>
        <w:t>.</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La Declaración de Rio sobre el Medio Ambiente y el Desarrollo establecida en el año 1993 indican en el principio No. 15 lo siguiente:</w:t>
      </w:r>
    </w:p>
    <w:p w:rsidR="009D0693" w:rsidRPr="00A74311" w:rsidRDefault="009D0693" w:rsidP="00BC0204">
      <w:pPr>
        <w:spacing w:line="240" w:lineRule="auto"/>
        <w:ind w:left="708"/>
        <w:jc w:val="both"/>
        <w:rPr>
          <w:rFonts w:asciiTheme="minorHAnsi" w:hAnsiTheme="minorHAnsi" w:cstheme="minorHAnsi"/>
          <w:i/>
        </w:rPr>
      </w:pPr>
      <w:r w:rsidRPr="00A74311">
        <w:rPr>
          <w:rFonts w:asciiTheme="minorHAnsi" w:hAnsiTheme="minorHAnsi" w:cstheme="minorHAnsi"/>
          <w:i/>
        </w:rPr>
        <w:t xml:space="preserve">“Con el fin de proteger el medio ambiente, los Estados deberán aplicar ampliamente el criterio de precaución conforme a sus capacidades. Cuando haya peligro de daño grave o irreversible, la falta de certeza científica absoluta no deberá utilizarse como razón para postergar la adopción de medidas eficaces en función de los costos para impedir la degradación del medio ambiente”. </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En ese sentido el Estado de Guatemala y en especial el Gobierno está poniendo en grave riesgo a la población y medio ambiente al aprobar y poner en vigencia el REGLAMENTO DE BIOSEGURIDAD DE ORGANISMOS VIVOS MODIFICADOS OVMs PARA USOS AGROPECUARIOS RT67.06.01:1S sin tener certeza sobre los daños que pueden ocasionar los transgénicos y los paquetes tecnológicos necesarios para su reproducción.</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La agricultura convencional ha tenido como único objetivo incrementar la productividad sin considerar las consecuencias sobre el ambiente y la salud de la población.</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Junto con las semillas transgénicas se impulsa, en los últimos años, un modelo que incluye el monocultivo, el uso indiscriminado de fertilizantes sintéticos y pesticidas, la mecanización del campo, lo que ha producido el deterioro de la cubierta vegetal, la erosión y salinización del suelo, la disminución de los mantos freáticos.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En abril del 2008, un equipo de cientíﬁcos y expertos intergubernamentales presentó un informe de 2 000 páginas, conocido como IAASTD</w:t>
      </w:r>
      <w:r w:rsidR="00E1369D" w:rsidRPr="00A74311">
        <w:rPr>
          <w:rStyle w:val="FootnoteReference"/>
          <w:rFonts w:asciiTheme="minorHAnsi" w:hAnsiTheme="minorHAnsi" w:cstheme="minorHAnsi"/>
        </w:rPr>
        <w:footnoteReference w:id="10"/>
      </w:r>
      <w:r w:rsidRPr="00A74311">
        <w:rPr>
          <w:rFonts w:asciiTheme="minorHAnsi" w:hAnsiTheme="minorHAnsi" w:cstheme="minorHAnsi"/>
        </w:rPr>
        <w:t>, luego de 5 años de trabajo sobre un nuevo paradigma agrícola. En él participaron 400 autores principales y contó, además, con la contribución de cientos de expertos de todo el mundo, de muchas disciplinas.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El IAASTD da mensajes concluyentes sobre el futuro del desarrollo del conocimiento agrícola, la ciencia y la tecnología.</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 xml:space="preserve">El informe subraya la necesidad de un profundo replanteamiento del enfoque con el que se debe pensar la agricultura para el siglo XXI.  Admite la falta de capacidad del “mercado” para asegurar los alimentos a los pobres. </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El informe cuestionó la biotecnología agrícola y enfatizó el rol que los organismos genéticamente modiﬁcados han tenido en la alteración de la biodiversidad y los ecosistemas. También manifestó su preocupación por el creciente control que las corporaciones tienen sobre las semillas, lo que terminará arruinando el sustento de los pequeños agricultores. Además, expresó su preocupación por la transformación de cultivos alimenticios en combustibles y el impacto que puede tener esto en el precio de los alimentos.</w:t>
      </w:r>
      <w:r w:rsidR="00E1369D" w:rsidRPr="00A74311">
        <w:rPr>
          <w:rFonts w:asciiTheme="minorHAnsi" w:hAnsiTheme="minorHAnsi" w:cstheme="minorHAnsi"/>
        </w:rPr>
        <w:t xml:space="preserve"> </w:t>
      </w:r>
      <w:r w:rsidRPr="00A74311">
        <w:rPr>
          <w:rFonts w:asciiTheme="minorHAnsi" w:hAnsiTheme="minorHAnsi" w:cstheme="minorHAnsi"/>
        </w:rPr>
        <w:t>Este estudio fue respaldado por la FAO, UNICEF, OMS, PNUDMA, entre otras dependencias internacionales.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 xml:space="preserve">Las propias cifras de la FAO muestran que desde la Revolución Verde (introducción del paquete tecnológico de mecanización, semillas híbridas e insumos químicos en agricultura), aumentó el volumen de producción agrícola y que el hambre en el mundo creció en proporciones mucho mayores en la misma época, en particular en las zonas rurales. </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A su vez, la actual crisis de alimentos no se debe a una situación de escasez, pues la producción global de alimentos fue récord, sino a la especulación ﬁnanciera y de quienes controlan la distribución. Esto demuestra que el hecho de que exista hambre y pobreza no es un fenómeno tecnológico, sino político y de control de recursos. La concentración sin precedentes de las empresas biotecnológicas que controlan los OVMs, lo único que asegura es que la brecha entre pobres y ricos aumente, al perder los agricultores el control de las semillas y concentrar más los medios de producción agrícola, dependiendo de las transnacionales.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Cuando se aborda al problema de la alimentación simplemente como la necesidad de producir suﬁcientes alimentos para la población, surgen como alternativas respuestas tecnológicas como las semillas transgénicas, a pesar de que hasta hoy, la siembra industrial de semillas de soya, maíz y algodón transgénico no ha solucionado, sino que ha agudizado los problemas de los alimentos en el mundo, porque ha sido diseñada bajo un paquete tecnológico que refuerza el proceso de expulsión de los campesinos.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Si podemos darnos cuenta hay mucha información sobre los transgénicos que no se han tomado en cuenta, los riesgos a la salud y daño al medio ambiente pueden ser graves e irreversibles, el Estado de Guatemala debe proteger a la población y no exponerla de esta manera (aprobación del REGLAMENTO OVMs), es necesario que el Gobierno dé marcha atrás y derogue dicho reglamento. Apegándose a la ley y a las apreciaciones científicas sobre los transgénicos y sus riesgos.</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Priorizar únicamente el tema comercial es inconstitucional, inmoral y va contra todo principio científico, además de violar los derechos de los pueblos a ser parte de estos procesos, los pueblos deben consultados e informados previamente.</w:t>
      </w:r>
    </w:p>
    <w:p w:rsidR="009D0693" w:rsidRPr="00A74311" w:rsidRDefault="009D0693" w:rsidP="00BC0204">
      <w:pPr>
        <w:spacing w:line="240" w:lineRule="auto"/>
        <w:jc w:val="both"/>
        <w:rPr>
          <w:rFonts w:asciiTheme="minorHAnsi" w:hAnsiTheme="minorHAnsi" w:cstheme="minorHAnsi"/>
        </w:rPr>
      </w:pPr>
      <w:r w:rsidRPr="00A74311">
        <w:rPr>
          <w:rFonts w:asciiTheme="minorHAnsi" w:hAnsiTheme="minorHAnsi" w:cstheme="minorHAnsi"/>
        </w:rPr>
        <w:t xml:space="preserve">Es evidente que este reglamento es actualmente la mayor amenaza para la alimentación en </w:t>
      </w:r>
      <w:r w:rsidR="00014B97" w:rsidRPr="00A74311">
        <w:rPr>
          <w:rFonts w:asciiTheme="minorHAnsi" w:hAnsiTheme="minorHAnsi" w:cstheme="minorHAnsi"/>
        </w:rPr>
        <w:t>Guatemala</w:t>
      </w:r>
      <w:r w:rsidRPr="00A74311">
        <w:rPr>
          <w:rFonts w:asciiTheme="minorHAnsi" w:hAnsiTheme="minorHAnsi" w:cstheme="minorHAnsi"/>
        </w:rPr>
        <w:t>, sin tomar en cuenta los factores externos como el cambio climático, pues es este un aspecto que está en manos de personas. Si los procesos jurídicos que actualmente se llevan contra el Reglamento en mención no son positivos, Guatemala se enfrentará a una agudización de los problemas alimentarios, que repercutirán en lo social, cultural, económico y político en el país, sin mencionar el aumento de la pobreza y mala alimentación de la población.</w:t>
      </w:r>
    </w:p>
    <w:p w:rsidR="00440D89" w:rsidRPr="00A74311" w:rsidRDefault="00440D89" w:rsidP="00BC0204">
      <w:pPr>
        <w:pStyle w:val="Default"/>
        <w:jc w:val="both"/>
        <w:rPr>
          <w:rFonts w:asciiTheme="minorHAnsi" w:hAnsiTheme="minorHAnsi" w:cstheme="minorHAnsi"/>
          <w:b/>
          <w:bCs/>
          <w:sz w:val="22"/>
          <w:szCs w:val="22"/>
          <w:u w:val="single"/>
        </w:rPr>
      </w:pPr>
      <w:r w:rsidRPr="00A74311">
        <w:rPr>
          <w:rFonts w:asciiTheme="minorHAnsi" w:hAnsiTheme="minorHAnsi" w:cstheme="minorHAnsi"/>
          <w:b/>
          <w:bCs/>
          <w:sz w:val="22"/>
          <w:szCs w:val="22"/>
          <w:u w:val="single"/>
        </w:rPr>
        <w:t xml:space="preserve">Derecho Humano al agua: </w:t>
      </w:r>
    </w:p>
    <w:p w:rsidR="00BC0204" w:rsidRPr="00A74311" w:rsidRDefault="00BC0204" w:rsidP="00014B97">
      <w:pPr>
        <w:spacing w:after="0" w:line="240" w:lineRule="auto"/>
        <w:jc w:val="both"/>
        <w:rPr>
          <w:rFonts w:asciiTheme="minorHAnsi" w:hAnsiTheme="minorHAnsi" w:cstheme="minorHAnsi"/>
        </w:rPr>
      </w:pPr>
    </w:p>
    <w:p w:rsidR="002D2580" w:rsidRPr="00A74311" w:rsidRDefault="002D2580" w:rsidP="00BC0204">
      <w:pPr>
        <w:spacing w:line="240" w:lineRule="auto"/>
        <w:jc w:val="both"/>
        <w:rPr>
          <w:rFonts w:asciiTheme="minorHAnsi" w:hAnsiTheme="minorHAnsi" w:cstheme="minorHAnsi"/>
        </w:rPr>
      </w:pPr>
      <w:r w:rsidRPr="00A74311">
        <w:rPr>
          <w:rFonts w:asciiTheme="minorHAnsi" w:hAnsiTheme="minorHAnsi" w:cstheme="minorHAnsi"/>
        </w:rPr>
        <w:t xml:space="preserve">El Derecho humano al agua es indispensable para una vida humana digna, que cada  persona debe de disponer de agua suficiente, saludable, aceptable, físicamente accesible y asequible para su uso personal y doméstico. En Guatemala, como en todo el mundo se cuenta con una diversidad de cosmovisiones existentes sobre la misma – unos ven un líquido no viviente, un recurso, mientras los pueblos indígenas celebran la vida del agua y su papel central en el marco de la espiritualidad maya. Se agrava con el hecho de la no existencia de una ley especifica que regule el uso, acceso y disponibilidad del agua, dando paso a una sistemática violación de este derecho, en especial a todas las comunidades que se encuentran alrededor de los proyectos agroindustriales, hidroeléctricos y de explotación de minerales; esto supone entonces un incumplimiento a los Convenios Internacionales ratificados especialmente el PIDESC. </w:t>
      </w:r>
    </w:p>
    <w:p w:rsidR="002D2580" w:rsidRPr="00A74311" w:rsidRDefault="002D2580" w:rsidP="002D2580">
      <w:pPr>
        <w:jc w:val="both"/>
        <w:rPr>
          <w:rFonts w:asciiTheme="minorHAnsi" w:hAnsiTheme="minorHAnsi" w:cstheme="minorHAnsi"/>
          <w:i/>
        </w:rPr>
      </w:pPr>
      <w:r w:rsidRPr="00A74311">
        <w:rPr>
          <w:rFonts w:asciiTheme="minorHAnsi" w:hAnsiTheme="minorHAnsi" w:cstheme="minorHAnsi"/>
        </w:rPr>
        <w:t>El marco de la Constitución Política de la República de Guatemala en su artículo 127 regula, “todas las aguas son bienes de dominio público, inalienables e imprescriptibles…..y debe establecerse una ley específica para regular su aprovechamiento, uso y goce</w:t>
      </w:r>
      <w:r w:rsidRPr="00A74311">
        <w:rPr>
          <w:rStyle w:val="FootnoteReference"/>
          <w:rFonts w:asciiTheme="minorHAnsi" w:hAnsiTheme="minorHAnsi" w:cstheme="minorHAnsi"/>
        </w:rPr>
        <w:footnoteReference w:id="11"/>
      </w:r>
      <w:r w:rsidRPr="00A74311">
        <w:rPr>
          <w:rFonts w:asciiTheme="minorHAnsi" w:hAnsiTheme="minorHAnsi" w:cstheme="minorHAnsi"/>
        </w:rPr>
        <w:t>.  Hasta el momento han surgido varias iniciativas pero todas deben superar obstáculos, polémicas y debates sobre un bien estatal que cada quien quiere para sí, el cual contradice el principio Constitucional que  “</w:t>
      </w:r>
      <w:r w:rsidRPr="00A74311">
        <w:rPr>
          <w:rFonts w:asciiTheme="minorHAnsi" w:hAnsiTheme="minorHAnsi" w:cstheme="minorHAnsi"/>
          <w:i/>
        </w:rPr>
        <w:t>todas las aguas son bienes de dominio público”.</w:t>
      </w:r>
    </w:p>
    <w:p w:rsidR="002D2580" w:rsidRPr="00A74311" w:rsidRDefault="002D2580" w:rsidP="002D2580">
      <w:pPr>
        <w:jc w:val="both"/>
        <w:rPr>
          <w:rFonts w:asciiTheme="minorHAnsi" w:hAnsiTheme="minorHAnsi" w:cstheme="minorHAnsi"/>
        </w:rPr>
      </w:pPr>
      <w:r w:rsidRPr="00A74311">
        <w:rPr>
          <w:rFonts w:asciiTheme="minorHAnsi" w:hAnsiTheme="minorHAnsi" w:cstheme="minorHAnsi"/>
        </w:rPr>
        <w:t xml:space="preserve">Respecto a la </w:t>
      </w:r>
      <w:r w:rsidRPr="00A74311">
        <w:rPr>
          <w:rFonts w:asciiTheme="minorHAnsi" w:hAnsiTheme="minorHAnsi" w:cstheme="minorHAnsi"/>
          <w:i/>
        </w:rPr>
        <w:t xml:space="preserve">Disponibilidad del Agua; </w:t>
      </w:r>
      <w:r w:rsidRPr="00A74311">
        <w:rPr>
          <w:rFonts w:asciiTheme="minorHAnsi" w:hAnsiTheme="minorHAnsi" w:cstheme="minorHAnsi"/>
        </w:rPr>
        <w:t xml:space="preserve"> los principales usos del agua en Guatemala entre 2007 y 2010, se destinó en un 37.5% para actividades de industria incluyendo la agroindustria; un 31.9% a las actividades agropecuarias y silviculturales; 24.82% para hidroeléctricas; un 3.5% a restos de actividades y solo un 2.3% utilizados para hogares</w:t>
      </w:r>
      <w:r w:rsidRPr="00A74311">
        <w:rPr>
          <w:rStyle w:val="FootnoteReference"/>
          <w:rFonts w:asciiTheme="minorHAnsi" w:hAnsiTheme="minorHAnsi" w:cstheme="minorHAnsi"/>
        </w:rPr>
        <w:footnoteReference w:id="12"/>
      </w:r>
      <w:r w:rsidRPr="00A74311">
        <w:rPr>
          <w:rFonts w:asciiTheme="minorHAnsi" w:hAnsiTheme="minorHAnsi" w:cstheme="minorHAnsi"/>
        </w:rPr>
        <w:t>. Frente a este inequitativa acceso, uso y distribución al agua, ha habido una serie de conflictos, colocando una muestra en el 2016, donde se identificaron una serie  de desvíos de ríos en la Costa Sur,  inspeccionados por el Ministerio de Ambiente y Recursos Naturales –MARN- responsabilizando a empresas de producción de caña de azúcar, palma aceitera, banano y otros productos, sin autorizaciones, contabilizando unos 50 desvíos de ríos.</w:t>
      </w:r>
      <w:r w:rsidRPr="00A74311">
        <w:rPr>
          <w:rStyle w:val="FootnoteReference"/>
          <w:rFonts w:asciiTheme="minorHAnsi" w:hAnsiTheme="minorHAnsi" w:cstheme="minorHAnsi"/>
        </w:rPr>
        <w:footnoteReference w:id="13"/>
      </w:r>
      <w:r w:rsidRPr="00A74311">
        <w:rPr>
          <w:rFonts w:asciiTheme="minorHAnsi" w:hAnsiTheme="minorHAnsi" w:cstheme="minorHAnsi"/>
        </w:rPr>
        <w:t xml:space="preserve"> En esta ocasión se presentaron las denuncias penales correspondientes, pero por disposiciones presidenciales del Presidente de ese entonces Jimmy Morales</w:t>
      </w:r>
      <w:r w:rsidRPr="00A74311">
        <w:rPr>
          <w:rStyle w:val="FootnoteReference"/>
          <w:rFonts w:asciiTheme="minorHAnsi" w:hAnsiTheme="minorHAnsi" w:cstheme="minorHAnsi"/>
        </w:rPr>
        <w:footnoteReference w:id="14"/>
      </w:r>
      <w:r w:rsidRPr="00A74311">
        <w:rPr>
          <w:rFonts w:asciiTheme="minorHAnsi" w:hAnsiTheme="minorHAnsi" w:cstheme="minorHAnsi"/>
        </w:rPr>
        <w:t xml:space="preserve">. “se llamó </w:t>
      </w:r>
      <w:r w:rsidR="00014B97" w:rsidRPr="00A74311">
        <w:rPr>
          <w:rFonts w:asciiTheme="minorHAnsi" w:hAnsiTheme="minorHAnsi" w:cstheme="minorHAnsi"/>
        </w:rPr>
        <w:t>diálogos</w:t>
      </w:r>
      <w:r w:rsidRPr="00A74311">
        <w:rPr>
          <w:rFonts w:asciiTheme="minorHAnsi" w:hAnsiTheme="minorHAnsi" w:cstheme="minorHAnsi"/>
        </w:rPr>
        <w:t xml:space="preserve"> entre las partes y evitar procesos penales.  Como referencia de este hecho, mencionamos el “Caso de las empresas de palma africana y banano en el Municipio de la Blanca del Departamento de San Marcos”, en cuanto al uso de agua para riego</w:t>
      </w:r>
      <w:r w:rsidRPr="00A74311">
        <w:rPr>
          <w:rStyle w:val="FootnoteReference"/>
          <w:rFonts w:asciiTheme="minorHAnsi" w:hAnsiTheme="minorHAnsi" w:cstheme="minorHAnsi"/>
        </w:rPr>
        <w:footnoteReference w:id="15"/>
      </w:r>
      <w:r w:rsidRPr="00A74311">
        <w:rPr>
          <w:rFonts w:asciiTheme="minorHAnsi" w:hAnsiTheme="minorHAnsi" w:cstheme="minorHAnsi"/>
        </w:rPr>
        <w:t xml:space="preserve"> El total del consumo para riego de las plantaciones en el área suma alrededor de 24.7 millones de metros cúbico al año, lo que equivale al uso para consumo humano de 68,740 hogares. Representa un consumo mínimo de 33 millones de metros cúbicos al año, 4% del agua almacenada en el suelo el año anterior en toda la cuenca  de los Rio Naranjo-Ocosito.  El caso má</w:t>
      </w:r>
      <w:r w:rsidR="00BC0204" w:rsidRPr="00A74311">
        <w:rPr>
          <w:rFonts w:asciiTheme="minorHAnsi" w:hAnsiTheme="minorHAnsi" w:cstheme="minorHAnsi"/>
        </w:rPr>
        <w:t>s dramático es el del Rio Ocosito</w:t>
      </w:r>
      <w:r w:rsidRPr="00A74311">
        <w:rPr>
          <w:rFonts w:asciiTheme="minorHAnsi" w:hAnsiTheme="minorHAnsi" w:cstheme="minorHAnsi"/>
        </w:rPr>
        <w:t xml:space="preserve"> que ha sido concesionado totalmente a las empresas productoras de palma aceitera y banano para la exportación. Se autorizó el uso, manejo y aprovechamiento de agua por parte del M</w:t>
      </w:r>
      <w:r w:rsidR="00BC0204" w:rsidRPr="00A74311">
        <w:rPr>
          <w:rFonts w:asciiTheme="minorHAnsi" w:hAnsiTheme="minorHAnsi" w:cstheme="minorHAnsi"/>
        </w:rPr>
        <w:t xml:space="preserve">inisterio de </w:t>
      </w:r>
      <w:r w:rsidRPr="00A74311">
        <w:rPr>
          <w:rFonts w:asciiTheme="minorHAnsi" w:hAnsiTheme="minorHAnsi" w:cstheme="minorHAnsi"/>
        </w:rPr>
        <w:t>A</w:t>
      </w:r>
      <w:r w:rsidR="00BC0204" w:rsidRPr="00A74311">
        <w:rPr>
          <w:rFonts w:asciiTheme="minorHAnsi" w:hAnsiTheme="minorHAnsi" w:cstheme="minorHAnsi"/>
        </w:rPr>
        <w:t>gricultura Ganadería y Alimentación,</w:t>
      </w:r>
      <w:r w:rsidRPr="00A74311">
        <w:rPr>
          <w:rFonts w:asciiTheme="minorHAnsi" w:hAnsiTheme="minorHAnsi" w:cstheme="minorHAnsi"/>
        </w:rPr>
        <w:t xml:space="preserve"> que si bien  llevo registros de las  concesiones de uso y aprovechamiento, aprobaron un total de 4,105 L/s del río Ocosito, el cual tiene un caudal total aforado en época de estiaje de 4,266 L/s.  Es decir, autorizaron dejar sin agua al río Ocosito durante la época seca, sin ninguna consideración a la integridad de los ecosistemas acuáticos aguas abajo, ni de los otros usos del agua a la población local, amparados de acuerdos ministeriales que vulneran el principio de reserva legal que nos refiere el artículo 127 constitucional.  Y esto sin contar las otras solicitudes de uso y aprovechamiento que suman más de 6,000 l/s que están pendientes de autorizar, que al ser organizado el reciente MARN, autoriza, sin considerar las recomendaciones que deja el MAGA con una comunicación oficial mediante un oficio UNR-AAS-113-2003. </w:t>
      </w:r>
    </w:p>
    <w:p w:rsidR="002D2580" w:rsidRPr="00A74311" w:rsidRDefault="002D2580" w:rsidP="002D2580">
      <w:pPr>
        <w:jc w:val="both"/>
        <w:rPr>
          <w:rFonts w:asciiTheme="minorHAnsi" w:hAnsiTheme="minorHAnsi" w:cstheme="minorHAnsi"/>
        </w:rPr>
      </w:pPr>
      <w:r w:rsidRPr="00A74311">
        <w:rPr>
          <w:rFonts w:asciiTheme="minorHAnsi" w:hAnsiTheme="minorHAnsi" w:cstheme="minorHAnsi"/>
        </w:rPr>
        <w:t xml:space="preserve">Para los grupos vulnerables (mujeres, niños y personas de la tercera edad) en especial de esta región para </w:t>
      </w:r>
      <w:r w:rsidR="000C095A">
        <w:rPr>
          <w:rFonts w:asciiTheme="minorHAnsi" w:hAnsiTheme="minorHAnsi" w:cstheme="minorHAnsi"/>
        </w:rPr>
        <w:t>Acceder al agua:</w:t>
      </w:r>
      <w:r w:rsidRPr="00A74311">
        <w:rPr>
          <w:rFonts w:asciiTheme="minorHAnsi" w:hAnsiTheme="minorHAnsi" w:cstheme="minorHAnsi"/>
        </w:rPr>
        <w:t xml:space="preserve"> En principio debe recorrer distancias para acceder a fuentes de agua, debido que los pozos domiciliares y los ríos están contaminados por las constantes aspersiones y  las correntias de lodos con sedimentos de los químicos utilizados en las plantaciones y las empacadoras de bananos.  Sin contar los gastos que les ocasionan a las familias adicionales para la constante compra de agua embotellada para beber, que significa por lo menos unos Q300.00 quetzales mensuales, para ingresos económicos familiares menor de Q1,000 quetzales, que son datos identificados por un estudio realizado por la Pastoral de la Tierra. </w:t>
      </w:r>
    </w:p>
    <w:p w:rsidR="002D2580" w:rsidRPr="00A74311" w:rsidRDefault="002D2580" w:rsidP="002D2580">
      <w:pPr>
        <w:spacing w:after="0" w:line="240" w:lineRule="auto"/>
        <w:jc w:val="both"/>
        <w:rPr>
          <w:rFonts w:asciiTheme="minorHAnsi" w:hAnsiTheme="minorHAnsi" w:cstheme="minorHAnsi"/>
        </w:rPr>
      </w:pPr>
      <w:r w:rsidRPr="00A74311">
        <w:rPr>
          <w:rFonts w:asciiTheme="minorHAnsi" w:hAnsiTheme="minorHAnsi" w:cstheme="minorHAnsi"/>
        </w:rPr>
        <w:t xml:space="preserve">La </w:t>
      </w:r>
      <w:r w:rsidR="000C095A">
        <w:rPr>
          <w:rFonts w:asciiTheme="minorHAnsi" w:hAnsiTheme="minorHAnsi" w:cstheme="minorHAnsi"/>
        </w:rPr>
        <w:t xml:space="preserve">calidad del agua </w:t>
      </w:r>
      <w:r w:rsidRPr="00A74311">
        <w:rPr>
          <w:rFonts w:asciiTheme="minorHAnsi" w:hAnsiTheme="minorHAnsi" w:cstheme="minorHAnsi"/>
        </w:rPr>
        <w:t>es otro aspecto importante, según Política Nacional del Sector de Agua Potable y Saneamiento el 90% de aguas contaminadas</w:t>
      </w:r>
      <w:r w:rsidRPr="00A74311">
        <w:rPr>
          <w:rStyle w:val="FootnoteReference"/>
          <w:rFonts w:asciiTheme="minorHAnsi" w:hAnsiTheme="minorHAnsi" w:cstheme="minorHAnsi"/>
        </w:rPr>
        <w:footnoteReference w:id="16"/>
      </w:r>
      <w:r w:rsidRPr="00A74311">
        <w:rPr>
          <w:rFonts w:asciiTheme="minorHAnsi" w:hAnsiTheme="minorHAnsi" w:cstheme="minorHAnsi"/>
        </w:rPr>
        <w:t xml:space="preserve">  y se estima que solo el 15% del agua abastecida por los sistemas de red es desinfectada previamente de acuerdo con los parámetros mínimos que sobre particular exigen las normas y que solo el 25% de los municipios cuentan con algún sistema de  desinfección, desconociéndose el estado de funcionamiento de los mismos</w:t>
      </w:r>
      <w:r w:rsidRPr="00A74311">
        <w:rPr>
          <w:rStyle w:val="FootnoteReference"/>
          <w:rFonts w:asciiTheme="minorHAnsi" w:hAnsiTheme="minorHAnsi" w:cstheme="minorHAnsi"/>
        </w:rPr>
        <w:footnoteReference w:id="17"/>
      </w:r>
      <w:r w:rsidRPr="00A74311">
        <w:rPr>
          <w:rFonts w:asciiTheme="minorHAnsi" w:hAnsiTheme="minorHAnsi" w:cstheme="minorHAnsi"/>
        </w:rPr>
        <w:t>. El Ministerio de Salud Pública y Asistencia Social (MSPAS),  a través de Sistema Integral de Atención (SIAS), realizan el control de calidad de agua suministrada, sin embargo, la escasez de recursos y la limitada vigilancia ha llevado a que el sistema práctic</w:t>
      </w:r>
      <w:r w:rsidR="00605CA3">
        <w:rPr>
          <w:rFonts w:asciiTheme="minorHAnsi" w:hAnsiTheme="minorHAnsi" w:cstheme="minorHAnsi"/>
        </w:rPr>
        <w:t xml:space="preserve">amente carezca de efectividad. </w:t>
      </w:r>
      <w:r w:rsidRPr="00A74311">
        <w:rPr>
          <w:rFonts w:asciiTheme="minorHAnsi" w:hAnsiTheme="minorHAnsi" w:cstheme="minorHAnsi"/>
        </w:rPr>
        <w:t>La calidad de agua, afecta directamente a la transmisión de enfermedades de tipo infeccioso, gastrointestinal y en consecuencia diarreica aguda, parasitismo intestinal y otros, siendo la diarreica aguda las primeras 5 causas de morbilidad y mortalidad en el país.</w:t>
      </w:r>
      <w:r w:rsidRPr="00A74311">
        <w:rPr>
          <w:rStyle w:val="FootnoteReference"/>
          <w:rFonts w:asciiTheme="minorHAnsi" w:hAnsiTheme="minorHAnsi" w:cstheme="minorHAnsi"/>
        </w:rPr>
        <w:footnoteReference w:id="18"/>
      </w:r>
      <w:r w:rsidRPr="00A74311">
        <w:rPr>
          <w:rFonts w:asciiTheme="minorHAnsi" w:hAnsiTheme="minorHAnsi" w:cstheme="minorHAnsi"/>
        </w:rPr>
        <w:t xml:space="preserve"> Al referirnos siempre a las circunstancias que se viven en el Municipio de La Blanca</w:t>
      </w:r>
      <w:r w:rsidR="00605CA3">
        <w:rPr>
          <w:rStyle w:val="FootnoteReference"/>
          <w:rFonts w:asciiTheme="minorHAnsi" w:hAnsiTheme="minorHAnsi" w:cstheme="minorHAnsi"/>
        </w:rPr>
        <w:footnoteReference w:id="19"/>
      </w:r>
      <w:r w:rsidRPr="00A74311">
        <w:rPr>
          <w:rFonts w:asciiTheme="minorHAnsi" w:hAnsiTheme="minorHAnsi" w:cstheme="minorHAnsi"/>
        </w:rPr>
        <w:t xml:space="preserve">, es dramático porque todas las fuentes de abastecimiento se encuentran contaminadas por los agroquímicos de las plantaciones en especial por los  productores de palma aceitera, como referencia la Planta extractora de Aceite “Minerva”, que reporta por parte del MARN Cromo hexavalente: 0.62 mg/L, Sólidos suspendidos: 2,379.2 mg/L, Materia flotante, y Fósforo total: 1,16.5 mg/L. </w:t>
      </w:r>
    </w:p>
    <w:p w:rsidR="002D2580" w:rsidRPr="00A74311" w:rsidRDefault="002D2580" w:rsidP="002D2580">
      <w:pPr>
        <w:spacing w:after="0" w:line="240" w:lineRule="auto"/>
        <w:jc w:val="both"/>
        <w:rPr>
          <w:rFonts w:asciiTheme="minorHAnsi" w:hAnsiTheme="minorHAnsi" w:cstheme="minorHAnsi"/>
        </w:rPr>
      </w:pPr>
    </w:p>
    <w:p w:rsidR="002D2580" w:rsidRPr="00A74311" w:rsidRDefault="002D2580" w:rsidP="00D03F4B">
      <w:pPr>
        <w:jc w:val="both"/>
        <w:rPr>
          <w:rFonts w:asciiTheme="minorHAnsi" w:hAnsiTheme="minorHAnsi" w:cstheme="minorHAnsi"/>
        </w:rPr>
      </w:pPr>
    </w:p>
    <w:p w:rsidR="00BC0204" w:rsidRDefault="00BC0204" w:rsidP="00D03F4B">
      <w:pPr>
        <w:jc w:val="both"/>
        <w:rPr>
          <w:rFonts w:asciiTheme="minorHAnsi" w:hAnsiTheme="minorHAnsi" w:cstheme="minorHAnsi"/>
        </w:rPr>
      </w:pPr>
    </w:p>
    <w:p w:rsidR="00014B97" w:rsidRDefault="00014B97" w:rsidP="00D03F4B">
      <w:pPr>
        <w:jc w:val="both"/>
        <w:rPr>
          <w:rFonts w:asciiTheme="minorHAnsi" w:hAnsiTheme="minorHAnsi" w:cstheme="minorHAnsi"/>
        </w:rPr>
      </w:pPr>
    </w:p>
    <w:p w:rsidR="00014B97" w:rsidRDefault="00014B97" w:rsidP="00D03F4B">
      <w:pPr>
        <w:jc w:val="both"/>
        <w:rPr>
          <w:rFonts w:asciiTheme="minorHAnsi" w:hAnsiTheme="minorHAnsi" w:cstheme="minorHAnsi"/>
        </w:rPr>
      </w:pPr>
    </w:p>
    <w:p w:rsidR="00014B97" w:rsidRDefault="00014B97" w:rsidP="00D03F4B">
      <w:pPr>
        <w:jc w:val="both"/>
        <w:rPr>
          <w:rFonts w:asciiTheme="minorHAnsi" w:hAnsiTheme="minorHAnsi" w:cstheme="minorHAnsi"/>
        </w:rPr>
      </w:pPr>
    </w:p>
    <w:p w:rsidR="00014B97" w:rsidRPr="00A74311" w:rsidRDefault="00014B97" w:rsidP="00D03F4B">
      <w:pPr>
        <w:jc w:val="both"/>
        <w:rPr>
          <w:rFonts w:asciiTheme="minorHAnsi" w:hAnsiTheme="minorHAnsi" w:cstheme="minorHAnsi"/>
        </w:rPr>
      </w:pPr>
    </w:p>
    <w:p w:rsidR="00BC0204" w:rsidRPr="00A74311" w:rsidRDefault="00BC0204" w:rsidP="00D03F4B">
      <w:pPr>
        <w:jc w:val="both"/>
        <w:rPr>
          <w:rFonts w:asciiTheme="minorHAnsi" w:hAnsiTheme="minorHAnsi" w:cstheme="minorHAnsi"/>
        </w:rPr>
      </w:pPr>
    </w:p>
    <w:p w:rsidR="00BC0204" w:rsidRPr="00A74311" w:rsidRDefault="00BC0204" w:rsidP="00D03F4B">
      <w:pPr>
        <w:jc w:val="both"/>
        <w:rPr>
          <w:rFonts w:asciiTheme="minorHAnsi" w:hAnsiTheme="minorHAnsi" w:cstheme="minorHAnsi"/>
        </w:rPr>
      </w:pPr>
    </w:p>
    <w:p w:rsidR="00BC0204" w:rsidRPr="00A74311" w:rsidRDefault="00BC0204" w:rsidP="00D03F4B">
      <w:pPr>
        <w:jc w:val="both"/>
        <w:rPr>
          <w:rFonts w:asciiTheme="minorHAnsi" w:hAnsiTheme="minorHAnsi" w:cstheme="minorHAnsi"/>
        </w:rPr>
      </w:pPr>
    </w:p>
    <w:p w:rsidR="00BC0204" w:rsidRPr="00A74311" w:rsidRDefault="00BC0204" w:rsidP="00D03F4B">
      <w:pPr>
        <w:jc w:val="both"/>
        <w:rPr>
          <w:rFonts w:asciiTheme="minorHAnsi" w:hAnsiTheme="minorHAnsi" w:cstheme="minorHAnsi"/>
        </w:rPr>
      </w:pPr>
    </w:p>
    <w:p w:rsidR="00BC0204" w:rsidRPr="00A74311" w:rsidRDefault="00BC0204" w:rsidP="00D03F4B">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6923C" w:themeFill="accent3" w:themeFillShade="BF"/>
        <w:tblLook w:val="04A0" w:firstRow="1" w:lastRow="0" w:firstColumn="1" w:lastColumn="0" w:noHBand="0" w:noVBand="1"/>
      </w:tblPr>
      <w:tblGrid>
        <w:gridCol w:w="8978"/>
      </w:tblGrid>
      <w:tr w:rsidR="001E6B4C" w:rsidRPr="00A74311" w:rsidTr="00824CF2">
        <w:tc>
          <w:tcPr>
            <w:tcW w:w="8978" w:type="dxa"/>
            <w:shd w:val="clear" w:color="auto" w:fill="76923C" w:themeFill="accent3" w:themeFillShade="BF"/>
          </w:tcPr>
          <w:p w:rsidR="001E6B4C" w:rsidRPr="00A74311" w:rsidRDefault="001E6B4C" w:rsidP="00824CF2">
            <w:pPr>
              <w:spacing w:after="0" w:line="240" w:lineRule="auto"/>
              <w:rPr>
                <w:rFonts w:cs="Calibri"/>
                <w:b/>
                <w:color w:val="FFFFFF"/>
                <w:sz w:val="28"/>
                <w:szCs w:val="24"/>
              </w:rPr>
            </w:pPr>
            <w:r w:rsidRPr="00A74311">
              <w:br w:type="page"/>
            </w:r>
          </w:p>
          <w:p w:rsidR="001E6B4C" w:rsidRPr="00A74311" w:rsidRDefault="001E6B4C" w:rsidP="00824CF2">
            <w:pPr>
              <w:spacing w:after="0" w:line="240" w:lineRule="auto"/>
              <w:rPr>
                <w:rFonts w:ascii="Copperplate Gothic Bold" w:hAnsi="Copperplate Gothic Bold" w:cs="Calibri"/>
                <w:b/>
                <w:color w:val="FFFFFF"/>
                <w:sz w:val="28"/>
                <w:szCs w:val="24"/>
              </w:rPr>
            </w:pPr>
            <w:r w:rsidRPr="00A74311">
              <w:rPr>
                <w:rFonts w:ascii="Copperplate Gothic Bold" w:hAnsi="Copperplate Gothic Bold" w:cs="Calibri"/>
                <w:b/>
                <w:color w:val="FFFFFF"/>
                <w:sz w:val="28"/>
                <w:szCs w:val="24"/>
              </w:rPr>
              <w:t xml:space="preserve">Recomendaciones </w:t>
            </w:r>
          </w:p>
          <w:p w:rsidR="001E6B4C" w:rsidRPr="00A74311" w:rsidRDefault="001E6B4C" w:rsidP="00824CF2">
            <w:pPr>
              <w:spacing w:after="0" w:line="240" w:lineRule="auto"/>
              <w:rPr>
                <w:rFonts w:cs="Calibri"/>
                <w:b/>
                <w:sz w:val="24"/>
                <w:szCs w:val="24"/>
              </w:rPr>
            </w:pPr>
          </w:p>
        </w:tc>
      </w:tr>
    </w:tbl>
    <w:p w:rsidR="001E6B4C" w:rsidRPr="00A74311" w:rsidRDefault="001E6B4C" w:rsidP="00014B97">
      <w:pPr>
        <w:spacing w:after="0"/>
        <w:rPr>
          <w:rFonts w:asciiTheme="minorHAnsi" w:hAnsiTheme="minorHAnsi" w:cstheme="minorHAnsi"/>
        </w:rPr>
      </w:pPr>
    </w:p>
    <w:p w:rsidR="00BC0204" w:rsidRPr="000C095A" w:rsidRDefault="00BC0204" w:rsidP="000C095A">
      <w:pPr>
        <w:pStyle w:val="Default"/>
        <w:numPr>
          <w:ilvl w:val="0"/>
          <w:numId w:val="5"/>
        </w:numPr>
        <w:jc w:val="both"/>
        <w:rPr>
          <w:rFonts w:asciiTheme="minorHAnsi" w:hAnsiTheme="minorHAnsi" w:cstheme="minorHAnsi"/>
          <w:sz w:val="22"/>
          <w:szCs w:val="22"/>
        </w:rPr>
      </w:pPr>
      <w:r w:rsidRPr="000C095A">
        <w:rPr>
          <w:rFonts w:asciiTheme="minorHAnsi" w:hAnsiTheme="minorHAnsi" w:cstheme="minorHAnsi"/>
          <w:sz w:val="22"/>
          <w:szCs w:val="22"/>
        </w:rPr>
        <w:t xml:space="preserve">Aumentar los porcentajes, la asignación de presupuesto para atender el Desarrollo Rural </w:t>
      </w:r>
      <w:r w:rsidR="000C095A" w:rsidRPr="000C095A">
        <w:rPr>
          <w:rFonts w:asciiTheme="minorHAnsi" w:hAnsiTheme="minorHAnsi" w:cstheme="minorHAnsi"/>
          <w:sz w:val="22"/>
          <w:szCs w:val="22"/>
        </w:rPr>
        <w:t xml:space="preserve">y </w:t>
      </w:r>
      <w:r w:rsidRPr="000C095A">
        <w:rPr>
          <w:rFonts w:asciiTheme="minorHAnsi" w:hAnsiTheme="minorHAnsi" w:cstheme="minorHAnsi"/>
          <w:sz w:val="22"/>
          <w:szCs w:val="22"/>
        </w:rPr>
        <w:t>los altos índices de hambre, desnutrición y el acceso al agua, para las comunidades más vulnerables  e incrementarlos  coherentemente por los efectos negativos  de la p</w:t>
      </w:r>
      <w:r w:rsidR="000C095A" w:rsidRPr="000C095A">
        <w:rPr>
          <w:rFonts w:asciiTheme="minorHAnsi" w:hAnsiTheme="minorHAnsi" w:cstheme="minorHAnsi"/>
          <w:sz w:val="22"/>
          <w:szCs w:val="22"/>
        </w:rPr>
        <w:t>andemia.</w:t>
      </w:r>
    </w:p>
    <w:p w:rsidR="00114380" w:rsidRPr="000C095A" w:rsidRDefault="00114380"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Garantizar que los registr</w:t>
      </w:r>
      <w:r w:rsidR="00872FA5" w:rsidRPr="000C095A">
        <w:rPr>
          <w:rFonts w:asciiTheme="minorHAnsi" w:hAnsiTheme="minorHAnsi" w:cstheme="minorHAnsi"/>
        </w:rPr>
        <w:t>os de familias vulnerables por desnutrición</w:t>
      </w:r>
      <w:r w:rsidR="009F6985" w:rsidRPr="000C095A">
        <w:rPr>
          <w:rFonts w:asciiTheme="minorHAnsi" w:hAnsiTheme="minorHAnsi" w:cstheme="minorHAnsi"/>
        </w:rPr>
        <w:t xml:space="preserve"> </w:t>
      </w:r>
      <w:r w:rsidRPr="000C095A">
        <w:rPr>
          <w:rFonts w:asciiTheme="minorHAnsi" w:hAnsiTheme="minorHAnsi" w:cstheme="minorHAnsi"/>
        </w:rPr>
        <w:t xml:space="preserve">sean lo más transparente posible, motivando que las Comisiones de Seguridad Alimentaria a nivel comunitario y municipal participen activamente en su elaboración, para que intereses </w:t>
      </w:r>
      <w:r w:rsidR="00012311" w:rsidRPr="000C095A">
        <w:rPr>
          <w:rFonts w:asciiTheme="minorHAnsi" w:hAnsiTheme="minorHAnsi" w:cstheme="minorHAnsi"/>
        </w:rPr>
        <w:t xml:space="preserve">personales y </w:t>
      </w:r>
      <w:r w:rsidRPr="000C095A">
        <w:rPr>
          <w:rFonts w:asciiTheme="minorHAnsi" w:hAnsiTheme="minorHAnsi" w:cstheme="minorHAnsi"/>
        </w:rPr>
        <w:t>partidarios n</w:t>
      </w:r>
      <w:r w:rsidR="00012311" w:rsidRPr="000C095A">
        <w:rPr>
          <w:rFonts w:asciiTheme="minorHAnsi" w:hAnsiTheme="minorHAnsi" w:cstheme="minorHAnsi"/>
        </w:rPr>
        <w:t>o afecten la designación de los listados.</w:t>
      </w:r>
    </w:p>
    <w:p w:rsidR="00012311" w:rsidRPr="000C095A" w:rsidRDefault="00012311"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Definir un mecanismo</w:t>
      </w:r>
      <w:r w:rsidR="00872FA5" w:rsidRPr="000C095A">
        <w:rPr>
          <w:rFonts w:asciiTheme="minorHAnsi" w:hAnsiTheme="minorHAnsi" w:cstheme="minorHAnsi"/>
        </w:rPr>
        <w:t xml:space="preserve"> frente a la pandemia del COVID 19,</w:t>
      </w:r>
      <w:r w:rsidRPr="000C095A">
        <w:rPr>
          <w:rFonts w:asciiTheme="minorHAnsi" w:hAnsiTheme="minorHAnsi" w:cstheme="minorHAnsi"/>
        </w:rPr>
        <w:t xml:space="preserve"> para rec</w:t>
      </w:r>
      <w:r w:rsidR="000C095A" w:rsidRPr="000C095A">
        <w:rPr>
          <w:rFonts w:asciiTheme="minorHAnsi" w:hAnsiTheme="minorHAnsi" w:cstheme="minorHAnsi"/>
        </w:rPr>
        <w:t>uperar la capacidad estatal de abastecimiento de a</w:t>
      </w:r>
      <w:r w:rsidRPr="000C095A">
        <w:rPr>
          <w:rFonts w:asciiTheme="minorHAnsi" w:hAnsiTheme="minorHAnsi" w:cstheme="minorHAnsi"/>
        </w:rPr>
        <w:t>limentos, para que los apoyos alimentarios que se implementarán se sostengan con la producción local. Esto implica la activación de mecanismos para la compra y distribución de alimentos, así como la conformación de “mercados sostenibles” que garanticen la disponibilidad de alimentos de bajo costo.</w:t>
      </w:r>
    </w:p>
    <w:p w:rsidR="00151BAF" w:rsidRPr="000C095A" w:rsidRDefault="00151BAF"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Rendir cuentas periódicamente acerca de la ejecución, uso y destino del presup</w:t>
      </w:r>
      <w:r w:rsidR="00872FA5" w:rsidRPr="000C095A">
        <w:rPr>
          <w:rFonts w:asciiTheme="minorHAnsi" w:hAnsiTheme="minorHAnsi" w:cstheme="minorHAnsi"/>
        </w:rPr>
        <w:t xml:space="preserve">uesto destinado a cada programa de seguridad alimentaria, y Desarrollo Rural Integral. </w:t>
      </w:r>
    </w:p>
    <w:p w:rsidR="00872FA5" w:rsidRPr="000C095A" w:rsidRDefault="00872FA5"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 xml:space="preserve">Que el estado a través de las instituciones estatales responsables, le den cumplimiento a lo resuelto en la sentencias 638-2011, 640-2011, 637-2011, 641-2011 emitidas por el Juzgado de Niñez y Adolescencia y Adolescentes en conflicto de la Ley Penal del municipio de Zacapa y ratificadas por la Corte de Constitucionalidad según registro 5962-2014, 3380-2014, 4474-2014, 277-2015, a favor de cuatro familias del municipio de Camotán, del departamento de Chiquimula. </w:t>
      </w:r>
    </w:p>
    <w:p w:rsidR="00896A85" w:rsidRPr="000C095A" w:rsidRDefault="001E6B4C"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Que fortalezca</w:t>
      </w:r>
      <w:r w:rsidR="00896A85" w:rsidRPr="000C095A">
        <w:rPr>
          <w:rFonts w:asciiTheme="minorHAnsi" w:hAnsiTheme="minorHAnsi" w:cstheme="minorHAnsi"/>
        </w:rPr>
        <w:t xml:space="preserve"> la agricultura familiar</w:t>
      </w:r>
      <w:r w:rsidR="000C095A" w:rsidRPr="000C095A">
        <w:rPr>
          <w:rFonts w:asciiTheme="minorHAnsi" w:hAnsiTheme="minorHAnsi" w:cstheme="minorHAnsi"/>
        </w:rPr>
        <w:t xml:space="preserve"> campesina</w:t>
      </w:r>
      <w:r w:rsidR="00896A85" w:rsidRPr="000C095A">
        <w:rPr>
          <w:rFonts w:asciiTheme="minorHAnsi" w:hAnsiTheme="minorHAnsi" w:cstheme="minorHAnsi"/>
        </w:rPr>
        <w:t xml:space="preserve"> como elemento central </w:t>
      </w:r>
      <w:r w:rsidR="000C095A" w:rsidRPr="000C095A">
        <w:rPr>
          <w:rFonts w:asciiTheme="minorHAnsi" w:hAnsiTheme="minorHAnsi" w:cstheme="minorHAnsi"/>
        </w:rPr>
        <w:t xml:space="preserve">y </w:t>
      </w:r>
      <w:r w:rsidR="00896A85" w:rsidRPr="000C095A">
        <w:rPr>
          <w:rFonts w:asciiTheme="minorHAnsi" w:hAnsiTheme="minorHAnsi" w:cstheme="minorHAnsi"/>
        </w:rPr>
        <w:t>fundamental para mejorar las condiciones de vida en las áreas rurales y, por extensión, de toda la población guatemalteca.</w:t>
      </w:r>
    </w:p>
    <w:p w:rsidR="00014B97" w:rsidRPr="000C095A" w:rsidRDefault="00014B97" w:rsidP="000C095A">
      <w:pPr>
        <w:pStyle w:val="ListParagraph"/>
        <w:numPr>
          <w:ilvl w:val="0"/>
          <w:numId w:val="5"/>
        </w:numPr>
        <w:autoSpaceDE w:val="0"/>
        <w:autoSpaceDN w:val="0"/>
        <w:adjustRightInd w:val="0"/>
        <w:spacing w:after="0" w:line="240" w:lineRule="auto"/>
        <w:jc w:val="both"/>
        <w:rPr>
          <w:rFonts w:asciiTheme="minorHAnsi" w:hAnsiTheme="minorHAnsi" w:cstheme="minorHAnsi"/>
        </w:rPr>
      </w:pPr>
      <w:r w:rsidRPr="000C095A">
        <w:rPr>
          <w:rFonts w:asciiTheme="minorHAnsi" w:hAnsiTheme="minorHAnsi" w:cstheme="minorHAnsi"/>
        </w:rPr>
        <w:t xml:space="preserve">Debe de institucionalizar la Política de Desarrollo Rural Integral y el programa de agricultura familiar con presupuesto y </w:t>
      </w:r>
      <w:r w:rsidR="000C095A" w:rsidRPr="000C095A">
        <w:rPr>
          <w:rFonts w:asciiTheme="minorHAnsi" w:hAnsiTheme="minorHAnsi" w:cstheme="minorHAnsi"/>
        </w:rPr>
        <w:t>recursos públicos, para que</w:t>
      </w:r>
      <w:r w:rsidRPr="000C095A">
        <w:rPr>
          <w:rFonts w:asciiTheme="minorHAnsi" w:hAnsiTheme="minorHAnsi" w:cstheme="minorHAnsi"/>
        </w:rPr>
        <w:t xml:space="preserve"> tenga un alcance de política pública nacional, e impulsar alternativas de desarrollo integral para la población más pobre y vulnerable del país.</w:t>
      </w:r>
    </w:p>
    <w:p w:rsidR="00896A85" w:rsidRPr="000C095A" w:rsidRDefault="00872FA5"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 xml:space="preserve">Es </w:t>
      </w:r>
      <w:r w:rsidR="00AE6ED4" w:rsidRPr="000C095A">
        <w:rPr>
          <w:rFonts w:asciiTheme="minorHAnsi" w:hAnsiTheme="minorHAnsi" w:cstheme="minorHAnsi"/>
        </w:rPr>
        <w:t>necesario</w:t>
      </w:r>
      <w:r w:rsidRPr="000C095A">
        <w:rPr>
          <w:rFonts w:asciiTheme="minorHAnsi" w:hAnsiTheme="minorHAnsi" w:cstheme="minorHAnsi"/>
        </w:rPr>
        <w:t xml:space="preserve"> dotar</w:t>
      </w:r>
      <w:r w:rsidR="00896A85" w:rsidRPr="000C095A">
        <w:rPr>
          <w:rFonts w:asciiTheme="minorHAnsi" w:hAnsiTheme="minorHAnsi" w:cstheme="minorHAnsi"/>
        </w:rPr>
        <w:t xml:space="preserve"> de mayores recursos </w:t>
      </w:r>
      <w:r w:rsidR="001E6B4C" w:rsidRPr="000C095A">
        <w:rPr>
          <w:rFonts w:asciiTheme="minorHAnsi" w:hAnsiTheme="minorHAnsi" w:cstheme="minorHAnsi"/>
        </w:rPr>
        <w:t xml:space="preserve">al Ministerio de Agricultura, Ganadería y Alimentación </w:t>
      </w:r>
      <w:r w:rsidR="00896A85" w:rsidRPr="000C095A">
        <w:rPr>
          <w:rFonts w:asciiTheme="minorHAnsi" w:hAnsiTheme="minorHAnsi" w:cstheme="minorHAnsi"/>
        </w:rPr>
        <w:t>dada la importancia y características de la poblac</w:t>
      </w:r>
      <w:r w:rsidR="001E6B4C" w:rsidRPr="000C095A">
        <w:rPr>
          <w:rFonts w:asciiTheme="minorHAnsi" w:hAnsiTheme="minorHAnsi" w:cstheme="minorHAnsi"/>
        </w:rPr>
        <w:t xml:space="preserve">ión a quienes dirige su acción, para gastos de </w:t>
      </w:r>
      <w:r w:rsidR="00896A85" w:rsidRPr="000C095A">
        <w:rPr>
          <w:rFonts w:asciiTheme="minorHAnsi" w:hAnsiTheme="minorHAnsi" w:cstheme="minorHAnsi"/>
        </w:rPr>
        <w:t>inversión en formación, capacitación y organización comunitaria para la producción y la comercialización.</w:t>
      </w:r>
    </w:p>
    <w:p w:rsidR="001E6B4C" w:rsidRPr="000C095A" w:rsidRDefault="00896A85"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 xml:space="preserve">EL PAFFEC debería ser fortalecido en cuanto a su institucionalidad </w:t>
      </w:r>
      <w:r w:rsidR="001E6B4C" w:rsidRPr="000C095A">
        <w:rPr>
          <w:rFonts w:asciiTheme="minorHAnsi" w:hAnsiTheme="minorHAnsi" w:cstheme="minorHAnsi"/>
        </w:rPr>
        <w:t xml:space="preserve">y </w:t>
      </w:r>
      <w:r w:rsidR="00872FA5" w:rsidRPr="000C095A">
        <w:rPr>
          <w:rFonts w:asciiTheme="minorHAnsi" w:hAnsiTheme="minorHAnsi" w:cstheme="minorHAnsi"/>
        </w:rPr>
        <w:t xml:space="preserve">sostenibilidad </w:t>
      </w:r>
      <w:r w:rsidR="001E6B4C" w:rsidRPr="000C095A">
        <w:rPr>
          <w:rFonts w:asciiTheme="minorHAnsi" w:hAnsiTheme="minorHAnsi" w:cstheme="minorHAnsi"/>
        </w:rPr>
        <w:t xml:space="preserve">en </w:t>
      </w:r>
      <w:r w:rsidRPr="000C095A">
        <w:rPr>
          <w:rFonts w:asciiTheme="minorHAnsi" w:hAnsiTheme="minorHAnsi" w:cstheme="minorHAnsi"/>
        </w:rPr>
        <w:t xml:space="preserve"> el tiempo</w:t>
      </w:r>
      <w:r w:rsidR="001E6B4C" w:rsidRPr="000C095A">
        <w:rPr>
          <w:rFonts w:asciiTheme="minorHAnsi" w:hAnsiTheme="minorHAnsi" w:cstheme="minorHAnsi"/>
        </w:rPr>
        <w:t xml:space="preserve">, como programa de Estado. </w:t>
      </w:r>
      <w:r w:rsidRPr="000C095A">
        <w:rPr>
          <w:rFonts w:asciiTheme="minorHAnsi" w:hAnsiTheme="minorHAnsi" w:cstheme="minorHAnsi"/>
        </w:rPr>
        <w:t xml:space="preserve"> </w:t>
      </w:r>
    </w:p>
    <w:p w:rsidR="00BC0204" w:rsidRPr="000C095A" w:rsidRDefault="00014B97"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rPr>
        <w:t xml:space="preserve">Velar porque la </w:t>
      </w:r>
      <w:r w:rsidR="00896A85" w:rsidRPr="000C095A">
        <w:rPr>
          <w:rFonts w:asciiTheme="minorHAnsi" w:hAnsiTheme="minorHAnsi" w:cstheme="minorHAnsi"/>
        </w:rPr>
        <w:t>inst</w:t>
      </w:r>
      <w:r w:rsidRPr="000C095A">
        <w:rPr>
          <w:rFonts w:asciiTheme="minorHAnsi" w:hAnsiTheme="minorHAnsi" w:cstheme="minorHAnsi"/>
        </w:rPr>
        <w:t xml:space="preserve">itucionalidad pública sea coherente e integral </w:t>
      </w:r>
      <w:r w:rsidR="00896A85" w:rsidRPr="000C095A">
        <w:rPr>
          <w:rFonts w:asciiTheme="minorHAnsi" w:hAnsiTheme="minorHAnsi" w:cstheme="minorHAnsi"/>
        </w:rPr>
        <w:t xml:space="preserve">en sus acciones </w:t>
      </w:r>
      <w:r w:rsidRPr="000C095A">
        <w:rPr>
          <w:rFonts w:asciiTheme="minorHAnsi" w:hAnsiTheme="minorHAnsi" w:cstheme="minorHAnsi"/>
        </w:rPr>
        <w:t xml:space="preserve">para </w:t>
      </w:r>
      <w:r w:rsidR="00896A85" w:rsidRPr="000C095A">
        <w:rPr>
          <w:rFonts w:asciiTheme="minorHAnsi" w:hAnsiTheme="minorHAnsi" w:cstheme="minorHAnsi"/>
        </w:rPr>
        <w:t xml:space="preserve">contribuir efectivamente al logro de sus objetivos, en cuanto </w:t>
      </w:r>
      <w:r w:rsidR="00AE6ED4" w:rsidRPr="000C095A">
        <w:rPr>
          <w:rFonts w:asciiTheme="minorHAnsi" w:hAnsiTheme="minorHAnsi" w:cstheme="minorHAnsi"/>
        </w:rPr>
        <w:t xml:space="preserve">a </w:t>
      </w:r>
      <w:r w:rsidR="00896A85" w:rsidRPr="000C095A">
        <w:rPr>
          <w:rFonts w:asciiTheme="minorHAnsi" w:hAnsiTheme="minorHAnsi" w:cstheme="minorHAnsi"/>
        </w:rPr>
        <w:t>mejorar las condiciones de v</w:t>
      </w:r>
      <w:r w:rsidR="00AE6ED4" w:rsidRPr="000C095A">
        <w:rPr>
          <w:rFonts w:asciiTheme="minorHAnsi" w:hAnsiTheme="minorHAnsi" w:cstheme="minorHAnsi"/>
        </w:rPr>
        <w:t>ida en los territorios rurales, y que no incentive</w:t>
      </w:r>
      <w:r w:rsidR="00896A85" w:rsidRPr="000C095A">
        <w:rPr>
          <w:rFonts w:asciiTheme="minorHAnsi" w:hAnsiTheme="minorHAnsi" w:cstheme="minorHAnsi"/>
        </w:rPr>
        <w:t>n los monocultivos, desvío de ríos, minería a cielo abierto, organismos genéticamente modificados y otra serie de acciones que atentan contra la vida y derechos de comunidades indígenas y campesinas</w:t>
      </w:r>
      <w:r w:rsidRPr="000C095A">
        <w:rPr>
          <w:rFonts w:asciiTheme="minorHAnsi" w:hAnsiTheme="minorHAnsi" w:cstheme="minorHAnsi"/>
        </w:rPr>
        <w:t>.</w:t>
      </w:r>
    </w:p>
    <w:p w:rsidR="00BC0204" w:rsidRPr="000C095A" w:rsidRDefault="00BC0204" w:rsidP="000C095A">
      <w:pPr>
        <w:pStyle w:val="ListParagraph"/>
        <w:numPr>
          <w:ilvl w:val="0"/>
          <w:numId w:val="5"/>
        </w:numPr>
        <w:spacing w:line="240" w:lineRule="auto"/>
        <w:jc w:val="both"/>
        <w:rPr>
          <w:rFonts w:asciiTheme="minorHAnsi" w:hAnsiTheme="minorHAnsi" w:cstheme="minorHAnsi"/>
        </w:rPr>
      </w:pPr>
      <w:r w:rsidRPr="000C095A">
        <w:rPr>
          <w:rFonts w:asciiTheme="minorHAnsi" w:hAnsiTheme="minorHAnsi" w:cstheme="minorHAnsi"/>
          <w:bCs/>
        </w:rPr>
        <w:t xml:space="preserve">Reactivar la </w:t>
      </w:r>
      <w:r w:rsidRPr="000C095A">
        <w:rPr>
          <w:rFonts w:asciiTheme="minorHAnsi" w:hAnsiTheme="minorHAnsi" w:cstheme="minorHAnsi"/>
        </w:rPr>
        <w:t>Estrategia Nacional para</w:t>
      </w:r>
      <w:r w:rsidRPr="000C095A">
        <w:rPr>
          <w:rFonts w:asciiTheme="minorHAnsi" w:hAnsiTheme="minorHAnsi" w:cstheme="minorHAnsi"/>
          <w:bCs/>
        </w:rPr>
        <w:t xml:space="preserve"> el Desarrollo </w:t>
      </w:r>
      <w:r w:rsidRPr="000C095A">
        <w:rPr>
          <w:rFonts w:asciiTheme="minorHAnsi" w:hAnsiTheme="minorHAnsi" w:cstheme="minorHAnsi"/>
        </w:rPr>
        <w:t>de</w:t>
      </w:r>
      <w:r w:rsidRPr="000C095A">
        <w:rPr>
          <w:rFonts w:asciiTheme="minorHAnsi" w:hAnsiTheme="minorHAnsi" w:cstheme="minorHAnsi"/>
          <w:bCs/>
        </w:rPr>
        <w:t xml:space="preserve"> la </w:t>
      </w:r>
      <w:r w:rsidRPr="000C095A">
        <w:rPr>
          <w:rFonts w:asciiTheme="minorHAnsi" w:hAnsiTheme="minorHAnsi" w:cstheme="minorHAnsi"/>
        </w:rPr>
        <w:t>Producción Orgánica</w:t>
      </w:r>
      <w:r w:rsidRPr="000C095A">
        <w:rPr>
          <w:rFonts w:asciiTheme="minorHAnsi" w:hAnsiTheme="minorHAnsi" w:cstheme="minorHAnsi"/>
          <w:bCs/>
        </w:rPr>
        <w:t xml:space="preserve"> y Agroecológica </w:t>
      </w:r>
      <w:r w:rsidRPr="000C095A">
        <w:rPr>
          <w:rFonts w:asciiTheme="minorHAnsi" w:hAnsiTheme="minorHAnsi" w:cstheme="minorHAnsi"/>
        </w:rPr>
        <w:t>de</w:t>
      </w:r>
      <w:r w:rsidRPr="000C095A">
        <w:rPr>
          <w:rFonts w:asciiTheme="minorHAnsi" w:hAnsiTheme="minorHAnsi" w:cstheme="minorHAnsi"/>
          <w:bCs/>
        </w:rPr>
        <w:t xml:space="preserve"> la República </w:t>
      </w:r>
      <w:r w:rsidRPr="000C095A">
        <w:rPr>
          <w:rFonts w:asciiTheme="minorHAnsi" w:hAnsiTheme="minorHAnsi" w:cstheme="minorHAnsi"/>
        </w:rPr>
        <w:t>de Guatemala 2013-2023</w:t>
      </w:r>
      <w:r w:rsidR="000C095A" w:rsidRPr="000C095A">
        <w:rPr>
          <w:rFonts w:asciiTheme="minorHAnsi" w:hAnsiTheme="minorHAnsi" w:cstheme="minorHAnsi"/>
        </w:rPr>
        <w:t>.</w:t>
      </w:r>
    </w:p>
    <w:p w:rsidR="00896A85" w:rsidRPr="000C095A" w:rsidRDefault="00896A85" w:rsidP="000C095A">
      <w:pPr>
        <w:pStyle w:val="ListParagraph"/>
        <w:numPr>
          <w:ilvl w:val="0"/>
          <w:numId w:val="5"/>
        </w:numPr>
        <w:spacing w:after="0" w:line="240" w:lineRule="auto"/>
        <w:jc w:val="both"/>
        <w:rPr>
          <w:rFonts w:asciiTheme="minorHAnsi" w:hAnsiTheme="minorHAnsi" w:cstheme="minorHAnsi"/>
        </w:rPr>
      </w:pPr>
      <w:r w:rsidRPr="000C095A">
        <w:rPr>
          <w:rFonts w:asciiTheme="minorHAnsi" w:hAnsiTheme="minorHAnsi" w:cstheme="minorHAnsi"/>
        </w:rPr>
        <w:t>El Estado de Guatemala</w:t>
      </w:r>
      <w:r w:rsidR="00872FA5" w:rsidRPr="000C095A">
        <w:rPr>
          <w:rFonts w:asciiTheme="minorHAnsi" w:hAnsiTheme="minorHAnsi" w:cstheme="minorHAnsi"/>
        </w:rPr>
        <w:t xml:space="preserve"> debe garantizar</w:t>
      </w:r>
      <w:r w:rsidRPr="000C095A">
        <w:rPr>
          <w:rFonts w:asciiTheme="minorHAnsi" w:hAnsiTheme="minorHAnsi" w:cstheme="minorHAnsi"/>
        </w:rPr>
        <w:t xml:space="preserve"> el acceso human</w:t>
      </w:r>
      <w:r w:rsidR="00014B97" w:rsidRPr="000C095A">
        <w:rPr>
          <w:rFonts w:asciiTheme="minorHAnsi" w:hAnsiTheme="minorHAnsi" w:cstheme="minorHAnsi"/>
        </w:rPr>
        <w:t>o al agua y saneamiento en los m</w:t>
      </w:r>
      <w:r w:rsidRPr="000C095A">
        <w:rPr>
          <w:rFonts w:asciiTheme="minorHAnsi" w:hAnsiTheme="minorHAnsi" w:cstheme="minorHAnsi"/>
        </w:rPr>
        <w:t>unicipios o territorios con pre</w:t>
      </w:r>
      <w:r w:rsidR="00014B97" w:rsidRPr="000C095A">
        <w:rPr>
          <w:rFonts w:asciiTheme="minorHAnsi" w:hAnsiTheme="minorHAnsi" w:cstheme="minorHAnsi"/>
        </w:rPr>
        <w:t xml:space="preserve">sencia de agroindustrias de </w:t>
      </w:r>
      <w:r w:rsidRPr="000C095A">
        <w:rPr>
          <w:rFonts w:asciiTheme="minorHAnsi" w:hAnsiTheme="minorHAnsi" w:cstheme="minorHAnsi"/>
        </w:rPr>
        <w:t>monocultivos, quienes absorben grandes cantidades de agua</w:t>
      </w:r>
      <w:r w:rsidR="000C095A" w:rsidRPr="000C095A">
        <w:rPr>
          <w:rFonts w:asciiTheme="minorHAnsi" w:hAnsiTheme="minorHAnsi" w:cstheme="minorHAnsi"/>
        </w:rPr>
        <w:t>.</w:t>
      </w:r>
    </w:p>
    <w:p w:rsidR="00896A85" w:rsidRPr="000C095A" w:rsidRDefault="00872FA5" w:rsidP="000C095A">
      <w:pPr>
        <w:pStyle w:val="ListParagraph"/>
        <w:numPr>
          <w:ilvl w:val="0"/>
          <w:numId w:val="5"/>
        </w:numPr>
        <w:spacing w:after="0" w:line="240" w:lineRule="auto"/>
        <w:jc w:val="both"/>
        <w:rPr>
          <w:rFonts w:asciiTheme="minorHAnsi" w:hAnsiTheme="minorHAnsi" w:cstheme="minorHAnsi"/>
        </w:rPr>
      </w:pPr>
      <w:r w:rsidRPr="000C095A">
        <w:rPr>
          <w:rFonts w:asciiTheme="minorHAnsi" w:hAnsiTheme="minorHAnsi" w:cstheme="minorHAnsi"/>
        </w:rPr>
        <w:t xml:space="preserve">Que tomen </w:t>
      </w:r>
      <w:r w:rsidR="00896A85" w:rsidRPr="000C095A">
        <w:rPr>
          <w:rFonts w:asciiTheme="minorHAnsi" w:hAnsiTheme="minorHAnsi" w:cstheme="minorHAnsi"/>
        </w:rPr>
        <w:t xml:space="preserve">medidas  sancionatorias por prácticas recurrentes de desvió de  ríos y caudales. </w:t>
      </w:r>
    </w:p>
    <w:p w:rsidR="00896A85" w:rsidRPr="000C095A" w:rsidRDefault="00BC0204" w:rsidP="000C095A">
      <w:pPr>
        <w:pStyle w:val="Default"/>
        <w:numPr>
          <w:ilvl w:val="0"/>
          <w:numId w:val="5"/>
        </w:numPr>
        <w:jc w:val="both"/>
        <w:rPr>
          <w:rFonts w:asciiTheme="minorHAnsi" w:hAnsiTheme="minorHAnsi" w:cstheme="minorHAnsi"/>
          <w:sz w:val="22"/>
          <w:szCs w:val="22"/>
        </w:rPr>
      </w:pPr>
      <w:r w:rsidRPr="000C095A">
        <w:rPr>
          <w:rFonts w:asciiTheme="minorHAnsi" w:hAnsiTheme="minorHAnsi" w:cstheme="minorHAnsi"/>
          <w:sz w:val="22"/>
          <w:szCs w:val="22"/>
        </w:rPr>
        <w:t>Que se atiendan las desigualdades histórico-estructurales en el acceso a satisfactores básicos para la población, como vivienda digna, agua potable, drenajes, saneamiento ambiental, energía eléctrica, cobertura educativa</w:t>
      </w:r>
      <w:r w:rsidR="000C095A" w:rsidRPr="000C095A">
        <w:rPr>
          <w:rFonts w:asciiTheme="minorHAnsi" w:hAnsiTheme="minorHAnsi" w:cstheme="minorHAnsi"/>
          <w:sz w:val="22"/>
          <w:szCs w:val="22"/>
        </w:rPr>
        <w:t>, servicios de salud, a</w:t>
      </w:r>
      <w:r w:rsidRPr="000C095A">
        <w:rPr>
          <w:rFonts w:asciiTheme="minorHAnsi" w:hAnsiTheme="minorHAnsi" w:cstheme="minorHAnsi"/>
          <w:sz w:val="22"/>
          <w:szCs w:val="22"/>
        </w:rPr>
        <w:t xml:space="preserve">limentación, tierra y trabajo. </w:t>
      </w:r>
    </w:p>
    <w:sectPr w:rsidR="00896A85" w:rsidRPr="000C095A" w:rsidSect="00281D6B">
      <w:headerReference w:type="default" r:id="rId10"/>
      <w:footerReference w:type="default" r:id="rId11"/>
      <w:pgSz w:w="12240" w:h="15840"/>
      <w:pgMar w:top="124" w:right="1183" w:bottom="568" w:left="1418"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BA5" w:rsidRDefault="00CC3BA5" w:rsidP="0001720D">
      <w:pPr>
        <w:spacing w:after="0" w:line="240" w:lineRule="auto"/>
      </w:pPr>
      <w:r>
        <w:separator/>
      </w:r>
    </w:p>
  </w:endnote>
  <w:endnote w:type="continuationSeparator" w:id="0">
    <w:p w:rsidR="00CC3BA5" w:rsidRDefault="00CC3BA5" w:rsidP="0001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81001"/>
      <w:docPartObj>
        <w:docPartGallery w:val="Page Numbers (Bottom of Page)"/>
        <w:docPartUnique/>
      </w:docPartObj>
    </w:sdtPr>
    <w:sdtEndPr/>
    <w:sdtContent>
      <w:p w:rsidR="00824CF2" w:rsidRDefault="00092F11">
        <w:pPr>
          <w:pStyle w:val="Footer"/>
          <w:jc w:val="right"/>
        </w:pPr>
        <w:r>
          <w:rPr>
            <w:noProof/>
          </w:rPr>
          <w:fldChar w:fldCharType="begin"/>
        </w:r>
        <w:r w:rsidR="003B0446">
          <w:rPr>
            <w:noProof/>
          </w:rPr>
          <w:instrText xml:space="preserve"> PAGE   \* MERGEFORMAT </w:instrText>
        </w:r>
        <w:r>
          <w:rPr>
            <w:noProof/>
          </w:rPr>
          <w:fldChar w:fldCharType="separate"/>
        </w:r>
        <w:r w:rsidR="00D47EFA">
          <w:rPr>
            <w:noProof/>
          </w:rPr>
          <w:t>1</w:t>
        </w:r>
        <w:r>
          <w:rPr>
            <w:noProof/>
          </w:rPr>
          <w:fldChar w:fldCharType="end"/>
        </w:r>
      </w:p>
    </w:sdtContent>
  </w:sdt>
  <w:p w:rsidR="00824CF2" w:rsidRDefault="00824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BA5" w:rsidRDefault="00CC3BA5" w:rsidP="0001720D">
      <w:pPr>
        <w:spacing w:after="0" w:line="240" w:lineRule="auto"/>
      </w:pPr>
      <w:r>
        <w:separator/>
      </w:r>
    </w:p>
  </w:footnote>
  <w:footnote w:type="continuationSeparator" w:id="0">
    <w:p w:rsidR="00CC3BA5" w:rsidRDefault="00CC3BA5" w:rsidP="0001720D">
      <w:pPr>
        <w:spacing w:after="0" w:line="240" w:lineRule="auto"/>
      </w:pPr>
      <w:r>
        <w:continuationSeparator/>
      </w:r>
    </w:p>
  </w:footnote>
  <w:footnote w:id="1">
    <w:p w:rsidR="00824CF2" w:rsidRPr="002863DD" w:rsidRDefault="00824CF2" w:rsidP="007F7537">
      <w:pPr>
        <w:pStyle w:val="FootnoteText"/>
        <w:rPr>
          <w:rFonts w:ascii="Arial" w:hAnsi="Arial" w:cs="Arial"/>
          <w:sz w:val="16"/>
          <w:szCs w:val="16"/>
        </w:rPr>
      </w:pPr>
      <w:r w:rsidRPr="002863DD">
        <w:rPr>
          <w:rStyle w:val="FootnoteReference"/>
          <w:rFonts w:ascii="Arial" w:hAnsi="Arial" w:cs="Arial"/>
          <w:sz w:val="16"/>
          <w:szCs w:val="16"/>
        </w:rPr>
        <w:footnoteRef/>
      </w:r>
      <w:r w:rsidRPr="002863DD">
        <w:rPr>
          <w:rFonts w:ascii="Arial" w:hAnsi="Arial" w:cs="Arial"/>
          <w:sz w:val="16"/>
          <w:szCs w:val="16"/>
          <w:lang w:val="es-ES"/>
        </w:rPr>
        <w:t xml:space="preserve"> </w:t>
      </w:r>
      <w:r w:rsidRPr="002863DD">
        <w:rPr>
          <w:rFonts w:ascii="Arial" w:hAnsi="Arial" w:cs="Arial"/>
          <w:sz w:val="16"/>
          <w:szCs w:val="16"/>
        </w:rPr>
        <w:t xml:space="preserve">Datos del Instituto Nacional de Estadística (INE): pobreza año 2014, empleo año 2018. </w:t>
      </w:r>
    </w:p>
  </w:footnote>
  <w:footnote w:id="2">
    <w:p w:rsidR="00824CF2" w:rsidRPr="002863DD" w:rsidRDefault="00824CF2">
      <w:pPr>
        <w:pStyle w:val="FootnoteText"/>
        <w:rPr>
          <w:rFonts w:ascii="Arial" w:hAnsi="Arial" w:cs="Arial"/>
          <w:sz w:val="16"/>
          <w:szCs w:val="16"/>
          <w:lang w:val="es-ES"/>
        </w:rPr>
      </w:pPr>
      <w:r w:rsidRPr="002863DD">
        <w:rPr>
          <w:rStyle w:val="FootnoteReference"/>
          <w:rFonts w:ascii="Arial" w:hAnsi="Arial" w:cs="Arial"/>
          <w:sz w:val="16"/>
          <w:szCs w:val="16"/>
        </w:rPr>
        <w:footnoteRef/>
      </w:r>
      <w:r w:rsidRPr="002863DD">
        <w:rPr>
          <w:rFonts w:ascii="Arial" w:hAnsi="Arial" w:cs="Arial"/>
          <w:sz w:val="16"/>
          <w:szCs w:val="16"/>
          <w:lang w:val="es-ES"/>
        </w:rPr>
        <w:t xml:space="preserve"> Según estimaciones de ICEFI.</w:t>
      </w:r>
    </w:p>
  </w:footnote>
  <w:footnote w:id="3">
    <w:p w:rsidR="00824CF2" w:rsidRPr="002863DD" w:rsidRDefault="00824CF2" w:rsidP="00AB6FB9">
      <w:pPr>
        <w:pStyle w:val="FootnoteText"/>
        <w:rPr>
          <w:rFonts w:ascii="Arial" w:hAnsi="Arial" w:cs="Arial"/>
          <w:sz w:val="16"/>
          <w:szCs w:val="16"/>
        </w:rPr>
      </w:pPr>
      <w:r w:rsidRPr="002863DD">
        <w:rPr>
          <w:rStyle w:val="FootnoteReference"/>
          <w:rFonts w:ascii="Arial" w:hAnsi="Arial" w:cs="Arial"/>
          <w:sz w:val="16"/>
          <w:szCs w:val="16"/>
        </w:rPr>
        <w:footnoteRef/>
      </w:r>
      <w:r w:rsidRPr="002863DD">
        <w:rPr>
          <w:rFonts w:ascii="Arial" w:hAnsi="Arial" w:cs="Arial"/>
          <w:sz w:val="16"/>
          <w:szCs w:val="16"/>
        </w:rPr>
        <w:t xml:space="preserve"> Instituto Nacional de Estadística (INE), en</w:t>
      </w:r>
      <w:r w:rsidRPr="002863DD">
        <w:rPr>
          <w:rStyle w:val="Hyperlink"/>
          <w:rFonts w:ascii="Arial" w:hAnsi="Arial" w:cs="Arial"/>
          <w:sz w:val="16"/>
          <w:szCs w:val="16"/>
        </w:rPr>
        <w:t xml:space="preserve"> www.ine.gob.gt</w:t>
      </w:r>
    </w:p>
  </w:footnote>
  <w:footnote w:id="4">
    <w:p w:rsidR="00824CF2" w:rsidRPr="002863DD" w:rsidRDefault="00824CF2" w:rsidP="008D4D14">
      <w:pPr>
        <w:pStyle w:val="FootnoteText"/>
        <w:rPr>
          <w:rFonts w:ascii="Arial" w:hAnsi="Arial" w:cs="Arial"/>
          <w:sz w:val="16"/>
          <w:szCs w:val="16"/>
        </w:rPr>
      </w:pPr>
      <w:r w:rsidRPr="002863DD">
        <w:rPr>
          <w:rStyle w:val="FootnoteReference"/>
          <w:rFonts w:ascii="Arial" w:hAnsi="Arial" w:cs="Arial"/>
          <w:sz w:val="16"/>
          <w:szCs w:val="16"/>
        </w:rPr>
        <w:footnoteRef/>
      </w:r>
      <w:r w:rsidRPr="002863DD">
        <w:rPr>
          <w:rFonts w:ascii="Arial" w:hAnsi="Arial" w:cs="Arial"/>
          <w:sz w:val="16"/>
          <w:szCs w:val="16"/>
          <w:lang w:val="es-ES"/>
        </w:rPr>
        <w:t xml:space="preserve"> </w:t>
      </w:r>
      <w:r>
        <w:rPr>
          <w:rFonts w:ascii="Arial" w:hAnsi="Arial" w:cs="Arial"/>
          <w:sz w:val="16"/>
          <w:szCs w:val="16"/>
        </w:rPr>
        <w:t xml:space="preserve">Semana epidemiológica </w:t>
      </w:r>
      <w:r w:rsidRPr="002863DD">
        <w:rPr>
          <w:rFonts w:ascii="Arial" w:hAnsi="Arial" w:cs="Arial"/>
          <w:sz w:val="16"/>
          <w:szCs w:val="16"/>
        </w:rPr>
        <w:t>2</w:t>
      </w:r>
      <w:r>
        <w:rPr>
          <w:rFonts w:ascii="Arial" w:hAnsi="Arial" w:cs="Arial"/>
          <w:sz w:val="16"/>
          <w:szCs w:val="16"/>
        </w:rPr>
        <w:t>3</w:t>
      </w:r>
      <w:r w:rsidRPr="002863DD">
        <w:rPr>
          <w:rFonts w:ascii="Arial" w:hAnsi="Arial" w:cs="Arial"/>
          <w:sz w:val="16"/>
          <w:szCs w:val="16"/>
        </w:rPr>
        <w:t xml:space="preserve">. SEMEPI, MSPAS, departamento de </w:t>
      </w:r>
      <w:r>
        <w:rPr>
          <w:rFonts w:ascii="Arial" w:hAnsi="Arial" w:cs="Arial"/>
          <w:sz w:val="16"/>
          <w:szCs w:val="16"/>
        </w:rPr>
        <w:t>Epidemiología. Boletín Semana 23</w:t>
      </w:r>
      <w:r w:rsidRPr="002863DD">
        <w:rPr>
          <w:rFonts w:ascii="Arial" w:hAnsi="Arial" w:cs="Arial"/>
          <w:sz w:val="16"/>
          <w:szCs w:val="16"/>
        </w:rPr>
        <w:t>-2019.</w:t>
      </w:r>
    </w:p>
  </w:footnote>
  <w:footnote w:id="5">
    <w:p w:rsidR="00A74311" w:rsidRPr="00A74311" w:rsidRDefault="00A74311" w:rsidP="00A74311">
      <w:pPr>
        <w:pStyle w:val="FootnoteText"/>
        <w:rPr>
          <w:b/>
        </w:rPr>
      </w:pPr>
      <w:r>
        <w:rPr>
          <w:rStyle w:val="FootnoteReference"/>
        </w:rPr>
        <w:footnoteRef/>
      </w:r>
      <w:r>
        <w:t xml:space="preserve"> </w:t>
      </w:r>
      <w:r w:rsidRPr="00A74311">
        <w:rPr>
          <w:b/>
        </w:rPr>
        <w:t>“Estudio y análisis de la Política Gubernamental sobre Desarrollo Rural Integral”</w:t>
      </w:r>
      <w:r>
        <w:rPr>
          <w:b/>
        </w:rPr>
        <w:t>, Guatemala, noviembre 2017, Campaña Guatemala sin hambre.</w:t>
      </w:r>
    </w:p>
    <w:p w:rsidR="00A74311" w:rsidRDefault="00A74311">
      <w:pPr>
        <w:pStyle w:val="FootnoteText"/>
      </w:pPr>
    </w:p>
  </w:footnote>
  <w:footnote w:id="6">
    <w:p w:rsidR="00824CF2" w:rsidRPr="001C3F46" w:rsidRDefault="00824CF2" w:rsidP="001C3F46">
      <w:pPr>
        <w:pStyle w:val="FootnoteText"/>
        <w:contextualSpacing/>
        <w:rPr>
          <w:rFonts w:asciiTheme="majorHAnsi" w:hAnsiTheme="majorHAnsi"/>
          <w:sz w:val="16"/>
          <w:szCs w:val="16"/>
        </w:rPr>
      </w:pPr>
      <w:r w:rsidRPr="005669C2">
        <w:rPr>
          <w:rStyle w:val="FootnoteReference"/>
          <w:rFonts w:asciiTheme="majorHAnsi" w:hAnsiTheme="majorHAnsi"/>
          <w:b/>
          <w:sz w:val="16"/>
          <w:szCs w:val="16"/>
        </w:rPr>
        <w:footnoteRef/>
      </w:r>
      <w:r w:rsidRPr="001C3F46">
        <w:rPr>
          <w:rFonts w:asciiTheme="majorHAnsi" w:hAnsiTheme="majorHAnsi"/>
          <w:b/>
          <w:sz w:val="16"/>
          <w:szCs w:val="16"/>
        </w:rPr>
        <w:t xml:space="preserve"> </w:t>
      </w:r>
      <w:r w:rsidRPr="001C3F46">
        <w:rPr>
          <w:rFonts w:asciiTheme="majorHAnsi" w:hAnsiTheme="majorHAnsi"/>
          <w:sz w:val="16"/>
          <w:szCs w:val="16"/>
        </w:rPr>
        <w:t>Artículos 1, 2, 51, 99 y 119, literal d) Constitución Política de la República de Guatemala</w:t>
      </w:r>
    </w:p>
  </w:footnote>
  <w:footnote w:id="7">
    <w:p w:rsidR="00824CF2" w:rsidRPr="001C3F46" w:rsidRDefault="00824CF2" w:rsidP="001C3F46">
      <w:pPr>
        <w:pStyle w:val="FootnoteText"/>
      </w:pPr>
      <w:r>
        <w:rPr>
          <w:rStyle w:val="FootnoteReference"/>
        </w:rPr>
        <w:footnoteRef/>
      </w:r>
      <w:r w:rsidRPr="001C3F46">
        <w:t xml:space="preserve"> </w:t>
      </w:r>
      <w:r>
        <w:t xml:space="preserve"> Informe sobre el cumplimiento de las sentencias de Camotán, “Sin Horizontes de Desarrollo Humano” octubre 2019.</w:t>
      </w:r>
    </w:p>
  </w:footnote>
  <w:footnote w:id="8">
    <w:p w:rsidR="00824CF2" w:rsidRPr="00236C87" w:rsidRDefault="00824CF2">
      <w:pPr>
        <w:pStyle w:val="FootnoteText"/>
      </w:pPr>
      <w:r>
        <w:rPr>
          <w:rStyle w:val="FootnoteReference"/>
        </w:rPr>
        <w:footnoteRef/>
      </w:r>
      <w:r w:rsidRPr="00236C87">
        <w:t xml:space="preserve"> </w:t>
      </w:r>
      <w:r>
        <w:t xml:space="preserve">Informe sobre cumplimiento de las sentencias de </w:t>
      </w:r>
      <w:r w:rsidR="00564E1F">
        <w:t>Camotán</w:t>
      </w:r>
      <w:r>
        <w:t>, “sin Horizontes de Desarrollo Humano” octubre 2019</w:t>
      </w:r>
    </w:p>
  </w:footnote>
  <w:footnote w:id="9">
    <w:p w:rsidR="00E1369D" w:rsidRDefault="00E1369D">
      <w:pPr>
        <w:pStyle w:val="FootnoteText"/>
      </w:pPr>
      <w:r>
        <w:rPr>
          <w:rStyle w:val="FootnoteReference"/>
        </w:rPr>
        <w:footnoteRef/>
      </w:r>
      <w:r>
        <w:t xml:space="preserve"> </w:t>
      </w:r>
      <w:r w:rsidRPr="00E1369D">
        <w:t xml:space="preserve">Andorno, Roberto, Principio de precaución. En: Diccionario Latinoamericano de Bioética, J. C. Tealdi, coord., Bogotá, Unibiblos y Red Latino Americana y del Caribe de Bioética de la UNESCO, vol. II, 2008, p. 345-347. </w:t>
      </w:r>
      <w:hyperlink r:id="rId1" w:history="1">
        <w:r w:rsidRPr="00E1369D">
          <w:rPr>
            <w:rStyle w:val="Hyperlink"/>
          </w:rPr>
          <w:t>http://www.unesco.org.uy/shs/fileadmin/templates/shs/archivos/DicoParteII.pdf</w:t>
        </w:r>
      </w:hyperlink>
    </w:p>
  </w:footnote>
  <w:footnote w:id="10">
    <w:p w:rsidR="00E1369D" w:rsidRDefault="00E1369D">
      <w:pPr>
        <w:pStyle w:val="FootnoteText"/>
      </w:pPr>
      <w:r>
        <w:rPr>
          <w:rStyle w:val="FootnoteReference"/>
        </w:rPr>
        <w:footnoteRef/>
      </w:r>
      <w:r>
        <w:t xml:space="preserve"> </w:t>
      </w:r>
      <w:r w:rsidRPr="00E1369D">
        <w:t> Evaluación internacional del conocimiento, la ciencia y la tecnología agrícolas para el desarroll</w:t>
      </w:r>
      <w:r>
        <w:t xml:space="preserve">o Agrícola </w:t>
      </w:r>
      <w:r w:rsidRPr="00E1369D">
        <w:t>(IAASTD, por su sigla en inglés)</w:t>
      </w:r>
    </w:p>
  </w:footnote>
  <w:footnote w:id="11">
    <w:p w:rsidR="00824CF2" w:rsidRPr="002D2580" w:rsidRDefault="00824CF2" w:rsidP="002D2580">
      <w:pPr>
        <w:pStyle w:val="FootnoteText"/>
        <w:jc w:val="both"/>
        <w:rPr>
          <w:sz w:val="16"/>
          <w:szCs w:val="16"/>
        </w:rPr>
      </w:pPr>
      <w:r w:rsidRPr="00CA4BA7">
        <w:rPr>
          <w:rStyle w:val="FootnoteReference"/>
          <w:sz w:val="16"/>
          <w:szCs w:val="16"/>
        </w:rPr>
        <w:footnoteRef/>
      </w:r>
      <w:r w:rsidRPr="002D2580">
        <w:rPr>
          <w:sz w:val="16"/>
          <w:szCs w:val="16"/>
        </w:rPr>
        <w:t xml:space="preserve"> Articulo 127 Todas las aguas son bienes de dominio público, inalienables e imprescriptibles. Su aprovechamiento, uso y goce, se otorgan en la forma establecida por la ley, de acuerdo con el interés social. Una ley específica regulará esta metería.</w:t>
      </w:r>
    </w:p>
  </w:footnote>
  <w:footnote w:id="12">
    <w:p w:rsidR="00824CF2" w:rsidRPr="002D2580" w:rsidRDefault="00824CF2" w:rsidP="002D2580">
      <w:pPr>
        <w:pStyle w:val="FootnoteText"/>
        <w:rPr>
          <w:sz w:val="16"/>
          <w:szCs w:val="16"/>
        </w:rPr>
      </w:pPr>
      <w:r w:rsidRPr="00E75F5E">
        <w:rPr>
          <w:rStyle w:val="FootnoteReference"/>
          <w:sz w:val="16"/>
          <w:szCs w:val="16"/>
        </w:rPr>
        <w:footnoteRef/>
      </w:r>
      <w:r w:rsidRPr="002D2580">
        <w:rPr>
          <w:sz w:val="16"/>
          <w:szCs w:val="16"/>
        </w:rPr>
        <w:t xml:space="preserve"> Página IARNA </w:t>
      </w:r>
      <w:hyperlink r:id="rId2" w:history="1">
        <w:r w:rsidRPr="002D2580">
          <w:rPr>
            <w:rStyle w:val="Hyperlink"/>
            <w:sz w:val="16"/>
            <w:szCs w:val="16"/>
          </w:rPr>
          <w:t>https://cnbguatemala.org/wiki/Manual_de_Educaci%C3%B3n_Ambiental_del_Recurso_H%C3%ADdrico_en_Guatemala/Recursos_h%C3%ADdricos_y_principales_usos_del_agua_en_Guatemala</w:t>
        </w:r>
      </w:hyperlink>
    </w:p>
  </w:footnote>
  <w:footnote w:id="13">
    <w:p w:rsidR="00824CF2" w:rsidRPr="002D2580" w:rsidRDefault="00824CF2" w:rsidP="002D2580">
      <w:pPr>
        <w:pStyle w:val="FootnoteText"/>
        <w:rPr>
          <w:sz w:val="16"/>
          <w:szCs w:val="16"/>
        </w:rPr>
      </w:pPr>
      <w:r w:rsidRPr="00E75F5E">
        <w:rPr>
          <w:rStyle w:val="FootnoteReference"/>
          <w:sz w:val="16"/>
          <w:szCs w:val="16"/>
        </w:rPr>
        <w:footnoteRef/>
      </w:r>
      <w:r w:rsidRPr="002D2580">
        <w:rPr>
          <w:sz w:val="16"/>
          <w:szCs w:val="16"/>
        </w:rPr>
        <w:t xml:space="preserve"> </w:t>
      </w:r>
      <w:r w:rsidR="00564E1F" w:rsidRPr="002D2580">
        <w:rPr>
          <w:sz w:val="16"/>
          <w:szCs w:val="16"/>
        </w:rPr>
        <w:t>Sídney</w:t>
      </w:r>
      <w:r w:rsidRPr="002D2580">
        <w:rPr>
          <w:sz w:val="16"/>
          <w:szCs w:val="16"/>
        </w:rPr>
        <w:t xml:space="preserve"> </w:t>
      </w:r>
      <w:r w:rsidR="00564E1F" w:rsidRPr="002D2580">
        <w:rPr>
          <w:sz w:val="16"/>
          <w:szCs w:val="16"/>
        </w:rPr>
        <w:t>Samuel</w:t>
      </w:r>
      <w:r w:rsidRPr="002D2580">
        <w:rPr>
          <w:sz w:val="16"/>
          <w:szCs w:val="16"/>
        </w:rPr>
        <w:t xml:space="preserve">, Ministro MARN Prensa Libre </w:t>
      </w:r>
      <w:hyperlink r:id="rId3" w:history="1">
        <w:r w:rsidRPr="002D2580">
          <w:rPr>
            <w:rStyle w:val="Hyperlink"/>
            <w:sz w:val="16"/>
            <w:szCs w:val="16"/>
          </w:rPr>
          <w:t>https://www.prensalibre.com/guatemala/politica/hallan-mas-de-50-desvios-de-caudales/</w:t>
        </w:r>
      </w:hyperlink>
    </w:p>
  </w:footnote>
  <w:footnote w:id="14">
    <w:p w:rsidR="00824CF2" w:rsidRPr="002D2580" w:rsidRDefault="00824CF2" w:rsidP="002D2580">
      <w:pPr>
        <w:pStyle w:val="FootnoteText"/>
        <w:rPr>
          <w:sz w:val="16"/>
          <w:szCs w:val="16"/>
        </w:rPr>
      </w:pPr>
      <w:r w:rsidRPr="00E75F5E">
        <w:rPr>
          <w:rStyle w:val="FootnoteReference"/>
          <w:sz w:val="16"/>
          <w:szCs w:val="16"/>
        </w:rPr>
        <w:footnoteRef/>
      </w:r>
      <w:r w:rsidRPr="002D2580">
        <w:rPr>
          <w:sz w:val="16"/>
          <w:szCs w:val="16"/>
        </w:rPr>
        <w:t xml:space="preserve"> </w:t>
      </w:r>
      <w:r w:rsidR="00564E1F" w:rsidRPr="002D2580">
        <w:rPr>
          <w:sz w:val="16"/>
          <w:szCs w:val="16"/>
        </w:rPr>
        <w:t>Sídney</w:t>
      </w:r>
      <w:r w:rsidRPr="002D2580">
        <w:rPr>
          <w:sz w:val="16"/>
          <w:szCs w:val="16"/>
        </w:rPr>
        <w:t xml:space="preserve"> </w:t>
      </w:r>
      <w:r w:rsidR="00564E1F" w:rsidRPr="002D2580">
        <w:rPr>
          <w:sz w:val="16"/>
          <w:szCs w:val="16"/>
        </w:rPr>
        <w:t>Samuel</w:t>
      </w:r>
      <w:r w:rsidRPr="002D2580">
        <w:rPr>
          <w:sz w:val="16"/>
          <w:szCs w:val="16"/>
        </w:rPr>
        <w:t xml:space="preserve">, Ministro MARN Prensa Libre  </w:t>
      </w:r>
      <w:hyperlink r:id="rId4" w:history="1">
        <w:r w:rsidRPr="002D2580">
          <w:rPr>
            <w:rStyle w:val="Hyperlink"/>
            <w:sz w:val="16"/>
            <w:szCs w:val="16"/>
          </w:rPr>
          <w:t>https://www.prensalibre.com/guatemala/politica/ambiente-ya-no-denuncia/</w:t>
        </w:r>
      </w:hyperlink>
    </w:p>
  </w:footnote>
  <w:footnote w:id="15">
    <w:p w:rsidR="00824CF2" w:rsidRPr="002D2580" w:rsidRDefault="00824CF2" w:rsidP="002D2580">
      <w:pPr>
        <w:pStyle w:val="FootnoteText"/>
        <w:rPr>
          <w:sz w:val="16"/>
          <w:szCs w:val="16"/>
        </w:rPr>
      </w:pPr>
      <w:r w:rsidRPr="00E75F5E">
        <w:rPr>
          <w:rStyle w:val="FootnoteReference"/>
          <w:sz w:val="16"/>
          <w:szCs w:val="16"/>
        </w:rPr>
        <w:footnoteRef/>
      </w:r>
      <w:r w:rsidRPr="002D2580">
        <w:rPr>
          <w:sz w:val="16"/>
          <w:szCs w:val="16"/>
        </w:rPr>
        <w:t xml:space="preserve"> Castañeda Moya Francisco, Informe Final impacto ambientales y  los modos de vida de los monocultivos industriales en el Municipio de la Blanca y área de influencia.(Pastoral de la Tierra, enero 2020)</w:t>
      </w:r>
    </w:p>
    <w:p w:rsidR="00824CF2" w:rsidRPr="002D2580" w:rsidRDefault="00824CF2" w:rsidP="002D2580">
      <w:pPr>
        <w:pStyle w:val="FootnoteText"/>
      </w:pPr>
    </w:p>
  </w:footnote>
  <w:footnote w:id="16">
    <w:p w:rsidR="00824CF2" w:rsidRPr="002D2580" w:rsidRDefault="00824CF2" w:rsidP="002D2580">
      <w:pPr>
        <w:pStyle w:val="FootnoteText"/>
        <w:rPr>
          <w:sz w:val="16"/>
          <w:szCs w:val="16"/>
        </w:rPr>
      </w:pPr>
      <w:r>
        <w:rPr>
          <w:rStyle w:val="FootnoteReference"/>
        </w:rPr>
        <w:footnoteRef/>
      </w:r>
      <w:r w:rsidRPr="002D2580">
        <w:t xml:space="preserve"> </w:t>
      </w:r>
      <w:r w:rsidRPr="002D2580">
        <w:rPr>
          <w:sz w:val="16"/>
          <w:szCs w:val="16"/>
        </w:rPr>
        <w:t xml:space="preserve">Políticas </w:t>
      </w:r>
      <w:r w:rsidRPr="005631DD">
        <w:rPr>
          <w:sz w:val="16"/>
          <w:szCs w:val="16"/>
          <w:lang w:val="es-ES"/>
        </w:rPr>
        <w:t xml:space="preserve">Nacional del Sector de Agua Potable y Saneamiento </w:t>
      </w:r>
      <w:hyperlink r:id="rId5" w:history="1">
        <w:r w:rsidRPr="002D2580">
          <w:rPr>
            <w:rStyle w:val="Hyperlink"/>
            <w:sz w:val="16"/>
            <w:szCs w:val="16"/>
          </w:rPr>
          <w:t>https://www.mspas.gob.gt/images/files/saludabmiente/regulacionesvigentes/PolIticaNacionalAPS/PoliticaNacionalSectorAguaPotableSaneamiento.pdf</w:t>
        </w:r>
      </w:hyperlink>
      <w:r w:rsidRPr="002D2580">
        <w:rPr>
          <w:sz w:val="16"/>
          <w:szCs w:val="16"/>
        </w:rPr>
        <w:t xml:space="preserve"> PAG.8</w:t>
      </w:r>
    </w:p>
  </w:footnote>
  <w:footnote w:id="17">
    <w:p w:rsidR="00824CF2" w:rsidRPr="002D2580" w:rsidRDefault="00824CF2" w:rsidP="002D2580">
      <w:pPr>
        <w:pStyle w:val="FootnoteText"/>
        <w:rPr>
          <w:sz w:val="16"/>
          <w:szCs w:val="16"/>
        </w:rPr>
      </w:pPr>
      <w:r w:rsidRPr="00CA4BA7">
        <w:rPr>
          <w:rStyle w:val="FootnoteReference"/>
          <w:sz w:val="16"/>
          <w:szCs w:val="16"/>
        </w:rPr>
        <w:footnoteRef/>
      </w:r>
      <w:r w:rsidRPr="002D2580">
        <w:rPr>
          <w:sz w:val="16"/>
          <w:szCs w:val="16"/>
        </w:rPr>
        <w:t xml:space="preserve"> Lentini Emilio Servicio de agua potable y saneamiento en Guatemala: beneficios potenciales y determinantes de éxitos. Página 14. Y según Rodríguez Samper 2008</w:t>
      </w:r>
    </w:p>
  </w:footnote>
  <w:footnote w:id="18">
    <w:p w:rsidR="00824CF2" w:rsidRPr="002D2580" w:rsidRDefault="00824CF2" w:rsidP="002D2580">
      <w:pPr>
        <w:pStyle w:val="FootnoteText"/>
        <w:rPr>
          <w:sz w:val="16"/>
          <w:szCs w:val="16"/>
        </w:rPr>
      </w:pPr>
      <w:r w:rsidRPr="00CA4BA7">
        <w:rPr>
          <w:rStyle w:val="FootnoteReference"/>
          <w:sz w:val="16"/>
          <w:szCs w:val="16"/>
        </w:rPr>
        <w:footnoteRef/>
      </w:r>
      <w:r w:rsidRPr="002D2580">
        <w:rPr>
          <w:sz w:val="16"/>
          <w:szCs w:val="16"/>
        </w:rPr>
        <w:t xml:space="preserve"> Página de Organización Panamericana la Salud </w:t>
      </w:r>
      <w:hyperlink r:id="rId6">
        <w:r w:rsidRPr="002D2580">
          <w:rPr>
            <w:color w:val="0000FF"/>
            <w:sz w:val="16"/>
            <w:szCs w:val="16"/>
            <w:u w:val="single"/>
          </w:rPr>
          <w:t>https://www.paho.org/gut/index.php?option=com_content&amp;view=article&amp;id=789:agua-y-saneamiento&amp;Itemid=405</w:t>
        </w:r>
      </w:hyperlink>
      <w:r w:rsidRPr="002D2580">
        <w:rPr>
          <w:color w:val="000000"/>
          <w:sz w:val="16"/>
          <w:szCs w:val="16"/>
        </w:rPr>
        <w:t xml:space="preserve"> y Lentini Emilio Servicio de agua potable y saneamiento en Guatemala: beneficios potenciales y determinantes de éxito</w:t>
      </w:r>
    </w:p>
  </w:footnote>
  <w:footnote w:id="19">
    <w:p w:rsidR="00605CA3" w:rsidRPr="00605CA3" w:rsidRDefault="00605CA3">
      <w:pPr>
        <w:pStyle w:val="FootnoteText"/>
        <w:rPr>
          <w:sz w:val="16"/>
          <w:szCs w:val="16"/>
        </w:rPr>
      </w:pPr>
      <w:r>
        <w:rPr>
          <w:rStyle w:val="FootnoteReference"/>
        </w:rPr>
        <w:footnoteRef/>
      </w:r>
      <w:r>
        <w:t xml:space="preserve"> </w:t>
      </w:r>
      <w:r w:rsidRPr="00605CA3">
        <w:rPr>
          <w:sz w:val="16"/>
          <w:szCs w:val="16"/>
        </w:rPr>
        <w:t>La Blanca, municipio del departamento de San Marcos de la Republica de Guatemala, en el sur- oeste del país, (creada en el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CF2" w:rsidRPr="00333872" w:rsidRDefault="00824CF2">
    <w:pPr>
      <w:pStyle w:val="Header"/>
      <w:jc w:val="center"/>
      <w:rPr>
        <w:b/>
        <w:sz w:val="28"/>
        <w:lang w:val="es-E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CF2" w:rsidRPr="00333872" w:rsidRDefault="00824CF2">
    <w:pPr>
      <w:pStyle w:val="Header"/>
      <w:jc w:val="center"/>
      <w:rPr>
        <w:b/>
        <w:sz w:val="2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86E71"/>
    <w:multiLevelType w:val="hybridMultilevel"/>
    <w:tmpl w:val="5B5EA58E"/>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 w15:restartNumberingAfterBreak="0">
    <w:nsid w:val="193A0D22"/>
    <w:multiLevelType w:val="hybridMultilevel"/>
    <w:tmpl w:val="A76C8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B57D5"/>
    <w:multiLevelType w:val="hybridMultilevel"/>
    <w:tmpl w:val="B3DC8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271DC"/>
    <w:multiLevelType w:val="hybridMultilevel"/>
    <w:tmpl w:val="98AC82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BAD1581"/>
    <w:multiLevelType w:val="hybridMultilevel"/>
    <w:tmpl w:val="6E8ED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F06BA8"/>
    <w:multiLevelType w:val="multilevel"/>
    <w:tmpl w:val="44F06B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5B702C20"/>
    <w:multiLevelType w:val="multilevel"/>
    <w:tmpl w:val="5B702C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667032F9"/>
    <w:multiLevelType w:val="multilevel"/>
    <w:tmpl w:val="667032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8EB539B"/>
    <w:multiLevelType w:val="hybridMultilevel"/>
    <w:tmpl w:val="16FE6994"/>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9" w15:restartNumberingAfterBreak="0">
    <w:nsid w:val="7352575A"/>
    <w:multiLevelType w:val="hybridMultilevel"/>
    <w:tmpl w:val="A8762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D96B98"/>
    <w:multiLevelType w:val="hybridMultilevel"/>
    <w:tmpl w:val="0AACAD58"/>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num w:numId="1">
    <w:abstractNumId w:val="5"/>
  </w:num>
  <w:num w:numId="2">
    <w:abstractNumId w:val="6"/>
  </w:num>
  <w:num w:numId="3">
    <w:abstractNumId w:val="9"/>
  </w:num>
  <w:num w:numId="4">
    <w:abstractNumId w:val="2"/>
  </w:num>
  <w:num w:numId="5">
    <w:abstractNumId w:val="1"/>
  </w:num>
  <w:num w:numId="6">
    <w:abstractNumId w:val="4"/>
  </w:num>
  <w:num w:numId="7">
    <w:abstractNumId w:val="10"/>
  </w:num>
  <w:num w:numId="8">
    <w:abstractNumId w:val="8"/>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08"/>
  <w:hyphenationZone w:val="425"/>
  <w:characterSpacingControl w:val="doNotCompress"/>
  <w:hdrShapeDefaults>
    <o:shapedefaults v:ext="edit" spidmax="716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0D7"/>
    <w:rsid w:val="FF5784B5"/>
    <w:rsid w:val="000064B4"/>
    <w:rsid w:val="00006C03"/>
    <w:rsid w:val="00012311"/>
    <w:rsid w:val="00014B97"/>
    <w:rsid w:val="0001720D"/>
    <w:rsid w:val="000202D6"/>
    <w:rsid w:val="00046D38"/>
    <w:rsid w:val="0006715E"/>
    <w:rsid w:val="00073EE0"/>
    <w:rsid w:val="000827D5"/>
    <w:rsid w:val="00092F11"/>
    <w:rsid w:val="000A1555"/>
    <w:rsid w:val="000A4795"/>
    <w:rsid w:val="000A6FF7"/>
    <w:rsid w:val="000C095A"/>
    <w:rsid w:val="000C2CAE"/>
    <w:rsid w:val="000D53FC"/>
    <w:rsid w:val="001021CF"/>
    <w:rsid w:val="00105857"/>
    <w:rsid w:val="00113417"/>
    <w:rsid w:val="00114380"/>
    <w:rsid w:val="001361B7"/>
    <w:rsid w:val="001440C4"/>
    <w:rsid w:val="00151BAF"/>
    <w:rsid w:val="001610BB"/>
    <w:rsid w:val="00167B60"/>
    <w:rsid w:val="001C3F46"/>
    <w:rsid w:val="001E6B4C"/>
    <w:rsid w:val="00207B13"/>
    <w:rsid w:val="00214FC0"/>
    <w:rsid w:val="00222CD0"/>
    <w:rsid w:val="00233CD4"/>
    <w:rsid w:val="002340BC"/>
    <w:rsid w:val="00236C87"/>
    <w:rsid w:val="00261204"/>
    <w:rsid w:val="002657F9"/>
    <w:rsid w:val="00281D6B"/>
    <w:rsid w:val="0028526D"/>
    <w:rsid w:val="002863DD"/>
    <w:rsid w:val="002962BB"/>
    <w:rsid w:val="002B48A8"/>
    <w:rsid w:val="002C04C5"/>
    <w:rsid w:val="002D2580"/>
    <w:rsid w:val="002E1931"/>
    <w:rsid w:val="002E476F"/>
    <w:rsid w:val="00300DF2"/>
    <w:rsid w:val="003039AD"/>
    <w:rsid w:val="00310B4C"/>
    <w:rsid w:val="003130F4"/>
    <w:rsid w:val="00314913"/>
    <w:rsid w:val="00333872"/>
    <w:rsid w:val="00340849"/>
    <w:rsid w:val="0034309E"/>
    <w:rsid w:val="00363104"/>
    <w:rsid w:val="003651DE"/>
    <w:rsid w:val="003848B1"/>
    <w:rsid w:val="00387F07"/>
    <w:rsid w:val="003B0446"/>
    <w:rsid w:val="003B1819"/>
    <w:rsid w:val="003B775F"/>
    <w:rsid w:val="003D1B09"/>
    <w:rsid w:val="003F1267"/>
    <w:rsid w:val="0040083D"/>
    <w:rsid w:val="004129C6"/>
    <w:rsid w:val="00427725"/>
    <w:rsid w:val="0043490F"/>
    <w:rsid w:val="0043581B"/>
    <w:rsid w:val="00437E87"/>
    <w:rsid w:val="00440D89"/>
    <w:rsid w:val="00466DA4"/>
    <w:rsid w:val="00471966"/>
    <w:rsid w:val="00486144"/>
    <w:rsid w:val="00492F8F"/>
    <w:rsid w:val="004A12CE"/>
    <w:rsid w:val="004B3862"/>
    <w:rsid w:val="004B79E6"/>
    <w:rsid w:val="004C3A91"/>
    <w:rsid w:val="004E3A8D"/>
    <w:rsid w:val="00500B82"/>
    <w:rsid w:val="00511225"/>
    <w:rsid w:val="00522745"/>
    <w:rsid w:val="00524BDB"/>
    <w:rsid w:val="00531AF4"/>
    <w:rsid w:val="00533C87"/>
    <w:rsid w:val="00534A33"/>
    <w:rsid w:val="00564E1F"/>
    <w:rsid w:val="0056503C"/>
    <w:rsid w:val="00574FE5"/>
    <w:rsid w:val="005839AA"/>
    <w:rsid w:val="00583EAA"/>
    <w:rsid w:val="00583F18"/>
    <w:rsid w:val="005910C5"/>
    <w:rsid w:val="005A15D1"/>
    <w:rsid w:val="005A406E"/>
    <w:rsid w:val="005A4FA3"/>
    <w:rsid w:val="005C2C3A"/>
    <w:rsid w:val="005D2A65"/>
    <w:rsid w:val="005E4E30"/>
    <w:rsid w:val="005E744C"/>
    <w:rsid w:val="005F57F4"/>
    <w:rsid w:val="00605CA3"/>
    <w:rsid w:val="006142DB"/>
    <w:rsid w:val="006562DC"/>
    <w:rsid w:val="00662507"/>
    <w:rsid w:val="0068006A"/>
    <w:rsid w:val="006A57B4"/>
    <w:rsid w:val="006E1857"/>
    <w:rsid w:val="006E412C"/>
    <w:rsid w:val="006F2AB4"/>
    <w:rsid w:val="0071740F"/>
    <w:rsid w:val="00722D76"/>
    <w:rsid w:val="00724130"/>
    <w:rsid w:val="00734D17"/>
    <w:rsid w:val="00734FF0"/>
    <w:rsid w:val="00743297"/>
    <w:rsid w:val="00744514"/>
    <w:rsid w:val="0076750D"/>
    <w:rsid w:val="0078686D"/>
    <w:rsid w:val="007A06F6"/>
    <w:rsid w:val="007A700D"/>
    <w:rsid w:val="007B7F15"/>
    <w:rsid w:val="007E4287"/>
    <w:rsid w:val="007F7537"/>
    <w:rsid w:val="007F78D8"/>
    <w:rsid w:val="00824CF2"/>
    <w:rsid w:val="00836446"/>
    <w:rsid w:val="00850674"/>
    <w:rsid w:val="00853576"/>
    <w:rsid w:val="0085692A"/>
    <w:rsid w:val="00872FA5"/>
    <w:rsid w:val="0088784F"/>
    <w:rsid w:val="00896A85"/>
    <w:rsid w:val="008A41D2"/>
    <w:rsid w:val="008B4AF1"/>
    <w:rsid w:val="008D4D14"/>
    <w:rsid w:val="008D6338"/>
    <w:rsid w:val="00907292"/>
    <w:rsid w:val="00946686"/>
    <w:rsid w:val="00947D4A"/>
    <w:rsid w:val="00951D95"/>
    <w:rsid w:val="009620F5"/>
    <w:rsid w:val="00971E7C"/>
    <w:rsid w:val="0097224C"/>
    <w:rsid w:val="00973D27"/>
    <w:rsid w:val="00977163"/>
    <w:rsid w:val="009A23D4"/>
    <w:rsid w:val="009A6F02"/>
    <w:rsid w:val="009C3E94"/>
    <w:rsid w:val="009D0693"/>
    <w:rsid w:val="009F6985"/>
    <w:rsid w:val="00A335A2"/>
    <w:rsid w:val="00A449B9"/>
    <w:rsid w:val="00A74311"/>
    <w:rsid w:val="00A921DA"/>
    <w:rsid w:val="00A9571C"/>
    <w:rsid w:val="00A96DD9"/>
    <w:rsid w:val="00AA6DC5"/>
    <w:rsid w:val="00AB5E6E"/>
    <w:rsid w:val="00AB6FB9"/>
    <w:rsid w:val="00AD3EE0"/>
    <w:rsid w:val="00AD60D7"/>
    <w:rsid w:val="00AE6ED4"/>
    <w:rsid w:val="00B0226F"/>
    <w:rsid w:val="00B16A00"/>
    <w:rsid w:val="00B3527A"/>
    <w:rsid w:val="00B45E67"/>
    <w:rsid w:val="00B669CA"/>
    <w:rsid w:val="00B755E3"/>
    <w:rsid w:val="00B7570C"/>
    <w:rsid w:val="00B914DF"/>
    <w:rsid w:val="00B91B4E"/>
    <w:rsid w:val="00BC0204"/>
    <w:rsid w:val="00BD33F0"/>
    <w:rsid w:val="00BE3BF9"/>
    <w:rsid w:val="00C106CE"/>
    <w:rsid w:val="00C12DB4"/>
    <w:rsid w:val="00C31F0B"/>
    <w:rsid w:val="00C76C9B"/>
    <w:rsid w:val="00C942B4"/>
    <w:rsid w:val="00CA29EF"/>
    <w:rsid w:val="00CA4779"/>
    <w:rsid w:val="00CB3286"/>
    <w:rsid w:val="00CB76E3"/>
    <w:rsid w:val="00CC07F4"/>
    <w:rsid w:val="00CC3BA5"/>
    <w:rsid w:val="00CC5490"/>
    <w:rsid w:val="00CE4E02"/>
    <w:rsid w:val="00CF2FB3"/>
    <w:rsid w:val="00D01280"/>
    <w:rsid w:val="00D03F4B"/>
    <w:rsid w:val="00D140BA"/>
    <w:rsid w:val="00D46980"/>
    <w:rsid w:val="00D47EFA"/>
    <w:rsid w:val="00D569FE"/>
    <w:rsid w:val="00D97F11"/>
    <w:rsid w:val="00DF392E"/>
    <w:rsid w:val="00E01131"/>
    <w:rsid w:val="00E13530"/>
    <w:rsid w:val="00E1369D"/>
    <w:rsid w:val="00E15EFC"/>
    <w:rsid w:val="00E16CB5"/>
    <w:rsid w:val="00E23C4F"/>
    <w:rsid w:val="00E50084"/>
    <w:rsid w:val="00E745AA"/>
    <w:rsid w:val="00E903E3"/>
    <w:rsid w:val="00E92E18"/>
    <w:rsid w:val="00E930B6"/>
    <w:rsid w:val="00E9503C"/>
    <w:rsid w:val="00EB3630"/>
    <w:rsid w:val="00EB5FA1"/>
    <w:rsid w:val="00EF1A78"/>
    <w:rsid w:val="00F572FF"/>
    <w:rsid w:val="00F60B9E"/>
    <w:rsid w:val="00F62AEC"/>
    <w:rsid w:val="00F66F7F"/>
    <w:rsid w:val="00F900C8"/>
    <w:rsid w:val="00FA4E0E"/>
    <w:rsid w:val="00FB594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716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89098EB2-B554-4087-B485-5C0411C7D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uiPriority="99" w:unhideWhenUsed="1"/>
    <w:lsdException w:name="footer"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20D"/>
    <w:rPr>
      <w:rFonts w:ascii="Calibri" w:eastAsia="Calibri" w:hAnsi="Calibri"/>
      <w:sz w:val="22"/>
      <w:szCs w:val="22"/>
      <w:lang w:val="es-G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01720D"/>
    <w:pPr>
      <w:spacing w:after="0" w:line="240" w:lineRule="auto"/>
    </w:pPr>
    <w:rPr>
      <w:rFonts w:ascii="Tahoma" w:hAnsi="Tahoma" w:cs="Tahoma"/>
      <w:sz w:val="16"/>
      <w:szCs w:val="16"/>
    </w:rPr>
  </w:style>
  <w:style w:type="paragraph" w:styleId="CommentText">
    <w:name w:val="annotation text"/>
    <w:basedOn w:val="Normal"/>
    <w:link w:val="CommentTextChar"/>
    <w:uiPriority w:val="99"/>
    <w:unhideWhenUsed/>
    <w:rsid w:val="0001720D"/>
    <w:pPr>
      <w:spacing w:line="240" w:lineRule="auto"/>
    </w:pPr>
    <w:rPr>
      <w:sz w:val="20"/>
      <w:szCs w:val="20"/>
    </w:rPr>
  </w:style>
  <w:style w:type="paragraph" w:styleId="CommentSubject">
    <w:name w:val="annotation subject"/>
    <w:basedOn w:val="CommentText"/>
    <w:next w:val="CommentText"/>
    <w:link w:val="CommentSubjectChar"/>
    <w:uiPriority w:val="99"/>
    <w:unhideWhenUsed/>
    <w:rsid w:val="0001720D"/>
    <w:rPr>
      <w:b/>
      <w:bCs/>
    </w:rPr>
  </w:style>
  <w:style w:type="paragraph" w:styleId="Footer">
    <w:name w:val="footer"/>
    <w:basedOn w:val="Normal"/>
    <w:link w:val="FooterChar"/>
    <w:uiPriority w:val="99"/>
    <w:unhideWhenUsed/>
    <w:rsid w:val="0001720D"/>
    <w:pPr>
      <w:tabs>
        <w:tab w:val="center" w:pos="4419"/>
        <w:tab w:val="right" w:pos="8838"/>
      </w:tabs>
      <w:spacing w:after="0" w:line="240" w:lineRule="auto"/>
    </w:pPr>
  </w:style>
  <w:style w:type="paragraph" w:styleId="Header">
    <w:name w:val="header"/>
    <w:basedOn w:val="Normal"/>
    <w:link w:val="HeaderChar"/>
    <w:uiPriority w:val="99"/>
    <w:unhideWhenUsed/>
    <w:rsid w:val="0001720D"/>
    <w:pPr>
      <w:tabs>
        <w:tab w:val="center" w:pos="4419"/>
        <w:tab w:val="right" w:pos="8838"/>
      </w:tabs>
      <w:spacing w:after="0" w:line="240" w:lineRule="auto"/>
    </w:pPr>
  </w:style>
  <w:style w:type="character" w:styleId="CommentReference">
    <w:name w:val="annotation reference"/>
    <w:basedOn w:val="DefaultParagraphFont"/>
    <w:uiPriority w:val="99"/>
    <w:unhideWhenUsed/>
    <w:rsid w:val="0001720D"/>
    <w:rPr>
      <w:sz w:val="16"/>
      <w:szCs w:val="16"/>
    </w:rPr>
  </w:style>
  <w:style w:type="paragraph" w:customStyle="1" w:styleId="Prrafodelista1">
    <w:name w:val="Párrafo de lista1"/>
    <w:basedOn w:val="Normal"/>
    <w:uiPriority w:val="34"/>
    <w:qFormat/>
    <w:rsid w:val="0001720D"/>
    <w:pPr>
      <w:ind w:left="720"/>
      <w:contextualSpacing/>
    </w:pPr>
  </w:style>
  <w:style w:type="character" w:customStyle="1" w:styleId="HeaderChar">
    <w:name w:val="Header Char"/>
    <w:basedOn w:val="DefaultParagraphFont"/>
    <w:link w:val="Header"/>
    <w:uiPriority w:val="99"/>
    <w:rsid w:val="0001720D"/>
  </w:style>
  <w:style w:type="character" w:customStyle="1" w:styleId="FooterChar">
    <w:name w:val="Footer Char"/>
    <w:basedOn w:val="DefaultParagraphFont"/>
    <w:link w:val="Footer"/>
    <w:uiPriority w:val="99"/>
    <w:rsid w:val="0001720D"/>
  </w:style>
  <w:style w:type="character" w:customStyle="1" w:styleId="BalloonTextChar">
    <w:name w:val="Balloon Text Char"/>
    <w:basedOn w:val="DefaultParagraphFont"/>
    <w:link w:val="BalloonText"/>
    <w:uiPriority w:val="99"/>
    <w:semiHidden/>
    <w:rsid w:val="0001720D"/>
    <w:rPr>
      <w:rFonts w:ascii="Tahoma" w:hAnsi="Tahoma" w:cs="Tahoma"/>
      <w:sz w:val="16"/>
      <w:szCs w:val="16"/>
    </w:rPr>
  </w:style>
  <w:style w:type="character" w:customStyle="1" w:styleId="CommentTextChar">
    <w:name w:val="Comment Text Char"/>
    <w:basedOn w:val="DefaultParagraphFont"/>
    <w:link w:val="CommentText"/>
    <w:uiPriority w:val="99"/>
    <w:semiHidden/>
    <w:rsid w:val="0001720D"/>
    <w:rPr>
      <w:sz w:val="20"/>
      <w:szCs w:val="20"/>
    </w:rPr>
  </w:style>
  <w:style w:type="character" w:customStyle="1" w:styleId="CommentSubjectChar">
    <w:name w:val="Comment Subject Char"/>
    <w:basedOn w:val="CommentTextChar"/>
    <w:link w:val="CommentSubject"/>
    <w:uiPriority w:val="99"/>
    <w:semiHidden/>
    <w:rsid w:val="0001720D"/>
    <w:rPr>
      <w:b/>
      <w:bCs/>
      <w:sz w:val="20"/>
      <w:szCs w:val="20"/>
    </w:rPr>
  </w:style>
  <w:style w:type="paragraph" w:styleId="FootnoteText">
    <w:name w:val="footnote text"/>
    <w:aliases w:val="Texto nota pie Car Car Car,Texto nota pie Car Car,Footnote Text Char1 Char,Footnote Text Char2 Char Char,Footnote Text Char Char1 Char Char,Footnote Text Char1 Char Char Char Char,Footnote Text Char1 Char1 Char Char,5_G,FA Fu,Ca,C,ft"/>
    <w:basedOn w:val="Normal"/>
    <w:link w:val="FootnoteTextChar"/>
    <w:uiPriority w:val="99"/>
    <w:unhideWhenUsed/>
    <w:qFormat/>
    <w:rsid w:val="00CC07F4"/>
    <w:pPr>
      <w:spacing w:after="0" w:line="240" w:lineRule="auto"/>
    </w:pPr>
    <w:rPr>
      <w:sz w:val="20"/>
      <w:szCs w:val="20"/>
    </w:rPr>
  </w:style>
  <w:style w:type="character" w:customStyle="1" w:styleId="FootnoteTextChar">
    <w:name w:val="Footnote Text Char"/>
    <w:aliases w:val="Texto nota pie Car Car Car Char,Texto nota pie Car Car Char,Footnote Text Char1 Char Char,Footnote Text Char2 Char Char Char,Footnote Text Char Char1 Char Char Char,Footnote Text Char1 Char Char Char Char Char,5_G Char,FA Fu Char"/>
    <w:basedOn w:val="DefaultParagraphFont"/>
    <w:link w:val="FootnoteText"/>
    <w:uiPriority w:val="99"/>
    <w:rsid w:val="00CC07F4"/>
    <w:rPr>
      <w:rFonts w:ascii="Calibri" w:eastAsia="Calibri" w:hAnsi="Calibri"/>
      <w:lang w:eastAsia="en-US"/>
    </w:rPr>
  </w:style>
  <w:style w:type="character" w:styleId="FootnoteReference">
    <w:name w:val="footnote reference"/>
    <w:aliases w:val="16 Point,Superscript 6 Point,4_G,callout,Fago Fußnotenzeichen,Texto de nota al pie,Appel note de bas de page,Footnotes refss,f,Footnote number,referencia nota al pie,BVI fnr,Footnotes refss Char,Texto de nota al pie Char,4_G Car"/>
    <w:basedOn w:val="DefaultParagraphFont"/>
    <w:link w:val="BVIfnrCharCar"/>
    <w:uiPriority w:val="99"/>
    <w:unhideWhenUsed/>
    <w:qFormat/>
    <w:rsid w:val="00CC07F4"/>
    <w:rPr>
      <w:vertAlign w:val="superscript"/>
    </w:rPr>
  </w:style>
  <w:style w:type="character" w:styleId="Hyperlink">
    <w:name w:val="Hyperlink"/>
    <w:basedOn w:val="DefaultParagraphFont"/>
    <w:uiPriority w:val="99"/>
    <w:unhideWhenUsed/>
    <w:rsid w:val="00CC07F4"/>
    <w:rPr>
      <w:color w:val="0000FF"/>
      <w:u w:val="single"/>
    </w:rPr>
  </w:style>
  <w:style w:type="character" w:styleId="FollowedHyperlink">
    <w:name w:val="FollowedHyperlink"/>
    <w:basedOn w:val="DefaultParagraphFont"/>
    <w:semiHidden/>
    <w:unhideWhenUsed/>
    <w:rsid w:val="00722D76"/>
    <w:rPr>
      <w:color w:val="800080" w:themeColor="followedHyperlink"/>
      <w:u w:val="single"/>
    </w:rPr>
  </w:style>
  <w:style w:type="paragraph" w:styleId="ListParagraph">
    <w:name w:val="List Paragraph"/>
    <w:basedOn w:val="Normal"/>
    <w:link w:val="ListParagraphChar"/>
    <w:uiPriority w:val="34"/>
    <w:qFormat/>
    <w:rsid w:val="00583F18"/>
    <w:pPr>
      <w:ind w:left="720"/>
      <w:contextualSpacing/>
    </w:pPr>
  </w:style>
  <w:style w:type="paragraph" w:styleId="NoSpacing">
    <w:name w:val="No Spacing"/>
    <w:link w:val="NoSpacingChar"/>
    <w:uiPriority w:val="1"/>
    <w:qFormat/>
    <w:rsid w:val="00437E87"/>
    <w:pPr>
      <w:spacing w:after="0" w:line="240" w:lineRule="auto"/>
    </w:pPr>
    <w:rPr>
      <w:rFonts w:ascii="Calibri" w:eastAsia="Calibri" w:hAnsi="Calibri"/>
      <w:sz w:val="22"/>
      <w:szCs w:val="22"/>
      <w:lang w:val="es-GT" w:eastAsia="en-US"/>
    </w:rPr>
  </w:style>
  <w:style w:type="character" w:customStyle="1" w:styleId="NoSpacingChar">
    <w:name w:val="No Spacing Char"/>
    <w:link w:val="NoSpacing"/>
    <w:uiPriority w:val="1"/>
    <w:rsid w:val="00437E87"/>
    <w:rPr>
      <w:rFonts w:ascii="Calibri" w:eastAsia="Calibri" w:hAnsi="Calibri"/>
      <w:sz w:val="22"/>
      <w:szCs w:val="22"/>
      <w:lang w:val="es-GT" w:eastAsia="en-US"/>
    </w:rPr>
  </w:style>
  <w:style w:type="character" w:customStyle="1" w:styleId="A3">
    <w:name w:val="A3"/>
    <w:uiPriority w:val="99"/>
    <w:rsid w:val="00836446"/>
    <w:rPr>
      <w:rFonts w:ascii="Arial" w:hAnsi="Arial" w:cs="Arial"/>
      <w:color w:val="000000"/>
      <w:sz w:val="23"/>
      <w:szCs w:val="23"/>
    </w:rPr>
  </w:style>
  <w:style w:type="character" w:customStyle="1" w:styleId="ListParagraphChar">
    <w:name w:val="List Paragraph Char"/>
    <w:basedOn w:val="DefaultParagraphFont"/>
    <w:link w:val="ListParagraph"/>
    <w:uiPriority w:val="34"/>
    <w:locked/>
    <w:rsid w:val="002D2580"/>
    <w:rPr>
      <w:rFonts w:ascii="Calibri" w:eastAsia="Calibri" w:hAnsi="Calibri"/>
      <w:sz w:val="22"/>
      <w:szCs w:val="22"/>
      <w:lang w:eastAsia="en-US"/>
    </w:rPr>
  </w:style>
  <w:style w:type="paragraph" w:styleId="EndnoteText">
    <w:name w:val="endnote text"/>
    <w:basedOn w:val="Normal"/>
    <w:link w:val="EndnoteTextChar"/>
    <w:uiPriority w:val="99"/>
    <w:semiHidden/>
    <w:unhideWhenUsed/>
    <w:rsid w:val="002D2580"/>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2D2580"/>
    <w:rPr>
      <w:rFonts w:asciiTheme="minorHAnsi" w:eastAsiaTheme="minorHAnsi" w:hAnsiTheme="minorHAnsi" w:cstheme="minorBidi"/>
      <w:lang w:val="es-GT" w:eastAsia="en-US"/>
    </w:rPr>
  </w:style>
  <w:style w:type="character" w:styleId="EndnoteReference">
    <w:name w:val="endnote reference"/>
    <w:basedOn w:val="DefaultParagraphFont"/>
    <w:uiPriority w:val="99"/>
    <w:semiHidden/>
    <w:unhideWhenUsed/>
    <w:rsid w:val="002D2580"/>
    <w:rPr>
      <w:vertAlign w:val="superscript"/>
    </w:rPr>
  </w:style>
  <w:style w:type="paragraph" w:customStyle="1" w:styleId="Default">
    <w:name w:val="Default"/>
    <w:rsid w:val="00440D89"/>
    <w:pPr>
      <w:autoSpaceDE w:val="0"/>
      <w:autoSpaceDN w:val="0"/>
      <w:adjustRightInd w:val="0"/>
      <w:spacing w:after="0" w:line="240" w:lineRule="auto"/>
    </w:pPr>
    <w:rPr>
      <w:rFonts w:eastAsiaTheme="minorHAnsi"/>
      <w:color w:val="000000"/>
      <w:sz w:val="24"/>
      <w:szCs w:val="24"/>
      <w:lang w:val="es-GT" w:eastAsia="en-US"/>
    </w:rPr>
  </w:style>
  <w:style w:type="paragraph" w:customStyle="1" w:styleId="BVIfnrCharCar">
    <w:name w:val="BVI fnr Char Car"/>
    <w:aliases w:val=" BVI fnr Car Car Char Car,BVI fnr Car Char Car, BVI fnr Car Car Car Car Char Car, BVI fnr Car Car Car Car Char Char Car,BVI fnr Car Car Char Car,BVI fnr Car Car Car Car Char Car,ref. de nota al pie, BVI fnr Char Car"/>
    <w:basedOn w:val="Normal"/>
    <w:link w:val="FootnoteReference"/>
    <w:uiPriority w:val="99"/>
    <w:rsid w:val="001C3F46"/>
    <w:pPr>
      <w:spacing w:after="160" w:line="240" w:lineRule="exact"/>
    </w:pPr>
    <w:rPr>
      <w:rFonts w:ascii="Times New Roman" w:eastAsia="SimSun" w:hAnsi="Times New Roman"/>
      <w:sz w:val="20"/>
      <w:szCs w:val="20"/>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prensalibre.com/guatemala/politica/hallan-mas-de-50-desvios-de-caudales/" TargetMode="External"/><Relationship Id="rId2" Type="http://schemas.openxmlformats.org/officeDocument/2006/relationships/hyperlink" Target="https://cnbguatemala.org/wiki/Manual_de_Educaci%C3%B3n_Ambiental_del_Recurso_H%C3%ADdrico_en_Guatemala/Recursos_h%C3%ADdricos_y_principales_usos_del_agua_en_Guatemala" TargetMode="External"/><Relationship Id="rId1" Type="http://schemas.openxmlformats.org/officeDocument/2006/relationships/hyperlink" Target="http://www.unesco.org.uy/shs/fileadmin/templates/shs/archivos/DicoParteII.pdf" TargetMode="External"/><Relationship Id="rId6" Type="http://schemas.openxmlformats.org/officeDocument/2006/relationships/hyperlink" Target="https://www.paho.org/gut/index.php?option=com_content&amp;view=article&amp;id=789:agua-y-saneamiento&amp;Itemid=405" TargetMode="External"/><Relationship Id="rId5" Type="http://schemas.openxmlformats.org/officeDocument/2006/relationships/hyperlink" Target="https://www.mspas.gob.gt/images/files/saludabmiente/regulacionesvigentes/PolIticaNacionalAPS/PoliticaNacionalSectorAguaPotableSaneamiento.pdf" TargetMode="External"/><Relationship Id="rId4" Type="http://schemas.openxmlformats.org/officeDocument/2006/relationships/hyperlink" Target="https://www.prensalibre.com/guatemala/politica/ambiente-ya-no-denunci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4EFF-691A-4EA2-AE01-B26D9726C28F}">
  <ds:schemaRefs>
    <ds:schemaRef ds:uri="http://schemas.openxmlformats.org/officeDocument/2006/bibliography"/>
  </ds:schemaRefs>
</ds:datastoreItem>
</file>

<file path=customXml/itemProps3.xml><?xml version="1.0" encoding="utf-8"?>
<ds:datastoreItem xmlns:ds="http://schemas.openxmlformats.org/officeDocument/2006/customXml" ds:itemID="{2208BC1C-2A95-4C5B-8C85-E3FAF4F3D384}"/>
</file>

<file path=customXml/itemProps4.xml><?xml version="1.0" encoding="utf-8"?>
<ds:datastoreItem xmlns:ds="http://schemas.openxmlformats.org/officeDocument/2006/customXml" ds:itemID="{ABE9B958-C2EB-4242-B75F-8236A558DD2B}"/>
</file>

<file path=customXml/itemProps5.xml><?xml version="1.0" encoding="utf-8"?>
<ds:datastoreItem xmlns:ds="http://schemas.openxmlformats.org/officeDocument/2006/customXml" ds:itemID="{DB0AF758-450B-4B24-96DC-FCACCF56AE56}"/>
</file>

<file path=docProps/app.xml><?xml version="1.0" encoding="utf-8"?>
<Properties xmlns="http://schemas.openxmlformats.org/officeDocument/2006/extended-properties" xmlns:vt="http://schemas.openxmlformats.org/officeDocument/2006/docPropsVTypes">
  <Template>Normal.dotm</Template>
  <TotalTime>0</TotalTime>
  <Pages>13</Pages>
  <Words>6078</Words>
  <Characters>34648</Characters>
  <Application>Microsoft Office Word</Application>
  <DocSecurity>0</DocSecurity>
  <Lines>288</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La lucha contra el Hambre y la Desnutrición, la agenda pendiente del Gobierno de Jimmy Morales</vt:lpstr>
      <vt:lpstr>La lucha contra el Hambre y la Desnutrición, la agenda pendiente del Gobierno de Jimmy Morales</vt:lpstr>
    </vt:vector>
  </TitlesOfParts>
  <Company>FAO of the UN</Company>
  <LinksUpToDate>false</LinksUpToDate>
  <CharactersWithSpaces>40645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lucha contra el Hambre y la Desnutrición, la agenda pendiente del Gobierno de Jimmy Morales</dc:title>
  <dc:creator>Sony</dc:creator>
  <cp:lastModifiedBy>Tolaïni Sabine</cp:lastModifiedBy>
  <cp:revision>2</cp:revision>
  <cp:lastPrinted>2020-05-28T02:30:00Z</cp:lastPrinted>
  <dcterms:created xsi:type="dcterms:W3CDTF">2020-08-21T09:43:00Z</dcterms:created>
  <dcterms:modified xsi:type="dcterms:W3CDTF">2020-08-21T09:43:00Z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3082-9.1.0.4975</vt:lpwstr>
  </property>
  <property fmtid="{D5CDD505-2E9C-101B-9397-08002B2CF9AE}" pid="3" name="ContentTypeId">
    <vt:lpwstr>0x010100FAE5DBF0ADA998469064B64F53A76F3C</vt:lpwstr>
  </property>
</Properties>
</file>