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8C7D1" w14:textId="77777777" w:rsidR="00EF04E1" w:rsidRPr="00510D16" w:rsidRDefault="003A3E8D" w:rsidP="00E740CC">
      <w:pPr>
        <w:spacing w:after="0"/>
        <w:jc w:val="center"/>
        <w:rPr>
          <w:rFonts w:asciiTheme="majorHAnsi" w:hAnsiTheme="majorHAnsi" w:cstheme="majorHAnsi"/>
          <w:b/>
          <w:sz w:val="24"/>
          <w:szCs w:val="24"/>
        </w:rPr>
      </w:pPr>
      <w:r w:rsidRPr="00510D16">
        <w:rPr>
          <w:rFonts w:asciiTheme="majorHAnsi" w:hAnsiTheme="majorHAnsi" w:cstheme="majorHAnsi"/>
          <w:b/>
          <w:sz w:val="24"/>
          <w:szCs w:val="24"/>
        </w:rPr>
        <w:t xml:space="preserve">Committee on the Rights of the Child </w:t>
      </w:r>
      <w:r w:rsidR="00FC6F4E" w:rsidRPr="00510D16">
        <w:rPr>
          <w:rFonts w:asciiTheme="majorHAnsi" w:hAnsiTheme="majorHAnsi" w:cstheme="majorHAnsi"/>
          <w:b/>
          <w:sz w:val="24"/>
          <w:szCs w:val="24"/>
        </w:rPr>
        <w:t>– 80</w:t>
      </w:r>
      <w:r w:rsidR="00E740CC" w:rsidRPr="00510D16">
        <w:rPr>
          <w:rFonts w:asciiTheme="majorHAnsi" w:hAnsiTheme="majorHAnsi" w:cstheme="majorHAnsi"/>
          <w:b/>
          <w:sz w:val="24"/>
          <w:szCs w:val="24"/>
          <w:vertAlign w:val="superscript"/>
        </w:rPr>
        <w:t>th</w:t>
      </w:r>
      <w:r w:rsidR="00E740CC" w:rsidRPr="00510D16">
        <w:rPr>
          <w:rFonts w:asciiTheme="majorHAnsi" w:hAnsiTheme="majorHAnsi" w:cstheme="majorHAnsi"/>
          <w:b/>
          <w:sz w:val="24"/>
          <w:szCs w:val="24"/>
        </w:rPr>
        <w:t xml:space="preserve"> session</w:t>
      </w:r>
    </w:p>
    <w:p w14:paraId="41A6800E" w14:textId="77777777" w:rsidR="00E740CC" w:rsidRPr="00510D16" w:rsidRDefault="00FC6F4E" w:rsidP="00E740CC">
      <w:pPr>
        <w:spacing w:after="0"/>
        <w:jc w:val="center"/>
        <w:rPr>
          <w:rFonts w:asciiTheme="majorHAnsi" w:hAnsiTheme="majorHAnsi" w:cstheme="majorHAnsi"/>
          <w:b/>
          <w:sz w:val="24"/>
          <w:szCs w:val="24"/>
        </w:rPr>
      </w:pPr>
      <w:r w:rsidRPr="00510D16">
        <w:rPr>
          <w:rFonts w:asciiTheme="majorHAnsi" w:hAnsiTheme="majorHAnsi" w:cstheme="majorHAnsi"/>
          <w:b/>
          <w:sz w:val="24"/>
          <w:szCs w:val="24"/>
        </w:rPr>
        <w:t>Opening of the session, 14 January</w:t>
      </w:r>
      <w:r w:rsidR="00E740CC" w:rsidRPr="00510D16">
        <w:rPr>
          <w:rFonts w:asciiTheme="majorHAnsi" w:hAnsiTheme="majorHAnsi" w:cstheme="majorHAnsi"/>
          <w:b/>
          <w:sz w:val="24"/>
          <w:szCs w:val="24"/>
        </w:rPr>
        <w:t xml:space="preserve"> 201</w:t>
      </w:r>
      <w:r w:rsidRPr="00510D16">
        <w:rPr>
          <w:rFonts w:asciiTheme="majorHAnsi" w:hAnsiTheme="majorHAnsi" w:cstheme="majorHAnsi"/>
          <w:b/>
          <w:sz w:val="24"/>
          <w:szCs w:val="24"/>
        </w:rPr>
        <w:t>9</w:t>
      </w:r>
    </w:p>
    <w:p w14:paraId="2B8B7ED7" w14:textId="77777777" w:rsidR="00E740CC" w:rsidRPr="00510D16" w:rsidRDefault="00FC6F4E" w:rsidP="00E740CC">
      <w:pPr>
        <w:spacing w:after="0"/>
        <w:jc w:val="center"/>
        <w:rPr>
          <w:rFonts w:asciiTheme="majorHAnsi" w:hAnsiTheme="majorHAnsi" w:cstheme="majorHAnsi"/>
          <w:b/>
          <w:sz w:val="24"/>
          <w:szCs w:val="24"/>
        </w:rPr>
      </w:pPr>
      <w:r w:rsidRPr="00510D16">
        <w:rPr>
          <w:rFonts w:asciiTheme="majorHAnsi" w:hAnsiTheme="majorHAnsi" w:cstheme="majorHAnsi"/>
          <w:b/>
          <w:sz w:val="24"/>
          <w:szCs w:val="24"/>
        </w:rPr>
        <w:t>UNHCR</w:t>
      </w:r>
      <w:r w:rsidR="00E740CC" w:rsidRPr="00510D16">
        <w:rPr>
          <w:rFonts w:asciiTheme="majorHAnsi" w:hAnsiTheme="majorHAnsi" w:cstheme="majorHAnsi"/>
          <w:b/>
          <w:sz w:val="24"/>
          <w:szCs w:val="24"/>
        </w:rPr>
        <w:t xml:space="preserve"> Statement</w:t>
      </w:r>
    </w:p>
    <w:p w14:paraId="218DCB35" w14:textId="77777777" w:rsidR="00A1635A" w:rsidRPr="00510D16" w:rsidRDefault="00A1635A" w:rsidP="00510D16">
      <w:pPr>
        <w:spacing w:after="0"/>
        <w:jc w:val="both"/>
        <w:rPr>
          <w:rFonts w:asciiTheme="majorHAnsi" w:hAnsiTheme="majorHAnsi" w:cstheme="majorHAnsi"/>
          <w:sz w:val="24"/>
          <w:szCs w:val="24"/>
        </w:rPr>
      </w:pPr>
    </w:p>
    <w:p w14:paraId="57B98692" w14:textId="77777777" w:rsidR="00A1635A" w:rsidRPr="00510D16" w:rsidRDefault="001D1B7B" w:rsidP="00510D16">
      <w:pPr>
        <w:spacing w:after="0"/>
        <w:jc w:val="both"/>
        <w:rPr>
          <w:rFonts w:asciiTheme="majorHAnsi" w:eastAsia="Times New Roman" w:hAnsiTheme="majorHAnsi" w:cstheme="majorHAnsi"/>
          <w:sz w:val="24"/>
          <w:szCs w:val="24"/>
        </w:rPr>
      </w:pPr>
      <w:r w:rsidRPr="00510D16">
        <w:rPr>
          <w:rFonts w:asciiTheme="majorHAnsi" w:eastAsia="Times New Roman" w:hAnsiTheme="majorHAnsi" w:cstheme="majorHAnsi"/>
          <w:sz w:val="24"/>
          <w:szCs w:val="24"/>
        </w:rPr>
        <w:t>Madame Chair</w:t>
      </w:r>
      <w:r w:rsidR="00A1635A" w:rsidRPr="00510D16">
        <w:rPr>
          <w:rFonts w:asciiTheme="majorHAnsi" w:eastAsia="Times New Roman" w:hAnsiTheme="majorHAnsi" w:cstheme="majorHAnsi"/>
          <w:sz w:val="24"/>
          <w:szCs w:val="24"/>
        </w:rPr>
        <w:t xml:space="preserve">, Members of the </w:t>
      </w:r>
      <w:r w:rsidRPr="00510D16">
        <w:rPr>
          <w:rFonts w:asciiTheme="majorHAnsi" w:eastAsia="Times New Roman" w:hAnsiTheme="majorHAnsi" w:cstheme="majorHAnsi"/>
          <w:sz w:val="24"/>
          <w:szCs w:val="24"/>
        </w:rPr>
        <w:t>Committee, l</w:t>
      </w:r>
      <w:r w:rsidR="00FC6F4E" w:rsidRPr="00510D16">
        <w:rPr>
          <w:rFonts w:asciiTheme="majorHAnsi" w:eastAsia="Times New Roman" w:hAnsiTheme="majorHAnsi" w:cstheme="majorHAnsi"/>
          <w:sz w:val="24"/>
          <w:szCs w:val="24"/>
        </w:rPr>
        <w:t>adies and gentlemen, dear colleague</w:t>
      </w:r>
      <w:r w:rsidRPr="00510D16">
        <w:rPr>
          <w:rFonts w:asciiTheme="majorHAnsi" w:eastAsia="Times New Roman" w:hAnsiTheme="majorHAnsi" w:cstheme="majorHAnsi"/>
          <w:sz w:val="24"/>
          <w:szCs w:val="24"/>
        </w:rPr>
        <w:t xml:space="preserve">s, </w:t>
      </w:r>
    </w:p>
    <w:p w14:paraId="036C7279" w14:textId="77777777" w:rsidR="00A1635A" w:rsidRPr="00510D16" w:rsidRDefault="00A1635A" w:rsidP="00510D16">
      <w:pPr>
        <w:spacing w:after="0"/>
        <w:jc w:val="both"/>
        <w:rPr>
          <w:rFonts w:asciiTheme="majorHAnsi" w:eastAsia="Times New Roman" w:hAnsiTheme="majorHAnsi" w:cstheme="majorHAnsi"/>
          <w:sz w:val="24"/>
          <w:szCs w:val="24"/>
        </w:rPr>
      </w:pPr>
    </w:p>
    <w:p w14:paraId="727040DB" w14:textId="77777777" w:rsidR="001D1B7B" w:rsidRPr="00510D16" w:rsidRDefault="00FC6F4E" w:rsidP="00510D16">
      <w:pPr>
        <w:jc w:val="both"/>
        <w:rPr>
          <w:rFonts w:asciiTheme="majorHAnsi" w:eastAsia="Times New Roman" w:hAnsiTheme="majorHAnsi"/>
          <w:sz w:val="24"/>
          <w:szCs w:val="24"/>
        </w:rPr>
      </w:pPr>
      <w:r w:rsidRPr="00510D16">
        <w:rPr>
          <w:rFonts w:asciiTheme="majorHAnsi" w:eastAsia="Times New Roman" w:hAnsiTheme="majorHAnsi"/>
          <w:sz w:val="24"/>
          <w:szCs w:val="24"/>
        </w:rPr>
        <w:t>On the occasion of this session during the year of the 30</w:t>
      </w:r>
      <w:r w:rsidRPr="00510D16">
        <w:rPr>
          <w:rFonts w:asciiTheme="majorHAnsi" w:eastAsia="Times New Roman" w:hAnsiTheme="majorHAnsi"/>
          <w:sz w:val="24"/>
          <w:szCs w:val="24"/>
          <w:vertAlign w:val="superscript"/>
        </w:rPr>
        <w:t>th</w:t>
      </w:r>
      <w:r w:rsidRPr="00510D16">
        <w:rPr>
          <w:rFonts w:asciiTheme="majorHAnsi" w:eastAsia="Times New Roman" w:hAnsiTheme="majorHAnsi"/>
          <w:sz w:val="24"/>
          <w:szCs w:val="24"/>
        </w:rPr>
        <w:t xml:space="preserve"> anniversary of the Convention on the Rights of the Child, UNHCR is</w:t>
      </w:r>
      <w:r w:rsidR="001D1B7B" w:rsidRPr="00510D16">
        <w:rPr>
          <w:rFonts w:asciiTheme="majorHAnsi" w:eastAsia="Times New Roman" w:hAnsiTheme="majorHAnsi"/>
          <w:sz w:val="24"/>
          <w:szCs w:val="24"/>
        </w:rPr>
        <w:t xml:space="preserve"> pleased to</w:t>
      </w:r>
      <w:r w:rsidRPr="00510D16">
        <w:rPr>
          <w:rFonts w:asciiTheme="majorHAnsi" w:eastAsia="Times New Roman" w:hAnsiTheme="majorHAnsi"/>
          <w:sz w:val="24"/>
          <w:szCs w:val="24"/>
        </w:rPr>
        <w:t xml:space="preserve"> have the opportunity to say a few words on the state of children’s rights in the context of displacement and statelessness, and to provide an update on some of our work to advance the implementation of the CRC</w:t>
      </w:r>
      <w:r w:rsidR="008E5694" w:rsidRPr="00510D16">
        <w:rPr>
          <w:rFonts w:asciiTheme="majorHAnsi" w:eastAsia="Times New Roman" w:hAnsiTheme="majorHAnsi"/>
          <w:sz w:val="24"/>
          <w:szCs w:val="24"/>
        </w:rPr>
        <w:t xml:space="preserve">. </w:t>
      </w:r>
    </w:p>
    <w:p w14:paraId="5774F48A" w14:textId="516BE2BB" w:rsidR="000337C7" w:rsidRPr="00510D16" w:rsidRDefault="000337C7" w:rsidP="00510D16">
      <w:pPr>
        <w:jc w:val="both"/>
        <w:rPr>
          <w:rFonts w:asciiTheme="majorHAnsi" w:hAnsiTheme="majorHAnsi"/>
          <w:sz w:val="24"/>
          <w:szCs w:val="24"/>
        </w:rPr>
      </w:pPr>
      <w:r w:rsidRPr="00510D16">
        <w:rPr>
          <w:rFonts w:asciiTheme="majorHAnsi" w:eastAsia="Arial" w:hAnsiTheme="majorHAnsi" w:cstheme="minorHAnsi"/>
          <w:sz w:val="24"/>
          <w:szCs w:val="24"/>
        </w:rPr>
        <w:t>A</w:t>
      </w:r>
      <w:r w:rsidR="00FC6F4E" w:rsidRPr="00510D16">
        <w:rPr>
          <w:rFonts w:asciiTheme="majorHAnsi" w:eastAsia="Arial" w:hAnsiTheme="majorHAnsi" w:cstheme="minorHAnsi"/>
          <w:sz w:val="24"/>
          <w:szCs w:val="24"/>
        </w:rPr>
        <w:t>s we enter 2019, the situation for displaced and stateless</w:t>
      </w:r>
      <w:bookmarkStart w:id="0" w:name="_GoBack"/>
      <w:bookmarkEnd w:id="0"/>
      <w:r w:rsidR="00FC6F4E" w:rsidRPr="00510D16">
        <w:rPr>
          <w:rFonts w:asciiTheme="majorHAnsi" w:eastAsia="Arial" w:hAnsiTheme="majorHAnsi" w:cstheme="minorHAnsi"/>
          <w:sz w:val="24"/>
          <w:szCs w:val="24"/>
        </w:rPr>
        <w:t xml:space="preserve"> children is critical. The sheer numbers of children fleeing violence and persecution, which continue to increase year on year, is cause enough for concern. In 2017, children constituted 52% of the total refugee population, up from 41% in 2009 – for refugees in Africa, this rises to 59%</w:t>
      </w:r>
      <w:r w:rsidR="00FC6F4E" w:rsidRPr="00510D16">
        <w:rPr>
          <w:rStyle w:val="FootnoteReference"/>
          <w:rFonts w:asciiTheme="majorHAnsi" w:eastAsia="Arial" w:hAnsiTheme="majorHAnsi" w:cstheme="minorHAnsi"/>
          <w:sz w:val="24"/>
          <w:szCs w:val="24"/>
        </w:rPr>
        <w:footnoteReference w:id="1"/>
      </w:r>
      <w:r w:rsidR="00FC6F4E" w:rsidRPr="00510D16">
        <w:rPr>
          <w:rFonts w:asciiTheme="majorHAnsi" w:eastAsia="Arial" w:hAnsiTheme="majorHAnsi" w:cstheme="minorHAnsi"/>
          <w:sz w:val="24"/>
          <w:szCs w:val="24"/>
        </w:rPr>
        <w:t>. As of 2016, around 1 in 80 of the world’s children was living in forced displacement – an estimated 28 million children</w:t>
      </w:r>
      <w:r w:rsidR="00FC6F4E" w:rsidRPr="00510D16">
        <w:rPr>
          <w:rStyle w:val="FootnoteReference"/>
          <w:rFonts w:asciiTheme="majorHAnsi" w:eastAsia="Arial" w:hAnsiTheme="majorHAnsi" w:cstheme="minorHAnsi"/>
          <w:sz w:val="24"/>
          <w:szCs w:val="24"/>
        </w:rPr>
        <w:footnoteReference w:id="2"/>
      </w:r>
      <w:r w:rsidR="00FC6F4E" w:rsidRPr="00510D16">
        <w:rPr>
          <w:rFonts w:asciiTheme="majorHAnsi" w:eastAsia="Arial" w:hAnsiTheme="majorHAnsi" w:cstheme="minorHAnsi"/>
          <w:sz w:val="24"/>
          <w:szCs w:val="24"/>
        </w:rPr>
        <w:t>.</w:t>
      </w:r>
      <w:r w:rsidR="00FC6F4E" w:rsidRPr="00510D16">
        <w:rPr>
          <w:rFonts w:asciiTheme="majorHAnsi" w:hAnsiTheme="majorHAnsi" w:cstheme="minorHAnsi"/>
          <w:sz w:val="24"/>
          <w:szCs w:val="24"/>
        </w:rPr>
        <w:t xml:space="preserve"> </w:t>
      </w:r>
      <w:r w:rsidR="000F7842" w:rsidRPr="00510D16">
        <w:rPr>
          <w:rFonts w:asciiTheme="majorHAnsi" w:hAnsiTheme="majorHAnsi"/>
          <w:sz w:val="24"/>
          <w:szCs w:val="24"/>
        </w:rPr>
        <w:t>With a stateless child being born somewhere in the world at least every 10 minutes, this is a problem that is also growing.</w:t>
      </w:r>
      <w:r w:rsidR="000F7842" w:rsidRPr="000F7842">
        <w:rPr>
          <w:rStyle w:val="FootnoteReference"/>
          <w:rFonts w:asciiTheme="majorHAnsi" w:hAnsiTheme="majorHAnsi"/>
          <w:sz w:val="24"/>
          <w:szCs w:val="24"/>
        </w:rPr>
        <w:t xml:space="preserve"> </w:t>
      </w:r>
      <w:r w:rsidR="000F7842" w:rsidRPr="00510D16">
        <w:rPr>
          <w:rStyle w:val="FootnoteReference"/>
          <w:rFonts w:asciiTheme="majorHAnsi" w:hAnsiTheme="majorHAnsi"/>
          <w:sz w:val="24"/>
          <w:szCs w:val="24"/>
        </w:rPr>
        <w:footnoteReference w:id="3"/>
      </w:r>
      <w:r w:rsidR="000F7842" w:rsidRPr="00510D16">
        <w:rPr>
          <w:rFonts w:asciiTheme="majorHAnsi" w:hAnsiTheme="majorHAnsi"/>
          <w:sz w:val="24"/>
          <w:szCs w:val="24"/>
        </w:rPr>
        <w:t xml:space="preserve"> </w:t>
      </w:r>
    </w:p>
    <w:p w14:paraId="3CD62A06" w14:textId="055DFCEA" w:rsidR="009C6085" w:rsidRPr="00510D16" w:rsidRDefault="009C6085" w:rsidP="00510D16">
      <w:pPr>
        <w:jc w:val="both"/>
        <w:rPr>
          <w:rFonts w:asciiTheme="majorHAnsi" w:eastAsia="Arial" w:hAnsiTheme="majorHAnsi" w:cstheme="minorHAnsi"/>
          <w:sz w:val="24"/>
          <w:szCs w:val="24"/>
        </w:rPr>
      </w:pPr>
      <w:r w:rsidRPr="00510D16">
        <w:rPr>
          <w:rFonts w:asciiTheme="majorHAnsi" w:hAnsiTheme="majorHAnsi" w:cstheme="minorHAnsi"/>
          <w:sz w:val="24"/>
          <w:szCs w:val="24"/>
        </w:rPr>
        <w:t>As you know, r</w:t>
      </w:r>
      <w:r w:rsidR="00FC6F4E" w:rsidRPr="00510D16">
        <w:rPr>
          <w:rFonts w:asciiTheme="majorHAnsi" w:eastAsia="Arial" w:hAnsiTheme="majorHAnsi" w:cstheme="minorHAnsi"/>
          <w:sz w:val="24"/>
          <w:szCs w:val="24"/>
        </w:rPr>
        <w:t>efugee and displaced children and youth are often at a higher ri</w:t>
      </w:r>
      <w:r w:rsidRPr="00510D16">
        <w:rPr>
          <w:rFonts w:asciiTheme="majorHAnsi" w:eastAsia="Arial" w:hAnsiTheme="majorHAnsi" w:cstheme="minorHAnsi"/>
          <w:sz w:val="24"/>
          <w:szCs w:val="24"/>
        </w:rPr>
        <w:t>sk of violence and exploitation.</w:t>
      </w:r>
      <w:r w:rsidR="00FC6F4E" w:rsidRPr="00510D16">
        <w:rPr>
          <w:rFonts w:asciiTheme="majorHAnsi" w:eastAsia="Arial" w:hAnsiTheme="majorHAnsi" w:cstheme="minorHAnsi"/>
          <w:sz w:val="24"/>
          <w:szCs w:val="24"/>
        </w:rPr>
        <w:t xml:space="preserve"> </w:t>
      </w:r>
      <w:r w:rsidR="000F7842" w:rsidRPr="00510D16">
        <w:rPr>
          <w:rFonts w:asciiTheme="majorHAnsi" w:hAnsiTheme="majorHAnsi"/>
          <w:color w:val="000000"/>
          <w:sz w:val="24"/>
          <w:szCs w:val="24"/>
        </w:rPr>
        <w:t>An estimated 77% of refugee adolescents do not attend secondary school, depriving them of a key protection measure</w:t>
      </w:r>
      <w:r w:rsidR="000F7842" w:rsidRPr="00510D16">
        <w:rPr>
          <w:rStyle w:val="FootnoteReference"/>
          <w:rFonts w:asciiTheme="majorHAnsi" w:hAnsiTheme="majorHAnsi" w:cstheme="minorHAnsi"/>
          <w:color w:val="000000"/>
          <w:sz w:val="24"/>
          <w:szCs w:val="24"/>
        </w:rPr>
        <w:footnoteReference w:id="4"/>
      </w:r>
      <w:r w:rsidR="000F7842" w:rsidRPr="00510D16">
        <w:rPr>
          <w:rFonts w:asciiTheme="majorHAnsi" w:hAnsiTheme="majorHAnsi"/>
          <w:color w:val="000000"/>
          <w:sz w:val="24"/>
          <w:szCs w:val="24"/>
        </w:rPr>
        <w:t xml:space="preserve">. </w:t>
      </w:r>
      <w:r w:rsidR="000F7842" w:rsidRPr="00510D16">
        <w:rPr>
          <w:rFonts w:asciiTheme="majorHAnsi" w:hAnsiTheme="majorHAnsi"/>
          <w:sz w:val="24"/>
          <w:szCs w:val="24"/>
        </w:rPr>
        <w:t>Over 100 countries are known to detain children in immigration detention</w:t>
      </w:r>
      <w:r w:rsidR="000F7842" w:rsidRPr="00510D16">
        <w:rPr>
          <w:rStyle w:val="FootnoteReference"/>
          <w:rFonts w:asciiTheme="majorHAnsi" w:hAnsiTheme="majorHAnsi" w:cstheme="minorHAnsi"/>
          <w:sz w:val="24"/>
          <w:szCs w:val="24"/>
        </w:rPr>
        <w:footnoteReference w:id="5"/>
      </w:r>
      <w:r w:rsidR="000F7842" w:rsidRPr="00510D16">
        <w:rPr>
          <w:rFonts w:asciiTheme="majorHAnsi" w:hAnsiTheme="majorHAnsi"/>
          <w:sz w:val="24"/>
          <w:szCs w:val="24"/>
        </w:rPr>
        <w:t xml:space="preserve">. </w:t>
      </w:r>
      <w:r w:rsidRPr="00510D16">
        <w:rPr>
          <w:rFonts w:asciiTheme="majorHAnsi" w:hAnsiTheme="majorHAnsi" w:cstheme="minorHAnsi"/>
          <w:sz w:val="24"/>
          <w:szCs w:val="24"/>
        </w:rPr>
        <w:t>On the Central Mediterranean Route, 8 out of 10 adolescents and youth reported exploitation. The risk is higher for those from sub-Saharan Africa, and for those traveling alone.</w:t>
      </w:r>
      <w:r w:rsidR="000F7842" w:rsidRPr="000F7842">
        <w:rPr>
          <w:rStyle w:val="FootnoteReference"/>
          <w:rFonts w:asciiTheme="majorHAnsi" w:hAnsiTheme="majorHAnsi" w:cstheme="minorHAnsi"/>
          <w:sz w:val="24"/>
          <w:szCs w:val="24"/>
        </w:rPr>
        <w:t xml:space="preserve"> </w:t>
      </w:r>
      <w:r w:rsidR="000F7842" w:rsidRPr="00510D16">
        <w:rPr>
          <w:rStyle w:val="FootnoteReference"/>
          <w:rFonts w:asciiTheme="majorHAnsi" w:hAnsiTheme="majorHAnsi" w:cstheme="minorHAnsi"/>
          <w:sz w:val="24"/>
          <w:szCs w:val="24"/>
        </w:rPr>
        <w:footnoteReference w:id="6"/>
      </w:r>
    </w:p>
    <w:p w14:paraId="7F17047D" w14:textId="77777777" w:rsidR="00FC6F4E" w:rsidRPr="00510D16" w:rsidRDefault="009C6085" w:rsidP="00510D16">
      <w:pPr>
        <w:jc w:val="both"/>
        <w:rPr>
          <w:rFonts w:asciiTheme="majorHAnsi" w:hAnsiTheme="majorHAnsi" w:cstheme="minorHAnsi"/>
          <w:sz w:val="24"/>
          <w:szCs w:val="24"/>
        </w:rPr>
      </w:pPr>
      <w:r w:rsidRPr="00510D16">
        <w:rPr>
          <w:rFonts w:asciiTheme="majorHAnsi" w:eastAsia="Arial" w:hAnsiTheme="majorHAnsi" w:cstheme="minorHAnsi"/>
          <w:sz w:val="24"/>
          <w:szCs w:val="24"/>
        </w:rPr>
        <w:t xml:space="preserve">Children are also increasingly the targets of violence and persecution in conflict, including child recruitment and sexual abuse. </w:t>
      </w:r>
      <w:r w:rsidR="00FC6F4E" w:rsidRPr="00510D16">
        <w:rPr>
          <w:rFonts w:asciiTheme="majorHAnsi" w:eastAsia="Arial" w:hAnsiTheme="majorHAnsi" w:cstheme="minorHAnsi"/>
          <w:sz w:val="24"/>
          <w:szCs w:val="24"/>
        </w:rPr>
        <w:t>The top 5 refugee-producing countries all have armed forces and/or groups that are listed for grave violations of children’s rights in armed conflict by the Secretary General</w:t>
      </w:r>
      <w:r w:rsidR="00FC6F4E" w:rsidRPr="00510D16">
        <w:rPr>
          <w:rStyle w:val="FootnoteReference"/>
          <w:rFonts w:asciiTheme="majorHAnsi" w:eastAsia="Arial" w:hAnsiTheme="majorHAnsi" w:cstheme="minorHAnsi"/>
          <w:sz w:val="24"/>
          <w:szCs w:val="24"/>
        </w:rPr>
        <w:footnoteReference w:id="7"/>
      </w:r>
      <w:r w:rsidR="00FC6F4E" w:rsidRPr="00510D16">
        <w:rPr>
          <w:rFonts w:asciiTheme="majorHAnsi" w:eastAsia="Arial" w:hAnsiTheme="majorHAnsi" w:cstheme="minorHAnsi"/>
          <w:sz w:val="24"/>
          <w:szCs w:val="24"/>
        </w:rPr>
        <w:t>.</w:t>
      </w:r>
      <w:r w:rsidR="00FC6F4E" w:rsidRPr="00510D16">
        <w:rPr>
          <w:rFonts w:asciiTheme="majorHAnsi" w:hAnsiTheme="majorHAnsi" w:cstheme="minorHAnsi"/>
          <w:sz w:val="24"/>
          <w:szCs w:val="24"/>
        </w:rPr>
        <w:t xml:space="preserve"> </w:t>
      </w:r>
      <w:r w:rsidR="000337C7" w:rsidRPr="00510D16">
        <w:rPr>
          <w:rFonts w:asciiTheme="majorHAnsi" w:hAnsiTheme="majorHAnsi" w:cstheme="minorHAnsi"/>
          <w:sz w:val="24"/>
          <w:szCs w:val="24"/>
        </w:rPr>
        <w:t xml:space="preserve">More and more children who are forced to flee are also deprived of the protection of their parents and families. </w:t>
      </w:r>
      <w:r w:rsidR="000337C7" w:rsidRPr="00510D16">
        <w:rPr>
          <w:rFonts w:asciiTheme="majorHAnsi" w:eastAsia="Arial" w:hAnsiTheme="majorHAnsi"/>
          <w:sz w:val="24"/>
          <w:szCs w:val="24"/>
        </w:rPr>
        <w:t>In 2017, UNHCR reported 173,800 unaccompanied or separated children (UASC)</w:t>
      </w:r>
      <w:r w:rsidR="000337C7" w:rsidRPr="00510D16">
        <w:rPr>
          <w:rStyle w:val="FootnoteReference"/>
          <w:rFonts w:asciiTheme="majorHAnsi" w:eastAsia="Arial" w:hAnsiTheme="majorHAnsi" w:cstheme="minorHAnsi"/>
          <w:sz w:val="24"/>
          <w:szCs w:val="24"/>
        </w:rPr>
        <w:t xml:space="preserve"> </w:t>
      </w:r>
      <w:r w:rsidR="000337C7" w:rsidRPr="00510D16">
        <w:rPr>
          <w:rStyle w:val="FootnoteReference"/>
          <w:rFonts w:asciiTheme="majorHAnsi" w:eastAsia="Arial" w:hAnsiTheme="majorHAnsi" w:cstheme="minorHAnsi"/>
          <w:sz w:val="24"/>
          <w:szCs w:val="24"/>
        </w:rPr>
        <w:footnoteReference w:id="8"/>
      </w:r>
      <w:r w:rsidR="000337C7" w:rsidRPr="00510D16">
        <w:rPr>
          <w:rFonts w:asciiTheme="majorHAnsi" w:hAnsiTheme="majorHAnsi"/>
          <w:sz w:val="24"/>
          <w:szCs w:val="24"/>
        </w:rPr>
        <w:t>, although we know this is just the tip of the iceberg</w:t>
      </w:r>
      <w:r w:rsidR="000337C7" w:rsidRPr="00510D16">
        <w:rPr>
          <w:rFonts w:asciiTheme="majorHAnsi" w:eastAsia="Arial" w:hAnsiTheme="majorHAnsi"/>
          <w:sz w:val="24"/>
          <w:szCs w:val="24"/>
        </w:rPr>
        <w:t xml:space="preserve">. </w:t>
      </w:r>
    </w:p>
    <w:p w14:paraId="6D317A44" w14:textId="6D4E411C" w:rsidR="00071E82" w:rsidRPr="00510D16" w:rsidRDefault="005F1A1B" w:rsidP="00510D16">
      <w:pPr>
        <w:jc w:val="both"/>
        <w:rPr>
          <w:rFonts w:asciiTheme="majorHAnsi" w:eastAsia="Arial" w:hAnsiTheme="majorHAnsi"/>
          <w:sz w:val="24"/>
          <w:szCs w:val="24"/>
        </w:rPr>
      </w:pPr>
      <w:r w:rsidRPr="00510D16">
        <w:rPr>
          <w:rFonts w:asciiTheme="majorHAnsi" w:eastAsia="Arial" w:hAnsiTheme="majorHAnsi"/>
          <w:sz w:val="24"/>
          <w:szCs w:val="24"/>
        </w:rPr>
        <w:lastRenderedPageBreak/>
        <w:t>In the face of these challenges, States, civil society, and humanitarian agencies are working with every energy to protect children’s rights.</w:t>
      </w:r>
      <w:r w:rsidR="00FC6F4E" w:rsidRPr="00510D16">
        <w:rPr>
          <w:rFonts w:asciiTheme="majorHAnsi" w:eastAsia="Arial" w:hAnsiTheme="majorHAnsi"/>
          <w:sz w:val="24"/>
          <w:szCs w:val="24"/>
        </w:rPr>
        <w:t xml:space="preserve"> </w:t>
      </w:r>
      <w:r w:rsidR="007A3AC4" w:rsidRPr="00510D16">
        <w:rPr>
          <w:rFonts w:asciiTheme="majorHAnsi" w:eastAsia="Arial" w:hAnsiTheme="majorHAnsi"/>
          <w:sz w:val="24"/>
          <w:szCs w:val="24"/>
        </w:rPr>
        <w:t xml:space="preserve">UNHCR would also like to </w:t>
      </w:r>
      <w:r w:rsidR="000F7842">
        <w:rPr>
          <w:rFonts w:asciiTheme="majorHAnsi" w:eastAsia="Arial" w:hAnsiTheme="majorHAnsi"/>
          <w:sz w:val="24"/>
          <w:szCs w:val="24"/>
        </w:rPr>
        <w:t>applaud</w:t>
      </w:r>
      <w:r w:rsidR="007A3AC4" w:rsidRPr="00510D16">
        <w:rPr>
          <w:rFonts w:asciiTheme="majorHAnsi" w:eastAsia="Arial" w:hAnsiTheme="majorHAnsi"/>
          <w:sz w:val="24"/>
          <w:szCs w:val="24"/>
        </w:rPr>
        <w:t xml:space="preserve"> the work of the Committee in this area, and in particular to applaud the two Joint General Comments with the Committee on the Protection of All Migrant Workers and Members of their Families which were adopted in 2017. These General Comments reaffirm many key provisions for the implementation of children’s rights in the context of displacement and migration, and provide important guidance for States and organisations. </w:t>
      </w:r>
    </w:p>
    <w:p w14:paraId="1E2C6443" w14:textId="06311EEE" w:rsidR="00A8319C" w:rsidRPr="00510D16" w:rsidRDefault="007A3AC4" w:rsidP="00510D16">
      <w:pPr>
        <w:jc w:val="both"/>
        <w:rPr>
          <w:rFonts w:asciiTheme="majorHAnsi" w:hAnsiTheme="majorHAnsi"/>
          <w:sz w:val="24"/>
          <w:szCs w:val="24"/>
        </w:rPr>
      </w:pPr>
      <w:r w:rsidRPr="00510D16">
        <w:rPr>
          <w:rFonts w:asciiTheme="majorHAnsi" w:hAnsiTheme="majorHAnsi"/>
          <w:sz w:val="24"/>
          <w:szCs w:val="24"/>
        </w:rPr>
        <w:t xml:space="preserve">Indeed, many of the key provisions for children’s rights, including </w:t>
      </w:r>
      <w:r w:rsidR="00D4009E" w:rsidRPr="00510D16">
        <w:rPr>
          <w:rFonts w:asciiTheme="majorHAnsi" w:hAnsiTheme="majorHAnsi"/>
          <w:sz w:val="24"/>
          <w:szCs w:val="24"/>
        </w:rPr>
        <w:t xml:space="preserve">the centrality of the best interests of the child, and </w:t>
      </w:r>
      <w:r w:rsidRPr="00510D16">
        <w:rPr>
          <w:rFonts w:asciiTheme="majorHAnsi" w:hAnsiTheme="majorHAnsi"/>
          <w:sz w:val="24"/>
          <w:szCs w:val="24"/>
        </w:rPr>
        <w:t>the right</w:t>
      </w:r>
      <w:r w:rsidR="00D4009E" w:rsidRPr="00510D16">
        <w:rPr>
          <w:rFonts w:asciiTheme="majorHAnsi" w:hAnsiTheme="majorHAnsi"/>
          <w:sz w:val="24"/>
          <w:szCs w:val="24"/>
        </w:rPr>
        <w:t>s</w:t>
      </w:r>
      <w:r w:rsidRPr="00510D16">
        <w:rPr>
          <w:rFonts w:asciiTheme="majorHAnsi" w:hAnsiTheme="majorHAnsi"/>
          <w:sz w:val="24"/>
          <w:szCs w:val="24"/>
        </w:rPr>
        <w:t xml:space="preserve"> to</w:t>
      </w:r>
      <w:r w:rsidR="00D4009E" w:rsidRPr="00510D16">
        <w:rPr>
          <w:rFonts w:asciiTheme="majorHAnsi" w:hAnsiTheme="majorHAnsi"/>
          <w:sz w:val="24"/>
          <w:szCs w:val="24"/>
        </w:rPr>
        <w:t xml:space="preserve"> survival and development,</w:t>
      </w:r>
      <w:r w:rsidRPr="00510D16">
        <w:rPr>
          <w:rFonts w:asciiTheme="majorHAnsi" w:hAnsiTheme="majorHAnsi"/>
          <w:sz w:val="24"/>
          <w:szCs w:val="24"/>
        </w:rPr>
        <w:t xml:space="preserve"> </w:t>
      </w:r>
      <w:r w:rsidR="00D4009E" w:rsidRPr="00510D16">
        <w:rPr>
          <w:rFonts w:asciiTheme="majorHAnsi" w:hAnsiTheme="majorHAnsi"/>
          <w:sz w:val="24"/>
          <w:szCs w:val="24"/>
        </w:rPr>
        <w:t>liberty</w:t>
      </w:r>
      <w:r w:rsidRPr="00510D16">
        <w:rPr>
          <w:rFonts w:asciiTheme="majorHAnsi" w:hAnsiTheme="majorHAnsi"/>
          <w:sz w:val="24"/>
          <w:szCs w:val="24"/>
        </w:rPr>
        <w:t xml:space="preserve">, </w:t>
      </w:r>
      <w:r w:rsidR="00D4009E" w:rsidRPr="00510D16">
        <w:rPr>
          <w:rFonts w:asciiTheme="majorHAnsi" w:hAnsiTheme="majorHAnsi"/>
          <w:sz w:val="24"/>
          <w:szCs w:val="24"/>
        </w:rPr>
        <w:t xml:space="preserve">family unity, protection, participation and to a nationality are also at the heart of </w:t>
      </w:r>
      <w:r w:rsidR="00A8319C" w:rsidRPr="00510D16">
        <w:rPr>
          <w:rFonts w:asciiTheme="majorHAnsi" w:hAnsiTheme="majorHAnsi"/>
          <w:sz w:val="24"/>
          <w:szCs w:val="24"/>
        </w:rPr>
        <w:t>the Global Compact on Refugees (GCR)</w:t>
      </w:r>
      <w:r w:rsidR="00A8319C" w:rsidRPr="00510D16">
        <w:rPr>
          <w:rStyle w:val="FootnoteReference"/>
          <w:rFonts w:asciiTheme="majorHAnsi" w:hAnsiTheme="majorHAnsi" w:cstheme="minorHAnsi"/>
          <w:sz w:val="24"/>
          <w:szCs w:val="24"/>
        </w:rPr>
        <w:footnoteReference w:id="9"/>
      </w:r>
      <w:r w:rsidR="00D4009E" w:rsidRPr="00510D16">
        <w:rPr>
          <w:rFonts w:asciiTheme="majorHAnsi" w:hAnsiTheme="majorHAnsi"/>
          <w:sz w:val="24"/>
          <w:szCs w:val="24"/>
        </w:rPr>
        <w:t>, which was adopted by the General Assembly on 17 December 2018</w:t>
      </w:r>
      <w:r w:rsidR="00A8319C" w:rsidRPr="00510D16">
        <w:rPr>
          <w:rFonts w:asciiTheme="majorHAnsi" w:hAnsiTheme="majorHAnsi"/>
          <w:sz w:val="24"/>
          <w:szCs w:val="24"/>
        </w:rPr>
        <w:t xml:space="preserve">. </w:t>
      </w:r>
      <w:r w:rsidR="00D4009E" w:rsidRPr="00510D16">
        <w:rPr>
          <w:rFonts w:asciiTheme="majorHAnsi" w:hAnsiTheme="majorHAnsi"/>
          <w:sz w:val="24"/>
          <w:szCs w:val="24"/>
        </w:rPr>
        <w:t xml:space="preserve"> This is also the case for its sister Compact, the Global Compact on Migration. </w:t>
      </w:r>
      <w:r w:rsidR="0045657D" w:rsidRPr="00510D16">
        <w:rPr>
          <w:rFonts w:asciiTheme="majorHAnsi" w:hAnsiTheme="majorHAnsi"/>
          <w:sz w:val="24"/>
          <w:szCs w:val="24"/>
        </w:rPr>
        <w:t xml:space="preserve">UNHCR looks forward to working with the Committee and other partners here to ensure that children’s rights are also at the forefront of the implementation of </w:t>
      </w:r>
      <w:r w:rsidR="00D4009E" w:rsidRPr="00510D16">
        <w:rPr>
          <w:rFonts w:asciiTheme="majorHAnsi" w:hAnsiTheme="majorHAnsi"/>
          <w:sz w:val="24"/>
          <w:szCs w:val="24"/>
        </w:rPr>
        <w:t xml:space="preserve">both of </w:t>
      </w:r>
      <w:r w:rsidR="0045657D" w:rsidRPr="00510D16">
        <w:rPr>
          <w:rFonts w:asciiTheme="majorHAnsi" w:hAnsiTheme="majorHAnsi"/>
          <w:sz w:val="24"/>
          <w:szCs w:val="24"/>
        </w:rPr>
        <w:t>the Global Compact</w:t>
      </w:r>
      <w:r w:rsidR="00D4009E" w:rsidRPr="00510D16">
        <w:rPr>
          <w:rFonts w:asciiTheme="majorHAnsi" w:hAnsiTheme="majorHAnsi"/>
          <w:sz w:val="24"/>
          <w:szCs w:val="24"/>
        </w:rPr>
        <w:t>s</w:t>
      </w:r>
      <w:r w:rsidR="0045657D" w:rsidRPr="00510D16">
        <w:rPr>
          <w:rFonts w:asciiTheme="majorHAnsi" w:hAnsiTheme="majorHAnsi"/>
          <w:sz w:val="24"/>
          <w:szCs w:val="24"/>
        </w:rPr>
        <w:t>.</w:t>
      </w:r>
      <w:r w:rsidR="00510D16">
        <w:rPr>
          <w:rStyle w:val="FootnoteReference"/>
          <w:rFonts w:asciiTheme="majorHAnsi" w:hAnsiTheme="majorHAnsi"/>
          <w:sz w:val="24"/>
          <w:szCs w:val="24"/>
        </w:rPr>
        <w:footnoteReference w:id="10"/>
      </w:r>
    </w:p>
    <w:p w14:paraId="3367F4BF" w14:textId="0DDEB471" w:rsidR="004F5804" w:rsidRDefault="004F5804" w:rsidP="00510D16">
      <w:pPr>
        <w:jc w:val="both"/>
        <w:rPr>
          <w:rFonts w:asciiTheme="majorHAnsi" w:eastAsia="Arial" w:hAnsiTheme="majorHAnsi"/>
          <w:sz w:val="24"/>
          <w:szCs w:val="24"/>
        </w:rPr>
      </w:pPr>
      <w:r>
        <w:rPr>
          <w:rFonts w:asciiTheme="majorHAnsi" w:eastAsia="Arial" w:hAnsiTheme="majorHAnsi"/>
          <w:sz w:val="24"/>
          <w:szCs w:val="24"/>
        </w:rPr>
        <w:t xml:space="preserve">Against this backdrop, </w:t>
      </w:r>
      <w:r>
        <w:rPr>
          <w:rFonts w:asciiTheme="majorHAnsi" w:eastAsia="Arial" w:hAnsiTheme="majorHAnsi"/>
          <w:sz w:val="24"/>
          <w:szCs w:val="24"/>
        </w:rPr>
        <w:t xml:space="preserve">I will not try to provide an overview of all of </w:t>
      </w:r>
      <w:r w:rsidR="001119C8">
        <w:rPr>
          <w:rFonts w:asciiTheme="majorHAnsi" w:eastAsia="Arial" w:hAnsiTheme="majorHAnsi"/>
          <w:sz w:val="24"/>
          <w:szCs w:val="24"/>
        </w:rPr>
        <w:t>our work</w:t>
      </w:r>
      <w:r>
        <w:rPr>
          <w:rFonts w:asciiTheme="majorHAnsi" w:eastAsia="Arial" w:hAnsiTheme="majorHAnsi"/>
          <w:sz w:val="24"/>
          <w:szCs w:val="24"/>
        </w:rPr>
        <w:t xml:space="preserve"> to strengthen </w:t>
      </w:r>
      <w:r w:rsidR="001119C8">
        <w:rPr>
          <w:rFonts w:asciiTheme="majorHAnsi" w:eastAsia="Arial" w:hAnsiTheme="majorHAnsi"/>
          <w:sz w:val="24"/>
          <w:szCs w:val="24"/>
        </w:rPr>
        <w:t>rights-based</w:t>
      </w:r>
      <w:r>
        <w:rPr>
          <w:rFonts w:asciiTheme="majorHAnsi" w:eastAsia="Arial" w:hAnsiTheme="majorHAnsi"/>
          <w:sz w:val="24"/>
          <w:szCs w:val="24"/>
        </w:rPr>
        <w:t xml:space="preserve"> protection </w:t>
      </w:r>
      <w:r w:rsidR="001119C8">
        <w:rPr>
          <w:rFonts w:asciiTheme="majorHAnsi" w:eastAsia="Arial" w:hAnsiTheme="majorHAnsi"/>
          <w:sz w:val="24"/>
          <w:szCs w:val="24"/>
        </w:rPr>
        <w:t>for</w:t>
      </w:r>
      <w:r>
        <w:rPr>
          <w:rFonts w:asciiTheme="majorHAnsi" w:eastAsia="Arial" w:hAnsiTheme="majorHAnsi"/>
          <w:sz w:val="24"/>
          <w:szCs w:val="24"/>
        </w:rPr>
        <w:t xml:space="preserve"> displaced and stateless </w:t>
      </w:r>
      <w:r w:rsidRPr="0045657D">
        <w:rPr>
          <w:rFonts w:asciiTheme="majorHAnsi" w:eastAsia="Arial" w:hAnsiTheme="majorHAnsi"/>
          <w:sz w:val="24"/>
          <w:szCs w:val="24"/>
        </w:rPr>
        <w:t xml:space="preserve">children, but I do </w:t>
      </w:r>
      <w:r>
        <w:rPr>
          <w:rFonts w:asciiTheme="majorHAnsi" w:eastAsia="Arial" w:hAnsiTheme="majorHAnsi"/>
          <w:sz w:val="24"/>
          <w:szCs w:val="24"/>
        </w:rPr>
        <w:t xml:space="preserve">will highlight a few </w:t>
      </w:r>
      <w:r w:rsidR="001119C8">
        <w:rPr>
          <w:rFonts w:asciiTheme="majorHAnsi" w:eastAsia="Arial" w:hAnsiTheme="majorHAnsi"/>
          <w:sz w:val="24"/>
          <w:szCs w:val="24"/>
        </w:rPr>
        <w:t>recent developments</w:t>
      </w:r>
      <w:r>
        <w:rPr>
          <w:rFonts w:asciiTheme="majorHAnsi" w:eastAsia="Arial" w:hAnsiTheme="majorHAnsi"/>
          <w:sz w:val="24"/>
          <w:szCs w:val="24"/>
        </w:rPr>
        <w:t xml:space="preserve"> that may be of interest</w:t>
      </w:r>
      <w:r w:rsidRPr="0045657D">
        <w:rPr>
          <w:rFonts w:asciiTheme="majorHAnsi" w:eastAsia="Arial" w:hAnsiTheme="majorHAnsi"/>
          <w:sz w:val="24"/>
          <w:szCs w:val="24"/>
        </w:rPr>
        <w:t>.</w:t>
      </w:r>
      <w:r>
        <w:rPr>
          <w:rFonts w:asciiTheme="majorHAnsi" w:eastAsia="Arial" w:hAnsiTheme="majorHAnsi"/>
          <w:sz w:val="24"/>
          <w:szCs w:val="24"/>
        </w:rPr>
        <w:t xml:space="preserve"> </w:t>
      </w:r>
    </w:p>
    <w:p w14:paraId="280F2500" w14:textId="3625173B" w:rsidR="00784C09" w:rsidRPr="00510D16" w:rsidRDefault="00071E82" w:rsidP="00510D16">
      <w:pPr>
        <w:jc w:val="both"/>
        <w:rPr>
          <w:rFonts w:asciiTheme="majorHAnsi" w:hAnsiTheme="majorHAnsi"/>
          <w:sz w:val="24"/>
          <w:szCs w:val="24"/>
        </w:rPr>
      </w:pPr>
      <w:r w:rsidRPr="00510D16">
        <w:rPr>
          <w:rFonts w:asciiTheme="majorHAnsi" w:hAnsiTheme="majorHAnsi"/>
          <w:sz w:val="24"/>
          <w:szCs w:val="24"/>
        </w:rPr>
        <w:t xml:space="preserve">In November 2018, UNHCR updated its </w:t>
      </w:r>
      <w:r w:rsidRPr="00510D16">
        <w:rPr>
          <w:rFonts w:asciiTheme="majorHAnsi" w:hAnsiTheme="majorHAnsi"/>
          <w:i/>
          <w:sz w:val="24"/>
          <w:szCs w:val="24"/>
        </w:rPr>
        <w:t>Guidelines on Assessing and Determining the Best Interests of the Child</w:t>
      </w:r>
      <w:r w:rsidRPr="00510D16">
        <w:rPr>
          <w:rStyle w:val="FootnoteReference"/>
          <w:rFonts w:asciiTheme="majorHAnsi" w:hAnsiTheme="majorHAnsi"/>
          <w:i/>
          <w:sz w:val="24"/>
          <w:szCs w:val="24"/>
        </w:rPr>
        <w:footnoteReference w:id="11"/>
      </w:r>
      <w:r w:rsidRPr="00510D16">
        <w:rPr>
          <w:rFonts w:asciiTheme="majorHAnsi" w:hAnsiTheme="majorHAnsi"/>
          <w:sz w:val="24"/>
          <w:szCs w:val="24"/>
        </w:rPr>
        <w:t xml:space="preserve">. The new Guidelines emphasise the importance of national child protection systems in best </w:t>
      </w:r>
      <w:proofErr w:type="gramStart"/>
      <w:r w:rsidRPr="00510D16">
        <w:rPr>
          <w:rFonts w:asciiTheme="majorHAnsi" w:hAnsiTheme="majorHAnsi"/>
          <w:sz w:val="24"/>
          <w:szCs w:val="24"/>
        </w:rPr>
        <w:t>interests</w:t>
      </w:r>
      <w:proofErr w:type="gramEnd"/>
      <w:r w:rsidRPr="00510D16">
        <w:rPr>
          <w:rFonts w:asciiTheme="majorHAnsi" w:hAnsiTheme="majorHAnsi"/>
          <w:sz w:val="24"/>
          <w:szCs w:val="24"/>
        </w:rPr>
        <w:t xml:space="preserve"> procedures, and ensuring that best interests procedures are part of a holistic process to support a child’s wellbeing. </w:t>
      </w:r>
    </w:p>
    <w:p w14:paraId="680B2F7D" w14:textId="0F0CB131" w:rsidR="00071E82" w:rsidRPr="00510D16" w:rsidRDefault="00071E82" w:rsidP="00510D16">
      <w:pPr>
        <w:spacing w:before="100" w:beforeAutospacing="1" w:after="100" w:afterAutospacing="1"/>
        <w:jc w:val="both"/>
        <w:rPr>
          <w:rFonts w:asciiTheme="majorHAnsi" w:eastAsia="Calibri" w:hAnsiTheme="majorHAnsi"/>
          <w:sz w:val="24"/>
          <w:szCs w:val="24"/>
        </w:rPr>
      </w:pPr>
      <w:r w:rsidRPr="00510D16">
        <w:rPr>
          <w:rFonts w:asciiTheme="majorHAnsi" w:eastAsia="Calibri" w:hAnsiTheme="majorHAnsi"/>
          <w:sz w:val="24"/>
          <w:szCs w:val="24"/>
        </w:rPr>
        <w:t>In January 2017, UNHCR published an updated position</w:t>
      </w:r>
      <w:r w:rsidRPr="00510D16">
        <w:rPr>
          <w:rStyle w:val="FootnoteReference"/>
          <w:rFonts w:asciiTheme="majorHAnsi" w:eastAsia="Calibri" w:hAnsiTheme="majorHAnsi"/>
          <w:sz w:val="24"/>
          <w:szCs w:val="24"/>
        </w:rPr>
        <w:footnoteReference w:id="12"/>
      </w:r>
      <w:r w:rsidRPr="00510D16">
        <w:rPr>
          <w:rFonts w:asciiTheme="majorHAnsi" w:eastAsia="Calibri" w:hAnsiTheme="majorHAnsi"/>
          <w:sz w:val="24"/>
          <w:szCs w:val="24"/>
        </w:rPr>
        <w:t xml:space="preserve"> </w:t>
      </w:r>
      <w:r w:rsidRPr="00510D16">
        <w:rPr>
          <w:rFonts w:asciiTheme="majorHAnsi" w:eastAsia="Times New Roman" w:hAnsiTheme="majorHAnsi"/>
          <w:iCs/>
          <w:sz w:val="24"/>
          <w:szCs w:val="24"/>
        </w:rPr>
        <w:t>regarding the detention of refugee and migrant children in the migration context</w:t>
      </w:r>
      <w:r w:rsidRPr="00510D16">
        <w:rPr>
          <w:rFonts w:asciiTheme="majorHAnsi" w:eastAsia="Calibri" w:hAnsiTheme="majorHAnsi"/>
          <w:sz w:val="24"/>
          <w:szCs w:val="24"/>
        </w:rPr>
        <w:t xml:space="preserve">. UNHCR’s position </w:t>
      </w:r>
      <w:r w:rsidR="00D4009E" w:rsidRPr="00510D16">
        <w:rPr>
          <w:rFonts w:asciiTheme="majorHAnsi" w:eastAsia="Calibri" w:hAnsiTheme="majorHAnsi"/>
          <w:sz w:val="24"/>
          <w:szCs w:val="24"/>
        </w:rPr>
        <w:t xml:space="preserve">– which is also that of the Committee as outlined in General Comment </w:t>
      </w:r>
      <w:r w:rsidR="00646A10" w:rsidRPr="00510D16">
        <w:rPr>
          <w:rFonts w:asciiTheme="majorHAnsi" w:eastAsia="Calibri" w:hAnsiTheme="majorHAnsi"/>
          <w:sz w:val="24"/>
          <w:szCs w:val="24"/>
        </w:rPr>
        <w:t xml:space="preserve">23 </w:t>
      </w:r>
      <w:r w:rsidR="004F5804">
        <w:rPr>
          <w:rFonts w:asciiTheme="majorHAnsi" w:eastAsia="Calibri" w:hAnsiTheme="majorHAnsi"/>
          <w:sz w:val="24"/>
          <w:szCs w:val="24"/>
        </w:rPr>
        <w:t>–</w:t>
      </w:r>
      <w:r w:rsidR="00646A10" w:rsidRPr="00510D16">
        <w:rPr>
          <w:rFonts w:asciiTheme="majorHAnsi" w:eastAsia="Calibri" w:hAnsiTheme="majorHAnsi"/>
          <w:sz w:val="24"/>
          <w:szCs w:val="24"/>
        </w:rPr>
        <w:t xml:space="preserve"> </w:t>
      </w:r>
      <w:r w:rsidRPr="00510D16">
        <w:rPr>
          <w:rFonts w:asciiTheme="majorHAnsi" w:eastAsia="Calibri" w:hAnsiTheme="majorHAnsi"/>
          <w:sz w:val="24"/>
          <w:szCs w:val="24"/>
        </w:rPr>
        <w:t>is that children should not be detained for immigration-related purposes, irrespective of their legal/migratory status or that of their parents, and that detention is never in their best interests.</w:t>
      </w:r>
      <w:r w:rsidRPr="00510D16">
        <w:rPr>
          <w:rStyle w:val="FootnoteReference"/>
          <w:rFonts w:asciiTheme="majorHAnsi" w:eastAsia="Calibri" w:hAnsiTheme="majorHAnsi"/>
          <w:sz w:val="24"/>
          <w:szCs w:val="24"/>
        </w:rPr>
        <w:footnoteReference w:id="13"/>
      </w:r>
      <w:r w:rsidRPr="00510D16">
        <w:rPr>
          <w:rFonts w:asciiTheme="majorHAnsi" w:eastAsia="Calibri" w:hAnsiTheme="majorHAnsi"/>
          <w:sz w:val="24"/>
          <w:szCs w:val="24"/>
        </w:rPr>
        <w:t xml:space="preserve"> UNHCR </w:t>
      </w:r>
      <w:r w:rsidR="001119C8">
        <w:rPr>
          <w:rFonts w:asciiTheme="majorHAnsi" w:eastAsia="Calibri" w:hAnsiTheme="majorHAnsi"/>
          <w:sz w:val="24"/>
          <w:szCs w:val="24"/>
        </w:rPr>
        <w:t>has continued to</w:t>
      </w:r>
      <w:r w:rsidRPr="00510D16">
        <w:rPr>
          <w:rFonts w:asciiTheme="majorHAnsi" w:eastAsia="Calibri" w:hAnsiTheme="majorHAnsi"/>
          <w:sz w:val="24"/>
          <w:szCs w:val="24"/>
        </w:rPr>
        <w:t xml:space="preserve"> advocate for the ending of child detention and </w:t>
      </w:r>
      <w:r w:rsidR="001119C8">
        <w:rPr>
          <w:rFonts w:asciiTheme="majorHAnsi" w:eastAsia="Calibri" w:hAnsiTheme="majorHAnsi"/>
          <w:sz w:val="24"/>
          <w:szCs w:val="24"/>
        </w:rPr>
        <w:t>has noted</w:t>
      </w:r>
      <w:r w:rsidR="00917AE9">
        <w:rPr>
          <w:rFonts w:asciiTheme="majorHAnsi" w:eastAsia="Calibri" w:hAnsiTheme="majorHAnsi"/>
          <w:sz w:val="24"/>
          <w:szCs w:val="24"/>
        </w:rPr>
        <w:t xml:space="preserve"> improvements in legislation and policy in several States</w:t>
      </w:r>
      <w:r w:rsidR="00917AE9">
        <w:rPr>
          <w:rStyle w:val="FootnoteReference"/>
          <w:rFonts w:asciiTheme="majorHAnsi" w:eastAsia="Calibri" w:hAnsiTheme="majorHAnsi"/>
          <w:sz w:val="24"/>
          <w:szCs w:val="24"/>
        </w:rPr>
        <w:footnoteReference w:id="14"/>
      </w:r>
      <w:r w:rsidRPr="00510D16">
        <w:rPr>
          <w:rFonts w:asciiTheme="majorHAnsi" w:eastAsia="Calibri" w:hAnsiTheme="majorHAnsi"/>
          <w:sz w:val="24"/>
          <w:szCs w:val="24"/>
        </w:rPr>
        <w:t>.</w:t>
      </w:r>
    </w:p>
    <w:p w14:paraId="1029BAFC" w14:textId="24A5FA6A" w:rsidR="00A02866" w:rsidRPr="00510D16" w:rsidRDefault="005F1A1B" w:rsidP="00510D16">
      <w:pPr>
        <w:jc w:val="both"/>
        <w:rPr>
          <w:rFonts w:asciiTheme="majorHAnsi" w:hAnsiTheme="majorHAnsi"/>
          <w:sz w:val="24"/>
          <w:szCs w:val="24"/>
          <w:lang w:val="en-US"/>
        </w:rPr>
      </w:pPr>
      <w:r w:rsidRPr="00510D16">
        <w:rPr>
          <w:rFonts w:asciiTheme="majorHAnsi" w:hAnsiTheme="majorHAnsi"/>
          <w:sz w:val="24"/>
          <w:szCs w:val="24"/>
          <w:lang w:val="en-US"/>
        </w:rPr>
        <w:lastRenderedPageBreak/>
        <w:t xml:space="preserve">In 2016, UNHCR and UNICEF </w:t>
      </w:r>
      <w:r w:rsidR="004F5804">
        <w:rPr>
          <w:rFonts w:asciiTheme="majorHAnsi" w:hAnsiTheme="majorHAnsi"/>
          <w:sz w:val="24"/>
          <w:szCs w:val="24"/>
          <w:lang w:val="en-US"/>
        </w:rPr>
        <w:t xml:space="preserve">also </w:t>
      </w:r>
      <w:r w:rsidRPr="00510D16">
        <w:rPr>
          <w:rFonts w:asciiTheme="majorHAnsi" w:hAnsiTheme="majorHAnsi"/>
          <w:sz w:val="24"/>
          <w:szCs w:val="24"/>
          <w:lang w:val="en-US"/>
        </w:rPr>
        <w:t>launched the Coalition on Every Child’s Right to a Nationality. Since the launch of the #</w:t>
      </w:r>
      <w:proofErr w:type="spellStart"/>
      <w:r w:rsidRPr="00510D16">
        <w:rPr>
          <w:rFonts w:asciiTheme="majorHAnsi" w:hAnsiTheme="majorHAnsi"/>
          <w:sz w:val="24"/>
          <w:szCs w:val="24"/>
          <w:lang w:val="en-US"/>
        </w:rPr>
        <w:t>IBelong</w:t>
      </w:r>
      <w:proofErr w:type="spellEnd"/>
      <w:r w:rsidRPr="00510D16">
        <w:rPr>
          <w:rFonts w:asciiTheme="majorHAnsi" w:hAnsiTheme="majorHAnsi"/>
          <w:sz w:val="24"/>
          <w:szCs w:val="24"/>
          <w:lang w:val="en-US"/>
        </w:rPr>
        <w:t xml:space="preserve"> campaign and the Coalition, six States</w:t>
      </w:r>
      <w:r w:rsidR="00784C09" w:rsidRPr="00510D16">
        <w:rPr>
          <w:rStyle w:val="FootnoteReference"/>
          <w:rFonts w:asciiTheme="majorHAnsi" w:hAnsiTheme="majorHAnsi"/>
          <w:sz w:val="24"/>
          <w:szCs w:val="24"/>
          <w:lang w:val="en-US"/>
        </w:rPr>
        <w:footnoteReference w:id="15"/>
      </w:r>
      <w:r w:rsidR="00CE5FCE" w:rsidRPr="00510D16">
        <w:rPr>
          <w:rFonts w:asciiTheme="majorHAnsi" w:hAnsiTheme="majorHAnsi"/>
          <w:sz w:val="24"/>
          <w:szCs w:val="24"/>
          <w:lang w:val="en-US"/>
        </w:rPr>
        <w:t xml:space="preserve"> </w:t>
      </w:r>
      <w:r w:rsidRPr="00510D16">
        <w:rPr>
          <w:rFonts w:asciiTheme="majorHAnsi" w:hAnsiTheme="majorHAnsi"/>
          <w:sz w:val="24"/>
          <w:szCs w:val="24"/>
          <w:lang w:val="en-US"/>
        </w:rPr>
        <w:t>have reformed their laws to allow stateless children born in their t</w:t>
      </w:r>
      <w:r w:rsidR="00CE5FCE" w:rsidRPr="00510D16">
        <w:rPr>
          <w:rFonts w:asciiTheme="majorHAnsi" w:hAnsiTheme="majorHAnsi"/>
          <w:sz w:val="24"/>
          <w:szCs w:val="24"/>
          <w:lang w:val="en-US"/>
        </w:rPr>
        <w:t>erritory to acquire citizenship, and several others have improved legislation in other areas</w:t>
      </w:r>
      <w:r w:rsidRPr="00510D16">
        <w:rPr>
          <w:rFonts w:asciiTheme="majorHAnsi" w:hAnsiTheme="majorHAnsi"/>
          <w:sz w:val="24"/>
          <w:szCs w:val="24"/>
          <w:lang w:val="en-US"/>
        </w:rPr>
        <w:t>.</w:t>
      </w:r>
    </w:p>
    <w:p w14:paraId="2BF71098" w14:textId="77777777" w:rsidR="00A02866" w:rsidRPr="00510D16" w:rsidRDefault="0045657D" w:rsidP="00510D16">
      <w:pPr>
        <w:jc w:val="both"/>
        <w:rPr>
          <w:rFonts w:asciiTheme="majorHAnsi" w:hAnsiTheme="majorHAnsi" w:cstheme="majorHAnsi"/>
          <w:color w:val="000000" w:themeColor="text1"/>
          <w:sz w:val="24"/>
          <w:szCs w:val="24"/>
        </w:rPr>
      </w:pPr>
      <w:r w:rsidRPr="00510D16">
        <w:rPr>
          <w:rFonts w:asciiTheme="majorHAnsi" w:hAnsiTheme="majorHAnsi" w:cstheme="majorHAnsi"/>
          <w:color w:val="000000" w:themeColor="text1"/>
          <w:sz w:val="24"/>
          <w:szCs w:val="24"/>
        </w:rPr>
        <w:t xml:space="preserve">This progress is exciting, and – although the scale of the challenges to the rights of displaced and stateless children are great – there are many more opportunities for progress in 2019 and beyond. </w:t>
      </w:r>
      <w:r w:rsidR="00A02866" w:rsidRPr="00510D16">
        <w:rPr>
          <w:rFonts w:asciiTheme="majorHAnsi" w:hAnsiTheme="majorHAnsi" w:cstheme="majorHAnsi"/>
          <w:color w:val="000000" w:themeColor="text1"/>
          <w:sz w:val="24"/>
          <w:szCs w:val="24"/>
        </w:rPr>
        <w:t xml:space="preserve">We look forward to working together with </w:t>
      </w:r>
      <w:r w:rsidR="008E5694" w:rsidRPr="00510D16">
        <w:rPr>
          <w:rFonts w:asciiTheme="majorHAnsi" w:hAnsiTheme="majorHAnsi" w:cstheme="majorHAnsi"/>
          <w:color w:val="000000" w:themeColor="text1"/>
          <w:sz w:val="24"/>
          <w:szCs w:val="24"/>
        </w:rPr>
        <w:t xml:space="preserve">the Committee and all of you in this respect </w:t>
      </w:r>
      <w:r w:rsidR="00A02866" w:rsidRPr="00510D16">
        <w:rPr>
          <w:rFonts w:asciiTheme="majorHAnsi" w:hAnsiTheme="majorHAnsi" w:cstheme="majorHAnsi"/>
          <w:color w:val="000000" w:themeColor="text1"/>
          <w:sz w:val="24"/>
          <w:szCs w:val="24"/>
        </w:rPr>
        <w:t xml:space="preserve">to ensure that 2019 is a watershed moment for advancing child rights. </w:t>
      </w:r>
    </w:p>
    <w:p w14:paraId="2E82884B" w14:textId="27658B2D" w:rsidR="00624B03" w:rsidRPr="00510D16" w:rsidRDefault="00624B03" w:rsidP="00510D16">
      <w:pPr>
        <w:jc w:val="both"/>
        <w:rPr>
          <w:rFonts w:asciiTheme="majorHAnsi" w:hAnsiTheme="majorHAnsi" w:cstheme="majorHAnsi"/>
          <w:color w:val="000000" w:themeColor="text1"/>
          <w:sz w:val="24"/>
          <w:szCs w:val="24"/>
        </w:rPr>
      </w:pPr>
      <w:r w:rsidRPr="00510D16">
        <w:rPr>
          <w:rFonts w:asciiTheme="majorHAnsi" w:hAnsiTheme="majorHAnsi" w:cstheme="majorHAnsi"/>
          <w:color w:val="000000" w:themeColor="text1"/>
          <w:sz w:val="24"/>
          <w:szCs w:val="24"/>
        </w:rPr>
        <w:t>Thank you</w:t>
      </w:r>
      <w:r w:rsidR="00917AE9">
        <w:rPr>
          <w:rFonts w:asciiTheme="majorHAnsi" w:hAnsiTheme="majorHAnsi" w:cstheme="majorHAnsi"/>
          <w:color w:val="000000" w:themeColor="text1"/>
          <w:sz w:val="24"/>
          <w:szCs w:val="24"/>
        </w:rPr>
        <w:t>.</w:t>
      </w:r>
    </w:p>
    <w:p w14:paraId="40444FCA" w14:textId="77777777" w:rsidR="00A02866" w:rsidRPr="00510D16" w:rsidRDefault="00A02866" w:rsidP="005F1A1B">
      <w:pPr>
        <w:rPr>
          <w:rFonts w:asciiTheme="majorHAnsi" w:hAnsiTheme="majorHAnsi" w:cstheme="majorHAnsi"/>
          <w:sz w:val="24"/>
          <w:szCs w:val="24"/>
        </w:rPr>
      </w:pPr>
    </w:p>
    <w:sectPr w:rsidR="00A02866" w:rsidRPr="00510D16" w:rsidSect="00917AE9">
      <w:pgSz w:w="12240" w:h="15840"/>
      <w:pgMar w:top="1135" w:right="1440" w:bottom="709"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BBCB35" w14:textId="77777777" w:rsidR="003A3A41" w:rsidRDefault="003A3A41" w:rsidP="00FC6F4E">
      <w:pPr>
        <w:spacing w:after="0" w:line="240" w:lineRule="auto"/>
      </w:pPr>
      <w:r>
        <w:separator/>
      </w:r>
    </w:p>
  </w:endnote>
  <w:endnote w:type="continuationSeparator" w:id="0">
    <w:p w14:paraId="0447FE6D" w14:textId="77777777" w:rsidR="003A3A41" w:rsidRDefault="003A3A41" w:rsidP="00FC6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7CACA" w14:textId="77777777" w:rsidR="003A3A41" w:rsidRDefault="003A3A41" w:rsidP="00FC6F4E">
      <w:pPr>
        <w:spacing w:after="0" w:line="240" w:lineRule="auto"/>
      </w:pPr>
      <w:r>
        <w:separator/>
      </w:r>
    </w:p>
  </w:footnote>
  <w:footnote w:type="continuationSeparator" w:id="0">
    <w:p w14:paraId="58AB26A5" w14:textId="77777777" w:rsidR="003A3A41" w:rsidRDefault="003A3A41" w:rsidP="00FC6F4E">
      <w:pPr>
        <w:spacing w:after="0" w:line="240" w:lineRule="auto"/>
      </w:pPr>
      <w:r>
        <w:continuationSeparator/>
      </w:r>
    </w:p>
  </w:footnote>
  <w:footnote w:id="1">
    <w:p w14:paraId="750F3CA9" w14:textId="2F210C42" w:rsidR="00FC6F4E" w:rsidRPr="00917AE9" w:rsidRDefault="00FC6F4E" w:rsidP="00FC6F4E">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w:t>
      </w:r>
      <w:r w:rsidRPr="00917AE9">
        <w:rPr>
          <w:rFonts w:asciiTheme="majorHAnsi" w:hAnsiTheme="majorHAnsi" w:cs="Arial"/>
          <w:szCs w:val="14"/>
        </w:rPr>
        <w:t xml:space="preserve">UNHCR, Global Trends: Forced Displacement in 2017, </w:t>
      </w:r>
      <w:r w:rsidRPr="00917AE9">
        <w:rPr>
          <w:rFonts w:asciiTheme="majorHAnsi" w:hAnsiTheme="majorHAnsi" w:cs="Arial"/>
          <w:i w:val="0"/>
          <w:szCs w:val="14"/>
        </w:rPr>
        <w:t xml:space="preserve">June 2018, available at: </w:t>
      </w:r>
      <w:hyperlink r:id="rId1" w:history="1">
        <w:r w:rsidRPr="00917AE9">
          <w:rPr>
            <w:rStyle w:val="Hyperlink"/>
            <w:rFonts w:asciiTheme="majorHAnsi" w:hAnsiTheme="majorHAnsi" w:cs="Arial"/>
            <w:i w:val="0"/>
            <w:szCs w:val="14"/>
          </w:rPr>
          <w:t>https://www.unhcr.org/uk/statistics/unhcrstats/5b27be547/unhcr-global-trends-2017.html</w:t>
        </w:r>
      </w:hyperlink>
      <w:r w:rsidR="005F362F" w:rsidRPr="00917AE9">
        <w:rPr>
          <w:rStyle w:val="Hyperlink"/>
          <w:rFonts w:asciiTheme="majorHAnsi" w:hAnsiTheme="majorHAnsi" w:cs="Arial"/>
          <w:i w:val="0"/>
          <w:szCs w:val="14"/>
        </w:rPr>
        <w:t>.</w:t>
      </w:r>
      <w:r w:rsidRPr="00917AE9">
        <w:rPr>
          <w:rFonts w:asciiTheme="majorHAnsi" w:hAnsiTheme="majorHAnsi" w:cs="Arial"/>
          <w:i w:val="0"/>
          <w:szCs w:val="14"/>
        </w:rPr>
        <w:t xml:space="preserve"> </w:t>
      </w:r>
    </w:p>
  </w:footnote>
  <w:footnote w:id="2">
    <w:p w14:paraId="649712B5" w14:textId="21E014A6" w:rsidR="00FC6F4E" w:rsidRPr="00917AE9" w:rsidRDefault="00FC6F4E" w:rsidP="00FC6F4E">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szCs w:val="14"/>
        </w:rPr>
        <w:t xml:space="preserve"> </w:t>
      </w:r>
      <w:r w:rsidRPr="00917AE9">
        <w:rPr>
          <w:rFonts w:asciiTheme="majorHAnsi" w:hAnsiTheme="majorHAnsi" w:cs="Arial"/>
          <w:i w:val="0"/>
          <w:szCs w:val="14"/>
        </w:rPr>
        <w:t>UNHCR, UNICEF, et al</w:t>
      </w:r>
      <w:r w:rsidRPr="00917AE9">
        <w:rPr>
          <w:rFonts w:asciiTheme="majorHAnsi" w:hAnsiTheme="majorHAnsi" w:cs="Arial"/>
          <w:szCs w:val="14"/>
        </w:rPr>
        <w:t xml:space="preserve">, </w:t>
      </w:r>
      <w:proofErr w:type="gramStart"/>
      <w:r w:rsidRPr="00917AE9">
        <w:rPr>
          <w:rFonts w:asciiTheme="majorHAnsi" w:hAnsiTheme="majorHAnsi" w:cs="Arial"/>
          <w:szCs w:val="14"/>
        </w:rPr>
        <w:t>A</w:t>
      </w:r>
      <w:proofErr w:type="gramEnd"/>
      <w:r w:rsidRPr="00917AE9">
        <w:rPr>
          <w:rFonts w:asciiTheme="majorHAnsi" w:hAnsiTheme="majorHAnsi" w:cs="Arial"/>
          <w:szCs w:val="14"/>
        </w:rPr>
        <w:t xml:space="preserve"> call to action: Protecting children on the move starts with better data, February 2018</w:t>
      </w:r>
      <w:r w:rsidRPr="00917AE9">
        <w:rPr>
          <w:rFonts w:asciiTheme="majorHAnsi" w:hAnsiTheme="majorHAnsi" w:cs="Arial"/>
          <w:i w:val="0"/>
          <w:szCs w:val="14"/>
        </w:rPr>
        <w:t xml:space="preserve">, available at: </w:t>
      </w:r>
      <w:hyperlink r:id="rId2" w:history="1">
        <w:r w:rsidRPr="00917AE9">
          <w:rPr>
            <w:rStyle w:val="Hyperlink"/>
            <w:rFonts w:asciiTheme="majorHAnsi" w:hAnsiTheme="majorHAnsi" w:cs="Arial"/>
            <w:i w:val="0"/>
            <w:szCs w:val="14"/>
          </w:rPr>
          <w:t>https://data.unicef.org/wp-content/uploads/2018/02/Migration_advocacy_brief.pdf</w:t>
        </w:r>
      </w:hyperlink>
      <w:r w:rsidR="005F362F" w:rsidRPr="00917AE9">
        <w:rPr>
          <w:rStyle w:val="Hyperlink"/>
          <w:rFonts w:asciiTheme="majorHAnsi" w:hAnsiTheme="majorHAnsi" w:cs="Arial"/>
          <w:i w:val="0"/>
          <w:szCs w:val="14"/>
        </w:rPr>
        <w:t>.</w:t>
      </w:r>
      <w:r w:rsidRPr="00917AE9">
        <w:rPr>
          <w:rFonts w:asciiTheme="majorHAnsi" w:hAnsiTheme="majorHAnsi" w:cs="Arial"/>
          <w:i w:val="0"/>
          <w:szCs w:val="14"/>
        </w:rPr>
        <w:t xml:space="preserve"> </w:t>
      </w:r>
    </w:p>
  </w:footnote>
  <w:footnote w:id="3">
    <w:p w14:paraId="17B337AF" w14:textId="77777777" w:rsidR="000F7842" w:rsidRPr="00917AE9" w:rsidRDefault="000F7842" w:rsidP="000F7842">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UNHCR</w:t>
      </w:r>
      <w:r w:rsidRPr="00917AE9">
        <w:rPr>
          <w:rFonts w:asciiTheme="majorHAnsi" w:hAnsiTheme="majorHAnsi" w:cs="Arial"/>
          <w:szCs w:val="14"/>
        </w:rPr>
        <w:t>, I Am Here, I Belong: The urgent need to end child statelessness</w:t>
      </w:r>
      <w:r w:rsidRPr="00917AE9">
        <w:rPr>
          <w:rFonts w:asciiTheme="majorHAnsi" w:hAnsiTheme="majorHAnsi" w:cs="Arial"/>
          <w:i w:val="0"/>
          <w:szCs w:val="14"/>
        </w:rPr>
        <w:t xml:space="preserve">, 3 November 2015, available at: </w:t>
      </w:r>
      <w:hyperlink r:id="rId3" w:history="1">
        <w:r w:rsidRPr="00917AE9">
          <w:rPr>
            <w:rStyle w:val="Hyperlink"/>
            <w:rFonts w:asciiTheme="majorHAnsi" w:hAnsiTheme="majorHAnsi" w:cs="Arial"/>
            <w:i w:val="0"/>
            <w:szCs w:val="14"/>
          </w:rPr>
          <w:t>https://www.refworld.org/docid/563368b34.html</w:t>
        </w:r>
      </w:hyperlink>
      <w:r w:rsidRPr="00917AE9">
        <w:rPr>
          <w:rFonts w:asciiTheme="majorHAnsi" w:hAnsiTheme="majorHAnsi" w:cs="Arial"/>
          <w:i w:val="0"/>
          <w:szCs w:val="14"/>
        </w:rPr>
        <w:t xml:space="preserve"> </w:t>
      </w:r>
    </w:p>
  </w:footnote>
  <w:footnote w:id="4">
    <w:p w14:paraId="01BC4F37" w14:textId="77777777" w:rsidR="000F7842" w:rsidRPr="00917AE9" w:rsidRDefault="000F7842" w:rsidP="000F7842">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UNHCR</w:t>
      </w:r>
      <w:r w:rsidRPr="00917AE9">
        <w:rPr>
          <w:rFonts w:asciiTheme="majorHAnsi" w:hAnsiTheme="majorHAnsi" w:cs="Arial"/>
          <w:szCs w:val="14"/>
        </w:rPr>
        <w:t xml:space="preserve">, Left Behind: Refugee education crisis, </w:t>
      </w:r>
      <w:r w:rsidRPr="00917AE9">
        <w:rPr>
          <w:rFonts w:asciiTheme="majorHAnsi" w:hAnsiTheme="majorHAnsi" w:cs="Arial"/>
          <w:i w:val="0"/>
          <w:szCs w:val="14"/>
        </w:rPr>
        <w:t xml:space="preserve">2018, available at: </w:t>
      </w:r>
      <w:hyperlink r:id="rId4" w:history="1">
        <w:r w:rsidRPr="00917AE9">
          <w:rPr>
            <w:rStyle w:val="Hyperlink"/>
            <w:rFonts w:asciiTheme="majorHAnsi" w:hAnsiTheme="majorHAnsi" w:cs="Arial"/>
            <w:i w:val="0"/>
            <w:szCs w:val="14"/>
          </w:rPr>
          <w:t>https://www.unhcr.org/59b696f44.pdf</w:t>
        </w:r>
      </w:hyperlink>
      <w:r w:rsidRPr="00917AE9">
        <w:rPr>
          <w:rStyle w:val="Hyperlink"/>
          <w:rFonts w:asciiTheme="majorHAnsi" w:hAnsiTheme="majorHAnsi" w:cs="Arial"/>
          <w:i w:val="0"/>
          <w:szCs w:val="14"/>
        </w:rPr>
        <w:t>.</w:t>
      </w:r>
      <w:r w:rsidRPr="00917AE9">
        <w:rPr>
          <w:rFonts w:asciiTheme="majorHAnsi" w:hAnsiTheme="majorHAnsi" w:cs="Arial"/>
          <w:i w:val="0"/>
          <w:szCs w:val="14"/>
        </w:rPr>
        <w:t xml:space="preserve"> </w:t>
      </w:r>
    </w:p>
  </w:footnote>
  <w:footnote w:id="5">
    <w:p w14:paraId="303798EB" w14:textId="77777777" w:rsidR="000F7842" w:rsidRPr="00917AE9" w:rsidRDefault="000F7842" w:rsidP="000F7842">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UNHCR</w:t>
      </w:r>
      <w:r w:rsidRPr="00917AE9">
        <w:rPr>
          <w:rFonts w:asciiTheme="majorHAnsi" w:hAnsiTheme="majorHAnsi" w:cs="Arial"/>
          <w:szCs w:val="14"/>
        </w:rPr>
        <w:t xml:space="preserve">, </w:t>
      </w:r>
      <w:r w:rsidRPr="00917AE9">
        <w:rPr>
          <w:rFonts w:asciiTheme="majorHAnsi" w:hAnsiTheme="majorHAnsi" w:cs="Arial"/>
          <w:i w:val="0"/>
          <w:szCs w:val="14"/>
        </w:rPr>
        <w:t>UNICEF, et al,</w:t>
      </w:r>
      <w:r w:rsidRPr="00917AE9">
        <w:rPr>
          <w:rFonts w:asciiTheme="majorHAnsi" w:hAnsiTheme="majorHAnsi" w:cs="Arial"/>
          <w:szCs w:val="14"/>
        </w:rPr>
        <w:t xml:space="preserve"> </w:t>
      </w:r>
      <w:proofErr w:type="gramStart"/>
      <w:r w:rsidRPr="00917AE9">
        <w:rPr>
          <w:rFonts w:asciiTheme="majorHAnsi" w:hAnsiTheme="majorHAnsi" w:cs="Arial"/>
          <w:szCs w:val="14"/>
        </w:rPr>
        <w:t>A</w:t>
      </w:r>
      <w:proofErr w:type="gramEnd"/>
      <w:r w:rsidRPr="00917AE9">
        <w:rPr>
          <w:rFonts w:asciiTheme="majorHAnsi" w:hAnsiTheme="majorHAnsi" w:cs="Arial"/>
          <w:szCs w:val="14"/>
        </w:rPr>
        <w:t xml:space="preserve"> call to action: Protecting children on the move starts with better data</w:t>
      </w:r>
      <w:r w:rsidRPr="00917AE9">
        <w:rPr>
          <w:rFonts w:asciiTheme="majorHAnsi" w:hAnsiTheme="majorHAnsi" w:cs="Arial"/>
          <w:i w:val="0"/>
          <w:szCs w:val="14"/>
        </w:rPr>
        <w:t xml:space="preserve">, February 2018, available at: </w:t>
      </w:r>
      <w:hyperlink r:id="rId5" w:history="1">
        <w:r w:rsidRPr="00917AE9">
          <w:rPr>
            <w:rStyle w:val="Hyperlink"/>
            <w:rFonts w:asciiTheme="majorHAnsi" w:hAnsiTheme="majorHAnsi" w:cs="Arial"/>
            <w:i w:val="0"/>
            <w:szCs w:val="14"/>
          </w:rPr>
          <w:t>https://data.unicef.org/wp-content/uploads/2018/02/Migration_advocacy_brief.pdf</w:t>
        </w:r>
      </w:hyperlink>
      <w:r w:rsidRPr="00917AE9">
        <w:rPr>
          <w:rStyle w:val="Hyperlink"/>
          <w:rFonts w:asciiTheme="majorHAnsi" w:hAnsiTheme="majorHAnsi" w:cs="Arial"/>
          <w:i w:val="0"/>
          <w:szCs w:val="14"/>
        </w:rPr>
        <w:t>.</w:t>
      </w:r>
    </w:p>
  </w:footnote>
  <w:footnote w:id="6">
    <w:p w14:paraId="6A32C7FF" w14:textId="77777777" w:rsidR="000F7842" w:rsidRPr="00917AE9" w:rsidRDefault="000F7842" w:rsidP="000F7842">
      <w:pPr>
        <w:pStyle w:val="FootnoteText"/>
        <w:rPr>
          <w:rFonts w:asciiTheme="majorHAnsi" w:hAnsiTheme="majorHAnsi" w:cs="Arial"/>
          <w:szCs w:val="14"/>
        </w:rPr>
      </w:pPr>
      <w:r w:rsidRPr="00917AE9">
        <w:rPr>
          <w:rStyle w:val="FootnoteReference"/>
          <w:rFonts w:asciiTheme="majorHAnsi" w:hAnsiTheme="majorHAnsi" w:cs="Arial"/>
          <w:i w:val="0"/>
          <w:szCs w:val="14"/>
        </w:rPr>
        <w:footnoteRef/>
      </w:r>
      <w:r w:rsidRPr="00917AE9">
        <w:rPr>
          <w:rFonts w:asciiTheme="majorHAnsi" w:hAnsiTheme="majorHAnsi" w:cs="Arial"/>
          <w:szCs w:val="14"/>
        </w:rPr>
        <w:t xml:space="preserve"> </w:t>
      </w:r>
      <w:r w:rsidRPr="00917AE9">
        <w:rPr>
          <w:rFonts w:asciiTheme="majorHAnsi" w:hAnsiTheme="majorHAnsi" w:cs="Arial"/>
          <w:i w:val="0"/>
          <w:szCs w:val="14"/>
        </w:rPr>
        <w:t>UNICEF and IOM</w:t>
      </w:r>
      <w:r w:rsidRPr="00917AE9">
        <w:rPr>
          <w:rFonts w:asciiTheme="majorHAnsi" w:hAnsiTheme="majorHAnsi" w:cs="Arial"/>
          <w:szCs w:val="14"/>
        </w:rPr>
        <w:t>, Harrowing Journeys: Children and youth on the move across the Mediterranean Sea, at risk of trafficking and exploitation, September 2017</w:t>
      </w:r>
      <w:r w:rsidRPr="00917AE9">
        <w:rPr>
          <w:rFonts w:asciiTheme="majorHAnsi" w:hAnsiTheme="majorHAnsi" w:cs="Arial"/>
          <w:i w:val="0"/>
          <w:szCs w:val="14"/>
        </w:rPr>
        <w:t xml:space="preserve">, available at: </w:t>
      </w:r>
      <w:hyperlink r:id="rId6" w:history="1">
        <w:r w:rsidRPr="00917AE9">
          <w:rPr>
            <w:rStyle w:val="Hyperlink"/>
            <w:rFonts w:asciiTheme="majorHAnsi" w:hAnsiTheme="majorHAnsi" w:cs="Arial"/>
            <w:i w:val="0"/>
            <w:szCs w:val="14"/>
          </w:rPr>
          <w:t>http://www.un.org/ga/search/view_doc.asp?symbol=S/2018/465&amp;Lang=E&amp;Area=UNDOC</w:t>
        </w:r>
      </w:hyperlink>
      <w:r w:rsidRPr="00917AE9">
        <w:rPr>
          <w:rFonts w:asciiTheme="majorHAnsi" w:hAnsiTheme="majorHAnsi" w:cs="Arial"/>
          <w:szCs w:val="14"/>
        </w:rPr>
        <w:t xml:space="preserve">. </w:t>
      </w:r>
    </w:p>
  </w:footnote>
  <w:footnote w:id="7">
    <w:p w14:paraId="34474658" w14:textId="63F26CDE" w:rsidR="00FC6F4E" w:rsidRPr="00917AE9" w:rsidRDefault="00FC6F4E" w:rsidP="00FC6F4E">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szCs w:val="14"/>
        </w:rPr>
        <w:t xml:space="preserve"> </w:t>
      </w:r>
      <w:r w:rsidRPr="00917AE9">
        <w:rPr>
          <w:rFonts w:asciiTheme="majorHAnsi" w:hAnsiTheme="majorHAnsi" w:cs="Arial"/>
          <w:i w:val="0"/>
          <w:szCs w:val="14"/>
        </w:rPr>
        <w:t>United Nations</w:t>
      </w:r>
      <w:r w:rsidRPr="00917AE9">
        <w:rPr>
          <w:rFonts w:asciiTheme="majorHAnsi" w:hAnsiTheme="majorHAnsi" w:cs="Arial"/>
          <w:szCs w:val="14"/>
        </w:rPr>
        <w:t>, Report of the Secretary General, Children and Armed Conflict</w:t>
      </w:r>
      <w:r w:rsidRPr="00917AE9">
        <w:rPr>
          <w:rFonts w:asciiTheme="majorHAnsi" w:hAnsiTheme="majorHAnsi" w:cs="Arial"/>
          <w:i w:val="0"/>
          <w:szCs w:val="14"/>
        </w:rPr>
        <w:t xml:space="preserve">, 16 May 2018, A/72/865–S/2018/465, available at: </w:t>
      </w:r>
      <w:hyperlink r:id="rId7" w:history="1">
        <w:r w:rsidRPr="00917AE9">
          <w:rPr>
            <w:rStyle w:val="Hyperlink"/>
            <w:rFonts w:asciiTheme="majorHAnsi" w:hAnsiTheme="majorHAnsi" w:cs="Arial"/>
            <w:i w:val="0"/>
            <w:szCs w:val="14"/>
          </w:rPr>
          <w:t>http://www.un.org/ga/search/view_doc.asp?symbol=S/2018/465&amp;Lang=E&amp;Area=UNDOC</w:t>
        </w:r>
      </w:hyperlink>
      <w:r w:rsidR="005F362F" w:rsidRPr="00917AE9">
        <w:rPr>
          <w:rStyle w:val="Hyperlink"/>
          <w:rFonts w:asciiTheme="majorHAnsi" w:hAnsiTheme="majorHAnsi" w:cs="Arial"/>
          <w:i w:val="0"/>
          <w:szCs w:val="14"/>
        </w:rPr>
        <w:t>.</w:t>
      </w:r>
      <w:r w:rsidRPr="00917AE9">
        <w:rPr>
          <w:rFonts w:asciiTheme="majorHAnsi" w:hAnsiTheme="majorHAnsi" w:cs="Arial"/>
          <w:i w:val="0"/>
          <w:szCs w:val="14"/>
        </w:rPr>
        <w:t xml:space="preserve"> </w:t>
      </w:r>
    </w:p>
  </w:footnote>
  <w:footnote w:id="8">
    <w:p w14:paraId="2D62751D" w14:textId="77777777" w:rsidR="000337C7" w:rsidRPr="00917AE9" w:rsidRDefault="000337C7" w:rsidP="000337C7">
      <w:pPr>
        <w:pStyle w:val="FootnoteText"/>
        <w:rPr>
          <w:rFonts w:asciiTheme="majorHAnsi" w:hAnsiTheme="majorHAnsi" w:cs="Arial"/>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This conservative estimate takes into account new applications, asylum seekers and refugees.</w:t>
      </w:r>
      <w:r w:rsidRPr="00917AE9">
        <w:rPr>
          <w:rFonts w:asciiTheme="majorHAnsi" w:hAnsiTheme="majorHAnsi" w:cs="Arial"/>
          <w:szCs w:val="14"/>
        </w:rPr>
        <w:t xml:space="preserve"> UNHCR, Global Trends: Forced Displacement in 2017</w:t>
      </w:r>
      <w:r w:rsidRPr="00917AE9">
        <w:rPr>
          <w:rFonts w:asciiTheme="majorHAnsi" w:hAnsiTheme="majorHAnsi" w:cs="Arial"/>
          <w:i w:val="0"/>
          <w:szCs w:val="14"/>
        </w:rPr>
        <w:t xml:space="preserve">, June 2018, available at: </w:t>
      </w:r>
      <w:hyperlink r:id="rId8" w:history="1">
        <w:r w:rsidRPr="00917AE9">
          <w:rPr>
            <w:rStyle w:val="Hyperlink"/>
            <w:rFonts w:asciiTheme="majorHAnsi" w:hAnsiTheme="majorHAnsi" w:cs="Arial"/>
            <w:i w:val="0"/>
            <w:szCs w:val="14"/>
          </w:rPr>
          <w:t>https://www.unhcr.org/uk/statistics/unhcrstats/5b27be547/unhcr-global-trends-2017.html</w:t>
        </w:r>
      </w:hyperlink>
      <w:r w:rsidRPr="00917AE9">
        <w:rPr>
          <w:rFonts w:asciiTheme="majorHAnsi" w:hAnsiTheme="majorHAnsi" w:cs="Arial"/>
          <w:szCs w:val="14"/>
        </w:rPr>
        <w:t xml:space="preserve"> </w:t>
      </w:r>
    </w:p>
  </w:footnote>
  <w:footnote w:id="9">
    <w:p w14:paraId="17228D57" w14:textId="4DC5B736" w:rsidR="00A8319C" w:rsidRPr="00917AE9" w:rsidRDefault="00A8319C" w:rsidP="00A8319C">
      <w:pPr>
        <w:pStyle w:val="FootnoteText"/>
        <w:rPr>
          <w:rFonts w:asciiTheme="majorHAnsi" w:hAnsiTheme="majorHAnsi" w:cs="Arial"/>
          <w:color w:val="auto"/>
          <w:szCs w:val="14"/>
          <w:lang w:val="en-US"/>
        </w:rPr>
      </w:pPr>
      <w:r w:rsidRPr="00917AE9">
        <w:rPr>
          <w:rStyle w:val="FootnoteReference"/>
          <w:rFonts w:asciiTheme="majorHAnsi" w:hAnsiTheme="majorHAnsi" w:cs="Arial"/>
          <w:i w:val="0"/>
          <w:color w:val="auto"/>
          <w:szCs w:val="14"/>
        </w:rPr>
        <w:footnoteRef/>
      </w:r>
      <w:r w:rsidRPr="00917AE9">
        <w:rPr>
          <w:rFonts w:asciiTheme="majorHAnsi" w:hAnsiTheme="majorHAnsi" w:cs="Arial"/>
          <w:i w:val="0"/>
          <w:color w:val="auto"/>
          <w:szCs w:val="14"/>
        </w:rPr>
        <w:t xml:space="preserve"> </w:t>
      </w:r>
      <w:r w:rsidRPr="00917AE9">
        <w:rPr>
          <w:rFonts w:asciiTheme="majorHAnsi" w:hAnsiTheme="majorHAnsi" w:cs="Arial"/>
          <w:i w:val="0"/>
          <w:color w:val="auto"/>
          <w:szCs w:val="14"/>
          <w:lang w:val="en-US"/>
        </w:rPr>
        <w:t>United Nations</w:t>
      </w:r>
      <w:r w:rsidRPr="00917AE9">
        <w:rPr>
          <w:rFonts w:asciiTheme="majorHAnsi" w:hAnsiTheme="majorHAnsi" w:cs="Arial"/>
          <w:color w:val="auto"/>
          <w:szCs w:val="14"/>
          <w:lang w:val="en-US"/>
        </w:rPr>
        <w:t xml:space="preserve">, Report of the United Nations High Commissioner for Refugees, Part II: Global Compact on Refugees, December 2018, </w:t>
      </w:r>
      <w:r w:rsidRPr="00917AE9">
        <w:rPr>
          <w:rFonts w:asciiTheme="majorHAnsi" w:hAnsiTheme="majorHAnsi" w:cs="Arial"/>
          <w:color w:val="auto"/>
          <w:szCs w:val="14"/>
        </w:rPr>
        <w:t>A/73/12 (Part II),</w:t>
      </w:r>
      <w:r w:rsidRPr="00917AE9">
        <w:rPr>
          <w:rFonts w:asciiTheme="majorHAnsi" w:hAnsiTheme="majorHAnsi" w:cs="Arial"/>
          <w:i w:val="0"/>
          <w:color w:val="auto"/>
          <w:szCs w:val="14"/>
        </w:rPr>
        <w:t xml:space="preserve"> accessible at: </w:t>
      </w:r>
      <w:hyperlink r:id="rId9" w:history="1">
        <w:r w:rsidR="005F362F" w:rsidRPr="00917AE9">
          <w:rPr>
            <w:rStyle w:val="Hyperlink"/>
            <w:rFonts w:asciiTheme="majorHAnsi" w:hAnsiTheme="majorHAnsi" w:cs="Arial"/>
            <w:i w:val="0"/>
            <w:szCs w:val="14"/>
          </w:rPr>
          <w:t>https://www.unhcr.org/gcr/GCR_English.pdf</w:t>
        </w:r>
      </w:hyperlink>
      <w:r w:rsidR="005F362F" w:rsidRPr="00917AE9">
        <w:rPr>
          <w:rStyle w:val="Hyperlink"/>
          <w:rFonts w:asciiTheme="majorHAnsi" w:hAnsiTheme="majorHAnsi" w:cs="Arial"/>
          <w:i w:val="0"/>
          <w:color w:val="auto"/>
          <w:szCs w:val="14"/>
        </w:rPr>
        <w:t>.</w:t>
      </w:r>
    </w:p>
  </w:footnote>
  <w:footnote w:id="10">
    <w:p w14:paraId="257C3926" w14:textId="57671140" w:rsidR="00510D16" w:rsidRPr="00917AE9" w:rsidRDefault="00510D16" w:rsidP="005F362F">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In particular, UNHCR notes the ongoing importance </w:t>
      </w:r>
      <w:r w:rsidR="005F362F" w:rsidRPr="00917AE9">
        <w:rPr>
          <w:rFonts w:asciiTheme="majorHAnsi" w:hAnsiTheme="majorHAnsi" w:cs="Arial"/>
          <w:i w:val="0"/>
          <w:szCs w:val="14"/>
        </w:rPr>
        <w:t>that States: (a) Accede to the Refugee and Statelessness Conventions; (b) Include of refugee children in national action plans on violence against children, child labour etc.; and, (d) Review and strengthen of national asylum and child protection systems to ensure non-discriminatory access and full compliance with the Convention on the Rights of the Child.</w:t>
      </w:r>
    </w:p>
  </w:footnote>
  <w:footnote w:id="11">
    <w:p w14:paraId="23950358" w14:textId="4D5D071E" w:rsidR="00071E82" w:rsidRPr="00917AE9" w:rsidRDefault="00071E82" w:rsidP="00071E82">
      <w:pPr>
        <w:pStyle w:val="FootnoteText"/>
        <w:rPr>
          <w:rFonts w:asciiTheme="majorHAnsi" w:hAnsiTheme="majorHAnsi" w:cs="Arial"/>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w:t>
      </w:r>
      <w:r w:rsidRPr="00917AE9">
        <w:rPr>
          <w:rStyle w:val="Hyperlink"/>
          <w:rFonts w:asciiTheme="majorHAnsi" w:hAnsiTheme="majorHAnsi" w:cs="Arial"/>
          <w:color w:val="auto"/>
          <w:szCs w:val="14"/>
        </w:rPr>
        <w:t>UNHCR Guidelines on the Assessment and Determination of the Best Interests of the Child (Best Interests Procedure (BIP) Guidelines)</w:t>
      </w:r>
      <w:r w:rsidRPr="00917AE9">
        <w:rPr>
          <w:rStyle w:val="Hyperlink"/>
          <w:rFonts w:asciiTheme="majorHAnsi" w:hAnsiTheme="majorHAnsi" w:cs="Arial"/>
          <w:i w:val="0"/>
          <w:color w:val="auto"/>
          <w:szCs w:val="14"/>
        </w:rPr>
        <w:t xml:space="preserve">, November 2018, available at: </w:t>
      </w:r>
      <w:hyperlink r:id="rId10" w:history="1">
        <w:r w:rsidRPr="00917AE9">
          <w:rPr>
            <w:rStyle w:val="Hyperlink"/>
            <w:rFonts w:asciiTheme="majorHAnsi" w:hAnsiTheme="majorHAnsi" w:cs="Arial"/>
            <w:i w:val="0"/>
            <w:szCs w:val="14"/>
          </w:rPr>
          <w:t>https://www.refworld.org/docid/5c18d7254.html</w:t>
        </w:r>
      </w:hyperlink>
      <w:r w:rsidR="004B1DF0" w:rsidRPr="00917AE9">
        <w:rPr>
          <w:rStyle w:val="Hyperlink"/>
          <w:rFonts w:asciiTheme="majorHAnsi" w:hAnsiTheme="majorHAnsi" w:cs="Arial"/>
          <w:i w:val="0"/>
          <w:color w:val="auto"/>
          <w:szCs w:val="14"/>
        </w:rPr>
        <w:t>, replacing</w:t>
      </w:r>
      <w:r w:rsidRPr="00917AE9">
        <w:rPr>
          <w:rStyle w:val="Hyperlink"/>
          <w:rFonts w:asciiTheme="majorHAnsi" w:hAnsiTheme="majorHAnsi" w:cs="Arial"/>
          <w:i w:val="0"/>
          <w:color w:val="auto"/>
          <w:szCs w:val="14"/>
        </w:rPr>
        <w:t xml:space="preserve"> both</w:t>
      </w:r>
      <w:r w:rsidRPr="00917AE9">
        <w:rPr>
          <w:rFonts w:asciiTheme="majorHAnsi" w:hAnsiTheme="majorHAnsi" w:cs="Arial"/>
          <w:i w:val="0"/>
          <w:szCs w:val="14"/>
        </w:rPr>
        <w:t xml:space="preserve"> </w:t>
      </w:r>
      <w:r w:rsidRPr="00917AE9">
        <w:rPr>
          <w:rFonts w:asciiTheme="majorHAnsi" w:hAnsiTheme="majorHAnsi" w:cs="Arial"/>
          <w:szCs w:val="14"/>
        </w:rPr>
        <w:t>UNHCR, Guidelines on Determining the Best Interests of the Child (Best Interests Determination (BID) Guidelines)</w:t>
      </w:r>
      <w:r w:rsidRPr="00917AE9">
        <w:rPr>
          <w:rFonts w:asciiTheme="majorHAnsi" w:hAnsiTheme="majorHAnsi" w:cs="Arial"/>
          <w:i w:val="0"/>
          <w:szCs w:val="14"/>
        </w:rPr>
        <w:t xml:space="preserve">, May 2008, and </w:t>
      </w:r>
      <w:r w:rsidRPr="00917AE9">
        <w:rPr>
          <w:rFonts w:asciiTheme="majorHAnsi" w:hAnsiTheme="majorHAnsi" w:cs="Arial"/>
          <w:szCs w:val="14"/>
        </w:rPr>
        <w:t>UNHCR, Field Handbook for the Implementation of UNHCR BID Guidelines, 2011.</w:t>
      </w:r>
    </w:p>
  </w:footnote>
  <w:footnote w:id="12">
    <w:p w14:paraId="26AE1E69" w14:textId="4828F5C6" w:rsidR="00071E82" w:rsidRPr="00917AE9" w:rsidRDefault="00071E82" w:rsidP="00071E82">
      <w:pPr>
        <w:pStyle w:val="FootnoteText"/>
        <w:rPr>
          <w:rFonts w:asciiTheme="majorHAnsi" w:hAnsiTheme="majorHAnsi" w:cs="Arial"/>
          <w:szCs w:val="14"/>
          <w:lang w:val="en-US"/>
        </w:rPr>
      </w:pPr>
      <w:r w:rsidRPr="00917AE9">
        <w:rPr>
          <w:rStyle w:val="FootnoteReference"/>
          <w:rFonts w:asciiTheme="majorHAnsi" w:hAnsiTheme="majorHAnsi" w:cs="Arial"/>
          <w:i w:val="0"/>
          <w:szCs w:val="14"/>
        </w:rPr>
        <w:footnoteRef/>
      </w:r>
      <w:r w:rsidRPr="00917AE9">
        <w:rPr>
          <w:rFonts w:asciiTheme="majorHAnsi" w:hAnsiTheme="majorHAnsi" w:cs="Arial"/>
          <w:szCs w:val="14"/>
        </w:rPr>
        <w:t xml:space="preserve"> </w:t>
      </w:r>
      <w:r w:rsidRPr="00917AE9">
        <w:rPr>
          <w:rFonts w:asciiTheme="majorHAnsi" w:eastAsia="Times New Roman" w:hAnsiTheme="majorHAnsi" w:cs="Arial"/>
          <w:iCs/>
          <w:szCs w:val="14"/>
        </w:rPr>
        <w:t>UNHCR's position regarding the detention of refugee and migrant children in the migration context</w:t>
      </w:r>
      <w:r w:rsidRPr="00917AE9">
        <w:rPr>
          <w:rFonts w:asciiTheme="majorHAnsi" w:eastAsia="Times New Roman" w:hAnsiTheme="majorHAnsi" w:cs="Arial"/>
          <w:i w:val="0"/>
          <w:szCs w:val="14"/>
        </w:rPr>
        <w:t xml:space="preserve">, January 2017, available at: </w:t>
      </w:r>
      <w:hyperlink r:id="rId11" w:history="1">
        <w:r w:rsidRPr="00917AE9">
          <w:rPr>
            <w:rStyle w:val="Hyperlink"/>
            <w:rFonts w:asciiTheme="majorHAnsi" w:eastAsia="Times New Roman" w:hAnsiTheme="majorHAnsi" w:cs="Arial"/>
            <w:i w:val="0"/>
            <w:szCs w:val="14"/>
          </w:rPr>
          <w:t>http://www.refworld.org/docid/5885c2434.html</w:t>
        </w:r>
      </w:hyperlink>
      <w:r w:rsidR="00510D16" w:rsidRPr="00917AE9">
        <w:rPr>
          <w:rStyle w:val="Hyperlink"/>
          <w:rFonts w:asciiTheme="majorHAnsi" w:eastAsia="Times New Roman" w:hAnsiTheme="majorHAnsi" w:cs="Arial"/>
          <w:i w:val="0"/>
          <w:szCs w:val="14"/>
        </w:rPr>
        <w:t>;</w:t>
      </w:r>
      <w:r w:rsidR="00510D16" w:rsidRPr="00917AE9">
        <w:rPr>
          <w:rStyle w:val="Hyperlink"/>
          <w:rFonts w:asciiTheme="majorHAnsi" w:eastAsia="Times New Roman" w:hAnsiTheme="majorHAnsi" w:cs="Arial"/>
          <w:szCs w:val="14"/>
        </w:rPr>
        <w:t xml:space="preserve"> </w:t>
      </w:r>
      <w:r w:rsidR="00510D16" w:rsidRPr="00917AE9">
        <w:rPr>
          <w:rStyle w:val="Hyperlink"/>
          <w:rFonts w:asciiTheme="majorHAnsi" w:eastAsia="Times New Roman" w:hAnsiTheme="majorHAnsi" w:cs="Arial"/>
          <w:color w:val="auto"/>
          <w:szCs w:val="14"/>
        </w:rPr>
        <w:t>see also,</w:t>
      </w:r>
      <w:r w:rsidR="00510D16" w:rsidRPr="00917AE9">
        <w:rPr>
          <w:rStyle w:val="Hyperlink"/>
          <w:rFonts w:asciiTheme="majorHAnsi" w:eastAsia="Times New Roman" w:hAnsiTheme="majorHAnsi" w:cs="Arial"/>
          <w:i w:val="0"/>
          <w:color w:val="auto"/>
          <w:szCs w:val="14"/>
        </w:rPr>
        <w:t xml:space="preserve"> UN High Commissioner for Refugees (UNHCR), </w:t>
      </w:r>
      <w:r w:rsidR="00510D16" w:rsidRPr="00917AE9">
        <w:rPr>
          <w:rStyle w:val="Hyperlink"/>
          <w:rFonts w:asciiTheme="majorHAnsi" w:eastAsia="Times New Roman" w:hAnsiTheme="majorHAnsi" w:cs="Arial"/>
          <w:color w:val="auto"/>
          <w:szCs w:val="14"/>
        </w:rPr>
        <w:t xml:space="preserve">Guidelines on the Applicable Criteria and Standards relating to the Detention of Asylum-Seekers and Alternatives to Detention, </w:t>
      </w:r>
      <w:r w:rsidR="00510D16" w:rsidRPr="00917AE9">
        <w:rPr>
          <w:rStyle w:val="Hyperlink"/>
          <w:rFonts w:asciiTheme="majorHAnsi" w:eastAsia="Times New Roman" w:hAnsiTheme="majorHAnsi" w:cs="Arial"/>
          <w:i w:val="0"/>
          <w:color w:val="auto"/>
          <w:szCs w:val="14"/>
        </w:rPr>
        <w:t xml:space="preserve">2012, available at: </w:t>
      </w:r>
      <w:hyperlink r:id="rId12" w:history="1">
        <w:r w:rsidR="00510D16" w:rsidRPr="00917AE9">
          <w:rPr>
            <w:rStyle w:val="Hyperlink"/>
            <w:rFonts w:asciiTheme="majorHAnsi" w:eastAsia="Times New Roman" w:hAnsiTheme="majorHAnsi" w:cs="Arial"/>
            <w:i w:val="0"/>
            <w:szCs w:val="14"/>
          </w:rPr>
          <w:t>https://www.refworld.org/docid/503489533b8.html</w:t>
        </w:r>
      </w:hyperlink>
      <w:r w:rsidR="00510D16" w:rsidRPr="00917AE9">
        <w:rPr>
          <w:rStyle w:val="Hyperlink"/>
          <w:rFonts w:asciiTheme="majorHAnsi" w:eastAsia="Times New Roman" w:hAnsiTheme="majorHAnsi" w:cs="Arial"/>
          <w:i w:val="0"/>
          <w:szCs w:val="14"/>
        </w:rPr>
        <w:t xml:space="preserve">.  </w:t>
      </w:r>
    </w:p>
  </w:footnote>
  <w:footnote w:id="13">
    <w:p w14:paraId="00D17B03" w14:textId="267344BF" w:rsidR="00071E82" w:rsidRPr="00917AE9" w:rsidRDefault="00071E82" w:rsidP="00071E82">
      <w:pPr>
        <w:pStyle w:val="FootnoteText"/>
        <w:jc w:val="both"/>
        <w:rPr>
          <w:rFonts w:asciiTheme="majorHAnsi" w:hAnsiTheme="majorHAnsi" w:cs="Arial"/>
          <w:szCs w:val="14"/>
          <w:lang w:val="en-US"/>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This</w:t>
      </w:r>
      <w:r w:rsidRPr="00917AE9">
        <w:rPr>
          <w:rFonts w:asciiTheme="majorHAnsi" w:hAnsiTheme="majorHAnsi" w:cs="Arial"/>
          <w:i w:val="0"/>
          <w:szCs w:val="14"/>
          <w:lang w:val="en-US"/>
        </w:rPr>
        <w:t xml:space="preserve"> position </w:t>
      </w:r>
      <w:r w:rsidRPr="00917AE9">
        <w:rPr>
          <w:rFonts w:asciiTheme="majorHAnsi" w:hAnsiTheme="majorHAnsi" w:cs="Arial"/>
          <w:i w:val="0"/>
          <w:szCs w:val="14"/>
        </w:rPr>
        <w:t xml:space="preserve">has been reinforced by </w:t>
      </w:r>
      <w:hyperlink r:id="rId13" w:history="1">
        <w:r w:rsidRPr="00917AE9">
          <w:rPr>
            <w:rStyle w:val="Hyperlink"/>
            <w:rFonts w:asciiTheme="majorHAnsi" w:hAnsiTheme="majorHAnsi" w:cs="Arial"/>
            <w:szCs w:val="14"/>
          </w:rPr>
          <w:t>Joint CRC-CMW General Comment</w:t>
        </w:r>
        <w:r w:rsidR="005F362F" w:rsidRPr="00917AE9">
          <w:rPr>
            <w:rStyle w:val="Hyperlink"/>
            <w:rFonts w:asciiTheme="majorHAnsi" w:eastAsia="Times New Roman" w:hAnsiTheme="majorHAnsi" w:cs="Arial"/>
            <w:iCs/>
            <w:szCs w:val="14"/>
            <w:lang w:val="en-US"/>
          </w:rPr>
          <w:t xml:space="preserve"> No</w:t>
        </w:r>
        <w:r w:rsidR="005F362F" w:rsidRPr="00917AE9">
          <w:rPr>
            <w:rStyle w:val="Hyperlink"/>
            <w:rFonts w:asciiTheme="majorHAnsi" w:eastAsia="Times New Roman" w:hAnsiTheme="majorHAnsi" w:cs="Arial"/>
            <w:i w:val="0"/>
            <w:iCs/>
            <w:szCs w:val="14"/>
            <w:lang w:val="en-US"/>
          </w:rPr>
          <w:t>.</w:t>
        </w:r>
        <w:r w:rsidR="005F362F" w:rsidRPr="00917AE9">
          <w:rPr>
            <w:rStyle w:val="Hyperlink"/>
            <w:rFonts w:asciiTheme="majorHAnsi" w:eastAsia="Times New Roman" w:hAnsiTheme="majorHAnsi" w:cs="Arial"/>
            <w:iCs/>
            <w:szCs w:val="14"/>
            <w:lang w:val="en-US"/>
          </w:rPr>
          <w:t xml:space="preserve"> 23</w:t>
        </w:r>
      </w:hyperlink>
      <w:r w:rsidRPr="00917AE9">
        <w:rPr>
          <w:rFonts w:asciiTheme="majorHAnsi" w:eastAsia="Times New Roman" w:hAnsiTheme="majorHAnsi" w:cs="Arial"/>
          <w:i w:val="0"/>
          <w:szCs w:val="14"/>
          <w:lang w:val="en-US"/>
        </w:rPr>
        <w:t>, (CMW/C/GC/4-CRC/C/GC/23), of November 2017</w:t>
      </w:r>
      <w:r w:rsidRPr="00917AE9">
        <w:rPr>
          <w:rFonts w:asciiTheme="majorHAnsi" w:eastAsia="Times New Roman" w:hAnsiTheme="majorHAnsi" w:cs="Arial"/>
          <w:szCs w:val="14"/>
          <w:lang w:val="en-US"/>
        </w:rPr>
        <w:t>.</w:t>
      </w:r>
    </w:p>
  </w:footnote>
  <w:footnote w:id="14">
    <w:p w14:paraId="179C3C39" w14:textId="57565E1E" w:rsidR="00917AE9" w:rsidRPr="00917AE9" w:rsidRDefault="00917AE9">
      <w:pPr>
        <w:pStyle w:val="FootnoteText"/>
        <w:rPr>
          <w:szCs w:val="14"/>
        </w:rPr>
      </w:pPr>
      <w:r w:rsidRPr="00917AE9">
        <w:rPr>
          <w:rStyle w:val="FootnoteReference"/>
          <w:szCs w:val="14"/>
        </w:rPr>
        <w:footnoteRef/>
      </w:r>
      <w:r w:rsidRPr="00917AE9">
        <w:rPr>
          <w:szCs w:val="14"/>
        </w:rPr>
        <w:t xml:space="preserve"> </w:t>
      </w:r>
      <w:r w:rsidRPr="00917AE9">
        <w:rPr>
          <w:szCs w:val="14"/>
          <w:lang w:val="en-US"/>
        </w:rPr>
        <w:t xml:space="preserve">UNHCR, Beyond Detention: A Global Strategy to support governments to end the detention of asylum-seekers and refugees, 2014-19, 2014, available at </w:t>
      </w:r>
      <w:hyperlink r:id="rId14" w:history="1">
        <w:r w:rsidRPr="00917AE9">
          <w:rPr>
            <w:rStyle w:val="Hyperlink"/>
            <w:szCs w:val="14"/>
            <w:lang w:val="en-US"/>
          </w:rPr>
          <w:t>https://www.unhcr.org/53aa929f6</w:t>
        </w:r>
      </w:hyperlink>
      <w:r w:rsidRPr="00917AE9">
        <w:rPr>
          <w:rStyle w:val="Hyperlink"/>
          <w:szCs w:val="14"/>
          <w:lang w:val="en-US"/>
        </w:rPr>
        <w:t xml:space="preserve">; </w:t>
      </w:r>
      <w:r w:rsidRPr="00917AE9">
        <w:rPr>
          <w:szCs w:val="14"/>
        </w:rPr>
        <w:t>For more deta</w:t>
      </w:r>
      <w:r w:rsidRPr="00917AE9">
        <w:rPr>
          <w:szCs w:val="14"/>
        </w:rPr>
        <w:t>ils of participating States and progress updates, see</w:t>
      </w:r>
      <w:r w:rsidRPr="00917AE9">
        <w:rPr>
          <w:szCs w:val="14"/>
          <w:lang w:val="en-US"/>
        </w:rPr>
        <w:t xml:space="preserve"> </w:t>
      </w:r>
      <w:hyperlink r:id="rId15" w:history="1">
        <w:r w:rsidRPr="00917AE9">
          <w:rPr>
            <w:rStyle w:val="Hyperlink"/>
            <w:szCs w:val="14"/>
            <w:lang w:val="en-US"/>
          </w:rPr>
          <w:t>https://www.unhcr.org/detention.html</w:t>
        </w:r>
      </w:hyperlink>
      <w:r w:rsidRPr="00917AE9">
        <w:rPr>
          <w:szCs w:val="14"/>
          <w:lang w:val="en-US"/>
        </w:rPr>
        <w:t xml:space="preserve"> </w:t>
      </w:r>
    </w:p>
  </w:footnote>
  <w:footnote w:id="15">
    <w:p w14:paraId="7F68E5E5" w14:textId="77777777" w:rsidR="00784C09" w:rsidRPr="00917AE9" w:rsidRDefault="00784C09">
      <w:pPr>
        <w:pStyle w:val="FootnoteText"/>
        <w:rPr>
          <w:rFonts w:asciiTheme="majorHAnsi" w:hAnsiTheme="majorHAnsi" w:cs="Arial"/>
          <w:szCs w:val="14"/>
          <w:lang w:val="en-US"/>
        </w:rPr>
      </w:pPr>
      <w:r w:rsidRPr="00917AE9">
        <w:rPr>
          <w:rStyle w:val="FootnoteReference"/>
          <w:rFonts w:asciiTheme="majorHAnsi" w:hAnsiTheme="majorHAnsi" w:cs="Arial"/>
          <w:szCs w:val="14"/>
        </w:rPr>
        <w:footnoteRef/>
      </w:r>
      <w:r w:rsidRPr="00917AE9">
        <w:rPr>
          <w:rFonts w:asciiTheme="majorHAnsi" w:hAnsiTheme="majorHAnsi" w:cs="Arial"/>
          <w:szCs w:val="14"/>
        </w:rPr>
        <w:t xml:space="preserve"> </w:t>
      </w:r>
      <w:r w:rsidRPr="00917AE9">
        <w:rPr>
          <w:rFonts w:asciiTheme="majorHAnsi" w:hAnsiTheme="majorHAnsi" w:cs="Arial"/>
          <w:szCs w:val="14"/>
          <w:lang w:val="en-US"/>
        </w:rPr>
        <w:t>Estonia, Armenia, Tajikistan, Luxembourg, Cuba and Iceland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E4609"/>
    <w:multiLevelType w:val="hybridMultilevel"/>
    <w:tmpl w:val="0818DEE0"/>
    <w:lvl w:ilvl="0" w:tplc="57167F80">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D1514"/>
    <w:multiLevelType w:val="hybridMultilevel"/>
    <w:tmpl w:val="BCAE06C6"/>
    <w:lvl w:ilvl="0" w:tplc="08090005">
      <w:start w:val="1"/>
      <w:numFmt w:val="bullet"/>
      <w:lvlText w:val=""/>
      <w:lvlJc w:val="left"/>
      <w:pPr>
        <w:ind w:left="720" w:hanging="360"/>
      </w:pPr>
      <w:rPr>
        <w:rFonts w:ascii="Wingdings" w:hAnsi="Wingdings" w:hint="default"/>
        <w:color w:val="0070C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5C2FA1"/>
    <w:multiLevelType w:val="hybridMultilevel"/>
    <w:tmpl w:val="EE165D08"/>
    <w:lvl w:ilvl="0" w:tplc="A6F2170E">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35A"/>
    <w:rsid w:val="000337C7"/>
    <w:rsid w:val="00066EAE"/>
    <w:rsid w:val="000671CA"/>
    <w:rsid w:val="00071E82"/>
    <w:rsid w:val="000B6DB4"/>
    <w:rsid w:val="000F7842"/>
    <w:rsid w:val="001119C8"/>
    <w:rsid w:val="001165F6"/>
    <w:rsid w:val="001D1B7B"/>
    <w:rsid w:val="001E5AD6"/>
    <w:rsid w:val="001E772C"/>
    <w:rsid w:val="003A3A41"/>
    <w:rsid w:val="003A3E8D"/>
    <w:rsid w:val="003D55DE"/>
    <w:rsid w:val="0045657D"/>
    <w:rsid w:val="00476237"/>
    <w:rsid w:val="004B1DF0"/>
    <w:rsid w:val="004F5804"/>
    <w:rsid w:val="00510D16"/>
    <w:rsid w:val="005F1A1B"/>
    <w:rsid w:val="005F362F"/>
    <w:rsid w:val="00624B03"/>
    <w:rsid w:val="00646A10"/>
    <w:rsid w:val="006B4493"/>
    <w:rsid w:val="006D1343"/>
    <w:rsid w:val="006D467C"/>
    <w:rsid w:val="00722B3C"/>
    <w:rsid w:val="00784C09"/>
    <w:rsid w:val="007A3AC4"/>
    <w:rsid w:val="00870F71"/>
    <w:rsid w:val="00874595"/>
    <w:rsid w:val="008E5694"/>
    <w:rsid w:val="008E7830"/>
    <w:rsid w:val="00917AE9"/>
    <w:rsid w:val="009760E4"/>
    <w:rsid w:val="009C6085"/>
    <w:rsid w:val="00A02866"/>
    <w:rsid w:val="00A1635A"/>
    <w:rsid w:val="00A8319C"/>
    <w:rsid w:val="00B65840"/>
    <w:rsid w:val="00BC1971"/>
    <w:rsid w:val="00BE6131"/>
    <w:rsid w:val="00C305B8"/>
    <w:rsid w:val="00CE5FCE"/>
    <w:rsid w:val="00D4009E"/>
    <w:rsid w:val="00D91018"/>
    <w:rsid w:val="00E430E5"/>
    <w:rsid w:val="00E740CC"/>
    <w:rsid w:val="00EF04E1"/>
    <w:rsid w:val="00FC6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61EF5"/>
  <w15:chartTrackingRefBased/>
  <w15:docId w15:val="{84DA9731-F2B9-4DC6-A389-9536CF171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35A"/>
    <w:pPr>
      <w:spacing w:after="200" w:line="276" w:lineRule="auto"/>
    </w:pPr>
    <w:rPr>
      <w:rFonts w:eastAsiaTheme="minorEastAsia"/>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2866"/>
    <w:pPr>
      <w:spacing w:before="100" w:beforeAutospacing="1" w:after="100" w:afterAutospacing="1"/>
    </w:pPr>
    <w:rPr>
      <w:rFonts w:ascii="Arial" w:eastAsia="Times New Roman" w:hAnsi="Arial" w:cs="Times New Roman"/>
      <w:color w:val="000000"/>
      <w:szCs w:val="24"/>
      <w:lang w:val="en-US" w:eastAsia="en-US"/>
    </w:rPr>
  </w:style>
  <w:style w:type="character" w:styleId="Hyperlink">
    <w:name w:val="Hyperlink"/>
    <w:basedOn w:val="DefaultParagraphFont"/>
    <w:uiPriority w:val="99"/>
    <w:semiHidden/>
    <w:rsid w:val="00FC6F4E"/>
    <w:rPr>
      <w:color w:val="0563C1" w:themeColor="hyperlink"/>
      <w:u w:val="none"/>
    </w:rPr>
  </w:style>
  <w:style w:type="paragraph" w:styleId="FootnoteText">
    <w:name w:val="footnote text"/>
    <w:aliases w:val="Footnote Text Char1,Footnote Text Char Char,Footnote Text Char1 Char Char,Footnote Text Char Char Char Char,Footnote Text Char Char1,Footnote Text Char1 Char,Footnote Text Char Char Char,5_G,Footnote Text Char Char Char Char Char"/>
    <w:basedOn w:val="Normal"/>
    <w:link w:val="FootnoteTextChar"/>
    <w:uiPriority w:val="99"/>
    <w:qFormat/>
    <w:rsid w:val="00FC6F4E"/>
    <w:pPr>
      <w:spacing w:after="0" w:line="200" w:lineRule="atLeast"/>
    </w:pPr>
    <w:rPr>
      <w:rFonts w:eastAsiaTheme="minorHAnsi"/>
      <w:i/>
      <w:color w:val="000000" w:themeColor="text1"/>
      <w:sz w:val="14"/>
      <w:szCs w:val="20"/>
      <w:lang w:eastAsia="en-US"/>
    </w:rPr>
  </w:style>
  <w:style w:type="character" w:customStyle="1" w:styleId="FootnoteTextChar">
    <w:name w:val="Footnote Text Char"/>
    <w:aliases w:val="Footnote Text Char1 Char1,Footnote Text Char Char Char1,Footnote Text Char1 Char Char Char,Footnote Text Char Char Char Char Char1,Footnote Text Char Char1 Char,Footnote Text Char1 Char Char1,Footnote Text Char Char Char Char1"/>
    <w:basedOn w:val="DefaultParagraphFont"/>
    <w:link w:val="FootnoteText"/>
    <w:uiPriority w:val="99"/>
    <w:rsid w:val="00FC6F4E"/>
    <w:rPr>
      <w:i/>
      <w:color w:val="000000" w:themeColor="text1"/>
      <w:sz w:val="14"/>
      <w:szCs w:val="20"/>
      <w:lang w:val="en-GB"/>
    </w:rPr>
  </w:style>
  <w:style w:type="character" w:styleId="FootnoteReference">
    <w:name w:val="footnote reference"/>
    <w:aliases w:val="Footnote Reference Superscript,BVI fnr_TEST,BVI fnrTEST,BVI fnr,Footnote Refernece,Footnote Reference/,ftref,4_G,16 Point,Superscript 6 Point,Footnote Reference Number,Footnote Reference_LVL6,Footnote Reference_LVL61"/>
    <w:basedOn w:val="DefaultParagraphFont"/>
    <w:link w:val="BVIfnrCharCharCharChar"/>
    <w:uiPriority w:val="99"/>
    <w:unhideWhenUsed/>
    <w:qFormat/>
    <w:rsid w:val="00FC6F4E"/>
    <w:rPr>
      <w:vertAlign w:val="superscript"/>
    </w:rPr>
  </w:style>
  <w:style w:type="paragraph" w:customStyle="1" w:styleId="BVIfnrCharCharCharChar">
    <w:name w:val="BVI fnr Char Char Char Char"/>
    <w:aliases w:val=" BVI fnr Car Car Char Char Char Char,BVI fnr Car Char Char Char Char, BVI fnr Car Car Car Car Char Char Char Char,BVI fnr Car Car Char Char Char Char,BVI fnr Car Car Car Car Char Char Char Char, BVI fnr Char Char Char Char"/>
    <w:basedOn w:val="Normal"/>
    <w:link w:val="FootnoteReference"/>
    <w:uiPriority w:val="99"/>
    <w:rsid w:val="00FC6F4E"/>
    <w:pPr>
      <w:spacing w:after="160" w:line="240" w:lineRule="exact"/>
    </w:pPr>
    <w:rPr>
      <w:rFonts w:eastAsiaTheme="minorHAnsi"/>
      <w:vertAlign w:val="superscript"/>
      <w:lang w:val="en-US" w:eastAsia="en-US"/>
    </w:rPr>
  </w:style>
  <w:style w:type="paragraph" w:styleId="NoSpacing">
    <w:name w:val="No Spacing"/>
    <w:uiPriority w:val="1"/>
    <w:qFormat/>
    <w:rsid w:val="00FC6F4E"/>
    <w:pPr>
      <w:spacing w:after="0" w:line="240" w:lineRule="auto"/>
    </w:pPr>
    <w:rPr>
      <w:rFonts w:eastAsiaTheme="minorEastAsia"/>
      <w:lang w:val="en-GB" w:eastAsia="zh-CN"/>
    </w:rPr>
  </w:style>
  <w:style w:type="paragraph" w:customStyle="1" w:styleId="Text-Maintext">
    <w:name w:val="Text - Main text"/>
    <w:basedOn w:val="Normal"/>
    <w:qFormat/>
    <w:rsid w:val="00784C09"/>
    <w:pPr>
      <w:spacing w:after="0" w:line="300" w:lineRule="atLeast"/>
    </w:pPr>
    <w:rPr>
      <w:rFonts w:eastAsiaTheme="minorHAnsi"/>
      <w:color w:val="000000" w:themeColor="text1"/>
      <w:sz w:val="20"/>
      <w:lang w:eastAsia="en-US"/>
    </w:rPr>
  </w:style>
  <w:style w:type="paragraph" w:styleId="ListParagraph">
    <w:name w:val="List Paragraph"/>
    <w:aliases w:val="List Paragraph (numbered (a)),Numbered List Paragraph,Bullets,References,Medium Grid 1 - Accent 21,Liste 1,List Paragraph1,List Bullet Mary,Bullet List,FooterText,Colorful List Accent 1,numbered,Paragraphe de liste1,列出段落,列出段落1,リスト段落1,Plan"/>
    <w:basedOn w:val="Normal"/>
    <w:link w:val="ListParagraphChar"/>
    <w:uiPriority w:val="34"/>
    <w:qFormat/>
    <w:rsid w:val="00071E82"/>
    <w:pPr>
      <w:spacing w:after="0" w:line="300" w:lineRule="atLeast"/>
      <w:ind w:left="720"/>
      <w:contextualSpacing/>
    </w:pPr>
    <w:rPr>
      <w:rFonts w:eastAsiaTheme="minorHAnsi"/>
      <w:color w:val="000000" w:themeColor="text1"/>
      <w:lang w:eastAsia="en-US"/>
    </w:rPr>
  </w:style>
  <w:style w:type="character" w:customStyle="1" w:styleId="ListParagraphChar">
    <w:name w:val="List Paragraph Char"/>
    <w:aliases w:val="List Paragraph (numbered (a)) Char,Numbered List Paragraph Char,Bullets Char,References Char,Medium Grid 1 - Accent 21 Char,Liste 1 Char,List Paragraph1 Char,List Bullet Mary Char,Bullet List Char,FooterText Char,numbered Char"/>
    <w:basedOn w:val="DefaultParagraphFont"/>
    <w:link w:val="ListParagraph"/>
    <w:uiPriority w:val="34"/>
    <w:locked/>
    <w:rsid w:val="00071E82"/>
    <w:rPr>
      <w:color w:val="000000" w:themeColor="text1"/>
      <w:lang w:val="en-GB"/>
    </w:rPr>
  </w:style>
  <w:style w:type="character" w:styleId="CommentReference">
    <w:name w:val="annotation reference"/>
    <w:basedOn w:val="DefaultParagraphFont"/>
    <w:uiPriority w:val="99"/>
    <w:semiHidden/>
    <w:unhideWhenUsed/>
    <w:rsid w:val="00B65840"/>
    <w:rPr>
      <w:sz w:val="16"/>
      <w:szCs w:val="16"/>
    </w:rPr>
  </w:style>
  <w:style w:type="paragraph" w:styleId="CommentText">
    <w:name w:val="annotation text"/>
    <w:basedOn w:val="Normal"/>
    <w:link w:val="CommentTextChar"/>
    <w:uiPriority w:val="99"/>
    <w:semiHidden/>
    <w:unhideWhenUsed/>
    <w:rsid w:val="00B65840"/>
    <w:pPr>
      <w:spacing w:line="240" w:lineRule="auto"/>
    </w:pPr>
    <w:rPr>
      <w:sz w:val="20"/>
      <w:szCs w:val="20"/>
    </w:rPr>
  </w:style>
  <w:style w:type="character" w:customStyle="1" w:styleId="CommentTextChar">
    <w:name w:val="Comment Text Char"/>
    <w:basedOn w:val="DefaultParagraphFont"/>
    <w:link w:val="CommentText"/>
    <w:uiPriority w:val="99"/>
    <w:semiHidden/>
    <w:rsid w:val="00B65840"/>
    <w:rPr>
      <w:rFonts w:eastAsiaTheme="minorEastAsia"/>
      <w:sz w:val="20"/>
      <w:szCs w:val="20"/>
      <w:lang w:val="en-GB" w:eastAsia="zh-CN"/>
    </w:rPr>
  </w:style>
  <w:style w:type="paragraph" w:styleId="CommentSubject">
    <w:name w:val="annotation subject"/>
    <w:basedOn w:val="CommentText"/>
    <w:next w:val="CommentText"/>
    <w:link w:val="CommentSubjectChar"/>
    <w:uiPriority w:val="99"/>
    <w:semiHidden/>
    <w:unhideWhenUsed/>
    <w:rsid w:val="00B65840"/>
    <w:rPr>
      <w:b/>
      <w:bCs/>
    </w:rPr>
  </w:style>
  <w:style w:type="character" w:customStyle="1" w:styleId="CommentSubjectChar">
    <w:name w:val="Comment Subject Char"/>
    <w:basedOn w:val="CommentTextChar"/>
    <w:link w:val="CommentSubject"/>
    <w:uiPriority w:val="99"/>
    <w:semiHidden/>
    <w:rsid w:val="00B65840"/>
    <w:rPr>
      <w:rFonts w:eastAsiaTheme="minorEastAsia"/>
      <w:b/>
      <w:bCs/>
      <w:sz w:val="20"/>
      <w:szCs w:val="20"/>
      <w:lang w:val="en-GB" w:eastAsia="zh-CN"/>
    </w:rPr>
  </w:style>
  <w:style w:type="paragraph" w:styleId="BalloonText">
    <w:name w:val="Balloon Text"/>
    <w:basedOn w:val="Normal"/>
    <w:link w:val="BalloonTextChar"/>
    <w:uiPriority w:val="99"/>
    <w:semiHidden/>
    <w:unhideWhenUsed/>
    <w:rsid w:val="00B658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840"/>
    <w:rPr>
      <w:rFonts w:ascii="Segoe UI" w:eastAsiaTheme="minorEastAsia" w:hAnsi="Segoe UI" w:cs="Segoe UI"/>
      <w:sz w:val="18"/>
      <w:szCs w:val="18"/>
      <w:lang w:val="en-GB" w:eastAsia="zh-CN"/>
    </w:rPr>
  </w:style>
  <w:style w:type="character" w:styleId="FollowedHyperlink">
    <w:name w:val="FollowedHyperlink"/>
    <w:basedOn w:val="DefaultParagraphFont"/>
    <w:uiPriority w:val="99"/>
    <w:semiHidden/>
    <w:unhideWhenUsed/>
    <w:rsid w:val="00510D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242">
      <w:bodyDiv w:val="1"/>
      <w:marLeft w:val="0"/>
      <w:marRight w:val="0"/>
      <w:marTop w:val="0"/>
      <w:marBottom w:val="0"/>
      <w:divBdr>
        <w:top w:val="none" w:sz="0" w:space="0" w:color="auto"/>
        <w:left w:val="none" w:sz="0" w:space="0" w:color="auto"/>
        <w:bottom w:val="none" w:sz="0" w:space="0" w:color="auto"/>
        <w:right w:val="none" w:sz="0" w:space="0" w:color="auto"/>
      </w:divBdr>
    </w:div>
    <w:div w:id="93385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unhcr.org/uk/statistics/unhcrstats/5b27be547/unhcr-global-trends-2017.html" TargetMode="External"/><Relationship Id="rId13" Type="http://schemas.openxmlformats.org/officeDocument/2006/relationships/hyperlink" Target="http://www.refworld.org/docid/5a2fa3e44.html" TargetMode="External"/><Relationship Id="rId3" Type="http://schemas.openxmlformats.org/officeDocument/2006/relationships/hyperlink" Target="https://www.refworld.org/docid/563368b34.html" TargetMode="External"/><Relationship Id="rId7" Type="http://schemas.openxmlformats.org/officeDocument/2006/relationships/hyperlink" Target="http://www.un.org/ga/search/view_doc.asp?symbol=S/2018/465&amp;Lang=E&amp;Area=UNDOC" TargetMode="External"/><Relationship Id="rId12" Type="http://schemas.openxmlformats.org/officeDocument/2006/relationships/hyperlink" Target="https://www.refworld.org/docid/503489533b8.html" TargetMode="External"/><Relationship Id="rId2" Type="http://schemas.openxmlformats.org/officeDocument/2006/relationships/hyperlink" Target="https://data.unicef.org/wp-content/uploads/2018/02/Migration_advocacy_brief.pdf" TargetMode="External"/><Relationship Id="rId1" Type="http://schemas.openxmlformats.org/officeDocument/2006/relationships/hyperlink" Target="https://www.unhcr.org/uk/statistics/unhcrstats/5b27be547/unhcr-global-trends-2017.html" TargetMode="External"/><Relationship Id="rId6" Type="http://schemas.openxmlformats.org/officeDocument/2006/relationships/hyperlink" Target="http://www.un.org/ga/search/view_doc.asp?symbol=S/2018/465&amp;Lang=E&amp;Area=UNDOC" TargetMode="External"/><Relationship Id="rId11" Type="http://schemas.openxmlformats.org/officeDocument/2006/relationships/hyperlink" Target="http://www.refworld.org/docid/5885c2434.html" TargetMode="External"/><Relationship Id="rId5" Type="http://schemas.openxmlformats.org/officeDocument/2006/relationships/hyperlink" Target="https://data.unicef.org/wp-content/uploads/2018/02/Migration_advocacy_brief.pdf" TargetMode="External"/><Relationship Id="rId15" Type="http://schemas.openxmlformats.org/officeDocument/2006/relationships/hyperlink" Target="https://www.unhcr.org/detention.html" TargetMode="External"/><Relationship Id="rId10" Type="http://schemas.openxmlformats.org/officeDocument/2006/relationships/hyperlink" Target="https://www.refworld.org/docid/5c18d7254.html" TargetMode="External"/><Relationship Id="rId4" Type="http://schemas.openxmlformats.org/officeDocument/2006/relationships/hyperlink" Target="https://www.unhcr.org/59b696f44.pdf" TargetMode="External"/><Relationship Id="rId9" Type="http://schemas.openxmlformats.org/officeDocument/2006/relationships/hyperlink" Target="https://www.unhcr.org/gcr/GCR_English.pdf" TargetMode="External"/><Relationship Id="rId14" Type="http://schemas.openxmlformats.org/officeDocument/2006/relationships/hyperlink" Target="https://www.unhcr.org/53aa929f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DF2E3F-9297-49E3-89FB-F5A31C102D11}"/>
</file>

<file path=customXml/itemProps2.xml><?xml version="1.0" encoding="utf-8"?>
<ds:datastoreItem xmlns:ds="http://schemas.openxmlformats.org/officeDocument/2006/customXml" ds:itemID="{CA6B3A08-4098-4F91-AAA9-FF85D22AA2E0}"/>
</file>

<file path=customXml/itemProps3.xml><?xml version="1.0" encoding="utf-8"?>
<ds:datastoreItem xmlns:ds="http://schemas.openxmlformats.org/officeDocument/2006/customXml" ds:itemID="{FF6B99F9-1D4B-46E2-8EB4-1CE5164E2A95}"/>
</file>

<file path=customXml/itemProps4.xml><?xml version="1.0" encoding="utf-8"?>
<ds:datastoreItem xmlns:ds="http://schemas.openxmlformats.org/officeDocument/2006/customXml" ds:itemID="{2F6C481E-298B-4F17-8296-F00CB699A9BE}"/>
</file>

<file path=docProps/app.xml><?xml version="1.0" encoding="utf-8"?>
<Properties xmlns="http://schemas.openxmlformats.org/officeDocument/2006/extended-properties" xmlns:vt="http://schemas.openxmlformats.org/officeDocument/2006/docPropsVTypes">
  <Template>Normal</Template>
  <TotalTime>8</TotalTime>
  <Pages>3</Pages>
  <Words>779</Words>
  <Characters>4444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Janis Ridsdel</cp:lastModifiedBy>
  <cp:revision>3</cp:revision>
  <dcterms:created xsi:type="dcterms:W3CDTF">2019-01-11T16:48:00Z</dcterms:created>
  <dcterms:modified xsi:type="dcterms:W3CDTF">2019-01-11T16:57:00Z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