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2FBD" w:rsidRPr="00105456" w:rsidRDefault="00F02FBD" w:rsidP="00105456">
      <w:pPr>
        <w:pStyle w:val="NoSpacing"/>
        <w:rPr>
          <w:rFonts w:ascii="Verdana" w:hAnsi="Verdana"/>
          <w:sz w:val="24"/>
          <w:szCs w:val="24"/>
        </w:rPr>
      </w:pPr>
    </w:p>
    <w:p w:rsidR="00041351" w:rsidRPr="00105456" w:rsidRDefault="001A4EED" w:rsidP="00105456">
      <w:pPr>
        <w:pStyle w:val="NoSpacing"/>
        <w:jc w:val="center"/>
        <w:rPr>
          <w:rFonts w:ascii="Verdana" w:hAnsi="Verdana" w:cs="Verdana"/>
          <w:color w:val="000000"/>
          <w:sz w:val="24"/>
          <w:szCs w:val="24"/>
        </w:rPr>
      </w:pPr>
      <w:r w:rsidRPr="00105456">
        <w:rPr>
          <w:rFonts w:ascii="Verdana" w:hAnsi="Verdana" w:cs="Verdana"/>
          <w:b/>
          <w:bCs/>
          <w:color w:val="000000"/>
          <w:sz w:val="24"/>
          <w:szCs w:val="24"/>
        </w:rPr>
        <w:t>N</w:t>
      </w:r>
      <w:r w:rsidR="00704335" w:rsidRPr="00105456">
        <w:rPr>
          <w:rFonts w:ascii="Verdana" w:hAnsi="Verdana" w:cs="Verdana"/>
          <w:b/>
          <w:bCs/>
          <w:color w:val="000000"/>
          <w:sz w:val="24"/>
          <w:szCs w:val="24"/>
        </w:rPr>
        <w:t xml:space="preserve">orthern </w:t>
      </w:r>
      <w:r w:rsidRPr="00105456">
        <w:rPr>
          <w:rFonts w:ascii="Verdana" w:hAnsi="Verdana" w:cs="Verdana"/>
          <w:b/>
          <w:bCs/>
          <w:color w:val="000000"/>
          <w:sz w:val="24"/>
          <w:szCs w:val="24"/>
        </w:rPr>
        <w:t>I</w:t>
      </w:r>
      <w:r w:rsidR="00704335" w:rsidRPr="00105456">
        <w:rPr>
          <w:rFonts w:ascii="Verdana" w:hAnsi="Verdana" w:cs="Verdana"/>
          <w:b/>
          <w:bCs/>
          <w:color w:val="000000"/>
          <w:sz w:val="24"/>
          <w:szCs w:val="24"/>
        </w:rPr>
        <w:t>reland</w:t>
      </w:r>
      <w:r w:rsidR="009770D1" w:rsidRPr="00105456">
        <w:rPr>
          <w:rFonts w:ascii="Verdana" w:hAnsi="Verdana" w:cs="Verdana"/>
          <w:b/>
          <w:bCs/>
          <w:color w:val="000000"/>
          <w:sz w:val="24"/>
          <w:szCs w:val="24"/>
        </w:rPr>
        <w:t xml:space="preserve"> Human Rights Commission submission to the UN Human Rights Committee 114</w:t>
      </w:r>
      <w:r w:rsidR="009770D1" w:rsidRPr="00105456">
        <w:rPr>
          <w:rFonts w:ascii="Verdana" w:hAnsi="Verdana" w:cs="Verdana"/>
          <w:b/>
          <w:bCs/>
          <w:color w:val="000000"/>
          <w:sz w:val="24"/>
          <w:szCs w:val="24"/>
          <w:vertAlign w:val="superscript"/>
        </w:rPr>
        <w:t>th</w:t>
      </w:r>
      <w:r w:rsidR="009770D1" w:rsidRPr="00105456">
        <w:rPr>
          <w:rFonts w:ascii="Verdana" w:hAnsi="Verdana" w:cs="Verdana"/>
          <w:b/>
          <w:bCs/>
          <w:color w:val="000000"/>
          <w:sz w:val="24"/>
          <w:szCs w:val="24"/>
        </w:rPr>
        <w:t xml:space="preserve"> Session on the Seventh Periodic Report of the United Kingdom of Great Britain and </w:t>
      </w:r>
      <w:r w:rsidRPr="00105456">
        <w:rPr>
          <w:rFonts w:ascii="Verdana" w:hAnsi="Verdana" w:cs="Verdana"/>
          <w:b/>
          <w:bCs/>
          <w:color w:val="000000"/>
          <w:sz w:val="24"/>
          <w:szCs w:val="24"/>
        </w:rPr>
        <w:t>N</w:t>
      </w:r>
      <w:r w:rsidR="00185852" w:rsidRPr="00105456">
        <w:rPr>
          <w:rFonts w:ascii="Verdana" w:hAnsi="Verdana" w:cs="Verdana"/>
          <w:b/>
          <w:bCs/>
          <w:color w:val="000000"/>
          <w:sz w:val="24"/>
          <w:szCs w:val="24"/>
        </w:rPr>
        <w:t xml:space="preserve">orthern </w:t>
      </w:r>
      <w:r w:rsidRPr="00105456">
        <w:rPr>
          <w:rFonts w:ascii="Verdana" w:hAnsi="Verdana" w:cs="Verdana"/>
          <w:b/>
          <w:bCs/>
          <w:color w:val="000000"/>
          <w:sz w:val="24"/>
          <w:szCs w:val="24"/>
        </w:rPr>
        <w:t>I</w:t>
      </w:r>
      <w:r w:rsidR="00185852" w:rsidRPr="00105456">
        <w:rPr>
          <w:rFonts w:ascii="Verdana" w:hAnsi="Verdana" w:cs="Verdana"/>
          <w:b/>
          <w:bCs/>
          <w:color w:val="000000"/>
          <w:sz w:val="24"/>
          <w:szCs w:val="24"/>
        </w:rPr>
        <w:t>reland</w:t>
      </w:r>
      <w:r w:rsidR="009770D1" w:rsidRPr="00105456">
        <w:rPr>
          <w:rFonts w:ascii="Verdana" w:hAnsi="Verdana" w:cs="Verdana"/>
          <w:b/>
          <w:bCs/>
          <w:color w:val="000000"/>
          <w:sz w:val="24"/>
          <w:szCs w:val="24"/>
        </w:rPr>
        <w:t xml:space="preserve"> on compliance with the ICCPR</w:t>
      </w:r>
    </w:p>
    <w:p w:rsidR="00041351" w:rsidRPr="00105456" w:rsidRDefault="00041351" w:rsidP="00105456">
      <w:pPr>
        <w:pStyle w:val="NoSpacing"/>
        <w:rPr>
          <w:rFonts w:ascii="Verdana" w:hAnsi="Verdana" w:cs="Verdana"/>
          <w:color w:val="000000"/>
          <w:sz w:val="24"/>
          <w:szCs w:val="24"/>
        </w:rPr>
      </w:pPr>
    </w:p>
    <w:p w:rsidR="009770D1" w:rsidRPr="00105456" w:rsidRDefault="009770D1" w:rsidP="00105456">
      <w:pPr>
        <w:pStyle w:val="NoSpacing"/>
        <w:rPr>
          <w:rFonts w:ascii="Verdana" w:hAnsi="Verdana" w:cs="Verdana"/>
          <w:b/>
          <w:color w:val="000000"/>
          <w:sz w:val="24"/>
          <w:szCs w:val="24"/>
          <w:u w:val="single"/>
        </w:rPr>
      </w:pPr>
    </w:p>
    <w:p w:rsidR="009770D1" w:rsidRPr="00105456" w:rsidRDefault="009770D1" w:rsidP="00105456">
      <w:pPr>
        <w:pStyle w:val="NoSpacing"/>
        <w:rPr>
          <w:rFonts w:ascii="Verdana" w:hAnsi="Verdana" w:cs="Verdana"/>
          <w:b/>
          <w:color w:val="000000"/>
          <w:sz w:val="24"/>
          <w:szCs w:val="24"/>
          <w:u w:val="single"/>
        </w:rPr>
      </w:pPr>
    </w:p>
    <w:p w:rsidR="009770D1" w:rsidRPr="00105456" w:rsidRDefault="009770D1" w:rsidP="00105456">
      <w:pPr>
        <w:pStyle w:val="NoSpacing"/>
        <w:rPr>
          <w:rFonts w:ascii="Verdana" w:hAnsi="Verdana" w:cs="Verdana"/>
          <w:b/>
          <w:color w:val="000000"/>
          <w:sz w:val="24"/>
          <w:szCs w:val="24"/>
          <w:u w:val="single"/>
        </w:rPr>
      </w:pPr>
    </w:p>
    <w:p w:rsidR="009770D1" w:rsidRPr="00105456" w:rsidRDefault="009770D1" w:rsidP="00105456">
      <w:pPr>
        <w:pStyle w:val="NoSpacing"/>
        <w:rPr>
          <w:rFonts w:ascii="Verdana" w:hAnsi="Verdana" w:cs="Verdana"/>
          <w:b/>
          <w:color w:val="000000"/>
          <w:sz w:val="24"/>
          <w:szCs w:val="24"/>
          <w:u w:val="single"/>
        </w:rPr>
      </w:pPr>
    </w:p>
    <w:p w:rsidR="009770D1" w:rsidRPr="00105456" w:rsidRDefault="009770D1" w:rsidP="00876D09">
      <w:pPr>
        <w:pStyle w:val="NoSpacing"/>
        <w:jc w:val="center"/>
        <w:rPr>
          <w:rFonts w:ascii="Verdana" w:hAnsi="Verdana" w:cs="Verdana"/>
          <w:b/>
          <w:color w:val="000000"/>
          <w:sz w:val="24"/>
          <w:szCs w:val="24"/>
          <w:u w:val="single"/>
        </w:rPr>
      </w:pPr>
      <w:r w:rsidRPr="00105456">
        <w:rPr>
          <w:rFonts w:ascii="Verdana" w:hAnsi="Verdana"/>
          <w:noProof/>
          <w:sz w:val="24"/>
          <w:szCs w:val="24"/>
          <w:lang w:eastAsia="en-GB"/>
        </w:rPr>
        <w:drawing>
          <wp:inline distT="0" distB="0" distL="0" distR="0" wp14:anchorId="26C10AC9" wp14:editId="56C79384">
            <wp:extent cx="680720" cy="882650"/>
            <wp:effectExtent l="0" t="0" r="5080" b="0"/>
            <wp:docPr id="2" name="Picture 2" descr="nihrc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hrcco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0720" cy="882650"/>
                    </a:xfrm>
                    <a:prstGeom prst="rect">
                      <a:avLst/>
                    </a:prstGeom>
                    <a:noFill/>
                    <a:ln>
                      <a:noFill/>
                    </a:ln>
                  </pic:spPr>
                </pic:pic>
              </a:graphicData>
            </a:graphic>
          </wp:inline>
        </w:drawing>
      </w:r>
    </w:p>
    <w:p w:rsidR="009770D1" w:rsidRPr="00105456" w:rsidRDefault="009770D1" w:rsidP="00105456">
      <w:pPr>
        <w:pStyle w:val="NoSpacing"/>
        <w:rPr>
          <w:rFonts w:ascii="Verdana" w:hAnsi="Verdana" w:cs="Verdana"/>
          <w:b/>
          <w:color w:val="000000"/>
          <w:sz w:val="24"/>
          <w:szCs w:val="24"/>
          <w:u w:val="single"/>
        </w:rPr>
      </w:pPr>
    </w:p>
    <w:p w:rsidR="009770D1" w:rsidRPr="00105456" w:rsidRDefault="009770D1" w:rsidP="00105456">
      <w:pPr>
        <w:pStyle w:val="NoSpacing"/>
        <w:rPr>
          <w:rFonts w:ascii="Verdana" w:hAnsi="Verdana" w:cs="Verdana"/>
          <w:b/>
          <w:color w:val="000000"/>
          <w:sz w:val="24"/>
          <w:szCs w:val="24"/>
          <w:u w:val="single"/>
        </w:rPr>
      </w:pPr>
    </w:p>
    <w:p w:rsidR="009770D1" w:rsidRPr="00105456" w:rsidRDefault="009770D1" w:rsidP="00105456">
      <w:pPr>
        <w:pStyle w:val="NoSpacing"/>
        <w:rPr>
          <w:rFonts w:ascii="Verdana" w:hAnsi="Verdana" w:cs="Verdana"/>
          <w:b/>
          <w:color w:val="000000"/>
          <w:sz w:val="24"/>
          <w:szCs w:val="24"/>
          <w:u w:val="single"/>
        </w:rPr>
      </w:pPr>
    </w:p>
    <w:p w:rsidR="009770D1" w:rsidRPr="00105456" w:rsidRDefault="009770D1" w:rsidP="00105456">
      <w:pPr>
        <w:pStyle w:val="NoSpacing"/>
        <w:rPr>
          <w:rFonts w:ascii="Verdana" w:hAnsi="Verdana" w:cs="Verdana"/>
          <w:b/>
          <w:color w:val="000000"/>
          <w:sz w:val="24"/>
          <w:szCs w:val="24"/>
          <w:u w:val="single"/>
        </w:rPr>
      </w:pPr>
    </w:p>
    <w:p w:rsidR="009770D1" w:rsidRPr="00876D09" w:rsidRDefault="00876D09" w:rsidP="00876D09">
      <w:pPr>
        <w:pStyle w:val="NoSpacing"/>
        <w:jc w:val="center"/>
        <w:rPr>
          <w:rFonts w:ascii="Verdana" w:hAnsi="Verdana" w:cs="Verdana"/>
          <w:b/>
          <w:i/>
          <w:color w:val="000000"/>
          <w:sz w:val="24"/>
          <w:szCs w:val="24"/>
        </w:rPr>
      </w:pPr>
      <w:r w:rsidRPr="00876D09">
        <w:rPr>
          <w:rFonts w:ascii="Verdana" w:hAnsi="Verdana" w:cs="Verdana"/>
          <w:b/>
          <w:i/>
          <w:color w:val="000000"/>
          <w:sz w:val="24"/>
          <w:szCs w:val="24"/>
        </w:rPr>
        <w:t>29 May 2015</w:t>
      </w:r>
    </w:p>
    <w:p w:rsidR="009770D1" w:rsidRPr="00105456" w:rsidRDefault="009770D1" w:rsidP="00105456">
      <w:pPr>
        <w:pStyle w:val="NoSpacing"/>
        <w:rPr>
          <w:rFonts w:ascii="Verdana" w:hAnsi="Verdana" w:cs="Verdana"/>
          <w:b/>
          <w:color w:val="000000"/>
          <w:sz w:val="24"/>
          <w:szCs w:val="24"/>
          <w:u w:val="single"/>
        </w:rPr>
      </w:pPr>
    </w:p>
    <w:p w:rsidR="009770D1" w:rsidRPr="00105456" w:rsidRDefault="009770D1" w:rsidP="00105456">
      <w:pPr>
        <w:pStyle w:val="NoSpacing"/>
        <w:rPr>
          <w:rFonts w:ascii="Verdana" w:hAnsi="Verdana" w:cs="Verdana"/>
          <w:b/>
          <w:color w:val="000000"/>
          <w:sz w:val="24"/>
          <w:szCs w:val="24"/>
          <w:u w:val="single"/>
        </w:rPr>
      </w:pPr>
    </w:p>
    <w:p w:rsidR="009770D1" w:rsidRPr="00105456" w:rsidRDefault="009770D1" w:rsidP="00105456">
      <w:pPr>
        <w:pStyle w:val="NoSpacing"/>
        <w:rPr>
          <w:rFonts w:ascii="Verdana" w:hAnsi="Verdana" w:cs="Verdana"/>
          <w:b/>
          <w:color w:val="000000"/>
          <w:sz w:val="24"/>
          <w:szCs w:val="24"/>
          <w:u w:val="single"/>
        </w:rPr>
      </w:pPr>
    </w:p>
    <w:p w:rsidR="009770D1" w:rsidRPr="00105456" w:rsidRDefault="009770D1" w:rsidP="00105456">
      <w:pPr>
        <w:pStyle w:val="NoSpacing"/>
        <w:rPr>
          <w:rFonts w:ascii="Verdana" w:hAnsi="Verdana" w:cs="Verdana"/>
          <w:b/>
          <w:color w:val="000000"/>
          <w:sz w:val="24"/>
          <w:szCs w:val="24"/>
          <w:u w:val="single"/>
        </w:rPr>
      </w:pPr>
    </w:p>
    <w:p w:rsidR="009770D1" w:rsidRPr="00105456" w:rsidRDefault="009770D1" w:rsidP="00105456">
      <w:pPr>
        <w:pStyle w:val="NoSpacing"/>
        <w:rPr>
          <w:rFonts w:ascii="Verdana" w:hAnsi="Verdana" w:cs="Verdana"/>
          <w:b/>
          <w:color w:val="000000"/>
          <w:sz w:val="24"/>
          <w:szCs w:val="24"/>
          <w:u w:val="single"/>
        </w:rPr>
      </w:pPr>
    </w:p>
    <w:p w:rsidR="009770D1" w:rsidRPr="00105456" w:rsidRDefault="009770D1" w:rsidP="00105456">
      <w:pPr>
        <w:pStyle w:val="NoSpacing"/>
        <w:rPr>
          <w:rFonts w:ascii="Verdana" w:hAnsi="Verdana" w:cs="Verdana"/>
          <w:b/>
          <w:color w:val="000000"/>
          <w:sz w:val="24"/>
          <w:szCs w:val="24"/>
          <w:u w:val="single"/>
        </w:rPr>
      </w:pPr>
    </w:p>
    <w:p w:rsidR="009770D1" w:rsidRPr="00105456" w:rsidRDefault="009770D1" w:rsidP="00105456">
      <w:pPr>
        <w:pStyle w:val="NoSpacing"/>
        <w:rPr>
          <w:rFonts w:ascii="Verdana" w:hAnsi="Verdana" w:cs="Verdana"/>
          <w:b/>
          <w:color w:val="000000"/>
          <w:sz w:val="24"/>
          <w:szCs w:val="24"/>
          <w:u w:val="single"/>
        </w:rPr>
      </w:pPr>
    </w:p>
    <w:p w:rsidR="009770D1" w:rsidRPr="00105456" w:rsidRDefault="009770D1" w:rsidP="00105456">
      <w:pPr>
        <w:pStyle w:val="NoSpacing"/>
        <w:rPr>
          <w:rFonts w:ascii="Verdana" w:hAnsi="Verdana" w:cs="Verdana"/>
          <w:b/>
          <w:color w:val="000000"/>
          <w:sz w:val="24"/>
          <w:szCs w:val="24"/>
          <w:u w:val="single"/>
        </w:rPr>
      </w:pPr>
    </w:p>
    <w:p w:rsidR="009770D1" w:rsidRPr="00105456" w:rsidRDefault="009770D1" w:rsidP="00105456">
      <w:pPr>
        <w:pStyle w:val="NoSpacing"/>
        <w:rPr>
          <w:rFonts w:ascii="Verdana" w:hAnsi="Verdana" w:cs="Verdana"/>
          <w:b/>
          <w:color w:val="000000"/>
          <w:sz w:val="24"/>
          <w:szCs w:val="24"/>
          <w:u w:val="single"/>
        </w:rPr>
      </w:pPr>
    </w:p>
    <w:p w:rsidR="009770D1" w:rsidRPr="00105456" w:rsidRDefault="009770D1" w:rsidP="00105456">
      <w:pPr>
        <w:pStyle w:val="NoSpacing"/>
        <w:rPr>
          <w:rFonts w:ascii="Verdana" w:hAnsi="Verdana" w:cs="Verdana"/>
          <w:b/>
          <w:color w:val="000000"/>
          <w:sz w:val="24"/>
          <w:szCs w:val="24"/>
          <w:u w:val="single"/>
        </w:rPr>
      </w:pPr>
    </w:p>
    <w:p w:rsidR="009770D1" w:rsidRPr="00105456" w:rsidRDefault="009770D1" w:rsidP="00105456">
      <w:pPr>
        <w:pStyle w:val="NoSpacing"/>
        <w:rPr>
          <w:rFonts w:ascii="Verdana" w:hAnsi="Verdana" w:cs="Verdana"/>
          <w:b/>
          <w:color w:val="000000"/>
          <w:sz w:val="24"/>
          <w:szCs w:val="24"/>
          <w:u w:val="single"/>
        </w:rPr>
      </w:pPr>
    </w:p>
    <w:p w:rsidR="009770D1" w:rsidRPr="00105456" w:rsidRDefault="009770D1" w:rsidP="00105456">
      <w:pPr>
        <w:pStyle w:val="NoSpacing"/>
        <w:rPr>
          <w:rFonts w:ascii="Verdana" w:hAnsi="Verdana" w:cs="Verdana"/>
          <w:b/>
          <w:color w:val="000000"/>
          <w:sz w:val="24"/>
          <w:szCs w:val="24"/>
          <w:u w:val="single"/>
        </w:rPr>
      </w:pPr>
    </w:p>
    <w:p w:rsidR="009770D1" w:rsidRPr="00105456" w:rsidRDefault="009770D1" w:rsidP="00105456">
      <w:pPr>
        <w:pStyle w:val="NoSpacing"/>
        <w:rPr>
          <w:rFonts w:ascii="Verdana" w:hAnsi="Verdana" w:cs="Verdana"/>
          <w:b/>
          <w:color w:val="000000"/>
          <w:sz w:val="24"/>
          <w:szCs w:val="24"/>
          <w:u w:val="single"/>
        </w:rPr>
      </w:pPr>
    </w:p>
    <w:p w:rsidR="009770D1" w:rsidRPr="00105456" w:rsidRDefault="009770D1" w:rsidP="00105456">
      <w:pPr>
        <w:pStyle w:val="NoSpacing"/>
        <w:rPr>
          <w:rFonts w:ascii="Verdana" w:hAnsi="Verdana" w:cs="Verdana"/>
          <w:b/>
          <w:color w:val="000000"/>
          <w:sz w:val="24"/>
          <w:szCs w:val="24"/>
          <w:u w:val="single"/>
        </w:rPr>
      </w:pPr>
    </w:p>
    <w:p w:rsidR="009770D1" w:rsidRPr="00105456" w:rsidRDefault="009770D1" w:rsidP="00105456">
      <w:pPr>
        <w:pStyle w:val="NoSpacing"/>
        <w:rPr>
          <w:rFonts w:ascii="Verdana" w:hAnsi="Verdana" w:cs="Verdana"/>
          <w:b/>
          <w:color w:val="000000"/>
          <w:sz w:val="24"/>
          <w:szCs w:val="24"/>
          <w:u w:val="single"/>
        </w:rPr>
      </w:pPr>
    </w:p>
    <w:p w:rsidR="009770D1" w:rsidRPr="00105456" w:rsidRDefault="009770D1" w:rsidP="00105456">
      <w:pPr>
        <w:pStyle w:val="NoSpacing"/>
        <w:rPr>
          <w:rFonts w:ascii="Verdana" w:hAnsi="Verdana" w:cs="Verdana"/>
          <w:b/>
          <w:color w:val="000000"/>
          <w:sz w:val="24"/>
          <w:szCs w:val="24"/>
          <w:u w:val="single"/>
        </w:rPr>
      </w:pPr>
    </w:p>
    <w:p w:rsidR="009770D1" w:rsidRPr="00105456" w:rsidRDefault="009770D1" w:rsidP="00105456">
      <w:pPr>
        <w:pStyle w:val="NoSpacing"/>
        <w:rPr>
          <w:rFonts w:ascii="Verdana" w:hAnsi="Verdana" w:cs="Verdana"/>
          <w:b/>
          <w:color w:val="000000"/>
          <w:sz w:val="24"/>
          <w:szCs w:val="24"/>
          <w:u w:val="single"/>
        </w:rPr>
      </w:pPr>
    </w:p>
    <w:p w:rsidR="00876D09" w:rsidRPr="00876D09" w:rsidRDefault="00876D09" w:rsidP="00876D09">
      <w:pPr>
        <w:autoSpaceDE w:val="0"/>
        <w:autoSpaceDN w:val="0"/>
        <w:adjustRightInd w:val="0"/>
        <w:spacing w:after="0" w:line="240" w:lineRule="auto"/>
        <w:rPr>
          <w:rFonts w:ascii="Verdana" w:hAnsi="Verdana" w:cs="Verdana"/>
          <w:color w:val="000000"/>
          <w:sz w:val="24"/>
          <w:szCs w:val="24"/>
        </w:rPr>
      </w:pPr>
    </w:p>
    <w:p w:rsidR="00876D09" w:rsidRPr="00876D09" w:rsidRDefault="00876D09" w:rsidP="00876D09">
      <w:pPr>
        <w:autoSpaceDE w:val="0"/>
        <w:autoSpaceDN w:val="0"/>
        <w:adjustRightInd w:val="0"/>
        <w:spacing w:after="0" w:line="240" w:lineRule="auto"/>
        <w:rPr>
          <w:rFonts w:ascii="Verdana" w:hAnsi="Verdana" w:cs="Verdana"/>
          <w:color w:val="000000"/>
          <w:sz w:val="20"/>
          <w:szCs w:val="20"/>
        </w:rPr>
      </w:pPr>
      <w:r w:rsidRPr="00876D09">
        <w:rPr>
          <w:rFonts w:ascii="Verdana" w:hAnsi="Verdana" w:cs="Verdana"/>
          <w:color w:val="000000"/>
          <w:sz w:val="20"/>
          <w:szCs w:val="20"/>
        </w:rPr>
        <w:t xml:space="preserve">Northern Ireland Human Rights Commission </w:t>
      </w:r>
    </w:p>
    <w:p w:rsidR="00876D09" w:rsidRPr="00876D09" w:rsidRDefault="00876D09" w:rsidP="00876D09">
      <w:pPr>
        <w:autoSpaceDE w:val="0"/>
        <w:autoSpaceDN w:val="0"/>
        <w:adjustRightInd w:val="0"/>
        <w:spacing w:after="0" w:line="240" w:lineRule="auto"/>
        <w:rPr>
          <w:rFonts w:ascii="Verdana" w:hAnsi="Verdana" w:cs="Verdana"/>
          <w:color w:val="000000"/>
          <w:sz w:val="20"/>
          <w:szCs w:val="20"/>
        </w:rPr>
      </w:pPr>
      <w:r w:rsidRPr="00876D09">
        <w:rPr>
          <w:rFonts w:ascii="Verdana" w:hAnsi="Verdana" w:cs="Verdana"/>
          <w:color w:val="000000"/>
          <w:sz w:val="20"/>
          <w:szCs w:val="20"/>
        </w:rPr>
        <w:t xml:space="preserve">Temple Court, 39 North Street </w:t>
      </w:r>
    </w:p>
    <w:p w:rsidR="00876D09" w:rsidRPr="00876D09" w:rsidRDefault="00876D09" w:rsidP="00876D09">
      <w:pPr>
        <w:autoSpaceDE w:val="0"/>
        <w:autoSpaceDN w:val="0"/>
        <w:adjustRightInd w:val="0"/>
        <w:spacing w:after="0" w:line="240" w:lineRule="auto"/>
        <w:rPr>
          <w:rFonts w:ascii="Verdana" w:hAnsi="Verdana" w:cs="Verdana"/>
          <w:color w:val="000000"/>
          <w:sz w:val="20"/>
          <w:szCs w:val="20"/>
        </w:rPr>
      </w:pPr>
      <w:r w:rsidRPr="00876D09">
        <w:rPr>
          <w:rFonts w:ascii="Verdana" w:hAnsi="Verdana" w:cs="Verdana"/>
          <w:color w:val="000000"/>
          <w:sz w:val="20"/>
          <w:szCs w:val="20"/>
        </w:rPr>
        <w:t xml:space="preserve">Belfast BT1 1NA </w:t>
      </w:r>
    </w:p>
    <w:p w:rsidR="00876D09" w:rsidRPr="00876D09" w:rsidRDefault="00876D09" w:rsidP="00876D09">
      <w:pPr>
        <w:autoSpaceDE w:val="0"/>
        <w:autoSpaceDN w:val="0"/>
        <w:adjustRightInd w:val="0"/>
        <w:spacing w:after="0" w:line="240" w:lineRule="auto"/>
        <w:rPr>
          <w:rFonts w:ascii="Verdana" w:hAnsi="Verdana" w:cs="Verdana"/>
          <w:color w:val="000000"/>
          <w:sz w:val="20"/>
          <w:szCs w:val="20"/>
        </w:rPr>
      </w:pPr>
      <w:r w:rsidRPr="00876D09">
        <w:rPr>
          <w:rFonts w:ascii="Verdana" w:hAnsi="Verdana" w:cs="Verdana"/>
          <w:color w:val="000000"/>
          <w:sz w:val="20"/>
          <w:szCs w:val="20"/>
        </w:rPr>
        <w:t xml:space="preserve">Tel: (028) 9024 3987 </w:t>
      </w:r>
    </w:p>
    <w:p w:rsidR="00876D09" w:rsidRPr="00876D09" w:rsidRDefault="00876D09" w:rsidP="00876D09">
      <w:pPr>
        <w:autoSpaceDE w:val="0"/>
        <w:autoSpaceDN w:val="0"/>
        <w:adjustRightInd w:val="0"/>
        <w:spacing w:after="0" w:line="240" w:lineRule="auto"/>
        <w:rPr>
          <w:rFonts w:ascii="Verdana" w:hAnsi="Verdana" w:cs="Verdana"/>
          <w:color w:val="000000"/>
          <w:sz w:val="20"/>
          <w:szCs w:val="20"/>
        </w:rPr>
      </w:pPr>
      <w:r w:rsidRPr="00876D09">
        <w:rPr>
          <w:rFonts w:ascii="Verdana" w:hAnsi="Verdana" w:cs="Verdana"/>
          <w:color w:val="000000"/>
          <w:sz w:val="20"/>
          <w:szCs w:val="20"/>
        </w:rPr>
        <w:t xml:space="preserve">Fax: (028) 9024 7844 </w:t>
      </w:r>
    </w:p>
    <w:p w:rsidR="00876D09" w:rsidRPr="00876D09" w:rsidRDefault="00876D09" w:rsidP="00876D09">
      <w:pPr>
        <w:autoSpaceDE w:val="0"/>
        <w:autoSpaceDN w:val="0"/>
        <w:adjustRightInd w:val="0"/>
        <w:spacing w:after="0" w:line="240" w:lineRule="auto"/>
        <w:rPr>
          <w:rFonts w:ascii="Verdana" w:hAnsi="Verdana" w:cs="Verdana"/>
          <w:color w:val="000000"/>
          <w:sz w:val="20"/>
          <w:szCs w:val="20"/>
        </w:rPr>
      </w:pPr>
      <w:proofErr w:type="spellStart"/>
      <w:r w:rsidRPr="00876D09">
        <w:rPr>
          <w:rFonts w:ascii="Verdana" w:hAnsi="Verdana" w:cs="Verdana"/>
          <w:color w:val="000000"/>
          <w:sz w:val="20"/>
          <w:szCs w:val="20"/>
        </w:rPr>
        <w:t>Textphone</w:t>
      </w:r>
      <w:proofErr w:type="spellEnd"/>
      <w:r w:rsidRPr="00876D09">
        <w:rPr>
          <w:rFonts w:ascii="Verdana" w:hAnsi="Verdana" w:cs="Verdana"/>
          <w:color w:val="000000"/>
          <w:sz w:val="20"/>
          <w:szCs w:val="20"/>
        </w:rPr>
        <w:t xml:space="preserve">: (028) 9024 9066 </w:t>
      </w:r>
    </w:p>
    <w:p w:rsidR="00876D09" w:rsidRPr="00876D09" w:rsidRDefault="00876D09" w:rsidP="00876D09">
      <w:pPr>
        <w:autoSpaceDE w:val="0"/>
        <w:autoSpaceDN w:val="0"/>
        <w:adjustRightInd w:val="0"/>
        <w:spacing w:after="0" w:line="240" w:lineRule="auto"/>
        <w:rPr>
          <w:rFonts w:ascii="Verdana" w:hAnsi="Verdana" w:cs="Verdana"/>
          <w:color w:val="000000"/>
          <w:sz w:val="20"/>
          <w:szCs w:val="20"/>
        </w:rPr>
      </w:pPr>
      <w:r w:rsidRPr="00876D09">
        <w:rPr>
          <w:rFonts w:ascii="Verdana" w:hAnsi="Verdana" w:cs="Verdana"/>
          <w:color w:val="000000"/>
          <w:sz w:val="20"/>
          <w:szCs w:val="20"/>
        </w:rPr>
        <w:t xml:space="preserve">SMS Text: 07786 202075 </w:t>
      </w:r>
    </w:p>
    <w:p w:rsidR="00876D09" w:rsidRPr="00876D09" w:rsidRDefault="00876D09" w:rsidP="00876D09">
      <w:pPr>
        <w:autoSpaceDE w:val="0"/>
        <w:autoSpaceDN w:val="0"/>
        <w:adjustRightInd w:val="0"/>
        <w:spacing w:after="0" w:line="240" w:lineRule="auto"/>
        <w:rPr>
          <w:rFonts w:ascii="Verdana" w:hAnsi="Verdana" w:cs="Verdana"/>
          <w:color w:val="000000"/>
          <w:sz w:val="20"/>
          <w:szCs w:val="20"/>
        </w:rPr>
      </w:pPr>
      <w:r w:rsidRPr="00876D09">
        <w:rPr>
          <w:rFonts w:ascii="Verdana" w:hAnsi="Verdana" w:cs="Verdana"/>
          <w:color w:val="000000"/>
          <w:sz w:val="20"/>
          <w:szCs w:val="20"/>
        </w:rPr>
        <w:t xml:space="preserve">Email: information@nihrc.org </w:t>
      </w:r>
    </w:p>
    <w:p w:rsidR="00876D09" w:rsidRPr="00876D09" w:rsidRDefault="00876D09" w:rsidP="00876D09">
      <w:pPr>
        <w:autoSpaceDE w:val="0"/>
        <w:autoSpaceDN w:val="0"/>
        <w:adjustRightInd w:val="0"/>
        <w:spacing w:after="0" w:line="240" w:lineRule="auto"/>
        <w:rPr>
          <w:rFonts w:ascii="Verdana" w:hAnsi="Verdana" w:cs="Verdana"/>
          <w:color w:val="000000"/>
          <w:sz w:val="20"/>
          <w:szCs w:val="20"/>
        </w:rPr>
      </w:pPr>
      <w:r w:rsidRPr="00876D09">
        <w:rPr>
          <w:rFonts w:ascii="Verdana" w:hAnsi="Verdana" w:cs="Verdana"/>
          <w:color w:val="000000"/>
          <w:sz w:val="20"/>
          <w:szCs w:val="20"/>
        </w:rPr>
        <w:t>Online: nihrc.org - twitter.com/</w:t>
      </w:r>
      <w:proofErr w:type="spellStart"/>
      <w:r w:rsidRPr="00876D09">
        <w:rPr>
          <w:rFonts w:ascii="Verdana" w:hAnsi="Verdana" w:cs="Verdana"/>
          <w:color w:val="000000"/>
          <w:sz w:val="20"/>
          <w:szCs w:val="20"/>
        </w:rPr>
        <w:t>nihrc</w:t>
      </w:r>
      <w:proofErr w:type="spellEnd"/>
      <w:r w:rsidRPr="00876D09">
        <w:rPr>
          <w:rFonts w:ascii="Verdana" w:hAnsi="Verdana" w:cs="Verdana"/>
          <w:color w:val="000000"/>
          <w:sz w:val="20"/>
          <w:szCs w:val="20"/>
        </w:rPr>
        <w:t xml:space="preserve"> </w:t>
      </w:r>
    </w:p>
    <w:p w:rsidR="009770D1" w:rsidRPr="00105456" w:rsidRDefault="00876D09" w:rsidP="00876D09">
      <w:pPr>
        <w:pStyle w:val="NoSpacing"/>
        <w:rPr>
          <w:rFonts w:ascii="Verdana" w:hAnsi="Verdana" w:cs="Verdana"/>
          <w:b/>
          <w:color w:val="000000"/>
          <w:sz w:val="24"/>
          <w:szCs w:val="24"/>
          <w:u w:val="single"/>
        </w:rPr>
      </w:pPr>
      <w:proofErr w:type="gramStart"/>
      <w:r w:rsidRPr="00876D09">
        <w:rPr>
          <w:rFonts w:ascii="Verdana" w:hAnsi="Verdana" w:cs="Verdana"/>
          <w:color w:val="000000"/>
          <w:sz w:val="20"/>
          <w:szCs w:val="20"/>
        </w:rPr>
        <w:t>facebook.com/</w:t>
      </w:r>
      <w:proofErr w:type="spellStart"/>
      <w:r w:rsidRPr="00876D09">
        <w:rPr>
          <w:rFonts w:ascii="Verdana" w:hAnsi="Verdana" w:cs="Verdana"/>
          <w:color w:val="000000"/>
          <w:sz w:val="20"/>
          <w:szCs w:val="20"/>
        </w:rPr>
        <w:t>nihrc</w:t>
      </w:r>
      <w:proofErr w:type="spellEnd"/>
      <w:proofErr w:type="gramEnd"/>
      <w:r w:rsidRPr="00876D09">
        <w:rPr>
          <w:rFonts w:ascii="Verdana" w:hAnsi="Verdana" w:cs="Verdana"/>
          <w:color w:val="000000"/>
          <w:sz w:val="20"/>
          <w:szCs w:val="20"/>
        </w:rPr>
        <w:t xml:space="preserve"> - youtube.com/</w:t>
      </w:r>
      <w:proofErr w:type="spellStart"/>
      <w:r w:rsidRPr="00876D09">
        <w:rPr>
          <w:rFonts w:ascii="Verdana" w:hAnsi="Verdana" w:cs="Verdana"/>
          <w:color w:val="000000"/>
          <w:sz w:val="20"/>
          <w:szCs w:val="20"/>
        </w:rPr>
        <w:t>nihrc</w:t>
      </w:r>
      <w:proofErr w:type="spellEnd"/>
    </w:p>
    <w:p w:rsidR="00876D09" w:rsidRDefault="00876D09" w:rsidP="00105456">
      <w:pPr>
        <w:pStyle w:val="NoSpacing"/>
        <w:rPr>
          <w:rFonts w:ascii="Verdana" w:hAnsi="Verdana" w:cs="Verdana"/>
          <w:b/>
          <w:color w:val="000000"/>
          <w:sz w:val="24"/>
          <w:szCs w:val="24"/>
          <w:u w:val="single"/>
        </w:rPr>
      </w:pPr>
    </w:p>
    <w:p w:rsidR="00A645EE" w:rsidRDefault="00A645EE" w:rsidP="00105456">
      <w:pPr>
        <w:pStyle w:val="NoSpacing"/>
        <w:rPr>
          <w:rFonts w:ascii="Verdana" w:hAnsi="Verdana" w:cs="Verdana"/>
          <w:b/>
          <w:color w:val="000000"/>
          <w:sz w:val="24"/>
          <w:szCs w:val="24"/>
          <w:u w:val="single"/>
        </w:rPr>
      </w:pPr>
      <w:r>
        <w:rPr>
          <w:rFonts w:ascii="Verdana" w:hAnsi="Verdana" w:cs="Verdana"/>
          <w:b/>
          <w:color w:val="000000"/>
          <w:sz w:val="24"/>
          <w:szCs w:val="24"/>
          <w:u w:val="single"/>
        </w:rPr>
        <w:t xml:space="preserve">Contents </w:t>
      </w:r>
    </w:p>
    <w:p w:rsidR="00A645EE" w:rsidRDefault="00A645EE" w:rsidP="00105456">
      <w:pPr>
        <w:pStyle w:val="NoSpacing"/>
        <w:rPr>
          <w:rFonts w:ascii="Verdana" w:hAnsi="Verdana" w:cs="Verdana"/>
          <w:b/>
          <w:color w:val="000000"/>
          <w:sz w:val="24"/>
          <w:szCs w:val="24"/>
          <w:u w:val="single"/>
        </w:rPr>
      </w:pPr>
    </w:p>
    <w:p w:rsidR="00A645EE" w:rsidRPr="00A645EE" w:rsidRDefault="00A645EE" w:rsidP="00105456">
      <w:pPr>
        <w:pStyle w:val="NoSpacing"/>
        <w:rPr>
          <w:rFonts w:ascii="Verdana" w:hAnsi="Verdana" w:cs="Verdana"/>
          <w:color w:val="000000"/>
          <w:sz w:val="24"/>
          <w:szCs w:val="24"/>
        </w:rPr>
      </w:pPr>
      <w:r w:rsidRPr="00A645EE">
        <w:rPr>
          <w:rFonts w:ascii="Verdana" w:hAnsi="Verdana" w:cs="Verdana"/>
          <w:color w:val="000000"/>
          <w:sz w:val="24"/>
          <w:szCs w:val="24"/>
        </w:rPr>
        <w:t xml:space="preserve">1. Introduction </w:t>
      </w:r>
      <w:r w:rsidRPr="00A645EE">
        <w:rPr>
          <w:rFonts w:ascii="Verdana" w:hAnsi="Verdana" w:cs="Verdana"/>
          <w:color w:val="000000"/>
          <w:sz w:val="24"/>
          <w:szCs w:val="24"/>
        </w:rPr>
        <w:tab/>
      </w:r>
      <w:r w:rsidRPr="00A645EE">
        <w:rPr>
          <w:rFonts w:ascii="Verdana" w:hAnsi="Verdana" w:cs="Verdana"/>
          <w:color w:val="000000"/>
          <w:sz w:val="24"/>
          <w:szCs w:val="24"/>
        </w:rPr>
        <w:tab/>
      </w:r>
      <w:r w:rsidRPr="00A645EE">
        <w:rPr>
          <w:rFonts w:ascii="Verdana" w:hAnsi="Verdana" w:cs="Verdana"/>
          <w:color w:val="000000"/>
          <w:sz w:val="24"/>
          <w:szCs w:val="24"/>
        </w:rPr>
        <w:tab/>
      </w:r>
      <w:r w:rsidRPr="00A645EE">
        <w:rPr>
          <w:rFonts w:ascii="Verdana" w:hAnsi="Verdana" w:cs="Verdana"/>
          <w:color w:val="000000"/>
          <w:sz w:val="24"/>
          <w:szCs w:val="24"/>
        </w:rPr>
        <w:tab/>
      </w:r>
      <w:r w:rsidRPr="00A645EE">
        <w:rPr>
          <w:rFonts w:ascii="Verdana" w:hAnsi="Verdana" w:cs="Verdana"/>
          <w:color w:val="000000"/>
          <w:sz w:val="24"/>
          <w:szCs w:val="24"/>
        </w:rPr>
        <w:tab/>
      </w:r>
      <w:r w:rsidRPr="00A645EE">
        <w:rPr>
          <w:rFonts w:ascii="Verdana" w:hAnsi="Verdana" w:cs="Verdana"/>
          <w:color w:val="000000"/>
          <w:sz w:val="24"/>
          <w:szCs w:val="24"/>
        </w:rPr>
        <w:tab/>
      </w:r>
      <w:r w:rsidRPr="00A645EE">
        <w:rPr>
          <w:rFonts w:ascii="Verdana" w:hAnsi="Verdana" w:cs="Verdana"/>
          <w:color w:val="000000"/>
          <w:sz w:val="24"/>
          <w:szCs w:val="24"/>
        </w:rPr>
        <w:tab/>
      </w:r>
      <w:r w:rsidRPr="00A645EE">
        <w:rPr>
          <w:rFonts w:ascii="Verdana" w:hAnsi="Verdana" w:cs="Verdana"/>
          <w:color w:val="000000"/>
          <w:sz w:val="24"/>
          <w:szCs w:val="24"/>
        </w:rPr>
        <w:tab/>
      </w:r>
      <w:r w:rsidRPr="00A645EE">
        <w:rPr>
          <w:rFonts w:ascii="Verdana" w:hAnsi="Verdana" w:cs="Verdana"/>
          <w:color w:val="000000"/>
          <w:sz w:val="24"/>
          <w:szCs w:val="24"/>
        </w:rPr>
        <w:tab/>
      </w:r>
      <w:proofErr w:type="spellStart"/>
      <w:r w:rsidRPr="00A645EE">
        <w:rPr>
          <w:rFonts w:ascii="Verdana" w:hAnsi="Verdana" w:cs="Verdana"/>
          <w:color w:val="000000"/>
          <w:sz w:val="24"/>
          <w:szCs w:val="24"/>
        </w:rPr>
        <w:t>Pg</w:t>
      </w:r>
      <w:proofErr w:type="spellEnd"/>
      <w:r w:rsidRPr="00A645EE">
        <w:rPr>
          <w:rFonts w:ascii="Verdana" w:hAnsi="Verdana" w:cs="Verdana"/>
          <w:color w:val="000000"/>
          <w:sz w:val="24"/>
          <w:szCs w:val="24"/>
        </w:rPr>
        <w:t xml:space="preserve"> 3 </w:t>
      </w:r>
    </w:p>
    <w:p w:rsidR="00A645EE" w:rsidRPr="00A645EE" w:rsidRDefault="00A645EE" w:rsidP="00105456">
      <w:pPr>
        <w:pStyle w:val="NoSpacing"/>
        <w:rPr>
          <w:rFonts w:ascii="Verdana" w:hAnsi="Verdana" w:cs="Verdana"/>
          <w:color w:val="000000"/>
          <w:sz w:val="24"/>
          <w:szCs w:val="24"/>
        </w:rPr>
      </w:pPr>
      <w:r w:rsidRPr="00A645EE">
        <w:rPr>
          <w:rFonts w:ascii="Verdana" w:hAnsi="Verdana" w:cs="Verdana"/>
          <w:color w:val="000000"/>
          <w:sz w:val="24"/>
          <w:szCs w:val="24"/>
        </w:rPr>
        <w:t>2. Constitutional and legal framework within which the Covenant is implemented</w:t>
      </w:r>
      <w:r w:rsidRPr="00A645EE">
        <w:rPr>
          <w:rFonts w:ascii="Verdana" w:hAnsi="Verdana" w:cs="Verdana"/>
          <w:color w:val="000000"/>
          <w:sz w:val="24"/>
          <w:szCs w:val="24"/>
        </w:rPr>
        <w:tab/>
      </w:r>
      <w:r w:rsidRPr="00A645EE">
        <w:rPr>
          <w:rFonts w:ascii="Verdana" w:hAnsi="Verdana" w:cs="Verdana"/>
          <w:color w:val="000000"/>
          <w:sz w:val="24"/>
          <w:szCs w:val="24"/>
        </w:rPr>
        <w:tab/>
      </w:r>
      <w:r w:rsidRPr="00A645EE">
        <w:rPr>
          <w:rFonts w:ascii="Verdana" w:hAnsi="Verdana" w:cs="Verdana"/>
          <w:color w:val="000000"/>
          <w:sz w:val="24"/>
          <w:szCs w:val="24"/>
        </w:rPr>
        <w:tab/>
      </w:r>
      <w:r w:rsidRPr="00A645EE">
        <w:rPr>
          <w:rFonts w:ascii="Verdana" w:hAnsi="Verdana" w:cs="Verdana"/>
          <w:color w:val="000000"/>
          <w:sz w:val="24"/>
          <w:szCs w:val="24"/>
        </w:rPr>
        <w:tab/>
      </w:r>
      <w:r w:rsidRPr="00A645EE">
        <w:rPr>
          <w:rFonts w:ascii="Verdana" w:hAnsi="Verdana" w:cs="Verdana"/>
          <w:color w:val="000000"/>
          <w:sz w:val="24"/>
          <w:szCs w:val="24"/>
        </w:rPr>
        <w:tab/>
      </w:r>
      <w:r w:rsidRPr="00A645EE">
        <w:rPr>
          <w:rFonts w:ascii="Verdana" w:hAnsi="Verdana" w:cs="Verdana"/>
          <w:color w:val="000000"/>
          <w:sz w:val="24"/>
          <w:szCs w:val="24"/>
        </w:rPr>
        <w:tab/>
      </w:r>
      <w:r>
        <w:rPr>
          <w:rFonts w:ascii="Verdana" w:hAnsi="Verdana" w:cs="Verdana"/>
          <w:color w:val="000000"/>
          <w:sz w:val="24"/>
          <w:szCs w:val="24"/>
        </w:rPr>
        <w:tab/>
      </w:r>
      <w:r w:rsidR="00BD276C">
        <w:rPr>
          <w:rFonts w:ascii="Verdana" w:hAnsi="Verdana" w:cs="Verdana"/>
          <w:color w:val="000000"/>
          <w:sz w:val="24"/>
          <w:szCs w:val="24"/>
        </w:rPr>
        <w:tab/>
      </w:r>
      <w:r w:rsidR="00BD276C">
        <w:rPr>
          <w:rFonts w:ascii="Verdana" w:hAnsi="Verdana" w:cs="Verdana"/>
          <w:color w:val="000000"/>
          <w:sz w:val="24"/>
          <w:szCs w:val="24"/>
        </w:rPr>
        <w:tab/>
      </w:r>
      <w:proofErr w:type="spellStart"/>
      <w:r w:rsidRPr="00A645EE">
        <w:rPr>
          <w:rFonts w:ascii="Verdana" w:hAnsi="Verdana" w:cs="Verdana"/>
          <w:color w:val="000000"/>
          <w:sz w:val="24"/>
          <w:szCs w:val="24"/>
        </w:rPr>
        <w:t>Pg</w:t>
      </w:r>
      <w:proofErr w:type="spellEnd"/>
      <w:r w:rsidRPr="00A645EE">
        <w:rPr>
          <w:rFonts w:ascii="Verdana" w:hAnsi="Verdana" w:cs="Verdana"/>
          <w:color w:val="000000"/>
          <w:sz w:val="24"/>
          <w:szCs w:val="24"/>
        </w:rPr>
        <w:t xml:space="preserve"> 3 </w:t>
      </w:r>
    </w:p>
    <w:p w:rsidR="00A645EE" w:rsidRPr="00A645EE" w:rsidRDefault="00A645EE" w:rsidP="00A645EE">
      <w:pPr>
        <w:pStyle w:val="NoSpacing"/>
        <w:rPr>
          <w:rFonts w:ascii="Verdana" w:hAnsi="Verdana"/>
          <w:sz w:val="24"/>
          <w:szCs w:val="24"/>
        </w:rPr>
      </w:pPr>
      <w:r w:rsidRPr="00A645EE">
        <w:rPr>
          <w:rFonts w:ascii="Verdana" w:hAnsi="Verdana" w:cs="Verdana"/>
          <w:color w:val="000000"/>
          <w:sz w:val="24"/>
          <w:szCs w:val="24"/>
        </w:rPr>
        <w:t xml:space="preserve">3. </w:t>
      </w:r>
      <w:r w:rsidRPr="00A645EE">
        <w:rPr>
          <w:rFonts w:ascii="Verdana" w:hAnsi="Verdana"/>
          <w:sz w:val="24"/>
          <w:szCs w:val="24"/>
        </w:rPr>
        <w:t>Non-discrimination, equality between men and women, prohibition of advocacy of national, racial or religious hatred</w:t>
      </w:r>
      <w:r w:rsidR="00BD276C">
        <w:rPr>
          <w:rFonts w:ascii="Verdana" w:hAnsi="Verdana"/>
          <w:sz w:val="24"/>
          <w:szCs w:val="24"/>
        </w:rPr>
        <w:t xml:space="preserve"> and minority rights </w:t>
      </w:r>
      <w:proofErr w:type="spellStart"/>
      <w:r w:rsidRPr="00A645EE">
        <w:rPr>
          <w:rFonts w:ascii="Verdana" w:hAnsi="Verdana"/>
          <w:sz w:val="24"/>
          <w:szCs w:val="24"/>
        </w:rPr>
        <w:t>Pg</w:t>
      </w:r>
      <w:proofErr w:type="spellEnd"/>
      <w:r w:rsidRPr="00A645EE">
        <w:rPr>
          <w:rFonts w:ascii="Verdana" w:hAnsi="Verdana"/>
          <w:sz w:val="24"/>
          <w:szCs w:val="24"/>
        </w:rPr>
        <w:t xml:space="preserve"> 5 -7 </w:t>
      </w:r>
    </w:p>
    <w:p w:rsidR="001A4EED" w:rsidRPr="00A645EE" w:rsidRDefault="00A645EE" w:rsidP="00A645EE">
      <w:pPr>
        <w:pStyle w:val="NoSpacing"/>
        <w:ind w:firstLine="720"/>
        <w:rPr>
          <w:rFonts w:ascii="Verdana" w:hAnsi="Verdana" w:cs="Verdana"/>
          <w:i/>
          <w:color w:val="000000"/>
          <w:sz w:val="24"/>
          <w:szCs w:val="24"/>
        </w:rPr>
      </w:pPr>
      <w:r w:rsidRPr="00A645EE">
        <w:rPr>
          <w:rFonts w:ascii="Verdana" w:hAnsi="Verdana" w:cs="Verdana"/>
          <w:i/>
          <w:color w:val="000000"/>
          <w:sz w:val="24"/>
          <w:szCs w:val="24"/>
        </w:rPr>
        <w:t>3.1 Racist Hate Crime</w:t>
      </w:r>
      <w:r w:rsidRPr="00A645EE">
        <w:rPr>
          <w:rFonts w:ascii="Verdana" w:hAnsi="Verdana" w:cs="Verdana"/>
          <w:i/>
          <w:color w:val="000000"/>
          <w:sz w:val="24"/>
          <w:szCs w:val="24"/>
        </w:rPr>
        <w:tab/>
      </w:r>
      <w:r w:rsidRPr="00A645EE">
        <w:rPr>
          <w:rFonts w:ascii="Verdana" w:hAnsi="Verdana" w:cs="Verdana"/>
          <w:i/>
          <w:color w:val="000000"/>
          <w:sz w:val="24"/>
          <w:szCs w:val="24"/>
        </w:rPr>
        <w:tab/>
      </w:r>
      <w:r w:rsidR="00BD276C">
        <w:rPr>
          <w:rFonts w:ascii="Verdana" w:hAnsi="Verdana" w:cs="Verdana"/>
          <w:i/>
          <w:color w:val="000000"/>
          <w:sz w:val="24"/>
          <w:szCs w:val="24"/>
        </w:rPr>
        <w:tab/>
      </w:r>
      <w:r w:rsidR="00BD276C">
        <w:rPr>
          <w:rFonts w:ascii="Verdana" w:hAnsi="Verdana" w:cs="Verdana"/>
          <w:i/>
          <w:color w:val="000000"/>
          <w:sz w:val="24"/>
          <w:szCs w:val="24"/>
        </w:rPr>
        <w:tab/>
      </w:r>
      <w:r w:rsidR="00BD276C">
        <w:rPr>
          <w:rFonts w:ascii="Verdana" w:hAnsi="Verdana" w:cs="Verdana"/>
          <w:i/>
          <w:color w:val="000000"/>
          <w:sz w:val="24"/>
          <w:szCs w:val="24"/>
        </w:rPr>
        <w:tab/>
      </w:r>
      <w:r w:rsidR="00BD276C">
        <w:rPr>
          <w:rFonts w:ascii="Verdana" w:hAnsi="Verdana" w:cs="Verdana"/>
          <w:i/>
          <w:color w:val="000000"/>
          <w:sz w:val="24"/>
          <w:szCs w:val="24"/>
        </w:rPr>
        <w:tab/>
      </w:r>
      <w:r w:rsidR="00BD276C">
        <w:rPr>
          <w:rFonts w:ascii="Verdana" w:hAnsi="Verdana" w:cs="Verdana"/>
          <w:i/>
          <w:color w:val="000000"/>
          <w:sz w:val="24"/>
          <w:szCs w:val="24"/>
        </w:rPr>
        <w:tab/>
      </w:r>
      <w:proofErr w:type="spellStart"/>
      <w:r w:rsidRPr="00A645EE">
        <w:rPr>
          <w:rFonts w:ascii="Verdana" w:hAnsi="Verdana" w:cs="Verdana"/>
          <w:i/>
          <w:color w:val="000000"/>
          <w:sz w:val="24"/>
          <w:szCs w:val="24"/>
        </w:rPr>
        <w:t>Pg</w:t>
      </w:r>
      <w:proofErr w:type="spellEnd"/>
      <w:r w:rsidRPr="00A645EE">
        <w:rPr>
          <w:rFonts w:ascii="Verdana" w:hAnsi="Verdana" w:cs="Verdana"/>
          <w:i/>
          <w:color w:val="000000"/>
          <w:sz w:val="24"/>
          <w:szCs w:val="24"/>
        </w:rPr>
        <w:t xml:space="preserve"> 5 </w:t>
      </w:r>
    </w:p>
    <w:p w:rsidR="00A645EE" w:rsidRDefault="00A645EE" w:rsidP="008515E9">
      <w:pPr>
        <w:pStyle w:val="NoSpacing"/>
        <w:ind w:firstLine="720"/>
        <w:rPr>
          <w:rFonts w:ascii="Verdana" w:hAnsi="Verdana" w:cs="Verdana"/>
          <w:i/>
          <w:color w:val="000000"/>
          <w:sz w:val="24"/>
          <w:szCs w:val="24"/>
        </w:rPr>
      </w:pPr>
      <w:r w:rsidRPr="00A645EE">
        <w:rPr>
          <w:rFonts w:ascii="Verdana" w:hAnsi="Verdana" w:cs="Verdana"/>
          <w:i/>
          <w:color w:val="000000"/>
          <w:sz w:val="24"/>
          <w:szCs w:val="24"/>
        </w:rPr>
        <w:t>3.2 Stop and Search</w:t>
      </w:r>
      <w:r w:rsidRPr="00A645EE">
        <w:rPr>
          <w:rFonts w:ascii="Verdana" w:hAnsi="Verdana" w:cs="Verdana"/>
          <w:i/>
          <w:color w:val="000000"/>
          <w:sz w:val="24"/>
          <w:szCs w:val="24"/>
        </w:rPr>
        <w:tab/>
      </w:r>
      <w:r w:rsidRPr="00A645EE">
        <w:rPr>
          <w:rFonts w:ascii="Verdana" w:hAnsi="Verdana" w:cs="Verdana"/>
          <w:i/>
          <w:color w:val="000000"/>
          <w:sz w:val="24"/>
          <w:szCs w:val="24"/>
        </w:rPr>
        <w:tab/>
      </w:r>
      <w:r w:rsidR="00BD276C">
        <w:rPr>
          <w:rFonts w:ascii="Verdana" w:hAnsi="Verdana" w:cs="Verdana"/>
          <w:i/>
          <w:color w:val="000000"/>
          <w:sz w:val="24"/>
          <w:szCs w:val="24"/>
        </w:rPr>
        <w:tab/>
      </w:r>
      <w:r w:rsidR="00BD276C">
        <w:rPr>
          <w:rFonts w:ascii="Verdana" w:hAnsi="Verdana" w:cs="Verdana"/>
          <w:i/>
          <w:color w:val="000000"/>
          <w:sz w:val="24"/>
          <w:szCs w:val="24"/>
        </w:rPr>
        <w:tab/>
      </w:r>
      <w:r w:rsidR="00BD276C">
        <w:rPr>
          <w:rFonts w:ascii="Verdana" w:hAnsi="Verdana" w:cs="Verdana"/>
          <w:i/>
          <w:color w:val="000000"/>
          <w:sz w:val="24"/>
          <w:szCs w:val="24"/>
        </w:rPr>
        <w:tab/>
      </w:r>
      <w:r w:rsidR="00BD276C">
        <w:rPr>
          <w:rFonts w:ascii="Verdana" w:hAnsi="Verdana" w:cs="Verdana"/>
          <w:i/>
          <w:color w:val="000000"/>
          <w:sz w:val="24"/>
          <w:szCs w:val="24"/>
        </w:rPr>
        <w:tab/>
      </w:r>
      <w:r w:rsidR="00BD276C">
        <w:rPr>
          <w:rFonts w:ascii="Verdana" w:hAnsi="Verdana" w:cs="Verdana"/>
          <w:i/>
          <w:color w:val="000000"/>
          <w:sz w:val="24"/>
          <w:szCs w:val="24"/>
        </w:rPr>
        <w:tab/>
      </w:r>
      <w:proofErr w:type="spellStart"/>
      <w:r w:rsidRPr="00A645EE">
        <w:rPr>
          <w:rFonts w:ascii="Verdana" w:hAnsi="Verdana" w:cs="Verdana"/>
          <w:i/>
          <w:color w:val="000000"/>
          <w:sz w:val="24"/>
          <w:szCs w:val="24"/>
        </w:rPr>
        <w:t>Pg</w:t>
      </w:r>
      <w:proofErr w:type="spellEnd"/>
      <w:r w:rsidRPr="00A645EE">
        <w:rPr>
          <w:rFonts w:ascii="Verdana" w:hAnsi="Verdana" w:cs="Verdana"/>
          <w:i/>
          <w:color w:val="000000"/>
          <w:sz w:val="24"/>
          <w:szCs w:val="24"/>
        </w:rPr>
        <w:t xml:space="preserve"> 6 </w:t>
      </w:r>
    </w:p>
    <w:p w:rsidR="008515E9" w:rsidRPr="00A645EE" w:rsidRDefault="008515E9" w:rsidP="008515E9">
      <w:pPr>
        <w:pStyle w:val="NoSpacing"/>
        <w:ind w:firstLine="720"/>
        <w:rPr>
          <w:rFonts w:ascii="Verdana" w:hAnsi="Verdana" w:cs="Verdana"/>
          <w:i/>
          <w:color w:val="000000"/>
          <w:sz w:val="24"/>
          <w:szCs w:val="24"/>
        </w:rPr>
      </w:pPr>
      <w:r>
        <w:rPr>
          <w:rFonts w:ascii="Verdana" w:hAnsi="Verdana" w:cs="Verdana"/>
          <w:i/>
          <w:color w:val="000000"/>
          <w:sz w:val="24"/>
          <w:szCs w:val="24"/>
        </w:rPr>
        <w:t>3.3 Participation of women in public life</w:t>
      </w:r>
      <w:r>
        <w:rPr>
          <w:rFonts w:ascii="Verdana" w:hAnsi="Verdana" w:cs="Verdana"/>
          <w:i/>
          <w:color w:val="000000"/>
          <w:sz w:val="24"/>
          <w:szCs w:val="24"/>
        </w:rPr>
        <w:tab/>
      </w:r>
      <w:r>
        <w:rPr>
          <w:rFonts w:ascii="Verdana" w:hAnsi="Verdana" w:cs="Verdana"/>
          <w:i/>
          <w:color w:val="000000"/>
          <w:sz w:val="24"/>
          <w:szCs w:val="24"/>
        </w:rPr>
        <w:tab/>
      </w:r>
      <w:r>
        <w:rPr>
          <w:rFonts w:ascii="Verdana" w:hAnsi="Verdana" w:cs="Verdana"/>
          <w:i/>
          <w:color w:val="000000"/>
          <w:sz w:val="24"/>
          <w:szCs w:val="24"/>
        </w:rPr>
        <w:tab/>
      </w:r>
      <w:r>
        <w:rPr>
          <w:rFonts w:ascii="Verdana" w:hAnsi="Verdana" w:cs="Verdana"/>
          <w:i/>
          <w:color w:val="000000"/>
          <w:sz w:val="24"/>
          <w:szCs w:val="24"/>
        </w:rPr>
        <w:tab/>
      </w:r>
      <w:proofErr w:type="spellStart"/>
      <w:r>
        <w:rPr>
          <w:rFonts w:ascii="Verdana" w:hAnsi="Verdana" w:cs="Verdana"/>
          <w:i/>
          <w:color w:val="000000"/>
          <w:sz w:val="24"/>
          <w:szCs w:val="24"/>
        </w:rPr>
        <w:t>Pg</w:t>
      </w:r>
      <w:proofErr w:type="spellEnd"/>
      <w:r>
        <w:rPr>
          <w:rFonts w:ascii="Verdana" w:hAnsi="Verdana" w:cs="Verdana"/>
          <w:i/>
          <w:color w:val="000000"/>
          <w:sz w:val="24"/>
          <w:szCs w:val="24"/>
        </w:rPr>
        <w:t xml:space="preserve"> 6-7</w:t>
      </w:r>
    </w:p>
    <w:p w:rsidR="00CE0D00" w:rsidRPr="00A645EE" w:rsidRDefault="00A645EE" w:rsidP="00105456">
      <w:pPr>
        <w:pStyle w:val="NoSpacing"/>
        <w:rPr>
          <w:rFonts w:ascii="Verdana" w:hAnsi="Verdana" w:cs="Verdana"/>
          <w:color w:val="000000"/>
          <w:sz w:val="24"/>
          <w:szCs w:val="24"/>
        </w:rPr>
      </w:pPr>
      <w:r w:rsidRPr="00A645EE">
        <w:rPr>
          <w:rFonts w:ascii="Verdana" w:hAnsi="Verdana" w:cs="Verdana"/>
          <w:color w:val="000000"/>
          <w:sz w:val="24"/>
          <w:szCs w:val="24"/>
        </w:rPr>
        <w:t xml:space="preserve">4. Violence against women, including domestic violence  </w:t>
      </w:r>
      <w:r w:rsidR="00BD276C">
        <w:rPr>
          <w:rFonts w:ascii="Verdana" w:hAnsi="Verdana" w:cs="Verdana"/>
          <w:color w:val="000000"/>
          <w:sz w:val="24"/>
          <w:szCs w:val="24"/>
        </w:rPr>
        <w:tab/>
      </w:r>
      <w:r w:rsidR="00BD276C">
        <w:rPr>
          <w:rFonts w:ascii="Verdana" w:hAnsi="Verdana" w:cs="Verdana"/>
          <w:color w:val="000000"/>
          <w:sz w:val="24"/>
          <w:szCs w:val="24"/>
        </w:rPr>
        <w:tab/>
      </w:r>
      <w:proofErr w:type="spellStart"/>
      <w:r w:rsidRPr="00A645EE">
        <w:rPr>
          <w:rFonts w:ascii="Verdana" w:hAnsi="Verdana" w:cs="Verdana"/>
          <w:color w:val="000000"/>
          <w:sz w:val="24"/>
          <w:szCs w:val="24"/>
        </w:rPr>
        <w:t>Pg</w:t>
      </w:r>
      <w:proofErr w:type="spellEnd"/>
      <w:r w:rsidRPr="00A645EE">
        <w:rPr>
          <w:rFonts w:ascii="Verdana" w:hAnsi="Verdana" w:cs="Verdana"/>
          <w:color w:val="000000"/>
          <w:sz w:val="24"/>
          <w:szCs w:val="24"/>
        </w:rPr>
        <w:t xml:space="preserve"> 7 – 8 </w:t>
      </w:r>
    </w:p>
    <w:p w:rsidR="00A645EE" w:rsidRPr="00A645EE" w:rsidRDefault="00A645EE" w:rsidP="00A645EE">
      <w:pPr>
        <w:pStyle w:val="NoSpacing"/>
        <w:rPr>
          <w:rFonts w:ascii="Verdana" w:hAnsi="Verdana"/>
          <w:sz w:val="24"/>
          <w:szCs w:val="24"/>
        </w:rPr>
      </w:pPr>
      <w:r w:rsidRPr="00A645EE">
        <w:rPr>
          <w:rFonts w:ascii="Verdana" w:hAnsi="Verdana" w:cs="Verdana"/>
          <w:color w:val="000000"/>
          <w:sz w:val="24"/>
          <w:szCs w:val="24"/>
        </w:rPr>
        <w:t xml:space="preserve">5. </w:t>
      </w:r>
      <w:r w:rsidRPr="00A645EE">
        <w:rPr>
          <w:rFonts w:ascii="Verdana" w:hAnsi="Verdana"/>
          <w:sz w:val="24"/>
          <w:szCs w:val="24"/>
        </w:rPr>
        <w:t>Counter-terrorism measures</w:t>
      </w:r>
      <w:r w:rsidRPr="00A645EE">
        <w:rPr>
          <w:rFonts w:ascii="Verdana" w:hAnsi="Verdana"/>
          <w:sz w:val="24"/>
          <w:szCs w:val="24"/>
        </w:rPr>
        <w:tab/>
      </w:r>
      <w:r w:rsidRPr="00A645EE">
        <w:rPr>
          <w:rFonts w:ascii="Verdana" w:hAnsi="Verdana"/>
          <w:sz w:val="24"/>
          <w:szCs w:val="24"/>
        </w:rPr>
        <w:tab/>
      </w:r>
      <w:r w:rsidRPr="00A645EE">
        <w:rPr>
          <w:rFonts w:ascii="Verdana" w:hAnsi="Verdana"/>
          <w:sz w:val="24"/>
          <w:szCs w:val="24"/>
        </w:rPr>
        <w:tab/>
      </w:r>
      <w:r w:rsidRPr="00A645EE">
        <w:rPr>
          <w:rFonts w:ascii="Verdana" w:hAnsi="Verdana"/>
          <w:sz w:val="24"/>
          <w:szCs w:val="24"/>
        </w:rPr>
        <w:tab/>
      </w:r>
      <w:r w:rsidRPr="00A645EE">
        <w:rPr>
          <w:rFonts w:ascii="Verdana" w:hAnsi="Verdana"/>
          <w:sz w:val="24"/>
          <w:szCs w:val="24"/>
        </w:rPr>
        <w:tab/>
        <w:t xml:space="preserve">      </w:t>
      </w:r>
      <w:r w:rsidR="00BD276C">
        <w:rPr>
          <w:rFonts w:ascii="Verdana" w:hAnsi="Verdana"/>
          <w:sz w:val="24"/>
          <w:szCs w:val="24"/>
        </w:rPr>
        <w:tab/>
      </w:r>
      <w:proofErr w:type="spellStart"/>
      <w:r w:rsidRPr="00A645EE">
        <w:rPr>
          <w:rFonts w:ascii="Verdana" w:hAnsi="Verdana"/>
          <w:sz w:val="24"/>
          <w:szCs w:val="24"/>
        </w:rPr>
        <w:t>Pg</w:t>
      </w:r>
      <w:proofErr w:type="spellEnd"/>
      <w:r w:rsidRPr="00A645EE">
        <w:rPr>
          <w:rFonts w:ascii="Verdana" w:hAnsi="Verdana"/>
          <w:sz w:val="24"/>
          <w:szCs w:val="24"/>
        </w:rPr>
        <w:t xml:space="preserve"> 8 </w:t>
      </w:r>
    </w:p>
    <w:p w:rsidR="00A645EE" w:rsidRPr="00A645EE" w:rsidRDefault="00A645EE" w:rsidP="00A645EE">
      <w:pPr>
        <w:pStyle w:val="NoSpacing"/>
        <w:rPr>
          <w:rFonts w:ascii="Verdana" w:hAnsi="Verdana"/>
          <w:sz w:val="24"/>
          <w:szCs w:val="24"/>
        </w:rPr>
      </w:pPr>
      <w:r w:rsidRPr="00A645EE">
        <w:rPr>
          <w:rFonts w:ascii="Verdana" w:hAnsi="Verdana"/>
          <w:sz w:val="24"/>
          <w:szCs w:val="24"/>
        </w:rPr>
        <w:t xml:space="preserve">6. Right to life and prohibition of torture and other cruel, inhuman or degrading treatment or punishment </w:t>
      </w:r>
      <w:r w:rsidRPr="00A645EE">
        <w:rPr>
          <w:rFonts w:ascii="Verdana" w:hAnsi="Verdana"/>
          <w:sz w:val="24"/>
          <w:szCs w:val="24"/>
        </w:rPr>
        <w:tab/>
      </w:r>
      <w:r w:rsidRPr="00A645EE">
        <w:rPr>
          <w:rFonts w:ascii="Verdana" w:hAnsi="Verdana"/>
          <w:sz w:val="24"/>
          <w:szCs w:val="24"/>
        </w:rPr>
        <w:tab/>
      </w:r>
      <w:r w:rsidRPr="00A645EE">
        <w:rPr>
          <w:rFonts w:ascii="Verdana" w:hAnsi="Verdana"/>
          <w:sz w:val="24"/>
          <w:szCs w:val="24"/>
        </w:rPr>
        <w:tab/>
        <w:t xml:space="preserve">      </w:t>
      </w:r>
      <w:r w:rsidR="00F07B5B">
        <w:rPr>
          <w:rFonts w:ascii="Verdana" w:hAnsi="Verdana"/>
          <w:sz w:val="24"/>
          <w:szCs w:val="24"/>
        </w:rPr>
        <w:tab/>
      </w:r>
      <w:r w:rsidR="00F07B5B">
        <w:rPr>
          <w:rFonts w:ascii="Verdana" w:hAnsi="Verdana"/>
          <w:sz w:val="24"/>
          <w:szCs w:val="24"/>
        </w:rPr>
        <w:tab/>
      </w:r>
      <w:proofErr w:type="spellStart"/>
      <w:r w:rsidR="00440C48">
        <w:rPr>
          <w:rFonts w:ascii="Verdana" w:hAnsi="Verdana"/>
          <w:sz w:val="24"/>
          <w:szCs w:val="24"/>
        </w:rPr>
        <w:t>Pg</w:t>
      </w:r>
      <w:proofErr w:type="spellEnd"/>
      <w:r w:rsidR="00440C48">
        <w:rPr>
          <w:rFonts w:ascii="Verdana" w:hAnsi="Verdana"/>
          <w:sz w:val="24"/>
          <w:szCs w:val="24"/>
        </w:rPr>
        <w:t xml:space="preserve"> 8-14</w:t>
      </w:r>
    </w:p>
    <w:p w:rsidR="00A645EE" w:rsidRPr="00A645EE" w:rsidRDefault="00A645EE" w:rsidP="00A645EE">
      <w:pPr>
        <w:pStyle w:val="NoSpacing"/>
        <w:rPr>
          <w:rFonts w:ascii="Verdana" w:hAnsi="Verdana"/>
          <w:b/>
          <w:sz w:val="24"/>
          <w:szCs w:val="24"/>
          <w:u w:val="single"/>
        </w:rPr>
      </w:pPr>
      <w:r w:rsidRPr="00A645EE">
        <w:rPr>
          <w:rFonts w:ascii="Verdana" w:hAnsi="Verdana"/>
          <w:b/>
          <w:sz w:val="24"/>
          <w:szCs w:val="24"/>
        </w:rPr>
        <w:t xml:space="preserve"> </w:t>
      </w:r>
      <w:r w:rsidRPr="00A645EE">
        <w:rPr>
          <w:rFonts w:ascii="Verdana" w:hAnsi="Verdana"/>
          <w:b/>
          <w:sz w:val="24"/>
          <w:szCs w:val="24"/>
        </w:rPr>
        <w:tab/>
      </w:r>
      <w:r w:rsidRPr="00A645EE">
        <w:rPr>
          <w:rFonts w:ascii="Verdana" w:hAnsi="Verdana"/>
          <w:i/>
          <w:sz w:val="24"/>
          <w:szCs w:val="24"/>
        </w:rPr>
        <w:t xml:space="preserve">6.1 Conflict related deaths </w:t>
      </w:r>
      <w:r w:rsidR="00F07B5B">
        <w:rPr>
          <w:rFonts w:ascii="Verdana" w:hAnsi="Verdana"/>
          <w:i/>
          <w:sz w:val="24"/>
          <w:szCs w:val="24"/>
        </w:rPr>
        <w:tab/>
      </w:r>
      <w:r w:rsidR="00F07B5B">
        <w:rPr>
          <w:rFonts w:ascii="Verdana" w:hAnsi="Verdana"/>
          <w:i/>
          <w:sz w:val="24"/>
          <w:szCs w:val="24"/>
        </w:rPr>
        <w:tab/>
      </w:r>
      <w:r w:rsidR="00F07B5B">
        <w:rPr>
          <w:rFonts w:ascii="Verdana" w:hAnsi="Verdana"/>
          <w:i/>
          <w:sz w:val="24"/>
          <w:szCs w:val="24"/>
        </w:rPr>
        <w:tab/>
      </w:r>
      <w:r w:rsidR="00F07B5B">
        <w:rPr>
          <w:rFonts w:ascii="Verdana" w:hAnsi="Verdana"/>
          <w:i/>
          <w:sz w:val="24"/>
          <w:szCs w:val="24"/>
        </w:rPr>
        <w:tab/>
      </w:r>
      <w:r w:rsidR="00F07B5B">
        <w:rPr>
          <w:rFonts w:ascii="Verdana" w:hAnsi="Verdana"/>
          <w:i/>
          <w:sz w:val="24"/>
          <w:szCs w:val="24"/>
        </w:rPr>
        <w:tab/>
      </w:r>
      <w:r w:rsidR="00F07B5B">
        <w:rPr>
          <w:rFonts w:ascii="Verdana" w:hAnsi="Verdana"/>
          <w:i/>
          <w:sz w:val="24"/>
          <w:szCs w:val="24"/>
        </w:rPr>
        <w:tab/>
      </w:r>
      <w:proofErr w:type="spellStart"/>
      <w:r w:rsidRPr="00A645EE">
        <w:rPr>
          <w:rFonts w:ascii="Verdana" w:hAnsi="Verdana"/>
          <w:i/>
          <w:sz w:val="24"/>
          <w:szCs w:val="24"/>
        </w:rPr>
        <w:t>Pg</w:t>
      </w:r>
      <w:proofErr w:type="spellEnd"/>
      <w:r w:rsidRPr="00A645EE">
        <w:rPr>
          <w:rFonts w:ascii="Verdana" w:hAnsi="Verdana"/>
          <w:i/>
          <w:sz w:val="24"/>
          <w:szCs w:val="24"/>
        </w:rPr>
        <w:t xml:space="preserve"> </w:t>
      </w:r>
      <w:r w:rsidR="00F07B5B">
        <w:rPr>
          <w:rFonts w:ascii="Verdana" w:hAnsi="Verdana"/>
          <w:i/>
          <w:sz w:val="24"/>
          <w:szCs w:val="24"/>
        </w:rPr>
        <w:t>9-</w:t>
      </w:r>
      <w:r w:rsidRPr="00A645EE">
        <w:rPr>
          <w:rFonts w:ascii="Verdana" w:hAnsi="Verdana"/>
          <w:i/>
          <w:sz w:val="24"/>
          <w:szCs w:val="24"/>
        </w:rPr>
        <w:t>12</w:t>
      </w:r>
    </w:p>
    <w:p w:rsidR="00A645EE" w:rsidRPr="00F07B5B" w:rsidRDefault="00A645EE" w:rsidP="00A645EE">
      <w:pPr>
        <w:pStyle w:val="NoSpacing"/>
        <w:rPr>
          <w:rFonts w:ascii="Verdana" w:hAnsi="Verdana"/>
          <w:i/>
          <w:sz w:val="24"/>
          <w:szCs w:val="24"/>
        </w:rPr>
      </w:pPr>
      <w:r w:rsidRPr="00F07B5B">
        <w:rPr>
          <w:rFonts w:ascii="Verdana" w:hAnsi="Verdana" w:cs="Verdana"/>
          <w:b/>
          <w:color w:val="000000"/>
          <w:sz w:val="24"/>
          <w:szCs w:val="24"/>
        </w:rPr>
        <w:tab/>
      </w:r>
      <w:r w:rsidRPr="00F07B5B">
        <w:rPr>
          <w:rFonts w:ascii="Verdana" w:hAnsi="Verdana" w:cs="Verdana"/>
          <w:color w:val="000000"/>
          <w:sz w:val="24"/>
          <w:szCs w:val="24"/>
        </w:rPr>
        <w:t>6.2</w:t>
      </w:r>
      <w:r w:rsidRPr="00F07B5B">
        <w:rPr>
          <w:rFonts w:ascii="Verdana" w:hAnsi="Verdana" w:cs="Verdana"/>
          <w:b/>
          <w:color w:val="000000"/>
          <w:sz w:val="24"/>
          <w:szCs w:val="24"/>
        </w:rPr>
        <w:t xml:space="preserve"> </w:t>
      </w:r>
      <w:r w:rsidRPr="00F07B5B">
        <w:rPr>
          <w:rFonts w:ascii="Verdana" w:hAnsi="Verdana"/>
          <w:i/>
          <w:sz w:val="24"/>
          <w:szCs w:val="24"/>
        </w:rPr>
        <w:t xml:space="preserve">Termination of pregnancy </w:t>
      </w:r>
      <w:r w:rsidR="003279CD" w:rsidRPr="00F07B5B">
        <w:rPr>
          <w:rFonts w:ascii="Verdana" w:hAnsi="Verdana"/>
          <w:i/>
          <w:sz w:val="24"/>
          <w:szCs w:val="24"/>
        </w:rPr>
        <w:tab/>
      </w:r>
      <w:r w:rsidR="003279CD" w:rsidRPr="00F07B5B">
        <w:rPr>
          <w:rFonts w:ascii="Verdana" w:hAnsi="Verdana"/>
          <w:i/>
          <w:sz w:val="24"/>
          <w:szCs w:val="24"/>
        </w:rPr>
        <w:tab/>
      </w:r>
      <w:r w:rsidR="003279CD" w:rsidRPr="00F07B5B">
        <w:rPr>
          <w:rFonts w:ascii="Verdana" w:hAnsi="Verdana"/>
          <w:i/>
          <w:sz w:val="24"/>
          <w:szCs w:val="24"/>
        </w:rPr>
        <w:tab/>
      </w:r>
      <w:r w:rsidR="003279CD" w:rsidRPr="00F07B5B">
        <w:rPr>
          <w:rFonts w:ascii="Verdana" w:hAnsi="Verdana"/>
          <w:i/>
          <w:sz w:val="24"/>
          <w:szCs w:val="24"/>
        </w:rPr>
        <w:tab/>
        <w:t xml:space="preserve">      </w:t>
      </w:r>
      <w:r w:rsidR="00F07B5B">
        <w:rPr>
          <w:rFonts w:ascii="Verdana" w:hAnsi="Verdana"/>
          <w:i/>
          <w:sz w:val="24"/>
          <w:szCs w:val="24"/>
        </w:rPr>
        <w:tab/>
      </w:r>
      <w:proofErr w:type="spellStart"/>
      <w:r w:rsidR="00440C48">
        <w:rPr>
          <w:rFonts w:ascii="Verdana" w:hAnsi="Verdana"/>
          <w:i/>
          <w:sz w:val="24"/>
          <w:szCs w:val="24"/>
        </w:rPr>
        <w:t>Pg</w:t>
      </w:r>
      <w:proofErr w:type="spellEnd"/>
      <w:r w:rsidR="00440C48">
        <w:rPr>
          <w:rFonts w:ascii="Verdana" w:hAnsi="Verdana"/>
          <w:i/>
          <w:sz w:val="24"/>
          <w:szCs w:val="24"/>
        </w:rPr>
        <w:t xml:space="preserve"> 12</w:t>
      </w:r>
      <w:r w:rsidR="008515E9">
        <w:rPr>
          <w:rFonts w:ascii="Verdana" w:hAnsi="Verdana"/>
          <w:i/>
          <w:sz w:val="24"/>
          <w:szCs w:val="24"/>
        </w:rPr>
        <w:t>-13</w:t>
      </w:r>
      <w:r w:rsidR="003279CD" w:rsidRPr="00F07B5B">
        <w:rPr>
          <w:rFonts w:ascii="Verdana" w:hAnsi="Verdana"/>
          <w:i/>
          <w:sz w:val="24"/>
          <w:szCs w:val="24"/>
        </w:rPr>
        <w:t xml:space="preserve"> </w:t>
      </w:r>
    </w:p>
    <w:p w:rsidR="00A645EE" w:rsidRPr="00F07B5B" w:rsidRDefault="003279CD" w:rsidP="00105456">
      <w:pPr>
        <w:pStyle w:val="NoSpacing"/>
        <w:rPr>
          <w:rFonts w:ascii="Verdana" w:hAnsi="Verdana" w:cs="Verdana"/>
          <w:i/>
          <w:color w:val="000000"/>
          <w:sz w:val="24"/>
          <w:szCs w:val="24"/>
        </w:rPr>
      </w:pPr>
      <w:r w:rsidRPr="00F07B5B">
        <w:rPr>
          <w:rFonts w:ascii="Verdana" w:hAnsi="Verdana" w:cs="Verdana"/>
          <w:b/>
          <w:color w:val="000000"/>
          <w:sz w:val="24"/>
          <w:szCs w:val="24"/>
        </w:rPr>
        <w:tab/>
      </w:r>
      <w:r w:rsidRPr="00F07B5B">
        <w:rPr>
          <w:rFonts w:ascii="Verdana" w:hAnsi="Verdana" w:cs="Verdana"/>
          <w:i/>
          <w:color w:val="000000"/>
          <w:sz w:val="24"/>
          <w:szCs w:val="24"/>
        </w:rPr>
        <w:t xml:space="preserve">6.3 Abuse in Health and Social Care Settings </w:t>
      </w:r>
      <w:r w:rsidRPr="00F07B5B">
        <w:rPr>
          <w:rFonts w:ascii="Verdana" w:hAnsi="Verdana" w:cs="Verdana"/>
          <w:i/>
          <w:color w:val="000000"/>
          <w:sz w:val="24"/>
          <w:szCs w:val="24"/>
        </w:rPr>
        <w:tab/>
        <w:t xml:space="preserve">      </w:t>
      </w:r>
      <w:r w:rsidR="00F07B5B">
        <w:rPr>
          <w:rFonts w:ascii="Verdana" w:hAnsi="Verdana" w:cs="Verdana"/>
          <w:i/>
          <w:color w:val="000000"/>
          <w:sz w:val="24"/>
          <w:szCs w:val="24"/>
        </w:rPr>
        <w:tab/>
      </w:r>
      <w:r w:rsidR="00F07B5B">
        <w:rPr>
          <w:rFonts w:ascii="Verdana" w:hAnsi="Verdana" w:cs="Verdana"/>
          <w:i/>
          <w:color w:val="000000"/>
          <w:sz w:val="24"/>
          <w:szCs w:val="24"/>
        </w:rPr>
        <w:tab/>
      </w:r>
      <w:proofErr w:type="spellStart"/>
      <w:r w:rsidRPr="00F07B5B">
        <w:rPr>
          <w:rFonts w:ascii="Verdana" w:hAnsi="Verdana" w:cs="Verdana"/>
          <w:i/>
          <w:color w:val="000000"/>
          <w:sz w:val="24"/>
          <w:szCs w:val="24"/>
        </w:rPr>
        <w:t>Pg</w:t>
      </w:r>
      <w:proofErr w:type="spellEnd"/>
      <w:r w:rsidRPr="00F07B5B">
        <w:rPr>
          <w:rFonts w:ascii="Verdana" w:hAnsi="Verdana" w:cs="Verdana"/>
          <w:i/>
          <w:color w:val="000000"/>
          <w:sz w:val="24"/>
          <w:szCs w:val="24"/>
        </w:rPr>
        <w:t xml:space="preserve"> 13</w:t>
      </w:r>
    </w:p>
    <w:p w:rsidR="003279CD" w:rsidRPr="00F07B5B" w:rsidRDefault="00BD276C" w:rsidP="00BD276C">
      <w:pPr>
        <w:pStyle w:val="NoSpacing"/>
        <w:ind w:firstLine="720"/>
        <w:rPr>
          <w:rFonts w:ascii="Verdana" w:hAnsi="Verdana"/>
          <w:i/>
          <w:sz w:val="24"/>
          <w:szCs w:val="24"/>
        </w:rPr>
      </w:pPr>
      <w:r>
        <w:rPr>
          <w:rFonts w:ascii="Verdana" w:hAnsi="Verdana"/>
          <w:i/>
          <w:sz w:val="24"/>
          <w:szCs w:val="24"/>
        </w:rPr>
        <w:t xml:space="preserve">6.4 </w:t>
      </w:r>
      <w:r w:rsidR="003279CD" w:rsidRPr="00F07B5B">
        <w:rPr>
          <w:rFonts w:ascii="Verdana" w:hAnsi="Verdana"/>
          <w:i/>
          <w:sz w:val="24"/>
          <w:szCs w:val="24"/>
        </w:rPr>
        <w:t xml:space="preserve">Historical Institutional Abuse </w:t>
      </w:r>
      <w:r>
        <w:rPr>
          <w:rFonts w:ascii="Verdana" w:hAnsi="Verdana"/>
          <w:i/>
          <w:sz w:val="24"/>
          <w:szCs w:val="24"/>
        </w:rPr>
        <w:t xml:space="preserve">Inquiry </w:t>
      </w:r>
      <w:r>
        <w:rPr>
          <w:rFonts w:ascii="Verdana" w:hAnsi="Verdana"/>
          <w:i/>
          <w:sz w:val="24"/>
          <w:szCs w:val="24"/>
        </w:rPr>
        <w:tab/>
      </w:r>
      <w:r>
        <w:rPr>
          <w:rFonts w:ascii="Verdana" w:hAnsi="Verdana"/>
          <w:i/>
          <w:sz w:val="24"/>
          <w:szCs w:val="24"/>
        </w:rPr>
        <w:tab/>
      </w:r>
      <w:r>
        <w:rPr>
          <w:rFonts w:ascii="Verdana" w:hAnsi="Verdana"/>
          <w:i/>
          <w:sz w:val="24"/>
          <w:szCs w:val="24"/>
        </w:rPr>
        <w:tab/>
      </w:r>
      <w:r>
        <w:rPr>
          <w:rFonts w:ascii="Verdana" w:hAnsi="Verdana"/>
          <w:i/>
          <w:sz w:val="24"/>
          <w:szCs w:val="24"/>
        </w:rPr>
        <w:tab/>
      </w:r>
      <w:proofErr w:type="spellStart"/>
      <w:r w:rsidR="00440C48">
        <w:rPr>
          <w:rFonts w:ascii="Verdana" w:hAnsi="Verdana"/>
          <w:i/>
          <w:sz w:val="24"/>
          <w:szCs w:val="24"/>
        </w:rPr>
        <w:t>Pg</w:t>
      </w:r>
      <w:proofErr w:type="spellEnd"/>
      <w:r w:rsidR="00440C48">
        <w:rPr>
          <w:rFonts w:ascii="Verdana" w:hAnsi="Verdana"/>
          <w:i/>
          <w:sz w:val="24"/>
          <w:szCs w:val="24"/>
        </w:rPr>
        <w:t xml:space="preserve"> 13</w:t>
      </w:r>
      <w:r w:rsidR="008515E9">
        <w:rPr>
          <w:rFonts w:ascii="Verdana" w:hAnsi="Verdana"/>
          <w:i/>
          <w:sz w:val="24"/>
          <w:szCs w:val="24"/>
        </w:rPr>
        <w:t>-14</w:t>
      </w:r>
      <w:r w:rsidR="003279CD" w:rsidRPr="00F07B5B">
        <w:rPr>
          <w:rFonts w:ascii="Verdana" w:hAnsi="Verdana"/>
          <w:i/>
          <w:sz w:val="24"/>
          <w:szCs w:val="24"/>
        </w:rPr>
        <w:t xml:space="preserve"> </w:t>
      </w:r>
    </w:p>
    <w:p w:rsidR="003279CD" w:rsidRPr="00F07B5B" w:rsidRDefault="003279CD" w:rsidP="003279CD">
      <w:pPr>
        <w:pStyle w:val="NoSpacing"/>
        <w:rPr>
          <w:rFonts w:ascii="Verdana" w:hAnsi="Verdana"/>
          <w:i/>
          <w:sz w:val="24"/>
          <w:szCs w:val="24"/>
        </w:rPr>
      </w:pPr>
      <w:r w:rsidRPr="00BD276C">
        <w:rPr>
          <w:rFonts w:ascii="Verdana" w:hAnsi="Verdana"/>
          <w:sz w:val="24"/>
          <w:szCs w:val="24"/>
        </w:rPr>
        <w:t>7. Liberty and security of person</w:t>
      </w:r>
      <w:r w:rsidRPr="00F07B5B">
        <w:rPr>
          <w:rFonts w:ascii="Verdana" w:hAnsi="Verdana"/>
          <w:i/>
          <w:sz w:val="24"/>
          <w:szCs w:val="24"/>
        </w:rPr>
        <w:t xml:space="preserve"> </w:t>
      </w:r>
      <w:r w:rsidRPr="00F07B5B">
        <w:rPr>
          <w:rFonts w:ascii="Verdana" w:hAnsi="Verdana"/>
          <w:i/>
          <w:sz w:val="24"/>
          <w:szCs w:val="24"/>
        </w:rPr>
        <w:tab/>
      </w:r>
      <w:r w:rsidRPr="00F07B5B">
        <w:rPr>
          <w:rFonts w:ascii="Verdana" w:hAnsi="Verdana"/>
          <w:i/>
          <w:sz w:val="24"/>
          <w:szCs w:val="24"/>
        </w:rPr>
        <w:tab/>
      </w:r>
      <w:r w:rsidRPr="00F07B5B">
        <w:rPr>
          <w:rFonts w:ascii="Verdana" w:hAnsi="Verdana"/>
          <w:i/>
          <w:sz w:val="24"/>
          <w:szCs w:val="24"/>
        </w:rPr>
        <w:tab/>
      </w:r>
      <w:r w:rsidRPr="00F07B5B">
        <w:rPr>
          <w:rFonts w:ascii="Verdana" w:hAnsi="Verdana"/>
          <w:i/>
          <w:sz w:val="24"/>
          <w:szCs w:val="24"/>
        </w:rPr>
        <w:tab/>
      </w:r>
      <w:r w:rsidRPr="00F07B5B">
        <w:rPr>
          <w:rFonts w:ascii="Verdana" w:hAnsi="Verdana"/>
          <w:i/>
          <w:sz w:val="24"/>
          <w:szCs w:val="24"/>
        </w:rPr>
        <w:tab/>
      </w:r>
      <w:r w:rsidRPr="00F07B5B">
        <w:rPr>
          <w:rFonts w:ascii="Verdana" w:hAnsi="Verdana"/>
          <w:i/>
          <w:sz w:val="24"/>
          <w:szCs w:val="24"/>
        </w:rPr>
        <w:tab/>
      </w:r>
      <w:proofErr w:type="spellStart"/>
      <w:r w:rsidR="00440C48">
        <w:rPr>
          <w:rFonts w:ascii="Verdana" w:hAnsi="Verdana"/>
          <w:i/>
          <w:sz w:val="24"/>
          <w:szCs w:val="24"/>
        </w:rPr>
        <w:t>Pg</w:t>
      </w:r>
      <w:proofErr w:type="spellEnd"/>
      <w:r w:rsidR="00440C48">
        <w:rPr>
          <w:rFonts w:ascii="Verdana" w:hAnsi="Verdana"/>
          <w:i/>
          <w:sz w:val="24"/>
          <w:szCs w:val="24"/>
        </w:rPr>
        <w:t xml:space="preserve"> 14-15</w:t>
      </w:r>
    </w:p>
    <w:p w:rsidR="003279CD" w:rsidRPr="00F07B5B" w:rsidRDefault="003279CD" w:rsidP="003279CD">
      <w:pPr>
        <w:pStyle w:val="NoSpacing"/>
        <w:ind w:firstLine="720"/>
        <w:rPr>
          <w:rFonts w:ascii="Verdana" w:hAnsi="Verdana"/>
          <w:i/>
          <w:sz w:val="24"/>
          <w:szCs w:val="24"/>
        </w:rPr>
      </w:pPr>
      <w:r w:rsidRPr="00F07B5B">
        <w:rPr>
          <w:rFonts w:ascii="Verdana" w:hAnsi="Verdana"/>
          <w:i/>
          <w:sz w:val="24"/>
          <w:szCs w:val="24"/>
        </w:rPr>
        <w:t xml:space="preserve">7.1 Terrorism Act 2000 section 41 </w:t>
      </w:r>
      <w:r w:rsidRPr="00F07B5B">
        <w:rPr>
          <w:rFonts w:ascii="Verdana" w:hAnsi="Verdana"/>
          <w:i/>
          <w:sz w:val="24"/>
          <w:szCs w:val="24"/>
        </w:rPr>
        <w:tab/>
      </w:r>
      <w:r w:rsidRPr="00F07B5B">
        <w:rPr>
          <w:rFonts w:ascii="Verdana" w:hAnsi="Verdana"/>
          <w:i/>
          <w:sz w:val="24"/>
          <w:szCs w:val="24"/>
        </w:rPr>
        <w:tab/>
      </w:r>
      <w:r w:rsidRPr="00F07B5B">
        <w:rPr>
          <w:rFonts w:ascii="Verdana" w:hAnsi="Verdana"/>
          <w:i/>
          <w:sz w:val="24"/>
          <w:szCs w:val="24"/>
        </w:rPr>
        <w:tab/>
      </w:r>
      <w:r w:rsidRPr="00F07B5B">
        <w:rPr>
          <w:rFonts w:ascii="Verdana" w:hAnsi="Verdana"/>
          <w:i/>
          <w:sz w:val="24"/>
          <w:szCs w:val="24"/>
        </w:rPr>
        <w:tab/>
      </w:r>
      <w:r w:rsidRPr="00F07B5B">
        <w:rPr>
          <w:rFonts w:ascii="Verdana" w:hAnsi="Verdana"/>
          <w:i/>
          <w:sz w:val="24"/>
          <w:szCs w:val="24"/>
        </w:rPr>
        <w:tab/>
      </w:r>
      <w:proofErr w:type="spellStart"/>
      <w:r w:rsidR="00440C48">
        <w:rPr>
          <w:rFonts w:ascii="Verdana" w:hAnsi="Verdana"/>
          <w:i/>
          <w:sz w:val="24"/>
          <w:szCs w:val="24"/>
        </w:rPr>
        <w:t>Pg</w:t>
      </w:r>
      <w:proofErr w:type="spellEnd"/>
      <w:r w:rsidR="00440C48">
        <w:rPr>
          <w:rFonts w:ascii="Verdana" w:hAnsi="Verdana"/>
          <w:i/>
          <w:sz w:val="24"/>
          <w:szCs w:val="24"/>
        </w:rPr>
        <w:t xml:space="preserve"> 14-15</w:t>
      </w:r>
      <w:r w:rsidRPr="00F07B5B">
        <w:rPr>
          <w:rFonts w:ascii="Verdana" w:hAnsi="Verdana"/>
          <w:i/>
          <w:sz w:val="24"/>
          <w:szCs w:val="24"/>
        </w:rPr>
        <w:t xml:space="preserve"> </w:t>
      </w:r>
    </w:p>
    <w:p w:rsidR="003279CD" w:rsidRPr="00F07B5B" w:rsidRDefault="003279CD" w:rsidP="003279CD">
      <w:pPr>
        <w:pStyle w:val="NoSpacing"/>
        <w:rPr>
          <w:rFonts w:ascii="Verdana" w:hAnsi="Verdana"/>
          <w:i/>
          <w:sz w:val="24"/>
          <w:szCs w:val="24"/>
        </w:rPr>
      </w:pPr>
      <w:r w:rsidRPr="00F07B5B">
        <w:rPr>
          <w:rFonts w:ascii="Verdana" w:hAnsi="Verdana"/>
          <w:i/>
          <w:sz w:val="24"/>
          <w:szCs w:val="24"/>
        </w:rPr>
        <w:t xml:space="preserve">8. Treatment of persons deprived of their liberty </w:t>
      </w:r>
      <w:r w:rsidRPr="00F07B5B">
        <w:rPr>
          <w:rFonts w:ascii="Verdana" w:hAnsi="Verdana"/>
          <w:i/>
          <w:sz w:val="24"/>
          <w:szCs w:val="24"/>
        </w:rPr>
        <w:tab/>
      </w:r>
      <w:r w:rsidRPr="00F07B5B">
        <w:rPr>
          <w:rFonts w:ascii="Verdana" w:hAnsi="Verdana"/>
          <w:i/>
          <w:sz w:val="24"/>
          <w:szCs w:val="24"/>
        </w:rPr>
        <w:tab/>
      </w:r>
      <w:r w:rsidRPr="00F07B5B">
        <w:rPr>
          <w:rFonts w:ascii="Verdana" w:hAnsi="Verdana"/>
          <w:i/>
          <w:sz w:val="24"/>
          <w:szCs w:val="24"/>
        </w:rPr>
        <w:tab/>
      </w:r>
      <w:proofErr w:type="spellStart"/>
      <w:r w:rsidR="00440C48">
        <w:rPr>
          <w:rFonts w:ascii="Verdana" w:hAnsi="Verdana"/>
          <w:i/>
          <w:sz w:val="24"/>
          <w:szCs w:val="24"/>
        </w:rPr>
        <w:t>Pg</w:t>
      </w:r>
      <w:proofErr w:type="spellEnd"/>
      <w:r w:rsidR="00440C48">
        <w:rPr>
          <w:rFonts w:ascii="Verdana" w:hAnsi="Verdana"/>
          <w:i/>
          <w:sz w:val="24"/>
          <w:szCs w:val="24"/>
        </w:rPr>
        <w:t xml:space="preserve"> 15-17</w:t>
      </w:r>
      <w:r w:rsidRPr="00F07B5B">
        <w:rPr>
          <w:rFonts w:ascii="Verdana" w:hAnsi="Verdana"/>
          <w:i/>
          <w:sz w:val="24"/>
          <w:szCs w:val="24"/>
        </w:rPr>
        <w:t xml:space="preserve"> </w:t>
      </w:r>
    </w:p>
    <w:p w:rsidR="003279CD" w:rsidRPr="00F07B5B" w:rsidRDefault="003279CD" w:rsidP="003279CD">
      <w:pPr>
        <w:pStyle w:val="NoSpacing"/>
        <w:rPr>
          <w:rFonts w:ascii="Verdana" w:hAnsi="Verdana"/>
          <w:i/>
          <w:sz w:val="24"/>
          <w:szCs w:val="24"/>
        </w:rPr>
      </w:pPr>
      <w:r w:rsidRPr="00F07B5B">
        <w:rPr>
          <w:rFonts w:ascii="Verdana" w:hAnsi="Verdana"/>
          <w:i/>
          <w:sz w:val="24"/>
          <w:szCs w:val="24"/>
        </w:rPr>
        <w:t xml:space="preserve">9. Right to an effective remedy and fair trial </w:t>
      </w:r>
      <w:r w:rsidR="00F07B5B">
        <w:rPr>
          <w:rFonts w:ascii="Verdana" w:hAnsi="Verdana"/>
          <w:i/>
          <w:sz w:val="24"/>
          <w:szCs w:val="24"/>
        </w:rPr>
        <w:tab/>
      </w:r>
      <w:r w:rsidR="00F07B5B">
        <w:rPr>
          <w:rFonts w:ascii="Verdana" w:hAnsi="Verdana"/>
          <w:i/>
          <w:sz w:val="24"/>
          <w:szCs w:val="24"/>
        </w:rPr>
        <w:tab/>
      </w:r>
      <w:r w:rsidR="00F07B5B">
        <w:rPr>
          <w:rFonts w:ascii="Verdana" w:hAnsi="Verdana"/>
          <w:i/>
          <w:sz w:val="24"/>
          <w:szCs w:val="24"/>
        </w:rPr>
        <w:tab/>
      </w:r>
      <w:r w:rsidR="00F07B5B">
        <w:rPr>
          <w:rFonts w:ascii="Verdana" w:hAnsi="Verdana"/>
          <w:i/>
          <w:sz w:val="24"/>
          <w:szCs w:val="24"/>
        </w:rPr>
        <w:tab/>
      </w:r>
      <w:proofErr w:type="spellStart"/>
      <w:r w:rsidR="00440C48">
        <w:rPr>
          <w:rFonts w:ascii="Verdana" w:hAnsi="Verdana"/>
          <w:i/>
          <w:sz w:val="24"/>
          <w:szCs w:val="24"/>
        </w:rPr>
        <w:t>Pg</w:t>
      </w:r>
      <w:proofErr w:type="spellEnd"/>
      <w:r w:rsidR="00440C48">
        <w:rPr>
          <w:rFonts w:ascii="Verdana" w:hAnsi="Verdana"/>
          <w:i/>
          <w:sz w:val="24"/>
          <w:szCs w:val="24"/>
        </w:rPr>
        <w:t xml:space="preserve"> 17-18</w:t>
      </w:r>
    </w:p>
    <w:p w:rsidR="00A645EE" w:rsidRPr="00BD276C" w:rsidRDefault="003279CD" w:rsidP="00934440">
      <w:pPr>
        <w:pStyle w:val="NoSpacing"/>
        <w:rPr>
          <w:rFonts w:ascii="Verdana" w:hAnsi="Verdana" w:cs="Verdana"/>
          <w:i/>
          <w:color w:val="000000"/>
          <w:sz w:val="24"/>
          <w:szCs w:val="24"/>
        </w:rPr>
      </w:pPr>
      <w:r w:rsidRPr="00F07B5B">
        <w:rPr>
          <w:rFonts w:ascii="Verdana" w:hAnsi="Verdana" w:cs="Verdana"/>
          <w:b/>
          <w:color w:val="000000"/>
          <w:sz w:val="24"/>
          <w:szCs w:val="24"/>
        </w:rPr>
        <w:tab/>
      </w:r>
      <w:r w:rsidRPr="00BD276C">
        <w:rPr>
          <w:rFonts w:ascii="Verdana" w:hAnsi="Verdana" w:cs="Verdana"/>
          <w:i/>
          <w:color w:val="000000"/>
          <w:sz w:val="24"/>
          <w:szCs w:val="24"/>
        </w:rPr>
        <w:t xml:space="preserve">9.1 </w:t>
      </w:r>
      <w:r w:rsidR="00934440" w:rsidRPr="00BD276C">
        <w:rPr>
          <w:rFonts w:ascii="Verdana" w:hAnsi="Verdana" w:cs="Verdana"/>
          <w:i/>
          <w:color w:val="000000"/>
          <w:sz w:val="24"/>
          <w:szCs w:val="24"/>
        </w:rPr>
        <w:t xml:space="preserve">Delays across the criminal justice system NI </w:t>
      </w:r>
      <w:r w:rsidR="00F07B5B" w:rsidRPr="00BD276C">
        <w:rPr>
          <w:rFonts w:ascii="Verdana" w:hAnsi="Verdana" w:cs="Verdana"/>
          <w:i/>
          <w:color w:val="000000"/>
          <w:sz w:val="24"/>
          <w:szCs w:val="24"/>
        </w:rPr>
        <w:tab/>
      </w:r>
      <w:r w:rsidR="00F07B5B" w:rsidRPr="00BD276C">
        <w:rPr>
          <w:rFonts w:ascii="Verdana" w:hAnsi="Verdana" w:cs="Verdana"/>
          <w:i/>
          <w:color w:val="000000"/>
          <w:sz w:val="24"/>
          <w:szCs w:val="24"/>
        </w:rPr>
        <w:tab/>
      </w:r>
      <w:proofErr w:type="spellStart"/>
      <w:r w:rsidR="00F07B5B" w:rsidRPr="00BD276C">
        <w:rPr>
          <w:rFonts w:ascii="Verdana" w:hAnsi="Verdana" w:cs="Verdana"/>
          <w:i/>
          <w:color w:val="000000"/>
          <w:sz w:val="24"/>
          <w:szCs w:val="24"/>
        </w:rPr>
        <w:t>Pg</w:t>
      </w:r>
      <w:proofErr w:type="spellEnd"/>
      <w:r w:rsidR="00F07B5B" w:rsidRPr="00BD276C">
        <w:rPr>
          <w:rFonts w:ascii="Verdana" w:hAnsi="Verdana" w:cs="Verdana"/>
          <w:i/>
          <w:color w:val="000000"/>
          <w:sz w:val="24"/>
          <w:szCs w:val="24"/>
        </w:rPr>
        <w:t xml:space="preserve"> </w:t>
      </w:r>
      <w:r w:rsidR="00440C48">
        <w:rPr>
          <w:rFonts w:ascii="Verdana" w:hAnsi="Verdana" w:cs="Verdana"/>
          <w:i/>
          <w:color w:val="000000"/>
          <w:sz w:val="24"/>
          <w:szCs w:val="24"/>
        </w:rPr>
        <w:t>17-</w:t>
      </w:r>
      <w:r w:rsidR="00F07B5B" w:rsidRPr="00BD276C">
        <w:rPr>
          <w:rFonts w:ascii="Verdana" w:hAnsi="Verdana" w:cs="Verdana"/>
          <w:i/>
          <w:color w:val="000000"/>
          <w:sz w:val="24"/>
          <w:szCs w:val="24"/>
        </w:rPr>
        <w:t xml:space="preserve">18 </w:t>
      </w:r>
    </w:p>
    <w:p w:rsidR="00F07B5B" w:rsidRPr="00BD276C" w:rsidRDefault="00F07B5B" w:rsidP="00934440">
      <w:pPr>
        <w:pStyle w:val="NoSpacing"/>
        <w:rPr>
          <w:rFonts w:ascii="Verdana" w:hAnsi="Verdana" w:cs="Verdana"/>
          <w:i/>
          <w:color w:val="000000"/>
          <w:sz w:val="24"/>
          <w:szCs w:val="24"/>
        </w:rPr>
      </w:pPr>
      <w:r w:rsidRPr="00BD276C">
        <w:rPr>
          <w:rFonts w:ascii="Verdana" w:hAnsi="Verdana" w:cs="Verdana"/>
          <w:i/>
          <w:color w:val="000000"/>
          <w:sz w:val="24"/>
          <w:szCs w:val="24"/>
        </w:rPr>
        <w:tab/>
        <w:t>9.2 Compensation</w:t>
      </w:r>
      <w:r w:rsidR="00BD276C" w:rsidRPr="00BD276C">
        <w:rPr>
          <w:rFonts w:ascii="Verdana" w:hAnsi="Verdana" w:cs="Verdana"/>
          <w:i/>
          <w:color w:val="000000"/>
          <w:sz w:val="24"/>
          <w:szCs w:val="24"/>
        </w:rPr>
        <w:tab/>
      </w:r>
      <w:r w:rsidR="00BD276C" w:rsidRPr="00BD276C">
        <w:rPr>
          <w:rFonts w:ascii="Verdana" w:hAnsi="Verdana" w:cs="Verdana"/>
          <w:i/>
          <w:color w:val="000000"/>
          <w:sz w:val="24"/>
          <w:szCs w:val="24"/>
        </w:rPr>
        <w:tab/>
      </w:r>
      <w:r w:rsidR="00BD276C" w:rsidRPr="00BD276C">
        <w:rPr>
          <w:rFonts w:ascii="Verdana" w:hAnsi="Verdana" w:cs="Verdana"/>
          <w:i/>
          <w:color w:val="000000"/>
          <w:sz w:val="24"/>
          <w:szCs w:val="24"/>
        </w:rPr>
        <w:tab/>
      </w:r>
      <w:r w:rsidR="00BD276C" w:rsidRPr="00BD276C">
        <w:rPr>
          <w:rFonts w:ascii="Verdana" w:hAnsi="Verdana" w:cs="Verdana"/>
          <w:i/>
          <w:color w:val="000000"/>
          <w:sz w:val="24"/>
          <w:szCs w:val="24"/>
        </w:rPr>
        <w:tab/>
      </w:r>
      <w:r w:rsidR="00BD276C" w:rsidRPr="00BD276C">
        <w:rPr>
          <w:rFonts w:ascii="Verdana" w:hAnsi="Verdana" w:cs="Verdana"/>
          <w:i/>
          <w:color w:val="000000"/>
          <w:sz w:val="24"/>
          <w:szCs w:val="24"/>
        </w:rPr>
        <w:tab/>
      </w:r>
      <w:r w:rsidR="00BD276C" w:rsidRPr="00BD276C">
        <w:rPr>
          <w:rFonts w:ascii="Verdana" w:hAnsi="Verdana" w:cs="Verdana"/>
          <w:i/>
          <w:color w:val="000000"/>
          <w:sz w:val="24"/>
          <w:szCs w:val="24"/>
        </w:rPr>
        <w:tab/>
      </w:r>
      <w:r w:rsidR="00BD276C" w:rsidRPr="00BD276C">
        <w:rPr>
          <w:rFonts w:ascii="Verdana" w:hAnsi="Verdana" w:cs="Verdana"/>
          <w:i/>
          <w:color w:val="000000"/>
          <w:sz w:val="24"/>
          <w:szCs w:val="24"/>
        </w:rPr>
        <w:tab/>
      </w:r>
      <w:proofErr w:type="spellStart"/>
      <w:r w:rsidR="00BD276C" w:rsidRPr="00BD276C">
        <w:rPr>
          <w:rFonts w:ascii="Verdana" w:hAnsi="Verdana" w:cs="Verdana"/>
          <w:i/>
          <w:color w:val="000000"/>
          <w:sz w:val="24"/>
          <w:szCs w:val="24"/>
        </w:rPr>
        <w:t>Pg</w:t>
      </w:r>
      <w:proofErr w:type="spellEnd"/>
      <w:r w:rsidR="00BD276C" w:rsidRPr="00BD276C">
        <w:rPr>
          <w:rFonts w:ascii="Verdana" w:hAnsi="Verdana" w:cs="Verdana"/>
          <w:i/>
          <w:color w:val="000000"/>
          <w:sz w:val="24"/>
          <w:szCs w:val="24"/>
        </w:rPr>
        <w:t xml:space="preserve"> 18</w:t>
      </w:r>
    </w:p>
    <w:p w:rsidR="00F07B5B" w:rsidRPr="00BD276C" w:rsidRDefault="00F07B5B" w:rsidP="00934440">
      <w:pPr>
        <w:pStyle w:val="NoSpacing"/>
        <w:rPr>
          <w:rFonts w:ascii="Verdana" w:hAnsi="Verdana" w:cs="Verdana"/>
          <w:i/>
          <w:color w:val="000000"/>
          <w:sz w:val="24"/>
          <w:szCs w:val="24"/>
        </w:rPr>
      </w:pPr>
      <w:r w:rsidRPr="00BD276C">
        <w:rPr>
          <w:rFonts w:ascii="Verdana" w:hAnsi="Verdana" w:cs="Verdana"/>
          <w:i/>
          <w:color w:val="000000"/>
          <w:sz w:val="24"/>
          <w:szCs w:val="24"/>
        </w:rPr>
        <w:tab/>
        <w:t>9.3 Age of Criminal Responsibility</w:t>
      </w:r>
      <w:r w:rsidR="00BD276C" w:rsidRPr="00BD276C">
        <w:rPr>
          <w:rFonts w:ascii="Verdana" w:hAnsi="Verdana" w:cs="Verdana"/>
          <w:i/>
          <w:color w:val="000000"/>
          <w:sz w:val="24"/>
          <w:szCs w:val="24"/>
        </w:rPr>
        <w:tab/>
      </w:r>
      <w:r w:rsidR="00BD276C" w:rsidRPr="00BD276C">
        <w:rPr>
          <w:rFonts w:ascii="Verdana" w:hAnsi="Verdana" w:cs="Verdana"/>
          <w:i/>
          <w:color w:val="000000"/>
          <w:sz w:val="24"/>
          <w:szCs w:val="24"/>
        </w:rPr>
        <w:tab/>
      </w:r>
      <w:r w:rsidR="00BD276C" w:rsidRPr="00BD276C">
        <w:rPr>
          <w:rFonts w:ascii="Verdana" w:hAnsi="Verdana" w:cs="Verdana"/>
          <w:i/>
          <w:color w:val="000000"/>
          <w:sz w:val="24"/>
          <w:szCs w:val="24"/>
        </w:rPr>
        <w:tab/>
      </w:r>
      <w:r w:rsidR="00BD276C" w:rsidRPr="00BD276C">
        <w:rPr>
          <w:rFonts w:ascii="Verdana" w:hAnsi="Verdana" w:cs="Verdana"/>
          <w:i/>
          <w:color w:val="000000"/>
          <w:sz w:val="24"/>
          <w:szCs w:val="24"/>
        </w:rPr>
        <w:tab/>
      </w:r>
      <w:r w:rsidR="00BD276C" w:rsidRPr="00BD276C">
        <w:rPr>
          <w:rFonts w:ascii="Verdana" w:hAnsi="Verdana" w:cs="Verdana"/>
          <w:i/>
          <w:color w:val="000000"/>
          <w:sz w:val="24"/>
          <w:szCs w:val="24"/>
        </w:rPr>
        <w:tab/>
      </w:r>
      <w:proofErr w:type="spellStart"/>
      <w:r w:rsidR="00440C48">
        <w:rPr>
          <w:rFonts w:ascii="Verdana" w:hAnsi="Verdana" w:cs="Verdana"/>
          <w:i/>
          <w:color w:val="000000"/>
          <w:sz w:val="24"/>
          <w:szCs w:val="24"/>
        </w:rPr>
        <w:t>Pg</w:t>
      </w:r>
      <w:proofErr w:type="spellEnd"/>
      <w:r w:rsidR="00440C48">
        <w:rPr>
          <w:rFonts w:ascii="Verdana" w:hAnsi="Verdana" w:cs="Verdana"/>
          <w:i/>
          <w:color w:val="000000"/>
          <w:sz w:val="24"/>
          <w:szCs w:val="24"/>
        </w:rPr>
        <w:t xml:space="preserve"> 18</w:t>
      </w:r>
      <w:r w:rsidR="008515E9">
        <w:rPr>
          <w:rFonts w:ascii="Verdana" w:hAnsi="Verdana" w:cs="Verdana"/>
          <w:i/>
          <w:color w:val="000000"/>
          <w:sz w:val="24"/>
          <w:szCs w:val="24"/>
        </w:rPr>
        <w:t>-19</w:t>
      </w:r>
    </w:p>
    <w:p w:rsidR="00F07B5B" w:rsidRDefault="00F07B5B" w:rsidP="00934440">
      <w:pPr>
        <w:pStyle w:val="NoSpacing"/>
        <w:rPr>
          <w:rFonts w:ascii="Verdana" w:hAnsi="Verdana" w:cs="Verdana"/>
          <w:color w:val="000000"/>
          <w:sz w:val="24"/>
          <w:szCs w:val="24"/>
        </w:rPr>
      </w:pPr>
      <w:r w:rsidRPr="00BD276C">
        <w:rPr>
          <w:rFonts w:ascii="Verdana" w:hAnsi="Verdana" w:cs="Verdana"/>
          <w:i/>
          <w:color w:val="000000"/>
          <w:sz w:val="24"/>
          <w:szCs w:val="24"/>
        </w:rPr>
        <w:tab/>
        <w:t>9.4</w:t>
      </w:r>
      <w:r w:rsidR="00BD276C" w:rsidRPr="00BD276C">
        <w:rPr>
          <w:rFonts w:ascii="Verdana" w:hAnsi="Verdana" w:cs="Verdana"/>
          <w:i/>
          <w:color w:val="000000"/>
          <w:sz w:val="24"/>
          <w:szCs w:val="24"/>
        </w:rPr>
        <w:t xml:space="preserve"> Overuse of remand in custody of child defendants</w:t>
      </w:r>
      <w:r w:rsidR="00BD276C" w:rsidRPr="00BD276C">
        <w:rPr>
          <w:rFonts w:ascii="Verdana" w:hAnsi="Verdana" w:cs="Verdana"/>
          <w:i/>
          <w:color w:val="000000"/>
          <w:sz w:val="24"/>
          <w:szCs w:val="24"/>
        </w:rPr>
        <w:tab/>
      </w:r>
      <w:proofErr w:type="spellStart"/>
      <w:r w:rsidR="00BD276C" w:rsidRPr="00BD276C">
        <w:rPr>
          <w:rFonts w:ascii="Verdana" w:hAnsi="Verdana" w:cs="Verdana"/>
          <w:i/>
          <w:color w:val="000000"/>
          <w:sz w:val="24"/>
          <w:szCs w:val="24"/>
        </w:rPr>
        <w:t>Pg</w:t>
      </w:r>
      <w:proofErr w:type="spellEnd"/>
      <w:r w:rsidR="00BD276C" w:rsidRPr="00BD276C">
        <w:rPr>
          <w:rFonts w:ascii="Verdana" w:hAnsi="Verdana" w:cs="Verdana"/>
          <w:i/>
          <w:color w:val="000000"/>
          <w:sz w:val="24"/>
          <w:szCs w:val="24"/>
        </w:rPr>
        <w:t xml:space="preserve"> 19</w:t>
      </w:r>
      <w:r w:rsidR="00BD276C">
        <w:rPr>
          <w:rFonts w:ascii="Verdana" w:hAnsi="Verdana" w:cs="Verdana"/>
          <w:color w:val="000000"/>
          <w:sz w:val="24"/>
          <w:szCs w:val="24"/>
        </w:rPr>
        <w:t xml:space="preserve"> 10. </w:t>
      </w:r>
      <w:r w:rsidR="00BD276C" w:rsidRPr="00BD276C">
        <w:rPr>
          <w:rFonts w:ascii="Verdana" w:hAnsi="Verdana" w:cs="Verdana"/>
          <w:color w:val="000000"/>
          <w:sz w:val="24"/>
          <w:szCs w:val="24"/>
        </w:rPr>
        <w:t>Freedom of conscience and religious belief, freedom of expression, peaceful assembly and freedom of association</w:t>
      </w:r>
      <w:r w:rsidR="00BD276C">
        <w:rPr>
          <w:rFonts w:ascii="Verdana" w:hAnsi="Verdana" w:cs="Verdana"/>
          <w:color w:val="000000"/>
          <w:sz w:val="24"/>
          <w:szCs w:val="24"/>
        </w:rPr>
        <w:tab/>
      </w:r>
      <w:r w:rsidR="00BD276C">
        <w:rPr>
          <w:rFonts w:ascii="Verdana" w:hAnsi="Verdana" w:cs="Verdana"/>
          <w:color w:val="000000"/>
          <w:sz w:val="24"/>
          <w:szCs w:val="24"/>
        </w:rPr>
        <w:tab/>
      </w:r>
      <w:r w:rsidR="00BD276C">
        <w:rPr>
          <w:rFonts w:ascii="Verdana" w:hAnsi="Verdana" w:cs="Verdana"/>
          <w:color w:val="000000"/>
          <w:sz w:val="24"/>
          <w:szCs w:val="24"/>
        </w:rPr>
        <w:tab/>
      </w:r>
      <w:r w:rsidR="00BD276C">
        <w:rPr>
          <w:rFonts w:ascii="Verdana" w:hAnsi="Verdana" w:cs="Verdana"/>
          <w:color w:val="000000"/>
          <w:sz w:val="24"/>
          <w:szCs w:val="24"/>
        </w:rPr>
        <w:tab/>
      </w:r>
      <w:proofErr w:type="spellStart"/>
      <w:r w:rsidR="00BD276C">
        <w:rPr>
          <w:rFonts w:ascii="Verdana" w:hAnsi="Verdana" w:cs="Verdana"/>
          <w:color w:val="000000"/>
          <w:sz w:val="24"/>
          <w:szCs w:val="24"/>
        </w:rPr>
        <w:t>Pg</w:t>
      </w:r>
      <w:proofErr w:type="spellEnd"/>
      <w:r w:rsidR="00BD276C">
        <w:rPr>
          <w:rFonts w:ascii="Verdana" w:hAnsi="Verdana" w:cs="Verdana"/>
          <w:color w:val="000000"/>
          <w:sz w:val="24"/>
          <w:szCs w:val="24"/>
        </w:rPr>
        <w:t xml:space="preserve"> </w:t>
      </w:r>
      <w:r w:rsidR="00440C48">
        <w:rPr>
          <w:rFonts w:ascii="Verdana" w:hAnsi="Verdana" w:cs="Verdana"/>
          <w:color w:val="000000"/>
          <w:sz w:val="24"/>
          <w:szCs w:val="24"/>
        </w:rPr>
        <w:t>19</w:t>
      </w:r>
      <w:r w:rsidR="00BD276C">
        <w:rPr>
          <w:rFonts w:ascii="Verdana" w:hAnsi="Verdana" w:cs="Verdana"/>
          <w:color w:val="000000"/>
          <w:sz w:val="24"/>
          <w:szCs w:val="24"/>
        </w:rPr>
        <w:t xml:space="preserve"> </w:t>
      </w:r>
    </w:p>
    <w:p w:rsidR="00BD276C" w:rsidRPr="00F07B5B" w:rsidRDefault="00BD276C" w:rsidP="00934440">
      <w:pPr>
        <w:pStyle w:val="NoSpacing"/>
        <w:rPr>
          <w:rFonts w:ascii="Verdana" w:hAnsi="Verdana" w:cs="Verdana"/>
          <w:color w:val="000000"/>
          <w:sz w:val="24"/>
          <w:szCs w:val="24"/>
        </w:rPr>
      </w:pPr>
      <w:r>
        <w:rPr>
          <w:rFonts w:ascii="Verdana" w:hAnsi="Verdana" w:cs="Verdana"/>
          <w:color w:val="000000"/>
          <w:sz w:val="24"/>
          <w:szCs w:val="24"/>
        </w:rPr>
        <w:t xml:space="preserve">11. </w:t>
      </w:r>
      <w:r w:rsidRPr="00BD276C">
        <w:rPr>
          <w:rFonts w:ascii="Verdana" w:hAnsi="Verdana" w:cs="Verdana"/>
          <w:color w:val="000000"/>
          <w:sz w:val="24"/>
          <w:szCs w:val="24"/>
        </w:rPr>
        <w:t>Freedom to enter and leave one’s country</w:t>
      </w:r>
      <w:r>
        <w:rPr>
          <w:rFonts w:ascii="Verdana" w:hAnsi="Verdana" w:cs="Verdana"/>
          <w:color w:val="000000"/>
          <w:sz w:val="24"/>
          <w:szCs w:val="24"/>
        </w:rPr>
        <w:tab/>
      </w:r>
      <w:r>
        <w:rPr>
          <w:rFonts w:ascii="Verdana" w:hAnsi="Verdana" w:cs="Verdana"/>
          <w:color w:val="000000"/>
          <w:sz w:val="24"/>
          <w:szCs w:val="24"/>
        </w:rPr>
        <w:tab/>
      </w:r>
      <w:r>
        <w:rPr>
          <w:rFonts w:ascii="Verdana" w:hAnsi="Verdana" w:cs="Verdana"/>
          <w:color w:val="000000"/>
          <w:sz w:val="24"/>
          <w:szCs w:val="24"/>
        </w:rPr>
        <w:tab/>
      </w:r>
      <w:r>
        <w:rPr>
          <w:rFonts w:ascii="Verdana" w:hAnsi="Verdana" w:cs="Verdana"/>
          <w:color w:val="000000"/>
          <w:sz w:val="24"/>
          <w:szCs w:val="24"/>
        </w:rPr>
        <w:tab/>
      </w:r>
      <w:proofErr w:type="spellStart"/>
      <w:r>
        <w:rPr>
          <w:rFonts w:ascii="Verdana" w:hAnsi="Verdana" w:cs="Verdana"/>
          <w:color w:val="000000"/>
          <w:sz w:val="24"/>
          <w:szCs w:val="24"/>
        </w:rPr>
        <w:t>Pg</w:t>
      </w:r>
      <w:proofErr w:type="spellEnd"/>
      <w:r>
        <w:rPr>
          <w:rFonts w:ascii="Verdana" w:hAnsi="Verdana" w:cs="Verdana"/>
          <w:color w:val="000000"/>
          <w:sz w:val="24"/>
          <w:szCs w:val="24"/>
        </w:rPr>
        <w:t xml:space="preserve"> 20-22</w:t>
      </w:r>
    </w:p>
    <w:p w:rsidR="00934440" w:rsidRPr="00F07B5B" w:rsidRDefault="00934440" w:rsidP="00934440">
      <w:pPr>
        <w:pStyle w:val="NoSpacing"/>
        <w:rPr>
          <w:rFonts w:ascii="Verdana" w:hAnsi="Verdana" w:cs="Verdana"/>
          <w:b/>
          <w:color w:val="000000"/>
          <w:sz w:val="24"/>
          <w:szCs w:val="24"/>
        </w:rPr>
      </w:pPr>
      <w:r w:rsidRPr="00F07B5B">
        <w:rPr>
          <w:rFonts w:ascii="Verdana" w:hAnsi="Verdana" w:cs="Verdana"/>
          <w:b/>
          <w:color w:val="000000"/>
          <w:sz w:val="24"/>
          <w:szCs w:val="24"/>
        </w:rPr>
        <w:tab/>
      </w:r>
    </w:p>
    <w:p w:rsidR="00CE0D00" w:rsidRDefault="00CE0D00" w:rsidP="00105456">
      <w:pPr>
        <w:pStyle w:val="NoSpacing"/>
        <w:rPr>
          <w:rFonts w:ascii="Verdana" w:hAnsi="Verdana" w:cs="Verdana"/>
          <w:b/>
          <w:color w:val="000000"/>
          <w:sz w:val="24"/>
          <w:szCs w:val="24"/>
          <w:u w:val="single"/>
        </w:rPr>
      </w:pPr>
    </w:p>
    <w:p w:rsidR="00CE0D00" w:rsidRDefault="00CE0D00" w:rsidP="00105456">
      <w:pPr>
        <w:pStyle w:val="NoSpacing"/>
        <w:rPr>
          <w:rFonts w:ascii="Verdana" w:hAnsi="Verdana" w:cs="Verdana"/>
          <w:b/>
          <w:color w:val="000000"/>
          <w:sz w:val="24"/>
          <w:szCs w:val="24"/>
          <w:u w:val="single"/>
        </w:rPr>
      </w:pPr>
    </w:p>
    <w:p w:rsidR="00CE0D00" w:rsidRDefault="00CE0D00" w:rsidP="00105456">
      <w:pPr>
        <w:pStyle w:val="NoSpacing"/>
        <w:rPr>
          <w:rFonts w:ascii="Verdana" w:hAnsi="Verdana" w:cs="Verdana"/>
          <w:b/>
          <w:color w:val="000000"/>
          <w:sz w:val="24"/>
          <w:szCs w:val="24"/>
          <w:u w:val="single"/>
        </w:rPr>
      </w:pPr>
    </w:p>
    <w:p w:rsidR="00CE0D00" w:rsidRDefault="00CE0D00" w:rsidP="00105456">
      <w:pPr>
        <w:pStyle w:val="NoSpacing"/>
        <w:rPr>
          <w:rFonts w:ascii="Verdana" w:hAnsi="Verdana" w:cs="Verdana"/>
          <w:b/>
          <w:color w:val="000000"/>
          <w:sz w:val="24"/>
          <w:szCs w:val="24"/>
          <w:u w:val="single"/>
        </w:rPr>
      </w:pPr>
    </w:p>
    <w:p w:rsidR="00A645EE" w:rsidRDefault="00A645EE" w:rsidP="00105456">
      <w:pPr>
        <w:pStyle w:val="NoSpacing"/>
        <w:rPr>
          <w:rFonts w:ascii="Verdana" w:hAnsi="Verdana" w:cs="Verdana"/>
          <w:b/>
          <w:color w:val="000000"/>
          <w:sz w:val="24"/>
          <w:szCs w:val="24"/>
          <w:u w:val="single"/>
        </w:rPr>
      </w:pPr>
    </w:p>
    <w:p w:rsidR="00A645EE" w:rsidRDefault="00A645EE" w:rsidP="00105456">
      <w:pPr>
        <w:pStyle w:val="NoSpacing"/>
        <w:rPr>
          <w:rFonts w:ascii="Verdana" w:hAnsi="Verdana" w:cs="Verdana"/>
          <w:b/>
          <w:color w:val="000000"/>
          <w:sz w:val="24"/>
          <w:szCs w:val="24"/>
          <w:u w:val="single"/>
        </w:rPr>
      </w:pPr>
    </w:p>
    <w:p w:rsidR="00A645EE" w:rsidRDefault="00A645EE" w:rsidP="00105456">
      <w:pPr>
        <w:pStyle w:val="NoSpacing"/>
        <w:rPr>
          <w:rFonts w:ascii="Verdana" w:hAnsi="Verdana" w:cs="Verdana"/>
          <w:b/>
          <w:color w:val="000000"/>
          <w:sz w:val="24"/>
          <w:szCs w:val="24"/>
          <w:u w:val="single"/>
        </w:rPr>
      </w:pPr>
    </w:p>
    <w:p w:rsidR="00A645EE" w:rsidRDefault="00A645EE" w:rsidP="00105456">
      <w:pPr>
        <w:pStyle w:val="NoSpacing"/>
        <w:rPr>
          <w:rFonts w:ascii="Verdana" w:hAnsi="Verdana" w:cs="Verdana"/>
          <w:b/>
          <w:color w:val="000000"/>
          <w:sz w:val="24"/>
          <w:szCs w:val="24"/>
          <w:u w:val="single"/>
        </w:rPr>
      </w:pPr>
    </w:p>
    <w:p w:rsidR="00A645EE" w:rsidRDefault="00A645EE" w:rsidP="00105456">
      <w:pPr>
        <w:pStyle w:val="NoSpacing"/>
        <w:rPr>
          <w:rFonts w:ascii="Verdana" w:hAnsi="Verdana" w:cs="Verdana"/>
          <w:b/>
          <w:color w:val="000000"/>
          <w:sz w:val="24"/>
          <w:szCs w:val="24"/>
          <w:u w:val="single"/>
        </w:rPr>
      </w:pPr>
    </w:p>
    <w:p w:rsidR="00A645EE" w:rsidRDefault="00A645EE" w:rsidP="00105456">
      <w:pPr>
        <w:pStyle w:val="NoSpacing"/>
        <w:rPr>
          <w:rFonts w:ascii="Verdana" w:hAnsi="Verdana" w:cs="Verdana"/>
          <w:b/>
          <w:color w:val="000000"/>
          <w:sz w:val="24"/>
          <w:szCs w:val="24"/>
          <w:u w:val="single"/>
        </w:rPr>
      </w:pPr>
    </w:p>
    <w:p w:rsidR="00A645EE" w:rsidRDefault="00A645EE" w:rsidP="00105456">
      <w:pPr>
        <w:pStyle w:val="NoSpacing"/>
        <w:rPr>
          <w:rFonts w:ascii="Verdana" w:hAnsi="Verdana" w:cs="Verdana"/>
          <w:b/>
          <w:color w:val="000000"/>
          <w:sz w:val="24"/>
          <w:szCs w:val="24"/>
          <w:u w:val="single"/>
        </w:rPr>
      </w:pPr>
    </w:p>
    <w:p w:rsidR="00876D09" w:rsidRDefault="00876D09" w:rsidP="00105456">
      <w:pPr>
        <w:pStyle w:val="NoSpacing"/>
        <w:rPr>
          <w:rFonts w:ascii="Verdana" w:hAnsi="Verdana" w:cs="Verdana"/>
          <w:b/>
          <w:color w:val="000000"/>
          <w:sz w:val="24"/>
          <w:szCs w:val="24"/>
          <w:u w:val="single"/>
        </w:rPr>
      </w:pPr>
    </w:p>
    <w:p w:rsidR="00A645EE" w:rsidRDefault="00A645EE" w:rsidP="00105456">
      <w:pPr>
        <w:pStyle w:val="NoSpacing"/>
        <w:rPr>
          <w:rFonts w:ascii="Verdana" w:hAnsi="Verdana" w:cs="Verdana"/>
          <w:b/>
          <w:color w:val="000000"/>
          <w:sz w:val="24"/>
          <w:szCs w:val="24"/>
          <w:u w:val="single"/>
        </w:rPr>
      </w:pPr>
    </w:p>
    <w:p w:rsidR="00A645EE" w:rsidRDefault="00A645EE" w:rsidP="00105456">
      <w:pPr>
        <w:pStyle w:val="NoSpacing"/>
        <w:rPr>
          <w:rFonts w:ascii="Verdana" w:hAnsi="Verdana" w:cs="Verdana"/>
          <w:b/>
          <w:color w:val="000000"/>
          <w:sz w:val="24"/>
          <w:szCs w:val="24"/>
          <w:u w:val="single"/>
        </w:rPr>
      </w:pPr>
    </w:p>
    <w:p w:rsidR="00A645EE" w:rsidRDefault="00A645EE" w:rsidP="00105456">
      <w:pPr>
        <w:pStyle w:val="NoSpacing"/>
        <w:rPr>
          <w:rFonts w:ascii="Verdana" w:hAnsi="Verdana" w:cs="Verdana"/>
          <w:b/>
          <w:color w:val="000000"/>
          <w:sz w:val="24"/>
          <w:szCs w:val="24"/>
          <w:u w:val="single"/>
        </w:rPr>
      </w:pPr>
    </w:p>
    <w:p w:rsidR="00A645EE" w:rsidRDefault="00A645EE" w:rsidP="00105456">
      <w:pPr>
        <w:pStyle w:val="NoSpacing"/>
        <w:rPr>
          <w:rFonts w:ascii="Verdana" w:hAnsi="Verdana" w:cs="Verdana"/>
          <w:b/>
          <w:color w:val="000000"/>
          <w:sz w:val="24"/>
          <w:szCs w:val="24"/>
          <w:u w:val="single"/>
        </w:rPr>
      </w:pPr>
    </w:p>
    <w:p w:rsidR="00A645EE" w:rsidRDefault="00A645EE" w:rsidP="00105456">
      <w:pPr>
        <w:pStyle w:val="NoSpacing"/>
        <w:rPr>
          <w:rFonts w:ascii="Verdana" w:hAnsi="Verdana" w:cs="Verdana"/>
          <w:b/>
          <w:color w:val="000000"/>
          <w:sz w:val="24"/>
          <w:szCs w:val="24"/>
          <w:u w:val="single"/>
        </w:rPr>
      </w:pPr>
    </w:p>
    <w:p w:rsidR="00BD276C" w:rsidRDefault="00BD276C" w:rsidP="00105456">
      <w:pPr>
        <w:pStyle w:val="NoSpacing"/>
        <w:rPr>
          <w:rFonts w:ascii="Verdana" w:hAnsi="Verdana" w:cs="Verdana"/>
          <w:b/>
          <w:color w:val="000000"/>
          <w:sz w:val="24"/>
          <w:szCs w:val="24"/>
          <w:u w:val="single"/>
        </w:rPr>
      </w:pPr>
    </w:p>
    <w:p w:rsidR="00041351" w:rsidRPr="00105456" w:rsidRDefault="00041351" w:rsidP="00105456">
      <w:pPr>
        <w:pStyle w:val="NoSpacing"/>
        <w:rPr>
          <w:rFonts w:ascii="Verdana" w:hAnsi="Verdana" w:cs="Verdana"/>
          <w:b/>
          <w:color w:val="000000"/>
          <w:sz w:val="24"/>
          <w:szCs w:val="24"/>
          <w:u w:val="single"/>
        </w:rPr>
      </w:pPr>
      <w:r w:rsidRPr="00105456">
        <w:rPr>
          <w:rFonts w:ascii="Verdana" w:hAnsi="Verdana" w:cs="Verdana"/>
          <w:b/>
          <w:color w:val="000000"/>
          <w:sz w:val="24"/>
          <w:szCs w:val="24"/>
          <w:u w:val="single"/>
        </w:rPr>
        <w:t xml:space="preserve">Introduction </w:t>
      </w:r>
    </w:p>
    <w:p w:rsidR="00041351" w:rsidRPr="00105456" w:rsidRDefault="00041351" w:rsidP="00105456">
      <w:pPr>
        <w:pStyle w:val="NoSpacing"/>
        <w:rPr>
          <w:rFonts w:ascii="Verdana" w:hAnsi="Verdana" w:cs="Verdana"/>
          <w:color w:val="000000"/>
          <w:sz w:val="24"/>
          <w:szCs w:val="24"/>
        </w:rPr>
      </w:pPr>
    </w:p>
    <w:p w:rsidR="00041351" w:rsidRDefault="00105456" w:rsidP="00105456">
      <w:pPr>
        <w:pStyle w:val="NoSpacing"/>
        <w:rPr>
          <w:rFonts w:ascii="Verdana" w:hAnsi="Verdana"/>
          <w:sz w:val="24"/>
          <w:szCs w:val="24"/>
        </w:rPr>
      </w:pPr>
      <w:r>
        <w:rPr>
          <w:rFonts w:ascii="Verdana" w:hAnsi="Verdana"/>
          <w:sz w:val="24"/>
          <w:szCs w:val="24"/>
        </w:rPr>
        <w:t xml:space="preserve">1.1 </w:t>
      </w:r>
      <w:r w:rsidR="00041351" w:rsidRPr="00105456">
        <w:rPr>
          <w:rFonts w:ascii="Verdana" w:hAnsi="Verdana"/>
          <w:sz w:val="24"/>
          <w:szCs w:val="24"/>
        </w:rPr>
        <w:t xml:space="preserve">The </w:t>
      </w:r>
      <w:r w:rsidR="001A4EED" w:rsidRPr="00105456">
        <w:rPr>
          <w:rFonts w:ascii="Verdana" w:hAnsi="Verdana"/>
          <w:sz w:val="24"/>
          <w:szCs w:val="24"/>
        </w:rPr>
        <w:t>NI</w:t>
      </w:r>
      <w:r w:rsidR="00041351" w:rsidRPr="00105456">
        <w:rPr>
          <w:rFonts w:ascii="Verdana" w:hAnsi="Verdana"/>
          <w:sz w:val="24"/>
          <w:szCs w:val="24"/>
        </w:rPr>
        <w:t xml:space="preserve"> Human Rights Commission (the NIHRC) is a statutory public body established in 1999 to promote and protect human rights. In accordance with the Paris Principles the NIHRC reviews the adequacy and effectiveness of measures undertaken by the UK Government and NI Executive to promote and protect human rights, specifically within </w:t>
      </w:r>
      <w:r w:rsidR="001A4EED" w:rsidRPr="00105456">
        <w:rPr>
          <w:rFonts w:ascii="Verdana" w:hAnsi="Verdana"/>
          <w:sz w:val="24"/>
          <w:szCs w:val="24"/>
        </w:rPr>
        <w:t>Northern Ireland</w:t>
      </w:r>
      <w:r w:rsidR="00041351" w:rsidRPr="00105456">
        <w:rPr>
          <w:rFonts w:ascii="Verdana" w:hAnsi="Verdana"/>
          <w:sz w:val="24"/>
          <w:szCs w:val="24"/>
        </w:rPr>
        <w:t xml:space="preserve"> (NI). </w:t>
      </w:r>
    </w:p>
    <w:p w:rsidR="00CE0D00" w:rsidRPr="00105456" w:rsidRDefault="00CE0D00" w:rsidP="00105456">
      <w:pPr>
        <w:pStyle w:val="NoSpacing"/>
        <w:rPr>
          <w:rFonts w:ascii="Verdana" w:hAnsi="Verdana"/>
          <w:sz w:val="24"/>
          <w:szCs w:val="24"/>
        </w:rPr>
      </w:pPr>
    </w:p>
    <w:p w:rsidR="00041351" w:rsidRDefault="00105456" w:rsidP="00105456">
      <w:pPr>
        <w:pStyle w:val="NoSpacing"/>
        <w:rPr>
          <w:rFonts w:ascii="Verdana" w:hAnsi="Verdana"/>
          <w:sz w:val="24"/>
          <w:szCs w:val="24"/>
        </w:rPr>
      </w:pPr>
      <w:r>
        <w:rPr>
          <w:rFonts w:ascii="Verdana" w:hAnsi="Verdana"/>
          <w:sz w:val="24"/>
          <w:szCs w:val="24"/>
        </w:rPr>
        <w:t xml:space="preserve">1.2 </w:t>
      </w:r>
      <w:r w:rsidR="00041351" w:rsidRPr="00105456">
        <w:rPr>
          <w:rFonts w:ascii="Verdana" w:hAnsi="Verdana"/>
          <w:sz w:val="24"/>
          <w:szCs w:val="24"/>
        </w:rPr>
        <w:t xml:space="preserve">The NIHRC is one of the three </w:t>
      </w:r>
      <w:proofErr w:type="gramStart"/>
      <w:r w:rsidR="00041351" w:rsidRPr="00105456">
        <w:rPr>
          <w:rFonts w:ascii="Verdana" w:hAnsi="Verdana"/>
          <w:sz w:val="24"/>
          <w:szCs w:val="24"/>
        </w:rPr>
        <w:t>A</w:t>
      </w:r>
      <w:proofErr w:type="gramEnd"/>
      <w:r w:rsidR="00041351" w:rsidRPr="00105456">
        <w:rPr>
          <w:rFonts w:ascii="Verdana" w:hAnsi="Verdana"/>
          <w:sz w:val="24"/>
          <w:szCs w:val="24"/>
        </w:rPr>
        <w:t xml:space="preserve"> status National Human Rights Institutions in the United Kingdom (UK). The NIHRC’s mandate extends to all matters relating to the protection and promotion of human rights in </w:t>
      </w:r>
      <w:r w:rsidR="001A4EED" w:rsidRPr="00105456">
        <w:rPr>
          <w:rFonts w:ascii="Verdana" w:hAnsi="Verdana"/>
          <w:sz w:val="24"/>
          <w:szCs w:val="24"/>
        </w:rPr>
        <w:t>NI</w:t>
      </w:r>
      <w:r w:rsidR="00041351" w:rsidRPr="00105456">
        <w:rPr>
          <w:rFonts w:ascii="Verdana" w:hAnsi="Verdana"/>
          <w:sz w:val="24"/>
          <w:szCs w:val="24"/>
        </w:rPr>
        <w:t xml:space="preserve">, both matters within the competence of the </w:t>
      </w:r>
      <w:r w:rsidR="001A4EED" w:rsidRPr="00105456">
        <w:rPr>
          <w:rFonts w:ascii="Verdana" w:hAnsi="Verdana"/>
          <w:sz w:val="24"/>
          <w:szCs w:val="24"/>
        </w:rPr>
        <w:t>NI</w:t>
      </w:r>
      <w:r w:rsidR="00041351" w:rsidRPr="00105456">
        <w:rPr>
          <w:rFonts w:ascii="Verdana" w:hAnsi="Verdana"/>
          <w:sz w:val="24"/>
          <w:szCs w:val="24"/>
        </w:rPr>
        <w:t xml:space="preserve"> Assembly and those within the competence of the Westminster Parliament. This submission relates to the protection of human rights in </w:t>
      </w:r>
      <w:r w:rsidR="001A4EED" w:rsidRPr="00105456">
        <w:rPr>
          <w:rFonts w:ascii="Verdana" w:hAnsi="Verdana"/>
          <w:sz w:val="24"/>
          <w:szCs w:val="24"/>
        </w:rPr>
        <w:t>NI</w:t>
      </w:r>
      <w:r w:rsidR="00041351" w:rsidRPr="00105456">
        <w:rPr>
          <w:rFonts w:ascii="Verdana" w:hAnsi="Verdana"/>
          <w:sz w:val="24"/>
          <w:szCs w:val="24"/>
        </w:rPr>
        <w:t xml:space="preserve">. </w:t>
      </w:r>
    </w:p>
    <w:p w:rsidR="00CE0D00" w:rsidRPr="00105456" w:rsidRDefault="00CE0D00" w:rsidP="00105456">
      <w:pPr>
        <w:pStyle w:val="NoSpacing"/>
        <w:rPr>
          <w:rFonts w:ascii="Verdana" w:hAnsi="Verdana"/>
          <w:sz w:val="24"/>
          <w:szCs w:val="24"/>
        </w:rPr>
      </w:pPr>
    </w:p>
    <w:p w:rsidR="00041351" w:rsidRDefault="00105456" w:rsidP="00105456">
      <w:pPr>
        <w:pStyle w:val="NoSpacing"/>
        <w:rPr>
          <w:rFonts w:ascii="Verdana" w:hAnsi="Verdana"/>
          <w:sz w:val="24"/>
          <w:szCs w:val="24"/>
        </w:rPr>
      </w:pPr>
      <w:r>
        <w:rPr>
          <w:rFonts w:ascii="Verdana" w:hAnsi="Verdana"/>
          <w:sz w:val="24"/>
          <w:szCs w:val="24"/>
        </w:rPr>
        <w:t xml:space="preserve">1.3 </w:t>
      </w:r>
      <w:r w:rsidR="00041351" w:rsidRPr="00105456">
        <w:rPr>
          <w:rFonts w:ascii="Verdana" w:hAnsi="Verdana"/>
          <w:sz w:val="24"/>
          <w:szCs w:val="24"/>
        </w:rPr>
        <w:t>As part of the NIHRC’s engagement with the United Nations and Council of Europe treaty monitoring processes, it presents this submission regarding the UK’s Seventh Periodic Report on compliance with the International Covenant on Civil and Political Rights (ICCPR) to the UN Human Rights Committee (the Committee)</w:t>
      </w:r>
      <w:r w:rsidR="009770D1" w:rsidRPr="00105456">
        <w:rPr>
          <w:rFonts w:ascii="Verdana" w:hAnsi="Verdana"/>
          <w:sz w:val="24"/>
          <w:szCs w:val="24"/>
        </w:rPr>
        <w:t xml:space="preserve"> 114</w:t>
      </w:r>
      <w:r w:rsidR="009770D1" w:rsidRPr="00105456">
        <w:rPr>
          <w:rFonts w:ascii="Verdana" w:hAnsi="Verdana"/>
          <w:sz w:val="24"/>
          <w:szCs w:val="24"/>
          <w:vertAlign w:val="superscript"/>
        </w:rPr>
        <w:t>th</w:t>
      </w:r>
      <w:r w:rsidR="009770D1" w:rsidRPr="00105456">
        <w:rPr>
          <w:rFonts w:ascii="Verdana" w:hAnsi="Verdana"/>
          <w:sz w:val="24"/>
          <w:szCs w:val="24"/>
        </w:rPr>
        <w:t xml:space="preserve"> Session</w:t>
      </w:r>
      <w:r w:rsidR="00041351" w:rsidRPr="00105456">
        <w:rPr>
          <w:rFonts w:ascii="Verdana" w:hAnsi="Verdana"/>
          <w:sz w:val="24"/>
          <w:szCs w:val="24"/>
        </w:rPr>
        <w:t>.</w:t>
      </w:r>
      <w:r w:rsidR="009770D1" w:rsidRPr="00105456">
        <w:rPr>
          <w:rFonts w:ascii="Verdana" w:hAnsi="Verdana"/>
          <w:sz w:val="24"/>
          <w:szCs w:val="24"/>
        </w:rPr>
        <w:t xml:space="preserve"> The Commission submitted to the Country Report Task Force during the Committee’s 112</w:t>
      </w:r>
      <w:r w:rsidR="009770D1" w:rsidRPr="00105456">
        <w:rPr>
          <w:rFonts w:ascii="Verdana" w:hAnsi="Verdana"/>
          <w:sz w:val="24"/>
          <w:szCs w:val="24"/>
          <w:vertAlign w:val="superscript"/>
        </w:rPr>
        <w:t>th</w:t>
      </w:r>
      <w:r w:rsidR="009770D1" w:rsidRPr="00105456">
        <w:rPr>
          <w:rFonts w:ascii="Verdana" w:hAnsi="Verdana"/>
          <w:sz w:val="24"/>
          <w:szCs w:val="24"/>
        </w:rPr>
        <w:t xml:space="preserve"> session and has developed th</w:t>
      </w:r>
      <w:r w:rsidR="000F6AFF" w:rsidRPr="00105456">
        <w:rPr>
          <w:rFonts w:ascii="Verdana" w:hAnsi="Verdana"/>
          <w:sz w:val="24"/>
          <w:szCs w:val="24"/>
        </w:rPr>
        <w:t>is submission in line with the List of I</w:t>
      </w:r>
      <w:r w:rsidR="009770D1" w:rsidRPr="00105456">
        <w:rPr>
          <w:rFonts w:ascii="Verdana" w:hAnsi="Verdana"/>
          <w:sz w:val="24"/>
          <w:szCs w:val="24"/>
        </w:rPr>
        <w:t xml:space="preserve">ssues, taking into account the reply of the State Party. </w:t>
      </w:r>
    </w:p>
    <w:p w:rsidR="00CE0D00" w:rsidRPr="00105456" w:rsidRDefault="00CE0D00" w:rsidP="00105456">
      <w:pPr>
        <w:pStyle w:val="NoSpacing"/>
        <w:rPr>
          <w:rFonts w:ascii="Verdana" w:hAnsi="Verdana"/>
          <w:sz w:val="24"/>
          <w:szCs w:val="24"/>
        </w:rPr>
      </w:pPr>
    </w:p>
    <w:p w:rsidR="00041351" w:rsidRDefault="00041351" w:rsidP="00105456">
      <w:pPr>
        <w:pStyle w:val="NoSpacing"/>
        <w:rPr>
          <w:rFonts w:ascii="Verdana" w:hAnsi="Verdana"/>
          <w:b/>
          <w:sz w:val="24"/>
          <w:szCs w:val="24"/>
          <w:u w:val="single"/>
        </w:rPr>
      </w:pPr>
      <w:r w:rsidRPr="00105456">
        <w:rPr>
          <w:rFonts w:ascii="Verdana" w:hAnsi="Verdana"/>
          <w:b/>
          <w:sz w:val="24"/>
          <w:szCs w:val="24"/>
          <w:u w:val="single"/>
        </w:rPr>
        <w:t>Constitutional and legal framework within whic</w:t>
      </w:r>
      <w:r w:rsidR="00483E70" w:rsidRPr="00105456">
        <w:rPr>
          <w:rFonts w:ascii="Verdana" w:hAnsi="Verdana"/>
          <w:b/>
          <w:sz w:val="24"/>
          <w:szCs w:val="24"/>
          <w:u w:val="single"/>
        </w:rPr>
        <w:t>h the Covenant is implemented (a</w:t>
      </w:r>
      <w:r w:rsidRPr="00105456">
        <w:rPr>
          <w:rFonts w:ascii="Verdana" w:hAnsi="Verdana"/>
          <w:b/>
          <w:sz w:val="24"/>
          <w:szCs w:val="24"/>
          <w:u w:val="single"/>
        </w:rPr>
        <w:t>rticle 2)</w:t>
      </w:r>
    </w:p>
    <w:p w:rsidR="00CE0D00" w:rsidRPr="00105456" w:rsidRDefault="00CE0D00" w:rsidP="00105456">
      <w:pPr>
        <w:pStyle w:val="NoSpacing"/>
        <w:rPr>
          <w:rFonts w:ascii="Verdana" w:hAnsi="Verdana"/>
          <w:b/>
          <w:sz w:val="24"/>
          <w:szCs w:val="24"/>
          <w:u w:val="single"/>
        </w:rPr>
      </w:pPr>
    </w:p>
    <w:p w:rsidR="00041351" w:rsidRPr="00105456" w:rsidRDefault="00105456" w:rsidP="00105456">
      <w:pPr>
        <w:pStyle w:val="NoSpacing"/>
        <w:rPr>
          <w:rFonts w:ascii="Verdana" w:hAnsi="Verdana" w:cs="Zurich BT"/>
          <w:color w:val="000000"/>
          <w:sz w:val="24"/>
          <w:szCs w:val="24"/>
        </w:rPr>
      </w:pPr>
      <w:r>
        <w:rPr>
          <w:rFonts w:ascii="Verdana" w:hAnsi="Verdana" w:cs="Zurich BT"/>
          <w:color w:val="000000"/>
          <w:sz w:val="24"/>
          <w:szCs w:val="24"/>
        </w:rPr>
        <w:t xml:space="preserve">2.1 </w:t>
      </w:r>
      <w:r w:rsidR="00041351" w:rsidRPr="00105456">
        <w:rPr>
          <w:rFonts w:ascii="Verdana" w:hAnsi="Verdana" w:cs="Zurich BT"/>
          <w:color w:val="000000"/>
          <w:sz w:val="24"/>
          <w:szCs w:val="24"/>
        </w:rPr>
        <w:t xml:space="preserve">The Commission reports that no substantive progress has been made on introducing a Bill of Rights for </w:t>
      </w:r>
      <w:r w:rsidR="001A4EED" w:rsidRPr="00105456">
        <w:rPr>
          <w:rFonts w:ascii="Verdana" w:hAnsi="Verdana" w:cs="Zurich BT"/>
          <w:color w:val="000000"/>
          <w:sz w:val="24"/>
          <w:szCs w:val="24"/>
        </w:rPr>
        <w:t>NI</w:t>
      </w:r>
      <w:r w:rsidR="00041351" w:rsidRPr="00105456">
        <w:rPr>
          <w:rFonts w:ascii="Verdana" w:hAnsi="Verdana" w:cs="Zurich BT"/>
          <w:color w:val="000000"/>
          <w:sz w:val="24"/>
          <w:szCs w:val="24"/>
        </w:rPr>
        <w:t>, in accordance with the Belfast (Good Friday) Agreement</w:t>
      </w:r>
      <w:r w:rsidR="003D7908" w:rsidRPr="00105456">
        <w:rPr>
          <w:rFonts w:ascii="Verdana" w:hAnsi="Verdana" w:cs="Zurich BT"/>
          <w:color w:val="000000"/>
          <w:sz w:val="24"/>
          <w:szCs w:val="24"/>
        </w:rPr>
        <w:t>,</w:t>
      </w:r>
      <w:r w:rsidR="00041351" w:rsidRPr="00105456">
        <w:rPr>
          <w:rFonts w:ascii="Verdana" w:hAnsi="Verdana" w:cs="Zurich BT"/>
          <w:color w:val="000000"/>
          <w:sz w:val="24"/>
          <w:szCs w:val="24"/>
        </w:rPr>
        <w:t xml:space="preserve"> since the Committee last examined the </w:t>
      </w:r>
      <w:r w:rsidR="005B0B99" w:rsidRPr="00105456">
        <w:rPr>
          <w:rFonts w:ascii="Verdana" w:hAnsi="Verdana" w:cs="Zurich BT"/>
          <w:color w:val="000000"/>
          <w:sz w:val="24"/>
          <w:szCs w:val="24"/>
        </w:rPr>
        <w:t>UK</w:t>
      </w:r>
      <w:r w:rsidR="00041351" w:rsidRPr="00105456">
        <w:rPr>
          <w:rFonts w:ascii="Verdana" w:hAnsi="Verdana" w:cs="Zurich BT"/>
          <w:color w:val="000000"/>
          <w:sz w:val="24"/>
          <w:szCs w:val="24"/>
        </w:rPr>
        <w:t>.</w:t>
      </w:r>
      <w:r w:rsidR="00D4775A" w:rsidRPr="00105456">
        <w:rPr>
          <w:rStyle w:val="EndnoteReference"/>
          <w:rFonts w:ascii="Verdana" w:hAnsi="Verdana" w:cs="Zurich BT"/>
          <w:color w:val="000000"/>
          <w:sz w:val="24"/>
          <w:szCs w:val="24"/>
        </w:rPr>
        <w:endnoteReference w:id="1"/>
      </w:r>
      <w:r w:rsidR="00041351" w:rsidRPr="00105456">
        <w:rPr>
          <w:rFonts w:ascii="Verdana" w:hAnsi="Verdana" w:cs="Zurich BT"/>
          <w:color w:val="000000"/>
          <w:sz w:val="24"/>
          <w:szCs w:val="24"/>
        </w:rPr>
        <w:t xml:space="preserve"> </w:t>
      </w:r>
    </w:p>
    <w:p w:rsidR="00041351" w:rsidRPr="00105456" w:rsidRDefault="00041351" w:rsidP="00105456">
      <w:pPr>
        <w:pStyle w:val="NoSpacing"/>
        <w:rPr>
          <w:rFonts w:ascii="Verdana" w:hAnsi="Verdana" w:cs="Zurich BT"/>
          <w:color w:val="000000"/>
          <w:sz w:val="24"/>
          <w:szCs w:val="24"/>
        </w:rPr>
      </w:pPr>
    </w:p>
    <w:p w:rsidR="00B70F15" w:rsidRPr="00105456" w:rsidRDefault="00105456" w:rsidP="00105456">
      <w:pPr>
        <w:pStyle w:val="NoSpacing"/>
        <w:rPr>
          <w:rFonts w:ascii="Verdana" w:hAnsi="Verdana" w:cs="MinionPro-Regular"/>
          <w:sz w:val="24"/>
          <w:szCs w:val="24"/>
        </w:rPr>
      </w:pPr>
      <w:r>
        <w:rPr>
          <w:rFonts w:ascii="Verdana" w:hAnsi="Verdana" w:cs="Zurich BT"/>
          <w:color w:val="000000"/>
          <w:sz w:val="24"/>
          <w:szCs w:val="24"/>
        </w:rPr>
        <w:t xml:space="preserve">2.2 </w:t>
      </w:r>
      <w:r w:rsidR="003D7908" w:rsidRPr="00105456">
        <w:rPr>
          <w:rFonts w:ascii="Verdana" w:hAnsi="Verdana" w:cs="Zurich BT"/>
          <w:color w:val="000000"/>
          <w:sz w:val="24"/>
          <w:szCs w:val="24"/>
        </w:rPr>
        <w:t>Further to our submission to the Country Report Task Force, the Commission continues to be concerned at the</w:t>
      </w:r>
      <w:r w:rsidR="005C5B8B" w:rsidRPr="00105456">
        <w:rPr>
          <w:rFonts w:ascii="Verdana" w:hAnsi="Verdana" w:cs="Zurich BT"/>
          <w:color w:val="000000"/>
          <w:sz w:val="24"/>
          <w:szCs w:val="24"/>
        </w:rPr>
        <w:t xml:space="preserve"> unwillingness of the NI Executive and Assembly to engage</w:t>
      </w:r>
      <w:r w:rsidR="003D7908" w:rsidRPr="00105456">
        <w:rPr>
          <w:rFonts w:ascii="Verdana" w:hAnsi="Verdana" w:cs="Zurich BT"/>
          <w:color w:val="000000"/>
          <w:sz w:val="24"/>
          <w:szCs w:val="24"/>
        </w:rPr>
        <w:t xml:space="preserve"> fully</w:t>
      </w:r>
      <w:r w:rsidR="005C5B8B" w:rsidRPr="00105456">
        <w:rPr>
          <w:rFonts w:ascii="Verdana" w:hAnsi="Verdana" w:cs="Zurich BT"/>
          <w:color w:val="000000"/>
          <w:sz w:val="24"/>
          <w:szCs w:val="24"/>
        </w:rPr>
        <w:t xml:space="preserve"> in the international human rights system.</w:t>
      </w:r>
      <w:r w:rsidR="00DD6927" w:rsidRPr="00105456">
        <w:rPr>
          <w:rStyle w:val="EndnoteReference"/>
          <w:rFonts w:ascii="Verdana" w:hAnsi="Verdana" w:cs="Zurich BT"/>
          <w:color w:val="000000"/>
          <w:sz w:val="24"/>
          <w:szCs w:val="24"/>
        </w:rPr>
        <w:endnoteReference w:id="2"/>
      </w:r>
      <w:r w:rsidR="005C5B8B" w:rsidRPr="00105456">
        <w:rPr>
          <w:rFonts w:ascii="Verdana" w:hAnsi="Verdana" w:cs="Zurich BT"/>
          <w:color w:val="000000"/>
          <w:sz w:val="24"/>
          <w:szCs w:val="24"/>
        </w:rPr>
        <w:t xml:space="preserve"> </w:t>
      </w:r>
      <w:r w:rsidR="00041351" w:rsidRPr="00105456">
        <w:rPr>
          <w:rFonts w:ascii="Verdana" w:hAnsi="Verdana" w:cs="Zurich BT"/>
          <w:color w:val="000000"/>
          <w:sz w:val="24"/>
          <w:szCs w:val="24"/>
        </w:rPr>
        <w:t xml:space="preserve"> In March 2015 the Joint Committee for Human Rights </w:t>
      </w:r>
      <w:r w:rsidR="00C25AA2" w:rsidRPr="00105456">
        <w:rPr>
          <w:rFonts w:ascii="Verdana" w:hAnsi="Verdana" w:cs="Zurich BT"/>
          <w:color w:val="000000"/>
          <w:sz w:val="24"/>
          <w:szCs w:val="24"/>
        </w:rPr>
        <w:t xml:space="preserve">(JCHR) </w:t>
      </w:r>
      <w:r w:rsidR="00041351" w:rsidRPr="00105456">
        <w:rPr>
          <w:rFonts w:ascii="Verdana" w:hAnsi="Verdana" w:cs="Zurich BT"/>
          <w:color w:val="000000"/>
          <w:sz w:val="24"/>
          <w:szCs w:val="24"/>
        </w:rPr>
        <w:t>published a report on the execution of judgement</w:t>
      </w:r>
      <w:r w:rsidR="00C0175B" w:rsidRPr="00105456">
        <w:rPr>
          <w:rFonts w:ascii="Verdana" w:hAnsi="Verdana" w:cs="Zurich BT"/>
          <w:color w:val="000000"/>
          <w:sz w:val="24"/>
          <w:szCs w:val="24"/>
        </w:rPr>
        <w:t>s</w:t>
      </w:r>
      <w:r w:rsidR="00041351" w:rsidRPr="00105456">
        <w:rPr>
          <w:rFonts w:ascii="Verdana" w:hAnsi="Verdana" w:cs="Zurich BT"/>
          <w:color w:val="000000"/>
          <w:sz w:val="24"/>
          <w:szCs w:val="24"/>
        </w:rPr>
        <w:t xml:space="preserve"> of the European C</w:t>
      </w:r>
      <w:r w:rsidR="00DD6927" w:rsidRPr="00105456">
        <w:rPr>
          <w:rFonts w:ascii="Verdana" w:hAnsi="Verdana" w:cs="Zurich BT"/>
          <w:color w:val="000000"/>
          <w:sz w:val="24"/>
          <w:szCs w:val="24"/>
        </w:rPr>
        <w:t>ourt of Human Rights</w:t>
      </w:r>
      <w:r w:rsidR="0062328F" w:rsidRPr="00105456">
        <w:rPr>
          <w:rFonts w:ascii="Verdana" w:hAnsi="Verdana" w:cs="Zurich BT"/>
          <w:color w:val="000000"/>
          <w:sz w:val="24"/>
          <w:szCs w:val="24"/>
        </w:rPr>
        <w:t xml:space="preserve"> (ECt.HR)</w:t>
      </w:r>
      <w:r w:rsidR="00DD6927" w:rsidRPr="00105456">
        <w:rPr>
          <w:rFonts w:ascii="Verdana" w:hAnsi="Verdana" w:cs="Zurich BT"/>
          <w:color w:val="000000"/>
          <w:sz w:val="24"/>
          <w:szCs w:val="24"/>
        </w:rPr>
        <w:t xml:space="preserve"> in the UK.</w:t>
      </w:r>
      <w:r w:rsidR="00B70F15" w:rsidRPr="00105456">
        <w:rPr>
          <w:rStyle w:val="EndnoteReference"/>
          <w:rFonts w:ascii="Verdana" w:hAnsi="Verdana" w:cs="Zurich BT"/>
          <w:color w:val="000000"/>
          <w:sz w:val="24"/>
          <w:szCs w:val="24"/>
        </w:rPr>
        <w:endnoteReference w:id="3"/>
      </w:r>
      <w:r w:rsidR="00DD6927" w:rsidRPr="00105456">
        <w:rPr>
          <w:rFonts w:ascii="Verdana" w:hAnsi="Verdana" w:cs="Zurich BT"/>
          <w:color w:val="000000"/>
          <w:sz w:val="24"/>
          <w:szCs w:val="24"/>
        </w:rPr>
        <w:t xml:space="preserve"> </w:t>
      </w:r>
      <w:r w:rsidR="00B70F15" w:rsidRPr="00105456">
        <w:rPr>
          <w:rFonts w:ascii="Verdana" w:hAnsi="Verdana" w:cs="Zurich BT"/>
          <w:color w:val="000000"/>
          <w:sz w:val="24"/>
          <w:szCs w:val="24"/>
        </w:rPr>
        <w:t>The JCH</w:t>
      </w:r>
      <w:r w:rsidR="00C0175B" w:rsidRPr="00105456">
        <w:rPr>
          <w:rFonts w:ascii="Verdana" w:hAnsi="Verdana" w:cs="Zurich BT"/>
          <w:color w:val="000000"/>
          <w:sz w:val="24"/>
          <w:szCs w:val="24"/>
        </w:rPr>
        <w:t>R reported that they identified</w:t>
      </w:r>
      <w:r w:rsidR="00B70F15" w:rsidRPr="00105456">
        <w:rPr>
          <w:rFonts w:ascii="Verdana" w:hAnsi="Verdana" w:cs="Zurich BT"/>
          <w:color w:val="000000"/>
          <w:sz w:val="24"/>
          <w:szCs w:val="24"/>
        </w:rPr>
        <w:t xml:space="preserve">: </w:t>
      </w:r>
      <w:r w:rsidR="00B70F15" w:rsidRPr="00105456">
        <w:rPr>
          <w:rFonts w:ascii="Verdana" w:hAnsi="Verdana" w:cs="Zurich BT"/>
          <w:i/>
          <w:color w:val="000000"/>
          <w:sz w:val="24"/>
          <w:szCs w:val="24"/>
        </w:rPr>
        <w:t>“</w:t>
      </w:r>
      <w:r w:rsidR="00B70F15" w:rsidRPr="00105456">
        <w:rPr>
          <w:rFonts w:ascii="Verdana" w:hAnsi="Verdana" w:cs="MinionPro-Regular"/>
          <w:i/>
          <w:sz w:val="24"/>
          <w:szCs w:val="24"/>
        </w:rPr>
        <w:t xml:space="preserve">three cases in particular in which full implementation of a judgment against the UK </w:t>
      </w:r>
      <w:proofErr w:type="gramStart"/>
      <w:r w:rsidR="00B70F15" w:rsidRPr="00105456">
        <w:rPr>
          <w:rFonts w:ascii="Verdana" w:hAnsi="Verdana" w:cs="MinionPro-Regular"/>
          <w:i/>
          <w:sz w:val="24"/>
          <w:szCs w:val="24"/>
        </w:rPr>
        <w:t>has</w:t>
      </w:r>
      <w:proofErr w:type="gramEnd"/>
      <w:r w:rsidR="00B70F15" w:rsidRPr="00105456">
        <w:rPr>
          <w:rFonts w:ascii="Verdana" w:hAnsi="Verdana" w:cs="MinionPro-Regular"/>
          <w:i/>
          <w:sz w:val="24"/>
          <w:szCs w:val="24"/>
        </w:rPr>
        <w:t xml:space="preserve"> been delayed because the judgment has been implemented in the rest of the UK but not in </w:t>
      </w:r>
      <w:r w:rsidR="001A4EED" w:rsidRPr="00105456">
        <w:rPr>
          <w:rFonts w:ascii="Verdana" w:hAnsi="Verdana" w:cs="MinionPro-Regular"/>
          <w:i/>
          <w:sz w:val="24"/>
          <w:szCs w:val="24"/>
        </w:rPr>
        <w:t>NI</w:t>
      </w:r>
      <w:r w:rsidR="00B70F15" w:rsidRPr="00105456">
        <w:rPr>
          <w:rFonts w:ascii="Verdana" w:hAnsi="Verdana" w:cs="MinionPro-Regular"/>
          <w:i/>
          <w:sz w:val="24"/>
          <w:szCs w:val="24"/>
        </w:rPr>
        <w:t>”</w:t>
      </w:r>
      <w:r w:rsidR="00B70F15" w:rsidRPr="00105456">
        <w:rPr>
          <w:rFonts w:ascii="Verdana" w:hAnsi="Verdana" w:cs="MinionPro-Regular"/>
          <w:sz w:val="24"/>
          <w:szCs w:val="24"/>
        </w:rPr>
        <w:t>.</w:t>
      </w:r>
      <w:r w:rsidR="00B70F15" w:rsidRPr="00105456">
        <w:rPr>
          <w:rStyle w:val="EndnoteReference"/>
          <w:rFonts w:ascii="Verdana" w:hAnsi="Verdana" w:cs="MinionPro-Regular"/>
          <w:sz w:val="24"/>
          <w:szCs w:val="24"/>
        </w:rPr>
        <w:endnoteReference w:id="4"/>
      </w:r>
      <w:r w:rsidR="00B70F15" w:rsidRPr="00105456">
        <w:rPr>
          <w:rFonts w:ascii="Verdana" w:hAnsi="Verdana" w:cs="MinionPro-Regular"/>
          <w:sz w:val="24"/>
          <w:szCs w:val="24"/>
        </w:rPr>
        <w:t xml:space="preserve"> The JCHR recorded that sources in </w:t>
      </w:r>
      <w:r w:rsidR="001A4EED" w:rsidRPr="00105456">
        <w:rPr>
          <w:rFonts w:ascii="Verdana" w:hAnsi="Verdana" w:cs="MinionPro-Regular"/>
          <w:sz w:val="24"/>
          <w:szCs w:val="24"/>
        </w:rPr>
        <w:t>NI</w:t>
      </w:r>
      <w:r w:rsidR="00B70F15" w:rsidRPr="00105456">
        <w:rPr>
          <w:rFonts w:ascii="Verdana" w:hAnsi="Verdana" w:cs="MinionPro-Regular"/>
          <w:sz w:val="24"/>
          <w:szCs w:val="24"/>
        </w:rPr>
        <w:t xml:space="preserve"> informed them that </w:t>
      </w:r>
      <w:r w:rsidR="00B70F15" w:rsidRPr="00105456">
        <w:rPr>
          <w:rFonts w:ascii="Verdana" w:hAnsi="Verdana" w:cs="MinionPro-Regular"/>
          <w:i/>
          <w:sz w:val="24"/>
          <w:szCs w:val="24"/>
        </w:rPr>
        <w:t xml:space="preserve">“the delay </w:t>
      </w:r>
      <w:r w:rsidR="00B16933" w:rsidRPr="00105456">
        <w:rPr>
          <w:rFonts w:ascii="Verdana" w:hAnsi="Verdana" w:cs="MinionPro-Regular"/>
          <w:i/>
          <w:sz w:val="24"/>
          <w:szCs w:val="24"/>
        </w:rPr>
        <w:t>…</w:t>
      </w:r>
      <w:r w:rsidR="00B70F15" w:rsidRPr="00105456">
        <w:rPr>
          <w:rFonts w:ascii="Verdana" w:hAnsi="Verdana" w:cs="MinionPro-Regular"/>
          <w:i/>
          <w:sz w:val="24"/>
          <w:szCs w:val="24"/>
        </w:rPr>
        <w:t xml:space="preserve"> was symptomatic of a more general impasse in relation to human rights as a result of political deadlock within the governing institutions”.</w:t>
      </w:r>
      <w:r w:rsidR="00B70F15" w:rsidRPr="00105456">
        <w:rPr>
          <w:rStyle w:val="EndnoteReference"/>
          <w:rFonts w:ascii="Verdana" w:hAnsi="Verdana" w:cs="MinionPro-Regular"/>
          <w:i/>
          <w:sz w:val="24"/>
          <w:szCs w:val="24"/>
        </w:rPr>
        <w:endnoteReference w:id="5"/>
      </w:r>
      <w:r w:rsidR="00B70F15" w:rsidRPr="00105456">
        <w:rPr>
          <w:rFonts w:ascii="Verdana" w:hAnsi="Verdana" w:cs="MinionPro-Regular"/>
          <w:sz w:val="24"/>
          <w:szCs w:val="24"/>
        </w:rPr>
        <w:t xml:space="preserve"> </w:t>
      </w:r>
      <w:r w:rsidR="0062328F" w:rsidRPr="00105456">
        <w:rPr>
          <w:rFonts w:ascii="Verdana" w:hAnsi="Verdana" w:cs="MinionPro-Regular"/>
          <w:sz w:val="24"/>
          <w:szCs w:val="24"/>
        </w:rPr>
        <w:t xml:space="preserve">Whilst the Commission notes that since publication of this report progress has been made on implementation of the </w:t>
      </w:r>
      <w:proofErr w:type="spellStart"/>
      <w:r w:rsidR="0062328F" w:rsidRPr="00105456">
        <w:rPr>
          <w:rFonts w:ascii="Verdana" w:hAnsi="Verdana" w:cs="MinionPro-Regular"/>
          <w:sz w:val="24"/>
          <w:szCs w:val="24"/>
        </w:rPr>
        <w:t>ECtHR</w:t>
      </w:r>
      <w:proofErr w:type="spellEnd"/>
      <w:r w:rsidR="0062328F" w:rsidRPr="00105456">
        <w:rPr>
          <w:rFonts w:ascii="Verdana" w:hAnsi="Verdana" w:cs="MinionPro-Regular"/>
          <w:sz w:val="24"/>
          <w:szCs w:val="24"/>
        </w:rPr>
        <w:t xml:space="preserve"> judgements in NI the Commission agrees with t</w:t>
      </w:r>
      <w:r w:rsidR="00B70F15" w:rsidRPr="00105456">
        <w:rPr>
          <w:rFonts w:ascii="Verdana" w:hAnsi="Verdana" w:cs="MinionPro-Regular"/>
          <w:sz w:val="24"/>
          <w:szCs w:val="24"/>
        </w:rPr>
        <w:t>he JCHR f</w:t>
      </w:r>
      <w:r w:rsidR="0062328F" w:rsidRPr="00105456">
        <w:rPr>
          <w:rFonts w:ascii="Verdana" w:hAnsi="Verdana" w:cs="MinionPro-Regular"/>
          <w:sz w:val="24"/>
          <w:szCs w:val="24"/>
        </w:rPr>
        <w:t>inding</w:t>
      </w:r>
      <w:r w:rsidR="00B70F15" w:rsidRPr="00105456">
        <w:rPr>
          <w:rFonts w:ascii="Verdana" w:hAnsi="Verdana" w:cs="MinionPro-Regular"/>
          <w:sz w:val="24"/>
          <w:szCs w:val="24"/>
        </w:rPr>
        <w:t xml:space="preserve"> that</w:t>
      </w:r>
      <w:r w:rsidR="00B70F15" w:rsidRPr="00105456">
        <w:rPr>
          <w:rFonts w:ascii="Verdana" w:hAnsi="Verdana" w:cs="Zurich BT"/>
          <w:color w:val="000000"/>
          <w:sz w:val="24"/>
          <w:szCs w:val="24"/>
        </w:rPr>
        <w:t xml:space="preserve"> </w:t>
      </w:r>
      <w:r w:rsidR="00B70F15" w:rsidRPr="00105456">
        <w:rPr>
          <w:rFonts w:ascii="Verdana" w:hAnsi="Verdana" w:cs="Zurich BT"/>
          <w:i/>
          <w:color w:val="000000"/>
          <w:sz w:val="24"/>
          <w:szCs w:val="24"/>
        </w:rPr>
        <w:t>“</w:t>
      </w:r>
      <w:r w:rsidR="00B70F15" w:rsidRPr="00105456">
        <w:rPr>
          <w:rFonts w:ascii="Verdana" w:hAnsi="Verdana" w:cs="MinionPro-Bold"/>
          <w:bCs/>
          <w:i/>
          <w:sz w:val="24"/>
          <w:szCs w:val="24"/>
        </w:rPr>
        <w:t xml:space="preserve">there is a systemic problem with implementation in </w:t>
      </w:r>
      <w:r w:rsidR="001A4EED" w:rsidRPr="00105456">
        <w:rPr>
          <w:rFonts w:ascii="Verdana" w:hAnsi="Verdana" w:cs="MinionPro-Bold"/>
          <w:bCs/>
          <w:i/>
          <w:sz w:val="24"/>
          <w:szCs w:val="24"/>
        </w:rPr>
        <w:t>NI</w:t>
      </w:r>
      <w:r w:rsidR="00B70F15" w:rsidRPr="00105456">
        <w:rPr>
          <w:rFonts w:ascii="Verdana" w:hAnsi="Verdana" w:cs="MinionPro-Bold"/>
          <w:bCs/>
          <w:i/>
          <w:sz w:val="24"/>
          <w:szCs w:val="24"/>
        </w:rPr>
        <w:t xml:space="preserve"> that urgently needs addressing”.</w:t>
      </w:r>
      <w:r w:rsidR="00B70F15" w:rsidRPr="00105456">
        <w:rPr>
          <w:rStyle w:val="EndnoteReference"/>
          <w:rFonts w:ascii="Verdana" w:hAnsi="Verdana" w:cs="MinionPro-Bold"/>
          <w:bCs/>
          <w:i/>
          <w:sz w:val="24"/>
          <w:szCs w:val="24"/>
        </w:rPr>
        <w:endnoteReference w:id="6"/>
      </w:r>
      <w:r w:rsidR="00B70F15" w:rsidRPr="00105456">
        <w:rPr>
          <w:rFonts w:ascii="Verdana" w:hAnsi="Verdana" w:cs="MinionPro-Bold"/>
          <w:bCs/>
          <w:sz w:val="24"/>
          <w:szCs w:val="24"/>
        </w:rPr>
        <w:t xml:space="preserve"> </w:t>
      </w:r>
    </w:p>
    <w:p w:rsidR="00B70F15" w:rsidRPr="00105456" w:rsidRDefault="00B70F15" w:rsidP="00105456">
      <w:pPr>
        <w:pStyle w:val="NoSpacing"/>
        <w:rPr>
          <w:rFonts w:ascii="Verdana" w:hAnsi="Verdana" w:cs="MinionPro-Bold"/>
          <w:bCs/>
          <w:sz w:val="24"/>
          <w:szCs w:val="24"/>
        </w:rPr>
      </w:pPr>
    </w:p>
    <w:p w:rsidR="00B70F15" w:rsidRPr="00105456" w:rsidRDefault="00105456" w:rsidP="00105456">
      <w:pPr>
        <w:pStyle w:val="NoSpacing"/>
        <w:rPr>
          <w:rFonts w:ascii="Verdana" w:hAnsi="Verdana" w:cs="MinionPro-Bold"/>
          <w:bCs/>
          <w:sz w:val="24"/>
          <w:szCs w:val="24"/>
        </w:rPr>
      </w:pPr>
      <w:r>
        <w:rPr>
          <w:rFonts w:ascii="Verdana" w:hAnsi="Verdana" w:cs="MinionPro-Bold"/>
          <w:bCs/>
          <w:sz w:val="24"/>
          <w:szCs w:val="24"/>
        </w:rPr>
        <w:t xml:space="preserve">2.3 </w:t>
      </w:r>
      <w:r w:rsidR="00B70F15" w:rsidRPr="00105456">
        <w:rPr>
          <w:rFonts w:ascii="Verdana" w:hAnsi="Verdana" w:cs="MinionPro-Bold"/>
          <w:bCs/>
          <w:sz w:val="24"/>
          <w:szCs w:val="24"/>
        </w:rPr>
        <w:t>The findings of the JCHR are reinforced by the failure of the NI Exe</w:t>
      </w:r>
      <w:r w:rsidR="00DD6927" w:rsidRPr="00105456">
        <w:rPr>
          <w:rFonts w:ascii="Verdana" w:hAnsi="Verdana" w:cs="MinionPro-Bold"/>
          <w:bCs/>
          <w:sz w:val="24"/>
          <w:szCs w:val="24"/>
        </w:rPr>
        <w:t>cutive to contribute to the UK G</w:t>
      </w:r>
      <w:r w:rsidR="00B70F15" w:rsidRPr="00105456">
        <w:rPr>
          <w:rFonts w:ascii="Verdana" w:hAnsi="Verdana" w:cs="MinionPro-Bold"/>
          <w:bCs/>
          <w:sz w:val="24"/>
          <w:szCs w:val="24"/>
        </w:rPr>
        <w:t xml:space="preserve">overnment’s Seventh Periodic Report on compliance with the ICCPR. </w:t>
      </w:r>
      <w:r w:rsidR="00F46FBD" w:rsidRPr="00105456">
        <w:rPr>
          <w:rFonts w:ascii="Verdana" w:hAnsi="Verdana" w:cs="MinionPro-Bold"/>
          <w:bCs/>
          <w:sz w:val="24"/>
          <w:szCs w:val="24"/>
        </w:rPr>
        <w:t xml:space="preserve">A number of </w:t>
      </w:r>
      <w:r w:rsidR="00B70F15" w:rsidRPr="00105456">
        <w:rPr>
          <w:rFonts w:ascii="Verdana" w:hAnsi="Verdana" w:cs="MinionPro-Bold"/>
          <w:bCs/>
          <w:sz w:val="24"/>
          <w:szCs w:val="24"/>
        </w:rPr>
        <w:t xml:space="preserve">examples of the unwillingness of the NI Executive and Assembly to enact measures to ensure compliance with international human rights law and with recommendations of international human rights bodies are set out in this report to the Committee.  </w:t>
      </w:r>
    </w:p>
    <w:p w:rsidR="00B70F15" w:rsidRPr="00105456" w:rsidRDefault="00B70F15" w:rsidP="00105456">
      <w:pPr>
        <w:pStyle w:val="NoSpacing"/>
        <w:rPr>
          <w:rFonts w:ascii="Verdana" w:hAnsi="Verdana" w:cs="Zurich BT"/>
          <w:color w:val="000000"/>
          <w:sz w:val="24"/>
          <w:szCs w:val="24"/>
        </w:rPr>
      </w:pPr>
    </w:p>
    <w:p w:rsidR="00CE0D00" w:rsidRDefault="00DD3BC5" w:rsidP="00105456">
      <w:pPr>
        <w:pStyle w:val="NoSpacing"/>
        <w:rPr>
          <w:rFonts w:ascii="Verdana" w:hAnsi="Verdana"/>
          <w:b/>
          <w:sz w:val="24"/>
          <w:szCs w:val="24"/>
        </w:rPr>
      </w:pPr>
      <w:r w:rsidRPr="00105456">
        <w:rPr>
          <w:rFonts w:ascii="Verdana" w:hAnsi="Verdana"/>
          <w:b/>
          <w:sz w:val="24"/>
          <w:szCs w:val="24"/>
        </w:rPr>
        <w:t xml:space="preserve">Noting that the UK Government is required to guarantee that the laws of their provincial administrations conform </w:t>
      </w:r>
      <w:proofErr w:type="gramStart"/>
      <w:r w:rsidRPr="00105456">
        <w:rPr>
          <w:rFonts w:ascii="Verdana" w:hAnsi="Verdana"/>
          <w:b/>
          <w:sz w:val="24"/>
          <w:szCs w:val="24"/>
        </w:rPr>
        <w:t>with</w:t>
      </w:r>
      <w:proofErr w:type="gramEnd"/>
      <w:r w:rsidRPr="00105456">
        <w:rPr>
          <w:rFonts w:ascii="Verdana" w:hAnsi="Verdana"/>
          <w:b/>
          <w:sz w:val="24"/>
          <w:szCs w:val="24"/>
        </w:rPr>
        <w:t xml:space="preserve"> the Covenant, t</w:t>
      </w:r>
      <w:r w:rsidR="00B70F15" w:rsidRPr="00105456">
        <w:rPr>
          <w:rFonts w:ascii="Verdana" w:hAnsi="Verdana"/>
          <w:b/>
          <w:sz w:val="24"/>
          <w:szCs w:val="24"/>
        </w:rPr>
        <w:t>he Committee may wish to recommend that the State Party consider what measure should be taken to ensure the NI Executive and Assembly act in a manner compatible with international human rights law.</w:t>
      </w:r>
      <w:r w:rsidRPr="00105456">
        <w:rPr>
          <w:rStyle w:val="EndnoteReference"/>
          <w:rFonts w:ascii="Verdana" w:hAnsi="Verdana"/>
          <w:b/>
          <w:sz w:val="24"/>
          <w:szCs w:val="24"/>
        </w:rPr>
        <w:endnoteReference w:id="7"/>
      </w:r>
      <w:r w:rsidR="00B70F15" w:rsidRPr="00105456">
        <w:rPr>
          <w:rFonts w:ascii="Verdana" w:hAnsi="Verdana"/>
          <w:b/>
          <w:sz w:val="24"/>
          <w:szCs w:val="24"/>
        </w:rPr>
        <w:t xml:space="preserve"> Furthermore the State Party should consider what measures can be taken </w:t>
      </w:r>
      <w:r w:rsidR="00DA6C3F" w:rsidRPr="00105456">
        <w:rPr>
          <w:rFonts w:ascii="Verdana" w:hAnsi="Verdana"/>
          <w:b/>
          <w:sz w:val="24"/>
          <w:szCs w:val="24"/>
        </w:rPr>
        <w:t>to advance the process for a separate Bill of Rights for NI.</w:t>
      </w:r>
    </w:p>
    <w:p w:rsidR="00B70F15" w:rsidRPr="00105456" w:rsidRDefault="00B70F15" w:rsidP="00105456">
      <w:pPr>
        <w:pStyle w:val="NoSpacing"/>
        <w:rPr>
          <w:rFonts w:ascii="Verdana" w:hAnsi="Verdana"/>
          <w:b/>
          <w:sz w:val="24"/>
          <w:szCs w:val="24"/>
        </w:rPr>
      </w:pPr>
    </w:p>
    <w:p w:rsidR="009B622E" w:rsidRDefault="00105456" w:rsidP="00105456">
      <w:pPr>
        <w:pStyle w:val="NoSpacing"/>
        <w:rPr>
          <w:rFonts w:ascii="Verdana" w:hAnsi="Verdana"/>
          <w:sz w:val="24"/>
          <w:szCs w:val="24"/>
        </w:rPr>
      </w:pPr>
      <w:r>
        <w:rPr>
          <w:rFonts w:ascii="Verdana" w:hAnsi="Verdana"/>
          <w:sz w:val="24"/>
          <w:szCs w:val="24"/>
        </w:rPr>
        <w:t xml:space="preserve">2.4 </w:t>
      </w:r>
      <w:r w:rsidR="009B622E" w:rsidRPr="00105456">
        <w:rPr>
          <w:rFonts w:ascii="Verdana" w:hAnsi="Verdana"/>
          <w:sz w:val="24"/>
          <w:szCs w:val="24"/>
        </w:rPr>
        <w:t xml:space="preserve">The Commission </w:t>
      </w:r>
      <w:r w:rsidR="00CF2149">
        <w:rPr>
          <w:rFonts w:ascii="Verdana" w:hAnsi="Verdana"/>
          <w:sz w:val="24"/>
          <w:szCs w:val="24"/>
        </w:rPr>
        <w:t>will comment</w:t>
      </w:r>
      <w:r w:rsidR="009B622E" w:rsidRPr="00105456">
        <w:rPr>
          <w:rFonts w:ascii="Verdana" w:hAnsi="Verdana"/>
          <w:sz w:val="24"/>
          <w:szCs w:val="24"/>
        </w:rPr>
        <w:t xml:space="preserve"> on plans to replace the Human Rights Act 1998 by way of a joint </w:t>
      </w:r>
      <w:r w:rsidR="007D2BED">
        <w:rPr>
          <w:rFonts w:ascii="Verdana" w:hAnsi="Verdana"/>
          <w:sz w:val="24"/>
          <w:szCs w:val="24"/>
        </w:rPr>
        <w:t>letter to the Committee</w:t>
      </w:r>
      <w:r w:rsidR="009B622E" w:rsidRPr="00105456">
        <w:rPr>
          <w:rFonts w:ascii="Verdana" w:hAnsi="Verdana"/>
          <w:sz w:val="24"/>
          <w:szCs w:val="24"/>
        </w:rPr>
        <w:t xml:space="preserve">, which records the views of UK national human rights institutions </w:t>
      </w:r>
      <w:r w:rsidR="004E6B73" w:rsidRPr="00105456">
        <w:rPr>
          <w:rFonts w:ascii="Verdana" w:hAnsi="Verdana"/>
          <w:sz w:val="24"/>
          <w:szCs w:val="24"/>
        </w:rPr>
        <w:t>that t</w:t>
      </w:r>
      <w:r w:rsidR="00FC436A">
        <w:rPr>
          <w:rFonts w:ascii="Verdana" w:hAnsi="Verdana"/>
          <w:sz w:val="24"/>
          <w:szCs w:val="24"/>
        </w:rPr>
        <w:t>he 1998 Act is well crafted. The 1998 Act incorporated the European Convention on Human Rights into NI law in furtherance of a commitment within the Belfast (Good Friday) Agreement.</w:t>
      </w:r>
      <w:r w:rsidR="00FC436A">
        <w:rPr>
          <w:rStyle w:val="EndnoteReference"/>
          <w:rFonts w:ascii="Verdana" w:hAnsi="Verdana"/>
          <w:sz w:val="24"/>
          <w:szCs w:val="24"/>
        </w:rPr>
        <w:endnoteReference w:id="8"/>
      </w:r>
      <w:r w:rsidR="00FC436A">
        <w:rPr>
          <w:rFonts w:ascii="Verdana" w:hAnsi="Verdana"/>
          <w:sz w:val="24"/>
          <w:szCs w:val="24"/>
        </w:rPr>
        <w:t xml:space="preserve">  </w:t>
      </w:r>
    </w:p>
    <w:p w:rsidR="00105456" w:rsidRPr="00105456" w:rsidRDefault="00105456" w:rsidP="00105456">
      <w:pPr>
        <w:pStyle w:val="NoSpacing"/>
        <w:rPr>
          <w:rFonts w:ascii="Verdana" w:hAnsi="Verdana"/>
          <w:sz w:val="24"/>
          <w:szCs w:val="24"/>
        </w:rPr>
      </w:pPr>
    </w:p>
    <w:p w:rsidR="00B70F15" w:rsidRPr="00105456" w:rsidRDefault="00105456" w:rsidP="00105456">
      <w:pPr>
        <w:pStyle w:val="NoSpacing"/>
        <w:rPr>
          <w:rFonts w:ascii="Verdana" w:hAnsi="Verdana"/>
          <w:sz w:val="24"/>
          <w:szCs w:val="24"/>
        </w:rPr>
      </w:pPr>
      <w:r>
        <w:rPr>
          <w:rFonts w:ascii="Verdana" w:hAnsi="Verdana"/>
          <w:sz w:val="24"/>
          <w:szCs w:val="24"/>
        </w:rPr>
        <w:t xml:space="preserve">2.5 </w:t>
      </w:r>
      <w:r w:rsidR="00B70F15" w:rsidRPr="00105456">
        <w:rPr>
          <w:rFonts w:ascii="Verdana" w:hAnsi="Verdana"/>
          <w:sz w:val="24"/>
          <w:szCs w:val="24"/>
        </w:rPr>
        <w:t>The NI (Miscellaneous Provisions) Act 2014 amended the NI Act 1998 to provide that the functions of the Secretary of State for NI are transferable to the competency of the NI Assembly. The 1998 Act as amended does not specify the institution to which the responsibilities of the Secretary of State</w:t>
      </w:r>
      <w:r w:rsidR="00D329F0" w:rsidRPr="00105456">
        <w:rPr>
          <w:rFonts w:ascii="Verdana" w:hAnsi="Verdana"/>
          <w:sz w:val="24"/>
          <w:szCs w:val="24"/>
        </w:rPr>
        <w:t xml:space="preserve"> for NI </w:t>
      </w:r>
      <w:r w:rsidR="00F46FBD" w:rsidRPr="00105456">
        <w:rPr>
          <w:rFonts w:ascii="Verdana" w:hAnsi="Verdana"/>
          <w:sz w:val="24"/>
          <w:szCs w:val="24"/>
        </w:rPr>
        <w:t xml:space="preserve">may </w:t>
      </w:r>
      <w:r w:rsidR="00D329F0" w:rsidRPr="00105456">
        <w:rPr>
          <w:rFonts w:ascii="Verdana" w:hAnsi="Verdana"/>
          <w:sz w:val="24"/>
          <w:szCs w:val="24"/>
        </w:rPr>
        <w:t>be transferred. T</w:t>
      </w:r>
      <w:r w:rsidR="00B70F15" w:rsidRPr="00105456">
        <w:rPr>
          <w:rFonts w:ascii="Verdana" w:hAnsi="Verdana"/>
          <w:sz w:val="24"/>
          <w:szCs w:val="24"/>
        </w:rPr>
        <w:t xml:space="preserve">he Commission’s </w:t>
      </w:r>
      <w:r w:rsidR="00D329F0" w:rsidRPr="00105456">
        <w:rPr>
          <w:rFonts w:ascii="Verdana" w:hAnsi="Verdana"/>
          <w:sz w:val="24"/>
          <w:szCs w:val="24"/>
        </w:rPr>
        <w:t>considered</w:t>
      </w:r>
      <w:r w:rsidR="00B70F15" w:rsidRPr="00105456">
        <w:rPr>
          <w:rFonts w:ascii="Verdana" w:hAnsi="Verdana"/>
          <w:sz w:val="24"/>
          <w:szCs w:val="24"/>
        </w:rPr>
        <w:t xml:space="preserve"> view is that any transfer of the Secretary of State for NI’s responsibilities should be </w:t>
      </w:r>
      <w:r w:rsidR="003B182C" w:rsidRPr="003B182C">
        <w:rPr>
          <w:rFonts w:ascii="Verdana" w:hAnsi="Verdana"/>
          <w:sz w:val="24"/>
          <w:szCs w:val="24"/>
        </w:rPr>
        <w:t xml:space="preserve">in line with the Belgrade Principles </w:t>
      </w:r>
      <w:r w:rsidR="003B182C">
        <w:rPr>
          <w:rFonts w:ascii="Verdana" w:hAnsi="Verdana"/>
          <w:sz w:val="24"/>
          <w:szCs w:val="24"/>
        </w:rPr>
        <w:t xml:space="preserve">and therefore </w:t>
      </w:r>
      <w:r w:rsidR="00B70F15" w:rsidRPr="00105456">
        <w:rPr>
          <w:rFonts w:ascii="Verdana" w:hAnsi="Verdana"/>
          <w:sz w:val="24"/>
          <w:szCs w:val="24"/>
        </w:rPr>
        <w:t>to the NI Assembly</w:t>
      </w:r>
      <w:r w:rsidR="00F46FBD" w:rsidRPr="00105456">
        <w:rPr>
          <w:rFonts w:ascii="Verdana" w:hAnsi="Verdana"/>
          <w:sz w:val="24"/>
          <w:szCs w:val="24"/>
        </w:rPr>
        <w:t xml:space="preserve"> itself, rather than a Department of the NI Executive</w:t>
      </w:r>
      <w:r w:rsidR="00B70F15" w:rsidRPr="00105456">
        <w:rPr>
          <w:rFonts w:ascii="Verdana" w:hAnsi="Verdana"/>
          <w:sz w:val="24"/>
          <w:szCs w:val="24"/>
        </w:rPr>
        <w:t>.</w:t>
      </w:r>
      <w:r w:rsidR="00B70F15" w:rsidRPr="00105456">
        <w:rPr>
          <w:rStyle w:val="EndnoteReference"/>
          <w:rFonts w:ascii="Verdana" w:hAnsi="Verdana" w:cs="Zurich BT"/>
          <w:color w:val="000000"/>
          <w:sz w:val="24"/>
          <w:szCs w:val="24"/>
        </w:rPr>
        <w:endnoteReference w:id="9"/>
      </w:r>
    </w:p>
    <w:p w:rsidR="00CE0D00" w:rsidRPr="00105456" w:rsidRDefault="00CE0D00" w:rsidP="00105456">
      <w:pPr>
        <w:pStyle w:val="NoSpacing"/>
        <w:rPr>
          <w:rFonts w:ascii="Verdana" w:hAnsi="Verdana"/>
          <w:sz w:val="24"/>
          <w:szCs w:val="24"/>
        </w:rPr>
      </w:pPr>
    </w:p>
    <w:p w:rsidR="00B70F15" w:rsidRPr="00105456" w:rsidRDefault="00105456" w:rsidP="00105456">
      <w:pPr>
        <w:pStyle w:val="NoSpacing"/>
        <w:rPr>
          <w:rFonts w:ascii="Verdana" w:hAnsi="Verdana"/>
          <w:sz w:val="24"/>
          <w:szCs w:val="24"/>
        </w:rPr>
      </w:pPr>
      <w:r>
        <w:rPr>
          <w:rFonts w:ascii="Verdana" w:hAnsi="Verdana"/>
          <w:sz w:val="24"/>
          <w:szCs w:val="24"/>
        </w:rPr>
        <w:t xml:space="preserve">2.6 </w:t>
      </w:r>
      <w:r w:rsidR="00B70F15" w:rsidRPr="00105456">
        <w:rPr>
          <w:rFonts w:ascii="Verdana" w:hAnsi="Verdana"/>
          <w:sz w:val="24"/>
          <w:szCs w:val="24"/>
        </w:rPr>
        <w:t>In the current financial year the Commission’s cash budget is set at £1,174,000. The budget is a 9.4% reduction on the previous financial year. In March 2015 the Chancellor of the Exchequer published the 2015 Budget which will reduce Departmental budgets across the UK public sector going forward.</w:t>
      </w:r>
      <w:r w:rsidR="00B70F15" w:rsidRPr="00105456">
        <w:rPr>
          <w:rStyle w:val="EndnoteReference"/>
          <w:rFonts w:ascii="Verdana" w:hAnsi="Verdana"/>
          <w:sz w:val="24"/>
          <w:szCs w:val="24"/>
        </w:rPr>
        <w:endnoteReference w:id="10"/>
      </w:r>
      <w:r w:rsidR="00B70F15" w:rsidRPr="00105456">
        <w:rPr>
          <w:rFonts w:ascii="Verdana" w:hAnsi="Verdana"/>
          <w:sz w:val="24"/>
          <w:szCs w:val="24"/>
        </w:rPr>
        <w:t xml:space="preserve"> At the time of writing the Commission is not aware of the extent of </w:t>
      </w:r>
      <w:r w:rsidR="00C0175B" w:rsidRPr="00105456">
        <w:rPr>
          <w:rFonts w:ascii="Verdana" w:hAnsi="Verdana"/>
          <w:sz w:val="24"/>
          <w:szCs w:val="24"/>
        </w:rPr>
        <w:t xml:space="preserve">any </w:t>
      </w:r>
      <w:r w:rsidR="00B70F15" w:rsidRPr="00105456">
        <w:rPr>
          <w:rFonts w:ascii="Verdana" w:hAnsi="Verdana"/>
          <w:sz w:val="24"/>
          <w:szCs w:val="24"/>
        </w:rPr>
        <w:t>further reduction it will be required to meet in the financial year 2016/17</w:t>
      </w:r>
      <w:r w:rsidR="001A4EED" w:rsidRPr="00105456">
        <w:rPr>
          <w:rFonts w:ascii="Verdana" w:hAnsi="Verdana"/>
          <w:sz w:val="24"/>
          <w:szCs w:val="24"/>
        </w:rPr>
        <w:t xml:space="preserve">. </w:t>
      </w:r>
      <w:r w:rsidR="00F90584" w:rsidRPr="00105456">
        <w:rPr>
          <w:rFonts w:ascii="Verdana" w:hAnsi="Verdana"/>
          <w:sz w:val="24"/>
          <w:szCs w:val="24"/>
        </w:rPr>
        <w:t xml:space="preserve">The Commission advises that it will shortly be applying for the renewal of its accreditation as an A status national human rights institution. </w:t>
      </w:r>
    </w:p>
    <w:p w:rsidR="00CE0D00" w:rsidRPr="00105456" w:rsidRDefault="00CE0D00" w:rsidP="00105456">
      <w:pPr>
        <w:pStyle w:val="NoSpacing"/>
        <w:rPr>
          <w:rFonts w:ascii="Verdana" w:hAnsi="Verdana"/>
          <w:sz w:val="24"/>
          <w:szCs w:val="24"/>
        </w:rPr>
      </w:pPr>
    </w:p>
    <w:p w:rsidR="00B70F15" w:rsidRPr="00105456" w:rsidRDefault="00B70F15" w:rsidP="00105456">
      <w:pPr>
        <w:pStyle w:val="NoSpacing"/>
        <w:rPr>
          <w:rFonts w:ascii="Verdana" w:hAnsi="Verdana"/>
          <w:b/>
          <w:sz w:val="24"/>
          <w:szCs w:val="24"/>
        </w:rPr>
      </w:pPr>
      <w:r w:rsidRPr="00105456">
        <w:rPr>
          <w:rFonts w:ascii="Verdana" w:hAnsi="Verdana"/>
          <w:b/>
          <w:sz w:val="24"/>
          <w:szCs w:val="24"/>
        </w:rPr>
        <w:t xml:space="preserve">The Committee may wish to recommend that the State Party ensure that any future transfer of the functions of the Secretary of State for </w:t>
      </w:r>
      <w:r w:rsidR="001A4EED" w:rsidRPr="00105456">
        <w:rPr>
          <w:rFonts w:ascii="Verdana" w:hAnsi="Verdana"/>
          <w:b/>
          <w:sz w:val="24"/>
          <w:szCs w:val="24"/>
        </w:rPr>
        <w:t>NI</w:t>
      </w:r>
      <w:r w:rsidRPr="00105456">
        <w:rPr>
          <w:rFonts w:ascii="Verdana" w:hAnsi="Verdana"/>
          <w:b/>
          <w:sz w:val="24"/>
          <w:szCs w:val="24"/>
        </w:rPr>
        <w:t xml:space="preserve"> relating to the Commission </w:t>
      </w:r>
      <w:proofErr w:type="gramStart"/>
      <w:r w:rsidRPr="00105456">
        <w:rPr>
          <w:rFonts w:ascii="Verdana" w:hAnsi="Verdana"/>
          <w:b/>
          <w:sz w:val="24"/>
          <w:szCs w:val="24"/>
        </w:rPr>
        <w:t>be</w:t>
      </w:r>
      <w:proofErr w:type="gramEnd"/>
      <w:r w:rsidRPr="00105456">
        <w:rPr>
          <w:rFonts w:ascii="Verdana" w:hAnsi="Verdana"/>
          <w:b/>
          <w:sz w:val="24"/>
          <w:szCs w:val="24"/>
        </w:rPr>
        <w:t xml:space="preserve"> to the </w:t>
      </w:r>
      <w:r w:rsidR="001A4EED" w:rsidRPr="00105456">
        <w:rPr>
          <w:rFonts w:ascii="Verdana" w:hAnsi="Verdana"/>
          <w:b/>
          <w:sz w:val="24"/>
          <w:szCs w:val="24"/>
        </w:rPr>
        <w:t>NI</w:t>
      </w:r>
      <w:r w:rsidRPr="00105456">
        <w:rPr>
          <w:rFonts w:ascii="Verdana" w:hAnsi="Verdana"/>
          <w:b/>
          <w:sz w:val="24"/>
          <w:szCs w:val="24"/>
        </w:rPr>
        <w:t xml:space="preserve"> Assembly and that it be in full conformity </w:t>
      </w:r>
      <w:r w:rsidRPr="00105456">
        <w:rPr>
          <w:rFonts w:ascii="Verdana" w:hAnsi="Verdana" w:cs="Times New Roman"/>
          <w:b/>
          <w:bCs/>
          <w:sz w:val="24"/>
          <w:szCs w:val="24"/>
        </w:rPr>
        <w:t>with the Paris Principles</w:t>
      </w:r>
      <w:r w:rsidR="0062328F" w:rsidRPr="00105456">
        <w:rPr>
          <w:rStyle w:val="EndnoteReference"/>
          <w:rFonts w:ascii="Verdana" w:hAnsi="Verdana" w:cs="Times New Roman"/>
          <w:b/>
          <w:bCs/>
          <w:sz w:val="24"/>
          <w:szCs w:val="24"/>
        </w:rPr>
        <w:endnoteReference w:id="11"/>
      </w:r>
      <w:r w:rsidRPr="00105456">
        <w:rPr>
          <w:rFonts w:ascii="Verdana" w:hAnsi="Verdana" w:cs="Times New Roman"/>
          <w:b/>
          <w:bCs/>
          <w:sz w:val="24"/>
          <w:szCs w:val="24"/>
        </w:rPr>
        <w:t xml:space="preserve"> </w:t>
      </w:r>
      <w:r w:rsidR="0062328F" w:rsidRPr="00105456">
        <w:rPr>
          <w:rFonts w:ascii="Verdana" w:hAnsi="Verdana" w:cs="Times New Roman"/>
          <w:b/>
          <w:bCs/>
          <w:sz w:val="24"/>
          <w:szCs w:val="24"/>
        </w:rPr>
        <w:t xml:space="preserve">and Belgrade Principles. </w:t>
      </w:r>
      <w:r w:rsidRPr="00105456">
        <w:rPr>
          <w:rFonts w:ascii="Verdana" w:hAnsi="Verdana"/>
          <w:b/>
          <w:sz w:val="24"/>
          <w:szCs w:val="24"/>
        </w:rPr>
        <w:t>Furthermore the State Party should ensure the Commission has a stable and sufficient budget in order to discharge its functions independently and effectively.</w:t>
      </w:r>
    </w:p>
    <w:p w:rsidR="00B70F15" w:rsidRPr="00105456" w:rsidRDefault="00B70F15" w:rsidP="00105456">
      <w:pPr>
        <w:pStyle w:val="NoSpacing"/>
        <w:rPr>
          <w:rFonts w:ascii="Verdana" w:hAnsi="Verdana"/>
          <w:b/>
          <w:sz w:val="24"/>
          <w:szCs w:val="24"/>
        </w:rPr>
      </w:pPr>
    </w:p>
    <w:p w:rsidR="00B70F15" w:rsidRDefault="00B70F15" w:rsidP="00105456">
      <w:pPr>
        <w:pStyle w:val="NoSpacing"/>
        <w:rPr>
          <w:rFonts w:ascii="Verdana" w:hAnsi="Verdana"/>
          <w:b/>
          <w:sz w:val="24"/>
          <w:szCs w:val="24"/>
          <w:u w:val="single"/>
        </w:rPr>
      </w:pPr>
      <w:r w:rsidRPr="00105456">
        <w:rPr>
          <w:rFonts w:ascii="Verdana" w:hAnsi="Verdana"/>
          <w:b/>
          <w:sz w:val="24"/>
          <w:szCs w:val="24"/>
          <w:u w:val="single"/>
        </w:rPr>
        <w:t>Non-discrimination, equality between men and women, prohibition of advocacy of national, racial or religious hatred and minority rights (arts. 2, 3, 20, 26 and 27)</w:t>
      </w:r>
    </w:p>
    <w:p w:rsidR="00CE0D00" w:rsidRPr="00105456" w:rsidRDefault="00CE0D00" w:rsidP="00105456">
      <w:pPr>
        <w:pStyle w:val="NoSpacing"/>
        <w:rPr>
          <w:rFonts w:ascii="Verdana" w:hAnsi="Verdana"/>
          <w:b/>
          <w:sz w:val="24"/>
          <w:szCs w:val="24"/>
          <w:u w:val="single"/>
        </w:rPr>
      </w:pPr>
    </w:p>
    <w:p w:rsidR="00ED0A6F" w:rsidRDefault="00ED0A6F" w:rsidP="00105456">
      <w:pPr>
        <w:pStyle w:val="NoSpacing"/>
        <w:rPr>
          <w:rFonts w:ascii="Verdana" w:hAnsi="Verdana"/>
          <w:i/>
          <w:sz w:val="24"/>
          <w:szCs w:val="24"/>
        </w:rPr>
      </w:pPr>
      <w:r w:rsidRPr="00105456">
        <w:rPr>
          <w:rFonts w:ascii="Verdana" w:hAnsi="Verdana"/>
          <w:i/>
          <w:sz w:val="24"/>
          <w:szCs w:val="24"/>
        </w:rPr>
        <w:t xml:space="preserve">Racist Hate Crime (Paragraph 5 List of Issues) </w:t>
      </w:r>
    </w:p>
    <w:p w:rsidR="00CE0D00" w:rsidRPr="00105456" w:rsidRDefault="00CE0D00" w:rsidP="00105456">
      <w:pPr>
        <w:pStyle w:val="NoSpacing"/>
        <w:rPr>
          <w:rFonts w:ascii="Verdana" w:hAnsi="Verdana"/>
          <w:i/>
          <w:sz w:val="24"/>
          <w:szCs w:val="24"/>
        </w:rPr>
      </w:pPr>
    </w:p>
    <w:p w:rsidR="00ED0A6F" w:rsidRPr="00105456" w:rsidRDefault="00105456" w:rsidP="00105456">
      <w:pPr>
        <w:pStyle w:val="NoSpacing"/>
        <w:rPr>
          <w:rFonts w:ascii="Verdana" w:hAnsi="Verdana"/>
          <w:sz w:val="24"/>
          <w:szCs w:val="24"/>
        </w:rPr>
      </w:pPr>
      <w:r>
        <w:rPr>
          <w:rFonts w:ascii="Verdana" w:hAnsi="Verdana"/>
          <w:sz w:val="24"/>
          <w:szCs w:val="24"/>
        </w:rPr>
        <w:t xml:space="preserve">3.1 </w:t>
      </w:r>
      <w:r w:rsidR="00704335" w:rsidRPr="00105456">
        <w:rPr>
          <w:rFonts w:ascii="Verdana" w:hAnsi="Verdana"/>
          <w:sz w:val="24"/>
          <w:szCs w:val="24"/>
        </w:rPr>
        <w:t>The NIHRC notes that the State P</w:t>
      </w:r>
      <w:r w:rsidR="00ED0A6F" w:rsidRPr="00105456">
        <w:rPr>
          <w:rFonts w:ascii="Verdana" w:hAnsi="Verdana"/>
          <w:sz w:val="24"/>
          <w:szCs w:val="24"/>
        </w:rPr>
        <w:t>arty did not provide statistics in its reply to the List of Issues concerning racist hate crimes in NI.  The Police Service of NI (PSNI) reports increasing numbers of hate incidents and crimes; a trend that is most pronounced where the incident is perceived to be based on a racist motivation.  For example, in 2013/14, the PSNI reported 982 racist incidents, including 692 crimes. In 2014/15, the figures stood at 1,356 racist incidents, including 921 crimes.</w:t>
      </w:r>
      <w:r w:rsidR="00ED0A6F" w:rsidRPr="00105456">
        <w:rPr>
          <w:rFonts w:ascii="Verdana" w:hAnsi="Verdana"/>
          <w:sz w:val="24"/>
          <w:szCs w:val="24"/>
          <w:vertAlign w:val="superscript"/>
        </w:rPr>
        <w:endnoteReference w:id="12"/>
      </w:r>
      <w:r w:rsidR="00ED0A6F" w:rsidRPr="00105456">
        <w:rPr>
          <w:rFonts w:ascii="Verdana" w:hAnsi="Verdana"/>
          <w:sz w:val="24"/>
          <w:szCs w:val="24"/>
        </w:rPr>
        <w:t xml:space="preserve">  </w:t>
      </w:r>
    </w:p>
    <w:p w:rsidR="00ED0A6F" w:rsidRPr="00105456" w:rsidRDefault="00ED0A6F" w:rsidP="00105456">
      <w:pPr>
        <w:pStyle w:val="NoSpacing"/>
        <w:rPr>
          <w:rFonts w:ascii="Verdana" w:hAnsi="Verdana"/>
          <w:sz w:val="24"/>
          <w:szCs w:val="24"/>
        </w:rPr>
      </w:pPr>
    </w:p>
    <w:p w:rsidR="00ED0A6F" w:rsidRPr="00105456" w:rsidRDefault="00105456" w:rsidP="00105456">
      <w:pPr>
        <w:pStyle w:val="NoSpacing"/>
        <w:rPr>
          <w:rFonts w:ascii="Verdana" w:hAnsi="Verdana" w:cs="ZurichBT-LightCondensed"/>
          <w:sz w:val="24"/>
          <w:szCs w:val="24"/>
        </w:rPr>
      </w:pPr>
      <w:r>
        <w:rPr>
          <w:rFonts w:ascii="Verdana" w:hAnsi="Verdana"/>
          <w:sz w:val="24"/>
          <w:szCs w:val="24"/>
        </w:rPr>
        <w:t xml:space="preserve">3.2 </w:t>
      </w:r>
      <w:r w:rsidR="00ED0A6F" w:rsidRPr="00105456">
        <w:rPr>
          <w:rFonts w:ascii="Verdana" w:hAnsi="Verdana"/>
          <w:sz w:val="24"/>
          <w:szCs w:val="24"/>
        </w:rPr>
        <w:t>In NI, the primary prosecutorial tool for the hate element of a crime is the ‘aggravated by hostility’ sentencing legislation, namely, the Criminal Justice (No. 2) (NI) Order 2004.  This legislation can be applied in conjunction with a base offence, such as criminal damage or assault, and covers hostility based on the grounds of race, religion, disability and sexual orientation.</w:t>
      </w:r>
      <w:r w:rsidR="00ED0A6F" w:rsidRPr="00105456">
        <w:rPr>
          <w:rFonts w:ascii="Verdana" w:hAnsi="Verdana"/>
          <w:sz w:val="24"/>
          <w:szCs w:val="24"/>
          <w:vertAlign w:val="superscript"/>
        </w:rPr>
        <w:endnoteReference w:id="13"/>
      </w:r>
      <w:r w:rsidR="00ED0A6F" w:rsidRPr="00105456">
        <w:rPr>
          <w:rFonts w:ascii="Verdana" w:hAnsi="Verdana"/>
          <w:sz w:val="24"/>
          <w:szCs w:val="24"/>
        </w:rPr>
        <w:t xml:space="preserve">  </w:t>
      </w:r>
      <w:r w:rsidR="00ED0A6F" w:rsidRPr="00105456">
        <w:rPr>
          <w:rFonts w:ascii="Verdana" w:hAnsi="Verdana" w:cs="ZurichBT-LightCondensed"/>
          <w:sz w:val="24"/>
          <w:szCs w:val="24"/>
        </w:rPr>
        <w:t xml:space="preserve">The court must treat such offences more seriously in accordance with the 2004 Order. The Order also requires the judge to </w:t>
      </w:r>
      <w:r w:rsidR="00ED0A6F" w:rsidRPr="00105456">
        <w:rPr>
          <w:rFonts w:ascii="Verdana" w:hAnsi="Verdana" w:cs="ZurichBT-LightCondensed"/>
          <w:i/>
          <w:sz w:val="24"/>
          <w:szCs w:val="24"/>
        </w:rPr>
        <w:t>“state in open court tha</w:t>
      </w:r>
      <w:r>
        <w:rPr>
          <w:rFonts w:ascii="Verdana" w:hAnsi="Verdana" w:cs="ZurichBT-LightCondensed"/>
          <w:i/>
          <w:sz w:val="24"/>
          <w:szCs w:val="24"/>
        </w:rPr>
        <w:t>t the offence was so aggravated</w:t>
      </w:r>
      <w:r w:rsidR="00ED0A6F" w:rsidRPr="00105456">
        <w:rPr>
          <w:rFonts w:ascii="Verdana" w:hAnsi="Verdana" w:cs="ZurichBT-LightCondensed"/>
          <w:i/>
          <w:sz w:val="24"/>
          <w:szCs w:val="24"/>
        </w:rPr>
        <w:t>”</w:t>
      </w:r>
      <w:r>
        <w:rPr>
          <w:rFonts w:ascii="Verdana" w:hAnsi="Verdana" w:cs="ZurichBT-LightCondensed"/>
          <w:i/>
          <w:sz w:val="24"/>
          <w:szCs w:val="24"/>
        </w:rPr>
        <w:t>.</w:t>
      </w:r>
      <w:r w:rsidR="00ED0A6F" w:rsidRPr="00105456">
        <w:rPr>
          <w:rStyle w:val="EndnoteReference"/>
          <w:rFonts w:ascii="Verdana" w:hAnsi="Verdana" w:cs="ZurichBT-LightCondensed"/>
          <w:i/>
          <w:sz w:val="24"/>
          <w:szCs w:val="24"/>
        </w:rPr>
        <w:endnoteReference w:id="14"/>
      </w:r>
    </w:p>
    <w:p w:rsidR="00ED0A6F" w:rsidRPr="00105456" w:rsidRDefault="00ED0A6F" w:rsidP="00105456">
      <w:pPr>
        <w:pStyle w:val="NoSpacing"/>
        <w:rPr>
          <w:rFonts w:ascii="Verdana" w:hAnsi="Verdana"/>
          <w:sz w:val="24"/>
          <w:szCs w:val="24"/>
        </w:rPr>
      </w:pPr>
    </w:p>
    <w:p w:rsidR="00ED0A6F" w:rsidRPr="00105456" w:rsidRDefault="00105456" w:rsidP="00105456">
      <w:pPr>
        <w:pStyle w:val="NoSpacing"/>
        <w:rPr>
          <w:rFonts w:ascii="Verdana" w:hAnsi="Verdana"/>
          <w:sz w:val="24"/>
          <w:szCs w:val="24"/>
        </w:rPr>
      </w:pPr>
      <w:r>
        <w:rPr>
          <w:rFonts w:ascii="Verdana" w:hAnsi="Verdana"/>
          <w:sz w:val="24"/>
          <w:szCs w:val="24"/>
        </w:rPr>
        <w:t xml:space="preserve">3.3 </w:t>
      </w:r>
      <w:r w:rsidR="00ED0A6F" w:rsidRPr="00105456">
        <w:rPr>
          <w:rFonts w:ascii="Verdana" w:hAnsi="Verdana"/>
          <w:sz w:val="24"/>
          <w:szCs w:val="24"/>
        </w:rPr>
        <w:t xml:space="preserve">The Public Prosecution Service (PPS) publish statistics on cases considered by a prosecutor to have been </w:t>
      </w:r>
      <w:r w:rsidR="00ED0A6F" w:rsidRPr="00105456">
        <w:rPr>
          <w:rFonts w:ascii="Verdana" w:hAnsi="Verdana"/>
          <w:i/>
          <w:sz w:val="24"/>
          <w:szCs w:val="24"/>
        </w:rPr>
        <w:t>‘aggravated by hostility’</w:t>
      </w:r>
      <w:r w:rsidR="00ED0A6F" w:rsidRPr="00105456">
        <w:rPr>
          <w:rFonts w:ascii="Verdana" w:hAnsi="Verdana"/>
          <w:sz w:val="24"/>
          <w:szCs w:val="24"/>
        </w:rPr>
        <w:t xml:space="preserve">. However these statistics do not demonstrate whether the ‘aggravated by hostility’ element of the offence has been taken into account in the sentencing of the offender. </w:t>
      </w:r>
    </w:p>
    <w:p w:rsidR="00ED0A6F" w:rsidRPr="00105456" w:rsidRDefault="00ED0A6F" w:rsidP="00105456">
      <w:pPr>
        <w:pStyle w:val="NoSpacing"/>
        <w:rPr>
          <w:rFonts w:ascii="Verdana" w:hAnsi="Verdana"/>
          <w:sz w:val="24"/>
          <w:szCs w:val="24"/>
        </w:rPr>
      </w:pPr>
    </w:p>
    <w:p w:rsidR="00ED0A6F" w:rsidRPr="00105456" w:rsidRDefault="00105456" w:rsidP="00105456">
      <w:pPr>
        <w:pStyle w:val="NoSpacing"/>
        <w:rPr>
          <w:rFonts w:ascii="Verdana" w:hAnsi="Verdana"/>
          <w:sz w:val="24"/>
          <w:szCs w:val="24"/>
        </w:rPr>
      </w:pPr>
      <w:r>
        <w:rPr>
          <w:rFonts w:ascii="Verdana" w:hAnsi="Verdana"/>
          <w:sz w:val="24"/>
          <w:szCs w:val="24"/>
        </w:rPr>
        <w:t xml:space="preserve">3.4 </w:t>
      </w:r>
      <w:r w:rsidR="00ED0A6F" w:rsidRPr="00105456">
        <w:rPr>
          <w:rFonts w:ascii="Verdana" w:hAnsi="Verdana"/>
          <w:sz w:val="24"/>
          <w:szCs w:val="24"/>
        </w:rPr>
        <w:t>In 2012, figures obtained from the NI Courts &amp; Tribunals Service indicated that the provisions of the 2004 Order were being underused prompting an NIHRC investigation in 2012-13.</w:t>
      </w:r>
      <w:r w:rsidR="00ED0A6F" w:rsidRPr="00105456">
        <w:rPr>
          <w:rFonts w:ascii="Verdana" w:hAnsi="Verdana"/>
          <w:sz w:val="24"/>
          <w:szCs w:val="24"/>
          <w:vertAlign w:val="superscript"/>
        </w:rPr>
        <w:endnoteReference w:id="15"/>
      </w:r>
      <w:r w:rsidR="00ED0A6F" w:rsidRPr="00105456">
        <w:rPr>
          <w:rFonts w:ascii="Verdana" w:hAnsi="Verdana"/>
          <w:sz w:val="24"/>
          <w:szCs w:val="24"/>
        </w:rPr>
        <w:t xml:space="preserve">  </w:t>
      </w:r>
    </w:p>
    <w:p w:rsidR="00ED0A6F" w:rsidRPr="00105456" w:rsidRDefault="00ED0A6F" w:rsidP="00105456">
      <w:pPr>
        <w:pStyle w:val="NoSpacing"/>
        <w:rPr>
          <w:rFonts w:ascii="Verdana" w:hAnsi="Verdana"/>
          <w:sz w:val="24"/>
          <w:szCs w:val="24"/>
        </w:rPr>
      </w:pPr>
    </w:p>
    <w:p w:rsidR="00ED0A6F" w:rsidRPr="00105456" w:rsidRDefault="00846C0F" w:rsidP="00105456">
      <w:pPr>
        <w:pStyle w:val="NoSpacing"/>
        <w:rPr>
          <w:rFonts w:ascii="Verdana" w:hAnsi="Verdana"/>
          <w:sz w:val="24"/>
          <w:szCs w:val="24"/>
        </w:rPr>
      </w:pPr>
      <w:r>
        <w:rPr>
          <w:rFonts w:ascii="Verdana" w:hAnsi="Verdana"/>
          <w:sz w:val="24"/>
          <w:szCs w:val="24"/>
        </w:rPr>
        <w:t xml:space="preserve">3.5 </w:t>
      </w:r>
      <w:r w:rsidR="00ED0A6F" w:rsidRPr="00105456">
        <w:rPr>
          <w:rFonts w:ascii="Verdana" w:hAnsi="Verdana"/>
          <w:sz w:val="24"/>
          <w:szCs w:val="24"/>
        </w:rPr>
        <w:t xml:space="preserve">The Public Order (NI) Order 1987, Articles 9 to 13, is also an important tool in the prosecution of hate crime.  It criminalises </w:t>
      </w:r>
      <w:r w:rsidR="00ED0A6F" w:rsidRPr="00105456">
        <w:rPr>
          <w:rFonts w:ascii="Verdana" w:hAnsi="Verdana"/>
          <w:i/>
          <w:sz w:val="24"/>
          <w:szCs w:val="24"/>
        </w:rPr>
        <w:t>“acts intended or likely to stir up hatred against, or arouse fear of”</w:t>
      </w:r>
      <w:r w:rsidR="00ED0A6F" w:rsidRPr="00105456">
        <w:rPr>
          <w:rFonts w:ascii="Verdana" w:hAnsi="Verdana"/>
          <w:sz w:val="24"/>
          <w:szCs w:val="24"/>
        </w:rPr>
        <w:t xml:space="preserve"> a group of persons by reference to their religious belief, colour, race, nationality (including citizenship) or ethnic or national origins, sexual orientation, or disability.</w:t>
      </w:r>
      <w:r w:rsidR="00ED0A6F" w:rsidRPr="00105456">
        <w:rPr>
          <w:rFonts w:ascii="Verdana" w:hAnsi="Verdana"/>
          <w:sz w:val="24"/>
          <w:szCs w:val="24"/>
          <w:vertAlign w:val="superscript"/>
        </w:rPr>
        <w:endnoteReference w:id="16"/>
      </w:r>
      <w:r w:rsidR="00ED0A6F" w:rsidRPr="00105456">
        <w:rPr>
          <w:rFonts w:ascii="Verdana" w:hAnsi="Verdana"/>
          <w:sz w:val="24"/>
          <w:szCs w:val="24"/>
        </w:rPr>
        <w:t xml:space="preserve"> It creates five separate offences including in relation to the use of threatening, abusive or insulting behaviour and the dissemination of those in public.</w:t>
      </w:r>
      <w:r w:rsidR="00ED0A6F" w:rsidRPr="00105456">
        <w:rPr>
          <w:rFonts w:ascii="Verdana" w:hAnsi="Verdana" w:cs="ZurichBT-LightCondensed"/>
          <w:sz w:val="24"/>
          <w:szCs w:val="24"/>
        </w:rPr>
        <w:t xml:space="preserve">  </w:t>
      </w:r>
      <w:r w:rsidR="00ED0A6F" w:rsidRPr="00105456">
        <w:rPr>
          <w:rFonts w:ascii="Verdana" w:hAnsi="Verdana"/>
          <w:sz w:val="24"/>
          <w:szCs w:val="24"/>
        </w:rPr>
        <w:t xml:space="preserve">The NIHRC investigation found that minimal knowledge among criminal justice agencies of Article 9 to 13 of 1987 Order undermined the criminal justice systems response to hate speech in NI. </w:t>
      </w:r>
    </w:p>
    <w:p w:rsidR="00ED0A6F" w:rsidRPr="00105456" w:rsidRDefault="00ED0A6F" w:rsidP="00105456">
      <w:pPr>
        <w:pStyle w:val="NoSpacing"/>
        <w:rPr>
          <w:rFonts w:ascii="Verdana" w:hAnsi="Verdana"/>
          <w:sz w:val="24"/>
          <w:szCs w:val="24"/>
        </w:rPr>
      </w:pPr>
    </w:p>
    <w:p w:rsidR="00ED0A6F" w:rsidRPr="00105456" w:rsidRDefault="00846C0F" w:rsidP="00105456">
      <w:pPr>
        <w:pStyle w:val="NoSpacing"/>
        <w:rPr>
          <w:rFonts w:ascii="Verdana" w:hAnsi="Verdana" w:cs="ZurichBT-LightCondensed"/>
          <w:sz w:val="24"/>
          <w:szCs w:val="24"/>
        </w:rPr>
      </w:pPr>
      <w:r>
        <w:rPr>
          <w:rFonts w:ascii="Verdana" w:hAnsi="Verdana"/>
          <w:sz w:val="24"/>
          <w:szCs w:val="24"/>
        </w:rPr>
        <w:t xml:space="preserve">3.6 </w:t>
      </w:r>
      <w:r w:rsidR="00ED0A6F" w:rsidRPr="00105456">
        <w:rPr>
          <w:rFonts w:ascii="Verdana" w:hAnsi="Verdana"/>
          <w:sz w:val="24"/>
          <w:szCs w:val="24"/>
        </w:rPr>
        <w:t xml:space="preserve">While the criminal justice agencies have made efforts to improve the handling of hate crime since the investigation recommendations were published, it remains the case that there are no publicly available statistics on the impact of the 2004 Order on persons convicted of an offence which was ‘aggravated by hostility’.  There are also no publicly available statistics on convictions under Article 9 to 13 of the Public Order (NI) Order 1987.  </w:t>
      </w:r>
    </w:p>
    <w:p w:rsidR="00ED0A6F" w:rsidRPr="00105456" w:rsidRDefault="00ED0A6F" w:rsidP="00105456">
      <w:pPr>
        <w:pStyle w:val="NoSpacing"/>
        <w:rPr>
          <w:rFonts w:ascii="Verdana" w:hAnsi="Verdana"/>
          <w:sz w:val="24"/>
          <w:szCs w:val="24"/>
        </w:rPr>
      </w:pPr>
    </w:p>
    <w:p w:rsidR="00ED0A6F" w:rsidRPr="00105456" w:rsidRDefault="00846C0F" w:rsidP="00105456">
      <w:pPr>
        <w:pStyle w:val="NoSpacing"/>
        <w:rPr>
          <w:rFonts w:ascii="Verdana" w:hAnsi="Verdana"/>
          <w:sz w:val="24"/>
          <w:szCs w:val="24"/>
        </w:rPr>
      </w:pPr>
      <w:r>
        <w:rPr>
          <w:rFonts w:ascii="Verdana" w:hAnsi="Verdana"/>
          <w:sz w:val="24"/>
          <w:szCs w:val="24"/>
        </w:rPr>
        <w:t xml:space="preserve">3.7 </w:t>
      </w:r>
      <w:r w:rsidR="00ED0A6F" w:rsidRPr="00105456">
        <w:rPr>
          <w:rFonts w:ascii="Verdana" w:hAnsi="Verdana"/>
          <w:sz w:val="24"/>
          <w:szCs w:val="24"/>
        </w:rPr>
        <w:t>NI does not currently have a racial equality strategy.  As noted in the State’s repl</w:t>
      </w:r>
      <w:r w:rsidR="00B16933" w:rsidRPr="00105456">
        <w:rPr>
          <w:rFonts w:ascii="Verdana" w:hAnsi="Verdana"/>
          <w:sz w:val="24"/>
          <w:szCs w:val="24"/>
        </w:rPr>
        <w:t>y, a consultation on the draft S</w:t>
      </w:r>
      <w:r w:rsidR="00ED0A6F" w:rsidRPr="00105456">
        <w:rPr>
          <w:rFonts w:ascii="Verdana" w:hAnsi="Verdana"/>
          <w:sz w:val="24"/>
          <w:szCs w:val="24"/>
        </w:rPr>
        <w:t>trategy closed in October 2014.  The NIHRC has advised the NI Executive that the draft Strategy should be amended so as to specify precise, tangible, concrete and achievable steps within a reasonable timeframe to achieve the desires impacts; and that this approach would be assisted by developing the final strategy as a National Action Plan Against Racism (NAPAR) for NI in line with the OHCHR’s advice.</w:t>
      </w:r>
      <w:r w:rsidR="00ED0A6F" w:rsidRPr="00105456">
        <w:rPr>
          <w:rFonts w:ascii="Verdana" w:hAnsi="Verdana"/>
          <w:sz w:val="24"/>
          <w:szCs w:val="24"/>
          <w:vertAlign w:val="superscript"/>
        </w:rPr>
        <w:endnoteReference w:id="17"/>
      </w:r>
      <w:r w:rsidR="00ED0A6F" w:rsidRPr="00105456">
        <w:rPr>
          <w:rFonts w:ascii="Verdana" w:hAnsi="Verdana"/>
          <w:sz w:val="24"/>
          <w:szCs w:val="24"/>
        </w:rPr>
        <w:t xml:space="preserve">   </w:t>
      </w:r>
    </w:p>
    <w:p w:rsidR="00ED0A6F" w:rsidRPr="00105456" w:rsidRDefault="00ED0A6F" w:rsidP="00105456">
      <w:pPr>
        <w:pStyle w:val="NoSpacing"/>
        <w:rPr>
          <w:rFonts w:ascii="Verdana" w:hAnsi="Verdana"/>
          <w:sz w:val="24"/>
          <w:szCs w:val="24"/>
        </w:rPr>
      </w:pPr>
    </w:p>
    <w:p w:rsidR="00ED0A6F" w:rsidRPr="00105456" w:rsidRDefault="00ED0A6F" w:rsidP="00105456">
      <w:pPr>
        <w:pStyle w:val="NoSpacing"/>
        <w:rPr>
          <w:rFonts w:ascii="Verdana" w:hAnsi="Verdana"/>
          <w:b/>
          <w:sz w:val="24"/>
          <w:szCs w:val="24"/>
        </w:rPr>
      </w:pPr>
      <w:r w:rsidRPr="00105456">
        <w:rPr>
          <w:rFonts w:ascii="Verdana" w:hAnsi="Verdana"/>
          <w:b/>
          <w:sz w:val="24"/>
          <w:szCs w:val="24"/>
        </w:rPr>
        <w:t>The Committee may wish</w:t>
      </w:r>
      <w:r w:rsidR="00704335" w:rsidRPr="00105456">
        <w:rPr>
          <w:rFonts w:ascii="Verdana" w:hAnsi="Verdana"/>
          <w:b/>
          <w:sz w:val="24"/>
          <w:szCs w:val="24"/>
        </w:rPr>
        <w:t xml:space="preserve"> to recommend that the State P</w:t>
      </w:r>
      <w:r w:rsidRPr="00105456">
        <w:rPr>
          <w:rFonts w:ascii="Verdana" w:hAnsi="Verdana"/>
          <w:b/>
          <w:sz w:val="24"/>
          <w:szCs w:val="24"/>
        </w:rPr>
        <w:t xml:space="preserve">arty: </w:t>
      </w:r>
    </w:p>
    <w:p w:rsidR="00ED0A6F" w:rsidRDefault="00ED0A6F" w:rsidP="00846C0F">
      <w:pPr>
        <w:pStyle w:val="NoSpacing"/>
        <w:numPr>
          <w:ilvl w:val="0"/>
          <w:numId w:val="6"/>
        </w:numPr>
        <w:rPr>
          <w:rFonts w:ascii="Verdana" w:hAnsi="Verdana"/>
          <w:b/>
          <w:sz w:val="24"/>
          <w:szCs w:val="24"/>
        </w:rPr>
      </w:pPr>
      <w:r w:rsidRPr="00105456">
        <w:rPr>
          <w:rFonts w:ascii="Verdana" w:hAnsi="Verdana"/>
          <w:b/>
          <w:sz w:val="24"/>
          <w:szCs w:val="24"/>
        </w:rPr>
        <w:t xml:space="preserve">Annually publish statistics on the application of the  Criminal Justice (No.2) (NI) Order 2004 setting out the number of cases in which a sentence has been increased due to the offence being ‘aggravated by hostility’; </w:t>
      </w:r>
    </w:p>
    <w:p w:rsidR="00ED0A6F" w:rsidRDefault="00ED0A6F" w:rsidP="00846C0F">
      <w:pPr>
        <w:pStyle w:val="NoSpacing"/>
        <w:numPr>
          <w:ilvl w:val="0"/>
          <w:numId w:val="6"/>
        </w:numPr>
        <w:rPr>
          <w:rFonts w:ascii="Verdana" w:hAnsi="Verdana"/>
          <w:b/>
          <w:sz w:val="24"/>
          <w:szCs w:val="24"/>
        </w:rPr>
      </w:pPr>
      <w:r w:rsidRPr="00846C0F">
        <w:rPr>
          <w:rFonts w:ascii="Verdana" w:hAnsi="Verdana"/>
          <w:b/>
          <w:sz w:val="24"/>
          <w:szCs w:val="24"/>
        </w:rPr>
        <w:t>Annually publish statistics on the numbers of convictions under Article 9 to 13 of the Public Order (NI) Order 1987; and,</w:t>
      </w:r>
    </w:p>
    <w:p w:rsidR="00ED0A6F" w:rsidRPr="00846C0F" w:rsidRDefault="00ED0A6F" w:rsidP="00846C0F">
      <w:pPr>
        <w:pStyle w:val="NoSpacing"/>
        <w:numPr>
          <w:ilvl w:val="0"/>
          <w:numId w:val="6"/>
        </w:numPr>
        <w:rPr>
          <w:rFonts w:ascii="Verdana" w:hAnsi="Verdana"/>
          <w:b/>
          <w:sz w:val="24"/>
          <w:szCs w:val="24"/>
        </w:rPr>
      </w:pPr>
      <w:r w:rsidRPr="00846C0F">
        <w:rPr>
          <w:rFonts w:ascii="Verdana" w:hAnsi="Verdana"/>
          <w:b/>
          <w:sz w:val="24"/>
          <w:szCs w:val="24"/>
        </w:rPr>
        <w:t>Publish without delay an action-orientated racial equality strategy for NI following the OHCHR’s NAPAR guidance.</w:t>
      </w:r>
    </w:p>
    <w:p w:rsidR="00F4427A" w:rsidRPr="00105456" w:rsidRDefault="00F4427A" w:rsidP="00105456">
      <w:pPr>
        <w:pStyle w:val="NoSpacing"/>
        <w:rPr>
          <w:rFonts w:ascii="Verdana" w:hAnsi="Verdana"/>
          <w:b/>
          <w:sz w:val="24"/>
          <w:szCs w:val="24"/>
        </w:rPr>
      </w:pPr>
    </w:p>
    <w:p w:rsidR="00B70F15" w:rsidRDefault="00B70F15" w:rsidP="00105456">
      <w:pPr>
        <w:pStyle w:val="NoSpacing"/>
        <w:rPr>
          <w:rFonts w:ascii="Verdana" w:hAnsi="Verdana"/>
          <w:i/>
          <w:sz w:val="24"/>
          <w:szCs w:val="24"/>
        </w:rPr>
      </w:pPr>
      <w:r w:rsidRPr="00105456">
        <w:rPr>
          <w:rFonts w:ascii="Verdana" w:hAnsi="Verdana"/>
          <w:i/>
          <w:sz w:val="24"/>
          <w:szCs w:val="24"/>
        </w:rPr>
        <w:t xml:space="preserve">Stop and Search (Paragraph 8 </w:t>
      </w:r>
      <w:proofErr w:type="gramStart"/>
      <w:r w:rsidRPr="00105456">
        <w:rPr>
          <w:rFonts w:ascii="Verdana" w:hAnsi="Verdana"/>
          <w:i/>
          <w:sz w:val="24"/>
          <w:szCs w:val="24"/>
        </w:rPr>
        <w:t>List</w:t>
      </w:r>
      <w:proofErr w:type="gramEnd"/>
      <w:r w:rsidRPr="00105456">
        <w:rPr>
          <w:rFonts w:ascii="Verdana" w:hAnsi="Verdana"/>
          <w:i/>
          <w:sz w:val="24"/>
          <w:szCs w:val="24"/>
        </w:rPr>
        <w:t xml:space="preserve"> of Issues)</w:t>
      </w:r>
    </w:p>
    <w:p w:rsidR="00CE0D00" w:rsidRPr="00105456" w:rsidRDefault="00CE0D00" w:rsidP="00105456">
      <w:pPr>
        <w:pStyle w:val="NoSpacing"/>
        <w:rPr>
          <w:rFonts w:ascii="Verdana" w:hAnsi="Verdana"/>
          <w:i/>
          <w:sz w:val="24"/>
          <w:szCs w:val="24"/>
        </w:rPr>
      </w:pPr>
    </w:p>
    <w:p w:rsidR="00B70F15" w:rsidRPr="00105456" w:rsidRDefault="00846C0F" w:rsidP="00105456">
      <w:pPr>
        <w:pStyle w:val="NoSpacing"/>
        <w:rPr>
          <w:rFonts w:ascii="Verdana" w:hAnsi="Verdana" w:cs="ArialMT"/>
          <w:sz w:val="24"/>
          <w:szCs w:val="24"/>
        </w:rPr>
      </w:pPr>
      <w:r>
        <w:rPr>
          <w:rFonts w:ascii="Verdana" w:hAnsi="Verdana"/>
          <w:sz w:val="24"/>
          <w:szCs w:val="24"/>
        </w:rPr>
        <w:t xml:space="preserve">3.8 </w:t>
      </w:r>
      <w:r w:rsidR="00B16933" w:rsidRPr="00105456">
        <w:rPr>
          <w:rFonts w:ascii="Verdana" w:hAnsi="Verdana"/>
          <w:sz w:val="24"/>
          <w:szCs w:val="24"/>
        </w:rPr>
        <w:t>The State’s Reply to the List of I</w:t>
      </w:r>
      <w:r w:rsidR="00B70F15" w:rsidRPr="00105456">
        <w:rPr>
          <w:rFonts w:ascii="Verdana" w:hAnsi="Verdana"/>
          <w:sz w:val="24"/>
          <w:szCs w:val="24"/>
        </w:rPr>
        <w:t xml:space="preserve">ssues provides detail on the use of stop and search powers contained within the Justice and Security (NI) Act 2007 (paragraphs 67 – 70). However it does not refer to the recommendation of the Policing Board NI to the </w:t>
      </w:r>
      <w:r w:rsidR="00B70F15" w:rsidRPr="00105456">
        <w:rPr>
          <w:rFonts w:ascii="Verdana" w:hAnsi="Verdana" w:cs="ArialMT"/>
          <w:sz w:val="24"/>
          <w:szCs w:val="24"/>
        </w:rPr>
        <w:t>PSNI; to consider how to include, within the PSNI’s recording form, the community background of persons stopped and searched under the 2007 Act. This recommendation, which was made in October 2013, is still under consideration by the PSNI and a pilot has been planned.</w:t>
      </w:r>
      <w:r w:rsidR="00B70F15" w:rsidRPr="00105456">
        <w:rPr>
          <w:rStyle w:val="EndnoteReference"/>
          <w:rFonts w:ascii="Verdana" w:hAnsi="Verdana" w:cs="ArialMT"/>
          <w:sz w:val="24"/>
          <w:szCs w:val="24"/>
        </w:rPr>
        <w:endnoteReference w:id="18"/>
      </w:r>
      <w:r w:rsidR="00B70F15" w:rsidRPr="00105456">
        <w:rPr>
          <w:rFonts w:ascii="Verdana" w:hAnsi="Verdana" w:cs="ArialMT"/>
          <w:sz w:val="24"/>
          <w:szCs w:val="24"/>
        </w:rPr>
        <w:t xml:space="preserve"> </w:t>
      </w:r>
    </w:p>
    <w:p w:rsidR="00B70F15" w:rsidRPr="00105456" w:rsidRDefault="00B70F15" w:rsidP="00105456">
      <w:pPr>
        <w:pStyle w:val="NoSpacing"/>
        <w:rPr>
          <w:rFonts w:ascii="Verdana" w:hAnsi="Verdana" w:cs="ArialMT"/>
          <w:sz w:val="24"/>
          <w:szCs w:val="24"/>
        </w:rPr>
      </w:pPr>
    </w:p>
    <w:p w:rsidR="00B70F15" w:rsidRDefault="00B70F15" w:rsidP="00105456">
      <w:pPr>
        <w:pStyle w:val="NoSpacing"/>
        <w:rPr>
          <w:rFonts w:ascii="Verdana" w:hAnsi="Verdana"/>
          <w:i/>
          <w:sz w:val="24"/>
          <w:szCs w:val="24"/>
        </w:rPr>
      </w:pPr>
      <w:r w:rsidRPr="00105456">
        <w:rPr>
          <w:rFonts w:ascii="Verdana" w:hAnsi="Verdana"/>
          <w:i/>
          <w:sz w:val="24"/>
          <w:szCs w:val="24"/>
        </w:rPr>
        <w:t xml:space="preserve">Participation of women in the civil service and judiciary (Paragraph 9 List of Issues) </w:t>
      </w:r>
    </w:p>
    <w:p w:rsidR="00CE0D00" w:rsidRPr="00105456" w:rsidRDefault="00CE0D00" w:rsidP="00105456">
      <w:pPr>
        <w:pStyle w:val="NoSpacing"/>
        <w:rPr>
          <w:rFonts w:ascii="Verdana" w:hAnsi="Verdana"/>
          <w:i/>
          <w:sz w:val="24"/>
          <w:szCs w:val="24"/>
        </w:rPr>
      </w:pPr>
    </w:p>
    <w:p w:rsidR="00B70F15" w:rsidRDefault="00846C0F" w:rsidP="00105456">
      <w:pPr>
        <w:pStyle w:val="NoSpacing"/>
        <w:rPr>
          <w:rFonts w:ascii="Verdana" w:hAnsi="Verdana"/>
          <w:sz w:val="24"/>
          <w:szCs w:val="24"/>
        </w:rPr>
      </w:pPr>
      <w:r>
        <w:rPr>
          <w:rFonts w:ascii="Verdana" w:hAnsi="Verdana"/>
          <w:sz w:val="24"/>
          <w:szCs w:val="24"/>
        </w:rPr>
        <w:t xml:space="preserve">3.9 </w:t>
      </w:r>
      <w:r w:rsidR="00B70F15" w:rsidRPr="00105456">
        <w:rPr>
          <w:rFonts w:ascii="Verdana" w:hAnsi="Verdana"/>
          <w:sz w:val="24"/>
          <w:szCs w:val="24"/>
        </w:rPr>
        <w:t xml:space="preserve">In October 2014 the results of an independent assessment into gender equality at the Executive level in the public sector in </w:t>
      </w:r>
      <w:r w:rsidR="001A4EED" w:rsidRPr="00105456">
        <w:rPr>
          <w:rFonts w:ascii="Verdana" w:hAnsi="Verdana"/>
          <w:sz w:val="24"/>
          <w:szCs w:val="24"/>
        </w:rPr>
        <w:t>NI</w:t>
      </w:r>
      <w:r w:rsidR="00B70F15" w:rsidRPr="00105456">
        <w:rPr>
          <w:rFonts w:ascii="Verdana" w:hAnsi="Verdana"/>
          <w:sz w:val="24"/>
          <w:szCs w:val="24"/>
        </w:rPr>
        <w:t xml:space="preserve"> identified </w:t>
      </w:r>
      <w:r w:rsidR="00B70F15" w:rsidRPr="00105456">
        <w:rPr>
          <w:rFonts w:ascii="Verdana" w:hAnsi="Verdana"/>
          <w:i/>
          <w:sz w:val="24"/>
          <w:szCs w:val="24"/>
        </w:rPr>
        <w:t>“a significant degree of inequality in the gender composition at executive level of the N.I public sector: males and females holding 70.8% and 29.2% of all executive positions respectively”.</w:t>
      </w:r>
      <w:r w:rsidR="00B70F15" w:rsidRPr="00105456">
        <w:rPr>
          <w:rStyle w:val="EndnoteReference"/>
          <w:rFonts w:ascii="Verdana" w:hAnsi="Verdana"/>
          <w:sz w:val="24"/>
          <w:szCs w:val="24"/>
        </w:rPr>
        <w:endnoteReference w:id="19"/>
      </w:r>
      <w:r w:rsidR="00B70F15" w:rsidRPr="00105456">
        <w:rPr>
          <w:rFonts w:ascii="Verdana" w:hAnsi="Verdana"/>
          <w:sz w:val="24"/>
          <w:szCs w:val="24"/>
        </w:rPr>
        <w:t xml:space="preserve"> The research report identified a number of barriers to career progression amongst women in the civil service including: those related to caring responsibilities, a lack of recognition of work life balance, long hours’ culture and exclusion from informal networks of communication.</w:t>
      </w:r>
      <w:r w:rsidR="00B70F15" w:rsidRPr="00105456">
        <w:rPr>
          <w:rStyle w:val="EndnoteReference"/>
          <w:rFonts w:ascii="Verdana" w:hAnsi="Verdana"/>
          <w:sz w:val="24"/>
          <w:szCs w:val="24"/>
        </w:rPr>
        <w:endnoteReference w:id="20"/>
      </w:r>
      <w:r w:rsidR="00B70F15" w:rsidRPr="00105456">
        <w:rPr>
          <w:rFonts w:ascii="Verdana" w:hAnsi="Verdana"/>
          <w:sz w:val="24"/>
          <w:szCs w:val="24"/>
        </w:rPr>
        <w:t xml:space="preserve"> </w:t>
      </w:r>
    </w:p>
    <w:p w:rsidR="00CE0D00" w:rsidRPr="00105456" w:rsidRDefault="00CE0D00" w:rsidP="00105456">
      <w:pPr>
        <w:pStyle w:val="NoSpacing"/>
        <w:rPr>
          <w:rFonts w:ascii="Verdana" w:hAnsi="Verdana"/>
          <w:sz w:val="24"/>
          <w:szCs w:val="24"/>
        </w:rPr>
      </w:pPr>
    </w:p>
    <w:p w:rsidR="00B70F15" w:rsidRDefault="00846C0F" w:rsidP="00105456">
      <w:pPr>
        <w:pStyle w:val="NoSpacing"/>
        <w:rPr>
          <w:rFonts w:ascii="Verdana" w:hAnsi="Verdana"/>
          <w:sz w:val="24"/>
          <w:szCs w:val="24"/>
        </w:rPr>
      </w:pPr>
      <w:r>
        <w:rPr>
          <w:rFonts w:ascii="Verdana" w:hAnsi="Verdana"/>
          <w:sz w:val="24"/>
          <w:szCs w:val="24"/>
        </w:rPr>
        <w:t xml:space="preserve">3.10 </w:t>
      </w:r>
      <w:r w:rsidR="00B70F15" w:rsidRPr="00105456">
        <w:rPr>
          <w:rFonts w:ascii="Verdana" w:hAnsi="Verdana"/>
          <w:sz w:val="24"/>
          <w:szCs w:val="24"/>
        </w:rPr>
        <w:t xml:space="preserve">There are 297 female judicial office holders in </w:t>
      </w:r>
      <w:r w:rsidR="001A4EED" w:rsidRPr="00105456">
        <w:rPr>
          <w:rFonts w:ascii="Verdana" w:hAnsi="Verdana"/>
          <w:sz w:val="24"/>
          <w:szCs w:val="24"/>
        </w:rPr>
        <w:t>NI</w:t>
      </w:r>
      <w:r w:rsidR="00B70F15" w:rsidRPr="00105456">
        <w:rPr>
          <w:rFonts w:ascii="Verdana" w:hAnsi="Verdana"/>
          <w:sz w:val="24"/>
          <w:szCs w:val="24"/>
        </w:rPr>
        <w:t xml:space="preserve"> representing 43% of the total.</w:t>
      </w:r>
      <w:r w:rsidR="00B70F15" w:rsidRPr="00105456">
        <w:rPr>
          <w:rStyle w:val="EndnoteReference"/>
          <w:rFonts w:ascii="Verdana" w:hAnsi="Verdana"/>
          <w:sz w:val="24"/>
          <w:szCs w:val="24"/>
        </w:rPr>
        <w:endnoteReference w:id="21"/>
      </w:r>
      <w:r w:rsidR="00B70F15" w:rsidRPr="00105456">
        <w:rPr>
          <w:rFonts w:ascii="Verdana" w:hAnsi="Verdana"/>
          <w:sz w:val="24"/>
          <w:szCs w:val="24"/>
        </w:rPr>
        <w:t xml:space="preserve"> However female judicial office holders are broadly concentrated amongst the lower ranking judicial posts.</w:t>
      </w:r>
      <w:r w:rsidR="003D371F" w:rsidRPr="00105456">
        <w:rPr>
          <w:rStyle w:val="EndnoteReference"/>
          <w:rFonts w:ascii="Verdana" w:hAnsi="Verdana"/>
          <w:sz w:val="24"/>
          <w:szCs w:val="24"/>
        </w:rPr>
        <w:endnoteReference w:id="22"/>
      </w:r>
      <w:r w:rsidR="00B70F15" w:rsidRPr="00105456">
        <w:rPr>
          <w:rFonts w:ascii="Verdana" w:hAnsi="Verdana"/>
          <w:sz w:val="24"/>
          <w:szCs w:val="24"/>
        </w:rPr>
        <w:t xml:space="preserve"> </w:t>
      </w:r>
    </w:p>
    <w:p w:rsidR="00CE0D00" w:rsidRPr="00105456" w:rsidRDefault="00CE0D00" w:rsidP="00105456">
      <w:pPr>
        <w:pStyle w:val="NoSpacing"/>
        <w:rPr>
          <w:rFonts w:ascii="Verdana" w:hAnsi="Verdana"/>
          <w:sz w:val="24"/>
          <w:szCs w:val="24"/>
        </w:rPr>
      </w:pPr>
    </w:p>
    <w:p w:rsidR="00B70F15" w:rsidRDefault="00B70F15" w:rsidP="00105456">
      <w:pPr>
        <w:pStyle w:val="NoSpacing"/>
        <w:rPr>
          <w:rFonts w:ascii="Verdana" w:hAnsi="Verdana"/>
          <w:b/>
          <w:sz w:val="24"/>
          <w:szCs w:val="24"/>
        </w:rPr>
      </w:pPr>
      <w:r w:rsidRPr="00105456">
        <w:rPr>
          <w:rFonts w:ascii="Verdana" w:hAnsi="Verdana"/>
          <w:b/>
          <w:sz w:val="24"/>
          <w:szCs w:val="24"/>
        </w:rPr>
        <w:t>The Committee may wish to recommend that the State Party ensures the proposed Gender Equality Strategy</w:t>
      </w:r>
      <w:r w:rsidR="00A00DB4" w:rsidRPr="00105456">
        <w:rPr>
          <w:rFonts w:ascii="Verdana" w:hAnsi="Verdana"/>
          <w:b/>
          <w:sz w:val="24"/>
          <w:szCs w:val="24"/>
        </w:rPr>
        <w:t xml:space="preserve"> for NI</w:t>
      </w:r>
      <w:r w:rsidRPr="00105456">
        <w:rPr>
          <w:rFonts w:ascii="Verdana" w:hAnsi="Verdana"/>
          <w:b/>
          <w:sz w:val="24"/>
          <w:szCs w:val="24"/>
        </w:rPr>
        <w:t xml:space="preserve"> addresses barriers to career progression within the </w:t>
      </w:r>
      <w:r w:rsidR="001A4EED" w:rsidRPr="00105456">
        <w:rPr>
          <w:rFonts w:ascii="Verdana" w:hAnsi="Verdana"/>
          <w:b/>
          <w:sz w:val="24"/>
          <w:szCs w:val="24"/>
        </w:rPr>
        <w:t>NI</w:t>
      </w:r>
      <w:r w:rsidR="0085477D" w:rsidRPr="00105456">
        <w:rPr>
          <w:rFonts w:ascii="Verdana" w:hAnsi="Verdana"/>
          <w:b/>
          <w:sz w:val="24"/>
          <w:szCs w:val="24"/>
        </w:rPr>
        <w:t xml:space="preserve"> Civil S</w:t>
      </w:r>
      <w:r w:rsidR="00A00DB4" w:rsidRPr="00105456">
        <w:rPr>
          <w:rFonts w:ascii="Verdana" w:hAnsi="Verdana"/>
          <w:b/>
          <w:sz w:val="24"/>
          <w:szCs w:val="24"/>
        </w:rPr>
        <w:t xml:space="preserve">ervice. Furthermore, </w:t>
      </w:r>
      <w:r w:rsidRPr="00105456">
        <w:rPr>
          <w:rFonts w:ascii="Verdana" w:hAnsi="Verdana"/>
          <w:b/>
          <w:sz w:val="24"/>
          <w:szCs w:val="24"/>
        </w:rPr>
        <w:t xml:space="preserve">the State Party should put in place measures to remove barriers to female members of the judiciary and legal profession progressing to the upper tiers of the judiciary. </w:t>
      </w:r>
    </w:p>
    <w:p w:rsidR="00CE0D00" w:rsidRPr="00105456" w:rsidRDefault="00CE0D00" w:rsidP="00105456">
      <w:pPr>
        <w:pStyle w:val="NoSpacing"/>
        <w:rPr>
          <w:rFonts w:ascii="Verdana" w:hAnsi="Verdana"/>
          <w:b/>
          <w:sz w:val="24"/>
          <w:szCs w:val="24"/>
        </w:rPr>
      </w:pPr>
    </w:p>
    <w:p w:rsidR="00B70F15" w:rsidRDefault="00B70F15" w:rsidP="00105456">
      <w:pPr>
        <w:pStyle w:val="NoSpacing"/>
        <w:rPr>
          <w:rFonts w:ascii="Verdana" w:hAnsi="Verdana"/>
          <w:b/>
          <w:sz w:val="24"/>
          <w:szCs w:val="24"/>
          <w:u w:val="single"/>
        </w:rPr>
      </w:pPr>
      <w:r w:rsidRPr="00105456">
        <w:rPr>
          <w:rFonts w:ascii="Verdana" w:hAnsi="Verdana"/>
          <w:b/>
          <w:sz w:val="24"/>
          <w:szCs w:val="24"/>
          <w:u w:val="single"/>
        </w:rPr>
        <w:t>Violence against women, including domestic violence (arts</w:t>
      </w:r>
      <w:proofErr w:type="gramStart"/>
      <w:r w:rsidRPr="00105456">
        <w:rPr>
          <w:rFonts w:ascii="Verdana" w:hAnsi="Verdana"/>
          <w:b/>
          <w:sz w:val="24"/>
          <w:szCs w:val="24"/>
          <w:u w:val="single"/>
        </w:rPr>
        <w:t>,.</w:t>
      </w:r>
      <w:proofErr w:type="gramEnd"/>
      <w:r w:rsidRPr="00105456">
        <w:rPr>
          <w:rFonts w:ascii="Verdana" w:hAnsi="Verdana"/>
          <w:b/>
          <w:sz w:val="24"/>
          <w:szCs w:val="24"/>
          <w:u w:val="single"/>
        </w:rPr>
        <w:t xml:space="preserve"> 2, 3, 7, and 26)</w:t>
      </w:r>
    </w:p>
    <w:p w:rsidR="00CE0D00" w:rsidRPr="00105456" w:rsidRDefault="00CE0D00" w:rsidP="00105456">
      <w:pPr>
        <w:pStyle w:val="NoSpacing"/>
        <w:rPr>
          <w:rFonts w:ascii="Verdana" w:hAnsi="Verdana"/>
          <w:b/>
          <w:sz w:val="24"/>
          <w:szCs w:val="24"/>
          <w:u w:val="single"/>
        </w:rPr>
      </w:pPr>
    </w:p>
    <w:p w:rsidR="00B70F15" w:rsidRDefault="00846C0F" w:rsidP="00105456">
      <w:pPr>
        <w:pStyle w:val="NoSpacing"/>
        <w:rPr>
          <w:rFonts w:ascii="Verdana" w:hAnsi="Verdana"/>
          <w:sz w:val="24"/>
          <w:szCs w:val="24"/>
        </w:rPr>
      </w:pPr>
      <w:r>
        <w:rPr>
          <w:rFonts w:ascii="Verdana" w:hAnsi="Verdana"/>
          <w:sz w:val="24"/>
          <w:szCs w:val="24"/>
        </w:rPr>
        <w:t xml:space="preserve">4.1 </w:t>
      </w:r>
      <w:r w:rsidR="00B70F15" w:rsidRPr="00105456">
        <w:rPr>
          <w:rFonts w:ascii="Verdana" w:hAnsi="Verdana"/>
          <w:sz w:val="24"/>
          <w:szCs w:val="24"/>
        </w:rPr>
        <w:t>In 2010 the C</w:t>
      </w:r>
      <w:r w:rsidR="00C236AA" w:rsidRPr="00105456">
        <w:rPr>
          <w:rFonts w:ascii="Verdana" w:hAnsi="Verdana"/>
          <w:sz w:val="24"/>
          <w:szCs w:val="24"/>
        </w:rPr>
        <w:t xml:space="preserve">riminal </w:t>
      </w:r>
      <w:r w:rsidR="00B70F15" w:rsidRPr="00105456">
        <w:rPr>
          <w:rFonts w:ascii="Verdana" w:hAnsi="Verdana"/>
          <w:sz w:val="24"/>
          <w:szCs w:val="24"/>
        </w:rPr>
        <w:t>J</w:t>
      </w:r>
      <w:r w:rsidR="00C236AA" w:rsidRPr="00105456">
        <w:rPr>
          <w:rFonts w:ascii="Verdana" w:hAnsi="Verdana"/>
          <w:sz w:val="24"/>
          <w:szCs w:val="24"/>
        </w:rPr>
        <w:t xml:space="preserve">ustice </w:t>
      </w:r>
      <w:r w:rsidR="00B70F15" w:rsidRPr="00105456">
        <w:rPr>
          <w:rFonts w:ascii="Verdana" w:hAnsi="Verdana"/>
          <w:sz w:val="24"/>
          <w:szCs w:val="24"/>
        </w:rPr>
        <w:t>I</w:t>
      </w:r>
      <w:r w:rsidR="00C236AA" w:rsidRPr="00105456">
        <w:rPr>
          <w:rFonts w:ascii="Verdana" w:hAnsi="Verdana"/>
          <w:sz w:val="24"/>
          <w:szCs w:val="24"/>
        </w:rPr>
        <w:t xml:space="preserve">nspectorate </w:t>
      </w:r>
      <w:r w:rsidR="00B70F15" w:rsidRPr="00105456">
        <w:rPr>
          <w:rFonts w:ascii="Verdana" w:hAnsi="Verdana"/>
          <w:sz w:val="24"/>
          <w:szCs w:val="24"/>
        </w:rPr>
        <w:t>NI</w:t>
      </w:r>
      <w:r w:rsidR="00C236AA" w:rsidRPr="00105456">
        <w:rPr>
          <w:rFonts w:ascii="Verdana" w:hAnsi="Verdana"/>
          <w:sz w:val="24"/>
          <w:szCs w:val="24"/>
        </w:rPr>
        <w:t xml:space="preserve"> (CJINI)</w:t>
      </w:r>
      <w:r w:rsidR="00B70F15" w:rsidRPr="00105456">
        <w:rPr>
          <w:rFonts w:ascii="Verdana" w:hAnsi="Verdana"/>
          <w:sz w:val="24"/>
          <w:szCs w:val="24"/>
        </w:rPr>
        <w:t xml:space="preserve"> recommended a range of measures to improve protection and support for victims of domestic violence in </w:t>
      </w:r>
      <w:r w:rsidR="001A4EED" w:rsidRPr="00105456">
        <w:rPr>
          <w:rFonts w:ascii="Verdana" w:hAnsi="Verdana"/>
          <w:sz w:val="24"/>
          <w:szCs w:val="24"/>
        </w:rPr>
        <w:t>NI</w:t>
      </w:r>
      <w:r w:rsidR="00B70F15" w:rsidRPr="00105456">
        <w:rPr>
          <w:rFonts w:ascii="Verdana" w:hAnsi="Verdana"/>
          <w:sz w:val="24"/>
          <w:szCs w:val="24"/>
        </w:rPr>
        <w:t>.</w:t>
      </w:r>
      <w:r w:rsidR="00B70F15" w:rsidRPr="00105456">
        <w:rPr>
          <w:rStyle w:val="EndnoteReference"/>
          <w:rFonts w:ascii="Verdana" w:hAnsi="Verdana"/>
          <w:sz w:val="24"/>
          <w:szCs w:val="24"/>
        </w:rPr>
        <w:endnoteReference w:id="23"/>
      </w:r>
      <w:r w:rsidR="00B70F15" w:rsidRPr="00105456">
        <w:rPr>
          <w:rFonts w:ascii="Verdana" w:hAnsi="Verdana"/>
          <w:sz w:val="24"/>
          <w:szCs w:val="24"/>
        </w:rPr>
        <w:t xml:space="preserve"> Recommendations included the en</w:t>
      </w:r>
      <w:r w:rsidR="0085477D" w:rsidRPr="00105456">
        <w:rPr>
          <w:rFonts w:ascii="Verdana" w:hAnsi="Verdana"/>
          <w:sz w:val="24"/>
          <w:szCs w:val="24"/>
        </w:rPr>
        <w:t>actment of legislation to issue</w:t>
      </w:r>
      <w:r w:rsidR="00B70F15" w:rsidRPr="00105456">
        <w:rPr>
          <w:rFonts w:ascii="Verdana" w:hAnsi="Verdana"/>
          <w:sz w:val="24"/>
          <w:szCs w:val="24"/>
        </w:rPr>
        <w:t xml:space="preserve"> Domestic Violence Protection Orders (or notices).</w:t>
      </w:r>
      <w:r w:rsidR="00B70F15" w:rsidRPr="00105456">
        <w:rPr>
          <w:rStyle w:val="EndnoteReference"/>
          <w:rFonts w:ascii="Verdana" w:hAnsi="Verdana"/>
          <w:sz w:val="24"/>
          <w:szCs w:val="24"/>
        </w:rPr>
        <w:endnoteReference w:id="24"/>
      </w:r>
      <w:r w:rsidR="00B70F15" w:rsidRPr="00105456">
        <w:rPr>
          <w:rFonts w:ascii="Verdana" w:hAnsi="Verdana"/>
          <w:sz w:val="24"/>
          <w:szCs w:val="24"/>
        </w:rPr>
        <w:t xml:space="preserve"> In a follow up report in October 2013, the CJINI noted limited progress in the implementation of the recommendations.</w:t>
      </w:r>
      <w:r w:rsidR="00B70F15" w:rsidRPr="00105456">
        <w:rPr>
          <w:rStyle w:val="EndnoteReference"/>
          <w:rFonts w:ascii="Verdana" w:hAnsi="Verdana"/>
          <w:sz w:val="24"/>
          <w:szCs w:val="24"/>
        </w:rPr>
        <w:endnoteReference w:id="25"/>
      </w:r>
      <w:r w:rsidR="00B70F15" w:rsidRPr="00105456">
        <w:rPr>
          <w:rFonts w:ascii="Verdana" w:hAnsi="Verdana"/>
          <w:sz w:val="24"/>
          <w:szCs w:val="24"/>
        </w:rPr>
        <w:t xml:space="preserve"> At this time the Department indicated that it would await the conclusion of the pilot of DVPOs in England and Wales.</w:t>
      </w:r>
      <w:r w:rsidR="00C236AA" w:rsidRPr="00105456">
        <w:rPr>
          <w:rStyle w:val="EndnoteReference"/>
          <w:rFonts w:ascii="Verdana" w:hAnsi="Verdana"/>
          <w:sz w:val="24"/>
          <w:szCs w:val="24"/>
        </w:rPr>
        <w:endnoteReference w:id="26"/>
      </w:r>
      <w:r w:rsidR="00B70F15" w:rsidRPr="00105456">
        <w:rPr>
          <w:rFonts w:ascii="Verdana" w:hAnsi="Verdana"/>
          <w:sz w:val="24"/>
          <w:szCs w:val="24"/>
        </w:rPr>
        <w:t xml:space="preserve"> </w:t>
      </w:r>
    </w:p>
    <w:p w:rsidR="00CE0D00" w:rsidRPr="00105456" w:rsidRDefault="00CE0D00" w:rsidP="00105456">
      <w:pPr>
        <w:pStyle w:val="NoSpacing"/>
        <w:rPr>
          <w:rFonts w:ascii="Verdana" w:hAnsi="Verdana"/>
          <w:sz w:val="24"/>
          <w:szCs w:val="24"/>
        </w:rPr>
      </w:pPr>
    </w:p>
    <w:p w:rsidR="00B70F15" w:rsidRDefault="007B1036" w:rsidP="00105456">
      <w:pPr>
        <w:pStyle w:val="NoSpacing"/>
        <w:rPr>
          <w:rFonts w:ascii="Verdana" w:hAnsi="Verdana"/>
          <w:sz w:val="24"/>
          <w:szCs w:val="24"/>
        </w:rPr>
      </w:pPr>
      <w:r>
        <w:rPr>
          <w:rFonts w:ascii="Verdana" w:hAnsi="Verdana"/>
          <w:sz w:val="24"/>
          <w:szCs w:val="24"/>
        </w:rPr>
        <w:t xml:space="preserve">4.2 </w:t>
      </w:r>
      <w:r w:rsidR="00B70F15" w:rsidRPr="00105456">
        <w:rPr>
          <w:rFonts w:ascii="Verdana" w:hAnsi="Verdana"/>
          <w:sz w:val="24"/>
          <w:szCs w:val="24"/>
        </w:rPr>
        <w:t>The Commission notes that the pilot of DVPOs in England and Wales was successful and DVPOs were first introduced in England &amp; Wales in March 2014.</w:t>
      </w:r>
      <w:r w:rsidR="00B70F15" w:rsidRPr="00105456">
        <w:rPr>
          <w:rStyle w:val="EndnoteReference"/>
          <w:rFonts w:ascii="Verdana" w:hAnsi="Verdana"/>
          <w:sz w:val="24"/>
          <w:szCs w:val="24"/>
        </w:rPr>
        <w:endnoteReference w:id="27"/>
      </w:r>
      <w:r w:rsidR="00B70F15" w:rsidRPr="00105456">
        <w:rPr>
          <w:rFonts w:ascii="Verdana" w:hAnsi="Verdana"/>
          <w:sz w:val="24"/>
          <w:szCs w:val="24"/>
        </w:rPr>
        <w:t xml:space="preserve"> The evaluation of the pilot found that </w:t>
      </w:r>
      <w:r w:rsidR="00B70F15" w:rsidRPr="00105456">
        <w:rPr>
          <w:rFonts w:ascii="Verdana" w:hAnsi="Verdana"/>
          <w:i/>
          <w:sz w:val="24"/>
          <w:szCs w:val="24"/>
        </w:rPr>
        <w:t>“DVPOs were generally seen positively by practitioners and victim-survivors and were associated with a reduction in re-victimisation, particularly when used in ‘chronic’ cases”.</w:t>
      </w:r>
      <w:r w:rsidR="00B70F15" w:rsidRPr="00105456">
        <w:rPr>
          <w:rStyle w:val="EndnoteReference"/>
          <w:rFonts w:ascii="Verdana" w:hAnsi="Verdana"/>
          <w:i/>
          <w:sz w:val="24"/>
          <w:szCs w:val="24"/>
        </w:rPr>
        <w:endnoteReference w:id="28"/>
      </w:r>
      <w:r w:rsidR="00B70F15" w:rsidRPr="00105456">
        <w:rPr>
          <w:rFonts w:ascii="Verdana" w:hAnsi="Verdana"/>
          <w:sz w:val="24"/>
          <w:szCs w:val="24"/>
        </w:rPr>
        <w:t xml:space="preserve"> </w:t>
      </w:r>
    </w:p>
    <w:p w:rsidR="00CE0D00" w:rsidRPr="00105456" w:rsidRDefault="00CE0D00" w:rsidP="00105456">
      <w:pPr>
        <w:pStyle w:val="NoSpacing"/>
        <w:rPr>
          <w:rFonts w:ascii="Verdana" w:hAnsi="Verdana"/>
          <w:sz w:val="24"/>
          <w:szCs w:val="24"/>
        </w:rPr>
      </w:pPr>
    </w:p>
    <w:p w:rsidR="00B70F15" w:rsidRDefault="007B1036" w:rsidP="00105456">
      <w:pPr>
        <w:pStyle w:val="NoSpacing"/>
        <w:rPr>
          <w:rFonts w:ascii="Verdana" w:hAnsi="Verdana"/>
          <w:sz w:val="24"/>
          <w:szCs w:val="24"/>
        </w:rPr>
      </w:pPr>
      <w:r>
        <w:rPr>
          <w:rFonts w:ascii="Verdana" w:hAnsi="Verdana"/>
          <w:sz w:val="24"/>
          <w:szCs w:val="24"/>
        </w:rPr>
        <w:t xml:space="preserve">4.3 </w:t>
      </w:r>
      <w:r w:rsidR="00B70F15" w:rsidRPr="00105456">
        <w:rPr>
          <w:rFonts w:ascii="Verdana" w:hAnsi="Verdana"/>
          <w:sz w:val="24"/>
          <w:szCs w:val="24"/>
        </w:rPr>
        <w:t>The Commission notes that the NI Executive has indicated to the Committee that the possibility of introducing DVPOs will be considered as part of the action plan to a new strategy “Stopping domestic and sexual violence and abuse”. This strategy has not been published at the time of writing. The introduction of DVPOs has been positively received in England &amp; Wales as reducing re-victimisation.</w:t>
      </w:r>
      <w:r w:rsidR="00F00DE5" w:rsidRPr="00105456">
        <w:rPr>
          <w:rStyle w:val="EndnoteReference"/>
          <w:rFonts w:ascii="Verdana" w:hAnsi="Verdana"/>
          <w:sz w:val="24"/>
          <w:szCs w:val="24"/>
        </w:rPr>
        <w:endnoteReference w:id="29"/>
      </w:r>
      <w:r w:rsidR="00B70F15" w:rsidRPr="00105456">
        <w:rPr>
          <w:rFonts w:ascii="Verdana" w:hAnsi="Verdana"/>
          <w:sz w:val="24"/>
          <w:szCs w:val="24"/>
        </w:rPr>
        <w:t xml:space="preserve"> </w:t>
      </w:r>
      <w:r w:rsidR="00C125F0" w:rsidRPr="00105456">
        <w:rPr>
          <w:rFonts w:ascii="Verdana" w:hAnsi="Verdana"/>
          <w:sz w:val="24"/>
          <w:szCs w:val="24"/>
        </w:rPr>
        <w:t>Whilst a Bill has been introduced to the NI Assembly providing for violent offender protection orders, these orders would be applicable only in circumstances where an offender has been convicted of a serious offence.</w:t>
      </w:r>
      <w:r w:rsidR="00FC7322" w:rsidRPr="00105456">
        <w:rPr>
          <w:rStyle w:val="EndnoteReference"/>
          <w:rFonts w:ascii="Verdana" w:hAnsi="Verdana"/>
          <w:sz w:val="24"/>
          <w:szCs w:val="24"/>
        </w:rPr>
        <w:endnoteReference w:id="30"/>
      </w:r>
      <w:r w:rsidR="00FC7322" w:rsidRPr="00105456">
        <w:rPr>
          <w:rFonts w:ascii="Verdana" w:hAnsi="Verdana"/>
          <w:sz w:val="24"/>
          <w:szCs w:val="24"/>
        </w:rPr>
        <w:t xml:space="preserve"> During the passage of this Bill the Commission queried why the opportunity had not been used to introduce DVPOs</w:t>
      </w:r>
      <w:r w:rsidR="00B16933" w:rsidRPr="00105456">
        <w:rPr>
          <w:rFonts w:ascii="Verdana" w:hAnsi="Verdana"/>
          <w:sz w:val="24"/>
          <w:szCs w:val="24"/>
        </w:rPr>
        <w:t xml:space="preserve"> and no adequate justification was provided</w:t>
      </w:r>
      <w:r w:rsidR="00FC7322" w:rsidRPr="00105456">
        <w:rPr>
          <w:rFonts w:ascii="Verdana" w:hAnsi="Verdana"/>
          <w:sz w:val="24"/>
          <w:szCs w:val="24"/>
        </w:rPr>
        <w:t xml:space="preserve">. </w:t>
      </w:r>
      <w:r w:rsidR="00FC7322" w:rsidRPr="00105456">
        <w:rPr>
          <w:rStyle w:val="EndnoteReference"/>
          <w:rFonts w:ascii="Verdana" w:hAnsi="Verdana"/>
          <w:sz w:val="24"/>
          <w:szCs w:val="24"/>
        </w:rPr>
        <w:endnoteReference w:id="31"/>
      </w:r>
      <w:r w:rsidR="00C125F0" w:rsidRPr="00105456">
        <w:rPr>
          <w:rFonts w:ascii="Verdana" w:hAnsi="Verdana"/>
          <w:sz w:val="24"/>
          <w:szCs w:val="24"/>
        </w:rPr>
        <w:t xml:space="preserve">  </w:t>
      </w:r>
    </w:p>
    <w:p w:rsidR="00CE0D00" w:rsidRPr="00105456" w:rsidRDefault="00CE0D00" w:rsidP="00105456">
      <w:pPr>
        <w:pStyle w:val="NoSpacing"/>
        <w:rPr>
          <w:rFonts w:ascii="Verdana" w:hAnsi="Verdana"/>
          <w:sz w:val="24"/>
          <w:szCs w:val="24"/>
        </w:rPr>
      </w:pPr>
    </w:p>
    <w:p w:rsidR="00B70F15" w:rsidRDefault="00B70F15" w:rsidP="00105456">
      <w:pPr>
        <w:pStyle w:val="NoSpacing"/>
        <w:rPr>
          <w:rFonts w:ascii="Verdana" w:hAnsi="Verdana"/>
          <w:b/>
          <w:sz w:val="24"/>
          <w:szCs w:val="24"/>
        </w:rPr>
      </w:pPr>
      <w:r w:rsidRPr="00105456">
        <w:rPr>
          <w:rFonts w:ascii="Verdana" w:hAnsi="Verdana"/>
          <w:b/>
          <w:sz w:val="24"/>
          <w:szCs w:val="24"/>
        </w:rPr>
        <w:t xml:space="preserve">The Committee may wish to recommend that the </w:t>
      </w:r>
      <w:r w:rsidR="00704335" w:rsidRPr="00105456">
        <w:rPr>
          <w:rFonts w:ascii="Verdana" w:hAnsi="Verdana"/>
          <w:b/>
          <w:sz w:val="24"/>
          <w:szCs w:val="24"/>
        </w:rPr>
        <w:t>State P</w:t>
      </w:r>
      <w:r w:rsidRPr="00105456">
        <w:rPr>
          <w:rFonts w:ascii="Verdana" w:hAnsi="Verdana"/>
          <w:b/>
          <w:sz w:val="24"/>
          <w:szCs w:val="24"/>
        </w:rPr>
        <w:t xml:space="preserve">arty bring forward plans for the introduction of DVPOs in NI as a matter of urgency. </w:t>
      </w:r>
    </w:p>
    <w:p w:rsidR="00CE0D00" w:rsidRPr="00105456" w:rsidRDefault="00CE0D00" w:rsidP="00105456">
      <w:pPr>
        <w:pStyle w:val="NoSpacing"/>
        <w:rPr>
          <w:rFonts w:ascii="Verdana" w:hAnsi="Verdana"/>
          <w:b/>
          <w:sz w:val="24"/>
          <w:szCs w:val="24"/>
        </w:rPr>
      </w:pPr>
    </w:p>
    <w:p w:rsidR="00B70F15" w:rsidRDefault="00B70F15" w:rsidP="00105456">
      <w:pPr>
        <w:pStyle w:val="NoSpacing"/>
        <w:rPr>
          <w:rFonts w:ascii="Verdana" w:hAnsi="Verdana"/>
          <w:b/>
          <w:sz w:val="24"/>
          <w:szCs w:val="24"/>
          <w:u w:val="single"/>
        </w:rPr>
      </w:pPr>
      <w:r w:rsidRPr="00105456">
        <w:rPr>
          <w:rFonts w:ascii="Verdana" w:hAnsi="Verdana"/>
          <w:b/>
          <w:sz w:val="24"/>
          <w:szCs w:val="24"/>
          <w:u w:val="single"/>
        </w:rPr>
        <w:t>Counter-terrorism measures (arts 7,9,10, 14 and 16)</w:t>
      </w:r>
    </w:p>
    <w:p w:rsidR="00CE0D00" w:rsidRPr="00105456" w:rsidRDefault="00CE0D00" w:rsidP="00105456">
      <w:pPr>
        <w:pStyle w:val="NoSpacing"/>
        <w:rPr>
          <w:rFonts w:ascii="Verdana" w:hAnsi="Verdana"/>
          <w:b/>
          <w:sz w:val="24"/>
          <w:szCs w:val="24"/>
          <w:u w:val="single"/>
        </w:rPr>
      </w:pPr>
    </w:p>
    <w:p w:rsidR="00B70F15" w:rsidRPr="00105456" w:rsidRDefault="007B1036" w:rsidP="00105456">
      <w:pPr>
        <w:pStyle w:val="NoSpacing"/>
        <w:rPr>
          <w:rFonts w:ascii="Verdana" w:hAnsi="Verdana" w:cs="ArialMT"/>
          <w:sz w:val="24"/>
          <w:szCs w:val="24"/>
        </w:rPr>
      </w:pPr>
      <w:r>
        <w:rPr>
          <w:rFonts w:ascii="Verdana" w:hAnsi="Verdana"/>
          <w:sz w:val="24"/>
          <w:szCs w:val="24"/>
        </w:rPr>
        <w:t xml:space="preserve">5.1 </w:t>
      </w:r>
      <w:r w:rsidR="00B70F15" w:rsidRPr="00105456">
        <w:rPr>
          <w:rFonts w:ascii="Verdana" w:hAnsi="Verdana"/>
          <w:sz w:val="24"/>
          <w:szCs w:val="24"/>
        </w:rPr>
        <w:t xml:space="preserve">The Independent Reviewer of Terrorism, Mr David Anderson QC has referred to the definition of terrorism within the Terrorism Act 2000 as </w:t>
      </w:r>
      <w:r w:rsidR="00B70F15" w:rsidRPr="00105456">
        <w:rPr>
          <w:rFonts w:ascii="Verdana" w:hAnsi="Verdana" w:cs="ArialMT"/>
          <w:sz w:val="24"/>
          <w:szCs w:val="24"/>
        </w:rPr>
        <w:t>“</w:t>
      </w:r>
      <w:r w:rsidR="00B70F15" w:rsidRPr="00105456">
        <w:rPr>
          <w:rFonts w:ascii="Verdana" w:hAnsi="Verdana" w:cs="Arial-ItalicMT"/>
          <w:i/>
          <w:iCs/>
          <w:sz w:val="24"/>
          <w:szCs w:val="24"/>
        </w:rPr>
        <w:t>remarkably broad – absurdly so in some cases</w:t>
      </w:r>
      <w:r w:rsidR="00B70F15" w:rsidRPr="00105456">
        <w:rPr>
          <w:rFonts w:ascii="Verdana" w:hAnsi="Verdana" w:cs="ArialMT"/>
          <w:sz w:val="24"/>
          <w:szCs w:val="24"/>
        </w:rPr>
        <w:t>”.</w:t>
      </w:r>
      <w:r w:rsidR="00B70F15" w:rsidRPr="00105456">
        <w:rPr>
          <w:rStyle w:val="EndnoteReference"/>
          <w:rFonts w:ascii="Verdana" w:hAnsi="Verdana" w:cs="ArialMT"/>
          <w:sz w:val="24"/>
          <w:szCs w:val="24"/>
        </w:rPr>
        <w:endnoteReference w:id="32"/>
      </w:r>
      <w:r w:rsidR="00B70F15" w:rsidRPr="00105456">
        <w:rPr>
          <w:rFonts w:ascii="Verdana" w:hAnsi="Verdana" w:cs="ArialMT"/>
          <w:sz w:val="24"/>
          <w:szCs w:val="24"/>
        </w:rPr>
        <w:t xml:space="preserve"> The UK Supreme Court has stated that “</w:t>
      </w:r>
      <w:r w:rsidR="00B70F15" w:rsidRPr="00105456">
        <w:rPr>
          <w:rFonts w:ascii="Verdana" w:hAnsi="Verdana" w:cs="Arial-ItalicMT"/>
          <w:i/>
          <w:iCs/>
          <w:sz w:val="24"/>
          <w:szCs w:val="24"/>
        </w:rPr>
        <w:t xml:space="preserve">the concerns and suggestions about the width of the statutory definition of terrorism which Mr Anderson has </w:t>
      </w:r>
      <w:proofErr w:type="gramStart"/>
      <w:r w:rsidR="00B70F15" w:rsidRPr="00105456">
        <w:rPr>
          <w:rFonts w:ascii="Verdana" w:hAnsi="Verdana" w:cs="Arial-ItalicMT"/>
          <w:i/>
          <w:iCs/>
          <w:sz w:val="24"/>
          <w:szCs w:val="24"/>
        </w:rPr>
        <w:t>identified ..</w:t>
      </w:r>
      <w:proofErr w:type="gramEnd"/>
      <w:r w:rsidR="00B70F15" w:rsidRPr="00105456">
        <w:rPr>
          <w:rFonts w:ascii="Verdana" w:hAnsi="Verdana" w:cs="Arial-ItalicMT"/>
          <w:i/>
          <w:iCs/>
          <w:sz w:val="24"/>
          <w:szCs w:val="24"/>
        </w:rPr>
        <w:t xml:space="preserve"> </w:t>
      </w:r>
      <w:proofErr w:type="gramStart"/>
      <w:r w:rsidR="00B70F15" w:rsidRPr="00105456">
        <w:rPr>
          <w:rFonts w:ascii="Verdana" w:hAnsi="Verdana" w:cs="Arial-ItalicMT"/>
          <w:i/>
          <w:iCs/>
          <w:sz w:val="24"/>
          <w:szCs w:val="24"/>
        </w:rPr>
        <w:t>merit</w:t>
      </w:r>
      <w:proofErr w:type="gramEnd"/>
      <w:r w:rsidR="00B70F15" w:rsidRPr="00105456">
        <w:rPr>
          <w:rFonts w:ascii="Verdana" w:hAnsi="Verdana" w:cs="Arial-ItalicMT"/>
          <w:i/>
          <w:iCs/>
          <w:sz w:val="24"/>
          <w:szCs w:val="24"/>
        </w:rPr>
        <w:t xml:space="preserve"> serious consideration</w:t>
      </w:r>
      <w:r w:rsidR="00B70F15" w:rsidRPr="00105456">
        <w:rPr>
          <w:rFonts w:ascii="Verdana" w:hAnsi="Verdana" w:cs="ArialMT"/>
          <w:sz w:val="24"/>
          <w:szCs w:val="24"/>
        </w:rPr>
        <w:t>”.</w:t>
      </w:r>
      <w:r w:rsidR="00B70F15" w:rsidRPr="00105456">
        <w:rPr>
          <w:rStyle w:val="EndnoteReference"/>
          <w:rFonts w:ascii="Verdana" w:hAnsi="Verdana" w:cs="ArialMT"/>
          <w:sz w:val="24"/>
          <w:szCs w:val="24"/>
        </w:rPr>
        <w:endnoteReference w:id="33"/>
      </w:r>
      <w:r w:rsidR="00B70F15" w:rsidRPr="00105456">
        <w:rPr>
          <w:rFonts w:ascii="Verdana" w:hAnsi="Verdana" w:cs="ArialMT"/>
          <w:sz w:val="24"/>
          <w:szCs w:val="24"/>
        </w:rPr>
        <w:t xml:space="preserve"> In 2014 the Independent Reviewer of Terrorism recommended </w:t>
      </w:r>
      <w:r w:rsidR="00B70F15" w:rsidRPr="00105456">
        <w:rPr>
          <w:rFonts w:ascii="Verdana" w:hAnsi="Verdana" w:cs="ArialMT"/>
          <w:i/>
          <w:sz w:val="24"/>
          <w:szCs w:val="24"/>
        </w:rPr>
        <w:t>"a thorough review of the criminal law in areas related to national security, focussed on the question of to what extent it is necessary to supplement ordinary rules and procedures"</w:t>
      </w:r>
      <w:r w:rsidR="00B16933" w:rsidRPr="00105456">
        <w:rPr>
          <w:rFonts w:ascii="Verdana" w:hAnsi="Verdana" w:cs="ArialMT"/>
          <w:i/>
          <w:sz w:val="24"/>
          <w:szCs w:val="24"/>
        </w:rPr>
        <w:t>.</w:t>
      </w:r>
      <w:r w:rsidR="00B70F15" w:rsidRPr="00105456">
        <w:rPr>
          <w:rStyle w:val="EndnoteReference"/>
          <w:rFonts w:ascii="Verdana" w:hAnsi="Verdana" w:cs="ArialMT"/>
          <w:i/>
          <w:sz w:val="24"/>
          <w:szCs w:val="24"/>
        </w:rPr>
        <w:endnoteReference w:id="34"/>
      </w:r>
    </w:p>
    <w:p w:rsidR="00B70F15" w:rsidRPr="00105456" w:rsidRDefault="00B70F15" w:rsidP="00105456">
      <w:pPr>
        <w:pStyle w:val="NoSpacing"/>
        <w:rPr>
          <w:rFonts w:ascii="Verdana" w:hAnsi="Verdana" w:cs="ArialMT"/>
          <w:sz w:val="24"/>
          <w:szCs w:val="24"/>
        </w:rPr>
      </w:pPr>
    </w:p>
    <w:p w:rsidR="00B70F15" w:rsidRPr="007B1036" w:rsidRDefault="007B1036" w:rsidP="00105456">
      <w:pPr>
        <w:pStyle w:val="NoSpacing"/>
        <w:rPr>
          <w:rFonts w:ascii="Verdana" w:hAnsi="Verdana" w:cs="ArialMT"/>
          <w:sz w:val="24"/>
          <w:szCs w:val="24"/>
        </w:rPr>
      </w:pPr>
      <w:r>
        <w:rPr>
          <w:rFonts w:ascii="Verdana" w:hAnsi="Verdana" w:cs="ArialMT"/>
          <w:sz w:val="24"/>
          <w:szCs w:val="24"/>
        </w:rPr>
        <w:t xml:space="preserve">5.2 </w:t>
      </w:r>
      <w:r w:rsidR="00B70F15" w:rsidRPr="00105456">
        <w:rPr>
          <w:rFonts w:ascii="Verdana" w:hAnsi="Verdana" w:cs="ArialMT"/>
          <w:sz w:val="24"/>
          <w:szCs w:val="24"/>
        </w:rPr>
        <w:t>In response to this reco</w:t>
      </w:r>
      <w:r w:rsidR="001003A5" w:rsidRPr="00105456">
        <w:rPr>
          <w:rFonts w:ascii="Verdana" w:hAnsi="Verdana" w:cs="ArialMT"/>
          <w:sz w:val="24"/>
          <w:szCs w:val="24"/>
        </w:rPr>
        <w:t>mmendation the Home Secretary</w:t>
      </w:r>
      <w:r w:rsidR="00B70F15" w:rsidRPr="00105456">
        <w:rPr>
          <w:rFonts w:ascii="Verdana" w:hAnsi="Verdana" w:cs="ArialMT"/>
          <w:sz w:val="24"/>
          <w:szCs w:val="24"/>
        </w:rPr>
        <w:t xml:space="preserve"> Theresa May MP stated: </w:t>
      </w:r>
      <w:r w:rsidR="00B70F15" w:rsidRPr="00105456">
        <w:rPr>
          <w:rFonts w:ascii="Verdana" w:hAnsi="Verdana" w:cs="ArialMT"/>
          <w:i/>
          <w:sz w:val="24"/>
          <w:szCs w:val="24"/>
        </w:rPr>
        <w:t>"I remain ever mindful of the complexity and fluidity of changing political events in the terrorism context and its ability to evolve and diversify at great speed. This environment demonstrates the importance of having a flexible statutory framework - with appropriate safeguards – to ensure that our law enforcement and intelligence agencies can continue to disrupt and prosecute those who pose a threat to the public. It is for this reason that I do not think it is the right time to make changes to the statutory definition".</w:t>
      </w:r>
      <w:r w:rsidR="00B70F15" w:rsidRPr="00105456">
        <w:rPr>
          <w:rStyle w:val="EndnoteReference"/>
          <w:rFonts w:ascii="Verdana" w:hAnsi="Verdana" w:cs="ArialMT"/>
          <w:i/>
          <w:sz w:val="24"/>
          <w:szCs w:val="24"/>
        </w:rPr>
        <w:endnoteReference w:id="35"/>
      </w:r>
      <w:r>
        <w:rPr>
          <w:rFonts w:ascii="Verdana" w:hAnsi="Verdana" w:cs="ArialMT"/>
          <w:sz w:val="24"/>
          <w:szCs w:val="24"/>
        </w:rPr>
        <w:t xml:space="preserve"> </w:t>
      </w:r>
      <w:r w:rsidR="00B70F15" w:rsidRPr="00105456">
        <w:rPr>
          <w:rFonts w:ascii="Verdana" w:hAnsi="Verdana"/>
          <w:sz w:val="24"/>
          <w:szCs w:val="24"/>
        </w:rPr>
        <w:t xml:space="preserve">The Home Secretary further noted a number of ongoing legal cases relating to the definition of terrorism. </w:t>
      </w:r>
      <w:r w:rsidR="00B70F15" w:rsidRPr="00105456">
        <w:rPr>
          <w:rStyle w:val="EndnoteReference"/>
          <w:rFonts w:ascii="Verdana" w:hAnsi="Verdana"/>
          <w:sz w:val="24"/>
          <w:szCs w:val="24"/>
        </w:rPr>
        <w:endnoteReference w:id="36"/>
      </w:r>
    </w:p>
    <w:p w:rsidR="00CE0D00" w:rsidRPr="00105456" w:rsidRDefault="00CE0D00" w:rsidP="00105456">
      <w:pPr>
        <w:pStyle w:val="NoSpacing"/>
        <w:rPr>
          <w:rFonts w:ascii="Verdana" w:hAnsi="Verdana"/>
          <w:sz w:val="24"/>
          <w:szCs w:val="24"/>
        </w:rPr>
      </w:pPr>
    </w:p>
    <w:p w:rsidR="00B70F15" w:rsidRDefault="00B70F15" w:rsidP="00105456">
      <w:pPr>
        <w:pStyle w:val="NoSpacing"/>
        <w:rPr>
          <w:rFonts w:ascii="Verdana" w:hAnsi="Verdana"/>
          <w:b/>
          <w:sz w:val="24"/>
          <w:szCs w:val="24"/>
        </w:rPr>
      </w:pPr>
      <w:r w:rsidRPr="00105456">
        <w:rPr>
          <w:rFonts w:ascii="Verdana" w:hAnsi="Verdana"/>
          <w:b/>
          <w:sz w:val="24"/>
          <w:szCs w:val="24"/>
        </w:rPr>
        <w:t xml:space="preserve">The Committee may wish to recommend that, in line with the recommendation of the Independent Reviewer, the </w:t>
      </w:r>
      <w:r w:rsidR="007B1036">
        <w:rPr>
          <w:rFonts w:ascii="Verdana" w:hAnsi="Verdana"/>
          <w:b/>
          <w:sz w:val="24"/>
          <w:szCs w:val="24"/>
        </w:rPr>
        <w:t>State Party</w:t>
      </w:r>
      <w:r w:rsidRPr="00105456">
        <w:rPr>
          <w:rFonts w:ascii="Verdana" w:hAnsi="Verdana"/>
          <w:b/>
          <w:sz w:val="24"/>
          <w:szCs w:val="24"/>
        </w:rPr>
        <w:t xml:space="preserve"> conducts a thorough review of the criminal law in areas related to national security, focussed on the question of to what extent it is necessary to supplement ordinary rules and procedures. </w:t>
      </w:r>
    </w:p>
    <w:p w:rsidR="00A645EE" w:rsidRDefault="00A645EE" w:rsidP="00105456">
      <w:pPr>
        <w:pStyle w:val="NoSpacing"/>
        <w:rPr>
          <w:rFonts w:ascii="Verdana" w:hAnsi="Verdana"/>
          <w:b/>
          <w:sz w:val="24"/>
          <w:szCs w:val="24"/>
          <w:u w:val="single"/>
        </w:rPr>
      </w:pPr>
    </w:p>
    <w:p w:rsidR="00B70F15" w:rsidRPr="00105456" w:rsidRDefault="00B70F15" w:rsidP="00105456">
      <w:pPr>
        <w:pStyle w:val="NoSpacing"/>
        <w:rPr>
          <w:rFonts w:ascii="Verdana" w:hAnsi="Verdana"/>
          <w:b/>
          <w:sz w:val="24"/>
          <w:szCs w:val="24"/>
          <w:u w:val="single"/>
        </w:rPr>
      </w:pPr>
      <w:r w:rsidRPr="00105456">
        <w:rPr>
          <w:rFonts w:ascii="Verdana" w:hAnsi="Verdana"/>
          <w:b/>
          <w:sz w:val="24"/>
          <w:szCs w:val="24"/>
          <w:u w:val="single"/>
        </w:rPr>
        <w:t>Right to life and prohibition of torture and other cruel, inhuman or degrading treatment or punishment (arts. 2</w:t>
      </w:r>
      <w:proofErr w:type="gramStart"/>
      <w:r w:rsidRPr="00105456">
        <w:rPr>
          <w:rFonts w:ascii="Verdana" w:hAnsi="Verdana"/>
          <w:b/>
          <w:sz w:val="24"/>
          <w:szCs w:val="24"/>
          <w:u w:val="single"/>
        </w:rPr>
        <w:t>,6</w:t>
      </w:r>
      <w:proofErr w:type="gramEnd"/>
      <w:r w:rsidRPr="00105456">
        <w:rPr>
          <w:rFonts w:ascii="Verdana" w:hAnsi="Verdana"/>
          <w:b/>
          <w:sz w:val="24"/>
          <w:szCs w:val="24"/>
          <w:u w:val="single"/>
        </w:rPr>
        <w:t xml:space="preserve">, 7, 9, 10 and 16) </w:t>
      </w:r>
    </w:p>
    <w:p w:rsidR="00B70F15" w:rsidRPr="00105456" w:rsidRDefault="00B70F15" w:rsidP="00105456">
      <w:pPr>
        <w:pStyle w:val="NoSpacing"/>
        <w:rPr>
          <w:rFonts w:ascii="Verdana" w:hAnsi="Verdana"/>
          <w:b/>
          <w:sz w:val="24"/>
          <w:szCs w:val="24"/>
        </w:rPr>
      </w:pPr>
    </w:p>
    <w:p w:rsidR="00B70F15" w:rsidRPr="00105456" w:rsidRDefault="00B70F15" w:rsidP="00105456">
      <w:pPr>
        <w:pStyle w:val="NoSpacing"/>
        <w:rPr>
          <w:rFonts w:ascii="Verdana" w:hAnsi="Verdana"/>
          <w:i/>
          <w:sz w:val="24"/>
          <w:szCs w:val="24"/>
        </w:rPr>
      </w:pPr>
      <w:r w:rsidRPr="00105456">
        <w:rPr>
          <w:rFonts w:ascii="Verdana" w:hAnsi="Verdana"/>
          <w:i/>
          <w:sz w:val="24"/>
          <w:szCs w:val="24"/>
        </w:rPr>
        <w:t xml:space="preserve">Conflict related deaths (Paragraph 13 List of Issues) </w:t>
      </w:r>
    </w:p>
    <w:p w:rsidR="00B70F15" w:rsidRPr="00105456" w:rsidRDefault="00B70F15" w:rsidP="00105456">
      <w:pPr>
        <w:pStyle w:val="NoSpacing"/>
        <w:rPr>
          <w:rFonts w:ascii="Verdana" w:hAnsi="Verdana" w:cs="TT17At00"/>
          <w:sz w:val="24"/>
          <w:szCs w:val="24"/>
        </w:rPr>
      </w:pPr>
    </w:p>
    <w:p w:rsidR="00B70F15" w:rsidRPr="00105456" w:rsidRDefault="007B1036" w:rsidP="00105456">
      <w:pPr>
        <w:pStyle w:val="NoSpacing"/>
        <w:rPr>
          <w:rFonts w:ascii="Verdana" w:eastAsia="Times New Roman" w:hAnsi="Verdana" w:cs="Times New Roman"/>
          <w:color w:val="111111"/>
          <w:sz w:val="24"/>
          <w:szCs w:val="24"/>
          <w:lang w:eastAsia="en-GB"/>
        </w:rPr>
      </w:pPr>
      <w:r>
        <w:rPr>
          <w:rFonts w:ascii="Verdana" w:hAnsi="Verdana" w:cs="TT17At00"/>
          <w:sz w:val="24"/>
          <w:szCs w:val="24"/>
        </w:rPr>
        <w:t xml:space="preserve">6.1 </w:t>
      </w:r>
      <w:r w:rsidR="00B70F15" w:rsidRPr="00105456">
        <w:rPr>
          <w:rFonts w:ascii="Verdana" w:hAnsi="Verdana" w:cs="TT17At00"/>
          <w:sz w:val="24"/>
          <w:szCs w:val="24"/>
        </w:rPr>
        <w:t>In its earlier submission</w:t>
      </w:r>
      <w:r w:rsidR="0085477D" w:rsidRPr="00105456">
        <w:rPr>
          <w:rFonts w:ascii="Verdana" w:hAnsi="Verdana" w:cs="TT17At00"/>
          <w:sz w:val="24"/>
          <w:szCs w:val="24"/>
        </w:rPr>
        <w:t>,</w:t>
      </w:r>
      <w:r w:rsidR="00B70F15" w:rsidRPr="00105456">
        <w:rPr>
          <w:rFonts w:ascii="Verdana" w:hAnsi="Verdana" w:cs="TT17At00"/>
          <w:sz w:val="24"/>
          <w:szCs w:val="24"/>
        </w:rPr>
        <w:t xml:space="preserve"> the Commission referred to the </w:t>
      </w:r>
      <w:r w:rsidR="00B70F15" w:rsidRPr="00105456">
        <w:rPr>
          <w:rFonts w:ascii="Verdana" w:eastAsia="Times New Roman" w:hAnsi="Verdana" w:cs="Times New Roman"/>
          <w:color w:val="111111"/>
          <w:sz w:val="24"/>
          <w:szCs w:val="24"/>
          <w:lang w:eastAsia="en-GB"/>
        </w:rPr>
        <w:t>administrative scheme established by the UK Government by which ‘comfort letters’ were issued to  individuals living outside of the UK, who believed they m</w:t>
      </w:r>
      <w:r>
        <w:rPr>
          <w:rFonts w:ascii="Verdana" w:eastAsia="Times New Roman" w:hAnsi="Verdana" w:cs="Times New Roman"/>
          <w:color w:val="111111"/>
          <w:sz w:val="24"/>
          <w:szCs w:val="24"/>
          <w:lang w:eastAsia="en-GB"/>
        </w:rPr>
        <w:t>ay</w:t>
      </w:r>
      <w:r w:rsidR="00B70F15" w:rsidRPr="00105456">
        <w:rPr>
          <w:rFonts w:ascii="Verdana" w:eastAsia="Times New Roman" w:hAnsi="Verdana" w:cs="Times New Roman"/>
          <w:color w:val="111111"/>
          <w:sz w:val="24"/>
          <w:szCs w:val="24"/>
          <w:lang w:eastAsia="en-GB"/>
        </w:rPr>
        <w:t xml:space="preserve"> face questioning or arrest in connection with terrorist or other criminal offences relating to the conflict </w:t>
      </w:r>
      <w:r w:rsidR="00B70F15" w:rsidRPr="00105456">
        <w:rPr>
          <w:rFonts w:ascii="Verdana" w:hAnsi="Verdana"/>
          <w:sz w:val="24"/>
          <w:szCs w:val="24"/>
        </w:rPr>
        <w:t>in</w:t>
      </w:r>
      <w:r w:rsidR="00B70F15" w:rsidRPr="00105456">
        <w:rPr>
          <w:rFonts w:ascii="Verdana" w:eastAsia="Times New Roman" w:hAnsi="Verdana" w:cs="Times New Roman"/>
          <w:color w:val="111111"/>
          <w:sz w:val="24"/>
          <w:szCs w:val="24"/>
          <w:lang w:eastAsia="en-GB"/>
        </w:rPr>
        <w:t xml:space="preserve"> </w:t>
      </w:r>
      <w:r w:rsidR="001A4EED" w:rsidRPr="00105456">
        <w:rPr>
          <w:rFonts w:ascii="Verdana" w:eastAsia="Times New Roman" w:hAnsi="Verdana" w:cs="Times New Roman"/>
          <w:color w:val="111111"/>
          <w:sz w:val="24"/>
          <w:szCs w:val="24"/>
          <w:lang w:eastAsia="en-GB"/>
        </w:rPr>
        <w:t>NI</w:t>
      </w:r>
      <w:r w:rsidR="00B70F15" w:rsidRPr="00105456">
        <w:rPr>
          <w:rFonts w:ascii="Verdana" w:eastAsia="Times New Roman" w:hAnsi="Verdana" w:cs="Times New Roman"/>
          <w:color w:val="111111"/>
          <w:sz w:val="24"/>
          <w:szCs w:val="24"/>
          <w:lang w:eastAsia="en-GB"/>
        </w:rPr>
        <w:t xml:space="preserve"> if they returned to the UK.</w:t>
      </w:r>
      <w:r w:rsidR="00B70F15" w:rsidRPr="00105456">
        <w:rPr>
          <w:rFonts w:ascii="Verdana" w:eastAsia="Times New Roman" w:hAnsi="Verdana" w:cs="Times New Roman"/>
          <w:color w:val="111111"/>
          <w:sz w:val="24"/>
          <w:szCs w:val="24"/>
          <w:vertAlign w:val="superscript"/>
          <w:lang w:eastAsia="en-GB"/>
        </w:rPr>
        <w:endnoteReference w:id="37"/>
      </w:r>
      <w:r w:rsidR="00B70F15" w:rsidRPr="00105456">
        <w:rPr>
          <w:rFonts w:ascii="Verdana" w:eastAsia="Times New Roman" w:hAnsi="Verdana" w:cs="Times New Roman"/>
          <w:color w:val="111111"/>
          <w:sz w:val="24"/>
          <w:szCs w:val="24"/>
          <w:lang w:eastAsia="en-GB"/>
        </w:rPr>
        <w:t xml:space="preserve"> In addition to the Report by Lady Justice </w:t>
      </w:r>
      <w:proofErr w:type="spellStart"/>
      <w:r w:rsidR="00B70F15" w:rsidRPr="00105456">
        <w:rPr>
          <w:rFonts w:ascii="Verdana" w:eastAsia="Times New Roman" w:hAnsi="Verdana" w:cs="Times New Roman"/>
          <w:color w:val="111111"/>
          <w:sz w:val="24"/>
          <w:szCs w:val="24"/>
          <w:lang w:eastAsia="en-GB"/>
        </w:rPr>
        <w:t>Hallett</w:t>
      </w:r>
      <w:proofErr w:type="spellEnd"/>
      <w:r w:rsidR="00B70F15" w:rsidRPr="00105456">
        <w:rPr>
          <w:rFonts w:ascii="Verdana" w:eastAsia="Times New Roman" w:hAnsi="Verdana" w:cs="Times New Roman"/>
          <w:color w:val="111111"/>
          <w:sz w:val="24"/>
          <w:szCs w:val="24"/>
          <w:lang w:eastAsia="en-GB"/>
        </w:rPr>
        <w:t>, a Committee of the House of Commons (Parliamentary Committee) has now reported on the operation of the administrative scheme.</w:t>
      </w:r>
      <w:r w:rsidR="00B70F15" w:rsidRPr="00105456">
        <w:rPr>
          <w:rStyle w:val="EndnoteReference"/>
          <w:rFonts w:ascii="Verdana" w:eastAsia="Times New Roman" w:hAnsi="Verdana" w:cs="Times New Roman"/>
          <w:color w:val="111111"/>
          <w:sz w:val="24"/>
          <w:szCs w:val="24"/>
          <w:lang w:eastAsia="en-GB"/>
        </w:rPr>
        <w:endnoteReference w:id="38"/>
      </w:r>
      <w:r w:rsidR="00B70F15" w:rsidRPr="00105456">
        <w:rPr>
          <w:rFonts w:ascii="Verdana" w:eastAsia="Times New Roman" w:hAnsi="Verdana" w:cs="Times New Roman"/>
          <w:color w:val="111111"/>
          <w:sz w:val="24"/>
          <w:szCs w:val="24"/>
          <w:lang w:eastAsia="en-GB"/>
        </w:rPr>
        <w:t xml:space="preserve"> The Parliamentary Committee noted that the impact of a ‘comfort letter’ on any future prosecution of a recipient remains unclear.</w:t>
      </w:r>
      <w:r w:rsidR="00B70F15" w:rsidRPr="00105456">
        <w:rPr>
          <w:rFonts w:ascii="Verdana" w:eastAsia="Times New Roman" w:hAnsi="Verdana" w:cs="Times New Roman"/>
          <w:color w:val="111111"/>
          <w:sz w:val="24"/>
          <w:szCs w:val="24"/>
          <w:vertAlign w:val="superscript"/>
          <w:lang w:eastAsia="en-GB"/>
        </w:rPr>
        <w:endnoteReference w:id="39"/>
      </w:r>
      <w:r w:rsidR="00B70F15" w:rsidRPr="00105456">
        <w:rPr>
          <w:rFonts w:ascii="Verdana" w:eastAsia="Times New Roman" w:hAnsi="Verdana" w:cs="Times New Roman"/>
          <w:color w:val="111111"/>
          <w:sz w:val="24"/>
          <w:szCs w:val="24"/>
          <w:lang w:eastAsia="en-GB"/>
        </w:rPr>
        <w:t xml:space="preserve"> This issue is yet to be tested by the courts. The Parliamentary Committee recommended: </w:t>
      </w:r>
    </w:p>
    <w:p w:rsidR="00B70F15" w:rsidRPr="00105456" w:rsidRDefault="00B70F15" w:rsidP="00105456">
      <w:pPr>
        <w:pStyle w:val="NoSpacing"/>
        <w:rPr>
          <w:rFonts w:ascii="Verdana" w:eastAsia="Times New Roman" w:hAnsi="Verdana" w:cs="Times New Roman"/>
          <w:color w:val="111111"/>
          <w:sz w:val="24"/>
          <w:szCs w:val="24"/>
          <w:lang w:eastAsia="en-GB"/>
        </w:rPr>
      </w:pPr>
    </w:p>
    <w:p w:rsidR="00B70F15" w:rsidRPr="00105456" w:rsidRDefault="00B70F15" w:rsidP="00105456">
      <w:pPr>
        <w:pStyle w:val="NoSpacing"/>
        <w:rPr>
          <w:rFonts w:ascii="Verdana" w:eastAsia="Times New Roman" w:hAnsi="Verdana" w:cs="Times New Roman"/>
          <w:i/>
          <w:color w:val="111111"/>
          <w:sz w:val="24"/>
          <w:szCs w:val="24"/>
          <w:lang w:eastAsia="en-GB"/>
        </w:rPr>
      </w:pPr>
      <w:r w:rsidRPr="00105456">
        <w:rPr>
          <w:rFonts w:ascii="Verdana" w:eastAsia="Times New Roman" w:hAnsi="Verdana" w:cs="Times New Roman"/>
          <w:i/>
          <w:color w:val="111111"/>
          <w:sz w:val="24"/>
          <w:szCs w:val="24"/>
          <w:lang w:eastAsia="en-GB"/>
        </w:rPr>
        <w:t xml:space="preserve">“The Government should set its mind to ensuring that all necessary steps are taken, including, if necessary, introducing legislation to ensure the letters </w:t>
      </w:r>
      <w:proofErr w:type="gramStart"/>
      <w:r w:rsidRPr="00105456">
        <w:rPr>
          <w:rFonts w:ascii="Verdana" w:eastAsia="Times New Roman" w:hAnsi="Verdana" w:cs="Times New Roman"/>
          <w:i/>
          <w:color w:val="111111"/>
          <w:sz w:val="24"/>
          <w:szCs w:val="24"/>
          <w:lang w:eastAsia="en-GB"/>
        </w:rPr>
        <w:t>have</w:t>
      </w:r>
      <w:proofErr w:type="gramEnd"/>
      <w:r w:rsidRPr="00105456">
        <w:rPr>
          <w:rFonts w:ascii="Verdana" w:eastAsia="Times New Roman" w:hAnsi="Verdana" w:cs="Times New Roman"/>
          <w:i/>
          <w:color w:val="111111"/>
          <w:sz w:val="24"/>
          <w:szCs w:val="24"/>
          <w:lang w:eastAsia="en-GB"/>
        </w:rPr>
        <w:t xml:space="preserve"> no legal effect.” </w:t>
      </w:r>
      <w:r w:rsidRPr="00105456">
        <w:rPr>
          <w:rFonts w:ascii="Verdana" w:eastAsia="Times New Roman" w:hAnsi="Verdana" w:cs="Times New Roman"/>
          <w:i/>
          <w:color w:val="111111"/>
          <w:sz w:val="24"/>
          <w:szCs w:val="24"/>
          <w:vertAlign w:val="superscript"/>
          <w:lang w:eastAsia="en-GB"/>
        </w:rPr>
        <w:endnoteReference w:id="40"/>
      </w:r>
    </w:p>
    <w:p w:rsidR="00B70F15" w:rsidRPr="00105456" w:rsidRDefault="00B70F15" w:rsidP="00105456">
      <w:pPr>
        <w:pStyle w:val="NoSpacing"/>
        <w:rPr>
          <w:rFonts w:ascii="Verdana" w:eastAsia="Times New Roman" w:hAnsi="Verdana" w:cs="Times New Roman"/>
          <w:color w:val="111111"/>
          <w:sz w:val="24"/>
          <w:szCs w:val="24"/>
          <w:lang w:eastAsia="en-GB"/>
        </w:rPr>
      </w:pPr>
    </w:p>
    <w:p w:rsidR="00DA6C3F" w:rsidRPr="00105456" w:rsidRDefault="00017CA2" w:rsidP="00105456">
      <w:pPr>
        <w:pStyle w:val="NoSpacing"/>
        <w:rPr>
          <w:rFonts w:ascii="Verdana" w:eastAsia="Times New Roman" w:hAnsi="Verdana" w:cs="Times New Roman"/>
          <w:color w:val="111111"/>
          <w:sz w:val="24"/>
          <w:szCs w:val="24"/>
          <w:lang w:eastAsia="en-GB"/>
        </w:rPr>
      </w:pPr>
      <w:r>
        <w:rPr>
          <w:rFonts w:ascii="Verdana" w:eastAsia="Times New Roman" w:hAnsi="Verdana" w:cs="Times New Roman"/>
          <w:color w:val="111111"/>
          <w:sz w:val="24"/>
          <w:szCs w:val="24"/>
          <w:lang w:eastAsia="en-GB"/>
        </w:rPr>
        <w:t xml:space="preserve">6.2 </w:t>
      </w:r>
      <w:r w:rsidR="00B70F15" w:rsidRPr="00105456">
        <w:rPr>
          <w:rFonts w:ascii="Verdana" w:eastAsia="Times New Roman" w:hAnsi="Verdana" w:cs="Times New Roman"/>
          <w:color w:val="111111"/>
          <w:sz w:val="24"/>
          <w:szCs w:val="24"/>
          <w:lang w:eastAsia="en-GB"/>
        </w:rPr>
        <w:t xml:space="preserve">The Commission considers that the establishment and operation of the administrative scheme </w:t>
      </w:r>
      <w:r w:rsidR="00DA6C3F" w:rsidRPr="00105456">
        <w:rPr>
          <w:rFonts w:ascii="Verdana" w:eastAsia="Times New Roman" w:hAnsi="Verdana" w:cs="Times New Roman"/>
          <w:color w:val="111111"/>
          <w:sz w:val="24"/>
          <w:szCs w:val="24"/>
          <w:lang w:eastAsia="en-GB"/>
        </w:rPr>
        <w:t xml:space="preserve">‘below the radar’ </w:t>
      </w:r>
      <w:r w:rsidR="00B70F15" w:rsidRPr="00105456">
        <w:rPr>
          <w:rFonts w:ascii="Verdana" w:eastAsia="Times New Roman" w:hAnsi="Verdana" w:cs="Times New Roman"/>
          <w:color w:val="111111"/>
          <w:sz w:val="24"/>
          <w:szCs w:val="24"/>
          <w:lang w:eastAsia="en-GB"/>
        </w:rPr>
        <w:t>was counter to the principles of good governance as developed by the UN Human Rights Council.</w:t>
      </w:r>
      <w:r w:rsidR="00B70F15" w:rsidRPr="00105456">
        <w:rPr>
          <w:rFonts w:ascii="Verdana" w:eastAsia="Times New Roman" w:hAnsi="Verdana" w:cs="Times New Roman"/>
          <w:color w:val="111111"/>
          <w:sz w:val="24"/>
          <w:szCs w:val="24"/>
          <w:vertAlign w:val="superscript"/>
          <w:lang w:eastAsia="en-GB"/>
        </w:rPr>
        <w:endnoteReference w:id="41"/>
      </w:r>
      <w:r w:rsidR="00B70F15" w:rsidRPr="00105456">
        <w:rPr>
          <w:rFonts w:ascii="Verdana" w:eastAsia="Times New Roman" w:hAnsi="Verdana" w:cs="Times New Roman"/>
          <w:color w:val="111111"/>
          <w:sz w:val="24"/>
          <w:szCs w:val="24"/>
          <w:lang w:eastAsia="en-GB"/>
        </w:rPr>
        <w:t xml:space="preserve"> </w:t>
      </w:r>
      <w:r w:rsidR="00F46FBD" w:rsidRPr="00105456">
        <w:rPr>
          <w:rFonts w:ascii="Verdana" w:eastAsia="Times New Roman" w:hAnsi="Verdana" w:cs="Times New Roman"/>
          <w:color w:val="111111"/>
          <w:sz w:val="24"/>
          <w:szCs w:val="24"/>
          <w:lang w:eastAsia="en-GB"/>
        </w:rPr>
        <w:t>This</w:t>
      </w:r>
      <w:r w:rsidR="00B70F15" w:rsidRPr="00105456">
        <w:rPr>
          <w:rFonts w:ascii="Verdana" w:eastAsia="Times New Roman" w:hAnsi="Verdana" w:cs="Times New Roman"/>
          <w:color w:val="111111"/>
          <w:sz w:val="24"/>
          <w:szCs w:val="24"/>
          <w:lang w:eastAsia="en-GB"/>
        </w:rPr>
        <w:t xml:space="preserve"> prevented accountability to democratic institutions of the state and </w:t>
      </w:r>
      <w:r w:rsidR="00F33247" w:rsidRPr="00105456">
        <w:rPr>
          <w:rFonts w:ascii="Verdana" w:eastAsia="Times New Roman" w:hAnsi="Verdana" w:cs="Times New Roman"/>
          <w:color w:val="111111"/>
          <w:sz w:val="24"/>
          <w:szCs w:val="24"/>
          <w:lang w:eastAsia="en-GB"/>
        </w:rPr>
        <w:t>restricted</w:t>
      </w:r>
      <w:r w:rsidR="00B70F15" w:rsidRPr="00105456">
        <w:rPr>
          <w:rFonts w:ascii="Verdana" w:eastAsia="Times New Roman" w:hAnsi="Verdana" w:cs="Times New Roman"/>
          <w:color w:val="111111"/>
          <w:sz w:val="24"/>
          <w:szCs w:val="24"/>
          <w:lang w:eastAsia="en-GB"/>
        </w:rPr>
        <w:t xml:space="preserve"> consideration of the needs of victims. Furthermore</w:t>
      </w:r>
      <w:r w:rsidR="0085477D" w:rsidRPr="00105456">
        <w:rPr>
          <w:rFonts w:ascii="Verdana" w:eastAsia="Times New Roman" w:hAnsi="Verdana" w:cs="Times New Roman"/>
          <w:color w:val="111111"/>
          <w:sz w:val="24"/>
          <w:szCs w:val="24"/>
          <w:lang w:eastAsia="en-GB"/>
        </w:rPr>
        <w:t>,</w:t>
      </w:r>
      <w:r w:rsidR="00B70F15" w:rsidRPr="00105456">
        <w:rPr>
          <w:rFonts w:ascii="Verdana" w:eastAsia="Times New Roman" w:hAnsi="Verdana" w:cs="Times New Roman"/>
          <w:color w:val="111111"/>
          <w:sz w:val="24"/>
          <w:szCs w:val="24"/>
          <w:lang w:eastAsia="en-GB"/>
        </w:rPr>
        <w:t xml:space="preserve"> the </w:t>
      </w:r>
      <w:r w:rsidR="00DA6C3F" w:rsidRPr="00105456">
        <w:rPr>
          <w:rFonts w:ascii="Verdana" w:eastAsia="Times New Roman" w:hAnsi="Verdana" w:cs="Times New Roman"/>
          <w:color w:val="111111"/>
          <w:sz w:val="24"/>
          <w:szCs w:val="24"/>
          <w:lang w:eastAsia="en-GB"/>
        </w:rPr>
        <w:t>scheme operated without proper structure or policy creating considerable scope for error.</w:t>
      </w:r>
      <w:r w:rsidR="00DA6C3F" w:rsidRPr="00105456">
        <w:rPr>
          <w:rStyle w:val="EndnoteReference"/>
          <w:rFonts w:ascii="Verdana" w:eastAsia="Times New Roman" w:hAnsi="Verdana" w:cs="Times New Roman"/>
          <w:color w:val="111111"/>
          <w:sz w:val="24"/>
          <w:szCs w:val="24"/>
          <w:lang w:eastAsia="en-GB"/>
        </w:rPr>
        <w:endnoteReference w:id="42"/>
      </w:r>
      <w:r w:rsidR="00DA6C3F" w:rsidRPr="00105456">
        <w:rPr>
          <w:rFonts w:ascii="Verdana" w:eastAsia="Times New Roman" w:hAnsi="Verdana" w:cs="Times New Roman"/>
          <w:color w:val="111111"/>
          <w:sz w:val="24"/>
          <w:szCs w:val="24"/>
          <w:lang w:eastAsia="en-GB"/>
        </w:rPr>
        <w:t xml:space="preserve"> Indeed Lady </w:t>
      </w:r>
      <w:proofErr w:type="spellStart"/>
      <w:r w:rsidR="00DA6C3F" w:rsidRPr="00105456">
        <w:rPr>
          <w:rFonts w:ascii="Verdana" w:eastAsia="Times New Roman" w:hAnsi="Verdana" w:cs="Times New Roman"/>
          <w:color w:val="111111"/>
          <w:sz w:val="24"/>
          <w:szCs w:val="24"/>
          <w:lang w:eastAsia="en-GB"/>
        </w:rPr>
        <w:t>Hallett</w:t>
      </w:r>
      <w:proofErr w:type="spellEnd"/>
      <w:r w:rsidR="00DA6C3F" w:rsidRPr="00105456">
        <w:rPr>
          <w:rFonts w:ascii="Verdana" w:eastAsia="Times New Roman" w:hAnsi="Verdana" w:cs="Times New Roman"/>
          <w:color w:val="111111"/>
          <w:sz w:val="24"/>
          <w:szCs w:val="24"/>
          <w:lang w:eastAsia="en-GB"/>
        </w:rPr>
        <w:t xml:space="preserve"> identified system</w:t>
      </w:r>
      <w:r w:rsidR="00F33247" w:rsidRPr="00105456">
        <w:rPr>
          <w:rFonts w:ascii="Verdana" w:eastAsia="Times New Roman" w:hAnsi="Verdana" w:cs="Times New Roman"/>
          <w:color w:val="111111"/>
          <w:sz w:val="24"/>
          <w:szCs w:val="24"/>
          <w:lang w:eastAsia="en-GB"/>
        </w:rPr>
        <w:t>ic</w:t>
      </w:r>
      <w:r w:rsidR="00DA6C3F" w:rsidRPr="00105456">
        <w:rPr>
          <w:rFonts w:ascii="Verdana" w:eastAsia="Times New Roman" w:hAnsi="Verdana" w:cs="Times New Roman"/>
          <w:color w:val="111111"/>
          <w:sz w:val="24"/>
          <w:szCs w:val="24"/>
          <w:lang w:eastAsia="en-GB"/>
        </w:rPr>
        <w:t xml:space="preserve"> failing</w:t>
      </w:r>
      <w:r w:rsidR="00F33247" w:rsidRPr="00105456">
        <w:rPr>
          <w:rFonts w:ascii="Verdana" w:eastAsia="Times New Roman" w:hAnsi="Verdana" w:cs="Times New Roman"/>
          <w:color w:val="111111"/>
          <w:sz w:val="24"/>
          <w:szCs w:val="24"/>
          <w:lang w:eastAsia="en-GB"/>
        </w:rPr>
        <w:t>s</w:t>
      </w:r>
      <w:r w:rsidR="00DA6C3F" w:rsidRPr="00105456">
        <w:rPr>
          <w:rFonts w:ascii="Verdana" w:eastAsia="Times New Roman" w:hAnsi="Verdana" w:cs="Times New Roman"/>
          <w:color w:val="111111"/>
          <w:sz w:val="24"/>
          <w:szCs w:val="24"/>
          <w:lang w:eastAsia="en-GB"/>
        </w:rPr>
        <w:t xml:space="preserve"> in the</w:t>
      </w:r>
      <w:r w:rsidR="00F33247" w:rsidRPr="00105456">
        <w:rPr>
          <w:rFonts w:ascii="Verdana" w:eastAsia="Times New Roman" w:hAnsi="Verdana" w:cs="Times New Roman"/>
          <w:color w:val="111111"/>
          <w:sz w:val="24"/>
          <w:szCs w:val="24"/>
          <w:lang w:eastAsia="en-GB"/>
        </w:rPr>
        <w:t xml:space="preserve"> operation of the scheme</w:t>
      </w:r>
      <w:r w:rsidR="00DA6C3F" w:rsidRPr="00105456">
        <w:rPr>
          <w:rFonts w:ascii="Verdana" w:eastAsia="Times New Roman" w:hAnsi="Verdana" w:cs="Times New Roman"/>
          <w:color w:val="111111"/>
          <w:sz w:val="24"/>
          <w:szCs w:val="24"/>
          <w:lang w:eastAsia="en-GB"/>
        </w:rPr>
        <w:t>.</w:t>
      </w:r>
      <w:r w:rsidR="00DA6C3F" w:rsidRPr="00105456">
        <w:rPr>
          <w:rStyle w:val="EndnoteReference"/>
          <w:rFonts w:ascii="Verdana" w:eastAsia="Times New Roman" w:hAnsi="Verdana" w:cs="Times New Roman"/>
          <w:color w:val="111111"/>
          <w:sz w:val="24"/>
          <w:szCs w:val="24"/>
          <w:lang w:eastAsia="en-GB"/>
        </w:rPr>
        <w:endnoteReference w:id="43"/>
      </w:r>
      <w:r w:rsidR="00F33247" w:rsidRPr="00105456">
        <w:rPr>
          <w:rFonts w:ascii="Verdana" w:eastAsia="Times New Roman" w:hAnsi="Verdana" w:cs="Times New Roman"/>
          <w:color w:val="111111"/>
          <w:sz w:val="24"/>
          <w:szCs w:val="24"/>
          <w:lang w:eastAsia="en-GB"/>
        </w:rPr>
        <w:t xml:space="preserve"> </w:t>
      </w:r>
      <w:r w:rsidR="00DC037C" w:rsidRPr="00105456">
        <w:rPr>
          <w:rFonts w:ascii="Verdana" w:eastAsia="Times New Roman" w:hAnsi="Verdana" w:cs="Times New Roman"/>
          <w:color w:val="111111"/>
          <w:sz w:val="24"/>
          <w:szCs w:val="24"/>
          <w:lang w:eastAsia="en-GB"/>
        </w:rPr>
        <w:t>The Parliamentary Committee further specifically highlighted failings in the case of Gareth O’Connor</w:t>
      </w:r>
      <w:r w:rsidR="00224E8D" w:rsidRPr="00105456">
        <w:rPr>
          <w:rFonts w:ascii="Verdana" w:eastAsia="Times New Roman" w:hAnsi="Verdana" w:cs="Times New Roman"/>
          <w:color w:val="111111"/>
          <w:sz w:val="24"/>
          <w:szCs w:val="24"/>
          <w:lang w:eastAsia="en-GB"/>
        </w:rPr>
        <w:t>. An inquest into the death of Mr O’Connor was stayed by the Coroner pending an investigation by the Police Service of Northern Ireland into one of the suspects in Mr O’Connor’s murder, it emerged during the course of the inquest that this suspect was in receipt of a ‘comfort</w:t>
      </w:r>
      <w:r w:rsidR="00281D93" w:rsidRPr="00105456">
        <w:rPr>
          <w:rFonts w:ascii="Verdana" w:eastAsia="Times New Roman" w:hAnsi="Verdana" w:cs="Times New Roman"/>
          <w:color w:val="111111"/>
          <w:sz w:val="24"/>
          <w:szCs w:val="24"/>
          <w:lang w:eastAsia="en-GB"/>
        </w:rPr>
        <w:t xml:space="preserve"> letter</w:t>
      </w:r>
      <w:r w:rsidR="00224E8D" w:rsidRPr="00105456">
        <w:rPr>
          <w:rFonts w:ascii="Verdana" w:eastAsia="Times New Roman" w:hAnsi="Verdana" w:cs="Times New Roman"/>
          <w:color w:val="111111"/>
          <w:sz w:val="24"/>
          <w:szCs w:val="24"/>
          <w:lang w:eastAsia="en-GB"/>
        </w:rPr>
        <w:t>’, despite the fact that this murder was committed in 2003</w:t>
      </w:r>
      <w:r w:rsidR="00562E31" w:rsidRPr="00105456">
        <w:rPr>
          <w:rFonts w:ascii="Verdana" w:eastAsia="Times New Roman" w:hAnsi="Verdana" w:cs="Times New Roman"/>
          <w:color w:val="111111"/>
          <w:sz w:val="24"/>
          <w:szCs w:val="24"/>
          <w:lang w:eastAsia="en-GB"/>
        </w:rPr>
        <w:t xml:space="preserve"> five years after the signing of the Belfast (Good Friday) Agreement</w:t>
      </w:r>
      <w:r w:rsidR="00224E8D" w:rsidRPr="00105456">
        <w:rPr>
          <w:rFonts w:ascii="Verdana" w:eastAsia="Times New Roman" w:hAnsi="Verdana" w:cs="Times New Roman"/>
          <w:color w:val="111111"/>
          <w:sz w:val="24"/>
          <w:szCs w:val="24"/>
          <w:lang w:eastAsia="en-GB"/>
        </w:rPr>
        <w:t>.</w:t>
      </w:r>
      <w:r w:rsidR="00224E8D" w:rsidRPr="00105456">
        <w:rPr>
          <w:rStyle w:val="EndnoteReference"/>
          <w:rFonts w:ascii="Verdana" w:eastAsia="Times New Roman" w:hAnsi="Verdana" w:cs="Times New Roman"/>
          <w:color w:val="111111"/>
          <w:sz w:val="24"/>
          <w:szCs w:val="24"/>
          <w:lang w:eastAsia="en-GB"/>
        </w:rPr>
        <w:endnoteReference w:id="44"/>
      </w:r>
      <w:r w:rsidR="00224E8D" w:rsidRPr="00105456">
        <w:rPr>
          <w:rFonts w:ascii="Verdana" w:eastAsia="Times New Roman" w:hAnsi="Verdana" w:cs="Times New Roman"/>
          <w:color w:val="111111"/>
          <w:sz w:val="24"/>
          <w:szCs w:val="24"/>
          <w:lang w:eastAsia="en-GB"/>
        </w:rPr>
        <w:t xml:space="preserve"> </w:t>
      </w:r>
      <w:r w:rsidR="00880C0B" w:rsidRPr="00105456">
        <w:rPr>
          <w:rFonts w:ascii="Verdana" w:eastAsia="Times New Roman" w:hAnsi="Verdana" w:cs="Times New Roman"/>
          <w:color w:val="111111"/>
          <w:sz w:val="24"/>
          <w:szCs w:val="24"/>
          <w:lang w:eastAsia="en-GB"/>
        </w:rPr>
        <w:t xml:space="preserve">The operation of the scheme has therefore potentially hampered the prosecution of individuals for offences committed both during and following the conflict in </w:t>
      </w:r>
      <w:r w:rsidR="00281D93" w:rsidRPr="00105456">
        <w:rPr>
          <w:rFonts w:ascii="Verdana" w:eastAsia="Times New Roman" w:hAnsi="Verdana" w:cs="Times New Roman"/>
          <w:color w:val="111111"/>
          <w:sz w:val="24"/>
          <w:szCs w:val="24"/>
          <w:lang w:eastAsia="en-GB"/>
        </w:rPr>
        <w:t>NI</w:t>
      </w:r>
      <w:r w:rsidR="00880C0B" w:rsidRPr="00105456">
        <w:rPr>
          <w:rFonts w:ascii="Verdana" w:eastAsia="Times New Roman" w:hAnsi="Verdana" w:cs="Times New Roman"/>
          <w:color w:val="111111"/>
          <w:sz w:val="24"/>
          <w:szCs w:val="24"/>
          <w:lang w:eastAsia="en-GB"/>
        </w:rPr>
        <w:t xml:space="preserve">. </w:t>
      </w:r>
    </w:p>
    <w:p w:rsidR="00B70F15" w:rsidRPr="00105456" w:rsidRDefault="00B70F15" w:rsidP="00105456">
      <w:pPr>
        <w:pStyle w:val="NoSpacing"/>
        <w:rPr>
          <w:rFonts w:ascii="Verdana" w:hAnsi="Verdana" w:cs="TT17At00"/>
          <w:sz w:val="24"/>
          <w:szCs w:val="24"/>
        </w:rPr>
      </w:pPr>
    </w:p>
    <w:p w:rsidR="00B70F15" w:rsidRPr="00105456" w:rsidRDefault="00B70F15" w:rsidP="00105456">
      <w:pPr>
        <w:pStyle w:val="NoSpacing"/>
        <w:rPr>
          <w:rFonts w:ascii="Verdana" w:hAnsi="Verdana" w:cs="TT17At00"/>
          <w:b/>
          <w:sz w:val="24"/>
          <w:szCs w:val="24"/>
        </w:rPr>
      </w:pPr>
      <w:r w:rsidRPr="00105456">
        <w:rPr>
          <w:rFonts w:ascii="Verdana" w:hAnsi="Verdana" w:cs="TT17At00"/>
          <w:b/>
          <w:sz w:val="24"/>
          <w:szCs w:val="24"/>
        </w:rPr>
        <w:t xml:space="preserve">The Committee may wish to recommend that the State Party take all necessary measures to ensure that the </w:t>
      </w:r>
      <w:r w:rsidR="00880C0B" w:rsidRPr="00105456">
        <w:rPr>
          <w:rFonts w:ascii="Verdana" w:hAnsi="Verdana" w:cs="TT17At00"/>
          <w:b/>
          <w:sz w:val="24"/>
          <w:szCs w:val="24"/>
        </w:rPr>
        <w:t xml:space="preserve">operation </w:t>
      </w:r>
      <w:r w:rsidRPr="00105456">
        <w:rPr>
          <w:rFonts w:ascii="Verdana" w:hAnsi="Verdana" w:cs="TT17At00"/>
          <w:b/>
          <w:sz w:val="24"/>
          <w:szCs w:val="24"/>
        </w:rPr>
        <w:t xml:space="preserve">of the administrative scheme does not hamper independent and thorough investigations into all allegations of abuse </w:t>
      </w:r>
      <w:r w:rsidR="00B17DCD" w:rsidRPr="00105456">
        <w:rPr>
          <w:rFonts w:ascii="Verdana" w:hAnsi="Verdana" w:cs="TT17At00"/>
          <w:b/>
          <w:sz w:val="24"/>
          <w:szCs w:val="24"/>
        </w:rPr>
        <w:t>by recipients</w:t>
      </w:r>
      <w:r w:rsidR="00562E31" w:rsidRPr="00105456">
        <w:rPr>
          <w:rFonts w:ascii="Verdana" w:hAnsi="Verdana" w:cs="TT17At00"/>
          <w:b/>
          <w:sz w:val="24"/>
          <w:szCs w:val="24"/>
        </w:rPr>
        <w:t xml:space="preserve"> of ‘comfort letters’</w:t>
      </w:r>
      <w:r w:rsidR="00B17DCD" w:rsidRPr="00105456">
        <w:rPr>
          <w:rFonts w:ascii="Verdana" w:hAnsi="Verdana" w:cs="TT17At00"/>
          <w:b/>
          <w:sz w:val="24"/>
          <w:szCs w:val="24"/>
        </w:rPr>
        <w:t xml:space="preserve"> </w:t>
      </w:r>
      <w:r w:rsidRPr="00105456">
        <w:rPr>
          <w:rFonts w:ascii="Verdana" w:hAnsi="Verdana" w:cs="TT17At00"/>
          <w:b/>
          <w:sz w:val="24"/>
          <w:szCs w:val="24"/>
        </w:rPr>
        <w:t xml:space="preserve">and does not prevent the prosecution and punishment of perpetrators. </w:t>
      </w:r>
    </w:p>
    <w:p w:rsidR="00B70F15" w:rsidRPr="00105456" w:rsidRDefault="00B70F15" w:rsidP="00105456">
      <w:pPr>
        <w:pStyle w:val="NoSpacing"/>
        <w:rPr>
          <w:rFonts w:ascii="Verdana" w:hAnsi="Verdana" w:cs="TT17At00"/>
          <w:sz w:val="24"/>
          <w:szCs w:val="24"/>
        </w:rPr>
      </w:pPr>
    </w:p>
    <w:p w:rsidR="00B70F15" w:rsidRPr="00105456" w:rsidRDefault="00017CA2" w:rsidP="00105456">
      <w:pPr>
        <w:pStyle w:val="NoSpacing"/>
        <w:rPr>
          <w:rFonts w:ascii="Verdana" w:hAnsi="Verdana" w:cs="TT17At00"/>
          <w:sz w:val="24"/>
          <w:szCs w:val="24"/>
        </w:rPr>
      </w:pPr>
      <w:r>
        <w:rPr>
          <w:rFonts w:ascii="Verdana" w:hAnsi="Verdana" w:cs="TT17At00"/>
          <w:sz w:val="24"/>
          <w:szCs w:val="24"/>
        </w:rPr>
        <w:t xml:space="preserve">6.3 </w:t>
      </w:r>
      <w:r w:rsidR="00B70F15" w:rsidRPr="00105456">
        <w:rPr>
          <w:rFonts w:ascii="Verdana" w:hAnsi="Verdana" w:cs="TT17At00"/>
          <w:sz w:val="24"/>
          <w:szCs w:val="24"/>
        </w:rPr>
        <w:t xml:space="preserve">The Committee may be aware that on 23 December 2014 </w:t>
      </w:r>
      <w:r w:rsidR="001A4EED" w:rsidRPr="00105456">
        <w:rPr>
          <w:rFonts w:ascii="Verdana" w:hAnsi="Verdana" w:cs="TT17At00"/>
          <w:sz w:val="24"/>
          <w:szCs w:val="24"/>
        </w:rPr>
        <w:t>NI</w:t>
      </w:r>
      <w:r w:rsidR="00B70F15" w:rsidRPr="00105456">
        <w:rPr>
          <w:rFonts w:ascii="Verdana" w:hAnsi="Verdana" w:cs="TT17At00"/>
          <w:sz w:val="24"/>
          <w:szCs w:val="24"/>
        </w:rPr>
        <w:t>’s political leaders agreed the Stormont House Agreement (SHA).</w:t>
      </w:r>
      <w:r w:rsidR="00B70F15" w:rsidRPr="00105456">
        <w:rPr>
          <w:rFonts w:ascii="Verdana" w:hAnsi="Verdana" w:cs="TT17At00"/>
          <w:sz w:val="24"/>
          <w:szCs w:val="24"/>
          <w:vertAlign w:val="superscript"/>
        </w:rPr>
        <w:endnoteReference w:id="45"/>
      </w:r>
      <w:r w:rsidR="00B70F15" w:rsidRPr="00105456">
        <w:rPr>
          <w:rFonts w:ascii="Verdana" w:hAnsi="Verdana" w:cs="TT17At00"/>
          <w:sz w:val="24"/>
          <w:szCs w:val="24"/>
        </w:rPr>
        <w:t xml:space="preserve"> This Agreement, inter alia, agreed an approach to dealing with </w:t>
      </w:r>
      <w:r w:rsidR="00B16933" w:rsidRPr="00105456">
        <w:rPr>
          <w:rFonts w:ascii="Verdana" w:hAnsi="Verdana" w:cs="TT17At00"/>
          <w:sz w:val="24"/>
          <w:szCs w:val="24"/>
        </w:rPr>
        <w:t>the</w:t>
      </w:r>
      <w:r w:rsidR="00B70F15" w:rsidRPr="00105456">
        <w:rPr>
          <w:rFonts w:ascii="Verdana" w:hAnsi="Verdana" w:cs="TT17At00"/>
          <w:sz w:val="24"/>
          <w:szCs w:val="24"/>
        </w:rPr>
        <w:t xml:space="preserve"> history of violent conflict</w:t>
      </w:r>
      <w:r w:rsidR="00B16933" w:rsidRPr="00105456">
        <w:rPr>
          <w:rFonts w:ascii="Verdana" w:hAnsi="Verdana" w:cs="TT17At00"/>
          <w:sz w:val="24"/>
          <w:szCs w:val="24"/>
        </w:rPr>
        <w:t xml:space="preserve"> in NI</w:t>
      </w:r>
      <w:r w:rsidR="00B70F15" w:rsidRPr="00105456">
        <w:rPr>
          <w:rFonts w:ascii="Verdana" w:hAnsi="Verdana" w:cs="TT17At00"/>
          <w:sz w:val="24"/>
          <w:szCs w:val="24"/>
        </w:rPr>
        <w:t>.  The detail of the SHA remains to be determined though implementation, review and monitoring arrangements are outlined as part of the SHA.</w:t>
      </w:r>
    </w:p>
    <w:p w:rsidR="00B70F15" w:rsidRPr="00105456" w:rsidRDefault="00B70F15" w:rsidP="00105456">
      <w:pPr>
        <w:pStyle w:val="NoSpacing"/>
        <w:rPr>
          <w:rFonts w:ascii="Verdana" w:hAnsi="Verdana" w:cs="TT17At00"/>
          <w:sz w:val="24"/>
          <w:szCs w:val="24"/>
        </w:rPr>
      </w:pPr>
    </w:p>
    <w:p w:rsidR="00B70F15" w:rsidRDefault="00017CA2" w:rsidP="00105456">
      <w:pPr>
        <w:pStyle w:val="NoSpacing"/>
        <w:rPr>
          <w:rFonts w:ascii="Verdana" w:hAnsi="Verdana"/>
          <w:sz w:val="24"/>
          <w:szCs w:val="24"/>
        </w:rPr>
      </w:pPr>
      <w:r>
        <w:rPr>
          <w:rFonts w:ascii="Verdana" w:hAnsi="Verdana"/>
          <w:sz w:val="24"/>
          <w:szCs w:val="24"/>
        </w:rPr>
        <w:t xml:space="preserve">6.4 </w:t>
      </w:r>
      <w:r w:rsidR="00B70F15" w:rsidRPr="00105456">
        <w:rPr>
          <w:rFonts w:ascii="Verdana" w:hAnsi="Verdana"/>
          <w:sz w:val="24"/>
          <w:szCs w:val="24"/>
        </w:rPr>
        <w:t>The Historical Enquiries Team (HET), as discussed in our earlier submission has now closed and has been replaced by a smaller organisation within the PSNI with significantly fewer resources: the Legacy Investigations Branch.</w:t>
      </w:r>
      <w:r w:rsidR="00B70F15" w:rsidRPr="00105456">
        <w:rPr>
          <w:rFonts w:ascii="Verdana" w:hAnsi="Verdana"/>
          <w:sz w:val="24"/>
          <w:szCs w:val="24"/>
          <w:vertAlign w:val="superscript"/>
        </w:rPr>
        <w:endnoteReference w:id="46"/>
      </w:r>
      <w:r w:rsidR="00B70F15" w:rsidRPr="00105456">
        <w:rPr>
          <w:rFonts w:ascii="Verdana" w:hAnsi="Verdana"/>
          <w:sz w:val="24"/>
          <w:szCs w:val="24"/>
        </w:rPr>
        <w:t xml:space="preserve"> The closure of the HET was announced prior to the SHA as a result of budgetary cuts. </w:t>
      </w:r>
      <w:r w:rsidR="00B70F15" w:rsidRPr="00105456">
        <w:rPr>
          <w:rFonts w:ascii="Verdana" w:hAnsi="Verdana"/>
          <w:sz w:val="24"/>
          <w:szCs w:val="24"/>
          <w:vertAlign w:val="superscript"/>
        </w:rPr>
        <w:endnoteReference w:id="47"/>
      </w:r>
    </w:p>
    <w:p w:rsidR="00CE0D00" w:rsidRPr="00105456" w:rsidRDefault="00CE0D00" w:rsidP="00105456">
      <w:pPr>
        <w:pStyle w:val="NoSpacing"/>
        <w:rPr>
          <w:rFonts w:ascii="Verdana" w:hAnsi="Verdana"/>
          <w:sz w:val="24"/>
          <w:szCs w:val="24"/>
        </w:rPr>
      </w:pPr>
    </w:p>
    <w:p w:rsidR="00B70F15" w:rsidRPr="00105456" w:rsidRDefault="00017CA2" w:rsidP="00105456">
      <w:pPr>
        <w:pStyle w:val="NoSpacing"/>
        <w:rPr>
          <w:rFonts w:ascii="Verdana" w:hAnsi="Verdana"/>
          <w:sz w:val="24"/>
          <w:szCs w:val="24"/>
        </w:rPr>
      </w:pPr>
      <w:r>
        <w:rPr>
          <w:rFonts w:ascii="Verdana" w:hAnsi="Verdana"/>
          <w:sz w:val="24"/>
          <w:szCs w:val="24"/>
        </w:rPr>
        <w:t xml:space="preserve">6.5 </w:t>
      </w:r>
      <w:r w:rsidR="00B70F15" w:rsidRPr="00105456">
        <w:rPr>
          <w:rFonts w:ascii="Verdana" w:hAnsi="Verdana"/>
          <w:sz w:val="24"/>
          <w:szCs w:val="24"/>
        </w:rPr>
        <w:t xml:space="preserve">The SHA proposes the establishment of a Historical Investigations Unit (HIU), to take forward outstanding cases from the HET process and the legacy work of the Police Ombudsman for </w:t>
      </w:r>
      <w:r w:rsidR="001A4EED" w:rsidRPr="00105456">
        <w:rPr>
          <w:rFonts w:ascii="Verdana" w:hAnsi="Verdana"/>
          <w:sz w:val="24"/>
          <w:szCs w:val="24"/>
        </w:rPr>
        <w:t>NI</w:t>
      </w:r>
      <w:r w:rsidR="00B70F15" w:rsidRPr="00105456">
        <w:rPr>
          <w:rFonts w:ascii="Verdana" w:hAnsi="Verdana"/>
          <w:sz w:val="24"/>
          <w:szCs w:val="24"/>
        </w:rPr>
        <w:t>. The establishment of the HIU will require legislation, which will be enacted by the Westminster Parliament. It is anticipated that the HIU will not become fully operational until the spring of 2017.</w:t>
      </w:r>
      <w:r w:rsidR="00B70F15" w:rsidRPr="00105456">
        <w:rPr>
          <w:rFonts w:ascii="Verdana" w:hAnsi="Verdana"/>
          <w:sz w:val="24"/>
          <w:szCs w:val="24"/>
          <w:vertAlign w:val="superscript"/>
        </w:rPr>
        <w:endnoteReference w:id="48"/>
      </w:r>
      <w:r w:rsidR="00B70F15" w:rsidRPr="00105456">
        <w:rPr>
          <w:rFonts w:ascii="Verdana" w:hAnsi="Verdana"/>
          <w:sz w:val="24"/>
          <w:szCs w:val="24"/>
        </w:rPr>
        <w:t xml:space="preserve"> The SHA states that the HIU: </w:t>
      </w:r>
      <w:r w:rsidR="00B70F15" w:rsidRPr="00105456">
        <w:rPr>
          <w:rFonts w:ascii="Verdana" w:hAnsi="Verdana"/>
          <w:i/>
          <w:sz w:val="24"/>
          <w:szCs w:val="24"/>
        </w:rPr>
        <w:t>“</w:t>
      </w:r>
      <w:r w:rsidR="00B70F15" w:rsidRPr="00105456">
        <w:rPr>
          <w:rFonts w:ascii="Verdana" w:hAnsi="Verdana" w:cs="Arial"/>
          <w:bCs/>
          <w:i/>
          <w:sz w:val="24"/>
          <w:szCs w:val="24"/>
        </w:rPr>
        <w:t>should aim</w:t>
      </w:r>
      <w:r w:rsidR="00B70F15" w:rsidRPr="00105456">
        <w:rPr>
          <w:rFonts w:ascii="Verdana" w:hAnsi="Verdana" w:cs="Arial"/>
          <w:i/>
          <w:sz w:val="24"/>
          <w:szCs w:val="24"/>
        </w:rPr>
        <w:t xml:space="preserve"> to </w:t>
      </w:r>
      <w:r w:rsidR="00B70F15" w:rsidRPr="00105456">
        <w:rPr>
          <w:rFonts w:ascii="Verdana" w:hAnsi="Verdana" w:cs="Arial"/>
          <w:bCs/>
          <w:i/>
          <w:sz w:val="24"/>
          <w:szCs w:val="24"/>
        </w:rPr>
        <w:t>complete its work within five years</w:t>
      </w:r>
      <w:r w:rsidR="00B70F15" w:rsidRPr="00105456">
        <w:rPr>
          <w:rFonts w:ascii="Verdana" w:hAnsi="Verdana" w:cs="Arial"/>
          <w:i/>
          <w:sz w:val="24"/>
          <w:szCs w:val="24"/>
        </w:rPr>
        <w:t xml:space="preserve"> of </w:t>
      </w:r>
      <w:r w:rsidR="00B70F15" w:rsidRPr="00105456">
        <w:rPr>
          <w:rFonts w:ascii="Verdana" w:hAnsi="Verdana" w:cs="Arial"/>
          <w:bCs/>
          <w:i/>
          <w:sz w:val="24"/>
          <w:szCs w:val="24"/>
        </w:rPr>
        <w:t>its establishment”</w:t>
      </w:r>
      <w:r w:rsidR="00B70F15" w:rsidRPr="00105456">
        <w:rPr>
          <w:rFonts w:ascii="Verdana" w:hAnsi="Verdana" w:cs="Arial"/>
          <w:bCs/>
          <w:sz w:val="24"/>
          <w:szCs w:val="24"/>
        </w:rPr>
        <w:t xml:space="preserve">. </w:t>
      </w:r>
    </w:p>
    <w:p w:rsidR="00105456" w:rsidRDefault="00B70F15" w:rsidP="00105456">
      <w:pPr>
        <w:pStyle w:val="NoSpacing"/>
        <w:rPr>
          <w:rFonts w:ascii="Verdana" w:hAnsi="Verdana"/>
          <w:i/>
          <w:sz w:val="24"/>
          <w:szCs w:val="24"/>
        </w:rPr>
      </w:pPr>
      <w:r w:rsidRPr="00105456">
        <w:rPr>
          <w:rFonts w:ascii="Verdana" w:hAnsi="Verdana"/>
          <w:sz w:val="24"/>
          <w:szCs w:val="24"/>
        </w:rPr>
        <w:t xml:space="preserve">The Joint Committee for Human Rights has raised concerns </w:t>
      </w:r>
      <w:r w:rsidRPr="00105456">
        <w:rPr>
          <w:rFonts w:ascii="Verdana" w:hAnsi="Verdana"/>
          <w:i/>
          <w:sz w:val="24"/>
          <w:szCs w:val="24"/>
        </w:rPr>
        <w:t>at “the prospect that it may be two years before the new Historical Investigations Unit starts its work, especially as in the meantime the work of the Historical Enquiries Team is going to be carried on by the smaller Legacy Investigations Branch of the PSNI. As well as having fewer resources at its disposal than its predecessor, the Legacy Investigations Branch cannot itself satisfy the requirements of Article 2 ECHR because of its lack of independence from the police service”.</w:t>
      </w:r>
      <w:r w:rsidRPr="00105456">
        <w:rPr>
          <w:rFonts w:ascii="Verdana" w:hAnsi="Verdana"/>
          <w:i/>
          <w:sz w:val="24"/>
          <w:szCs w:val="24"/>
          <w:vertAlign w:val="superscript"/>
        </w:rPr>
        <w:endnoteReference w:id="49"/>
      </w:r>
    </w:p>
    <w:p w:rsidR="00105456" w:rsidRDefault="00105456" w:rsidP="00105456">
      <w:pPr>
        <w:pStyle w:val="NoSpacing"/>
        <w:rPr>
          <w:rFonts w:ascii="Verdana" w:hAnsi="Verdana"/>
          <w:i/>
          <w:sz w:val="24"/>
          <w:szCs w:val="24"/>
        </w:rPr>
      </w:pPr>
    </w:p>
    <w:p w:rsidR="00B70F15" w:rsidRDefault="00017CA2" w:rsidP="00105456">
      <w:pPr>
        <w:pStyle w:val="NoSpacing"/>
        <w:rPr>
          <w:rFonts w:ascii="Verdana" w:hAnsi="Verdana"/>
          <w:sz w:val="24"/>
          <w:szCs w:val="24"/>
        </w:rPr>
      </w:pPr>
      <w:r>
        <w:rPr>
          <w:rFonts w:ascii="Verdana" w:hAnsi="Verdana"/>
          <w:sz w:val="24"/>
          <w:szCs w:val="24"/>
        </w:rPr>
        <w:t xml:space="preserve">6.6 </w:t>
      </w:r>
      <w:r w:rsidR="00B70F15" w:rsidRPr="00105456">
        <w:rPr>
          <w:rFonts w:ascii="Verdana" w:hAnsi="Verdana"/>
          <w:sz w:val="24"/>
          <w:szCs w:val="24"/>
        </w:rPr>
        <w:t xml:space="preserve">It is anticipated that the HIU will have a complement of 150 officers and that these officers will not have served within the Royal Ulster Constabulary. Before it is fully operational protocols for the retrieval and storage of information will be required.  A </w:t>
      </w:r>
      <w:r w:rsidR="001003A5" w:rsidRPr="00105456">
        <w:rPr>
          <w:rFonts w:ascii="Verdana" w:hAnsi="Verdana"/>
          <w:sz w:val="24"/>
          <w:szCs w:val="24"/>
        </w:rPr>
        <w:t>SHA</w:t>
      </w:r>
      <w:r w:rsidR="00B70F15" w:rsidRPr="00105456">
        <w:rPr>
          <w:rFonts w:ascii="Verdana" w:hAnsi="Verdana"/>
          <w:sz w:val="24"/>
          <w:szCs w:val="24"/>
        </w:rPr>
        <w:t xml:space="preserve"> Implementation Group, composed of the five main political parties has been established.</w:t>
      </w:r>
      <w:r w:rsidR="00B70F15" w:rsidRPr="00105456">
        <w:rPr>
          <w:rFonts w:ascii="Verdana" w:hAnsi="Verdana"/>
          <w:sz w:val="24"/>
          <w:szCs w:val="24"/>
          <w:vertAlign w:val="superscript"/>
        </w:rPr>
        <w:endnoteReference w:id="50"/>
      </w:r>
      <w:r w:rsidR="00B70F15" w:rsidRPr="00105456">
        <w:rPr>
          <w:rFonts w:ascii="Verdana" w:hAnsi="Verdana"/>
          <w:sz w:val="24"/>
          <w:szCs w:val="24"/>
        </w:rPr>
        <w:t xml:space="preserve"> However there has been political disagreement regarding the social security reform aspects of the SHA which may stall implementation.</w:t>
      </w:r>
      <w:r w:rsidR="00B70F15" w:rsidRPr="00105456">
        <w:rPr>
          <w:rFonts w:ascii="Verdana" w:hAnsi="Verdana"/>
          <w:sz w:val="24"/>
          <w:szCs w:val="24"/>
          <w:vertAlign w:val="superscript"/>
        </w:rPr>
        <w:endnoteReference w:id="51"/>
      </w:r>
    </w:p>
    <w:p w:rsidR="00105456" w:rsidRPr="00105456" w:rsidRDefault="00105456" w:rsidP="00105456">
      <w:pPr>
        <w:pStyle w:val="NoSpacing"/>
        <w:rPr>
          <w:rFonts w:ascii="Verdana" w:hAnsi="Verdana"/>
          <w:sz w:val="24"/>
          <w:szCs w:val="24"/>
        </w:rPr>
      </w:pPr>
    </w:p>
    <w:p w:rsidR="00B70F15" w:rsidRDefault="00B70F15" w:rsidP="00105456">
      <w:pPr>
        <w:pStyle w:val="NoSpacing"/>
        <w:rPr>
          <w:rFonts w:ascii="Verdana" w:hAnsi="Verdana"/>
          <w:b/>
          <w:sz w:val="24"/>
          <w:szCs w:val="24"/>
        </w:rPr>
      </w:pPr>
      <w:r w:rsidRPr="00105456">
        <w:rPr>
          <w:rFonts w:ascii="Verdana" w:hAnsi="Verdana"/>
          <w:b/>
          <w:sz w:val="24"/>
          <w:szCs w:val="24"/>
        </w:rPr>
        <w:t>The Committee may wish to recommend that the State Party ensure that the HIU is established and fully operational in a manner in compliance with the state’s human rights obligations as soon as possible. A detailed implementation plan, with clear targets for the separate elements of the SHA should be published as soon as possible. The Commission further advises the Committee to recommend that the five year limitation on the lifetime of the HIU should not curtail investigations or lead to the adoption a standard less than ‘effective’.</w:t>
      </w:r>
    </w:p>
    <w:p w:rsidR="00105456" w:rsidRPr="00105456" w:rsidRDefault="00105456" w:rsidP="00105456">
      <w:pPr>
        <w:pStyle w:val="NoSpacing"/>
        <w:rPr>
          <w:rFonts w:ascii="Verdana" w:hAnsi="Verdana"/>
          <w:b/>
          <w:sz w:val="24"/>
          <w:szCs w:val="24"/>
        </w:rPr>
      </w:pPr>
    </w:p>
    <w:p w:rsidR="00B70F15" w:rsidRDefault="00017CA2" w:rsidP="00105456">
      <w:pPr>
        <w:pStyle w:val="NoSpacing"/>
        <w:rPr>
          <w:rFonts w:ascii="Verdana" w:hAnsi="Verdana"/>
          <w:sz w:val="24"/>
          <w:szCs w:val="24"/>
        </w:rPr>
      </w:pPr>
      <w:r>
        <w:rPr>
          <w:rFonts w:ascii="Verdana" w:hAnsi="Verdana"/>
          <w:sz w:val="24"/>
          <w:szCs w:val="24"/>
        </w:rPr>
        <w:t xml:space="preserve">6.7 </w:t>
      </w:r>
      <w:r w:rsidR="00B70F15" w:rsidRPr="00105456">
        <w:rPr>
          <w:rFonts w:ascii="Verdana" w:hAnsi="Verdana"/>
          <w:sz w:val="24"/>
          <w:szCs w:val="24"/>
        </w:rPr>
        <w:t xml:space="preserve">The SHA does not contain specific commitments relating to legacy inquests but rather states that: </w:t>
      </w:r>
    </w:p>
    <w:p w:rsidR="00105456" w:rsidRPr="00105456" w:rsidRDefault="00105456" w:rsidP="00105456">
      <w:pPr>
        <w:pStyle w:val="NoSpacing"/>
        <w:rPr>
          <w:rFonts w:ascii="Verdana" w:hAnsi="Verdana"/>
          <w:sz w:val="24"/>
          <w:szCs w:val="24"/>
        </w:rPr>
      </w:pPr>
    </w:p>
    <w:p w:rsidR="00B70F15" w:rsidRDefault="00B70F15" w:rsidP="00105456">
      <w:pPr>
        <w:pStyle w:val="NoSpacing"/>
        <w:rPr>
          <w:rFonts w:ascii="Verdana" w:hAnsi="Verdana"/>
          <w:i/>
          <w:sz w:val="24"/>
          <w:szCs w:val="24"/>
        </w:rPr>
      </w:pPr>
      <w:r w:rsidRPr="00105456">
        <w:rPr>
          <w:rFonts w:ascii="Verdana" w:hAnsi="Verdana"/>
          <w:i/>
          <w:sz w:val="24"/>
          <w:szCs w:val="24"/>
        </w:rPr>
        <w:t>“Processes dealing with the past should be victim-centred. Legacy inquests will continue as a separate process to the HIU. Recent domestic and European judgments have demonstrated that the legacy inquest process is not providing access to a sufficiently effective investigation within an acceptable timeframe. In light of this, the Executive will take appropriate steps to improve the way the legacy inquest function is conducted to comply with ECHR Article 2 requirements”.</w:t>
      </w:r>
    </w:p>
    <w:p w:rsidR="00105456" w:rsidRPr="00105456" w:rsidRDefault="00105456" w:rsidP="00105456">
      <w:pPr>
        <w:pStyle w:val="NoSpacing"/>
        <w:rPr>
          <w:rFonts w:ascii="Verdana" w:hAnsi="Verdana"/>
          <w:i/>
          <w:sz w:val="24"/>
          <w:szCs w:val="24"/>
        </w:rPr>
      </w:pPr>
    </w:p>
    <w:p w:rsidR="00053140" w:rsidRPr="00105456" w:rsidRDefault="00017CA2" w:rsidP="00105456">
      <w:pPr>
        <w:pStyle w:val="NoSpacing"/>
        <w:rPr>
          <w:rFonts w:ascii="Verdana" w:hAnsi="Verdana"/>
          <w:sz w:val="24"/>
          <w:szCs w:val="24"/>
        </w:rPr>
      </w:pPr>
      <w:r>
        <w:rPr>
          <w:rFonts w:ascii="Verdana" w:hAnsi="Verdana"/>
          <w:sz w:val="24"/>
          <w:szCs w:val="24"/>
        </w:rPr>
        <w:t xml:space="preserve">6.8 </w:t>
      </w:r>
      <w:r w:rsidR="00B70F15" w:rsidRPr="00105456">
        <w:rPr>
          <w:rFonts w:ascii="Verdana" w:hAnsi="Verdana"/>
          <w:sz w:val="24"/>
          <w:szCs w:val="24"/>
        </w:rPr>
        <w:t xml:space="preserve">The Lord Chief Justice for </w:t>
      </w:r>
      <w:r w:rsidR="001A4EED" w:rsidRPr="00105456">
        <w:rPr>
          <w:rFonts w:ascii="Verdana" w:hAnsi="Verdana"/>
          <w:sz w:val="24"/>
          <w:szCs w:val="24"/>
        </w:rPr>
        <w:t>NI</w:t>
      </w:r>
      <w:r w:rsidR="00B70F15" w:rsidRPr="00105456">
        <w:rPr>
          <w:rFonts w:ascii="Verdana" w:hAnsi="Verdana"/>
          <w:sz w:val="24"/>
          <w:szCs w:val="24"/>
        </w:rPr>
        <w:t xml:space="preserve"> Sir Declan Morgan QC has stated that the system of inquests is currently in a </w:t>
      </w:r>
      <w:r w:rsidR="00B70F15" w:rsidRPr="00105456">
        <w:rPr>
          <w:rFonts w:ascii="Verdana" w:hAnsi="Verdana"/>
          <w:i/>
          <w:sz w:val="24"/>
          <w:szCs w:val="24"/>
        </w:rPr>
        <w:t>‘lamentable state of affairs’</w:t>
      </w:r>
      <w:r w:rsidR="00B70F15" w:rsidRPr="00105456">
        <w:rPr>
          <w:rFonts w:ascii="Verdana" w:hAnsi="Verdana"/>
          <w:sz w:val="24"/>
          <w:szCs w:val="24"/>
        </w:rPr>
        <w:t xml:space="preserve">, and that: </w:t>
      </w:r>
      <w:r w:rsidR="00B70F15" w:rsidRPr="00105456">
        <w:rPr>
          <w:rFonts w:ascii="Verdana" w:hAnsi="Verdana"/>
          <w:i/>
          <w:sz w:val="24"/>
          <w:szCs w:val="24"/>
        </w:rPr>
        <w:t>“</w:t>
      </w:r>
      <w:r w:rsidR="00B70F15" w:rsidRPr="00105456">
        <w:rPr>
          <w:rFonts w:ascii="Verdana" w:hAnsi="Verdana" w:cs="TT17Bt00"/>
          <w:i/>
          <w:sz w:val="24"/>
          <w:szCs w:val="24"/>
        </w:rPr>
        <w:t>If existing legacy inquests are to be brought to a conclusion under the present system someone could easily be hearing some of these cases in 2040”.</w:t>
      </w:r>
      <w:r w:rsidR="00B70F15" w:rsidRPr="00105456">
        <w:rPr>
          <w:rFonts w:ascii="Verdana" w:hAnsi="Verdana" w:cs="TT17Bt00"/>
          <w:i/>
          <w:sz w:val="24"/>
          <w:szCs w:val="24"/>
          <w:vertAlign w:val="superscript"/>
        </w:rPr>
        <w:endnoteReference w:id="52"/>
      </w:r>
      <w:r w:rsidR="00053140" w:rsidRPr="00105456">
        <w:rPr>
          <w:rFonts w:ascii="Verdana" w:hAnsi="Verdana" w:cs="TT17Bt00"/>
          <w:i/>
          <w:sz w:val="24"/>
          <w:szCs w:val="24"/>
        </w:rPr>
        <w:t xml:space="preserve"> </w:t>
      </w:r>
      <w:r w:rsidR="00B67724" w:rsidRPr="00105456">
        <w:rPr>
          <w:rFonts w:ascii="Verdana" w:hAnsi="Verdana" w:cs="TT17Bt00"/>
          <w:sz w:val="24"/>
          <w:szCs w:val="24"/>
        </w:rPr>
        <w:t xml:space="preserve">The Lord Chief Justice was recently appointed </w:t>
      </w:r>
      <w:r w:rsidR="00B67724" w:rsidRPr="00105456">
        <w:rPr>
          <w:rFonts w:ascii="Verdana" w:hAnsi="Verdana" w:cs="Arial"/>
          <w:sz w:val="24"/>
          <w:szCs w:val="24"/>
        </w:rPr>
        <w:t>president of the coroners’ courts.</w:t>
      </w:r>
      <w:r w:rsidR="00B67724" w:rsidRPr="00105456">
        <w:rPr>
          <w:rStyle w:val="EndnoteReference"/>
          <w:rFonts w:ascii="Verdana" w:hAnsi="Verdana" w:cs="Arial"/>
          <w:sz w:val="24"/>
          <w:szCs w:val="24"/>
        </w:rPr>
        <w:endnoteReference w:id="53"/>
      </w:r>
      <w:r w:rsidR="00B67724" w:rsidRPr="00105456">
        <w:rPr>
          <w:rFonts w:ascii="Verdana" w:hAnsi="Verdana" w:cs="Arial"/>
          <w:sz w:val="24"/>
          <w:szCs w:val="24"/>
        </w:rPr>
        <w:t xml:space="preserve"> </w:t>
      </w:r>
      <w:r w:rsidR="00053140" w:rsidRPr="00105456">
        <w:rPr>
          <w:rFonts w:ascii="Verdana" w:hAnsi="Verdana" w:cs="Arial"/>
          <w:sz w:val="24"/>
          <w:szCs w:val="24"/>
        </w:rPr>
        <w:t xml:space="preserve">In addition the Minister of Justice recently </w:t>
      </w:r>
      <w:r w:rsidR="00053140" w:rsidRPr="00105456">
        <w:rPr>
          <w:rFonts w:ascii="Verdana" w:hAnsi="Verdana"/>
          <w:sz w:val="24"/>
          <w:szCs w:val="24"/>
        </w:rPr>
        <w:t>assigned judges from a higher tier to take responsibility for some of the legacy inquests, to ensure that matters progress more speedily.</w:t>
      </w:r>
      <w:r w:rsidR="00053140" w:rsidRPr="00105456">
        <w:rPr>
          <w:rStyle w:val="EndnoteReference"/>
          <w:rFonts w:ascii="Verdana" w:hAnsi="Verdana"/>
          <w:sz w:val="24"/>
          <w:szCs w:val="24"/>
        </w:rPr>
        <w:endnoteReference w:id="54"/>
      </w:r>
      <w:r w:rsidR="00053140" w:rsidRPr="00105456">
        <w:rPr>
          <w:rFonts w:ascii="Verdana" w:hAnsi="Verdana"/>
          <w:sz w:val="24"/>
          <w:szCs w:val="24"/>
        </w:rPr>
        <w:t xml:space="preserve"> </w:t>
      </w:r>
    </w:p>
    <w:p w:rsidR="00B67724" w:rsidRPr="00105456" w:rsidRDefault="00B67724" w:rsidP="00105456">
      <w:pPr>
        <w:pStyle w:val="NoSpacing"/>
        <w:rPr>
          <w:rFonts w:ascii="Verdana" w:hAnsi="Verdana" w:cs="TT17Bt00"/>
          <w:i/>
          <w:sz w:val="24"/>
          <w:szCs w:val="24"/>
        </w:rPr>
      </w:pPr>
    </w:p>
    <w:p w:rsidR="00B70F15" w:rsidRPr="00105456" w:rsidRDefault="00017CA2" w:rsidP="00105456">
      <w:pPr>
        <w:pStyle w:val="NoSpacing"/>
        <w:rPr>
          <w:rFonts w:ascii="Verdana" w:hAnsi="Verdana" w:cs="TT17Bt00"/>
          <w:sz w:val="24"/>
          <w:szCs w:val="24"/>
        </w:rPr>
      </w:pPr>
      <w:r>
        <w:rPr>
          <w:rFonts w:ascii="Verdana" w:hAnsi="Verdana" w:cs="TT17Bt00"/>
          <w:sz w:val="24"/>
          <w:szCs w:val="24"/>
        </w:rPr>
        <w:t xml:space="preserve">6.9 </w:t>
      </w:r>
      <w:r w:rsidR="00B70F15" w:rsidRPr="00105456">
        <w:rPr>
          <w:rFonts w:ascii="Verdana" w:hAnsi="Verdana" w:cs="TT17Bt00"/>
          <w:sz w:val="24"/>
          <w:szCs w:val="24"/>
        </w:rPr>
        <w:t xml:space="preserve">A factor which has contributed towards the delays in inquest proceedings is the difficulty in obtaining full disclosure of documentation held by </w:t>
      </w:r>
      <w:r>
        <w:rPr>
          <w:rFonts w:ascii="Verdana" w:hAnsi="Verdana" w:cs="TT17Bt00"/>
          <w:sz w:val="24"/>
          <w:szCs w:val="24"/>
        </w:rPr>
        <w:t xml:space="preserve">the </w:t>
      </w:r>
      <w:r w:rsidR="00B70F15" w:rsidRPr="00105456">
        <w:rPr>
          <w:rFonts w:ascii="Verdana" w:hAnsi="Verdana" w:cs="TT17Bt00"/>
          <w:sz w:val="24"/>
          <w:szCs w:val="24"/>
        </w:rPr>
        <w:t>UK Government and the PSNI.</w:t>
      </w:r>
      <w:r w:rsidR="00B70F15" w:rsidRPr="00105456">
        <w:rPr>
          <w:rFonts w:ascii="Verdana" w:hAnsi="Verdana" w:cs="TT17Bt00"/>
          <w:sz w:val="24"/>
          <w:szCs w:val="24"/>
          <w:vertAlign w:val="superscript"/>
        </w:rPr>
        <w:endnoteReference w:id="55"/>
      </w:r>
      <w:r w:rsidR="00B70F15" w:rsidRPr="00105456">
        <w:rPr>
          <w:rFonts w:ascii="Verdana" w:hAnsi="Verdana" w:cs="TT17Bt00"/>
          <w:sz w:val="24"/>
          <w:szCs w:val="24"/>
        </w:rPr>
        <w:t xml:space="preserve"> The SHA contains a commitment from the UK Government to make full disclosure to the HIU. How this commitment will be realised is not yet clear. Furthermore it is unclear how the capacity of the PSNI a</w:t>
      </w:r>
      <w:r w:rsidR="0085477D" w:rsidRPr="00105456">
        <w:rPr>
          <w:rFonts w:ascii="Verdana" w:hAnsi="Verdana" w:cs="TT17Bt00"/>
          <w:sz w:val="24"/>
          <w:szCs w:val="24"/>
        </w:rPr>
        <w:t>nd Office of the Police Ombudsman</w:t>
      </w:r>
      <w:r w:rsidR="00B70F15" w:rsidRPr="00105456">
        <w:rPr>
          <w:rFonts w:ascii="Verdana" w:hAnsi="Verdana" w:cs="TT17Bt00"/>
          <w:sz w:val="24"/>
          <w:szCs w:val="24"/>
        </w:rPr>
        <w:t xml:space="preserve"> will be enhanced to ensure </w:t>
      </w:r>
      <w:r w:rsidR="00B16933" w:rsidRPr="00105456">
        <w:rPr>
          <w:rFonts w:ascii="Verdana" w:hAnsi="Verdana" w:cs="TT17Bt00"/>
          <w:sz w:val="24"/>
          <w:szCs w:val="24"/>
        </w:rPr>
        <w:t>the effective</w:t>
      </w:r>
      <w:r w:rsidR="00B70F15" w:rsidRPr="00105456">
        <w:rPr>
          <w:rFonts w:ascii="Verdana" w:hAnsi="Verdana" w:cs="TT17Bt00"/>
          <w:sz w:val="24"/>
          <w:szCs w:val="24"/>
        </w:rPr>
        <w:t xml:space="preserve"> transfer </w:t>
      </w:r>
      <w:r w:rsidR="00B16933" w:rsidRPr="00105456">
        <w:rPr>
          <w:rFonts w:ascii="Verdana" w:hAnsi="Verdana" w:cs="TT17Bt00"/>
          <w:sz w:val="24"/>
          <w:szCs w:val="24"/>
        </w:rPr>
        <w:t xml:space="preserve">of </w:t>
      </w:r>
      <w:r w:rsidR="00B70F15" w:rsidRPr="00105456">
        <w:rPr>
          <w:rFonts w:ascii="Verdana" w:hAnsi="Verdana" w:cs="TT17Bt00"/>
          <w:sz w:val="24"/>
          <w:szCs w:val="24"/>
        </w:rPr>
        <w:t xml:space="preserve">all relevant case files to the HIU. </w:t>
      </w:r>
    </w:p>
    <w:p w:rsidR="00B70F15" w:rsidRPr="00105456" w:rsidRDefault="00B70F15" w:rsidP="00105456">
      <w:pPr>
        <w:pStyle w:val="NoSpacing"/>
        <w:rPr>
          <w:rFonts w:ascii="Verdana" w:hAnsi="Verdana" w:cs="TT17Bt00"/>
          <w:sz w:val="24"/>
          <w:szCs w:val="24"/>
        </w:rPr>
      </w:pPr>
    </w:p>
    <w:p w:rsidR="00B70F15" w:rsidRPr="00105456" w:rsidRDefault="00B70F15" w:rsidP="00105456">
      <w:pPr>
        <w:pStyle w:val="NoSpacing"/>
        <w:rPr>
          <w:rFonts w:ascii="Verdana" w:hAnsi="Verdana" w:cs="TT17Bt00"/>
          <w:b/>
          <w:sz w:val="24"/>
          <w:szCs w:val="24"/>
        </w:rPr>
      </w:pPr>
      <w:r w:rsidRPr="00105456">
        <w:rPr>
          <w:rFonts w:ascii="Verdana" w:hAnsi="Verdana" w:cs="TT17Bt00"/>
          <w:b/>
          <w:sz w:val="24"/>
          <w:szCs w:val="24"/>
        </w:rPr>
        <w:t xml:space="preserve">The Committee may wish to recommend that </w:t>
      </w:r>
      <w:r w:rsidR="00704335" w:rsidRPr="00105456">
        <w:rPr>
          <w:rFonts w:ascii="Verdana" w:hAnsi="Verdana" w:cs="TT17Bt00"/>
          <w:b/>
          <w:sz w:val="24"/>
          <w:szCs w:val="24"/>
        </w:rPr>
        <w:t>the State P</w:t>
      </w:r>
      <w:r w:rsidRPr="00105456">
        <w:rPr>
          <w:rFonts w:ascii="Verdana" w:hAnsi="Verdana" w:cs="TT17Bt00"/>
          <w:b/>
          <w:sz w:val="24"/>
          <w:szCs w:val="24"/>
        </w:rPr>
        <w:t xml:space="preserve">arty set out plans to enhance the capacity of the legacy process in </w:t>
      </w:r>
      <w:r w:rsidR="001A4EED" w:rsidRPr="00105456">
        <w:rPr>
          <w:rFonts w:ascii="Verdana" w:hAnsi="Verdana" w:cs="TT17Bt00"/>
          <w:b/>
          <w:sz w:val="24"/>
          <w:szCs w:val="24"/>
        </w:rPr>
        <w:t>NI</w:t>
      </w:r>
      <w:r w:rsidRPr="00105456">
        <w:rPr>
          <w:rFonts w:ascii="Verdana" w:hAnsi="Verdana" w:cs="TT17Bt00"/>
          <w:b/>
          <w:sz w:val="24"/>
          <w:szCs w:val="24"/>
        </w:rPr>
        <w:t xml:space="preserve"> and for meeting its commitment to ensure ‘full disclosure’ to the HIU. This should include an anticipated date for the completion of all remaining inquests into conflict related deaths. </w:t>
      </w:r>
    </w:p>
    <w:p w:rsidR="00B70F15" w:rsidRPr="00105456" w:rsidRDefault="00B70F15" w:rsidP="00CE0D00">
      <w:pPr>
        <w:pStyle w:val="NoSpacing"/>
        <w:rPr>
          <w:rFonts w:ascii="Verdana" w:hAnsi="Verdana"/>
          <w:sz w:val="24"/>
          <w:szCs w:val="24"/>
        </w:rPr>
      </w:pPr>
    </w:p>
    <w:p w:rsidR="00B70F15" w:rsidRPr="00105456" w:rsidRDefault="00017CA2" w:rsidP="00CE0D00">
      <w:pPr>
        <w:pStyle w:val="NoSpacing"/>
        <w:rPr>
          <w:rFonts w:ascii="Verdana" w:hAnsi="Verdana"/>
          <w:sz w:val="24"/>
          <w:szCs w:val="24"/>
        </w:rPr>
      </w:pPr>
      <w:r>
        <w:rPr>
          <w:rFonts w:ascii="Verdana" w:hAnsi="Verdana"/>
          <w:sz w:val="24"/>
          <w:szCs w:val="24"/>
        </w:rPr>
        <w:t xml:space="preserve">6.10 </w:t>
      </w:r>
      <w:r w:rsidR="00B70F15" w:rsidRPr="00105456">
        <w:rPr>
          <w:rFonts w:ascii="Verdana" w:hAnsi="Verdana"/>
          <w:sz w:val="24"/>
          <w:szCs w:val="24"/>
        </w:rPr>
        <w:t>The SHA contains further proposals for three separate initiatives for the recording and sharing of information relating to the conflict. These are: an Oral History Archive, a research project to produce a factual historical timeline and statistical analysis of the Troubles; and an</w:t>
      </w:r>
      <w:r w:rsidR="00B70F15" w:rsidRPr="00105456">
        <w:rPr>
          <w:rFonts w:ascii="Verdana" w:hAnsi="Verdana"/>
          <w:i/>
          <w:sz w:val="24"/>
          <w:szCs w:val="24"/>
        </w:rPr>
        <w:t xml:space="preserve"> </w:t>
      </w:r>
      <w:r w:rsidR="00B70F15" w:rsidRPr="00105456">
        <w:rPr>
          <w:rFonts w:ascii="Verdana" w:hAnsi="Verdana"/>
          <w:sz w:val="24"/>
          <w:szCs w:val="24"/>
        </w:rPr>
        <w:t>Independent Commission on Information Retrieval, which will ‘</w:t>
      </w:r>
      <w:r w:rsidR="00B70F15" w:rsidRPr="00105456">
        <w:rPr>
          <w:rFonts w:ascii="Verdana" w:hAnsi="Verdana"/>
          <w:i/>
          <w:sz w:val="24"/>
          <w:szCs w:val="24"/>
        </w:rPr>
        <w:t>enable victims and survivors to seek and privately receive information about the deaths of their next of kin’.</w:t>
      </w:r>
      <w:r w:rsidR="00B70F15" w:rsidRPr="00105456">
        <w:rPr>
          <w:rFonts w:ascii="Verdana" w:hAnsi="Verdana"/>
          <w:i/>
          <w:sz w:val="24"/>
          <w:szCs w:val="24"/>
          <w:vertAlign w:val="superscript"/>
        </w:rPr>
        <w:endnoteReference w:id="56"/>
      </w:r>
      <w:r w:rsidR="00B70F15" w:rsidRPr="00105456">
        <w:rPr>
          <w:rFonts w:ascii="Verdana" w:hAnsi="Verdana"/>
          <w:sz w:val="24"/>
          <w:szCs w:val="24"/>
        </w:rPr>
        <w:t xml:space="preserve"> </w:t>
      </w:r>
    </w:p>
    <w:p w:rsidR="00B70F15" w:rsidRPr="00105456" w:rsidRDefault="00B70F15" w:rsidP="00CE0D00">
      <w:pPr>
        <w:pStyle w:val="NoSpacing"/>
        <w:rPr>
          <w:rFonts w:ascii="Verdana" w:hAnsi="Verdana"/>
          <w:sz w:val="24"/>
          <w:szCs w:val="24"/>
        </w:rPr>
      </w:pPr>
    </w:p>
    <w:p w:rsidR="00B70F15" w:rsidRPr="00105456" w:rsidRDefault="00017CA2" w:rsidP="00CE0D00">
      <w:pPr>
        <w:pStyle w:val="NoSpacing"/>
        <w:rPr>
          <w:rFonts w:ascii="Verdana" w:hAnsi="Verdana"/>
          <w:sz w:val="24"/>
          <w:szCs w:val="24"/>
        </w:rPr>
      </w:pPr>
      <w:r>
        <w:rPr>
          <w:rFonts w:ascii="Verdana" w:hAnsi="Verdana"/>
          <w:sz w:val="24"/>
          <w:szCs w:val="24"/>
        </w:rPr>
        <w:t xml:space="preserve">6.11 </w:t>
      </w:r>
      <w:r w:rsidR="00B70F15" w:rsidRPr="00105456">
        <w:rPr>
          <w:rFonts w:ascii="Verdana" w:hAnsi="Verdana"/>
          <w:sz w:val="24"/>
          <w:szCs w:val="24"/>
        </w:rPr>
        <w:t xml:space="preserve">At this moment it is unclear how these initiatives, in particular the Independent Commission on Information Retrieval, will operate alongside the HIU. </w:t>
      </w:r>
    </w:p>
    <w:p w:rsidR="00B70F15" w:rsidRPr="00105456" w:rsidRDefault="00B70F15" w:rsidP="00105456">
      <w:pPr>
        <w:pStyle w:val="NoSpacing"/>
        <w:rPr>
          <w:rFonts w:ascii="Verdana" w:hAnsi="Verdana"/>
          <w:sz w:val="24"/>
          <w:szCs w:val="24"/>
        </w:rPr>
      </w:pPr>
    </w:p>
    <w:p w:rsidR="00B70F15" w:rsidRDefault="007B1036" w:rsidP="00105456">
      <w:pPr>
        <w:pStyle w:val="NoSpacing"/>
        <w:rPr>
          <w:rFonts w:ascii="Verdana" w:hAnsi="Verdana"/>
          <w:b/>
          <w:sz w:val="24"/>
          <w:szCs w:val="24"/>
        </w:rPr>
      </w:pPr>
      <w:r w:rsidRPr="007B1036">
        <w:rPr>
          <w:rFonts w:ascii="Verdana" w:hAnsi="Verdana"/>
          <w:b/>
          <w:sz w:val="24"/>
          <w:szCs w:val="24"/>
        </w:rPr>
        <w:t xml:space="preserve">The Committee may wish to recommend that the </w:t>
      </w:r>
      <w:r>
        <w:rPr>
          <w:rFonts w:ascii="Verdana" w:hAnsi="Verdana"/>
          <w:b/>
          <w:sz w:val="24"/>
          <w:szCs w:val="24"/>
        </w:rPr>
        <w:t>State Party</w:t>
      </w:r>
      <w:r w:rsidRPr="007B1036">
        <w:rPr>
          <w:rFonts w:ascii="Verdana" w:hAnsi="Verdana"/>
          <w:b/>
          <w:sz w:val="24"/>
          <w:szCs w:val="24"/>
        </w:rPr>
        <w:t xml:space="preserve"> ensure that all initiatives established by the SHA are complementary, ensuring prompt, thorough and effective investigations through independent and impartial bodies into alleged violations or abuses </w:t>
      </w:r>
      <w:r>
        <w:rPr>
          <w:rFonts w:ascii="Verdana" w:hAnsi="Verdana"/>
          <w:b/>
          <w:sz w:val="24"/>
          <w:szCs w:val="24"/>
        </w:rPr>
        <w:t xml:space="preserve">during the conflict in NI </w:t>
      </w:r>
      <w:r w:rsidRPr="007B1036">
        <w:rPr>
          <w:rFonts w:ascii="Verdana" w:hAnsi="Verdana"/>
          <w:b/>
          <w:sz w:val="24"/>
          <w:szCs w:val="24"/>
        </w:rPr>
        <w:t>which are capable of leading to the identification and punishment of those responsible. These investigations must be open to public scrutiny and involve victims and their next-of-kin. Furthermore the initiatives should assist in the realisation of victims’ rights including ; the right to the truth; the right to access to justice, and the right to a remedy, including appropriate restitution, compensation, rehabilitation, measures of satisfaction, cessation of any on-going violation, and guarantees of non-repetition.</w:t>
      </w:r>
    </w:p>
    <w:p w:rsidR="00017CA2" w:rsidRPr="00105456" w:rsidRDefault="00017CA2" w:rsidP="00105456">
      <w:pPr>
        <w:pStyle w:val="NoSpacing"/>
        <w:rPr>
          <w:rFonts w:ascii="Verdana" w:hAnsi="Verdana"/>
          <w:sz w:val="24"/>
          <w:szCs w:val="24"/>
        </w:rPr>
      </w:pPr>
    </w:p>
    <w:p w:rsidR="00B70F15" w:rsidRPr="00105456" w:rsidRDefault="00017CA2" w:rsidP="00105456">
      <w:pPr>
        <w:pStyle w:val="NoSpacing"/>
        <w:rPr>
          <w:rFonts w:ascii="Verdana" w:hAnsi="Verdana"/>
          <w:sz w:val="24"/>
          <w:szCs w:val="24"/>
        </w:rPr>
      </w:pPr>
      <w:r>
        <w:rPr>
          <w:rFonts w:ascii="Verdana" w:hAnsi="Verdana"/>
          <w:sz w:val="24"/>
          <w:szCs w:val="24"/>
        </w:rPr>
        <w:t xml:space="preserve">6.12 </w:t>
      </w:r>
      <w:r w:rsidR="00B70F15" w:rsidRPr="00105456">
        <w:rPr>
          <w:rFonts w:ascii="Verdana" w:hAnsi="Verdana"/>
          <w:sz w:val="24"/>
          <w:szCs w:val="24"/>
        </w:rPr>
        <w:t>The Commission notes paragraph 1</w:t>
      </w:r>
      <w:r w:rsidR="000F6AFF" w:rsidRPr="00105456">
        <w:rPr>
          <w:rFonts w:ascii="Verdana" w:hAnsi="Verdana"/>
          <w:sz w:val="24"/>
          <w:szCs w:val="24"/>
        </w:rPr>
        <w:t>26 of the State’s reply to the List of I</w:t>
      </w:r>
      <w:r w:rsidR="00B70F15" w:rsidRPr="00105456">
        <w:rPr>
          <w:rFonts w:ascii="Verdana" w:hAnsi="Verdana"/>
          <w:sz w:val="24"/>
          <w:szCs w:val="24"/>
        </w:rPr>
        <w:t>ssues relating to the Inquiries Act 2005. The House of Lords Select Committee on the 2005 Act made 33 recommendations</w:t>
      </w:r>
      <w:r w:rsidR="0085477D" w:rsidRPr="00105456">
        <w:rPr>
          <w:rFonts w:ascii="Verdana" w:hAnsi="Verdana"/>
          <w:sz w:val="24"/>
          <w:szCs w:val="24"/>
        </w:rPr>
        <w:t>,</w:t>
      </w:r>
      <w:r w:rsidR="00B70F15" w:rsidRPr="00105456">
        <w:rPr>
          <w:rFonts w:ascii="Verdana" w:hAnsi="Verdana"/>
          <w:sz w:val="24"/>
          <w:szCs w:val="24"/>
        </w:rPr>
        <w:t xml:space="preserve"> relating to the Inquiries Act 2005.</w:t>
      </w:r>
      <w:r w:rsidR="00B70F15" w:rsidRPr="00105456">
        <w:rPr>
          <w:rFonts w:ascii="Verdana" w:hAnsi="Verdana"/>
          <w:sz w:val="24"/>
          <w:szCs w:val="24"/>
          <w:vertAlign w:val="superscript"/>
        </w:rPr>
        <w:endnoteReference w:id="57"/>
      </w:r>
      <w:r w:rsidR="00B70F15" w:rsidRPr="00105456">
        <w:rPr>
          <w:rFonts w:ascii="Verdana" w:hAnsi="Verdana"/>
          <w:sz w:val="24"/>
          <w:szCs w:val="24"/>
        </w:rPr>
        <w:t xml:space="preserve"> The Select Committee did not recommend amendments to sections 13 and 14 of the 2005 Act which give powers to the Minster to suspend and terminate inquiries, respectively.</w:t>
      </w:r>
      <w:r w:rsidR="00B70F15" w:rsidRPr="00105456">
        <w:rPr>
          <w:rFonts w:ascii="Verdana" w:hAnsi="Verdana"/>
          <w:sz w:val="24"/>
          <w:szCs w:val="24"/>
          <w:vertAlign w:val="superscript"/>
        </w:rPr>
        <w:endnoteReference w:id="58"/>
      </w:r>
      <w:r w:rsidR="00B70F15" w:rsidRPr="00105456">
        <w:rPr>
          <w:rFonts w:ascii="Verdana" w:hAnsi="Verdana"/>
          <w:sz w:val="24"/>
          <w:szCs w:val="24"/>
        </w:rPr>
        <w:t xml:space="preserve"> These powers have been the principal source of concern for the Commission and others.</w:t>
      </w:r>
      <w:r w:rsidR="00B70F15" w:rsidRPr="00105456">
        <w:rPr>
          <w:rFonts w:ascii="Verdana" w:hAnsi="Verdana"/>
          <w:sz w:val="24"/>
          <w:szCs w:val="24"/>
          <w:vertAlign w:val="superscript"/>
        </w:rPr>
        <w:endnoteReference w:id="59"/>
      </w:r>
      <w:r w:rsidR="00B70F15" w:rsidRPr="00105456">
        <w:rPr>
          <w:rFonts w:ascii="Verdana" w:hAnsi="Verdana"/>
          <w:sz w:val="24"/>
          <w:szCs w:val="24"/>
        </w:rPr>
        <w:t xml:space="preserve"> Furthermore, of the Select Committee’s 33 recommendations the Government rejected 14 of these outright, including all but one recommendation relating to the independence of inquiries.</w:t>
      </w:r>
      <w:r w:rsidR="00B70F15" w:rsidRPr="00105456">
        <w:rPr>
          <w:rFonts w:ascii="Verdana" w:hAnsi="Verdana"/>
          <w:sz w:val="24"/>
          <w:szCs w:val="24"/>
          <w:vertAlign w:val="superscript"/>
        </w:rPr>
        <w:endnoteReference w:id="60"/>
      </w:r>
      <w:r w:rsidR="00B70F15" w:rsidRPr="00105456">
        <w:rPr>
          <w:rFonts w:ascii="Verdana" w:hAnsi="Verdana"/>
          <w:sz w:val="24"/>
          <w:szCs w:val="24"/>
        </w:rPr>
        <w:t xml:space="preserve"> </w:t>
      </w:r>
    </w:p>
    <w:p w:rsidR="00B70F15" w:rsidRPr="00105456" w:rsidRDefault="00B70F15" w:rsidP="00105456">
      <w:pPr>
        <w:pStyle w:val="NoSpacing"/>
        <w:rPr>
          <w:rFonts w:ascii="Verdana" w:hAnsi="Verdana"/>
          <w:sz w:val="24"/>
          <w:szCs w:val="24"/>
        </w:rPr>
      </w:pPr>
    </w:p>
    <w:p w:rsidR="00B70F15" w:rsidRPr="00105456" w:rsidRDefault="00017CA2" w:rsidP="00105456">
      <w:pPr>
        <w:pStyle w:val="NoSpacing"/>
        <w:rPr>
          <w:rFonts w:ascii="Verdana" w:hAnsi="Verdana"/>
          <w:sz w:val="24"/>
          <w:szCs w:val="24"/>
        </w:rPr>
      </w:pPr>
      <w:r>
        <w:rPr>
          <w:rFonts w:ascii="Verdana" w:hAnsi="Verdana"/>
          <w:sz w:val="24"/>
          <w:szCs w:val="24"/>
        </w:rPr>
        <w:t xml:space="preserve">6.13 </w:t>
      </w:r>
      <w:r w:rsidR="00B70F15" w:rsidRPr="00105456">
        <w:rPr>
          <w:rFonts w:ascii="Verdana" w:hAnsi="Verdana"/>
          <w:sz w:val="24"/>
          <w:szCs w:val="24"/>
        </w:rPr>
        <w:t xml:space="preserve">The Select Committee recommended that Ministers should give reasons to Parliament for a decision not to hold an inquiry, </w:t>
      </w:r>
      <w:r w:rsidR="00B16933" w:rsidRPr="00105456">
        <w:rPr>
          <w:rFonts w:ascii="Verdana" w:hAnsi="Verdana"/>
          <w:sz w:val="24"/>
          <w:szCs w:val="24"/>
        </w:rPr>
        <w:t>the Government accepted that a M</w:t>
      </w:r>
      <w:r w:rsidR="00B70F15" w:rsidRPr="00105456">
        <w:rPr>
          <w:rFonts w:ascii="Verdana" w:hAnsi="Verdana"/>
          <w:sz w:val="24"/>
          <w:szCs w:val="24"/>
        </w:rPr>
        <w:t xml:space="preserve">inister should provide </w:t>
      </w:r>
      <w:r w:rsidR="00B70F15" w:rsidRPr="00105456">
        <w:rPr>
          <w:rFonts w:ascii="Verdana" w:hAnsi="Verdana"/>
          <w:i/>
          <w:sz w:val="24"/>
          <w:szCs w:val="24"/>
        </w:rPr>
        <w:t>‘some explanation’</w:t>
      </w:r>
      <w:r w:rsidR="00B70F15" w:rsidRPr="00105456">
        <w:rPr>
          <w:rFonts w:ascii="Verdana" w:hAnsi="Verdana"/>
          <w:sz w:val="24"/>
          <w:szCs w:val="24"/>
        </w:rPr>
        <w:t xml:space="preserve"> to Parliament but only in circumstances where the Government has been invited to hold an inquiry by a domestic body of a certain standing. In its reply to the recommendation the Government states that this requirement </w:t>
      </w:r>
      <w:r w:rsidR="00B70F15" w:rsidRPr="00105456">
        <w:rPr>
          <w:rFonts w:ascii="Verdana" w:hAnsi="Verdana"/>
          <w:i/>
          <w:sz w:val="24"/>
          <w:szCs w:val="24"/>
        </w:rPr>
        <w:t>“should not extend to international bodies such as the United Nations</w:t>
      </w:r>
      <w:r w:rsidR="00B70F15" w:rsidRPr="00105456">
        <w:rPr>
          <w:rFonts w:ascii="Verdana" w:hAnsi="Verdana"/>
          <w:sz w:val="24"/>
          <w:szCs w:val="24"/>
        </w:rPr>
        <w:t>”.</w:t>
      </w:r>
      <w:r w:rsidR="00B70F15" w:rsidRPr="00105456">
        <w:rPr>
          <w:rFonts w:ascii="Verdana" w:hAnsi="Verdana"/>
          <w:sz w:val="24"/>
          <w:szCs w:val="24"/>
          <w:vertAlign w:val="superscript"/>
        </w:rPr>
        <w:endnoteReference w:id="61"/>
      </w:r>
      <w:r w:rsidR="00B70F15" w:rsidRPr="00105456">
        <w:rPr>
          <w:rFonts w:ascii="Verdana" w:hAnsi="Verdana"/>
          <w:sz w:val="24"/>
          <w:szCs w:val="24"/>
        </w:rPr>
        <w:t xml:space="preserve"> The Government has not indicated when all recommendations will be implemented, but acknowledges that some recommendations will require amendment to the 2005 Act. </w:t>
      </w:r>
    </w:p>
    <w:p w:rsidR="00B70F15" w:rsidRPr="00105456" w:rsidRDefault="00B70F15" w:rsidP="00105456">
      <w:pPr>
        <w:pStyle w:val="NoSpacing"/>
        <w:rPr>
          <w:rFonts w:ascii="Verdana" w:hAnsi="Verdana"/>
          <w:sz w:val="24"/>
          <w:szCs w:val="24"/>
        </w:rPr>
      </w:pPr>
    </w:p>
    <w:p w:rsidR="00B70F15" w:rsidRPr="00105456" w:rsidRDefault="00B70F15" w:rsidP="00105456">
      <w:pPr>
        <w:pStyle w:val="NoSpacing"/>
        <w:rPr>
          <w:rFonts w:ascii="Verdana" w:hAnsi="Verdana"/>
          <w:b/>
          <w:sz w:val="24"/>
          <w:szCs w:val="24"/>
        </w:rPr>
      </w:pPr>
      <w:r w:rsidRPr="00105456">
        <w:rPr>
          <w:rFonts w:ascii="Verdana" w:hAnsi="Verdana"/>
          <w:b/>
          <w:sz w:val="24"/>
          <w:szCs w:val="24"/>
        </w:rPr>
        <w:t>The Committee may wish to recommend that the State Party ensures full implementation of the accepted recommendations o</w:t>
      </w:r>
      <w:r w:rsidR="00B16933" w:rsidRPr="00105456">
        <w:rPr>
          <w:rFonts w:ascii="Verdana" w:hAnsi="Verdana"/>
          <w:b/>
          <w:sz w:val="24"/>
          <w:szCs w:val="24"/>
        </w:rPr>
        <w:t xml:space="preserve">f the Select Committee; </w:t>
      </w:r>
      <w:r w:rsidRPr="00105456">
        <w:rPr>
          <w:rFonts w:ascii="Verdana" w:hAnsi="Verdana"/>
          <w:b/>
          <w:sz w:val="24"/>
          <w:szCs w:val="24"/>
        </w:rPr>
        <w:t>re-consider its position on the requirement to give reasons for a refusal of an inquiry and</w:t>
      </w:r>
      <w:r w:rsidR="00B16933" w:rsidRPr="00105456">
        <w:rPr>
          <w:rFonts w:ascii="Verdana" w:hAnsi="Verdana"/>
          <w:b/>
          <w:sz w:val="24"/>
          <w:szCs w:val="24"/>
        </w:rPr>
        <w:t>;</w:t>
      </w:r>
      <w:r w:rsidRPr="00105456">
        <w:rPr>
          <w:rFonts w:ascii="Verdana" w:hAnsi="Verdana"/>
          <w:b/>
          <w:sz w:val="24"/>
          <w:szCs w:val="24"/>
        </w:rPr>
        <w:t xml:space="preserve"> keep under review the operation of the Inquiries Act 2005. </w:t>
      </w:r>
    </w:p>
    <w:p w:rsidR="003279CD" w:rsidRDefault="003279CD" w:rsidP="00105456">
      <w:pPr>
        <w:pStyle w:val="NoSpacing"/>
        <w:rPr>
          <w:rFonts w:ascii="Verdana" w:hAnsi="Verdana"/>
          <w:i/>
          <w:sz w:val="24"/>
          <w:szCs w:val="24"/>
        </w:rPr>
      </w:pPr>
    </w:p>
    <w:p w:rsidR="00B70F15" w:rsidRPr="00105456" w:rsidRDefault="00B70F15" w:rsidP="00105456">
      <w:pPr>
        <w:pStyle w:val="NoSpacing"/>
        <w:rPr>
          <w:rFonts w:ascii="Verdana" w:hAnsi="Verdana"/>
          <w:i/>
          <w:sz w:val="24"/>
          <w:szCs w:val="24"/>
        </w:rPr>
      </w:pPr>
      <w:r w:rsidRPr="00105456">
        <w:rPr>
          <w:rFonts w:ascii="Verdana" w:hAnsi="Verdana"/>
          <w:i/>
          <w:sz w:val="24"/>
          <w:szCs w:val="24"/>
        </w:rPr>
        <w:t>Termination of pregnancy (List of Issues paragraph 14)</w:t>
      </w:r>
    </w:p>
    <w:p w:rsidR="00017CA2" w:rsidRDefault="00017CA2" w:rsidP="00105456">
      <w:pPr>
        <w:pStyle w:val="NoSpacing"/>
        <w:rPr>
          <w:rFonts w:ascii="Verdana" w:hAnsi="Verdana"/>
          <w:sz w:val="24"/>
          <w:szCs w:val="24"/>
        </w:rPr>
      </w:pPr>
    </w:p>
    <w:p w:rsidR="00B70F15" w:rsidRDefault="00017CA2" w:rsidP="00105456">
      <w:pPr>
        <w:pStyle w:val="NoSpacing"/>
        <w:rPr>
          <w:rFonts w:ascii="Verdana" w:hAnsi="Verdana"/>
          <w:sz w:val="24"/>
          <w:szCs w:val="24"/>
        </w:rPr>
      </w:pPr>
      <w:r>
        <w:rPr>
          <w:rFonts w:ascii="Verdana" w:hAnsi="Verdana"/>
          <w:sz w:val="24"/>
          <w:szCs w:val="24"/>
        </w:rPr>
        <w:t xml:space="preserve">6.14 </w:t>
      </w:r>
      <w:r w:rsidR="00B70F15" w:rsidRPr="00105456">
        <w:rPr>
          <w:rFonts w:ascii="Verdana" w:hAnsi="Verdana"/>
          <w:sz w:val="24"/>
          <w:szCs w:val="24"/>
        </w:rPr>
        <w:t>Noting the Committee’s and other treaty bodies’ comments, observations and jurisprudence on the issue of access to safe abortion, the Commission has consistently advised that the law governing access to abortion in NI is in breach of international human rights law.</w:t>
      </w:r>
      <w:r w:rsidR="00B70F15" w:rsidRPr="00105456">
        <w:rPr>
          <w:rStyle w:val="EndnoteReference"/>
          <w:rFonts w:ascii="Verdana" w:hAnsi="Verdana"/>
          <w:sz w:val="24"/>
          <w:szCs w:val="24"/>
        </w:rPr>
        <w:endnoteReference w:id="62"/>
      </w:r>
    </w:p>
    <w:p w:rsidR="00CE0D00" w:rsidRPr="00105456" w:rsidRDefault="00CE0D00" w:rsidP="00105456">
      <w:pPr>
        <w:pStyle w:val="NoSpacing"/>
        <w:rPr>
          <w:rFonts w:ascii="Verdana" w:hAnsi="Verdana"/>
          <w:sz w:val="24"/>
          <w:szCs w:val="24"/>
        </w:rPr>
      </w:pPr>
    </w:p>
    <w:p w:rsidR="00B70F15" w:rsidRDefault="00017CA2" w:rsidP="00105456">
      <w:pPr>
        <w:pStyle w:val="NoSpacing"/>
        <w:rPr>
          <w:rFonts w:ascii="Verdana" w:hAnsi="Verdana"/>
          <w:sz w:val="24"/>
          <w:szCs w:val="24"/>
        </w:rPr>
      </w:pPr>
      <w:r>
        <w:rPr>
          <w:rFonts w:ascii="Verdana" w:hAnsi="Verdana"/>
          <w:sz w:val="24"/>
          <w:szCs w:val="24"/>
        </w:rPr>
        <w:t xml:space="preserve">6.15 </w:t>
      </w:r>
      <w:r w:rsidR="00B70F15" w:rsidRPr="00105456">
        <w:rPr>
          <w:rFonts w:ascii="Verdana" w:hAnsi="Verdana"/>
          <w:sz w:val="24"/>
          <w:szCs w:val="24"/>
        </w:rPr>
        <w:t xml:space="preserve">On 11 December 2014 the NIHRC made an application to </w:t>
      </w:r>
      <w:r w:rsidR="00FD5ADB" w:rsidRPr="00105456">
        <w:rPr>
          <w:rFonts w:ascii="Verdana" w:hAnsi="Verdana"/>
          <w:sz w:val="24"/>
          <w:szCs w:val="24"/>
        </w:rPr>
        <w:t>the NI High C</w:t>
      </w:r>
      <w:r w:rsidR="00B70F15" w:rsidRPr="00105456">
        <w:rPr>
          <w:rFonts w:ascii="Verdana" w:hAnsi="Verdana"/>
          <w:sz w:val="24"/>
          <w:szCs w:val="24"/>
        </w:rPr>
        <w:t xml:space="preserve">ourt to bring legal proceedings against the Department of Justice on the grounds that legislation in NI preventing access to abortion in cases of serious malformation of the foetus or sexual crime is in violation of domestic and international human rights law.  The Commission has received the permission of the </w:t>
      </w:r>
      <w:r w:rsidR="00B16933" w:rsidRPr="00105456">
        <w:rPr>
          <w:rFonts w:ascii="Verdana" w:hAnsi="Verdana"/>
          <w:sz w:val="24"/>
          <w:szCs w:val="24"/>
        </w:rPr>
        <w:t>High C</w:t>
      </w:r>
      <w:r w:rsidR="00B70F15" w:rsidRPr="00105456">
        <w:rPr>
          <w:rFonts w:ascii="Verdana" w:hAnsi="Verdana"/>
          <w:sz w:val="24"/>
          <w:szCs w:val="24"/>
        </w:rPr>
        <w:t xml:space="preserve">ourt to proceed with the legal proceedings which will be heard in June 2015.  </w:t>
      </w:r>
    </w:p>
    <w:p w:rsidR="00CE0D00" w:rsidRPr="00105456" w:rsidRDefault="00CE0D00" w:rsidP="00105456">
      <w:pPr>
        <w:pStyle w:val="NoSpacing"/>
        <w:rPr>
          <w:rFonts w:ascii="Verdana" w:hAnsi="Verdana"/>
          <w:sz w:val="24"/>
          <w:szCs w:val="24"/>
        </w:rPr>
      </w:pPr>
    </w:p>
    <w:p w:rsidR="00B70F15" w:rsidRPr="00105456" w:rsidRDefault="00B70F15" w:rsidP="00105456">
      <w:pPr>
        <w:pStyle w:val="NoSpacing"/>
        <w:rPr>
          <w:rFonts w:ascii="Verdana" w:hAnsi="Verdana"/>
          <w:sz w:val="24"/>
          <w:szCs w:val="24"/>
        </w:rPr>
      </w:pPr>
      <w:r w:rsidRPr="00105456">
        <w:rPr>
          <w:rFonts w:ascii="Verdana" w:hAnsi="Verdana"/>
          <w:sz w:val="24"/>
          <w:szCs w:val="24"/>
        </w:rPr>
        <w:t>As set o</w:t>
      </w:r>
      <w:r w:rsidR="000F6AFF" w:rsidRPr="00105456">
        <w:rPr>
          <w:rFonts w:ascii="Verdana" w:hAnsi="Verdana"/>
          <w:sz w:val="24"/>
          <w:szCs w:val="24"/>
        </w:rPr>
        <w:t>ut in the State’s reply to the List of I</w:t>
      </w:r>
      <w:r w:rsidRPr="00105456">
        <w:rPr>
          <w:rFonts w:ascii="Verdana" w:hAnsi="Verdana"/>
          <w:sz w:val="24"/>
          <w:szCs w:val="24"/>
        </w:rPr>
        <w:t>ssues, the Department of Justice NI has publicly stated its position that it will seek to amend the law so that abortion is decriminalised in very specific circumstances only, namely where there is a diagnosis in pregnancy that the foetus has a lethal abnormality.</w:t>
      </w:r>
      <w:r w:rsidRPr="00105456">
        <w:rPr>
          <w:rStyle w:val="EndnoteReference"/>
          <w:rFonts w:ascii="Verdana" w:hAnsi="Verdana"/>
          <w:sz w:val="24"/>
          <w:szCs w:val="24"/>
        </w:rPr>
        <w:endnoteReference w:id="63"/>
      </w:r>
      <w:r w:rsidRPr="00105456">
        <w:rPr>
          <w:rFonts w:ascii="Verdana" w:hAnsi="Verdana"/>
          <w:sz w:val="24"/>
          <w:szCs w:val="24"/>
        </w:rPr>
        <w:t xml:space="preserve"> This amendment would not meet the standard set by the Committee and other international treaty bodies.</w:t>
      </w:r>
      <w:r w:rsidR="00FD5ADB" w:rsidRPr="00105456">
        <w:rPr>
          <w:rFonts w:ascii="Verdana" w:hAnsi="Verdana"/>
          <w:sz w:val="24"/>
          <w:szCs w:val="24"/>
        </w:rPr>
        <w:t xml:space="preserve"> Furthermore </w:t>
      </w:r>
      <w:r w:rsidR="00F130E9" w:rsidRPr="00105456">
        <w:rPr>
          <w:rFonts w:ascii="Verdana" w:hAnsi="Verdana"/>
          <w:sz w:val="24"/>
          <w:szCs w:val="24"/>
        </w:rPr>
        <w:t>there is considerable doubt whether</w:t>
      </w:r>
      <w:r w:rsidR="00FD5ADB" w:rsidRPr="00105456">
        <w:rPr>
          <w:rFonts w:ascii="Verdana" w:hAnsi="Verdana"/>
          <w:sz w:val="24"/>
          <w:szCs w:val="24"/>
        </w:rPr>
        <w:t xml:space="preserve"> this proposal will receive the support of the NI Executive.</w:t>
      </w:r>
      <w:r w:rsidR="00FD5ADB" w:rsidRPr="00105456">
        <w:rPr>
          <w:rStyle w:val="EndnoteReference"/>
          <w:rFonts w:ascii="Verdana" w:hAnsi="Verdana"/>
          <w:sz w:val="24"/>
          <w:szCs w:val="24"/>
        </w:rPr>
        <w:endnoteReference w:id="64"/>
      </w:r>
      <w:r w:rsidRPr="00105456">
        <w:rPr>
          <w:rFonts w:ascii="Verdana" w:hAnsi="Verdana"/>
          <w:sz w:val="24"/>
          <w:szCs w:val="24"/>
        </w:rPr>
        <w:t xml:space="preserve"> </w:t>
      </w:r>
    </w:p>
    <w:p w:rsidR="00B70F15" w:rsidRPr="00105456" w:rsidRDefault="00B70F15" w:rsidP="00105456">
      <w:pPr>
        <w:pStyle w:val="NoSpacing"/>
        <w:rPr>
          <w:rFonts w:ascii="Verdana" w:hAnsi="Verdana"/>
          <w:i/>
          <w:iCs/>
          <w:sz w:val="24"/>
          <w:szCs w:val="24"/>
        </w:rPr>
      </w:pPr>
    </w:p>
    <w:p w:rsidR="00B70F15" w:rsidRPr="00105456" w:rsidRDefault="00B70F15" w:rsidP="00105456">
      <w:pPr>
        <w:pStyle w:val="NoSpacing"/>
        <w:rPr>
          <w:rFonts w:ascii="Verdana" w:hAnsi="Verdana"/>
          <w:b/>
          <w:sz w:val="24"/>
          <w:szCs w:val="24"/>
        </w:rPr>
      </w:pPr>
      <w:r w:rsidRPr="00105456">
        <w:rPr>
          <w:rFonts w:ascii="Verdana" w:hAnsi="Verdana"/>
          <w:b/>
          <w:sz w:val="24"/>
          <w:szCs w:val="24"/>
        </w:rPr>
        <w:t xml:space="preserve">The Committee may wish to recommend that the State Party revise legislation in </w:t>
      </w:r>
      <w:r w:rsidR="001A4EED" w:rsidRPr="00105456">
        <w:rPr>
          <w:rFonts w:ascii="Verdana" w:hAnsi="Verdana"/>
          <w:b/>
          <w:sz w:val="24"/>
          <w:szCs w:val="24"/>
        </w:rPr>
        <w:t>NI</w:t>
      </w:r>
      <w:r w:rsidRPr="00105456">
        <w:rPr>
          <w:rFonts w:ascii="Verdana" w:hAnsi="Verdana"/>
          <w:b/>
          <w:sz w:val="24"/>
          <w:szCs w:val="24"/>
        </w:rPr>
        <w:t xml:space="preserve"> on abortion, to provide for exceptions in cases of rape, incest</w:t>
      </w:r>
      <w:r w:rsidR="00B16933" w:rsidRPr="00105456">
        <w:rPr>
          <w:rFonts w:ascii="Verdana" w:hAnsi="Verdana"/>
          <w:b/>
          <w:sz w:val="24"/>
          <w:szCs w:val="24"/>
        </w:rPr>
        <w:t>,</w:t>
      </w:r>
      <w:r w:rsidRPr="00105456">
        <w:rPr>
          <w:rFonts w:ascii="Verdana" w:hAnsi="Verdana"/>
          <w:b/>
          <w:sz w:val="24"/>
          <w:szCs w:val="24"/>
        </w:rPr>
        <w:t xml:space="preserve"> </w:t>
      </w:r>
      <w:r w:rsidR="00F130E9" w:rsidRPr="00105456">
        <w:rPr>
          <w:rFonts w:ascii="Verdana" w:hAnsi="Verdana"/>
          <w:b/>
          <w:sz w:val="24"/>
          <w:szCs w:val="24"/>
        </w:rPr>
        <w:t xml:space="preserve">fatal or </w:t>
      </w:r>
      <w:r w:rsidRPr="00105456">
        <w:rPr>
          <w:rFonts w:ascii="Verdana" w:hAnsi="Verdana"/>
          <w:b/>
          <w:sz w:val="24"/>
          <w:szCs w:val="24"/>
        </w:rPr>
        <w:t xml:space="preserve">serious malformation of the foetus. </w:t>
      </w:r>
    </w:p>
    <w:p w:rsidR="00017CA2" w:rsidRDefault="00017CA2" w:rsidP="00105456">
      <w:pPr>
        <w:pStyle w:val="NoSpacing"/>
        <w:rPr>
          <w:rFonts w:ascii="Verdana" w:hAnsi="Verdana"/>
          <w:i/>
          <w:sz w:val="24"/>
          <w:szCs w:val="24"/>
        </w:rPr>
      </w:pPr>
    </w:p>
    <w:p w:rsidR="00B70F15" w:rsidRPr="00105456" w:rsidRDefault="00B70F15" w:rsidP="00105456">
      <w:pPr>
        <w:pStyle w:val="NoSpacing"/>
        <w:rPr>
          <w:rFonts w:ascii="Verdana" w:hAnsi="Verdana"/>
          <w:i/>
          <w:sz w:val="24"/>
          <w:szCs w:val="24"/>
        </w:rPr>
      </w:pPr>
      <w:r w:rsidRPr="00105456">
        <w:rPr>
          <w:rFonts w:ascii="Verdana" w:hAnsi="Verdana"/>
          <w:i/>
          <w:sz w:val="24"/>
          <w:szCs w:val="24"/>
        </w:rPr>
        <w:t>Abuse in Health and Social Care Settings (List of Issues paragraph 18)</w:t>
      </w:r>
    </w:p>
    <w:p w:rsidR="00017CA2" w:rsidRDefault="00017CA2" w:rsidP="00105456">
      <w:pPr>
        <w:pStyle w:val="NoSpacing"/>
        <w:rPr>
          <w:rFonts w:ascii="Verdana" w:hAnsi="Verdana"/>
          <w:sz w:val="24"/>
          <w:szCs w:val="24"/>
        </w:rPr>
      </w:pPr>
    </w:p>
    <w:p w:rsidR="00B70F15" w:rsidRPr="00105456" w:rsidRDefault="00017CA2" w:rsidP="00105456">
      <w:pPr>
        <w:pStyle w:val="NoSpacing"/>
        <w:rPr>
          <w:rFonts w:ascii="Verdana" w:hAnsi="Verdana" w:cs="Times New Roman PSMT"/>
          <w:sz w:val="24"/>
          <w:szCs w:val="24"/>
        </w:rPr>
      </w:pPr>
      <w:r>
        <w:rPr>
          <w:rFonts w:ascii="Verdana" w:hAnsi="Verdana"/>
          <w:sz w:val="24"/>
          <w:szCs w:val="24"/>
        </w:rPr>
        <w:t xml:space="preserve">6.16 </w:t>
      </w:r>
      <w:r w:rsidR="00B70F15" w:rsidRPr="00105456">
        <w:rPr>
          <w:rFonts w:ascii="Verdana" w:hAnsi="Verdana"/>
          <w:sz w:val="24"/>
          <w:szCs w:val="24"/>
        </w:rPr>
        <w:t xml:space="preserve">In its earlier submission the Commission informed the Committee that a new offence of wilful or reckless neglect or mistreatment of any individual in a health and social care setting should be introduced to NI. In England &amp; Wales </w:t>
      </w:r>
      <w:r w:rsidR="00FD5ADB" w:rsidRPr="00105456">
        <w:rPr>
          <w:rFonts w:ascii="Verdana" w:hAnsi="Verdana"/>
          <w:sz w:val="24"/>
          <w:szCs w:val="24"/>
        </w:rPr>
        <w:t xml:space="preserve">it is now </w:t>
      </w:r>
      <w:r w:rsidR="00B70F15" w:rsidRPr="00105456">
        <w:rPr>
          <w:rFonts w:ascii="Verdana" w:hAnsi="Verdana" w:cs="Times New Roman PSMT"/>
          <w:sz w:val="24"/>
          <w:szCs w:val="24"/>
        </w:rPr>
        <w:t xml:space="preserve">an </w:t>
      </w:r>
      <w:r w:rsidR="00A0382F" w:rsidRPr="00105456">
        <w:rPr>
          <w:rFonts w:ascii="Verdana" w:hAnsi="Verdana" w:cs="Times New Roman PSMT"/>
          <w:sz w:val="24"/>
          <w:szCs w:val="24"/>
        </w:rPr>
        <w:t>offence</w:t>
      </w:r>
      <w:r w:rsidR="00B70F15" w:rsidRPr="00105456">
        <w:rPr>
          <w:rFonts w:ascii="Verdana" w:hAnsi="Verdana" w:cs="Times New Roman PSMT"/>
          <w:sz w:val="24"/>
          <w:szCs w:val="24"/>
        </w:rPr>
        <w:t xml:space="preserve"> </w:t>
      </w:r>
      <w:r w:rsidR="00FD5ADB" w:rsidRPr="00105456">
        <w:rPr>
          <w:rFonts w:ascii="Verdana" w:hAnsi="Verdana" w:cs="Times New Roman PSMT"/>
          <w:sz w:val="24"/>
          <w:szCs w:val="24"/>
        </w:rPr>
        <w:t xml:space="preserve">for an individual </w:t>
      </w:r>
      <w:r w:rsidR="00B70F15" w:rsidRPr="00105456">
        <w:rPr>
          <w:rFonts w:ascii="Verdana" w:hAnsi="Verdana" w:cs="Times New Roman PSMT"/>
          <w:sz w:val="24"/>
          <w:szCs w:val="24"/>
        </w:rPr>
        <w:t>who has the care of another individual by virtue of being a care worker to ill-treat or wilfully to neglect t</w:t>
      </w:r>
      <w:r w:rsidR="00FD5ADB" w:rsidRPr="00105456">
        <w:rPr>
          <w:rFonts w:ascii="Verdana" w:hAnsi="Verdana" w:cs="Times New Roman PSMT"/>
          <w:sz w:val="24"/>
          <w:szCs w:val="24"/>
        </w:rPr>
        <w:t>hat individual</w:t>
      </w:r>
      <w:r w:rsidR="00B70F15" w:rsidRPr="00105456">
        <w:rPr>
          <w:rFonts w:ascii="Verdana" w:hAnsi="Verdana" w:cs="Times New Roman PSMT"/>
          <w:sz w:val="24"/>
          <w:szCs w:val="24"/>
        </w:rPr>
        <w:t>.</w:t>
      </w:r>
      <w:r w:rsidR="00B70F15" w:rsidRPr="00105456">
        <w:rPr>
          <w:rStyle w:val="EndnoteReference"/>
          <w:rFonts w:ascii="Verdana" w:hAnsi="Verdana" w:cs="Times New Roman PSMT"/>
          <w:sz w:val="24"/>
          <w:szCs w:val="24"/>
        </w:rPr>
        <w:endnoteReference w:id="65"/>
      </w:r>
      <w:r w:rsidR="00B70F15" w:rsidRPr="00105456">
        <w:rPr>
          <w:rFonts w:ascii="Verdana" w:hAnsi="Verdana" w:cs="Times New Roman PSMT"/>
          <w:sz w:val="24"/>
          <w:szCs w:val="24"/>
        </w:rPr>
        <w:t xml:space="preserve"> This offence was introduced to address a lacuna in the criminal law of England &amp; W</w:t>
      </w:r>
      <w:r w:rsidR="00A0382F" w:rsidRPr="00105456">
        <w:rPr>
          <w:rFonts w:ascii="Verdana" w:hAnsi="Verdana" w:cs="Times New Roman PSMT"/>
          <w:sz w:val="24"/>
          <w:szCs w:val="24"/>
        </w:rPr>
        <w:t xml:space="preserve">ales which left those reliant </w:t>
      </w:r>
      <w:r w:rsidR="00B70F15" w:rsidRPr="00105456">
        <w:rPr>
          <w:rFonts w:ascii="Verdana" w:hAnsi="Verdana" w:cs="Times New Roman PSMT"/>
          <w:sz w:val="24"/>
          <w:szCs w:val="24"/>
        </w:rPr>
        <w:t>on others for their care open to abus</w:t>
      </w:r>
      <w:r w:rsidR="000F6AFF" w:rsidRPr="00105456">
        <w:rPr>
          <w:rFonts w:ascii="Verdana" w:hAnsi="Verdana" w:cs="Times New Roman PSMT"/>
          <w:sz w:val="24"/>
          <w:szCs w:val="24"/>
        </w:rPr>
        <w:t>e. The State’s response to the List of I</w:t>
      </w:r>
      <w:r w:rsidR="00B70F15" w:rsidRPr="00105456">
        <w:rPr>
          <w:rFonts w:ascii="Verdana" w:hAnsi="Verdana" w:cs="Times New Roman PSMT"/>
          <w:sz w:val="24"/>
          <w:szCs w:val="24"/>
        </w:rPr>
        <w:t xml:space="preserve">ssues does not address the criminal law in </w:t>
      </w:r>
      <w:r w:rsidR="001A4EED" w:rsidRPr="00105456">
        <w:rPr>
          <w:rFonts w:ascii="Verdana" w:hAnsi="Verdana" w:cs="Times New Roman PSMT"/>
          <w:sz w:val="24"/>
          <w:szCs w:val="24"/>
        </w:rPr>
        <w:t>NI</w:t>
      </w:r>
      <w:r w:rsidR="00B70F15" w:rsidRPr="00105456">
        <w:rPr>
          <w:rFonts w:ascii="Verdana" w:hAnsi="Verdana" w:cs="Times New Roman PSMT"/>
          <w:sz w:val="24"/>
          <w:szCs w:val="24"/>
        </w:rPr>
        <w:t xml:space="preserve">. Whilst the Commission notes the development of new standards for Nursing Homes, the effectiveness of the criminal law of </w:t>
      </w:r>
      <w:r w:rsidR="001A4EED" w:rsidRPr="00105456">
        <w:rPr>
          <w:rFonts w:ascii="Verdana" w:hAnsi="Verdana" w:cs="Times New Roman PSMT"/>
          <w:sz w:val="24"/>
          <w:szCs w:val="24"/>
        </w:rPr>
        <w:t>NI</w:t>
      </w:r>
      <w:r w:rsidR="00B70F15" w:rsidRPr="00105456">
        <w:rPr>
          <w:rFonts w:ascii="Verdana" w:hAnsi="Verdana" w:cs="Times New Roman PSMT"/>
          <w:sz w:val="24"/>
          <w:szCs w:val="24"/>
        </w:rPr>
        <w:t xml:space="preserve"> to address ill treatment in health and social care scenarios requires consideration.</w:t>
      </w:r>
      <w:r w:rsidR="00B70F15" w:rsidRPr="00105456">
        <w:rPr>
          <w:rStyle w:val="EndnoteReference"/>
          <w:rFonts w:ascii="Verdana" w:hAnsi="Verdana" w:cs="Times New Roman PSMT"/>
          <w:sz w:val="24"/>
          <w:szCs w:val="24"/>
        </w:rPr>
        <w:endnoteReference w:id="66"/>
      </w:r>
      <w:r w:rsidR="00B70F15" w:rsidRPr="00105456">
        <w:rPr>
          <w:rFonts w:ascii="Verdana" w:hAnsi="Verdana" w:cs="Times New Roman PSMT"/>
          <w:sz w:val="24"/>
          <w:szCs w:val="24"/>
        </w:rPr>
        <w:t xml:space="preserve"> </w:t>
      </w:r>
    </w:p>
    <w:p w:rsidR="00B70F15" w:rsidRPr="00105456" w:rsidRDefault="00B70F15" w:rsidP="00105456">
      <w:pPr>
        <w:pStyle w:val="NoSpacing"/>
        <w:rPr>
          <w:rFonts w:ascii="Verdana" w:hAnsi="Verdana" w:cs="Times New Roman PSMT"/>
          <w:sz w:val="24"/>
          <w:szCs w:val="24"/>
        </w:rPr>
      </w:pPr>
    </w:p>
    <w:p w:rsidR="00B70F15" w:rsidRPr="00105456" w:rsidRDefault="00B70F15" w:rsidP="00105456">
      <w:pPr>
        <w:pStyle w:val="NoSpacing"/>
        <w:rPr>
          <w:rFonts w:ascii="Verdana" w:hAnsi="Verdana" w:cs="Times New Roman PSMT"/>
          <w:b/>
          <w:color w:val="000000"/>
          <w:sz w:val="24"/>
          <w:szCs w:val="24"/>
        </w:rPr>
      </w:pPr>
      <w:r w:rsidRPr="00105456">
        <w:rPr>
          <w:rFonts w:ascii="Verdana" w:hAnsi="Verdana" w:cs="Times New Roman PSMT"/>
          <w:b/>
          <w:color w:val="000000"/>
          <w:sz w:val="24"/>
          <w:szCs w:val="24"/>
        </w:rPr>
        <w:t xml:space="preserve">The Committee may wish to recommend that </w:t>
      </w:r>
      <w:r w:rsidR="00B16933" w:rsidRPr="00105456">
        <w:rPr>
          <w:rFonts w:ascii="Verdana" w:hAnsi="Verdana" w:cs="Times New Roman PSMT"/>
          <w:b/>
          <w:color w:val="000000"/>
          <w:sz w:val="24"/>
          <w:szCs w:val="24"/>
        </w:rPr>
        <w:t>the State Party assess</w:t>
      </w:r>
      <w:r w:rsidRPr="00105456">
        <w:rPr>
          <w:rFonts w:ascii="Verdana" w:hAnsi="Verdana" w:cs="Times New Roman PSMT"/>
          <w:b/>
          <w:color w:val="000000"/>
          <w:sz w:val="24"/>
          <w:szCs w:val="24"/>
        </w:rPr>
        <w:t xml:space="preserve"> the criminal law of </w:t>
      </w:r>
      <w:r w:rsidR="001A4EED" w:rsidRPr="00105456">
        <w:rPr>
          <w:rFonts w:ascii="Verdana" w:hAnsi="Verdana" w:cs="Times New Roman PSMT"/>
          <w:b/>
          <w:color w:val="000000"/>
          <w:sz w:val="24"/>
          <w:szCs w:val="24"/>
        </w:rPr>
        <w:t>NI</w:t>
      </w:r>
      <w:r w:rsidRPr="00105456">
        <w:rPr>
          <w:rFonts w:ascii="Verdana" w:hAnsi="Verdana" w:cs="Times New Roman PSMT"/>
          <w:b/>
          <w:color w:val="000000"/>
          <w:sz w:val="24"/>
          <w:szCs w:val="24"/>
        </w:rPr>
        <w:t xml:space="preserve"> to determine if it is sufficiently robust to protec</w:t>
      </w:r>
      <w:r w:rsidR="00A0382F" w:rsidRPr="00105456">
        <w:rPr>
          <w:rFonts w:ascii="Verdana" w:hAnsi="Verdana" w:cs="Times New Roman PSMT"/>
          <w:b/>
          <w:color w:val="000000"/>
          <w:sz w:val="24"/>
          <w:szCs w:val="24"/>
        </w:rPr>
        <w:t xml:space="preserve">t and safeguard those reliant </w:t>
      </w:r>
      <w:r w:rsidRPr="00105456">
        <w:rPr>
          <w:rFonts w:ascii="Verdana" w:hAnsi="Verdana" w:cs="Times New Roman PSMT"/>
          <w:b/>
          <w:color w:val="000000"/>
          <w:sz w:val="24"/>
          <w:szCs w:val="24"/>
        </w:rPr>
        <w:t xml:space="preserve">on the health and social care system from abuse and ill treatment. </w:t>
      </w:r>
    </w:p>
    <w:p w:rsidR="00017CA2" w:rsidRDefault="00017CA2" w:rsidP="00105456">
      <w:pPr>
        <w:pStyle w:val="NoSpacing"/>
        <w:rPr>
          <w:rFonts w:ascii="Verdana" w:hAnsi="Verdana"/>
          <w:i/>
          <w:sz w:val="24"/>
          <w:szCs w:val="24"/>
        </w:rPr>
      </w:pPr>
    </w:p>
    <w:p w:rsidR="00B70F15" w:rsidRPr="00105456" w:rsidRDefault="00B70F15" w:rsidP="00105456">
      <w:pPr>
        <w:pStyle w:val="NoSpacing"/>
        <w:rPr>
          <w:rFonts w:ascii="Verdana" w:hAnsi="Verdana"/>
          <w:i/>
          <w:sz w:val="24"/>
          <w:szCs w:val="24"/>
        </w:rPr>
      </w:pPr>
      <w:r w:rsidRPr="00105456">
        <w:rPr>
          <w:rFonts w:ascii="Verdana" w:hAnsi="Verdana"/>
          <w:i/>
          <w:sz w:val="24"/>
          <w:szCs w:val="24"/>
        </w:rPr>
        <w:t>Historical Institutional Abuse Inquiry (List of Issues paragraph 19)</w:t>
      </w:r>
    </w:p>
    <w:p w:rsidR="00017CA2" w:rsidRDefault="00017CA2" w:rsidP="00105456">
      <w:pPr>
        <w:pStyle w:val="NoSpacing"/>
        <w:rPr>
          <w:rFonts w:ascii="Verdana" w:hAnsi="Verdana"/>
          <w:sz w:val="24"/>
          <w:szCs w:val="24"/>
        </w:rPr>
      </w:pPr>
    </w:p>
    <w:p w:rsidR="00B70F15" w:rsidRPr="00105456" w:rsidRDefault="00017CA2" w:rsidP="00105456">
      <w:pPr>
        <w:pStyle w:val="NoSpacing"/>
        <w:rPr>
          <w:rFonts w:ascii="Verdana" w:hAnsi="Verdana"/>
          <w:sz w:val="24"/>
          <w:szCs w:val="24"/>
        </w:rPr>
      </w:pPr>
      <w:r>
        <w:rPr>
          <w:rFonts w:ascii="Verdana" w:hAnsi="Verdana"/>
          <w:sz w:val="24"/>
          <w:szCs w:val="24"/>
        </w:rPr>
        <w:t xml:space="preserve">6.17 </w:t>
      </w:r>
      <w:r w:rsidR="00B70F15" w:rsidRPr="00105456">
        <w:rPr>
          <w:rFonts w:ascii="Verdana" w:hAnsi="Verdana"/>
          <w:sz w:val="24"/>
          <w:szCs w:val="24"/>
        </w:rPr>
        <w:t>A</w:t>
      </w:r>
      <w:r w:rsidR="000F6AFF" w:rsidRPr="00105456">
        <w:rPr>
          <w:rFonts w:ascii="Verdana" w:hAnsi="Verdana"/>
          <w:sz w:val="24"/>
          <w:szCs w:val="24"/>
        </w:rPr>
        <w:t>s reported in the reply to the List of I</w:t>
      </w:r>
      <w:r w:rsidR="00B70F15" w:rsidRPr="00105456">
        <w:rPr>
          <w:rFonts w:ascii="Verdana" w:hAnsi="Verdana"/>
          <w:sz w:val="24"/>
          <w:szCs w:val="24"/>
        </w:rPr>
        <w:t xml:space="preserve">ssues the Inquiry into Historical Institutional Abuse will now report in January 2017, one year later than expected. The Report, inter alia, will consider the </w:t>
      </w:r>
      <w:r w:rsidR="00B70F15" w:rsidRPr="00105456">
        <w:rPr>
          <w:rFonts w:ascii="Verdana" w:hAnsi="Verdana"/>
          <w:i/>
          <w:sz w:val="24"/>
          <w:szCs w:val="24"/>
        </w:rPr>
        <w:t>“requirement or desirability for redress to be provided by the institution and/or the Executive to meet the particular needs of victims”</w:t>
      </w:r>
      <w:r w:rsidR="00B70F15" w:rsidRPr="00105456">
        <w:rPr>
          <w:rFonts w:ascii="Verdana" w:hAnsi="Verdana"/>
          <w:sz w:val="24"/>
          <w:szCs w:val="24"/>
        </w:rPr>
        <w:t>.</w:t>
      </w:r>
      <w:r w:rsidR="00B70F15" w:rsidRPr="00105456">
        <w:rPr>
          <w:rStyle w:val="EndnoteReference"/>
          <w:rFonts w:ascii="Verdana" w:hAnsi="Verdana"/>
          <w:sz w:val="24"/>
          <w:szCs w:val="24"/>
        </w:rPr>
        <w:endnoteReference w:id="67"/>
      </w:r>
      <w:r w:rsidR="00B70F15" w:rsidRPr="00105456">
        <w:rPr>
          <w:rFonts w:ascii="Verdana" w:hAnsi="Verdana"/>
          <w:sz w:val="24"/>
          <w:szCs w:val="24"/>
        </w:rPr>
        <w:t xml:space="preserve"> Victims of abuse who have provided evidence to the inquiry have suffered with the consequences of abuse for many years and a number are of </w:t>
      </w:r>
      <w:r w:rsidR="00B16933" w:rsidRPr="00105456">
        <w:rPr>
          <w:rFonts w:ascii="Verdana" w:hAnsi="Verdana"/>
          <w:sz w:val="24"/>
          <w:szCs w:val="24"/>
        </w:rPr>
        <w:t>advanced</w:t>
      </w:r>
      <w:r w:rsidR="00B70F15" w:rsidRPr="00105456">
        <w:rPr>
          <w:rFonts w:ascii="Verdana" w:hAnsi="Verdana"/>
          <w:sz w:val="24"/>
          <w:szCs w:val="24"/>
        </w:rPr>
        <w:t xml:space="preserve"> age.</w:t>
      </w:r>
      <w:r w:rsidR="00B70F15" w:rsidRPr="00105456">
        <w:rPr>
          <w:rStyle w:val="EndnoteReference"/>
          <w:rFonts w:ascii="Verdana" w:hAnsi="Verdana"/>
          <w:sz w:val="24"/>
          <w:szCs w:val="24"/>
        </w:rPr>
        <w:endnoteReference w:id="68"/>
      </w:r>
      <w:r w:rsidR="00B70F15" w:rsidRPr="00105456">
        <w:rPr>
          <w:rFonts w:ascii="Verdana" w:hAnsi="Verdana"/>
          <w:sz w:val="24"/>
          <w:szCs w:val="24"/>
        </w:rPr>
        <w:t xml:space="preserve"> A number of groups representing the victims of institutional abuse have raised concerns regarding this delay.</w:t>
      </w:r>
      <w:r w:rsidR="00B70F15" w:rsidRPr="00105456">
        <w:rPr>
          <w:rStyle w:val="EndnoteReference"/>
          <w:rFonts w:ascii="Verdana" w:hAnsi="Verdana"/>
          <w:sz w:val="24"/>
          <w:szCs w:val="24"/>
        </w:rPr>
        <w:endnoteReference w:id="69"/>
      </w:r>
    </w:p>
    <w:p w:rsidR="00B70F15" w:rsidRPr="00105456" w:rsidRDefault="00B70F15" w:rsidP="00105456">
      <w:pPr>
        <w:pStyle w:val="NoSpacing"/>
        <w:rPr>
          <w:rFonts w:ascii="Verdana" w:hAnsi="Verdana"/>
          <w:sz w:val="24"/>
          <w:szCs w:val="24"/>
        </w:rPr>
      </w:pPr>
    </w:p>
    <w:p w:rsidR="00B70F15" w:rsidRPr="00105456" w:rsidRDefault="00017CA2" w:rsidP="00105456">
      <w:pPr>
        <w:pStyle w:val="NoSpacing"/>
        <w:rPr>
          <w:rFonts w:ascii="Verdana" w:hAnsi="Verdana"/>
          <w:sz w:val="24"/>
          <w:szCs w:val="24"/>
        </w:rPr>
      </w:pPr>
      <w:r>
        <w:rPr>
          <w:rFonts w:ascii="Verdana" w:hAnsi="Verdana"/>
          <w:sz w:val="24"/>
          <w:szCs w:val="24"/>
        </w:rPr>
        <w:t xml:space="preserve">6.18 </w:t>
      </w:r>
      <w:r w:rsidR="00B70F15" w:rsidRPr="00105456">
        <w:rPr>
          <w:rFonts w:ascii="Verdana" w:hAnsi="Verdana"/>
          <w:sz w:val="24"/>
          <w:szCs w:val="24"/>
        </w:rPr>
        <w:t xml:space="preserve">During 2014 the Chair of the Historical Institutional Abuse Inquiry raised concerns regarding the ability of the Inquiry to fully investigate issues relating to the alleged involvement of Army or MI5 personnel in child abuse that took place at </w:t>
      </w:r>
      <w:proofErr w:type="spellStart"/>
      <w:r w:rsidR="00B70F15" w:rsidRPr="00105456">
        <w:rPr>
          <w:rFonts w:ascii="Verdana" w:hAnsi="Verdana"/>
          <w:sz w:val="24"/>
          <w:szCs w:val="24"/>
        </w:rPr>
        <w:t>Kincora</w:t>
      </w:r>
      <w:proofErr w:type="spellEnd"/>
      <w:r w:rsidR="00B70F15" w:rsidRPr="00105456">
        <w:rPr>
          <w:rFonts w:ascii="Verdana" w:hAnsi="Verdana"/>
          <w:sz w:val="24"/>
          <w:szCs w:val="24"/>
        </w:rPr>
        <w:t xml:space="preserve"> Boy’s Home in Belfast.</w:t>
      </w:r>
      <w:r w:rsidR="00B70F15" w:rsidRPr="00105456">
        <w:rPr>
          <w:rStyle w:val="EndnoteReference"/>
          <w:rFonts w:ascii="Verdana" w:hAnsi="Verdana"/>
          <w:sz w:val="24"/>
          <w:szCs w:val="24"/>
        </w:rPr>
        <w:endnoteReference w:id="70"/>
      </w:r>
      <w:r w:rsidR="00B70F15" w:rsidRPr="00105456">
        <w:rPr>
          <w:rFonts w:ascii="Verdana" w:hAnsi="Verdana"/>
          <w:sz w:val="24"/>
          <w:szCs w:val="24"/>
        </w:rPr>
        <w:t xml:space="preserve"> In July 2014, the Home Secretary separately announced the establishment of an inquiry into allegations that evidence of the sexual abuse of children was suppressed by people in positions of power, the Child Sex Abuse Inquiry.</w:t>
      </w:r>
      <w:r w:rsidR="00B70F15" w:rsidRPr="00105456">
        <w:rPr>
          <w:rStyle w:val="EndnoteReference"/>
          <w:rFonts w:ascii="Verdana" w:hAnsi="Verdana"/>
          <w:sz w:val="24"/>
          <w:szCs w:val="24"/>
        </w:rPr>
        <w:endnoteReference w:id="71"/>
      </w:r>
      <w:r w:rsidR="00B70F15" w:rsidRPr="00105456">
        <w:rPr>
          <w:rFonts w:ascii="Verdana" w:hAnsi="Verdana"/>
          <w:sz w:val="24"/>
          <w:szCs w:val="24"/>
        </w:rPr>
        <w:t xml:space="preserve"> The Commission wrote to the Home Secretary highlighting Mr Justice Hart’s statement on </w:t>
      </w:r>
      <w:proofErr w:type="spellStart"/>
      <w:r w:rsidR="00B70F15" w:rsidRPr="00105456">
        <w:rPr>
          <w:rFonts w:ascii="Verdana" w:hAnsi="Verdana"/>
          <w:sz w:val="24"/>
          <w:szCs w:val="24"/>
        </w:rPr>
        <w:t>Kincora</w:t>
      </w:r>
      <w:proofErr w:type="spellEnd"/>
      <w:r w:rsidR="00B70F15" w:rsidRPr="00105456">
        <w:rPr>
          <w:rFonts w:ascii="Verdana" w:hAnsi="Verdana"/>
          <w:sz w:val="24"/>
          <w:szCs w:val="24"/>
        </w:rPr>
        <w:t xml:space="preserve"> Boy’s Home </w:t>
      </w:r>
      <w:r w:rsidR="00B16933" w:rsidRPr="00105456">
        <w:rPr>
          <w:rFonts w:ascii="Verdana" w:hAnsi="Verdana"/>
          <w:sz w:val="24"/>
          <w:szCs w:val="24"/>
        </w:rPr>
        <w:t xml:space="preserve">and </w:t>
      </w:r>
      <w:r w:rsidR="00B70F15" w:rsidRPr="00105456">
        <w:rPr>
          <w:rFonts w:ascii="Verdana" w:hAnsi="Verdana"/>
          <w:sz w:val="24"/>
          <w:szCs w:val="24"/>
        </w:rPr>
        <w:t>advising that the UK may not have fulfilled its human rights obligations. The Commission requested that consideration be given in this regard to the scope of the Child Sex Abuse Inquiry.</w:t>
      </w:r>
      <w:r w:rsidR="00B70F15" w:rsidRPr="00105456">
        <w:rPr>
          <w:rStyle w:val="EndnoteReference"/>
          <w:rFonts w:ascii="Verdana" w:hAnsi="Verdana"/>
          <w:sz w:val="24"/>
          <w:szCs w:val="24"/>
        </w:rPr>
        <w:endnoteReference w:id="72"/>
      </w:r>
    </w:p>
    <w:p w:rsidR="00B70F15" w:rsidRPr="00105456" w:rsidRDefault="00B70F15" w:rsidP="00105456">
      <w:pPr>
        <w:pStyle w:val="NoSpacing"/>
        <w:rPr>
          <w:rFonts w:ascii="Verdana" w:hAnsi="Verdana"/>
          <w:sz w:val="24"/>
          <w:szCs w:val="24"/>
        </w:rPr>
      </w:pPr>
    </w:p>
    <w:p w:rsidR="00B70F15" w:rsidRPr="00105456" w:rsidRDefault="00017CA2" w:rsidP="00105456">
      <w:pPr>
        <w:pStyle w:val="NoSpacing"/>
        <w:rPr>
          <w:rFonts w:ascii="Verdana" w:hAnsi="Verdana"/>
          <w:sz w:val="24"/>
          <w:szCs w:val="24"/>
        </w:rPr>
      </w:pPr>
      <w:r>
        <w:rPr>
          <w:rFonts w:ascii="Verdana" w:hAnsi="Verdana"/>
          <w:sz w:val="24"/>
          <w:szCs w:val="24"/>
        </w:rPr>
        <w:t xml:space="preserve">6.19 </w:t>
      </w:r>
      <w:r w:rsidR="00B70F15" w:rsidRPr="00105456">
        <w:rPr>
          <w:rFonts w:ascii="Verdana" w:hAnsi="Verdana"/>
          <w:sz w:val="24"/>
          <w:szCs w:val="24"/>
        </w:rPr>
        <w:t xml:space="preserve">In October 2014 the Secretary of State for NI announced that the terms of reference for the Child Sex Abuse Inquiry would not be amended to include </w:t>
      </w:r>
      <w:proofErr w:type="spellStart"/>
      <w:r w:rsidR="00B70F15" w:rsidRPr="00105456">
        <w:rPr>
          <w:rFonts w:ascii="Verdana" w:hAnsi="Verdana"/>
          <w:sz w:val="24"/>
          <w:szCs w:val="24"/>
        </w:rPr>
        <w:t>Kincora</w:t>
      </w:r>
      <w:proofErr w:type="spellEnd"/>
      <w:r w:rsidR="00B70F15" w:rsidRPr="00105456">
        <w:rPr>
          <w:rFonts w:ascii="Verdana" w:hAnsi="Verdana"/>
          <w:sz w:val="24"/>
          <w:szCs w:val="24"/>
        </w:rPr>
        <w:t xml:space="preserve"> Boys Home. However, the Secretary of State indicated that the ability of the Historical Institutional Abuse Inquiry to investigate allegations relating to </w:t>
      </w:r>
      <w:proofErr w:type="spellStart"/>
      <w:r w:rsidR="00B70F15" w:rsidRPr="00105456">
        <w:rPr>
          <w:rFonts w:ascii="Verdana" w:hAnsi="Verdana"/>
          <w:sz w:val="24"/>
          <w:szCs w:val="24"/>
        </w:rPr>
        <w:t>Kincora</w:t>
      </w:r>
      <w:proofErr w:type="spellEnd"/>
      <w:r w:rsidR="00B70F15" w:rsidRPr="00105456">
        <w:rPr>
          <w:rFonts w:ascii="Verdana" w:hAnsi="Verdana"/>
          <w:sz w:val="24"/>
          <w:szCs w:val="24"/>
        </w:rPr>
        <w:t xml:space="preserve"> Boys Home would be addressed and a number of assurances of co-operation were provided.</w:t>
      </w:r>
      <w:r w:rsidR="00B70F15" w:rsidRPr="00105456">
        <w:rPr>
          <w:rStyle w:val="EndnoteReference"/>
          <w:rFonts w:ascii="Verdana" w:hAnsi="Verdana"/>
          <w:sz w:val="24"/>
          <w:szCs w:val="24"/>
        </w:rPr>
        <w:endnoteReference w:id="73"/>
      </w:r>
      <w:r w:rsidR="00B70F15" w:rsidRPr="00105456">
        <w:rPr>
          <w:rFonts w:ascii="Verdana" w:hAnsi="Verdana"/>
          <w:sz w:val="24"/>
          <w:szCs w:val="24"/>
        </w:rPr>
        <w:t xml:space="preserve"> The Chair of the Inquiry commented that the assurances provided the Inquiry with the ability to </w:t>
      </w:r>
      <w:r w:rsidR="006944D6" w:rsidRPr="00105456">
        <w:rPr>
          <w:rFonts w:ascii="Verdana" w:hAnsi="Verdana"/>
          <w:sz w:val="24"/>
          <w:szCs w:val="24"/>
        </w:rPr>
        <w:t>“</w:t>
      </w:r>
      <w:r w:rsidR="00B70F15" w:rsidRPr="00105456">
        <w:rPr>
          <w:rFonts w:ascii="Verdana" w:hAnsi="Verdana"/>
          <w:i/>
          <w:sz w:val="24"/>
          <w:szCs w:val="24"/>
        </w:rPr>
        <w:t xml:space="preserve">carry out an effective and thorough investigation into all the </w:t>
      </w:r>
      <w:proofErr w:type="spellStart"/>
      <w:r w:rsidR="00B70F15" w:rsidRPr="00105456">
        <w:rPr>
          <w:rFonts w:ascii="Verdana" w:hAnsi="Verdana"/>
          <w:i/>
          <w:sz w:val="24"/>
          <w:szCs w:val="24"/>
        </w:rPr>
        <w:t>Kincora</w:t>
      </w:r>
      <w:proofErr w:type="spellEnd"/>
      <w:r w:rsidR="00B70F15" w:rsidRPr="00105456">
        <w:rPr>
          <w:rFonts w:ascii="Verdana" w:hAnsi="Verdana"/>
          <w:i/>
          <w:sz w:val="24"/>
          <w:szCs w:val="24"/>
        </w:rPr>
        <w:t xml:space="preserve"> allegations</w:t>
      </w:r>
      <w:r w:rsidR="006944D6" w:rsidRPr="00105456">
        <w:rPr>
          <w:rFonts w:ascii="Verdana" w:hAnsi="Verdana"/>
          <w:i/>
          <w:sz w:val="24"/>
          <w:szCs w:val="24"/>
        </w:rPr>
        <w:t>”</w:t>
      </w:r>
      <w:r w:rsidR="00B70F15" w:rsidRPr="00105456">
        <w:rPr>
          <w:rFonts w:ascii="Verdana" w:hAnsi="Verdana"/>
          <w:i/>
          <w:sz w:val="24"/>
          <w:szCs w:val="24"/>
        </w:rPr>
        <w:t>.</w:t>
      </w:r>
      <w:r w:rsidR="00B70F15" w:rsidRPr="00105456">
        <w:rPr>
          <w:rStyle w:val="EndnoteReference"/>
          <w:rFonts w:ascii="Verdana" w:hAnsi="Verdana"/>
          <w:i/>
          <w:sz w:val="24"/>
          <w:szCs w:val="24"/>
        </w:rPr>
        <w:endnoteReference w:id="74"/>
      </w:r>
      <w:r w:rsidR="00B70F15" w:rsidRPr="00105456">
        <w:rPr>
          <w:rFonts w:ascii="Verdana" w:hAnsi="Verdana"/>
          <w:sz w:val="24"/>
          <w:szCs w:val="24"/>
        </w:rPr>
        <w:t xml:space="preserve"> There continues to be calls for the incidents of child sex abuse occurring in </w:t>
      </w:r>
      <w:proofErr w:type="spellStart"/>
      <w:r w:rsidR="00B70F15" w:rsidRPr="00105456">
        <w:rPr>
          <w:rFonts w:ascii="Verdana" w:hAnsi="Verdana"/>
          <w:sz w:val="24"/>
          <w:szCs w:val="24"/>
        </w:rPr>
        <w:t>Kincora</w:t>
      </w:r>
      <w:proofErr w:type="spellEnd"/>
      <w:r w:rsidR="00B70F15" w:rsidRPr="00105456">
        <w:rPr>
          <w:rFonts w:ascii="Verdana" w:hAnsi="Verdana"/>
          <w:sz w:val="24"/>
          <w:szCs w:val="24"/>
        </w:rPr>
        <w:t xml:space="preserve"> Boys Home to be included within the Child Sex Abuse Inquiry. </w:t>
      </w:r>
      <w:r w:rsidR="00B70F15" w:rsidRPr="00105456">
        <w:rPr>
          <w:rStyle w:val="EndnoteReference"/>
          <w:rFonts w:ascii="Verdana" w:hAnsi="Verdana"/>
          <w:sz w:val="24"/>
          <w:szCs w:val="24"/>
        </w:rPr>
        <w:endnoteReference w:id="75"/>
      </w:r>
    </w:p>
    <w:p w:rsidR="00B70F15" w:rsidRPr="00105456" w:rsidRDefault="00B70F15" w:rsidP="00105456">
      <w:pPr>
        <w:pStyle w:val="NoSpacing"/>
        <w:rPr>
          <w:rFonts w:ascii="Verdana" w:hAnsi="Verdana"/>
          <w:sz w:val="24"/>
          <w:szCs w:val="24"/>
        </w:rPr>
      </w:pPr>
    </w:p>
    <w:p w:rsidR="00B70F15" w:rsidRPr="00105456" w:rsidRDefault="00B70F15" w:rsidP="00105456">
      <w:pPr>
        <w:pStyle w:val="NoSpacing"/>
        <w:rPr>
          <w:rFonts w:ascii="Verdana" w:hAnsi="Verdana"/>
          <w:b/>
          <w:sz w:val="24"/>
          <w:szCs w:val="24"/>
        </w:rPr>
      </w:pPr>
      <w:r w:rsidRPr="00105456">
        <w:rPr>
          <w:rFonts w:ascii="Verdana" w:hAnsi="Verdana"/>
          <w:b/>
          <w:sz w:val="24"/>
          <w:szCs w:val="24"/>
        </w:rPr>
        <w:t xml:space="preserve">The Committee may wish to recommend that the State Party ensures that all victims of child sex abuse obtain an effective remedy, including appropriate compensation, restitution, rehabilitation and measures of satisfaction. </w:t>
      </w:r>
    </w:p>
    <w:p w:rsidR="003279CD" w:rsidRDefault="003279CD" w:rsidP="00CE0D00">
      <w:pPr>
        <w:pStyle w:val="NoSpacing"/>
        <w:rPr>
          <w:rFonts w:ascii="Verdana" w:hAnsi="Verdana"/>
          <w:b/>
          <w:sz w:val="24"/>
          <w:szCs w:val="24"/>
          <w:u w:val="single"/>
        </w:rPr>
      </w:pPr>
    </w:p>
    <w:p w:rsidR="00B70F15" w:rsidRPr="00105456" w:rsidRDefault="00B70F15" w:rsidP="00CE0D00">
      <w:pPr>
        <w:pStyle w:val="NoSpacing"/>
        <w:rPr>
          <w:rFonts w:ascii="Verdana" w:hAnsi="Verdana"/>
          <w:b/>
          <w:sz w:val="24"/>
          <w:szCs w:val="24"/>
          <w:u w:val="single"/>
        </w:rPr>
      </w:pPr>
      <w:r w:rsidRPr="00105456">
        <w:rPr>
          <w:rFonts w:ascii="Verdana" w:hAnsi="Verdana"/>
          <w:b/>
          <w:sz w:val="24"/>
          <w:szCs w:val="24"/>
          <w:u w:val="single"/>
        </w:rPr>
        <w:t xml:space="preserve">Liberty and security of person (art. 9) </w:t>
      </w:r>
    </w:p>
    <w:p w:rsidR="00B70F15" w:rsidRPr="00105456" w:rsidRDefault="00B70F15" w:rsidP="00CE0D00">
      <w:pPr>
        <w:pStyle w:val="NoSpacing"/>
        <w:rPr>
          <w:rFonts w:ascii="Verdana" w:hAnsi="Verdana"/>
          <w:sz w:val="24"/>
          <w:szCs w:val="24"/>
        </w:rPr>
      </w:pPr>
    </w:p>
    <w:p w:rsidR="00B70F15" w:rsidRPr="00105456" w:rsidRDefault="00B70F15" w:rsidP="00CE0D00">
      <w:pPr>
        <w:pStyle w:val="NoSpacing"/>
        <w:rPr>
          <w:rFonts w:ascii="Verdana" w:hAnsi="Verdana"/>
          <w:i/>
          <w:sz w:val="24"/>
          <w:szCs w:val="24"/>
        </w:rPr>
      </w:pPr>
      <w:r w:rsidRPr="00105456">
        <w:rPr>
          <w:rFonts w:ascii="Verdana" w:hAnsi="Verdana"/>
          <w:i/>
          <w:sz w:val="24"/>
          <w:szCs w:val="24"/>
        </w:rPr>
        <w:t xml:space="preserve">Terrorism Act 2000 section 41 (List of Issues paragraph 20) </w:t>
      </w:r>
    </w:p>
    <w:p w:rsidR="00B70F15" w:rsidRPr="00105456" w:rsidRDefault="00B70F15" w:rsidP="00105456">
      <w:pPr>
        <w:pStyle w:val="NoSpacing"/>
        <w:rPr>
          <w:rFonts w:ascii="Verdana" w:hAnsi="Verdana"/>
          <w:i/>
          <w:sz w:val="24"/>
          <w:szCs w:val="24"/>
        </w:rPr>
      </w:pPr>
    </w:p>
    <w:p w:rsidR="00B70F15" w:rsidRPr="00105456" w:rsidRDefault="00641F62" w:rsidP="00105456">
      <w:pPr>
        <w:pStyle w:val="NoSpacing"/>
        <w:rPr>
          <w:rFonts w:ascii="Verdana" w:hAnsi="Verdana"/>
          <w:sz w:val="24"/>
          <w:szCs w:val="24"/>
        </w:rPr>
      </w:pPr>
      <w:r>
        <w:rPr>
          <w:rFonts w:ascii="Verdana" w:hAnsi="Verdana"/>
          <w:sz w:val="24"/>
          <w:szCs w:val="24"/>
        </w:rPr>
        <w:t xml:space="preserve">7.1 </w:t>
      </w:r>
      <w:r w:rsidR="00F130E9" w:rsidRPr="00105456">
        <w:rPr>
          <w:rFonts w:ascii="Verdana" w:hAnsi="Verdana"/>
          <w:sz w:val="24"/>
          <w:szCs w:val="24"/>
        </w:rPr>
        <w:t>Under the Terrorism Act section 41 a</w:t>
      </w:r>
      <w:r w:rsidR="00F130E9" w:rsidRPr="00105456">
        <w:rPr>
          <w:rFonts w:ascii="Verdana" w:hAnsi="Verdana" w:cs="Arial"/>
          <w:sz w:val="24"/>
          <w:szCs w:val="24"/>
          <w:lang w:val="en"/>
        </w:rPr>
        <w:t xml:space="preserve"> constable may arrest without a warrant a person whom he reasonably suspects to be a terrorist. </w:t>
      </w:r>
      <w:r w:rsidR="00B70F15" w:rsidRPr="00105456">
        <w:rPr>
          <w:rFonts w:ascii="Verdana" w:hAnsi="Verdana"/>
          <w:sz w:val="24"/>
          <w:szCs w:val="24"/>
        </w:rPr>
        <w:t>In its earlier submission the Commission reported on concerns that a low proportion of persons arrested under the Terrorism Act 2000 section 41 were subsequently charged with an offence.</w:t>
      </w:r>
      <w:r w:rsidR="00B70F15" w:rsidRPr="00105456">
        <w:rPr>
          <w:rStyle w:val="EndnoteReference"/>
          <w:rFonts w:ascii="Verdana" w:hAnsi="Verdana"/>
          <w:sz w:val="24"/>
          <w:szCs w:val="24"/>
        </w:rPr>
        <w:endnoteReference w:id="76"/>
      </w:r>
      <w:r w:rsidR="00B70F15" w:rsidRPr="00105456">
        <w:rPr>
          <w:rFonts w:ascii="Verdana" w:hAnsi="Verdana"/>
          <w:sz w:val="24"/>
          <w:szCs w:val="24"/>
        </w:rPr>
        <w:t xml:space="preserve"> In 2013/14 the charge rate was again a source of concern, of 168 persons arrested under section 41 only 32 were charged with an offence:</w:t>
      </w:r>
      <w:r w:rsidR="00B70F15" w:rsidRPr="00105456">
        <w:rPr>
          <w:rFonts w:ascii="Verdana" w:hAnsi="Verdana" w:cs="ArialMT"/>
          <w:sz w:val="24"/>
          <w:szCs w:val="24"/>
        </w:rPr>
        <w:t xml:space="preserve"> the fewest number of persons charged subsequent to a section 41 </w:t>
      </w:r>
      <w:proofErr w:type="gramStart"/>
      <w:r w:rsidR="00B70F15" w:rsidRPr="00105456">
        <w:rPr>
          <w:rFonts w:ascii="Verdana" w:hAnsi="Verdana" w:cs="ArialMT"/>
          <w:sz w:val="24"/>
          <w:szCs w:val="24"/>
        </w:rPr>
        <w:t>arrest</w:t>
      </w:r>
      <w:proofErr w:type="gramEnd"/>
      <w:r w:rsidR="00B70F15" w:rsidRPr="00105456">
        <w:rPr>
          <w:rFonts w:ascii="Verdana" w:hAnsi="Verdana" w:cs="ArialMT"/>
          <w:sz w:val="24"/>
          <w:szCs w:val="24"/>
        </w:rPr>
        <w:t xml:space="preserve"> in the last 10 years.</w:t>
      </w:r>
      <w:r w:rsidR="006944D6" w:rsidRPr="00105456">
        <w:rPr>
          <w:rStyle w:val="FootnoteReference"/>
          <w:rFonts w:ascii="Verdana" w:hAnsi="Verdana"/>
          <w:sz w:val="24"/>
          <w:szCs w:val="24"/>
        </w:rPr>
        <w:t xml:space="preserve"> </w:t>
      </w:r>
      <w:r w:rsidR="006944D6" w:rsidRPr="00105456">
        <w:rPr>
          <w:rStyle w:val="EndnoteReference"/>
          <w:rFonts w:ascii="Verdana" w:hAnsi="Verdana"/>
          <w:sz w:val="24"/>
          <w:szCs w:val="24"/>
        </w:rPr>
        <w:endnoteReference w:id="77"/>
      </w:r>
      <w:r w:rsidR="00B70F15" w:rsidRPr="00105456">
        <w:rPr>
          <w:rFonts w:ascii="Verdana" w:hAnsi="Verdana" w:cs="ArialMT"/>
          <w:sz w:val="24"/>
          <w:szCs w:val="24"/>
        </w:rPr>
        <w:t xml:space="preserve"> Furthermore, </w:t>
      </w:r>
      <w:r w:rsidR="00B70F15" w:rsidRPr="00105456">
        <w:rPr>
          <w:rFonts w:ascii="Verdana" w:hAnsi="Verdana"/>
          <w:sz w:val="24"/>
          <w:szCs w:val="24"/>
        </w:rPr>
        <w:t>in this year there were only 18 persons who were convicted under the Terrorism Act 2000, the Terrorism Act 2006 or the Counter Terrorism Act 2008</w:t>
      </w:r>
      <w:r w:rsidR="00B16933" w:rsidRPr="00105456">
        <w:rPr>
          <w:rFonts w:ascii="Verdana" w:hAnsi="Verdana"/>
          <w:sz w:val="24"/>
          <w:szCs w:val="24"/>
        </w:rPr>
        <w:t xml:space="preserve"> in NI</w:t>
      </w:r>
      <w:r w:rsidR="00B70F15" w:rsidRPr="00105456">
        <w:rPr>
          <w:rFonts w:ascii="Verdana" w:hAnsi="Verdana"/>
          <w:sz w:val="24"/>
          <w:szCs w:val="24"/>
        </w:rPr>
        <w:t>.</w:t>
      </w:r>
      <w:r w:rsidR="00B70F15" w:rsidRPr="00105456">
        <w:rPr>
          <w:rStyle w:val="EndnoteReference"/>
          <w:rFonts w:ascii="Verdana" w:hAnsi="Verdana"/>
          <w:sz w:val="24"/>
          <w:szCs w:val="24"/>
        </w:rPr>
        <w:endnoteReference w:id="78"/>
      </w:r>
      <w:r w:rsidR="00B70F15" w:rsidRPr="00105456">
        <w:rPr>
          <w:rFonts w:ascii="Verdana" w:hAnsi="Verdana"/>
          <w:sz w:val="24"/>
          <w:szCs w:val="24"/>
        </w:rPr>
        <w:t xml:space="preserve"> In February 2015 the Policing Board reported that they had received a briefing from the PSNI on its review of the exercise of section 41 arrest powers.</w:t>
      </w:r>
      <w:r w:rsidR="00B70F15" w:rsidRPr="00105456">
        <w:rPr>
          <w:rStyle w:val="EndnoteReference"/>
          <w:rFonts w:ascii="Verdana" w:hAnsi="Verdana"/>
          <w:sz w:val="24"/>
          <w:szCs w:val="24"/>
        </w:rPr>
        <w:endnoteReference w:id="79"/>
      </w:r>
      <w:r w:rsidR="00B70F15" w:rsidRPr="00105456">
        <w:rPr>
          <w:rFonts w:ascii="Verdana" w:hAnsi="Verdana"/>
          <w:sz w:val="24"/>
          <w:szCs w:val="24"/>
        </w:rPr>
        <w:t xml:space="preserve"> However</w:t>
      </w:r>
      <w:r w:rsidR="00A0382F" w:rsidRPr="00105456">
        <w:rPr>
          <w:rFonts w:ascii="Verdana" w:hAnsi="Verdana"/>
          <w:sz w:val="24"/>
          <w:szCs w:val="24"/>
        </w:rPr>
        <w:t>,</w:t>
      </w:r>
      <w:r w:rsidR="00B70F15" w:rsidRPr="00105456">
        <w:rPr>
          <w:rFonts w:ascii="Verdana" w:hAnsi="Verdana"/>
          <w:sz w:val="24"/>
          <w:szCs w:val="24"/>
        </w:rPr>
        <w:t xml:space="preserve"> in light of the low charge rate in 2013/14 it recommended that a further review be carried out.</w:t>
      </w:r>
    </w:p>
    <w:p w:rsidR="00B70F15" w:rsidRPr="00105456" w:rsidRDefault="00B70F15" w:rsidP="00105456">
      <w:pPr>
        <w:pStyle w:val="NoSpacing"/>
        <w:rPr>
          <w:rFonts w:ascii="Verdana" w:hAnsi="Verdana"/>
          <w:sz w:val="24"/>
          <w:szCs w:val="24"/>
        </w:rPr>
      </w:pPr>
    </w:p>
    <w:p w:rsidR="006944D6" w:rsidRPr="00105456" w:rsidRDefault="00B70F15" w:rsidP="00105456">
      <w:pPr>
        <w:pStyle w:val="NoSpacing"/>
        <w:rPr>
          <w:rFonts w:ascii="Verdana" w:hAnsi="Verdana"/>
          <w:b/>
          <w:sz w:val="24"/>
          <w:szCs w:val="24"/>
        </w:rPr>
      </w:pPr>
      <w:r w:rsidRPr="00105456">
        <w:rPr>
          <w:rFonts w:ascii="Verdana" w:hAnsi="Verdana"/>
          <w:b/>
          <w:sz w:val="24"/>
          <w:szCs w:val="24"/>
        </w:rPr>
        <w:t xml:space="preserve">The Committee may wish to recommend that the State Party puts in place measures to </w:t>
      </w:r>
      <w:r w:rsidR="00F819B0" w:rsidRPr="00105456">
        <w:rPr>
          <w:rFonts w:ascii="Verdana" w:hAnsi="Verdana"/>
          <w:b/>
          <w:sz w:val="24"/>
          <w:szCs w:val="24"/>
        </w:rPr>
        <w:t xml:space="preserve">further </w:t>
      </w:r>
      <w:r w:rsidR="006944D6" w:rsidRPr="00105456">
        <w:rPr>
          <w:rFonts w:ascii="Verdana" w:hAnsi="Verdana"/>
          <w:b/>
          <w:sz w:val="24"/>
          <w:szCs w:val="24"/>
        </w:rPr>
        <w:t xml:space="preserve">ensure powers of arrest under section 41 of the Terrorism Act are used only when necessary and in a proportionate manner. </w:t>
      </w:r>
    </w:p>
    <w:p w:rsidR="00B70F15" w:rsidRPr="00105456" w:rsidRDefault="00B70F15" w:rsidP="00CE0D00">
      <w:pPr>
        <w:pStyle w:val="NoSpacing"/>
        <w:rPr>
          <w:rFonts w:ascii="Verdana" w:hAnsi="Verdana"/>
          <w:b/>
          <w:sz w:val="24"/>
          <w:szCs w:val="24"/>
        </w:rPr>
      </w:pPr>
    </w:p>
    <w:p w:rsidR="00B70F15" w:rsidRPr="00105456" w:rsidRDefault="00641F62" w:rsidP="00CE0D00">
      <w:pPr>
        <w:pStyle w:val="NoSpacing"/>
        <w:rPr>
          <w:rFonts w:ascii="Verdana" w:hAnsi="Verdana"/>
          <w:sz w:val="24"/>
          <w:szCs w:val="24"/>
        </w:rPr>
      </w:pPr>
      <w:r>
        <w:rPr>
          <w:rFonts w:ascii="Verdana" w:hAnsi="Verdana"/>
          <w:sz w:val="24"/>
          <w:szCs w:val="24"/>
        </w:rPr>
        <w:t xml:space="preserve">7.2 </w:t>
      </w:r>
      <w:r w:rsidR="00B70F15" w:rsidRPr="00105456">
        <w:rPr>
          <w:rFonts w:ascii="Verdana" w:hAnsi="Verdana"/>
          <w:sz w:val="24"/>
          <w:szCs w:val="24"/>
        </w:rPr>
        <w:t>In his 2013/14 report into the operation of the Terrorism Act 2000 the Independent Reviewer once again recommended that bail be made available to persons arrested under section 41 of the Terrorism Act 2000.</w:t>
      </w:r>
      <w:r w:rsidR="00B70F15" w:rsidRPr="00105456">
        <w:rPr>
          <w:rStyle w:val="EndnoteReference"/>
          <w:rFonts w:ascii="Verdana" w:hAnsi="Verdana"/>
          <w:sz w:val="24"/>
          <w:szCs w:val="24"/>
        </w:rPr>
        <w:t xml:space="preserve"> </w:t>
      </w:r>
      <w:r w:rsidR="00B70F15" w:rsidRPr="00105456">
        <w:rPr>
          <w:rStyle w:val="EndnoteReference"/>
          <w:rFonts w:ascii="Verdana" w:hAnsi="Verdana"/>
          <w:sz w:val="24"/>
          <w:szCs w:val="24"/>
        </w:rPr>
        <w:endnoteReference w:id="80"/>
      </w:r>
      <w:r w:rsidR="00B70F15" w:rsidRPr="00105456">
        <w:rPr>
          <w:rFonts w:ascii="Verdana" w:hAnsi="Verdana"/>
          <w:sz w:val="24"/>
          <w:szCs w:val="24"/>
        </w:rPr>
        <w:t xml:space="preserve"> This recommendation was rejected by </w:t>
      </w:r>
      <w:r w:rsidR="006944D6" w:rsidRPr="00105456">
        <w:rPr>
          <w:rFonts w:ascii="Verdana" w:hAnsi="Verdana"/>
          <w:sz w:val="24"/>
          <w:szCs w:val="24"/>
        </w:rPr>
        <w:t xml:space="preserve">the </w:t>
      </w:r>
      <w:r w:rsidR="00B70F15" w:rsidRPr="00105456">
        <w:rPr>
          <w:rFonts w:ascii="Verdana" w:hAnsi="Verdana"/>
          <w:sz w:val="24"/>
          <w:szCs w:val="24"/>
        </w:rPr>
        <w:t>UK Government on grounds of public safety, refle</w:t>
      </w:r>
      <w:r w:rsidR="000F6AFF" w:rsidRPr="00105456">
        <w:rPr>
          <w:rFonts w:ascii="Verdana" w:hAnsi="Verdana"/>
          <w:sz w:val="24"/>
          <w:szCs w:val="24"/>
        </w:rPr>
        <w:t>cting the State’s reply to the List of I</w:t>
      </w:r>
      <w:r w:rsidR="00B70F15" w:rsidRPr="00105456">
        <w:rPr>
          <w:rFonts w:ascii="Verdana" w:hAnsi="Verdana"/>
          <w:sz w:val="24"/>
          <w:szCs w:val="24"/>
        </w:rPr>
        <w:t>ssues (paras 165 – 168).</w:t>
      </w:r>
      <w:r w:rsidR="00B70F15" w:rsidRPr="00105456">
        <w:rPr>
          <w:rStyle w:val="EndnoteReference"/>
          <w:rFonts w:ascii="Verdana" w:hAnsi="Verdana"/>
          <w:sz w:val="24"/>
          <w:szCs w:val="24"/>
        </w:rPr>
        <w:endnoteReference w:id="81"/>
      </w:r>
      <w:r w:rsidR="00B70F15" w:rsidRPr="00105456">
        <w:rPr>
          <w:rFonts w:ascii="Verdana" w:hAnsi="Verdana"/>
          <w:sz w:val="24"/>
          <w:szCs w:val="24"/>
        </w:rPr>
        <w:t xml:space="preserve"> In relation to the Government’s position the Independent Reviewer has previously stated:  </w:t>
      </w:r>
    </w:p>
    <w:p w:rsidR="00B70F15" w:rsidRPr="00105456" w:rsidRDefault="00B70F15" w:rsidP="00105456">
      <w:pPr>
        <w:pStyle w:val="NoSpacing"/>
        <w:rPr>
          <w:rFonts w:ascii="Verdana" w:hAnsi="Verdana" w:cs="Arial"/>
          <w:sz w:val="24"/>
          <w:szCs w:val="24"/>
        </w:rPr>
      </w:pPr>
    </w:p>
    <w:p w:rsidR="00B70F15" w:rsidRPr="00105456" w:rsidRDefault="00B70F15" w:rsidP="00105456">
      <w:pPr>
        <w:pStyle w:val="NoSpacing"/>
        <w:rPr>
          <w:rFonts w:ascii="Verdana" w:hAnsi="Verdana" w:cs="Arial"/>
          <w:sz w:val="24"/>
          <w:szCs w:val="24"/>
        </w:rPr>
      </w:pPr>
      <w:r w:rsidRPr="00105456">
        <w:rPr>
          <w:rFonts w:ascii="Verdana" w:hAnsi="Verdana" w:cs="Arial"/>
          <w:i/>
          <w:sz w:val="24"/>
          <w:szCs w:val="24"/>
        </w:rPr>
        <w:t xml:space="preserve">“It is hard to understand the justification for this, unless it </w:t>
      </w:r>
      <w:proofErr w:type="gramStart"/>
      <w:r w:rsidRPr="00105456">
        <w:rPr>
          <w:rFonts w:ascii="Verdana" w:hAnsi="Verdana" w:cs="Arial"/>
          <w:i/>
          <w:sz w:val="24"/>
          <w:szCs w:val="24"/>
        </w:rPr>
        <w:t>be</w:t>
      </w:r>
      <w:proofErr w:type="gramEnd"/>
      <w:r w:rsidRPr="00105456">
        <w:rPr>
          <w:rFonts w:ascii="Verdana" w:hAnsi="Verdana" w:cs="Arial"/>
          <w:i/>
          <w:sz w:val="24"/>
          <w:szCs w:val="24"/>
        </w:rPr>
        <w:t xml:space="preserve"> assumed (implausibly) that those accused of terrorist crimes, however peripheral or indirect their connection with terrorism, are inherently more dangerous than anybody else. As is well established in relation to other types of crime, bail will not be granted if there are substantial grounds for believing that the defendant would fail to surrender to custody, commit an offence while on bail or obstruct the course of justice.”</w:t>
      </w:r>
      <w:r w:rsidRPr="00105456">
        <w:rPr>
          <w:rFonts w:ascii="Verdana" w:hAnsi="Verdana"/>
          <w:i/>
          <w:sz w:val="24"/>
          <w:szCs w:val="24"/>
        </w:rPr>
        <w:t xml:space="preserve"> </w:t>
      </w:r>
      <w:r w:rsidRPr="00105456">
        <w:rPr>
          <w:rStyle w:val="EndnoteReference"/>
          <w:rFonts w:ascii="Verdana" w:hAnsi="Verdana"/>
          <w:sz w:val="24"/>
          <w:szCs w:val="24"/>
        </w:rPr>
        <w:endnoteReference w:id="82"/>
      </w:r>
    </w:p>
    <w:p w:rsidR="00B70F15" w:rsidRPr="00105456" w:rsidRDefault="00B70F15" w:rsidP="00CE0D00">
      <w:pPr>
        <w:pStyle w:val="NoSpacing"/>
        <w:rPr>
          <w:rFonts w:ascii="Verdana" w:hAnsi="Verdana"/>
          <w:sz w:val="24"/>
          <w:szCs w:val="24"/>
        </w:rPr>
      </w:pPr>
    </w:p>
    <w:p w:rsidR="003279CD" w:rsidRDefault="00B70F15" w:rsidP="00CE0D00">
      <w:pPr>
        <w:pStyle w:val="NoSpacing"/>
        <w:rPr>
          <w:rFonts w:ascii="Verdana" w:hAnsi="Verdana"/>
          <w:b/>
          <w:sz w:val="24"/>
          <w:szCs w:val="24"/>
        </w:rPr>
      </w:pPr>
      <w:r w:rsidRPr="00105456">
        <w:rPr>
          <w:rFonts w:ascii="Verdana" w:hAnsi="Verdana"/>
          <w:b/>
          <w:sz w:val="24"/>
          <w:szCs w:val="24"/>
        </w:rPr>
        <w:t>The Committee may wish to recommend that the State Party undertake a review of counter terrorism legislation to include consideration of whether bail can be made available to suspects arrested under the Terrorism Act 2000, whilst ensuring public safety</w:t>
      </w:r>
    </w:p>
    <w:p w:rsidR="00BD276C" w:rsidRDefault="00BD276C" w:rsidP="00CE0D00">
      <w:pPr>
        <w:pStyle w:val="NoSpacing"/>
        <w:rPr>
          <w:rFonts w:ascii="Verdana" w:hAnsi="Verdana"/>
          <w:sz w:val="24"/>
          <w:szCs w:val="24"/>
        </w:rPr>
      </w:pPr>
    </w:p>
    <w:p w:rsidR="00B70F15" w:rsidRPr="003279CD" w:rsidRDefault="00B70F15" w:rsidP="00CE0D00">
      <w:pPr>
        <w:pStyle w:val="NoSpacing"/>
        <w:rPr>
          <w:rFonts w:ascii="Verdana" w:hAnsi="Verdana"/>
          <w:sz w:val="24"/>
          <w:szCs w:val="24"/>
        </w:rPr>
      </w:pPr>
      <w:r w:rsidRPr="00105456">
        <w:rPr>
          <w:rFonts w:ascii="Verdana" w:hAnsi="Verdana"/>
          <w:b/>
          <w:sz w:val="24"/>
          <w:szCs w:val="24"/>
          <w:u w:val="single"/>
        </w:rPr>
        <w:t>Treatment of persons deprived of their liberty (art. 10)</w:t>
      </w:r>
    </w:p>
    <w:p w:rsidR="00B70F15" w:rsidRPr="00105456" w:rsidRDefault="00B70F15" w:rsidP="00CE0D00">
      <w:pPr>
        <w:pStyle w:val="NoSpacing"/>
        <w:rPr>
          <w:rFonts w:ascii="Verdana" w:hAnsi="Verdana"/>
          <w:sz w:val="24"/>
          <w:szCs w:val="24"/>
          <w:u w:val="single"/>
        </w:rPr>
      </w:pPr>
    </w:p>
    <w:p w:rsidR="00B70F15" w:rsidRPr="00105456" w:rsidRDefault="00641F62" w:rsidP="00CE0D00">
      <w:pPr>
        <w:pStyle w:val="NoSpacing"/>
        <w:rPr>
          <w:rFonts w:ascii="Verdana" w:hAnsi="Verdana"/>
          <w:sz w:val="24"/>
          <w:szCs w:val="24"/>
        </w:rPr>
      </w:pPr>
      <w:r>
        <w:rPr>
          <w:rFonts w:ascii="Verdana" w:hAnsi="Verdana"/>
          <w:sz w:val="24"/>
          <w:szCs w:val="24"/>
        </w:rPr>
        <w:t xml:space="preserve">8.1 </w:t>
      </w:r>
      <w:r w:rsidR="00B70F15" w:rsidRPr="00105456">
        <w:rPr>
          <w:rFonts w:ascii="Verdana" w:hAnsi="Verdana"/>
          <w:sz w:val="24"/>
          <w:szCs w:val="24"/>
        </w:rPr>
        <w:t xml:space="preserve">The </w:t>
      </w:r>
      <w:r w:rsidR="003F28D3" w:rsidRPr="00105456">
        <w:rPr>
          <w:rFonts w:ascii="Verdana" w:hAnsi="Verdana"/>
          <w:sz w:val="24"/>
          <w:szCs w:val="24"/>
        </w:rPr>
        <w:t>Commission</w:t>
      </w:r>
      <w:r w:rsidR="00B70F15" w:rsidRPr="00105456">
        <w:rPr>
          <w:rFonts w:ascii="Verdana" w:hAnsi="Verdana"/>
          <w:sz w:val="24"/>
          <w:szCs w:val="24"/>
        </w:rPr>
        <w:t xml:space="preserve"> advises that the prison population in </w:t>
      </w:r>
      <w:r w:rsidR="001A4EED" w:rsidRPr="00105456">
        <w:rPr>
          <w:rFonts w:ascii="Verdana" w:hAnsi="Verdana"/>
          <w:sz w:val="24"/>
          <w:szCs w:val="24"/>
        </w:rPr>
        <w:t>NI</w:t>
      </w:r>
      <w:r w:rsidR="00B70F15" w:rsidRPr="00105456">
        <w:rPr>
          <w:rFonts w:ascii="Verdana" w:hAnsi="Verdana"/>
          <w:sz w:val="24"/>
          <w:szCs w:val="24"/>
        </w:rPr>
        <w:t xml:space="preserve"> has increased significantly over the past decade.</w:t>
      </w:r>
      <w:r w:rsidR="00B70F15" w:rsidRPr="00105456">
        <w:rPr>
          <w:rStyle w:val="EndnoteReference"/>
          <w:rFonts w:ascii="Verdana" w:hAnsi="Verdana"/>
          <w:sz w:val="24"/>
          <w:szCs w:val="24"/>
        </w:rPr>
        <w:endnoteReference w:id="83"/>
      </w:r>
      <w:r w:rsidR="00B70F15" w:rsidRPr="00105456">
        <w:rPr>
          <w:rFonts w:ascii="Verdana" w:hAnsi="Verdana"/>
          <w:sz w:val="24"/>
          <w:szCs w:val="24"/>
        </w:rPr>
        <w:t xml:space="preserve"> In 2013 the average daily prison population was 1,826,</w:t>
      </w:r>
      <w:r w:rsidR="00E544D1" w:rsidRPr="00105456">
        <w:rPr>
          <w:rFonts w:ascii="Verdana" w:hAnsi="Verdana"/>
          <w:sz w:val="24"/>
          <w:szCs w:val="24"/>
        </w:rPr>
        <w:t xml:space="preserve"> 57% higher than the population in 2003, which was 1,160</w:t>
      </w:r>
      <w:r w:rsidR="00B70F15" w:rsidRPr="00105456">
        <w:rPr>
          <w:rFonts w:ascii="Verdana" w:hAnsi="Verdana"/>
          <w:sz w:val="24"/>
          <w:szCs w:val="24"/>
        </w:rPr>
        <w:t>.</w:t>
      </w:r>
      <w:r w:rsidR="00B70F15" w:rsidRPr="00105456">
        <w:rPr>
          <w:rStyle w:val="EndnoteReference"/>
          <w:rFonts w:ascii="Verdana" w:hAnsi="Verdana"/>
          <w:sz w:val="24"/>
          <w:szCs w:val="24"/>
        </w:rPr>
        <w:endnoteReference w:id="84"/>
      </w:r>
      <w:r w:rsidR="00B70F15" w:rsidRPr="00105456">
        <w:rPr>
          <w:rFonts w:ascii="Verdana" w:hAnsi="Verdana"/>
          <w:sz w:val="24"/>
          <w:szCs w:val="24"/>
        </w:rPr>
        <w:t xml:space="preserve"> The number of females in prison has increased from an averag</w:t>
      </w:r>
      <w:r>
        <w:rPr>
          <w:rFonts w:ascii="Verdana" w:hAnsi="Verdana"/>
          <w:sz w:val="24"/>
          <w:szCs w:val="24"/>
        </w:rPr>
        <w:t>e of 22 in 2003 to 61 in 2013.</w:t>
      </w:r>
      <w:r w:rsidR="00B70F15" w:rsidRPr="00105456">
        <w:rPr>
          <w:rFonts w:ascii="Verdana" w:hAnsi="Verdana"/>
          <w:sz w:val="24"/>
          <w:szCs w:val="24"/>
        </w:rPr>
        <w:t xml:space="preserve"> The Department of Justice</w:t>
      </w:r>
      <w:r>
        <w:rPr>
          <w:rFonts w:ascii="Verdana" w:hAnsi="Verdana"/>
          <w:sz w:val="24"/>
          <w:szCs w:val="24"/>
        </w:rPr>
        <w:t xml:space="preserve"> has responded to this</w:t>
      </w:r>
      <w:r w:rsidR="00B70F15" w:rsidRPr="00105456">
        <w:rPr>
          <w:rFonts w:ascii="Verdana" w:hAnsi="Verdana"/>
          <w:sz w:val="24"/>
          <w:szCs w:val="24"/>
        </w:rPr>
        <w:t xml:space="preserve"> trend by increasing the capacity of the prison estate, with plans to increase the capacity to 2,200 by 2022.</w:t>
      </w:r>
      <w:r w:rsidR="00B70F15" w:rsidRPr="00105456">
        <w:rPr>
          <w:rStyle w:val="EndnoteReference"/>
          <w:rFonts w:ascii="Verdana" w:hAnsi="Verdana"/>
          <w:sz w:val="24"/>
          <w:szCs w:val="24"/>
        </w:rPr>
        <w:endnoteReference w:id="85"/>
      </w:r>
      <w:r w:rsidR="00B70F15" w:rsidRPr="00105456">
        <w:rPr>
          <w:rFonts w:ascii="Verdana" w:hAnsi="Verdana"/>
          <w:sz w:val="24"/>
          <w:szCs w:val="24"/>
        </w:rPr>
        <w:t xml:space="preserve"> Measures to reduce the number of persons being committed to prison have not been forthcoming. </w:t>
      </w:r>
      <w:r w:rsidR="0088100D" w:rsidRPr="00105456">
        <w:rPr>
          <w:rFonts w:ascii="Verdana" w:hAnsi="Verdana"/>
          <w:sz w:val="24"/>
          <w:szCs w:val="24"/>
        </w:rPr>
        <w:t xml:space="preserve">Under the sub title ‘Right to an effective remedy and fair trial’ the Commission provide an update on the number of prisoners held on remand. </w:t>
      </w:r>
    </w:p>
    <w:p w:rsidR="00B70F15" w:rsidRPr="00105456" w:rsidRDefault="00B70F15" w:rsidP="00105456">
      <w:pPr>
        <w:pStyle w:val="NoSpacing"/>
        <w:rPr>
          <w:rFonts w:ascii="Verdana" w:hAnsi="Verdana"/>
          <w:sz w:val="24"/>
          <w:szCs w:val="24"/>
        </w:rPr>
      </w:pPr>
    </w:p>
    <w:p w:rsidR="00B70F15" w:rsidRPr="00105456" w:rsidRDefault="00641F62" w:rsidP="00105456">
      <w:pPr>
        <w:pStyle w:val="NoSpacing"/>
        <w:rPr>
          <w:rFonts w:ascii="Verdana" w:hAnsi="Verdana"/>
          <w:sz w:val="24"/>
          <w:szCs w:val="24"/>
        </w:rPr>
      </w:pPr>
      <w:r>
        <w:rPr>
          <w:rFonts w:ascii="Verdana" w:hAnsi="Verdana"/>
          <w:sz w:val="24"/>
          <w:szCs w:val="24"/>
        </w:rPr>
        <w:t xml:space="preserve">8.2 </w:t>
      </w:r>
      <w:r w:rsidR="00B70F15" w:rsidRPr="00105456">
        <w:rPr>
          <w:rFonts w:ascii="Verdana" w:hAnsi="Verdana"/>
          <w:sz w:val="24"/>
          <w:szCs w:val="24"/>
        </w:rPr>
        <w:t>In 2011 the Department of Justice reported a significant increase in the number of prisoners being committed to prison for less serious offences attracting sentences of less than 6 months.</w:t>
      </w:r>
      <w:r w:rsidR="00B70F15" w:rsidRPr="00105456">
        <w:rPr>
          <w:rStyle w:val="EndnoteReference"/>
          <w:rFonts w:ascii="Verdana" w:hAnsi="Verdana"/>
          <w:sz w:val="24"/>
          <w:szCs w:val="24"/>
        </w:rPr>
        <w:endnoteReference w:id="86"/>
      </w:r>
      <w:r w:rsidR="00B70F15" w:rsidRPr="00105456">
        <w:rPr>
          <w:rFonts w:ascii="Verdana" w:hAnsi="Verdana"/>
          <w:sz w:val="24"/>
          <w:szCs w:val="24"/>
        </w:rPr>
        <w:t xml:space="preserve">  This trend has broadly increased with 909 newly sentenced prisoners in 2013 serving sentences of less than 6 months.</w:t>
      </w:r>
      <w:r w:rsidR="00B70F15" w:rsidRPr="00105456">
        <w:rPr>
          <w:rStyle w:val="EndnoteReference"/>
          <w:rFonts w:ascii="Verdana" w:hAnsi="Verdana"/>
          <w:sz w:val="24"/>
          <w:szCs w:val="24"/>
        </w:rPr>
        <w:endnoteReference w:id="87"/>
      </w:r>
      <w:r w:rsidR="00B70F15" w:rsidRPr="00105456">
        <w:rPr>
          <w:rFonts w:ascii="Verdana" w:hAnsi="Verdana"/>
          <w:sz w:val="24"/>
          <w:szCs w:val="24"/>
        </w:rPr>
        <w:t xml:space="preserve"> This represents over 40% of the total number of sentenced prisoners. The Department of Justice has acknowledged that </w:t>
      </w:r>
      <w:r w:rsidR="00B70F15" w:rsidRPr="00105456">
        <w:rPr>
          <w:rFonts w:ascii="Verdana" w:hAnsi="Verdana"/>
          <w:i/>
          <w:sz w:val="24"/>
          <w:szCs w:val="24"/>
        </w:rPr>
        <w:t>“[t]</w:t>
      </w:r>
      <w:proofErr w:type="gramStart"/>
      <w:r w:rsidR="00B70F15" w:rsidRPr="00105456">
        <w:rPr>
          <w:rFonts w:ascii="Verdana" w:hAnsi="Verdana"/>
          <w:i/>
          <w:sz w:val="24"/>
          <w:szCs w:val="24"/>
        </w:rPr>
        <w:t>he</w:t>
      </w:r>
      <w:proofErr w:type="gramEnd"/>
      <w:r w:rsidR="00B70F15" w:rsidRPr="00105456">
        <w:rPr>
          <w:rFonts w:ascii="Verdana" w:hAnsi="Verdana"/>
          <w:i/>
          <w:sz w:val="24"/>
          <w:szCs w:val="24"/>
        </w:rPr>
        <w:t xml:space="preserve"> actual time served by offenders on short prison sentences provides little opportunity to address offending behaviour. Community sentences, where many offenders are under probation for a prolonged period, provide more opportunities to assist the offender to overcome the difficulties that lead the offender to reoffend”.</w:t>
      </w:r>
      <w:r w:rsidR="00B70F15" w:rsidRPr="00105456">
        <w:rPr>
          <w:rStyle w:val="EndnoteReference"/>
          <w:rFonts w:ascii="Verdana" w:hAnsi="Verdana" w:cs="Arial"/>
          <w:sz w:val="24"/>
          <w:szCs w:val="24"/>
        </w:rPr>
        <w:endnoteReference w:id="88"/>
      </w:r>
      <w:r w:rsidR="00B70F15" w:rsidRPr="00105456">
        <w:rPr>
          <w:rFonts w:ascii="Verdana" w:hAnsi="Verdana"/>
          <w:sz w:val="24"/>
          <w:szCs w:val="24"/>
        </w:rPr>
        <w:t xml:space="preserve"> The Prison Review Team recommended that proposals be developed </w:t>
      </w:r>
      <w:r w:rsidR="00B70F15" w:rsidRPr="00105456">
        <w:rPr>
          <w:rFonts w:ascii="Verdana" w:hAnsi="Verdana"/>
          <w:i/>
          <w:sz w:val="24"/>
          <w:szCs w:val="24"/>
        </w:rPr>
        <w:t>“</w:t>
      </w:r>
      <w:r w:rsidR="00B70F15" w:rsidRPr="00105456">
        <w:rPr>
          <w:rFonts w:ascii="Verdana" w:hAnsi="Verdana" w:cs="OfficinaSanITC-Medium"/>
          <w:i/>
          <w:sz w:val="24"/>
          <w:szCs w:val="24"/>
        </w:rPr>
        <w:t>to ensure that effective community sentences are the preferred method of dealing with those who would otherwise get short custodial sentences”.</w:t>
      </w:r>
      <w:r w:rsidR="00B70F15" w:rsidRPr="00105456">
        <w:rPr>
          <w:rStyle w:val="EndnoteReference"/>
          <w:rFonts w:ascii="Verdana" w:hAnsi="Verdana" w:cs="OfficinaSanITC-Medium"/>
          <w:sz w:val="24"/>
          <w:szCs w:val="24"/>
        </w:rPr>
        <w:endnoteReference w:id="89"/>
      </w:r>
      <w:r w:rsidR="00B70F15" w:rsidRPr="00105456">
        <w:rPr>
          <w:rFonts w:ascii="Verdana" w:hAnsi="Verdana" w:cs="OfficinaSanITC-Medium"/>
          <w:sz w:val="24"/>
          <w:szCs w:val="24"/>
        </w:rPr>
        <w:t xml:space="preserve"> However the group of experts established to monitor implementation of the Prison Review recommendations noted that this recommendation </w:t>
      </w:r>
      <w:r w:rsidR="00B70F15" w:rsidRPr="00105456">
        <w:rPr>
          <w:rFonts w:ascii="Verdana" w:hAnsi="Verdana"/>
          <w:sz w:val="24"/>
          <w:szCs w:val="24"/>
        </w:rPr>
        <w:t>did not secure political consensus</w:t>
      </w:r>
      <w:r w:rsidR="00EF3C23">
        <w:rPr>
          <w:rFonts w:ascii="Verdana" w:hAnsi="Verdana"/>
          <w:sz w:val="24"/>
          <w:szCs w:val="24"/>
        </w:rPr>
        <w:t xml:space="preserve"> and</w:t>
      </w:r>
      <w:r w:rsidR="00B70F15" w:rsidRPr="00105456">
        <w:rPr>
          <w:rFonts w:ascii="Verdana" w:hAnsi="Verdana"/>
          <w:sz w:val="24"/>
          <w:szCs w:val="24"/>
        </w:rPr>
        <w:t xml:space="preserve"> no adequate proposals have been forthcoming. </w:t>
      </w:r>
      <w:r w:rsidR="00B70F15" w:rsidRPr="00105456">
        <w:rPr>
          <w:rStyle w:val="EndnoteReference"/>
          <w:rFonts w:ascii="Verdana" w:hAnsi="Verdana"/>
          <w:sz w:val="24"/>
          <w:szCs w:val="24"/>
        </w:rPr>
        <w:endnoteReference w:id="90"/>
      </w:r>
    </w:p>
    <w:p w:rsidR="00B70F15" w:rsidRPr="00105456" w:rsidRDefault="00B70F15" w:rsidP="00105456">
      <w:pPr>
        <w:pStyle w:val="NoSpacing"/>
        <w:rPr>
          <w:rFonts w:ascii="Verdana" w:hAnsi="Verdana"/>
          <w:sz w:val="24"/>
          <w:szCs w:val="24"/>
        </w:rPr>
      </w:pPr>
    </w:p>
    <w:p w:rsidR="00B70F15" w:rsidRPr="00105456" w:rsidRDefault="00641F62" w:rsidP="00105456">
      <w:pPr>
        <w:pStyle w:val="NoSpacing"/>
        <w:rPr>
          <w:rFonts w:ascii="Verdana" w:hAnsi="Verdana"/>
          <w:sz w:val="24"/>
          <w:szCs w:val="24"/>
        </w:rPr>
      </w:pPr>
      <w:r>
        <w:rPr>
          <w:rFonts w:ascii="Verdana" w:hAnsi="Verdana"/>
          <w:sz w:val="24"/>
          <w:szCs w:val="24"/>
        </w:rPr>
        <w:t xml:space="preserve">8.3 </w:t>
      </w:r>
      <w:r w:rsidR="00B70F15" w:rsidRPr="00105456">
        <w:rPr>
          <w:rFonts w:ascii="Verdana" w:hAnsi="Verdana"/>
          <w:sz w:val="24"/>
          <w:szCs w:val="24"/>
        </w:rPr>
        <w:t xml:space="preserve">The Prison Review Team recommended that the </w:t>
      </w:r>
      <w:r w:rsidR="001A4EED" w:rsidRPr="00105456">
        <w:rPr>
          <w:rFonts w:ascii="Verdana" w:hAnsi="Verdana"/>
          <w:sz w:val="24"/>
          <w:szCs w:val="24"/>
        </w:rPr>
        <w:t>NI</w:t>
      </w:r>
      <w:r w:rsidR="00B70F15" w:rsidRPr="00105456">
        <w:rPr>
          <w:rFonts w:ascii="Verdana" w:hAnsi="Verdana"/>
          <w:sz w:val="24"/>
          <w:szCs w:val="24"/>
        </w:rPr>
        <w:t xml:space="preserve"> Prison Service and Probation Board for </w:t>
      </w:r>
      <w:r w:rsidR="001A4EED" w:rsidRPr="00105456">
        <w:rPr>
          <w:rFonts w:ascii="Verdana" w:hAnsi="Verdana"/>
          <w:sz w:val="24"/>
          <w:szCs w:val="24"/>
        </w:rPr>
        <w:t>NI</w:t>
      </w:r>
      <w:r w:rsidR="00B70F15" w:rsidRPr="00105456">
        <w:rPr>
          <w:rFonts w:ascii="Verdana" w:hAnsi="Verdana"/>
          <w:sz w:val="24"/>
          <w:szCs w:val="24"/>
        </w:rPr>
        <w:t xml:space="preserve"> undertake joint work to plan </w:t>
      </w:r>
      <w:r w:rsidR="003F28D3" w:rsidRPr="00105456">
        <w:rPr>
          <w:rFonts w:ascii="Verdana" w:hAnsi="Verdana"/>
          <w:sz w:val="24"/>
          <w:szCs w:val="24"/>
        </w:rPr>
        <w:t>and deliver integrated services.</w:t>
      </w:r>
      <w:r w:rsidR="00B70F15" w:rsidRPr="00105456">
        <w:rPr>
          <w:rStyle w:val="EndnoteReference"/>
          <w:rFonts w:ascii="Verdana" w:hAnsi="Verdana"/>
          <w:sz w:val="24"/>
          <w:szCs w:val="24"/>
        </w:rPr>
        <w:endnoteReference w:id="91"/>
      </w:r>
      <w:r w:rsidR="003F28D3" w:rsidRPr="00105456">
        <w:rPr>
          <w:rFonts w:ascii="Verdana" w:hAnsi="Verdana"/>
          <w:sz w:val="24"/>
          <w:szCs w:val="24"/>
        </w:rPr>
        <w:t xml:space="preserve"> B</w:t>
      </w:r>
      <w:r w:rsidR="00B70F15" w:rsidRPr="00105456">
        <w:rPr>
          <w:rFonts w:ascii="Verdana" w:hAnsi="Verdana"/>
          <w:sz w:val="24"/>
          <w:szCs w:val="24"/>
        </w:rPr>
        <w:t>oth organisations have worked towards implementation of this recommendation with the establishment of a new prisoner development model.</w:t>
      </w:r>
      <w:r w:rsidR="00B70F15" w:rsidRPr="00105456">
        <w:rPr>
          <w:rStyle w:val="EndnoteReference"/>
          <w:rFonts w:ascii="Verdana" w:hAnsi="Verdana"/>
          <w:sz w:val="24"/>
          <w:szCs w:val="24"/>
        </w:rPr>
        <w:endnoteReference w:id="92"/>
      </w:r>
      <w:r w:rsidR="00B70F15" w:rsidRPr="00105456">
        <w:rPr>
          <w:rFonts w:ascii="Verdana" w:hAnsi="Verdana"/>
          <w:sz w:val="24"/>
          <w:szCs w:val="24"/>
        </w:rPr>
        <w:t xml:space="preserve"> However latest statistics indicate that 48% of adults released from custody reoffended within one year of their release.</w:t>
      </w:r>
      <w:r w:rsidR="00B70F15" w:rsidRPr="00105456">
        <w:rPr>
          <w:rStyle w:val="EndnoteReference"/>
          <w:rFonts w:ascii="Verdana" w:hAnsi="Verdana"/>
          <w:sz w:val="24"/>
          <w:szCs w:val="24"/>
        </w:rPr>
        <w:endnoteReference w:id="93"/>
      </w:r>
      <w:r w:rsidR="00B70F15" w:rsidRPr="00105456">
        <w:rPr>
          <w:rFonts w:ascii="Verdana" w:hAnsi="Verdana"/>
          <w:sz w:val="24"/>
          <w:szCs w:val="24"/>
        </w:rPr>
        <w:t xml:space="preserve"> </w:t>
      </w:r>
    </w:p>
    <w:p w:rsidR="00B70F15" w:rsidRPr="00105456" w:rsidRDefault="00B70F15" w:rsidP="00105456">
      <w:pPr>
        <w:pStyle w:val="NoSpacing"/>
        <w:rPr>
          <w:rFonts w:ascii="Verdana" w:hAnsi="Verdana"/>
          <w:sz w:val="24"/>
          <w:szCs w:val="24"/>
        </w:rPr>
      </w:pPr>
    </w:p>
    <w:p w:rsidR="00B70F15" w:rsidRPr="00105456" w:rsidRDefault="00B70F15" w:rsidP="00105456">
      <w:pPr>
        <w:pStyle w:val="NoSpacing"/>
        <w:rPr>
          <w:rFonts w:ascii="Verdana" w:hAnsi="Verdana"/>
          <w:b/>
          <w:sz w:val="24"/>
          <w:szCs w:val="24"/>
        </w:rPr>
      </w:pPr>
      <w:r w:rsidRPr="00105456">
        <w:rPr>
          <w:rFonts w:ascii="Verdana" w:hAnsi="Verdana"/>
          <w:b/>
          <w:sz w:val="24"/>
          <w:szCs w:val="24"/>
        </w:rPr>
        <w:t xml:space="preserve">The Committee may wish to recommend that the State Party </w:t>
      </w:r>
      <w:r w:rsidR="00281D93" w:rsidRPr="00105456">
        <w:rPr>
          <w:rFonts w:ascii="Verdana" w:hAnsi="Verdana"/>
          <w:b/>
          <w:sz w:val="24"/>
          <w:szCs w:val="24"/>
        </w:rPr>
        <w:t xml:space="preserve">including </w:t>
      </w:r>
      <w:r w:rsidRPr="00105456">
        <w:rPr>
          <w:rFonts w:ascii="Verdana" w:hAnsi="Verdana"/>
          <w:b/>
          <w:sz w:val="24"/>
          <w:szCs w:val="24"/>
        </w:rPr>
        <w:t xml:space="preserve">the </w:t>
      </w:r>
      <w:r w:rsidR="001A4EED" w:rsidRPr="00105456">
        <w:rPr>
          <w:rFonts w:ascii="Verdana" w:hAnsi="Verdana"/>
          <w:b/>
          <w:sz w:val="24"/>
          <w:szCs w:val="24"/>
        </w:rPr>
        <w:t>NI</w:t>
      </w:r>
      <w:r w:rsidRPr="00105456">
        <w:rPr>
          <w:rFonts w:ascii="Verdana" w:hAnsi="Verdana"/>
          <w:b/>
          <w:sz w:val="24"/>
          <w:szCs w:val="24"/>
        </w:rPr>
        <w:t xml:space="preserve"> Executive and Assembly bring forward measures to reduce the prison population</w:t>
      </w:r>
      <w:r w:rsidR="00EF3C23">
        <w:rPr>
          <w:rFonts w:ascii="Verdana" w:hAnsi="Verdana"/>
          <w:b/>
          <w:sz w:val="24"/>
          <w:szCs w:val="24"/>
        </w:rPr>
        <w:t xml:space="preserve"> in NI</w:t>
      </w:r>
      <w:r w:rsidRPr="00105456">
        <w:rPr>
          <w:rFonts w:ascii="Verdana" w:hAnsi="Verdana"/>
          <w:b/>
          <w:sz w:val="24"/>
          <w:szCs w:val="24"/>
        </w:rPr>
        <w:t xml:space="preserve">, including proposals for the development of community based sentences as an alternative to short custodial sentences. In addition the State Party should ensure services within the prison to provide for the effective rehabilitation and resettlement of prisoners are further developed and resourced. </w:t>
      </w:r>
    </w:p>
    <w:p w:rsidR="00B70F15" w:rsidRPr="00105456" w:rsidRDefault="00B70F15" w:rsidP="00CE0D00">
      <w:pPr>
        <w:pStyle w:val="NoSpacing"/>
        <w:rPr>
          <w:rFonts w:ascii="Verdana" w:hAnsi="Verdana"/>
          <w:b/>
          <w:sz w:val="24"/>
          <w:szCs w:val="24"/>
        </w:rPr>
      </w:pPr>
    </w:p>
    <w:p w:rsidR="00B70F15" w:rsidRPr="00105456" w:rsidRDefault="00EF3C23" w:rsidP="00CE0D00">
      <w:pPr>
        <w:pStyle w:val="NoSpacing"/>
        <w:rPr>
          <w:rFonts w:ascii="Verdana" w:hAnsi="Verdana"/>
          <w:sz w:val="24"/>
          <w:szCs w:val="24"/>
        </w:rPr>
      </w:pPr>
      <w:r>
        <w:rPr>
          <w:rFonts w:ascii="Verdana" w:hAnsi="Verdana"/>
          <w:sz w:val="24"/>
          <w:szCs w:val="24"/>
        </w:rPr>
        <w:t xml:space="preserve">8.4 </w:t>
      </w:r>
      <w:r w:rsidR="00B70F15" w:rsidRPr="00105456">
        <w:rPr>
          <w:rFonts w:ascii="Verdana" w:hAnsi="Verdana"/>
          <w:sz w:val="24"/>
          <w:szCs w:val="24"/>
        </w:rPr>
        <w:t>The issue of substance use, both legal and illegal, in prisons has been a source of concern for a number of years.</w:t>
      </w:r>
      <w:r w:rsidR="00B70F15" w:rsidRPr="00105456">
        <w:rPr>
          <w:rStyle w:val="EndnoteReference"/>
          <w:rFonts w:ascii="Verdana" w:hAnsi="Verdana"/>
          <w:sz w:val="24"/>
          <w:szCs w:val="24"/>
        </w:rPr>
        <w:endnoteReference w:id="94"/>
      </w:r>
      <w:r w:rsidR="00B70F15" w:rsidRPr="00105456">
        <w:rPr>
          <w:rFonts w:ascii="Verdana" w:hAnsi="Verdana"/>
          <w:sz w:val="24"/>
          <w:szCs w:val="24"/>
        </w:rPr>
        <w:t xml:space="preserve"> The use of substances contributes to both levels of violence and bullying within prisons and to mental health problems within prisons.</w:t>
      </w:r>
      <w:r w:rsidR="00B70F15" w:rsidRPr="00105456">
        <w:rPr>
          <w:rStyle w:val="EndnoteReference"/>
          <w:rFonts w:ascii="Verdana" w:hAnsi="Verdana"/>
          <w:sz w:val="24"/>
          <w:szCs w:val="24"/>
        </w:rPr>
        <w:endnoteReference w:id="95"/>
      </w:r>
      <w:r w:rsidR="00B70F15" w:rsidRPr="00105456">
        <w:rPr>
          <w:rFonts w:ascii="Verdana" w:hAnsi="Verdana"/>
          <w:sz w:val="24"/>
          <w:szCs w:val="24"/>
        </w:rPr>
        <w:t xml:space="preserve"> Following an inspection of prisons throughout </w:t>
      </w:r>
      <w:r w:rsidR="001A4EED" w:rsidRPr="00105456">
        <w:rPr>
          <w:rFonts w:ascii="Verdana" w:hAnsi="Verdana"/>
          <w:sz w:val="24"/>
          <w:szCs w:val="24"/>
        </w:rPr>
        <w:t>NI</w:t>
      </w:r>
      <w:r w:rsidR="00B70F15" w:rsidRPr="00105456">
        <w:rPr>
          <w:rFonts w:ascii="Verdana" w:hAnsi="Verdana"/>
          <w:sz w:val="24"/>
          <w:szCs w:val="24"/>
        </w:rPr>
        <w:t xml:space="preserve"> the Regulation and Quality Improvement Authority and </w:t>
      </w:r>
      <w:r w:rsidR="00912AE9" w:rsidRPr="00105456">
        <w:rPr>
          <w:rFonts w:ascii="Verdana" w:hAnsi="Verdana"/>
          <w:sz w:val="24"/>
          <w:szCs w:val="24"/>
        </w:rPr>
        <w:t>CJINI</w:t>
      </w:r>
      <w:r w:rsidR="00B70F15" w:rsidRPr="00105456">
        <w:rPr>
          <w:rFonts w:ascii="Verdana" w:hAnsi="Verdana"/>
          <w:sz w:val="24"/>
          <w:szCs w:val="24"/>
        </w:rPr>
        <w:t xml:space="preserve"> recommended that a comprehensive substance misuse strategy to address the key areas of supply and demand reduction be established for prisons in NI.</w:t>
      </w:r>
      <w:r w:rsidR="00B70F15" w:rsidRPr="00105456">
        <w:rPr>
          <w:rStyle w:val="EndnoteReference"/>
          <w:rFonts w:ascii="Verdana" w:hAnsi="Verdana"/>
          <w:sz w:val="24"/>
          <w:szCs w:val="24"/>
        </w:rPr>
        <w:endnoteReference w:id="96"/>
      </w:r>
      <w:r w:rsidR="00B70F15" w:rsidRPr="00105456">
        <w:rPr>
          <w:rFonts w:ascii="Verdana" w:hAnsi="Verdana"/>
          <w:sz w:val="24"/>
          <w:szCs w:val="24"/>
        </w:rPr>
        <w:t xml:space="preserve"> At the time of writing this strategy has not been put in place. </w:t>
      </w:r>
    </w:p>
    <w:p w:rsidR="00B70F15" w:rsidRPr="00105456" w:rsidRDefault="00B70F15" w:rsidP="00CE0D00">
      <w:pPr>
        <w:pStyle w:val="NoSpacing"/>
        <w:rPr>
          <w:rFonts w:ascii="Verdana" w:hAnsi="Verdana"/>
          <w:sz w:val="24"/>
          <w:szCs w:val="24"/>
        </w:rPr>
      </w:pPr>
    </w:p>
    <w:p w:rsidR="00B70F15" w:rsidRPr="00105456" w:rsidRDefault="00B70F15" w:rsidP="00105456">
      <w:pPr>
        <w:pStyle w:val="NoSpacing"/>
        <w:rPr>
          <w:rFonts w:ascii="Verdana" w:hAnsi="Verdana"/>
          <w:b/>
          <w:sz w:val="24"/>
          <w:szCs w:val="24"/>
        </w:rPr>
      </w:pPr>
      <w:r w:rsidRPr="00105456">
        <w:rPr>
          <w:rFonts w:ascii="Verdana" w:hAnsi="Verdana"/>
          <w:b/>
          <w:sz w:val="24"/>
          <w:szCs w:val="24"/>
        </w:rPr>
        <w:t xml:space="preserve">The Committee may wish to recommend that the State Party </w:t>
      </w:r>
      <w:r w:rsidR="004F162F" w:rsidRPr="00105456">
        <w:rPr>
          <w:rFonts w:ascii="Verdana" w:hAnsi="Verdana"/>
          <w:b/>
          <w:sz w:val="24"/>
          <w:szCs w:val="24"/>
        </w:rPr>
        <w:t xml:space="preserve">including the NI Executive and NI Assembly ensure </w:t>
      </w:r>
      <w:r w:rsidRPr="00105456">
        <w:rPr>
          <w:rFonts w:ascii="Verdana" w:hAnsi="Verdana"/>
          <w:b/>
          <w:sz w:val="24"/>
          <w:szCs w:val="24"/>
        </w:rPr>
        <w:t>the establishment and implementation of a comprehensive substance use strategy for prisons in NI. This strategy should address the use of illegal substances and prescription medications.  This strategy should be health based, utilise the right to health, incorporate harm reduction strategies, and address the risk environment of those using illegal substances.</w:t>
      </w:r>
    </w:p>
    <w:p w:rsidR="00B70F15" w:rsidRPr="00105456" w:rsidRDefault="00B70F15" w:rsidP="00CE0D00">
      <w:pPr>
        <w:pStyle w:val="NoSpacing"/>
        <w:rPr>
          <w:rFonts w:ascii="Verdana" w:hAnsi="Verdana"/>
          <w:b/>
          <w:sz w:val="24"/>
          <w:szCs w:val="24"/>
        </w:rPr>
      </w:pPr>
    </w:p>
    <w:p w:rsidR="00B70F15" w:rsidRPr="00105456" w:rsidRDefault="00EF3C23" w:rsidP="00CE0D00">
      <w:pPr>
        <w:pStyle w:val="NoSpacing"/>
        <w:rPr>
          <w:rFonts w:ascii="Verdana" w:hAnsi="Verdana"/>
          <w:sz w:val="24"/>
          <w:szCs w:val="24"/>
        </w:rPr>
      </w:pPr>
      <w:r>
        <w:rPr>
          <w:rFonts w:ascii="Verdana" w:hAnsi="Verdana"/>
          <w:sz w:val="24"/>
          <w:szCs w:val="24"/>
        </w:rPr>
        <w:t xml:space="preserve">8.5 </w:t>
      </w:r>
      <w:r w:rsidR="00B70F15" w:rsidRPr="00105456">
        <w:rPr>
          <w:rFonts w:ascii="Verdana" w:hAnsi="Verdana"/>
          <w:sz w:val="24"/>
          <w:szCs w:val="24"/>
        </w:rPr>
        <w:t xml:space="preserve">At present </w:t>
      </w:r>
      <w:r w:rsidR="00281D93" w:rsidRPr="00105456">
        <w:rPr>
          <w:rFonts w:ascii="Verdana" w:hAnsi="Verdana"/>
          <w:sz w:val="24"/>
          <w:szCs w:val="24"/>
        </w:rPr>
        <w:t xml:space="preserve">there is no wholly separate custodial facility for </w:t>
      </w:r>
      <w:r w:rsidR="00B70F15" w:rsidRPr="00105456">
        <w:rPr>
          <w:rFonts w:ascii="Verdana" w:hAnsi="Verdana"/>
          <w:sz w:val="24"/>
          <w:szCs w:val="24"/>
        </w:rPr>
        <w:t>women prisoners in NI</w:t>
      </w:r>
      <w:r w:rsidR="009235A5" w:rsidRPr="00105456">
        <w:rPr>
          <w:rFonts w:ascii="Verdana" w:hAnsi="Verdana"/>
          <w:sz w:val="24"/>
          <w:szCs w:val="24"/>
        </w:rPr>
        <w:t xml:space="preserve">, women prisoners are housed in Ash House which is co-located in </w:t>
      </w:r>
      <w:proofErr w:type="spellStart"/>
      <w:r w:rsidR="009235A5" w:rsidRPr="00105456">
        <w:rPr>
          <w:rFonts w:ascii="Verdana" w:hAnsi="Verdana"/>
          <w:sz w:val="24"/>
          <w:szCs w:val="24"/>
        </w:rPr>
        <w:t>Hydebank</w:t>
      </w:r>
      <w:proofErr w:type="spellEnd"/>
      <w:r w:rsidR="009235A5" w:rsidRPr="00105456">
        <w:rPr>
          <w:rFonts w:ascii="Verdana" w:hAnsi="Verdana"/>
          <w:sz w:val="24"/>
          <w:szCs w:val="24"/>
        </w:rPr>
        <w:t xml:space="preserve"> Wood Prison with a male young offenders centre. </w:t>
      </w:r>
      <w:r w:rsidR="00B70F15" w:rsidRPr="00105456">
        <w:rPr>
          <w:rFonts w:ascii="Verdana" w:hAnsi="Verdana"/>
          <w:sz w:val="24"/>
          <w:szCs w:val="24"/>
        </w:rPr>
        <w:t>. A number of reviews have found this to be an unsatisfactory situation which leads to detrimental outcomes for woman prisoners.</w:t>
      </w:r>
      <w:r w:rsidR="00B70F15" w:rsidRPr="00105456">
        <w:rPr>
          <w:rStyle w:val="EndnoteReference"/>
          <w:rFonts w:ascii="Verdana" w:hAnsi="Verdana"/>
          <w:sz w:val="24"/>
          <w:szCs w:val="24"/>
        </w:rPr>
        <w:endnoteReference w:id="97"/>
      </w:r>
      <w:r w:rsidR="00B70F15" w:rsidRPr="00105456">
        <w:rPr>
          <w:rFonts w:ascii="Verdana" w:hAnsi="Verdana"/>
          <w:sz w:val="24"/>
          <w:szCs w:val="24"/>
        </w:rPr>
        <w:t xml:space="preserve"> </w:t>
      </w:r>
      <w:r w:rsidR="009235A5" w:rsidRPr="00105456">
        <w:rPr>
          <w:rFonts w:ascii="Verdana" w:hAnsi="Verdana"/>
          <w:sz w:val="24"/>
          <w:szCs w:val="24"/>
        </w:rPr>
        <w:t>A</w:t>
      </w:r>
      <w:r w:rsidR="00B70F15" w:rsidRPr="00105456">
        <w:rPr>
          <w:rFonts w:ascii="Verdana" w:hAnsi="Verdana"/>
          <w:sz w:val="24"/>
          <w:szCs w:val="24"/>
        </w:rPr>
        <w:t xml:space="preserve"> high number of women prisoners suffer from mental health problems.</w:t>
      </w:r>
      <w:r w:rsidR="00B70F15" w:rsidRPr="00105456">
        <w:rPr>
          <w:rStyle w:val="EndnoteReference"/>
          <w:rFonts w:ascii="Verdana" w:hAnsi="Verdana"/>
          <w:sz w:val="24"/>
          <w:szCs w:val="24"/>
        </w:rPr>
        <w:endnoteReference w:id="98"/>
      </w:r>
    </w:p>
    <w:p w:rsidR="00B70F15" w:rsidRPr="00105456" w:rsidRDefault="00B70F15" w:rsidP="00CE0D00">
      <w:pPr>
        <w:pStyle w:val="NoSpacing"/>
        <w:rPr>
          <w:rFonts w:ascii="Verdana" w:hAnsi="Verdana"/>
          <w:sz w:val="24"/>
          <w:szCs w:val="24"/>
        </w:rPr>
      </w:pPr>
    </w:p>
    <w:p w:rsidR="00B70F15" w:rsidRPr="00105456" w:rsidRDefault="00EF3C23" w:rsidP="00CE0D00">
      <w:pPr>
        <w:pStyle w:val="NoSpacing"/>
        <w:rPr>
          <w:rFonts w:ascii="Verdana" w:hAnsi="Verdana"/>
          <w:sz w:val="24"/>
          <w:szCs w:val="24"/>
        </w:rPr>
      </w:pPr>
      <w:r>
        <w:rPr>
          <w:rFonts w:ascii="Verdana" w:hAnsi="Verdana"/>
          <w:sz w:val="24"/>
          <w:szCs w:val="24"/>
        </w:rPr>
        <w:t xml:space="preserve">8.6 </w:t>
      </w:r>
      <w:r w:rsidR="00B70F15" w:rsidRPr="00105456">
        <w:rPr>
          <w:rFonts w:ascii="Verdana" w:hAnsi="Verdana"/>
          <w:sz w:val="24"/>
          <w:szCs w:val="24"/>
        </w:rPr>
        <w:t>The Prison Review 2011 recommended the construction of a separate custodial facility for women.</w:t>
      </w:r>
      <w:r w:rsidR="00B70F15" w:rsidRPr="00105456">
        <w:rPr>
          <w:rStyle w:val="EndnoteReference"/>
          <w:rFonts w:ascii="Verdana" w:hAnsi="Verdana"/>
          <w:sz w:val="24"/>
          <w:szCs w:val="24"/>
        </w:rPr>
        <w:endnoteReference w:id="99"/>
      </w:r>
      <w:r w:rsidR="00B70F15" w:rsidRPr="00105456">
        <w:rPr>
          <w:rFonts w:ascii="Verdana" w:hAnsi="Verdana"/>
          <w:sz w:val="24"/>
          <w:szCs w:val="24"/>
        </w:rPr>
        <w:t xml:space="preserve"> The Commission notes that whilst the Minister of Justice has committed to develop a separate custodial facility for women prisoners, funding to realise this commitment has not yet been allocated by the NI Executive.</w:t>
      </w:r>
      <w:r w:rsidR="00B70F15" w:rsidRPr="00105456">
        <w:rPr>
          <w:rStyle w:val="EndnoteReference"/>
          <w:rFonts w:ascii="Verdana" w:hAnsi="Verdana"/>
          <w:sz w:val="24"/>
          <w:szCs w:val="24"/>
        </w:rPr>
        <w:endnoteReference w:id="100"/>
      </w:r>
      <w:r w:rsidR="00B70F15" w:rsidRPr="00105456">
        <w:rPr>
          <w:rFonts w:ascii="Verdana" w:hAnsi="Verdana"/>
          <w:sz w:val="24"/>
          <w:szCs w:val="24"/>
        </w:rPr>
        <w:t xml:space="preserve"> </w:t>
      </w:r>
      <w:r w:rsidR="0088100D" w:rsidRPr="00105456">
        <w:rPr>
          <w:rFonts w:ascii="Verdana" w:hAnsi="Verdana"/>
          <w:sz w:val="24"/>
          <w:szCs w:val="24"/>
        </w:rPr>
        <w:t xml:space="preserve">Whilst measures are being taken to improve the situation of female prisoners, such as the construction of a step down facility, </w:t>
      </w:r>
      <w:r w:rsidR="00B16933" w:rsidRPr="00105456">
        <w:rPr>
          <w:rFonts w:ascii="Verdana" w:hAnsi="Verdana"/>
          <w:sz w:val="24"/>
          <w:szCs w:val="24"/>
        </w:rPr>
        <w:t xml:space="preserve">it remains unclear </w:t>
      </w:r>
      <w:r w:rsidR="0088100D" w:rsidRPr="00105456">
        <w:rPr>
          <w:rFonts w:ascii="Verdana" w:hAnsi="Verdana"/>
          <w:sz w:val="24"/>
          <w:szCs w:val="24"/>
        </w:rPr>
        <w:t>whether a separate custodial facility wil</w:t>
      </w:r>
      <w:r w:rsidR="00B16933" w:rsidRPr="00105456">
        <w:rPr>
          <w:rFonts w:ascii="Verdana" w:hAnsi="Verdana"/>
          <w:sz w:val="24"/>
          <w:szCs w:val="24"/>
        </w:rPr>
        <w:t>l be constructed</w:t>
      </w:r>
      <w:r w:rsidR="0088100D" w:rsidRPr="00105456">
        <w:rPr>
          <w:rFonts w:ascii="Verdana" w:hAnsi="Verdana"/>
          <w:sz w:val="24"/>
          <w:szCs w:val="24"/>
        </w:rPr>
        <w:t xml:space="preserve">. </w:t>
      </w:r>
      <w:r w:rsidR="00B70F15" w:rsidRPr="00105456">
        <w:rPr>
          <w:rFonts w:ascii="Verdana" w:hAnsi="Verdana"/>
          <w:sz w:val="24"/>
          <w:szCs w:val="24"/>
        </w:rPr>
        <w:t xml:space="preserve">    </w:t>
      </w:r>
    </w:p>
    <w:p w:rsidR="00B70F15" w:rsidRPr="00105456" w:rsidRDefault="00B70F15" w:rsidP="00105456">
      <w:pPr>
        <w:pStyle w:val="NoSpacing"/>
        <w:rPr>
          <w:rFonts w:ascii="Verdana" w:hAnsi="Verdana"/>
          <w:sz w:val="24"/>
          <w:szCs w:val="24"/>
        </w:rPr>
      </w:pPr>
    </w:p>
    <w:p w:rsidR="003279CD" w:rsidRPr="00440C48" w:rsidRDefault="00B70F15" w:rsidP="00CE0D00">
      <w:pPr>
        <w:pStyle w:val="NoSpacing"/>
        <w:rPr>
          <w:rFonts w:ascii="Verdana" w:hAnsi="Verdana"/>
          <w:b/>
          <w:sz w:val="24"/>
          <w:szCs w:val="24"/>
        </w:rPr>
      </w:pPr>
      <w:r w:rsidRPr="00105456">
        <w:rPr>
          <w:rFonts w:ascii="Verdana" w:hAnsi="Verdana"/>
          <w:b/>
          <w:sz w:val="24"/>
          <w:szCs w:val="24"/>
        </w:rPr>
        <w:t xml:space="preserve">The Committee may wish to recommend that the State Party </w:t>
      </w:r>
      <w:r w:rsidR="004F162F" w:rsidRPr="00105456">
        <w:rPr>
          <w:rFonts w:ascii="Verdana" w:hAnsi="Verdana"/>
          <w:b/>
          <w:sz w:val="24"/>
          <w:szCs w:val="24"/>
        </w:rPr>
        <w:t xml:space="preserve">including the NI Executive and NI Assembly </w:t>
      </w:r>
      <w:r w:rsidRPr="00105456">
        <w:rPr>
          <w:rFonts w:ascii="Verdana" w:hAnsi="Verdana"/>
          <w:b/>
          <w:sz w:val="24"/>
          <w:szCs w:val="24"/>
        </w:rPr>
        <w:t>ensures the allocat</w:t>
      </w:r>
      <w:r w:rsidR="004F162F" w:rsidRPr="00105456">
        <w:rPr>
          <w:rFonts w:ascii="Verdana" w:hAnsi="Verdana"/>
          <w:b/>
          <w:sz w:val="24"/>
          <w:szCs w:val="24"/>
        </w:rPr>
        <w:t>ion</w:t>
      </w:r>
      <w:r w:rsidRPr="00105456">
        <w:rPr>
          <w:rFonts w:ascii="Verdana" w:hAnsi="Verdana"/>
          <w:b/>
          <w:sz w:val="24"/>
          <w:szCs w:val="24"/>
        </w:rPr>
        <w:t xml:space="preserve"> </w:t>
      </w:r>
      <w:r w:rsidR="004F162F" w:rsidRPr="00105456">
        <w:rPr>
          <w:rFonts w:ascii="Verdana" w:hAnsi="Verdana"/>
          <w:b/>
          <w:sz w:val="24"/>
          <w:szCs w:val="24"/>
        </w:rPr>
        <w:t xml:space="preserve">of </w:t>
      </w:r>
      <w:r w:rsidRPr="00105456">
        <w:rPr>
          <w:rFonts w:ascii="Verdana" w:hAnsi="Verdana"/>
          <w:b/>
          <w:sz w:val="24"/>
          <w:szCs w:val="24"/>
        </w:rPr>
        <w:t>sufficient funding to en</w:t>
      </w:r>
      <w:r w:rsidR="004F162F" w:rsidRPr="00105456">
        <w:rPr>
          <w:rFonts w:ascii="Verdana" w:hAnsi="Verdana"/>
          <w:b/>
          <w:sz w:val="24"/>
          <w:szCs w:val="24"/>
        </w:rPr>
        <w:t>able</w:t>
      </w:r>
      <w:r w:rsidRPr="00105456">
        <w:rPr>
          <w:rFonts w:ascii="Verdana" w:hAnsi="Verdana"/>
          <w:b/>
          <w:sz w:val="24"/>
          <w:szCs w:val="24"/>
        </w:rPr>
        <w:t xml:space="preserve"> the construction of a separate custodial facility for women prisoners in </w:t>
      </w:r>
      <w:r w:rsidR="001A4EED" w:rsidRPr="00105456">
        <w:rPr>
          <w:rFonts w:ascii="Verdana" w:hAnsi="Verdana"/>
          <w:b/>
          <w:sz w:val="24"/>
          <w:szCs w:val="24"/>
        </w:rPr>
        <w:t>NI</w:t>
      </w:r>
      <w:r w:rsidRPr="00105456">
        <w:rPr>
          <w:rFonts w:ascii="Verdana" w:hAnsi="Verdana"/>
          <w:b/>
          <w:sz w:val="24"/>
          <w:szCs w:val="24"/>
        </w:rPr>
        <w:t xml:space="preserve"> as a matter of urgency.</w:t>
      </w:r>
      <w:r w:rsidR="00440C48">
        <w:rPr>
          <w:rFonts w:ascii="Verdana" w:hAnsi="Verdana"/>
          <w:b/>
          <w:sz w:val="24"/>
          <w:szCs w:val="24"/>
        </w:rPr>
        <w:t xml:space="preserve"> </w:t>
      </w:r>
    </w:p>
    <w:p w:rsidR="003279CD" w:rsidRDefault="003279CD" w:rsidP="00CE0D00">
      <w:pPr>
        <w:pStyle w:val="NoSpacing"/>
        <w:rPr>
          <w:rFonts w:ascii="Verdana" w:hAnsi="Verdana"/>
          <w:b/>
          <w:sz w:val="24"/>
          <w:szCs w:val="24"/>
          <w:u w:val="single"/>
        </w:rPr>
      </w:pPr>
    </w:p>
    <w:p w:rsidR="00B70F15" w:rsidRPr="00105456" w:rsidRDefault="00B70F15" w:rsidP="00CE0D00">
      <w:pPr>
        <w:pStyle w:val="NoSpacing"/>
        <w:rPr>
          <w:rFonts w:ascii="Verdana" w:hAnsi="Verdana"/>
          <w:b/>
          <w:sz w:val="24"/>
          <w:szCs w:val="24"/>
          <w:u w:val="single"/>
        </w:rPr>
      </w:pPr>
      <w:r w:rsidRPr="00105456">
        <w:rPr>
          <w:rFonts w:ascii="Verdana" w:hAnsi="Verdana"/>
          <w:b/>
          <w:sz w:val="24"/>
          <w:szCs w:val="24"/>
          <w:u w:val="single"/>
        </w:rPr>
        <w:t>Right to an effective remedy and fair trial (arts. 2, 14 and 24)</w:t>
      </w:r>
    </w:p>
    <w:p w:rsidR="00B70F15" w:rsidRPr="00105456" w:rsidRDefault="00B70F15" w:rsidP="00CE0D00">
      <w:pPr>
        <w:pStyle w:val="NoSpacing"/>
        <w:rPr>
          <w:rFonts w:ascii="Verdana" w:hAnsi="Verdana"/>
          <w:b/>
          <w:sz w:val="24"/>
          <w:szCs w:val="24"/>
        </w:rPr>
      </w:pPr>
    </w:p>
    <w:p w:rsidR="00934440" w:rsidRPr="00934440" w:rsidRDefault="00934440" w:rsidP="00CE0D00">
      <w:pPr>
        <w:pStyle w:val="NoSpacing"/>
        <w:rPr>
          <w:rFonts w:ascii="Verdana" w:hAnsi="Verdana"/>
          <w:i/>
          <w:sz w:val="24"/>
          <w:szCs w:val="24"/>
        </w:rPr>
      </w:pPr>
      <w:r w:rsidRPr="00934440">
        <w:rPr>
          <w:rFonts w:ascii="Verdana" w:hAnsi="Verdana"/>
          <w:i/>
          <w:sz w:val="24"/>
          <w:szCs w:val="24"/>
        </w:rPr>
        <w:t>Delays across the criminal justice system NI (Paragraph 23 List of Issues)</w:t>
      </w:r>
    </w:p>
    <w:p w:rsidR="00934440" w:rsidRDefault="00934440" w:rsidP="00CE0D00">
      <w:pPr>
        <w:pStyle w:val="NoSpacing"/>
        <w:rPr>
          <w:rFonts w:ascii="Verdana" w:hAnsi="Verdana"/>
          <w:sz w:val="24"/>
          <w:szCs w:val="24"/>
        </w:rPr>
      </w:pPr>
    </w:p>
    <w:p w:rsidR="00B70F15" w:rsidRPr="00105456" w:rsidRDefault="00EF3C23" w:rsidP="00CE0D00">
      <w:pPr>
        <w:pStyle w:val="NoSpacing"/>
        <w:rPr>
          <w:rFonts w:ascii="Verdana" w:hAnsi="Verdana"/>
          <w:sz w:val="24"/>
          <w:szCs w:val="24"/>
        </w:rPr>
      </w:pPr>
      <w:r>
        <w:rPr>
          <w:rFonts w:ascii="Verdana" w:hAnsi="Verdana"/>
          <w:sz w:val="24"/>
          <w:szCs w:val="24"/>
        </w:rPr>
        <w:t xml:space="preserve">9.1 </w:t>
      </w:r>
      <w:r w:rsidR="00B70F15" w:rsidRPr="00105456">
        <w:rPr>
          <w:rFonts w:ascii="Verdana" w:hAnsi="Verdana"/>
          <w:sz w:val="24"/>
          <w:szCs w:val="24"/>
        </w:rPr>
        <w:t xml:space="preserve">In 2013 prisoners held on remand accounted for 27% of the overall prison population. Whilst this represents an improvement on previous years, remand prisoners continue to </w:t>
      </w:r>
      <w:r w:rsidR="00912AE9" w:rsidRPr="00105456">
        <w:rPr>
          <w:rFonts w:ascii="Verdana" w:hAnsi="Verdana"/>
          <w:sz w:val="24"/>
          <w:szCs w:val="24"/>
        </w:rPr>
        <w:t xml:space="preserve">be disproportionately </w:t>
      </w:r>
      <w:r w:rsidR="00B70F15" w:rsidRPr="00105456">
        <w:rPr>
          <w:rFonts w:ascii="Verdana" w:hAnsi="Verdana"/>
          <w:sz w:val="24"/>
          <w:szCs w:val="24"/>
        </w:rPr>
        <w:t>represent</w:t>
      </w:r>
      <w:r w:rsidR="00912AE9" w:rsidRPr="00105456">
        <w:rPr>
          <w:rFonts w:ascii="Verdana" w:hAnsi="Verdana"/>
          <w:sz w:val="24"/>
          <w:szCs w:val="24"/>
        </w:rPr>
        <w:t>ed</w:t>
      </w:r>
      <w:r w:rsidR="00B70F15" w:rsidRPr="00105456">
        <w:rPr>
          <w:rFonts w:ascii="Verdana" w:hAnsi="Verdana"/>
          <w:sz w:val="24"/>
          <w:szCs w:val="24"/>
        </w:rPr>
        <w:t xml:space="preserve"> </w:t>
      </w:r>
      <w:r w:rsidR="00912AE9" w:rsidRPr="00105456">
        <w:rPr>
          <w:rFonts w:ascii="Verdana" w:hAnsi="Verdana"/>
          <w:sz w:val="24"/>
          <w:szCs w:val="24"/>
        </w:rPr>
        <w:t>in</w:t>
      </w:r>
      <w:r w:rsidR="00B70F15" w:rsidRPr="00105456">
        <w:rPr>
          <w:rFonts w:ascii="Verdana" w:hAnsi="Verdana"/>
          <w:sz w:val="24"/>
          <w:szCs w:val="24"/>
        </w:rPr>
        <w:t xml:space="preserve"> the overall prison population.</w:t>
      </w:r>
      <w:r w:rsidR="00B70F15" w:rsidRPr="00105456">
        <w:rPr>
          <w:rStyle w:val="EndnoteReference"/>
          <w:rFonts w:ascii="Verdana" w:hAnsi="Verdana"/>
          <w:sz w:val="24"/>
          <w:szCs w:val="24"/>
        </w:rPr>
        <w:endnoteReference w:id="101"/>
      </w:r>
      <w:r w:rsidR="00B70F15" w:rsidRPr="00105456">
        <w:rPr>
          <w:rFonts w:ascii="Verdana" w:hAnsi="Verdana"/>
          <w:sz w:val="24"/>
          <w:szCs w:val="24"/>
        </w:rPr>
        <w:t xml:space="preserve"> One of the factors behind the high number of prisoners held on remand is the unacceptable level of delay in the criminal justice system in </w:t>
      </w:r>
      <w:r w:rsidR="001A4EED" w:rsidRPr="00105456">
        <w:rPr>
          <w:rFonts w:ascii="Verdana" w:hAnsi="Verdana"/>
          <w:sz w:val="24"/>
          <w:szCs w:val="24"/>
        </w:rPr>
        <w:t>NI</w:t>
      </w:r>
      <w:r w:rsidR="00B70F15" w:rsidRPr="00105456">
        <w:rPr>
          <w:rFonts w:ascii="Verdana" w:hAnsi="Verdana"/>
          <w:sz w:val="24"/>
          <w:szCs w:val="24"/>
        </w:rPr>
        <w:t>.</w:t>
      </w:r>
      <w:r w:rsidR="00B70F15" w:rsidRPr="00105456">
        <w:rPr>
          <w:rStyle w:val="EndnoteReference"/>
          <w:rFonts w:ascii="Verdana" w:hAnsi="Verdana"/>
          <w:sz w:val="24"/>
          <w:szCs w:val="24"/>
        </w:rPr>
        <w:endnoteReference w:id="102"/>
      </w:r>
      <w:r w:rsidR="00B70F15" w:rsidRPr="00105456">
        <w:rPr>
          <w:rFonts w:ascii="Verdana" w:hAnsi="Verdana"/>
          <w:sz w:val="24"/>
          <w:szCs w:val="24"/>
        </w:rPr>
        <w:t xml:space="preserve"> </w:t>
      </w:r>
    </w:p>
    <w:p w:rsidR="00B70F15" w:rsidRPr="00105456" w:rsidRDefault="00B70F15" w:rsidP="00105456">
      <w:pPr>
        <w:pStyle w:val="NoSpacing"/>
        <w:rPr>
          <w:rFonts w:ascii="Verdana" w:hAnsi="Verdana"/>
          <w:sz w:val="24"/>
          <w:szCs w:val="24"/>
        </w:rPr>
      </w:pPr>
    </w:p>
    <w:p w:rsidR="00B70F15" w:rsidRPr="00105456" w:rsidRDefault="00EF3C23" w:rsidP="00105456">
      <w:pPr>
        <w:pStyle w:val="NoSpacing"/>
        <w:rPr>
          <w:rFonts w:ascii="Verdana" w:hAnsi="Verdana"/>
          <w:sz w:val="24"/>
          <w:szCs w:val="24"/>
        </w:rPr>
      </w:pPr>
      <w:r>
        <w:rPr>
          <w:rFonts w:ascii="Verdana" w:hAnsi="Verdana"/>
          <w:sz w:val="24"/>
          <w:szCs w:val="24"/>
        </w:rPr>
        <w:t xml:space="preserve">9.2 </w:t>
      </w:r>
      <w:r w:rsidR="00B70F15" w:rsidRPr="00105456">
        <w:rPr>
          <w:rFonts w:ascii="Verdana" w:hAnsi="Verdana"/>
          <w:sz w:val="24"/>
          <w:szCs w:val="24"/>
        </w:rPr>
        <w:t xml:space="preserve">A report by the European Commission for the Efficiency of Justice into justice systems in 33 European countries ranked the </w:t>
      </w:r>
      <w:r w:rsidR="001A4EED" w:rsidRPr="00105456">
        <w:rPr>
          <w:rFonts w:ascii="Verdana" w:hAnsi="Verdana"/>
          <w:sz w:val="24"/>
          <w:szCs w:val="24"/>
        </w:rPr>
        <w:t>NI</w:t>
      </w:r>
      <w:r w:rsidR="00B70F15" w:rsidRPr="00105456">
        <w:rPr>
          <w:rFonts w:ascii="Verdana" w:hAnsi="Verdana"/>
          <w:sz w:val="24"/>
          <w:szCs w:val="24"/>
        </w:rPr>
        <w:t xml:space="preserve"> justice system as the second most inefficient on the basis </w:t>
      </w:r>
      <w:r w:rsidR="00B16933" w:rsidRPr="00105456">
        <w:rPr>
          <w:rFonts w:ascii="Verdana" w:hAnsi="Verdana"/>
          <w:sz w:val="24"/>
          <w:szCs w:val="24"/>
        </w:rPr>
        <w:t xml:space="preserve">of </w:t>
      </w:r>
      <w:r w:rsidR="00B70F15" w:rsidRPr="00105456">
        <w:rPr>
          <w:rFonts w:ascii="Verdana" w:hAnsi="Verdana"/>
          <w:sz w:val="24"/>
          <w:szCs w:val="24"/>
        </w:rPr>
        <w:t>criminal prosecution clearance rates.</w:t>
      </w:r>
      <w:r w:rsidR="00B70F15" w:rsidRPr="00105456">
        <w:rPr>
          <w:rStyle w:val="EndnoteReference"/>
          <w:rFonts w:ascii="Verdana" w:hAnsi="Verdana"/>
          <w:sz w:val="24"/>
          <w:szCs w:val="24"/>
        </w:rPr>
        <w:endnoteReference w:id="103"/>
      </w:r>
      <w:r w:rsidR="00B70F15" w:rsidRPr="00105456">
        <w:rPr>
          <w:rFonts w:ascii="Verdana" w:hAnsi="Verdana"/>
          <w:sz w:val="24"/>
          <w:szCs w:val="24"/>
        </w:rPr>
        <w:t xml:space="preserve">  The CJINI reported in 2012 that on average Crown Court defendants, many of whom may be held in pre-trial detention, wait more than 400 days from being charged with a serious offence to disposal.</w:t>
      </w:r>
      <w:r w:rsidR="00B70F15" w:rsidRPr="00105456">
        <w:rPr>
          <w:rStyle w:val="EndnoteReference"/>
          <w:rFonts w:ascii="Verdana" w:hAnsi="Verdana"/>
          <w:sz w:val="24"/>
          <w:szCs w:val="24"/>
        </w:rPr>
        <w:endnoteReference w:id="104"/>
      </w:r>
    </w:p>
    <w:p w:rsidR="00B70F15" w:rsidRPr="00105456" w:rsidRDefault="00B70F15" w:rsidP="00105456">
      <w:pPr>
        <w:pStyle w:val="NoSpacing"/>
        <w:rPr>
          <w:rFonts w:ascii="Verdana" w:hAnsi="Verdana"/>
          <w:sz w:val="24"/>
          <w:szCs w:val="24"/>
        </w:rPr>
      </w:pPr>
    </w:p>
    <w:p w:rsidR="00B70F15" w:rsidRPr="00105456" w:rsidRDefault="00EF3C23" w:rsidP="00105456">
      <w:pPr>
        <w:pStyle w:val="NoSpacing"/>
        <w:rPr>
          <w:rFonts w:ascii="Verdana" w:hAnsi="Verdana"/>
          <w:sz w:val="24"/>
          <w:szCs w:val="24"/>
        </w:rPr>
      </w:pPr>
      <w:r>
        <w:rPr>
          <w:rFonts w:ascii="Verdana" w:hAnsi="Verdana"/>
          <w:sz w:val="24"/>
          <w:szCs w:val="24"/>
        </w:rPr>
        <w:t xml:space="preserve">9.3 </w:t>
      </w:r>
      <w:r w:rsidR="00B70F15" w:rsidRPr="00105456">
        <w:rPr>
          <w:rFonts w:ascii="Verdana" w:hAnsi="Verdana"/>
          <w:sz w:val="24"/>
          <w:szCs w:val="24"/>
        </w:rPr>
        <w:t>Whilst a number of measures have been taken to reduce delays in the criminal justice system a key recommendation of the Prison Review Team and the CJINI, to introduce statutory time limits, has not been acted on.</w:t>
      </w:r>
      <w:r w:rsidR="00DA375E" w:rsidRPr="00105456">
        <w:rPr>
          <w:rFonts w:ascii="Verdana" w:hAnsi="Verdana"/>
          <w:sz w:val="24"/>
          <w:szCs w:val="24"/>
        </w:rPr>
        <w:t xml:space="preserve"> These were first introduced to England &amp; Wales in 1991.</w:t>
      </w:r>
      <w:r w:rsidR="00DA375E" w:rsidRPr="00105456">
        <w:rPr>
          <w:rStyle w:val="EndnoteReference"/>
          <w:rFonts w:ascii="Verdana" w:hAnsi="Verdana"/>
          <w:sz w:val="24"/>
          <w:szCs w:val="24"/>
        </w:rPr>
        <w:endnoteReference w:id="105"/>
      </w:r>
      <w:r w:rsidR="00B70F15" w:rsidRPr="00105456">
        <w:rPr>
          <w:rFonts w:ascii="Verdana" w:hAnsi="Verdana"/>
          <w:sz w:val="24"/>
          <w:szCs w:val="24"/>
        </w:rPr>
        <w:t xml:space="preserve"> Whilst </w:t>
      </w:r>
      <w:r w:rsidR="00DA375E" w:rsidRPr="00105456">
        <w:rPr>
          <w:rFonts w:ascii="Verdana" w:hAnsi="Verdana"/>
          <w:sz w:val="24"/>
          <w:szCs w:val="24"/>
        </w:rPr>
        <w:t xml:space="preserve">there are </w:t>
      </w:r>
      <w:r w:rsidR="00B70F15" w:rsidRPr="00105456">
        <w:rPr>
          <w:rFonts w:ascii="Verdana" w:hAnsi="Verdana"/>
          <w:sz w:val="24"/>
          <w:szCs w:val="24"/>
        </w:rPr>
        <w:t>plans to introduce time limits in th</w:t>
      </w:r>
      <w:r>
        <w:rPr>
          <w:rFonts w:ascii="Verdana" w:hAnsi="Verdana"/>
          <w:sz w:val="24"/>
          <w:szCs w:val="24"/>
        </w:rPr>
        <w:t>e Youth C</w:t>
      </w:r>
      <w:r w:rsidR="00B70F15" w:rsidRPr="00105456">
        <w:rPr>
          <w:rFonts w:ascii="Verdana" w:hAnsi="Verdana"/>
          <w:sz w:val="24"/>
          <w:szCs w:val="24"/>
        </w:rPr>
        <w:t>ourt these will not apply from arrest to disposal as recommended by the Prison Review Team and provide a significant number of exceptions allowing for extension.</w:t>
      </w:r>
      <w:r w:rsidR="00B70F15" w:rsidRPr="00105456">
        <w:rPr>
          <w:rStyle w:val="EndnoteReference"/>
          <w:rFonts w:ascii="Verdana" w:hAnsi="Verdana"/>
          <w:sz w:val="24"/>
          <w:szCs w:val="24"/>
        </w:rPr>
        <w:endnoteReference w:id="106"/>
      </w:r>
      <w:r w:rsidR="00B70F15" w:rsidRPr="00105456">
        <w:rPr>
          <w:rFonts w:ascii="Verdana" w:hAnsi="Verdana"/>
          <w:sz w:val="24"/>
          <w:szCs w:val="24"/>
        </w:rPr>
        <w:t xml:space="preserve"> In relation to the failure to introduce time limits Brendan </w:t>
      </w:r>
      <w:proofErr w:type="spellStart"/>
      <w:r w:rsidR="00B70F15" w:rsidRPr="00105456">
        <w:rPr>
          <w:rFonts w:ascii="Verdana" w:hAnsi="Verdana"/>
          <w:sz w:val="24"/>
          <w:szCs w:val="24"/>
        </w:rPr>
        <w:t>McGuigan</w:t>
      </w:r>
      <w:proofErr w:type="spellEnd"/>
      <w:r w:rsidR="00B70F15" w:rsidRPr="00105456">
        <w:rPr>
          <w:rFonts w:ascii="Verdana" w:hAnsi="Verdana"/>
          <w:sz w:val="24"/>
          <w:szCs w:val="24"/>
        </w:rPr>
        <w:t xml:space="preserve"> Criminal Justice Inspector for </w:t>
      </w:r>
      <w:r w:rsidR="001A4EED" w:rsidRPr="00105456">
        <w:rPr>
          <w:rFonts w:ascii="Verdana" w:hAnsi="Verdana"/>
          <w:sz w:val="24"/>
          <w:szCs w:val="24"/>
        </w:rPr>
        <w:t>NI</w:t>
      </w:r>
      <w:r w:rsidR="00B70F15" w:rsidRPr="00105456">
        <w:rPr>
          <w:rFonts w:ascii="Verdana" w:hAnsi="Verdana"/>
          <w:sz w:val="24"/>
          <w:szCs w:val="24"/>
        </w:rPr>
        <w:t xml:space="preserve"> stated: </w:t>
      </w:r>
      <w:r w:rsidR="00B70F15" w:rsidRPr="00105456">
        <w:rPr>
          <w:rFonts w:ascii="Verdana" w:hAnsi="Verdana"/>
          <w:i/>
          <w:sz w:val="24"/>
          <w:szCs w:val="24"/>
        </w:rPr>
        <w:t>“it consigns the justice process here to continuing unacceptable delay in processing cases”.</w:t>
      </w:r>
      <w:r w:rsidR="00B70F15" w:rsidRPr="00105456">
        <w:rPr>
          <w:rFonts w:ascii="Verdana" w:hAnsi="Verdana"/>
          <w:sz w:val="24"/>
          <w:szCs w:val="24"/>
        </w:rPr>
        <w:t xml:space="preserve"> </w:t>
      </w:r>
      <w:r w:rsidR="00B70F15" w:rsidRPr="00105456">
        <w:rPr>
          <w:rStyle w:val="EndnoteReference"/>
          <w:rFonts w:ascii="Verdana" w:hAnsi="Verdana"/>
          <w:sz w:val="24"/>
          <w:szCs w:val="24"/>
        </w:rPr>
        <w:endnoteReference w:id="107"/>
      </w:r>
    </w:p>
    <w:p w:rsidR="00B70F15" w:rsidRPr="00105456" w:rsidRDefault="00B70F15" w:rsidP="00105456">
      <w:pPr>
        <w:pStyle w:val="NoSpacing"/>
        <w:rPr>
          <w:rFonts w:ascii="Verdana" w:hAnsi="Verdana"/>
          <w:sz w:val="24"/>
          <w:szCs w:val="24"/>
        </w:rPr>
      </w:pPr>
    </w:p>
    <w:p w:rsidR="00B70F15" w:rsidRPr="00105456" w:rsidRDefault="00B70F15" w:rsidP="00105456">
      <w:pPr>
        <w:pStyle w:val="NoSpacing"/>
        <w:rPr>
          <w:rFonts w:ascii="Verdana" w:hAnsi="Verdana"/>
          <w:b/>
          <w:sz w:val="24"/>
          <w:szCs w:val="24"/>
        </w:rPr>
      </w:pPr>
      <w:r w:rsidRPr="00105456">
        <w:rPr>
          <w:rFonts w:ascii="Verdana" w:hAnsi="Verdana"/>
          <w:b/>
          <w:sz w:val="24"/>
          <w:szCs w:val="24"/>
        </w:rPr>
        <w:t xml:space="preserve">The Committee may wish to recommend that concrete measures are introduced to reduce the levels of avoidable delay in the criminal justice system in </w:t>
      </w:r>
      <w:r w:rsidR="001A4EED" w:rsidRPr="00105456">
        <w:rPr>
          <w:rFonts w:ascii="Verdana" w:hAnsi="Verdana"/>
          <w:b/>
          <w:sz w:val="24"/>
          <w:szCs w:val="24"/>
        </w:rPr>
        <w:t>NI</w:t>
      </w:r>
      <w:r w:rsidRPr="00105456">
        <w:rPr>
          <w:rFonts w:ascii="Verdana" w:hAnsi="Verdana"/>
          <w:b/>
          <w:sz w:val="24"/>
          <w:szCs w:val="24"/>
        </w:rPr>
        <w:t xml:space="preserve">. </w:t>
      </w:r>
    </w:p>
    <w:p w:rsidR="00B70F15" w:rsidRPr="00105456" w:rsidRDefault="00B70F15" w:rsidP="00CE0D00">
      <w:pPr>
        <w:pStyle w:val="NoSpacing"/>
        <w:rPr>
          <w:rFonts w:ascii="Verdana" w:hAnsi="Verdana"/>
          <w:b/>
          <w:sz w:val="24"/>
          <w:szCs w:val="24"/>
        </w:rPr>
      </w:pPr>
    </w:p>
    <w:p w:rsidR="00B70F15" w:rsidRDefault="00B70F15" w:rsidP="00105456">
      <w:pPr>
        <w:pStyle w:val="NoSpacing"/>
        <w:rPr>
          <w:rFonts w:ascii="Verdana" w:hAnsi="Verdana"/>
          <w:i/>
          <w:sz w:val="24"/>
          <w:szCs w:val="24"/>
        </w:rPr>
      </w:pPr>
      <w:r w:rsidRPr="00105456">
        <w:rPr>
          <w:rFonts w:ascii="Verdana" w:hAnsi="Verdana"/>
          <w:i/>
          <w:sz w:val="24"/>
          <w:szCs w:val="24"/>
        </w:rPr>
        <w:t>Compensation (Paragraph 23 List of Issues)</w:t>
      </w:r>
    </w:p>
    <w:p w:rsidR="00EF3C23" w:rsidRPr="00105456" w:rsidRDefault="00EF3C23" w:rsidP="00105456">
      <w:pPr>
        <w:pStyle w:val="NoSpacing"/>
        <w:rPr>
          <w:rFonts w:ascii="Verdana" w:hAnsi="Verdana"/>
          <w:i/>
          <w:sz w:val="24"/>
          <w:szCs w:val="24"/>
        </w:rPr>
      </w:pPr>
    </w:p>
    <w:p w:rsidR="00B70F15" w:rsidRPr="00105456" w:rsidRDefault="00EF3C23" w:rsidP="00105456">
      <w:pPr>
        <w:pStyle w:val="NoSpacing"/>
        <w:rPr>
          <w:rFonts w:ascii="Verdana" w:hAnsi="Verdana"/>
          <w:bCs/>
          <w:sz w:val="24"/>
          <w:szCs w:val="24"/>
        </w:rPr>
      </w:pPr>
      <w:r>
        <w:rPr>
          <w:rFonts w:ascii="Verdana" w:hAnsi="Verdana"/>
          <w:sz w:val="24"/>
          <w:szCs w:val="24"/>
        </w:rPr>
        <w:t xml:space="preserve">9.4 </w:t>
      </w:r>
      <w:r w:rsidR="00B70F15" w:rsidRPr="00105456">
        <w:rPr>
          <w:rFonts w:ascii="Verdana" w:hAnsi="Verdana"/>
          <w:sz w:val="24"/>
          <w:szCs w:val="24"/>
        </w:rPr>
        <w:t>Prior to its amendment the Criminal Justice Act 1988 afforded the UK courts discretion to define a ‘miscarriage of justice’. In the case R (Adams) v. Secretary of State for Justice the Supreme Court ruled that:</w:t>
      </w:r>
      <w:r w:rsidR="00B70F15" w:rsidRPr="00105456">
        <w:rPr>
          <w:rFonts w:ascii="Verdana" w:hAnsi="Verdana"/>
          <w:i/>
          <w:sz w:val="24"/>
          <w:szCs w:val="24"/>
        </w:rPr>
        <w:t xml:space="preserve"> “A new fact will show that a miscarriage of justice has occurred when it so undermines the evidence against the defendant that no conviction could possibly </w:t>
      </w:r>
      <w:proofErr w:type="gramStart"/>
      <w:r w:rsidR="00B70F15" w:rsidRPr="00105456">
        <w:rPr>
          <w:rFonts w:ascii="Verdana" w:hAnsi="Verdana"/>
          <w:i/>
          <w:sz w:val="24"/>
          <w:szCs w:val="24"/>
        </w:rPr>
        <w:t>be</w:t>
      </w:r>
      <w:proofErr w:type="gramEnd"/>
      <w:r w:rsidR="00B70F15" w:rsidRPr="00105456">
        <w:rPr>
          <w:rFonts w:ascii="Verdana" w:hAnsi="Verdana"/>
          <w:i/>
          <w:sz w:val="24"/>
          <w:szCs w:val="24"/>
        </w:rPr>
        <w:t xml:space="preserve"> based upon it”.</w:t>
      </w:r>
      <w:r w:rsidR="00B70F15" w:rsidRPr="00105456">
        <w:rPr>
          <w:rFonts w:ascii="Verdana" w:hAnsi="Verdana"/>
          <w:i/>
          <w:sz w:val="24"/>
          <w:szCs w:val="24"/>
          <w:vertAlign w:val="superscript"/>
        </w:rPr>
        <w:endnoteReference w:id="108"/>
      </w:r>
      <w:r w:rsidR="00B70F15" w:rsidRPr="00105456">
        <w:rPr>
          <w:rFonts w:ascii="Verdana" w:hAnsi="Verdana"/>
          <w:sz w:val="24"/>
          <w:szCs w:val="24"/>
        </w:rPr>
        <w:t xml:space="preserve"> The Anti-Social Behaviour, Crime and Policing Act 2014 </w:t>
      </w:r>
      <w:proofErr w:type="gramStart"/>
      <w:r w:rsidR="00B70F15" w:rsidRPr="00105456">
        <w:rPr>
          <w:rFonts w:ascii="Verdana" w:hAnsi="Verdana"/>
          <w:sz w:val="24"/>
          <w:szCs w:val="24"/>
        </w:rPr>
        <w:t>has</w:t>
      </w:r>
      <w:proofErr w:type="gramEnd"/>
      <w:r w:rsidR="00B70F15" w:rsidRPr="00105456">
        <w:rPr>
          <w:rFonts w:ascii="Verdana" w:hAnsi="Verdana"/>
          <w:sz w:val="24"/>
          <w:szCs w:val="24"/>
        </w:rPr>
        <w:t xml:space="preserve"> amended the 1998 Act to require that a miscarriage of justice exists </w:t>
      </w:r>
      <w:r w:rsidR="00B70F15" w:rsidRPr="00105456">
        <w:rPr>
          <w:rFonts w:ascii="Verdana" w:hAnsi="Verdana"/>
          <w:bCs/>
          <w:i/>
          <w:sz w:val="24"/>
          <w:szCs w:val="24"/>
        </w:rPr>
        <w:t>‘if and only if the new or newly discovered fact shows beyond reasonable doubt that the person did not commit the offence’.</w:t>
      </w:r>
      <w:r w:rsidR="00B70F15" w:rsidRPr="00105456">
        <w:rPr>
          <w:rFonts w:ascii="Verdana" w:hAnsi="Verdana"/>
          <w:bCs/>
          <w:sz w:val="24"/>
          <w:szCs w:val="24"/>
        </w:rPr>
        <w:t xml:space="preserve"> </w:t>
      </w:r>
    </w:p>
    <w:p w:rsidR="00B70F15" w:rsidRPr="00105456" w:rsidRDefault="00B70F15" w:rsidP="00105456">
      <w:pPr>
        <w:pStyle w:val="NoSpacing"/>
        <w:rPr>
          <w:rFonts w:ascii="Verdana" w:hAnsi="Verdana"/>
          <w:bCs/>
          <w:sz w:val="24"/>
          <w:szCs w:val="24"/>
        </w:rPr>
      </w:pPr>
      <w:r w:rsidRPr="00105456">
        <w:rPr>
          <w:rFonts w:ascii="Verdana" w:hAnsi="Verdana"/>
          <w:bCs/>
          <w:sz w:val="24"/>
          <w:szCs w:val="24"/>
        </w:rPr>
        <w:t xml:space="preserve">In delivering his judgement in R (Adams) Lord Philips noted that: </w:t>
      </w:r>
    </w:p>
    <w:p w:rsidR="00B70F15" w:rsidRDefault="00B70F15" w:rsidP="00105456">
      <w:pPr>
        <w:pStyle w:val="NoSpacing"/>
        <w:rPr>
          <w:rFonts w:ascii="Verdana" w:hAnsi="Verdana"/>
          <w:sz w:val="24"/>
          <w:szCs w:val="24"/>
        </w:rPr>
      </w:pPr>
      <w:r w:rsidRPr="00105456">
        <w:rPr>
          <w:rFonts w:ascii="Verdana" w:hAnsi="Verdana"/>
          <w:bCs/>
          <w:i/>
          <w:sz w:val="24"/>
          <w:szCs w:val="24"/>
        </w:rPr>
        <w:t>“</w:t>
      </w:r>
      <w:bookmarkStart w:id="0" w:name="para23"/>
      <w:r w:rsidRPr="00105456">
        <w:rPr>
          <w:rFonts w:ascii="Verdana" w:hAnsi="Verdana"/>
          <w:i/>
          <w:sz w:val="24"/>
          <w:szCs w:val="24"/>
        </w:rPr>
        <w:t xml:space="preserve">The </w:t>
      </w:r>
      <w:proofErr w:type="spellStart"/>
      <w:r w:rsidRPr="00105456">
        <w:rPr>
          <w:rFonts w:ascii="Verdana" w:hAnsi="Verdana"/>
          <w:i/>
          <w:sz w:val="24"/>
          <w:szCs w:val="24"/>
        </w:rPr>
        <w:t>travaux</w:t>
      </w:r>
      <w:proofErr w:type="spellEnd"/>
      <w:r w:rsidRPr="00105456">
        <w:rPr>
          <w:rFonts w:ascii="Verdana" w:hAnsi="Verdana"/>
          <w:i/>
          <w:sz w:val="24"/>
          <w:szCs w:val="24"/>
        </w:rPr>
        <w:t xml:space="preserve"> [to the ICCPR] clearly demonstrate that the parties intended article 14(6) to cover the situation where a newly discovered fact demonstrated conclusively that the defendant was innocent of the crime of which he had been convicted. They were not, however, prepared to agree an interpretation which restricted the ambit of article 14(6) to this situation.</w:t>
      </w:r>
      <w:bookmarkEnd w:id="0"/>
      <w:r w:rsidRPr="00105456">
        <w:rPr>
          <w:rFonts w:ascii="Verdana" w:hAnsi="Verdana"/>
          <w:i/>
          <w:sz w:val="24"/>
          <w:szCs w:val="24"/>
        </w:rPr>
        <w:t>”</w:t>
      </w:r>
      <w:r w:rsidRPr="00105456">
        <w:rPr>
          <w:rFonts w:ascii="Verdana" w:hAnsi="Verdana"/>
          <w:i/>
          <w:sz w:val="24"/>
          <w:szCs w:val="24"/>
          <w:vertAlign w:val="superscript"/>
        </w:rPr>
        <w:endnoteReference w:id="109"/>
      </w:r>
      <w:r w:rsidR="00EF3C23">
        <w:rPr>
          <w:rFonts w:ascii="Verdana" w:hAnsi="Verdana"/>
          <w:i/>
          <w:sz w:val="24"/>
          <w:szCs w:val="24"/>
        </w:rPr>
        <w:t xml:space="preserve"> </w:t>
      </w:r>
      <w:r w:rsidRPr="00105456">
        <w:rPr>
          <w:rFonts w:ascii="Verdana" w:hAnsi="Verdana"/>
          <w:sz w:val="24"/>
          <w:szCs w:val="24"/>
        </w:rPr>
        <w:t>The Commission notes that the Committee’s General Comment on Article 14 does not define the</w:t>
      </w:r>
      <w:r w:rsidR="00076BA3" w:rsidRPr="00105456">
        <w:rPr>
          <w:rFonts w:ascii="Verdana" w:hAnsi="Verdana"/>
          <w:sz w:val="24"/>
          <w:szCs w:val="24"/>
        </w:rPr>
        <w:t xml:space="preserve"> term ‘miscarriage of justice’.</w:t>
      </w:r>
      <w:r w:rsidRPr="00105456">
        <w:rPr>
          <w:rFonts w:ascii="Verdana" w:hAnsi="Verdana"/>
          <w:sz w:val="24"/>
          <w:szCs w:val="24"/>
          <w:vertAlign w:val="superscript"/>
        </w:rPr>
        <w:endnoteReference w:id="110"/>
      </w:r>
    </w:p>
    <w:p w:rsidR="00EF3C23" w:rsidRPr="00EF3C23" w:rsidRDefault="00EF3C23" w:rsidP="00105456">
      <w:pPr>
        <w:pStyle w:val="NoSpacing"/>
        <w:rPr>
          <w:rFonts w:ascii="Verdana" w:hAnsi="Verdana"/>
          <w:i/>
          <w:sz w:val="24"/>
          <w:szCs w:val="24"/>
        </w:rPr>
      </w:pPr>
    </w:p>
    <w:p w:rsidR="00B70F15" w:rsidRDefault="00B70F15" w:rsidP="00105456">
      <w:pPr>
        <w:pStyle w:val="NoSpacing"/>
        <w:rPr>
          <w:rFonts w:ascii="Verdana" w:hAnsi="Verdana"/>
          <w:b/>
          <w:sz w:val="24"/>
          <w:szCs w:val="24"/>
        </w:rPr>
      </w:pPr>
      <w:r w:rsidRPr="00105456">
        <w:rPr>
          <w:rFonts w:ascii="Verdana" w:hAnsi="Verdana"/>
          <w:b/>
          <w:sz w:val="24"/>
          <w:szCs w:val="24"/>
        </w:rPr>
        <w:t xml:space="preserve">The Committee may wish to recommend that the State Party assess the compatibility of the new test for a miscarriage of justice with Article 14 (6) of the ICCPR. </w:t>
      </w:r>
    </w:p>
    <w:p w:rsidR="00EF3C23" w:rsidRPr="00105456" w:rsidRDefault="00EF3C23" w:rsidP="00105456">
      <w:pPr>
        <w:pStyle w:val="NoSpacing"/>
        <w:rPr>
          <w:rFonts w:ascii="Verdana" w:hAnsi="Verdana"/>
          <w:b/>
          <w:sz w:val="24"/>
          <w:szCs w:val="24"/>
        </w:rPr>
      </w:pPr>
    </w:p>
    <w:p w:rsidR="00B70F15" w:rsidRPr="00105456" w:rsidRDefault="00B70F15" w:rsidP="00CE0D00">
      <w:pPr>
        <w:pStyle w:val="NoSpacing"/>
        <w:rPr>
          <w:rFonts w:ascii="Verdana" w:hAnsi="Verdana"/>
          <w:i/>
          <w:sz w:val="24"/>
          <w:szCs w:val="24"/>
        </w:rPr>
      </w:pPr>
      <w:r w:rsidRPr="00105456">
        <w:rPr>
          <w:rFonts w:ascii="Verdana" w:hAnsi="Verdana"/>
          <w:i/>
          <w:sz w:val="24"/>
          <w:szCs w:val="24"/>
        </w:rPr>
        <w:t xml:space="preserve">Age of Criminal Responsibility (Paragraph 25 List of Issues) </w:t>
      </w:r>
    </w:p>
    <w:p w:rsidR="00B70F15" w:rsidRPr="00105456" w:rsidRDefault="00B70F15" w:rsidP="00CE0D00">
      <w:pPr>
        <w:pStyle w:val="NoSpacing"/>
        <w:rPr>
          <w:rFonts w:ascii="Verdana" w:hAnsi="Verdana"/>
          <w:sz w:val="24"/>
          <w:szCs w:val="24"/>
        </w:rPr>
      </w:pPr>
    </w:p>
    <w:p w:rsidR="00B70F15" w:rsidRPr="00105456" w:rsidRDefault="00EF3C23" w:rsidP="00105456">
      <w:pPr>
        <w:pStyle w:val="NoSpacing"/>
        <w:rPr>
          <w:rFonts w:ascii="Verdana" w:hAnsi="Verdana"/>
          <w:sz w:val="24"/>
          <w:szCs w:val="24"/>
        </w:rPr>
      </w:pPr>
      <w:r>
        <w:rPr>
          <w:rFonts w:ascii="Verdana" w:hAnsi="Verdana"/>
          <w:sz w:val="24"/>
          <w:szCs w:val="24"/>
        </w:rPr>
        <w:t xml:space="preserve">9.5 </w:t>
      </w:r>
      <w:r w:rsidR="00B70F15" w:rsidRPr="00105456">
        <w:rPr>
          <w:rFonts w:ascii="Verdana" w:hAnsi="Verdana"/>
          <w:sz w:val="24"/>
          <w:szCs w:val="24"/>
        </w:rPr>
        <w:t xml:space="preserve">The Commission notes the position of the UK Government on the minimum age of criminal responsibility. The Minister of Justice for </w:t>
      </w:r>
      <w:r w:rsidR="001A4EED" w:rsidRPr="00105456">
        <w:rPr>
          <w:rFonts w:ascii="Verdana" w:hAnsi="Verdana"/>
          <w:sz w:val="24"/>
          <w:szCs w:val="24"/>
        </w:rPr>
        <w:t>NI</w:t>
      </w:r>
      <w:r w:rsidR="00B70F15" w:rsidRPr="00105456">
        <w:rPr>
          <w:rFonts w:ascii="Verdana" w:hAnsi="Verdana"/>
          <w:sz w:val="24"/>
          <w:szCs w:val="24"/>
        </w:rPr>
        <w:t xml:space="preserve"> Mr David Ford MLA has publicly stated his support for increasing the age of criminal responsibility to 12.</w:t>
      </w:r>
      <w:r w:rsidR="00B70F15" w:rsidRPr="00105456">
        <w:rPr>
          <w:rStyle w:val="EndnoteReference"/>
          <w:rFonts w:ascii="Verdana" w:hAnsi="Verdana"/>
          <w:sz w:val="24"/>
          <w:szCs w:val="24"/>
        </w:rPr>
        <w:endnoteReference w:id="111"/>
      </w:r>
      <w:r w:rsidR="00B70F15" w:rsidRPr="00105456">
        <w:rPr>
          <w:rFonts w:ascii="Verdana" w:hAnsi="Verdana"/>
          <w:sz w:val="24"/>
          <w:szCs w:val="24"/>
        </w:rPr>
        <w:t xml:space="preserve"> However</w:t>
      </w:r>
      <w:r w:rsidR="00D74DBB" w:rsidRPr="00105456">
        <w:rPr>
          <w:rFonts w:ascii="Verdana" w:hAnsi="Verdana"/>
          <w:sz w:val="24"/>
          <w:szCs w:val="24"/>
        </w:rPr>
        <w:t>,</w:t>
      </w:r>
      <w:r w:rsidR="00B70F15" w:rsidRPr="00105456">
        <w:rPr>
          <w:rFonts w:ascii="Verdana" w:hAnsi="Verdana"/>
          <w:sz w:val="24"/>
          <w:szCs w:val="24"/>
        </w:rPr>
        <w:t xml:space="preserve"> as acknowledg</w:t>
      </w:r>
      <w:r w:rsidR="000F6AFF" w:rsidRPr="00105456">
        <w:rPr>
          <w:rFonts w:ascii="Verdana" w:hAnsi="Verdana"/>
          <w:sz w:val="24"/>
          <w:szCs w:val="24"/>
        </w:rPr>
        <w:t>ed in the State’s reply to the List of I</w:t>
      </w:r>
      <w:r w:rsidR="00B70F15" w:rsidRPr="00105456">
        <w:rPr>
          <w:rFonts w:ascii="Verdana" w:hAnsi="Verdana"/>
          <w:sz w:val="24"/>
          <w:szCs w:val="24"/>
        </w:rPr>
        <w:t>ssues</w:t>
      </w:r>
      <w:r w:rsidR="00D74DBB" w:rsidRPr="00105456">
        <w:rPr>
          <w:rFonts w:ascii="Verdana" w:hAnsi="Verdana"/>
          <w:sz w:val="24"/>
          <w:szCs w:val="24"/>
        </w:rPr>
        <w:t>,</w:t>
      </w:r>
      <w:r w:rsidR="00B70F15" w:rsidRPr="00105456">
        <w:rPr>
          <w:rFonts w:ascii="Verdana" w:hAnsi="Verdana"/>
          <w:sz w:val="24"/>
          <w:szCs w:val="24"/>
        </w:rPr>
        <w:t xml:space="preserve"> there is no political consensus amongst the political parties within the </w:t>
      </w:r>
      <w:r w:rsidR="001A4EED" w:rsidRPr="00105456">
        <w:rPr>
          <w:rFonts w:ascii="Verdana" w:hAnsi="Verdana"/>
          <w:sz w:val="24"/>
          <w:szCs w:val="24"/>
        </w:rPr>
        <w:t>NI</w:t>
      </w:r>
      <w:r w:rsidR="00B70F15" w:rsidRPr="00105456">
        <w:rPr>
          <w:rFonts w:ascii="Verdana" w:hAnsi="Verdana"/>
          <w:sz w:val="24"/>
          <w:szCs w:val="24"/>
        </w:rPr>
        <w:t xml:space="preserve"> Assembly on this matter.</w:t>
      </w:r>
    </w:p>
    <w:p w:rsidR="00B70F15" w:rsidRPr="00105456" w:rsidRDefault="00B70F15" w:rsidP="00105456">
      <w:pPr>
        <w:pStyle w:val="NoSpacing"/>
        <w:rPr>
          <w:rFonts w:ascii="Verdana" w:hAnsi="Verdana"/>
          <w:sz w:val="24"/>
          <w:szCs w:val="24"/>
        </w:rPr>
      </w:pPr>
    </w:p>
    <w:p w:rsidR="00B70F15" w:rsidRPr="00105456" w:rsidRDefault="00B70F15" w:rsidP="00105456">
      <w:pPr>
        <w:pStyle w:val="NoSpacing"/>
        <w:rPr>
          <w:rFonts w:ascii="Verdana" w:hAnsi="Verdana"/>
          <w:b/>
          <w:sz w:val="24"/>
          <w:szCs w:val="24"/>
        </w:rPr>
      </w:pPr>
      <w:r w:rsidRPr="00105456">
        <w:rPr>
          <w:rFonts w:ascii="Verdana" w:hAnsi="Verdana"/>
          <w:b/>
          <w:sz w:val="24"/>
          <w:szCs w:val="24"/>
        </w:rPr>
        <w:t>The Committee may wish to recommend that the State Party increase the age of criminal responsibility to 12</w:t>
      </w:r>
      <w:r w:rsidR="00D329F0" w:rsidRPr="00105456">
        <w:rPr>
          <w:rFonts w:ascii="Verdana" w:hAnsi="Verdana"/>
          <w:b/>
          <w:sz w:val="24"/>
          <w:szCs w:val="24"/>
        </w:rPr>
        <w:t>, with a view to increasing it to the age of 14</w:t>
      </w:r>
      <w:r w:rsidRPr="00105456">
        <w:rPr>
          <w:rFonts w:ascii="Verdana" w:hAnsi="Verdana"/>
          <w:b/>
          <w:sz w:val="24"/>
          <w:szCs w:val="24"/>
        </w:rPr>
        <w:t xml:space="preserve">. </w:t>
      </w:r>
    </w:p>
    <w:p w:rsidR="00B70F15" w:rsidRPr="00105456" w:rsidRDefault="00B70F15" w:rsidP="00CE0D00">
      <w:pPr>
        <w:pStyle w:val="NoSpacing"/>
        <w:rPr>
          <w:rFonts w:ascii="Verdana" w:hAnsi="Verdana"/>
          <w:sz w:val="24"/>
          <w:szCs w:val="24"/>
        </w:rPr>
      </w:pPr>
    </w:p>
    <w:p w:rsidR="00B70F15" w:rsidRPr="00105456" w:rsidRDefault="00B70F15" w:rsidP="00CE0D00">
      <w:pPr>
        <w:pStyle w:val="NoSpacing"/>
        <w:rPr>
          <w:rFonts w:ascii="Verdana" w:hAnsi="Verdana"/>
          <w:i/>
          <w:sz w:val="24"/>
          <w:szCs w:val="24"/>
        </w:rPr>
      </w:pPr>
      <w:r w:rsidRPr="00105456">
        <w:rPr>
          <w:rFonts w:ascii="Verdana" w:hAnsi="Verdana"/>
          <w:i/>
          <w:sz w:val="24"/>
          <w:szCs w:val="24"/>
        </w:rPr>
        <w:t>Overuse of remand in custody of child defendants (Paragraph 25 List of Issues)</w:t>
      </w:r>
    </w:p>
    <w:p w:rsidR="00B70F15" w:rsidRPr="00105456" w:rsidRDefault="00B70F15" w:rsidP="00105456">
      <w:pPr>
        <w:pStyle w:val="NoSpacing"/>
        <w:rPr>
          <w:rFonts w:ascii="Verdana" w:hAnsi="Verdana"/>
          <w:sz w:val="24"/>
          <w:szCs w:val="24"/>
        </w:rPr>
      </w:pPr>
    </w:p>
    <w:p w:rsidR="00B70F15" w:rsidRPr="00105456" w:rsidRDefault="00EF3C23" w:rsidP="00105456">
      <w:pPr>
        <w:pStyle w:val="NoSpacing"/>
        <w:rPr>
          <w:rFonts w:ascii="Verdana" w:hAnsi="Verdana"/>
          <w:sz w:val="24"/>
          <w:szCs w:val="24"/>
        </w:rPr>
      </w:pPr>
      <w:r>
        <w:rPr>
          <w:rFonts w:ascii="Verdana" w:hAnsi="Verdana"/>
          <w:sz w:val="24"/>
          <w:szCs w:val="24"/>
        </w:rPr>
        <w:t xml:space="preserve">9.6 </w:t>
      </w:r>
      <w:r w:rsidR="00B70F15" w:rsidRPr="00105456">
        <w:rPr>
          <w:rFonts w:ascii="Verdana" w:hAnsi="Verdana"/>
          <w:sz w:val="24"/>
          <w:szCs w:val="24"/>
        </w:rPr>
        <w:t xml:space="preserve">The Commission notes that the State Party has not responded to the Committee’s question relating to the remand of child defendants. The State has not provided any information on measures taken to address the </w:t>
      </w:r>
      <w:r w:rsidR="00B70F15" w:rsidRPr="00105456">
        <w:rPr>
          <w:rFonts w:ascii="Verdana" w:hAnsi="Verdana"/>
          <w:iCs/>
          <w:sz w:val="24"/>
          <w:szCs w:val="24"/>
        </w:rPr>
        <w:t xml:space="preserve">gap in the provision of suitable bail packages </w:t>
      </w:r>
      <w:r w:rsidR="00B70F15" w:rsidRPr="00105456">
        <w:rPr>
          <w:rFonts w:ascii="Verdana" w:hAnsi="Verdana"/>
          <w:sz w:val="24"/>
          <w:szCs w:val="24"/>
        </w:rPr>
        <w:t xml:space="preserve">for child offenders. </w:t>
      </w:r>
    </w:p>
    <w:p w:rsidR="00B70F15" w:rsidRPr="00105456" w:rsidRDefault="00B70F15" w:rsidP="00105456">
      <w:pPr>
        <w:pStyle w:val="NoSpacing"/>
        <w:rPr>
          <w:rFonts w:ascii="Verdana" w:hAnsi="Verdana"/>
          <w:sz w:val="24"/>
          <w:szCs w:val="24"/>
        </w:rPr>
      </w:pPr>
    </w:p>
    <w:p w:rsidR="00BD276C" w:rsidRPr="00440C48" w:rsidRDefault="00B70F15" w:rsidP="00CE0D00">
      <w:pPr>
        <w:pStyle w:val="NoSpacing"/>
        <w:rPr>
          <w:rFonts w:ascii="Verdana" w:hAnsi="Verdana"/>
          <w:b/>
          <w:sz w:val="24"/>
          <w:szCs w:val="24"/>
        </w:rPr>
      </w:pPr>
      <w:r w:rsidRPr="00105456">
        <w:rPr>
          <w:rFonts w:ascii="Verdana" w:hAnsi="Verdana"/>
          <w:b/>
          <w:sz w:val="24"/>
          <w:szCs w:val="24"/>
        </w:rPr>
        <w:t xml:space="preserve">The Committee may wish to recommend that the State Party take measures to ensure a suitable range of bail packages for child defendants are in place </w:t>
      </w:r>
      <w:r w:rsidR="00EF3C23">
        <w:rPr>
          <w:rFonts w:ascii="Verdana" w:hAnsi="Verdana"/>
          <w:b/>
          <w:sz w:val="24"/>
          <w:szCs w:val="24"/>
        </w:rPr>
        <w:t xml:space="preserve">in NI </w:t>
      </w:r>
      <w:r w:rsidRPr="00105456">
        <w:rPr>
          <w:rFonts w:ascii="Verdana" w:hAnsi="Verdana"/>
          <w:b/>
          <w:sz w:val="24"/>
          <w:szCs w:val="24"/>
        </w:rPr>
        <w:t>to ensure that custody is used as a measure of last resort.</w:t>
      </w:r>
      <w:r w:rsidR="00440C48">
        <w:rPr>
          <w:rFonts w:ascii="Verdana" w:hAnsi="Verdana"/>
          <w:b/>
          <w:sz w:val="24"/>
          <w:szCs w:val="24"/>
        </w:rPr>
        <w:t xml:space="preserve"> </w:t>
      </w:r>
    </w:p>
    <w:p w:rsidR="00F07B5B" w:rsidRDefault="00F07B5B" w:rsidP="00CE0D00">
      <w:pPr>
        <w:pStyle w:val="NoSpacing"/>
        <w:rPr>
          <w:rFonts w:ascii="Verdana" w:hAnsi="Verdana"/>
          <w:b/>
          <w:sz w:val="24"/>
          <w:szCs w:val="24"/>
          <w:u w:val="single"/>
        </w:rPr>
      </w:pPr>
    </w:p>
    <w:p w:rsidR="00B70F15" w:rsidRPr="00105456" w:rsidRDefault="00B70F15" w:rsidP="00CE0D00">
      <w:pPr>
        <w:pStyle w:val="NoSpacing"/>
        <w:rPr>
          <w:rFonts w:ascii="Verdana" w:hAnsi="Verdana"/>
          <w:b/>
          <w:sz w:val="24"/>
          <w:szCs w:val="24"/>
          <w:u w:val="single"/>
        </w:rPr>
      </w:pPr>
      <w:r w:rsidRPr="00105456">
        <w:rPr>
          <w:rFonts w:ascii="Verdana" w:hAnsi="Verdana"/>
          <w:b/>
          <w:sz w:val="24"/>
          <w:szCs w:val="24"/>
          <w:u w:val="single"/>
        </w:rPr>
        <w:t xml:space="preserve">Freedom of conscience and religious belief, freedom of expression, peaceful assembly and freedom of association (arts, 18, 19, 21 and 22) </w:t>
      </w:r>
    </w:p>
    <w:p w:rsidR="00B70F15" w:rsidRPr="00105456" w:rsidRDefault="00B70F15" w:rsidP="00105456">
      <w:pPr>
        <w:pStyle w:val="NoSpacing"/>
        <w:rPr>
          <w:rFonts w:ascii="Verdana" w:hAnsi="Verdana"/>
          <w:b/>
          <w:sz w:val="24"/>
          <w:szCs w:val="24"/>
          <w:u w:val="single"/>
        </w:rPr>
      </w:pPr>
    </w:p>
    <w:p w:rsidR="0039251D" w:rsidRPr="00105456" w:rsidRDefault="00EF3C23" w:rsidP="00105456">
      <w:pPr>
        <w:pStyle w:val="NoSpacing"/>
        <w:rPr>
          <w:rFonts w:ascii="Verdana" w:hAnsi="Verdana"/>
          <w:sz w:val="24"/>
          <w:szCs w:val="24"/>
        </w:rPr>
      </w:pPr>
      <w:r>
        <w:rPr>
          <w:rFonts w:ascii="Verdana" w:hAnsi="Verdana"/>
          <w:sz w:val="24"/>
          <w:szCs w:val="24"/>
        </w:rPr>
        <w:t xml:space="preserve">10.1 </w:t>
      </w:r>
      <w:r w:rsidR="00B70F15" w:rsidRPr="00105456">
        <w:rPr>
          <w:rFonts w:ascii="Verdana" w:hAnsi="Verdana"/>
          <w:sz w:val="24"/>
          <w:szCs w:val="24"/>
        </w:rPr>
        <w:t xml:space="preserve">The State’s reply to paragraph 29 of the List of Issues refers to a consultation exercise on defamation law that was conducted by the </w:t>
      </w:r>
      <w:r w:rsidR="00076BA3" w:rsidRPr="00105456">
        <w:rPr>
          <w:rFonts w:ascii="Verdana" w:hAnsi="Verdana"/>
          <w:sz w:val="24"/>
          <w:szCs w:val="24"/>
        </w:rPr>
        <w:t xml:space="preserve">NI </w:t>
      </w:r>
      <w:r w:rsidR="00B70F15" w:rsidRPr="00105456">
        <w:rPr>
          <w:rFonts w:ascii="Verdana" w:hAnsi="Verdana"/>
          <w:sz w:val="24"/>
          <w:szCs w:val="24"/>
        </w:rPr>
        <w:t>Law Commission.</w:t>
      </w:r>
      <w:r w:rsidR="0039251D" w:rsidRPr="00105456">
        <w:rPr>
          <w:rStyle w:val="EndnoteReference"/>
          <w:rFonts w:ascii="Verdana" w:hAnsi="Verdana"/>
          <w:sz w:val="24"/>
          <w:szCs w:val="24"/>
        </w:rPr>
        <w:endnoteReference w:id="112"/>
      </w:r>
      <w:r w:rsidR="00B70F15" w:rsidRPr="00105456">
        <w:rPr>
          <w:rFonts w:ascii="Verdana" w:hAnsi="Verdana"/>
          <w:sz w:val="24"/>
          <w:szCs w:val="24"/>
        </w:rPr>
        <w:t xml:space="preserve"> The consultation document did not contain information on the common law offences of blasphemy and blasphemous libel. </w:t>
      </w:r>
    </w:p>
    <w:p w:rsidR="0039251D" w:rsidRPr="00105456" w:rsidRDefault="0039251D" w:rsidP="00105456">
      <w:pPr>
        <w:pStyle w:val="NoSpacing"/>
        <w:rPr>
          <w:rFonts w:ascii="Verdana" w:hAnsi="Verdana"/>
          <w:sz w:val="24"/>
          <w:szCs w:val="24"/>
        </w:rPr>
      </w:pPr>
    </w:p>
    <w:p w:rsidR="00B70F15" w:rsidRPr="00105456" w:rsidRDefault="00EF3C23" w:rsidP="00105456">
      <w:pPr>
        <w:pStyle w:val="NoSpacing"/>
        <w:rPr>
          <w:rFonts w:ascii="Verdana" w:hAnsi="Verdana"/>
          <w:sz w:val="24"/>
          <w:szCs w:val="24"/>
        </w:rPr>
      </w:pPr>
      <w:r>
        <w:rPr>
          <w:rFonts w:ascii="Verdana" w:hAnsi="Verdana"/>
          <w:sz w:val="24"/>
          <w:szCs w:val="24"/>
        </w:rPr>
        <w:t>10.2</w:t>
      </w:r>
      <w:r w:rsidR="0039251D" w:rsidRPr="00105456">
        <w:rPr>
          <w:rFonts w:ascii="Verdana" w:hAnsi="Verdana"/>
          <w:sz w:val="24"/>
          <w:szCs w:val="24"/>
        </w:rPr>
        <w:t xml:space="preserve">The consultation document </w:t>
      </w:r>
      <w:r w:rsidR="00327AA2" w:rsidRPr="00105456">
        <w:rPr>
          <w:rFonts w:ascii="Verdana" w:hAnsi="Verdana"/>
          <w:sz w:val="24"/>
          <w:szCs w:val="24"/>
        </w:rPr>
        <w:t>considered</w:t>
      </w:r>
      <w:r w:rsidR="0039251D" w:rsidRPr="00105456">
        <w:rPr>
          <w:rFonts w:ascii="Verdana" w:hAnsi="Verdana"/>
          <w:sz w:val="24"/>
          <w:szCs w:val="24"/>
        </w:rPr>
        <w:t xml:space="preserve"> the Defamation Act 2013 and its extension to </w:t>
      </w:r>
      <w:r w:rsidR="001A4EED" w:rsidRPr="00105456">
        <w:rPr>
          <w:rFonts w:ascii="Verdana" w:hAnsi="Verdana"/>
          <w:sz w:val="24"/>
          <w:szCs w:val="24"/>
        </w:rPr>
        <w:t>NI</w:t>
      </w:r>
      <w:r w:rsidR="0039251D" w:rsidRPr="00105456">
        <w:rPr>
          <w:rFonts w:ascii="Verdana" w:hAnsi="Verdana"/>
          <w:sz w:val="24"/>
          <w:szCs w:val="24"/>
        </w:rPr>
        <w:t xml:space="preserve">. A report of the consultation exercise has not been published and is it unclear if one will be produced as </w:t>
      </w:r>
      <w:r w:rsidR="00813B66" w:rsidRPr="00105456">
        <w:rPr>
          <w:rFonts w:ascii="Verdana" w:hAnsi="Verdana"/>
          <w:sz w:val="24"/>
          <w:szCs w:val="24"/>
        </w:rPr>
        <w:t>the NI Law Commission ceased operations in April 2015</w:t>
      </w:r>
      <w:r w:rsidR="0039251D" w:rsidRPr="00105456">
        <w:rPr>
          <w:rFonts w:ascii="Verdana" w:hAnsi="Verdana"/>
          <w:sz w:val="24"/>
          <w:szCs w:val="24"/>
        </w:rPr>
        <w:t>.</w:t>
      </w:r>
      <w:r w:rsidR="0039251D" w:rsidRPr="00105456">
        <w:rPr>
          <w:rStyle w:val="EndnoteReference"/>
          <w:rFonts w:ascii="Verdana" w:hAnsi="Verdana"/>
          <w:sz w:val="24"/>
          <w:szCs w:val="24"/>
        </w:rPr>
        <w:endnoteReference w:id="113"/>
      </w:r>
      <w:r w:rsidR="0039251D" w:rsidRPr="00105456">
        <w:rPr>
          <w:rFonts w:ascii="Verdana" w:hAnsi="Verdana"/>
          <w:sz w:val="24"/>
          <w:szCs w:val="24"/>
        </w:rPr>
        <w:t xml:space="preserve"> </w:t>
      </w:r>
      <w:r w:rsidR="00EF25AD" w:rsidRPr="00105456">
        <w:rPr>
          <w:rFonts w:ascii="Verdana" w:hAnsi="Verdana"/>
          <w:sz w:val="24"/>
          <w:szCs w:val="24"/>
        </w:rPr>
        <w:t>In light of the Committee’s previous recommendation this is a source of concern. The Commission</w:t>
      </w:r>
      <w:r w:rsidR="00AD3A92" w:rsidRPr="00105456">
        <w:rPr>
          <w:rFonts w:ascii="Verdana" w:hAnsi="Verdana"/>
          <w:sz w:val="24"/>
          <w:szCs w:val="24"/>
        </w:rPr>
        <w:t xml:space="preserve"> notes</w:t>
      </w:r>
      <w:r w:rsidR="00EF25AD" w:rsidRPr="00105456">
        <w:rPr>
          <w:rFonts w:ascii="Verdana" w:hAnsi="Verdana"/>
          <w:sz w:val="24"/>
          <w:szCs w:val="24"/>
        </w:rPr>
        <w:t xml:space="preserve"> a </w:t>
      </w:r>
      <w:r w:rsidR="00A0382F" w:rsidRPr="00105456">
        <w:rPr>
          <w:rFonts w:ascii="Verdana" w:hAnsi="Verdana"/>
          <w:sz w:val="24"/>
          <w:szCs w:val="24"/>
        </w:rPr>
        <w:t xml:space="preserve">recent </w:t>
      </w:r>
      <w:r w:rsidR="00EF25AD" w:rsidRPr="00105456">
        <w:rPr>
          <w:rFonts w:ascii="Verdana" w:hAnsi="Verdana"/>
          <w:sz w:val="24"/>
          <w:szCs w:val="24"/>
        </w:rPr>
        <w:t>report from The Observer newspaper that Sky</w:t>
      </w:r>
      <w:r w:rsidR="00AD3A92" w:rsidRPr="00105456">
        <w:rPr>
          <w:rFonts w:ascii="Verdana" w:hAnsi="Verdana"/>
          <w:sz w:val="24"/>
          <w:szCs w:val="24"/>
        </w:rPr>
        <w:t xml:space="preserve"> TV</w:t>
      </w:r>
      <w:r w:rsidR="00EF25AD" w:rsidRPr="00105456">
        <w:rPr>
          <w:rFonts w:ascii="Verdana" w:hAnsi="Verdana"/>
          <w:sz w:val="24"/>
          <w:szCs w:val="24"/>
        </w:rPr>
        <w:t xml:space="preserve"> decided not to broadcast </w:t>
      </w:r>
      <w:r w:rsidR="00EF25AD" w:rsidRPr="00105456">
        <w:rPr>
          <w:rFonts w:ascii="Verdana" w:hAnsi="Verdana"/>
          <w:i/>
          <w:sz w:val="24"/>
          <w:szCs w:val="24"/>
        </w:rPr>
        <w:t>Going Clear</w:t>
      </w:r>
      <w:r w:rsidR="00EF25AD" w:rsidRPr="00105456">
        <w:rPr>
          <w:rFonts w:ascii="Verdana" w:hAnsi="Verdana"/>
          <w:sz w:val="24"/>
          <w:szCs w:val="24"/>
        </w:rPr>
        <w:t>, a controversial exposé into Scientology</w:t>
      </w:r>
      <w:r w:rsidR="00AD3A92" w:rsidRPr="00105456">
        <w:rPr>
          <w:rFonts w:ascii="Verdana" w:hAnsi="Verdana"/>
          <w:sz w:val="24"/>
          <w:szCs w:val="24"/>
        </w:rPr>
        <w:t xml:space="preserve"> due to a fear of a libel actions being taken in </w:t>
      </w:r>
      <w:r w:rsidR="001A4EED" w:rsidRPr="00105456">
        <w:rPr>
          <w:rFonts w:ascii="Verdana" w:hAnsi="Verdana"/>
          <w:sz w:val="24"/>
          <w:szCs w:val="24"/>
        </w:rPr>
        <w:t>NI</w:t>
      </w:r>
      <w:r w:rsidR="00AD3A92" w:rsidRPr="00105456">
        <w:rPr>
          <w:rFonts w:ascii="Verdana" w:hAnsi="Verdana"/>
          <w:sz w:val="24"/>
          <w:szCs w:val="24"/>
        </w:rPr>
        <w:t>.</w:t>
      </w:r>
      <w:r w:rsidR="00AD3A92" w:rsidRPr="00105456">
        <w:rPr>
          <w:rStyle w:val="EndnoteReference"/>
          <w:rFonts w:ascii="Verdana" w:hAnsi="Verdana"/>
          <w:sz w:val="24"/>
          <w:szCs w:val="24"/>
        </w:rPr>
        <w:endnoteReference w:id="114"/>
      </w:r>
      <w:r w:rsidR="00AD3A92" w:rsidRPr="00105456">
        <w:rPr>
          <w:rFonts w:ascii="Verdana" w:hAnsi="Verdana"/>
          <w:sz w:val="24"/>
          <w:szCs w:val="24"/>
        </w:rPr>
        <w:t xml:space="preserve"> </w:t>
      </w:r>
      <w:r w:rsidR="00076BA3" w:rsidRPr="00105456">
        <w:rPr>
          <w:rFonts w:ascii="Verdana" w:hAnsi="Verdana"/>
          <w:sz w:val="24"/>
          <w:szCs w:val="24"/>
        </w:rPr>
        <w:t xml:space="preserve">In light of the closure of the NI Law Commission it appears that the case for reform of defamation law in </w:t>
      </w:r>
      <w:r w:rsidR="001A4EED" w:rsidRPr="00105456">
        <w:rPr>
          <w:rFonts w:ascii="Verdana" w:hAnsi="Verdana"/>
          <w:sz w:val="24"/>
          <w:szCs w:val="24"/>
        </w:rPr>
        <w:t>NI</w:t>
      </w:r>
      <w:r w:rsidR="00076BA3" w:rsidRPr="00105456">
        <w:rPr>
          <w:rFonts w:ascii="Verdana" w:hAnsi="Verdana"/>
          <w:sz w:val="24"/>
          <w:szCs w:val="24"/>
        </w:rPr>
        <w:t xml:space="preserve"> will not be considered.</w:t>
      </w:r>
      <w:r w:rsidR="00076BA3" w:rsidRPr="00105456">
        <w:rPr>
          <w:rStyle w:val="EndnoteReference"/>
          <w:rFonts w:ascii="Verdana" w:hAnsi="Verdana"/>
          <w:sz w:val="24"/>
          <w:szCs w:val="24"/>
        </w:rPr>
        <w:endnoteReference w:id="115"/>
      </w:r>
      <w:r w:rsidR="00C97829" w:rsidRPr="00105456">
        <w:rPr>
          <w:rFonts w:ascii="Verdana" w:hAnsi="Verdana"/>
          <w:sz w:val="24"/>
          <w:szCs w:val="24"/>
        </w:rPr>
        <w:t xml:space="preserve"> Furthermore there appears to be a lack of political will to consider the case for reform</w:t>
      </w:r>
      <w:r w:rsidR="00813B66" w:rsidRPr="00105456">
        <w:rPr>
          <w:rFonts w:ascii="Verdana" w:hAnsi="Verdana"/>
          <w:sz w:val="24"/>
          <w:szCs w:val="24"/>
        </w:rPr>
        <w:t>.</w:t>
      </w:r>
      <w:r w:rsidR="00813B66" w:rsidRPr="00105456">
        <w:rPr>
          <w:rStyle w:val="EndnoteReference"/>
          <w:rFonts w:ascii="Verdana" w:hAnsi="Verdana"/>
          <w:sz w:val="24"/>
          <w:szCs w:val="24"/>
        </w:rPr>
        <w:endnoteReference w:id="116"/>
      </w:r>
    </w:p>
    <w:p w:rsidR="00B70F15" w:rsidRPr="00105456" w:rsidRDefault="00B70F15" w:rsidP="00105456">
      <w:pPr>
        <w:pStyle w:val="NoSpacing"/>
        <w:rPr>
          <w:rFonts w:ascii="Verdana" w:hAnsi="Verdana"/>
          <w:sz w:val="24"/>
          <w:szCs w:val="24"/>
        </w:rPr>
      </w:pPr>
    </w:p>
    <w:p w:rsidR="00C97829" w:rsidRPr="00105456" w:rsidRDefault="00C97829" w:rsidP="00105456">
      <w:pPr>
        <w:pStyle w:val="NoSpacing"/>
        <w:rPr>
          <w:rFonts w:ascii="Verdana" w:hAnsi="Verdana"/>
          <w:b/>
          <w:sz w:val="24"/>
          <w:szCs w:val="24"/>
        </w:rPr>
      </w:pPr>
      <w:r w:rsidRPr="00105456">
        <w:rPr>
          <w:rFonts w:ascii="Verdana" w:hAnsi="Verdana"/>
          <w:b/>
          <w:sz w:val="24"/>
          <w:szCs w:val="24"/>
        </w:rPr>
        <w:t xml:space="preserve">The Committee may wish to recommend that the </w:t>
      </w:r>
      <w:r w:rsidR="000F6AFF" w:rsidRPr="00105456">
        <w:rPr>
          <w:rFonts w:ascii="Verdana" w:hAnsi="Verdana"/>
          <w:b/>
          <w:sz w:val="24"/>
          <w:szCs w:val="24"/>
        </w:rPr>
        <w:t>State P</w:t>
      </w:r>
      <w:r w:rsidRPr="00105456">
        <w:rPr>
          <w:rFonts w:ascii="Verdana" w:hAnsi="Verdana"/>
          <w:b/>
          <w:sz w:val="24"/>
          <w:szCs w:val="24"/>
        </w:rPr>
        <w:t xml:space="preserve">arty take measures </w:t>
      </w:r>
      <w:r w:rsidR="006D3215" w:rsidRPr="00105456">
        <w:rPr>
          <w:rFonts w:ascii="Verdana" w:hAnsi="Verdana"/>
          <w:b/>
          <w:sz w:val="24"/>
          <w:szCs w:val="24"/>
        </w:rPr>
        <w:t xml:space="preserve">to ensure that </w:t>
      </w:r>
      <w:r w:rsidR="00FA2012" w:rsidRPr="00105456">
        <w:rPr>
          <w:rFonts w:ascii="Verdana" w:hAnsi="Verdana"/>
          <w:b/>
          <w:sz w:val="24"/>
          <w:szCs w:val="24"/>
        </w:rPr>
        <w:t xml:space="preserve">the practical application of the law of defamation in </w:t>
      </w:r>
      <w:r w:rsidR="001A4EED" w:rsidRPr="00105456">
        <w:rPr>
          <w:rFonts w:ascii="Verdana" w:hAnsi="Verdana"/>
          <w:b/>
          <w:sz w:val="24"/>
          <w:szCs w:val="24"/>
        </w:rPr>
        <w:t>NI</w:t>
      </w:r>
      <w:r w:rsidR="00FA2012" w:rsidRPr="00105456">
        <w:rPr>
          <w:rFonts w:ascii="Verdana" w:hAnsi="Verdana"/>
          <w:b/>
          <w:sz w:val="24"/>
          <w:szCs w:val="24"/>
        </w:rPr>
        <w:t xml:space="preserve"> does not serve to discourage critical media reporti</w:t>
      </w:r>
      <w:r w:rsidR="00EF3C23">
        <w:rPr>
          <w:rFonts w:ascii="Verdana" w:hAnsi="Verdana"/>
          <w:b/>
          <w:sz w:val="24"/>
          <w:szCs w:val="24"/>
        </w:rPr>
        <w:t xml:space="preserve">ng on matters of serious public </w:t>
      </w:r>
      <w:r w:rsidR="00FA2012" w:rsidRPr="00105456">
        <w:rPr>
          <w:rFonts w:ascii="Verdana" w:hAnsi="Verdana"/>
          <w:b/>
          <w:sz w:val="24"/>
          <w:szCs w:val="24"/>
        </w:rPr>
        <w:t>interest, adversely affecting the ability of scholars and journalists to publish their work, including through the phenomenon known as "libel tourism".</w:t>
      </w:r>
    </w:p>
    <w:p w:rsidR="00D74DBB" w:rsidRPr="00105456" w:rsidRDefault="00D74DBB" w:rsidP="00CE0D00">
      <w:pPr>
        <w:pStyle w:val="NoSpacing"/>
        <w:rPr>
          <w:rFonts w:ascii="Verdana" w:hAnsi="Verdana"/>
          <w:b/>
          <w:sz w:val="24"/>
          <w:szCs w:val="24"/>
          <w:u w:val="single"/>
        </w:rPr>
      </w:pPr>
    </w:p>
    <w:p w:rsidR="00440C48" w:rsidRDefault="00440C48" w:rsidP="00CE0D00">
      <w:pPr>
        <w:pStyle w:val="NoSpacing"/>
        <w:rPr>
          <w:rFonts w:ascii="Verdana" w:hAnsi="Verdana"/>
          <w:b/>
          <w:sz w:val="24"/>
          <w:szCs w:val="24"/>
          <w:u w:val="single"/>
        </w:rPr>
      </w:pPr>
    </w:p>
    <w:p w:rsidR="00B70F15" w:rsidRPr="00105456" w:rsidRDefault="00B70F15" w:rsidP="00CE0D00">
      <w:pPr>
        <w:pStyle w:val="NoSpacing"/>
        <w:rPr>
          <w:rFonts w:ascii="Verdana" w:hAnsi="Verdana"/>
          <w:b/>
          <w:sz w:val="24"/>
          <w:szCs w:val="24"/>
          <w:u w:val="single"/>
        </w:rPr>
      </w:pPr>
      <w:r w:rsidRPr="00105456">
        <w:rPr>
          <w:rFonts w:ascii="Verdana" w:hAnsi="Verdana"/>
          <w:b/>
          <w:sz w:val="24"/>
          <w:szCs w:val="24"/>
          <w:u w:val="single"/>
        </w:rPr>
        <w:t xml:space="preserve">Freedom to enter and leave one’s country (article 12) </w:t>
      </w:r>
    </w:p>
    <w:p w:rsidR="00B70F15" w:rsidRPr="00105456" w:rsidRDefault="00B70F15" w:rsidP="00105456">
      <w:pPr>
        <w:pStyle w:val="NoSpacing"/>
        <w:rPr>
          <w:rFonts w:ascii="Verdana" w:hAnsi="Verdana"/>
          <w:b/>
          <w:sz w:val="24"/>
          <w:szCs w:val="24"/>
          <w:u w:val="single"/>
        </w:rPr>
      </w:pPr>
    </w:p>
    <w:p w:rsidR="00F819B0" w:rsidRPr="00105456" w:rsidRDefault="00EF3C23" w:rsidP="00105456">
      <w:pPr>
        <w:pStyle w:val="NoSpacing"/>
        <w:rPr>
          <w:rFonts w:ascii="Verdana" w:hAnsi="Verdana"/>
          <w:sz w:val="24"/>
          <w:szCs w:val="24"/>
        </w:rPr>
      </w:pPr>
      <w:r>
        <w:rPr>
          <w:rFonts w:ascii="Verdana" w:hAnsi="Verdana"/>
          <w:sz w:val="24"/>
          <w:szCs w:val="24"/>
        </w:rPr>
        <w:t xml:space="preserve">11.1 </w:t>
      </w:r>
      <w:r w:rsidR="00F819B0" w:rsidRPr="00105456">
        <w:rPr>
          <w:rFonts w:ascii="Verdana" w:hAnsi="Verdana"/>
          <w:sz w:val="24"/>
          <w:szCs w:val="24"/>
        </w:rPr>
        <w:t xml:space="preserve">The Commission </w:t>
      </w:r>
      <w:r w:rsidR="00C7620A" w:rsidRPr="00105456">
        <w:rPr>
          <w:rFonts w:ascii="Verdana" w:hAnsi="Verdana"/>
          <w:sz w:val="24"/>
          <w:szCs w:val="24"/>
        </w:rPr>
        <w:t>acknowledges</w:t>
      </w:r>
      <w:r w:rsidR="00F819B0" w:rsidRPr="00105456">
        <w:rPr>
          <w:rFonts w:ascii="Verdana" w:hAnsi="Verdana"/>
          <w:sz w:val="24"/>
          <w:szCs w:val="24"/>
        </w:rPr>
        <w:t xml:space="preserve"> the comments of the Office of the High Commissioner that: </w:t>
      </w:r>
    </w:p>
    <w:p w:rsidR="00F819B0" w:rsidRPr="00105456" w:rsidRDefault="00F819B0" w:rsidP="00105456">
      <w:pPr>
        <w:pStyle w:val="NoSpacing"/>
        <w:rPr>
          <w:rFonts w:ascii="Verdana" w:hAnsi="Verdana"/>
          <w:sz w:val="24"/>
          <w:szCs w:val="24"/>
        </w:rPr>
      </w:pPr>
    </w:p>
    <w:p w:rsidR="00F819B0" w:rsidRPr="00105456" w:rsidRDefault="00F819B0" w:rsidP="00105456">
      <w:pPr>
        <w:pStyle w:val="NoSpacing"/>
        <w:rPr>
          <w:rFonts w:ascii="Verdana" w:hAnsi="Verdana"/>
          <w:sz w:val="24"/>
          <w:szCs w:val="24"/>
        </w:rPr>
      </w:pPr>
      <w:r w:rsidRPr="00105456">
        <w:rPr>
          <w:rFonts w:ascii="Verdana" w:hAnsi="Verdana"/>
          <w:i/>
          <w:sz w:val="24"/>
          <w:szCs w:val="24"/>
        </w:rPr>
        <w:t xml:space="preserve">“The brutality of the criminal acts committed in the Syrian Arab Republic and in Iraq by the </w:t>
      </w:r>
      <w:proofErr w:type="spellStart"/>
      <w:r w:rsidRPr="00105456">
        <w:rPr>
          <w:rFonts w:ascii="Verdana" w:hAnsi="Verdana"/>
          <w:i/>
          <w:sz w:val="24"/>
          <w:szCs w:val="24"/>
        </w:rPr>
        <w:t>takfiri</w:t>
      </w:r>
      <w:proofErr w:type="spellEnd"/>
      <w:r w:rsidRPr="00105456">
        <w:rPr>
          <w:rFonts w:ascii="Verdana" w:hAnsi="Verdana"/>
          <w:i/>
          <w:sz w:val="24"/>
          <w:szCs w:val="24"/>
        </w:rPr>
        <w:t xml:space="preserve">, also known as the Islamic State in Iraq and the Levant (ISIL) or </w:t>
      </w:r>
      <w:proofErr w:type="spellStart"/>
      <w:r w:rsidRPr="00105456">
        <w:rPr>
          <w:rFonts w:ascii="Verdana" w:hAnsi="Verdana"/>
          <w:i/>
          <w:sz w:val="24"/>
          <w:szCs w:val="24"/>
        </w:rPr>
        <w:t>Daesh</w:t>
      </w:r>
      <w:proofErr w:type="spellEnd"/>
      <w:r w:rsidRPr="00105456">
        <w:rPr>
          <w:rFonts w:ascii="Verdana" w:hAnsi="Verdana"/>
          <w:i/>
          <w:sz w:val="24"/>
          <w:szCs w:val="24"/>
        </w:rPr>
        <w:t>, which have been bolstered through the support of foreign fighters, has given particular impetus to States to take measures to inhibit individuals from travelling for purposes of joining their ranks and to prevent the escalation of violence.”</w:t>
      </w:r>
      <w:r w:rsidRPr="00105456">
        <w:rPr>
          <w:rStyle w:val="EndnoteReference"/>
          <w:rFonts w:ascii="Verdana" w:hAnsi="Verdana"/>
          <w:sz w:val="24"/>
          <w:szCs w:val="24"/>
        </w:rPr>
        <w:endnoteReference w:id="117"/>
      </w:r>
    </w:p>
    <w:p w:rsidR="00F819B0" w:rsidRPr="00105456" w:rsidRDefault="00F819B0" w:rsidP="00CE0D00">
      <w:pPr>
        <w:pStyle w:val="NoSpacing"/>
        <w:rPr>
          <w:rFonts w:ascii="Verdana" w:hAnsi="Verdana"/>
          <w:sz w:val="24"/>
          <w:szCs w:val="24"/>
        </w:rPr>
      </w:pPr>
    </w:p>
    <w:p w:rsidR="00B70F15" w:rsidRPr="00105456" w:rsidRDefault="00EF3C23" w:rsidP="00CE0D00">
      <w:pPr>
        <w:pStyle w:val="NoSpacing"/>
        <w:rPr>
          <w:rFonts w:ascii="Verdana" w:hAnsi="Verdana"/>
          <w:sz w:val="24"/>
          <w:szCs w:val="24"/>
        </w:rPr>
      </w:pPr>
      <w:r>
        <w:rPr>
          <w:rFonts w:ascii="Verdana" w:hAnsi="Verdana"/>
          <w:sz w:val="24"/>
          <w:szCs w:val="24"/>
        </w:rPr>
        <w:t xml:space="preserve">11.2 </w:t>
      </w:r>
      <w:r w:rsidR="00B70F15" w:rsidRPr="00105456">
        <w:rPr>
          <w:rFonts w:ascii="Verdana" w:hAnsi="Verdana"/>
          <w:sz w:val="24"/>
          <w:szCs w:val="24"/>
        </w:rPr>
        <w:t xml:space="preserve">In recent years the Westminster Parliament has enacted legislation to restrict the right of British citizens to leave and to enter the UK. In February 2015 the UK Government reported that: </w:t>
      </w:r>
    </w:p>
    <w:p w:rsidR="00B70F15" w:rsidRPr="00105456" w:rsidRDefault="00B70F15" w:rsidP="00105456">
      <w:pPr>
        <w:pStyle w:val="NoSpacing"/>
        <w:rPr>
          <w:rFonts w:ascii="Verdana" w:hAnsi="Verdana"/>
          <w:sz w:val="24"/>
          <w:szCs w:val="24"/>
        </w:rPr>
      </w:pPr>
    </w:p>
    <w:tbl>
      <w:tblPr>
        <w:tblW w:w="10729" w:type="dxa"/>
        <w:tblBorders>
          <w:top w:val="nil"/>
          <w:left w:val="nil"/>
          <w:bottom w:val="nil"/>
          <w:right w:val="nil"/>
        </w:tblBorders>
        <w:tblLayout w:type="fixed"/>
        <w:tblLook w:val="0000" w:firstRow="0" w:lastRow="0" w:firstColumn="0" w:lastColumn="0" w:noHBand="0" w:noVBand="0"/>
      </w:tblPr>
      <w:tblGrid>
        <w:gridCol w:w="10729"/>
      </w:tblGrid>
      <w:tr w:rsidR="00B70F15" w:rsidRPr="00105456" w:rsidTr="0014450C">
        <w:trPr>
          <w:trHeight w:val="478"/>
        </w:trPr>
        <w:tc>
          <w:tcPr>
            <w:tcW w:w="10729" w:type="dxa"/>
          </w:tcPr>
          <w:p w:rsidR="00B70F15" w:rsidRPr="00105456" w:rsidRDefault="00B70F15" w:rsidP="00105456">
            <w:pPr>
              <w:pStyle w:val="NoSpacing"/>
              <w:rPr>
                <w:rFonts w:ascii="Verdana" w:hAnsi="Verdana"/>
                <w:i/>
                <w:sz w:val="24"/>
                <w:szCs w:val="24"/>
              </w:rPr>
            </w:pPr>
            <w:r w:rsidRPr="00105456">
              <w:rPr>
                <w:rFonts w:ascii="Verdana" w:hAnsi="Verdana"/>
                <w:i/>
                <w:sz w:val="24"/>
                <w:szCs w:val="24"/>
              </w:rPr>
              <w:t>“Nearly 600 people from the UK who are of interest to the security</w:t>
            </w:r>
            <w:r w:rsidR="00EF3C23">
              <w:rPr>
                <w:rFonts w:ascii="Verdana" w:hAnsi="Verdana"/>
                <w:i/>
                <w:sz w:val="24"/>
                <w:szCs w:val="24"/>
              </w:rPr>
              <w:t xml:space="preserve"> </w:t>
            </w:r>
            <w:r w:rsidRPr="00105456">
              <w:rPr>
                <w:rFonts w:ascii="Verdana" w:hAnsi="Verdana"/>
                <w:i/>
                <w:sz w:val="24"/>
                <w:szCs w:val="24"/>
              </w:rPr>
              <w:t>services are thought to have travelled to Syria and Iraq since the start of the conflicts and we estimate that around half of those have</w:t>
            </w:r>
            <w:r w:rsidR="00EF3C23">
              <w:rPr>
                <w:rFonts w:ascii="Verdana" w:hAnsi="Verdana"/>
                <w:i/>
                <w:sz w:val="24"/>
                <w:szCs w:val="24"/>
              </w:rPr>
              <w:t xml:space="preserve"> </w:t>
            </w:r>
            <w:r w:rsidRPr="00105456">
              <w:rPr>
                <w:rFonts w:ascii="Verdana" w:hAnsi="Verdana"/>
                <w:i/>
                <w:sz w:val="24"/>
                <w:szCs w:val="24"/>
              </w:rPr>
              <w:t>returned; a number of these in</w:t>
            </w:r>
            <w:r w:rsidR="00EF3C23">
              <w:rPr>
                <w:rFonts w:ascii="Verdana" w:hAnsi="Verdana"/>
                <w:i/>
                <w:sz w:val="24"/>
                <w:szCs w:val="24"/>
              </w:rPr>
              <w:t xml:space="preserve">dividuals have joined terrorist </w:t>
            </w:r>
            <w:r w:rsidRPr="00105456">
              <w:rPr>
                <w:rFonts w:ascii="Verdana" w:hAnsi="Verdana"/>
                <w:i/>
                <w:sz w:val="24"/>
                <w:szCs w:val="24"/>
              </w:rPr>
              <w:t xml:space="preserve">organisations including the Islamic State of Iraq and the </w:t>
            </w:r>
            <w:proofErr w:type="gramStart"/>
            <w:r w:rsidRPr="00105456">
              <w:rPr>
                <w:rFonts w:ascii="Verdana" w:hAnsi="Verdana"/>
                <w:i/>
                <w:sz w:val="24"/>
                <w:szCs w:val="24"/>
              </w:rPr>
              <w:t>Levant  (</w:t>
            </w:r>
            <w:proofErr w:type="gramEnd"/>
            <w:r w:rsidRPr="00105456">
              <w:rPr>
                <w:rFonts w:ascii="Verdana" w:hAnsi="Verdana"/>
                <w:i/>
                <w:sz w:val="24"/>
                <w:szCs w:val="24"/>
              </w:rPr>
              <w:t>ISIL).”</w:t>
            </w:r>
            <w:r w:rsidRPr="00105456">
              <w:rPr>
                <w:rStyle w:val="EndnoteReference"/>
                <w:rFonts w:ascii="Verdana" w:hAnsi="Verdana" w:cs="Arial"/>
                <w:i/>
                <w:sz w:val="24"/>
                <w:szCs w:val="24"/>
              </w:rPr>
              <w:endnoteReference w:id="118"/>
            </w:r>
          </w:p>
        </w:tc>
      </w:tr>
      <w:tr w:rsidR="00B70F15" w:rsidRPr="00105456" w:rsidTr="0014450C">
        <w:trPr>
          <w:trHeight w:val="478"/>
        </w:trPr>
        <w:tc>
          <w:tcPr>
            <w:tcW w:w="10729" w:type="dxa"/>
          </w:tcPr>
          <w:p w:rsidR="00B70F15" w:rsidRPr="00105456" w:rsidRDefault="00B70F15" w:rsidP="00CE0D00">
            <w:pPr>
              <w:pStyle w:val="NoSpacing"/>
              <w:rPr>
                <w:rFonts w:ascii="Verdana" w:hAnsi="Verdana"/>
                <w:i/>
                <w:sz w:val="24"/>
                <w:szCs w:val="24"/>
              </w:rPr>
            </w:pPr>
          </w:p>
        </w:tc>
      </w:tr>
    </w:tbl>
    <w:p w:rsidR="00B70F15" w:rsidRPr="00105456" w:rsidRDefault="00EF3C23" w:rsidP="00CE0D00">
      <w:pPr>
        <w:pStyle w:val="NoSpacing"/>
        <w:rPr>
          <w:rFonts w:ascii="Verdana" w:hAnsi="Verdana"/>
          <w:sz w:val="24"/>
          <w:szCs w:val="24"/>
        </w:rPr>
      </w:pPr>
      <w:r>
        <w:rPr>
          <w:rFonts w:ascii="Verdana" w:hAnsi="Verdana"/>
          <w:sz w:val="24"/>
          <w:szCs w:val="24"/>
        </w:rPr>
        <w:t xml:space="preserve">11.3 </w:t>
      </w:r>
      <w:r w:rsidR="00B70F15" w:rsidRPr="00105456">
        <w:rPr>
          <w:rFonts w:ascii="Verdana" w:hAnsi="Verdana"/>
          <w:sz w:val="24"/>
          <w:szCs w:val="24"/>
        </w:rPr>
        <w:t>A number of high profile cases of individuals and groups of UK nationals trave</w:t>
      </w:r>
      <w:r w:rsidR="00B16933" w:rsidRPr="00105456">
        <w:rPr>
          <w:rFonts w:ascii="Verdana" w:hAnsi="Verdana"/>
          <w:sz w:val="24"/>
          <w:szCs w:val="24"/>
        </w:rPr>
        <w:t>lling to Syria</w:t>
      </w:r>
      <w:r w:rsidR="00F819B0" w:rsidRPr="00105456">
        <w:rPr>
          <w:rFonts w:ascii="Verdana" w:hAnsi="Verdana"/>
          <w:sz w:val="24"/>
          <w:szCs w:val="24"/>
        </w:rPr>
        <w:t xml:space="preserve"> and Iraq</w:t>
      </w:r>
      <w:r w:rsidR="00B16933" w:rsidRPr="00105456">
        <w:rPr>
          <w:rFonts w:ascii="Verdana" w:hAnsi="Verdana"/>
          <w:sz w:val="24"/>
          <w:szCs w:val="24"/>
        </w:rPr>
        <w:t xml:space="preserve"> to join terrorist</w:t>
      </w:r>
      <w:r w:rsidR="00B70F15" w:rsidRPr="00105456">
        <w:rPr>
          <w:rFonts w:ascii="Verdana" w:hAnsi="Verdana"/>
          <w:sz w:val="24"/>
          <w:szCs w:val="24"/>
        </w:rPr>
        <w:t xml:space="preserve"> organisations have been reported in the media.</w:t>
      </w:r>
      <w:r w:rsidR="00B70F15" w:rsidRPr="00105456">
        <w:rPr>
          <w:rStyle w:val="EndnoteReference"/>
          <w:rFonts w:ascii="Verdana" w:hAnsi="Verdana"/>
          <w:sz w:val="24"/>
          <w:szCs w:val="24"/>
        </w:rPr>
        <w:endnoteReference w:id="119"/>
      </w:r>
    </w:p>
    <w:p w:rsidR="00B70F15" w:rsidRPr="00105456" w:rsidRDefault="00B70F15" w:rsidP="00CE0D00">
      <w:pPr>
        <w:pStyle w:val="NoSpacing"/>
        <w:rPr>
          <w:rFonts w:ascii="Verdana" w:hAnsi="Verdana"/>
          <w:sz w:val="24"/>
          <w:szCs w:val="24"/>
        </w:rPr>
      </w:pPr>
    </w:p>
    <w:p w:rsidR="00B70F15" w:rsidRPr="00105456" w:rsidRDefault="00EF3C23" w:rsidP="00105456">
      <w:pPr>
        <w:pStyle w:val="NoSpacing"/>
        <w:rPr>
          <w:rFonts w:ascii="Verdana" w:hAnsi="Verdana"/>
          <w:sz w:val="24"/>
          <w:szCs w:val="24"/>
        </w:rPr>
      </w:pPr>
      <w:r>
        <w:rPr>
          <w:rFonts w:ascii="Verdana" w:hAnsi="Verdana"/>
          <w:sz w:val="24"/>
          <w:szCs w:val="24"/>
        </w:rPr>
        <w:t xml:space="preserve">11.4 </w:t>
      </w:r>
      <w:r w:rsidR="00B70F15" w:rsidRPr="00105456">
        <w:rPr>
          <w:rFonts w:ascii="Verdana" w:hAnsi="Verdana"/>
          <w:sz w:val="24"/>
          <w:szCs w:val="24"/>
        </w:rPr>
        <w:t>The Immigration Act 2014 amended section 40 of the British Nationality Act 1981 to empower the Home Secretary to deprive a naturalised British citizen of their citizenship if they have engaged in conduct “</w:t>
      </w:r>
      <w:r w:rsidR="00B70F15" w:rsidRPr="00105456">
        <w:rPr>
          <w:rFonts w:ascii="Verdana" w:hAnsi="Verdana"/>
          <w:i/>
          <w:sz w:val="24"/>
          <w:szCs w:val="24"/>
        </w:rPr>
        <w:t>seriously prejudicial”</w:t>
      </w:r>
      <w:r w:rsidR="00B70F15" w:rsidRPr="00105456">
        <w:rPr>
          <w:rFonts w:ascii="Verdana" w:hAnsi="Verdana"/>
          <w:sz w:val="24"/>
          <w:szCs w:val="24"/>
        </w:rPr>
        <w:t xml:space="preserve"> to the UK’s vital interests, and the Home Secretary has reasonable grounds to believe the person is able, under the law of a country or territory outside the United Kingdom, to become a national of such a country or territory.  The UK Government may exercise powers to deprive an individual of their citizenship both when they are in the UK and when they are abroad.</w:t>
      </w:r>
      <w:r w:rsidR="00B70F15" w:rsidRPr="00105456">
        <w:rPr>
          <w:rStyle w:val="EndnoteReference"/>
          <w:rFonts w:ascii="Verdana" w:hAnsi="Verdana"/>
          <w:sz w:val="24"/>
          <w:szCs w:val="24"/>
        </w:rPr>
        <w:endnoteReference w:id="120"/>
      </w:r>
      <w:r w:rsidR="00B70F15" w:rsidRPr="00105456">
        <w:rPr>
          <w:rFonts w:ascii="Verdana" w:hAnsi="Verdana"/>
          <w:sz w:val="24"/>
          <w:szCs w:val="24"/>
        </w:rPr>
        <w:t xml:space="preserve"> Under the 1981 Act the Home Secretary is required to carry out a review of the use of this power within one year of its operation.</w:t>
      </w:r>
      <w:r w:rsidR="00B70F15" w:rsidRPr="00105456">
        <w:rPr>
          <w:rStyle w:val="EndnoteReference"/>
          <w:rFonts w:ascii="Verdana" w:hAnsi="Verdana"/>
          <w:sz w:val="24"/>
          <w:szCs w:val="24"/>
        </w:rPr>
        <w:endnoteReference w:id="121"/>
      </w:r>
      <w:r w:rsidR="00B70F15" w:rsidRPr="00105456">
        <w:rPr>
          <w:rFonts w:ascii="Verdana" w:hAnsi="Verdana"/>
          <w:sz w:val="24"/>
          <w:szCs w:val="24"/>
        </w:rPr>
        <w:t xml:space="preserve"> Relevant provisions came into force on 28</w:t>
      </w:r>
      <w:r w:rsidR="00B70F15" w:rsidRPr="00105456">
        <w:rPr>
          <w:rFonts w:ascii="Verdana" w:hAnsi="Verdana"/>
          <w:sz w:val="24"/>
          <w:szCs w:val="24"/>
          <w:vertAlign w:val="superscript"/>
        </w:rPr>
        <w:t>th</w:t>
      </w:r>
      <w:r w:rsidR="00B70F15" w:rsidRPr="00105456">
        <w:rPr>
          <w:rFonts w:ascii="Verdana" w:hAnsi="Verdana"/>
          <w:sz w:val="24"/>
          <w:szCs w:val="24"/>
        </w:rPr>
        <w:t xml:space="preserve"> July 2014.</w:t>
      </w:r>
      <w:r w:rsidR="00B70F15" w:rsidRPr="00105456">
        <w:rPr>
          <w:rStyle w:val="EndnoteReference"/>
          <w:rFonts w:ascii="Verdana" w:hAnsi="Verdana"/>
          <w:sz w:val="24"/>
          <w:szCs w:val="24"/>
        </w:rPr>
        <w:endnoteReference w:id="122"/>
      </w:r>
      <w:r w:rsidR="00B70F15" w:rsidRPr="00105456">
        <w:rPr>
          <w:rFonts w:ascii="Verdana" w:hAnsi="Verdana"/>
          <w:sz w:val="24"/>
          <w:szCs w:val="24"/>
        </w:rPr>
        <w:t xml:space="preserve"> At the time of writing it is unclear how this review will be carried out. </w:t>
      </w:r>
    </w:p>
    <w:p w:rsidR="00B70F15" w:rsidRPr="00105456" w:rsidRDefault="00B70F15" w:rsidP="00105456">
      <w:pPr>
        <w:pStyle w:val="NoSpacing"/>
        <w:rPr>
          <w:rFonts w:ascii="Verdana" w:hAnsi="Verdana"/>
          <w:sz w:val="24"/>
          <w:szCs w:val="24"/>
        </w:rPr>
      </w:pPr>
    </w:p>
    <w:p w:rsidR="00B70F15" w:rsidRPr="00105456" w:rsidRDefault="00B70F15" w:rsidP="00105456">
      <w:pPr>
        <w:pStyle w:val="NoSpacing"/>
        <w:rPr>
          <w:rFonts w:ascii="Verdana" w:hAnsi="Verdana"/>
          <w:b/>
          <w:bCs/>
          <w:sz w:val="24"/>
          <w:szCs w:val="24"/>
        </w:rPr>
      </w:pPr>
      <w:r w:rsidRPr="00105456">
        <w:rPr>
          <w:rFonts w:ascii="Verdana" w:hAnsi="Verdana"/>
          <w:b/>
          <w:sz w:val="24"/>
          <w:szCs w:val="24"/>
        </w:rPr>
        <w:t>The Committee may wish to recommend that the State Party clarifies how the review of the operation of new powers to deprive naturalised British citizens of their nationality will be carried out. The Committee should recommend that this review consider; how the Home Secretary has ensured the exercise of the power does not result in an indi</w:t>
      </w:r>
      <w:r w:rsidR="00EE213B" w:rsidRPr="00105456">
        <w:rPr>
          <w:rFonts w:ascii="Verdana" w:hAnsi="Verdana"/>
          <w:b/>
          <w:sz w:val="24"/>
          <w:szCs w:val="24"/>
        </w:rPr>
        <w:t xml:space="preserve">vidual becoming stateless; </w:t>
      </w:r>
      <w:r w:rsidRPr="00105456">
        <w:rPr>
          <w:rFonts w:ascii="Verdana" w:hAnsi="Verdana"/>
          <w:b/>
          <w:sz w:val="24"/>
          <w:szCs w:val="24"/>
        </w:rPr>
        <w:t xml:space="preserve">the location of the individual when their citizenship has been revoked; and what consideration is given to </w:t>
      </w:r>
      <w:r w:rsidRPr="00105456">
        <w:rPr>
          <w:rFonts w:ascii="Verdana" w:hAnsi="Verdana"/>
          <w:b/>
          <w:bCs/>
          <w:sz w:val="24"/>
          <w:szCs w:val="24"/>
        </w:rPr>
        <w:t>any threat to the life or to the right to freedom from torture of the individual.</w:t>
      </w:r>
    </w:p>
    <w:p w:rsidR="00B70F15" w:rsidRPr="00105456" w:rsidRDefault="00B70F15" w:rsidP="00CE0D00">
      <w:pPr>
        <w:pStyle w:val="NoSpacing"/>
        <w:rPr>
          <w:rFonts w:ascii="Verdana" w:hAnsi="Verdana"/>
          <w:b/>
          <w:sz w:val="24"/>
          <w:szCs w:val="24"/>
        </w:rPr>
      </w:pPr>
    </w:p>
    <w:p w:rsidR="00B70F15" w:rsidRPr="00105456" w:rsidRDefault="00013560" w:rsidP="00105456">
      <w:pPr>
        <w:pStyle w:val="NoSpacing"/>
        <w:rPr>
          <w:rFonts w:ascii="Verdana" w:hAnsi="Verdana"/>
          <w:sz w:val="24"/>
          <w:szCs w:val="24"/>
          <w:lang w:val="en"/>
        </w:rPr>
      </w:pPr>
      <w:r>
        <w:rPr>
          <w:rFonts w:ascii="Verdana" w:hAnsi="Verdana"/>
          <w:sz w:val="24"/>
          <w:szCs w:val="24"/>
        </w:rPr>
        <w:t xml:space="preserve">11.5 </w:t>
      </w:r>
      <w:r w:rsidR="00B70F15" w:rsidRPr="00105456">
        <w:rPr>
          <w:rFonts w:ascii="Verdana" w:hAnsi="Verdana"/>
          <w:sz w:val="24"/>
          <w:szCs w:val="24"/>
        </w:rPr>
        <w:t xml:space="preserve">The Counter Terrorism and Security Act 2015 introduced temporary exclusion orders (TEO), which prohibit the return of an individual to the UK unless the return is </w:t>
      </w:r>
      <w:r w:rsidR="00B70F15" w:rsidRPr="00105456">
        <w:rPr>
          <w:rStyle w:val="legds2"/>
          <w:rFonts w:ascii="Verdana" w:hAnsi="Verdana" w:cs="Arial"/>
          <w:sz w:val="24"/>
          <w:szCs w:val="24"/>
          <w:lang w:val="en"/>
        </w:rPr>
        <w:t>in accordance with a permit to return.</w:t>
      </w:r>
      <w:r w:rsidR="00B70F15" w:rsidRPr="00105456">
        <w:rPr>
          <w:rStyle w:val="EndnoteReference"/>
          <w:rFonts w:ascii="Verdana" w:hAnsi="Verdana" w:cs="Arial"/>
          <w:sz w:val="24"/>
          <w:szCs w:val="24"/>
          <w:lang w:val="en"/>
        </w:rPr>
        <w:endnoteReference w:id="123"/>
      </w:r>
      <w:r w:rsidR="00B70F15" w:rsidRPr="00105456">
        <w:rPr>
          <w:rStyle w:val="legds2"/>
          <w:rFonts w:ascii="Verdana" w:hAnsi="Verdana" w:cs="Arial"/>
          <w:sz w:val="24"/>
          <w:szCs w:val="24"/>
          <w:lang w:val="en"/>
        </w:rPr>
        <w:t xml:space="preserve"> A TEO may be issued where the Home Secretary </w:t>
      </w:r>
      <w:r w:rsidR="00B70F15" w:rsidRPr="00105456">
        <w:rPr>
          <w:rFonts w:ascii="Verdana" w:hAnsi="Verdana" w:cs="BookAntiquaParliamentary"/>
          <w:sz w:val="24"/>
          <w:szCs w:val="24"/>
        </w:rPr>
        <w:t xml:space="preserve">reasonably suspects that the individual is, or has been, involved in terrorism-related activity outside the UK. The Home Secretary must </w:t>
      </w:r>
      <w:r w:rsidR="00B70F15" w:rsidRPr="00105456">
        <w:rPr>
          <w:rStyle w:val="legds2"/>
          <w:rFonts w:ascii="Verdana" w:hAnsi="Verdana" w:cs="Arial"/>
          <w:sz w:val="24"/>
          <w:szCs w:val="24"/>
          <w:lang w:val="en"/>
        </w:rPr>
        <w:t xml:space="preserve">make an application to the court for permission to impose a TEO. This </w:t>
      </w:r>
      <w:r w:rsidR="00EE213B" w:rsidRPr="00105456">
        <w:rPr>
          <w:rStyle w:val="legds2"/>
          <w:rFonts w:ascii="Verdana" w:hAnsi="Verdana" w:cs="Arial"/>
          <w:sz w:val="24"/>
          <w:szCs w:val="24"/>
          <w:lang w:val="en"/>
        </w:rPr>
        <w:t xml:space="preserve">application </w:t>
      </w:r>
      <w:r w:rsidR="00B70F15" w:rsidRPr="00105456">
        <w:rPr>
          <w:rStyle w:val="legds2"/>
          <w:rFonts w:ascii="Verdana" w:hAnsi="Verdana" w:cs="Arial"/>
          <w:sz w:val="24"/>
          <w:szCs w:val="24"/>
          <w:lang w:val="en"/>
        </w:rPr>
        <w:t xml:space="preserve">can only be rejected if </w:t>
      </w:r>
      <w:r w:rsidR="00EE213B" w:rsidRPr="00105456">
        <w:rPr>
          <w:rStyle w:val="legds2"/>
          <w:rFonts w:ascii="Verdana" w:hAnsi="Verdana" w:cs="Arial"/>
          <w:sz w:val="24"/>
          <w:szCs w:val="24"/>
          <w:lang w:val="en"/>
        </w:rPr>
        <w:t xml:space="preserve">it </w:t>
      </w:r>
      <w:r w:rsidR="00B70F15" w:rsidRPr="00105456">
        <w:rPr>
          <w:rStyle w:val="legds2"/>
          <w:rFonts w:ascii="Verdana" w:hAnsi="Verdana" w:cs="Arial"/>
          <w:sz w:val="24"/>
          <w:szCs w:val="24"/>
          <w:lang w:val="en"/>
        </w:rPr>
        <w:t>is fundamentally flawed. An individ</w:t>
      </w:r>
      <w:r w:rsidR="00A0382F" w:rsidRPr="00105456">
        <w:rPr>
          <w:rStyle w:val="legds2"/>
          <w:rFonts w:ascii="Verdana" w:hAnsi="Verdana" w:cs="Arial"/>
          <w:sz w:val="24"/>
          <w:szCs w:val="24"/>
          <w:lang w:val="en"/>
        </w:rPr>
        <w:t xml:space="preserve">ual who has had a TEO imposed </w:t>
      </w:r>
      <w:r w:rsidR="00B70F15" w:rsidRPr="00105456">
        <w:rPr>
          <w:rStyle w:val="legds2"/>
          <w:rFonts w:ascii="Verdana" w:hAnsi="Verdana" w:cs="Arial"/>
          <w:sz w:val="24"/>
          <w:szCs w:val="24"/>
          <w:lang w:val="en"/>
        </w:rPr>
        <w:t>on them must apply for a permit to return. Before obtaining a permit an individual may be required to attend an interview with a police constable or immigration officer. On return to the UK an individual may have their passport removed and may be required to notify the police of the</w:t>
      </w:r>
      <w:r w:rsidR="00EE213B" w:rsidRPr="00105456">
        <w:rPr>
          <w:rStyle w:val="legds2"/>
          <w:rFonts w:ascii="Verdana" w:hAnsi="Verdana" w:cs="Arial"/>
          <w:sz w:val="24"/>
          <w:szCs w:val="24"/>
          <w:lang w:val="en"/>
        </w:rPr>
        <w:t>ir</w:t>
      </w:r>
      <w:r w:rsidR="00B70F15" w:rsidRPr="00105456">
        <w:rPr>
          <w:rStyle w:val="legds2"/>
          <w:rFonts w:ascii="Verdana" w:hAnsi="Verdana" w:cs="Arial"/>
          <w:sz w:val="24"/>
          <w:szCs w:val="24"/>
          <w:lang w:val="en"/>
        </w:rPr>
        <w:t xml:space="preserve"> place of residence and to report to a police station at specified intervals.  Subjects can also be required to attend appointments for purposes that may include de-</w:t>
      </w:r>
      <w:proofErr w:type="spellStart"/>
      <w:r w:rsidR="00B70F15" w:rsidRPr="00105456">
        <w:rPr>
          <w:rStyle w:val="legds2"/>
          <w:rFonts w:ascii="Verdana" w:hAnsi="Verdana" w:cs="Arial"/>
          <w:sz w:val="24"/>
          <w:szCs w:val="24"/>
          <w:lang w:val="en"/>
        </w:rPr>
        <w:t>radicalisation</w:t>
      </w:r>
      <w:proofErr w:type="spellEnd"/>
      <w:r w:rsidR="00B70F15" w:rsidRPr="00105456">
        <w:rPr>
          <w:rStyle w:val="legds2"/>
          <w:rFonts w:ascii="Verdana" w:hAnsi="Verdana" w:cs="Arial"/>
          <w:sz w:val="24"/>
          <w:szCs w:val="24"/>
          <w:lang w:val="en"/>
        </w:rPr>
        <w:t>.</w:t>
      </w:r>
      <w:r w:rsidR="00B70F15" w:rsidRPr="00105456">
        <w:rPr>
          <w:rStyle w:val="EndnoteReference"/>
          <w:rFonts w:ascii="Verdana" w:hAnsi="Verdana" w:cs="Arial"/>
          <w:sz w:val="24"/>
          <w:szCs w:val="24"/>
          <w:lang w:val="en"/>
        </w:rPr>
        <w:endnoteReference w:id="124"/>
      </w:r>
      <w:r w:rsidR="00B70F15" w:rsidRPr="00105456">
        <w:rPr>
          <w:rStyle w:val="legds2"/>
          <w:rFonts w:ascii="Verdana" w:hAnsi="Verdana" w:cs="Arial"/>
          <w:sz w:val="24"/>
          <w:szCs w:val="24"/>
          <w:lang w:val="en"/>
        </w:rPr>
        <w:t xml:space="preserve"> The Act </w:t>
      </w:r>
      <w:r w:rsidR="00B70F15" w:rsidRPr="00105456">
        <w:rPr>
          <w:rStyle w:val="ends2"/>
          <w:rFonts w:ascii="Verdana" w:hAnsi="Verdana" w:cs="Arial"/>
          <w:sz w:val="24"/>
          <w:szCs w:val="24"/>
          <w:lang w:val="en"/>
        </w:rPr>
        <w:t>makes provision for an individual subject to a TEO to be able to apply to the court for a statutory review of the decision to impose a TEO, and any associated in-country measures, once the individual is back in the UK.</w:t>
      </w:r>
      <w:r w:rsidR="00B70F15" w:rsidRPr="00105456">
        <w:rPr>
          <w:rStyle w:val="EndnoteReference"/>
          <w:rFonts w:ascii="Verdana" w:hAnsi="Verdana" w:cs="Arial"/>
          <w:sz w:val="24"/>
          <w:szCs w:val="24"/>
          <w:lang w:val="en"/>
        </w:rPr>
        <w:endnoteReference w:id="125"/>
      </w:r>
      <w:r w:rsidR="00EE213B" w:rsidRPr="00105456">
        <w:rPr>
          <w:rStyle w:val="ends2"/>
          <w:rFonts w:ascii="Verdana" w:hAnsi="Verdana" w:cs="Arial"/>
          <w:sz w:val="24"/>
          <w:szCs w:val="24"/>
          <w:lang w:val="en"/>
        </w:rPr>
        <w:t xml:space="preserve"> </w:t>
      </w:r>
      <w:r w:rsidR="00B70F15" w:rsidRPr="00105456">
        <w:rPr>
          <w:rFonts w:ascii="Verdana" w:hAnsi="Verdana" w:cs="BookAntiquaParliamentary"/>
          <w:sz w:val="24"/>
          <w:szCs w:val="24"/>
        </w:rPr>
        <w:t xml:space="preserve">At the time of writing the relevant provisions of the 2015 Act have not yet been commenced. With respect to its use the UK Government has stated that </w:t>
      </w:r>
      <w:r w:rsidR="00B70F15" w:rsidRPr="00105456">
        <w:rPr>
          <w:rFonts w:ascii="Verdana" w:hAnsi="Verdana" w:cs="BookAntiquaParliamentary"/>
          <w:i/>
          <w:sz w:val="24"/>
          <w:szCs w:val="24"/>
        </w:rPr>
        <w:t>“</w:t>
      </w:r>
      <w:r w:rsidR="00B70F15" w:rsidRPr="00105456">
        <w:rPr>
          <w:rFonts w:ascii="Verdana" w:hAnsi="Verdana"/>
          <w:i/>
          <w:sz w:val="24"/>
          <w:szCs w:val="24"/>
        </w:rPr>
        <w:t>It is not possible to predict how many temporary exclusion orders will be served”.</w:t>
      </w:r>
      <w:r w:rsidR="00B70F15" w:rsidRPr="00105456">
        <w:rPr>
          <w:rStyle w:val="EndnoteReference"/>
          <w:rFonts w:ascii="Verdana" w:hAnsi="Verdana"/>
          <w:sz w:val="24"/>
          <w:szCs w:val="24"/>
        </w:rPr>
        <w:endnoteReference w:id="126"/>
      </w:r>
    </w:p>
    <w:p w:rsidR="00B70F15" w:rsidRPr="00105456" w:rsidRDefault="00B70F15" w:rsidP="00105456">
      <w:pPr>
        <w:pStyle w:val="NoSpacing"/>
        <w:rPr>
          <w:rFonts w:ascii="Verdana" w:hAnsi="Verdana" w:cs="BookAntiquaParliamentary"/>
          <w:sz w:val="24"/>
          <w:szCs w:val="24"/>
        </w:rPr>
      </w:pPr>
    </w:p>
    <w:p w:rsidR="00B70F15" w:rsidRPr="00105456" w:rsidRDefault="00013560" w:rsidP="00105456">
      <w:pPr>
        <w:pStyle w:val="NoSpacing"/>
        <w:rPr>
          <w:rFonts w:ascii="Verdana" w:hAnsi="Verdana" w:cs="BookAntiquaParliamentary"/>
          <w:sz w:val="24"/>
          <w:szCs w:val="24"/>
        </w:rPr>
      </w:pPr>
      <w:r>
        <w:rPr>
          <w:rFonts w:ascii="Verdana" w:hAnsi="Verdana" w:cs="BookAntiquaParliamentary"/>
          <w:sz w:val="24"/>
          <w:szCs w:val="24"/>
        </w:rPr>
        <w:t xml:space="preserve">11.6 </w:t>
      </w:r>
      <w:r w:rsidR="00B70F15" w:rsidRPr="00105456">
        <w:rPr>
          <w:rFonts w:ascii="Verdana" w:hAnsi="Verdana" w:cs="BookAntiquaParliamentary"/>
          <w:sz w:val="24"/>
          <w:szCs w:val="24"/>
        </w:rPr>
        <w:t>An individual’s passport may be withdrawn or refused at the discretion of the Home Secretary under the Royal Prerogative. In November 2014 the Home Secretary reported that the passports of 29 individuals had been refused or cancelled to disrupt the travel of people planning to engage in terrorist-related activity overseas since April 2013.</w:t>
      </w:r>
      <w:r w:rsidR="00B70F15" w:rsidRPr="00105456">
        <w:rPr>
          <w:rStyle w:val="EndnoteReference"/>
          <w:rFonts w:ascii="Verdana" w:hAnsi="Verdana" w:cs="BookAntiquaParliamentary"/>
          <w:sz w:val="24"/>
          <w:szCs w:val="24"/>
        </w:rPr>
        <w:endnoteReference w:id="127"/>
      </w:r>
      <w:r w:rsidR="00B70F15" w:rsidRPr="00105456">
        <w:rPr>
          <w:rFonts w:ascii="Verdana" w:hAnsi="Verdana" w:cs="BookAntiquaParliamentary"/>
          <w:sz w:val="24"/>
          <w:szCs w:val="24"/>
        </w:rPr>
        <w:t xml:space="preserve"> The Counter Terrorism and Security Act 2015 makes further provision for the seizure and temporary retention of travel documents where a person is suspected of intending to leave Great Britain or the United Kingdom in connection with terrorism-related activity.</w:t>
      </w:r>
      <w:r w:rsidR="00B70F15" w:rsidRPr="00105456">
        <w:rPr>
          <w:rStyle w:val="EndnoteReference"/>
          <w:rFonts w:ascii="Verdana" w:hAnsi="Verdana" w:cs="BookAntiquaParliamentary"/>
          <w:sz w:val="24"/>
          <w:szCs w:val="24"/>
        </w:rPr>
        <w:endnoteReference w:id="128"/>
      </w:r>
    </w:p>
    <w:p w:rsidR="00B70F15" w:rsidRPr="00105456" w:rsidRDefault="00B70F15" w:rsidP="00105456">
      <w:pPr>
        <w:pStyle w:val="NoSpacing"/>
        <w:rPr>
          <w:rFonts w:ascii="Verdana" w:hAnsi="Verdana"/>
          <w:sz w:val="24"/>
          <w:szCs w:val="24"/>
        </w:rPr>
      </w:pPr>
      <w:r w:rsidRPr="00105456">
        <w:rPr>
          <w:rFonts w:ascii="Verdana" w:hAnsi="Verdana"/>
          <w:sz w:val="24"/>
          <w:szCs w:val="24"/>
        </w:rPr>
        <w:tab/>
      </w:r>
    </w:p>
    <w:p w:rsidR="006C72F2" w:rsidRPr="00105456" w:rsidRDefault="007412C2" w:rsidP="00105456">
      <w:pPr>
        <w:pStyle w:val="NoSpacing"/>
        <w:rPr>
          <w:rFonts w:ascii="Verdana" w:hAnsi="Verdana"/>
          <w:b/>
          <w:sz w:val="24"/>
          <w:szCs w:val="24"/>
        </w:rPr>
      </w:pPr>
      <w:r w:rsidRPr="00105456">
        <w:rPr>
          <w:rFonts w:ascii="Verdana" w:hAnsi="Verdana"/>
          <w:b/>
          <w:sz w:val="24"/>
          <w:szCs w:val="24"/>
        </w:rPr>
        <w:t>T</w:t>
      </w:r>
      <w:r w:rsidR="00B70F15" w:rsidRPr="00105456">
        <w:rPr>
          <w:rFonts w:ascii="Verdana" w:hAnsi="Verdana"/>
          <w:b/>
          <w:sz w:val="24"/>
          <w:szCs w:val="24"/>
        </w:rPr>
        <w:t>he Committee may wish to recommend that the State Party ensure any measures taken to stem the flow of foreign fighters and prevent the commission of criminal acts comply with international human rights law</w:t>
      </w:r>
      <w:r w:rsidR="00185852" w:rsidRPr="00105456">
        <w:rPr>
          <w:rFonts w:ascii="Verdana" w:hAnsi="Verdana"/>
          <w:b/>
          <w:sz w:val="24"/>
          <w:szCs w:val="24"/>
        </w:rPr>
        <w:t>, in line with the Report of the UN High Commissioner for Human Rights on the protection of human rights and fundamental freedoms while countering terrorism</w:t>
      </w:r>
      <w:r w:rsidR="00B70F15" w:rsidRPr="00105456">
        <w:rPr>
          <w:rFonts w:ascii="Verdana" w:hAnsi="Verdana"/>
          <w:b/>
          <w:sz w:val="24"/>
          <w:szCs w:val="24"/>
        </w:rPr>
        <w:t>.</w:t>
      </w:r>
      <w:r w:rsidR="00B70F15" w:rsidRPr="00105456">
        <w:rPr>
          <w:rStyle w:val="EndnoteReference"/>
          <w:rFonts w:ascii="Verdana" w:hAnsi="Verdana"/>
          <w:b/>
          <w:sz w:val="24"/>
          <w:szCs w:val="24"/>
        </w:rPr>
        <w:endnoteReference w:id="129"/>
      </w:r>
      <w:r w:rsidR="00B70F15" w:rsidRPr="00105456">
        <w:rPr>
          <w:rFonts w:ascii="Verdana" w:hAnsi="Verdana"/>
          <w:b/>
          <w:sz w:val="24"/>
          <w:szCs w:val="24"/>
        </w:rPr>
        <w:t xml:space="preserve"> </w:t>
      </w:r>
    </w:p>
    <w:p w:rsidR="00185852" w:rsidRPr="00105456" w:rsidRDefault="00185852" w:rsidP="00105456">
      <w:pPr>
        <w:pStyle w:val="NoSpacing"/>
        <w:rPr>
          <w:rFonts w:ascii="Verdana" w:hAnsi="Verdana"/>
          <w:b/>
          <w:sz w:val="24"/>
          <w:szCs w:val="24"/>
        </w:rPr>
      </w:pPr>
    </w:p>
    <w:p w:rsidR="00185852" w:rsidRPr="00105456" w:rsidRDefault="00185852" w:rsidP="00105456">
      <w:pPr>
        <w:pStyle w:val="NoSpacing"/>
        <w:rPr>
          <w:rFonts w:ascii="Verdana" w:hAnsi="Verdana"/>
          <w:b/>
          <w:sz w:val="24"/>
          <w:szCs w:val="24"/>
        </w:rPr>
      </w:pPr>
    </w:p>
    <w:p w:rsidR="00185852" w:rsidRPr="00105456" w:rsidRDefault="00185852" w:rsidP="00105456">
      <w:pPr>
        <w:pStyle w:val="NoSpacing"/>
        <w:rPr>
          <w:rFonts w:ascii="Verdana" w:hAnsi="Verdana"/>
          <w:b/>
          <w:sz w:val="24"/>
          <w:szCs w:val="24"/>
        </w:rPr>
      </w:pPr>
    </w:p>
    <w:p w:rsidR="00185852" w:rsidRPr="00105456" w:rsidRDefault="00185852" w:rsidP="00105456">
      <w:pPr>
        <w:pStyle w:val="NoSpacing"/>
        <w:rPr>
          <w:rFonts w:ascii="Verdana" w:hAnsi="Verdana"/>
          <w:b/>
          <w:sz w:val="24"/>
          <w:szCs w:val="24"/>
        </w:rPr>
      </w:pPr>
    </w:p>
    <w:p w:rsidR="00440C48" w:rsidRDefault="00440C48" w:rsidP="00105456">
      <w:pPr>
        <w:pStyle w:val="NoSpacing"/>
        <w:rPr>
          <w:rFonts w:ascii="Verdana" w:hAnsi="Verdana"/>
          <w:b/>
          <w:sz w:val="24"/>
          <w:szCs w:val="24"/>
        </w:rPr>
      </w:pPr>
    </w:p>
    <w:p w:rsidR="00440C48" w:rsidRPr="00105456" w:rsidRDefault="00440C48" w:rsidP="00105456">
      <w:pPr>
        <w:pStyle w:val="NoSpacing"/>
        <w:rPr>
          <w:rFonts w:ascii="Verdana" w:hAnsi="Verdana" w:cs="BookAntiquaParliamentary"/>
          <w:sz w:val="24"/>
          <w:szCs w:val="24"/>
        </w:rPr>
      </w:pPr>
    </w:p>
    <w:sectPr w:rsidR="00440C48" w:rsidRPr="00105456">
      <w:footerReference w:type="default" r:id="rId10"/>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4DBE" w:rsidRDefault="00D14DBE" w:rsidP="00485374">
      <w:pPr>
        <w:spacing w:after="0" w:line="240" w:lineRule="auto"/>
      </w:pPr>
      <w:r>
        <w:separator/>
      </w:r>
    </w:p>
  </w:endnote>
  <w:endnote w:type="continuationSeparator" w:id="0">
    <w:p w:rsidR="00D14DBE" w:rsidRDefault="00D14DBE" w:rsidP="00485374">
      <w:pPr>
        <w:spacing w:after="0" w:line="240" w:lineRule="auto"/>
      </w:pPr>
      <w:r>
        <w:continuationSeparator/>
      </w:r>
    </w:p>
  </w:endnote>
  <w:endnote w:id="1">
    <w:p w:rsidR="00F07B5B" w:rsidRDefault="00F07B5B">
      <w:pPr>
        <w:pStyle w:val="EndnoteText"/>
      </w:pPr>
      <w:r>
        <w:rPr>
          <w:rStyle w:val="EndnoteReference"/>
        </w:rPr>
        <w:endnoteRef/>
      </w:r>
      <w:r>
        <w:t xml:space="preserve"> Belfast (Good Friday) Agreement: Rights, Safeguards and Equality of Opportunity: Human Rights para 4 </w:t>
      </w:r>
    </w:p>
  </w:endnote>
  <w:endnote w:id="2">
    <w:p w:rsidR="00F07B5B" w:rsidRDefault="00F07B5B">
      <w:pPr>
        <w:pStyle w:val="EndnoteText"/>
      </w:pPr>
      <w:r>
        <w:rPr>
          <w:rStyle w:val="EndnoteReference"/>
        </w:rPr>
        <w:endnoteRef/>
      </w:r>
      <w:r>
        <w:t xml:space="preserve"> NIHRC ‘ Submission to the UN Human Rights Committee Country Report Task Force on the Seventh Report of the UK on compliance with the ICCPR’ 2014 </w:t>
      </w:r>
    </w:p>
  </w:endnote>
  <w:endnote w:id="3">
    <w:p w:rsidR="00F07B5B" w:rsidRPr="0039251D" w:rsidRDefault="00F07B5B">
      <w:pPr>
        <w:pStyle w:val="EndnoteText"/>
      </w:pPr>
      <w:r>
        <w:rPr>
          <w:rStyle w:val="EndnoteReference"/>
        </w:rPr>
        <w:endnoteRef/>
      </w:r>
      <w:r>
        <w:t xml:space="preserve"> </w:t>
      </w:r>
      <w:r w:rsidRPr="0039251D">
        <w:t>House of Lords House of Commons Joint Committee on Human Rights ‘Human Rights Judgments’ Seventh Report of Session 2014–15 HL Paper 130 HC 1088 4 March 2015</w:t>
      </w:r>
    </w:p>
  </w:endnote>
  <w:endnote w:id="4">
    <w:p w:rsidR="00F07B5B" w:rsidRPr="0039251D" w:rsidRDefault="00F07B5B">
      <w:pPr>
        <w:pStyle w:val="EndnoteText"/>
      </w:pPr>
      <w:r w:rsidRPr="0039251D">
        <w:rPr>
          <w:rStyle w:val="EndnoteReference"/>
        </w:rPr>
        <w:endnoteRef/>
      </w:r>
      <w:r w:rsidRPr="0039251D">
        <w:t xml:space="preserve"> Ibid para 3.2</w:t>
      </w:r>
    </w:p>
  </w:endnote>
  <w:endnote w:id="5">
    <w:p w:rsidR="00F07B5B" w:rsidRPr="0039251D" w:rsidRDefault="00F07B5B">
      <w:pPr>
        <w:pStyle w:val="EndnoteText"/>
      </w:pPr>
      <w:r w:rsidRPr="0039251D">
        <w:rPr>
          <w:rStyle w:val="EndnoteReference"/>
        </w:rPr>
        <w:endnoteRef/>
      </w:r>
      <w:r w:rsidRPr="0039251D">
        <w:t xml:space="preserve"> Ibid para 3.14 </w:t>
      </w:r>
    </w:p>
  </w:endnote>
  <w:endnote w:id="6">
    <w:p w:rsidR="00F07B5B" w:rsidRPr="0039251D" w:rsidRDefault="00F07B5B">
      <w:pPr>
        <w:pStyle w:val="EndnoteText"/>
      </w:pPr>
      <w:r w:rsidRPr="0039251D">
        <w:rPr>
          <w:rStyle w:val="EndnoteReference"/>
        </w:rPr>
        <w:endnoteRef/>
      </w:r>
      <w:r w:rsidRPr="0039251D">
        <w:t xml:space="preserve"> ibid</w:t>
      </w:r>
    </w:p>
  </w:endnote>
  <w:endnote w:id="7">
    <w:p w:rsidR="00F07B5B" w:rsidRDefault="00F07B5B">
      <w:pPr>
        <w:pStyle w:val="EndnoteText"/>
      </w:pPr>
      <w:r>
        <w:rPr>
          <w:rStyle w:val="EndnoteReference"/>
        </w:rPr>
        <w:endnoteRef/>
      </w:r>
      <w:r>
        <w:t xml:space="preserve"> </w:t>
      </w:r>
      <w:proofErr w:type="spellStart"/>
      <w:r>
        <w:t>Ballantyne</w:t>
      </w:r>
      <w:proofErr w:type="spellEnd"/>
      <w:r>
        <w:t xml:space="preserve"> et al v Canada (359, 385/89) at [18.42] </w:t>
      </w:r>
    </w:p>
  </w:endnote>
  <w:endnote w:id="8">
    <w:p w:rsidR="00F07B5B" w:rsidRDefault="00F07B5B">
      <w:pPr>
        <w:pStyle w:val="EndnoteText"/>
      </w:pPr>
      <w:r>
        <w:rPr>
          <w:rStyle w:val="EndnoteReference"/>
        </w:rPr>
        <w:endnoteRef/>
      </w:r>
      <w:r>
        <w:t xml:space="preserve"> </w:t>
      </w:r>
      <w:r w:rsidRPr="00FC436A">
        <w:t>Belfast (Good Friday) Agreement</w:t>
      </w:r>
      <w:r>
        <w:t xml:space="preserve">: </w:t>
      </w:r>
      <w:r w:rsidRPr="003B182C">
        <w:t>“The British Government will complete incorporation into Northern Ireland law of the European Convention on Human Rights (ECHR), with direct access to the courts, and remedies for breach of the Convention, including power for the courts to overrule Assembly legislation on grounds of inconsistency.”</w:t>
      </w:r>
    </w:p>
  </w:endnote>
  <w:endnote w:id="9">
    <w:p w:rsidR="00F07B5B" w:rsidRPr="0039251D" w:rsidRDefault="00F07B5B">
      <w:pPr>
        <w:pStyle w:val="EndnoteText"/>
      </w:pPr>
      <w:r w:rsidRPr="0039251D">
        <w:rPr>
          <w:rStyle w:val="EndnoteReference"/>
        </w:rPr>
        <w:endnoteRef/>
      </w:r>
      <w:r w:rsidRPr="0039251D">
        <w:t xml:space="preserve"> 'Belgrade Principles' on the Relationship between NHRIs and Parliaments Serbia 2012</w:t>
      </w:r>
    </w:p>
  </w:endnote>
  <w:endnote w:id="10">
    <w:p w:rsidR="00F07B5B" w:rsidRPr="0039251D" w:rsidRDefault="00F07B5B">
      <w:pPr>
        <w:pStyle w:val="EndnoteText"/>
      </w:pPr>
      <w:r w:rsidRPr="0039251D">
        <w:rPr>
          <w:rStyle w:val="EndnoteReference"/>
        </w:rPr>
        <w:endnoteRef/>
      </w:r>
      <w:r w:rsidRPr="0039251D">
        <w:t xml:space="preserve"> HM Treasury Budget 2015 HC 1093</w:t>
      </w:r>
    </w:p>
  </w:endnote>
  <w:endnote w:id="11">
    <w:p w:rsidR="00F07B5B" w:rsidRDefault="00F07B5B">
      <w:pPr>
        <w:pStyle w:val="EndnoteText"/>
      </w:pPr>
      <w:r>
        <w:rPr>
          <w:rStyle w:val="EndnoteReference"/>
        </w:rPr>
        <w:endnoteRef/>
      </w:r>
      <w:r>
        <w:t xml:space="preserve"> </w:t>
      </w:r>
      <w:r w:rsidRPr="0062328F">
        <w:t>(General Assembly resolution 48/134, annex).</w:t>
      </w:r>
    </w:p>
  </w:endnote>
  <w:endnote w:id="12">
    <w:p w:rsidR="00F07B5B" w:rsidRPr="0039251D" w:rsidRDefault="00F07B5B" w:rsidP="00ED0A6F">
      <w:pPr>
        <w:pStyle w:val="EndnoteText"/>
      </w:pPr>
      <w:r w:rsidRPr="0039251D">
        <w:rPr>
          <w:rStyle w:val="EndnoteReference"/>
        </w:rPr>
        <w:endnoteRef/>
      </w:r>
      <w:r w:rsidRPr="0039251D">
        <w:t xml:space="preserve"> See, PSNI </w:t>
      </w:r>
      <w:r w:rsidRPr="0039251D">
        <w:rPr>
          <w:i/>
        </w:rPr>
        <w:t xml:space="preserve">Incidents and Crimes with a Hate Motivation Recorded by the Police in Northern Ireland: Quarterly Update to 31 </w:t>
      </w:r>
      <w:r>
        <w:rPr>
          <w:i/>
        </w:rPr>
        <w:t>March</w:t>
      </w:r>
      <w:r w:rsidRPr="0039251D">
        <w:rPr>
          <w:i/>
        </w:rPr>
        <w:t>201</w:t>
      </w:r>
      <w:r>
        <w:rPr>
          <w:i/>
        </w:rPr>
        <w:t>5</w:t>
      </w:r>
      <w:r w:rsidRPr="0039251D">
        <w:rPr>
          <w:i/>
        </w:rPr>
        <w:t xml:space="preserve"> </w:t>
      </w:r>
      <w:r w:rsidRPr="0039251D">
        <w:t>(</w:t>
      </w:r>
      <w:r>
        <w:t>12 May</w:t>
      </w:r>
      <w:r w:rsidRPr="0039251D">
        <w:t xml:space="preserve"> 2015), Figure 2, available at, &lt;http://www.psni.police.uk/quarterly_hate_motivations_bulletin_period_ending_dec14.pdf&gt; (accessed 16 April 2015).</w:t>
      </w:r>
    </w:p>
  </w:endnote>
  <w:endnote w:id="13">
    <w:p w:rsidR="00F07B5B" w:rsidRPr="0039251D" w:rsidRDefault="00F07B5B" w:rsidP="00ED0A6F">
      <w:pPr>
        <w:pStyle w:val="EndnoteText"/>
      </w:pPr>
      <w:r w:rsidRPr="0039251D">
        <w:rPr>
          <w:rStyle w:val="EndnoteReference"/>
        </w:rPr>
        <w:endnoteRef/>
      </w:r>
      <w:r w:rsidRPr="0039251D">
        <w:t xml:space="preserve"> Criminal Justice (No. 2) (NI) Order 2004, Article 2.</w:t>
      </w:r>
    </w:p>
  </w:endnote>
  <w:endnote w:id="14">
    <w:p w:rsidR="00F07B5B" w:rsidRDefault="00F07B5B" w:rsidP="00ED0A6F">
      <w:pPr>
        <w:pStyle w:val="EndnoteText"/>
      </w:pPr>
      <w:r>
        <w:rPr>
          <w:rStyle w:val="EndnoteReference"/>
        </w:rPr>
        <w:endnoteRef/>
      </w:r>
      <w:r>
        <w:t xml:space="preserve"> </w:t>
      </w:r>
      <w:r w:rsidRPr="00525339">
        <w:t>Criminal Justice (No. 2) (Northern Ireland) Order 2004, Article 2.</w:t>
      </w:r>
    </w:p>
  </w:endnote>
  <w:endnote w:id="15">
    <w:p w:rsidR="00F07B5B" w:rsidRPr="0039251D" w:rsidRDefault="00F07B5B" w:rsidP="00ED0A6F">
      <w:pPr>
        <w:pStyle w:val="EndnoteText"/>
      </w:pPr>
      <w:r w:rsidRPr="0039251D">
        <w:rPr>
          <w:rStyle w:val="EndnoteReference"/>
        </w:rPr>
        <w:endnoteRef/>
      </w:r>
      <w:r w:rsidRPr="0039251D">
        <w:t xml:space="preserve"> For example, statistics at the time recorded that between April 2007 and January 2012, five racially aggravated crimes received an enhanced sentence.  For the NIHRC investigation rationale, methodology and recommendations, see, NIHRC </w:t>
      </w:r>
      <w:r w:rsidRPr="0039251D">
        <w:rPr>
          <w:i/>
        </w:rPr>
        <w:t xml:space="preserve">Racist Hate Crime: Human Rights and the Criminal Justice System in NI </w:t>
      </w:r>
      <w:r w:rsidRPr="0039251D">
        <w:t xml:space="preserve">(September 2013), available at, &lt; </w:t>
      </w:r>
      <w:hyperlink r:id="rId1" w:history="1">
        <w:r w:rsidRPr="0039251D">
          <w:rPr>
            <w:rStyle w:val="Hyperlink"/>
          </w:rPr>
          <w:t>http://www.nihrc.org/uploads/publications/103141_NIHRC_Racist_Hate_Crime_4_Combined_%282%29.pdf</w:t>
        </w:r>
      </w:hyperlink>
      <w:r w:rsidRPr="0039251D">
        <w:t>&gt; (accessed 20 April 2015).</w:t>
      </w:r>
    </w:p>
  </w:endnote>
  <w:endnote w:id="16">
    <w:p w:rsidR="00F07B5B" w:rsidRPr="0039251D" w:rsidRDefault="00F07B5B" w:rsidP="00ED0A6F">
      <w:pPr>
        <w:pStyle w:val="EndnoteText"/>
      </w:pPr>
      <w:r w:rsidRPr="0039251D">
        <w:rPr>
          <w:rStyle w:val="EndnoteReference"/>
        </w:rPr>
        <w:endnoteRef/>
      </w:r>
      <w:r w:rsidRPr="0039251D">
        <w:t xml:space="preserve"> The Public Order (Northern Ireland) Order 1987, Part III, Articles 9-13 (as amended). The definition was expanded to include sexual orientation and disability by the Criminal Justice (No. 2) (Northern Ireland) Order 2004, Article 3.</w:t>
      </w:r>
    </w:p>
  </w:endnote>
  <w:endnote w:id="17">
    <w:p w:rsidR="00F07B5B" w:rsidRPr="0039251D" w:rsidRDefault="00F07B5B" w:rsidP="00ED0A6F">
      <w:pPr>
        <w:pStyle w:val="Default"/>
        <w:rPr>
          <w:rFonts w:asciiTheme="minorHAnsi" w:hAnsiTheme="minorHAnsi"/>
          <w:sz w:val="20"/>
          <w:szCs w:val="20"/>
        </w:rPr>
      </w:pPr>
      <w:r w:rsidRPr="0039251D">
        <w:rPr>
          <w:rStyle w:val="EndnoteReference"/>
          <w:rFonts w:asciiTheme="minorHAnsi" w:hAnsiTheme="minorHAnsi"/>
          <w:sz w:val="20"/>
          <w:szCs w:val="20"/>
        </w:rPr>
        <w:endnoteRef/>
      </w:r>
      <w:r w:rsidRPr="0039251D">
        <w:rPr>
          <w:rFonts w:asciiTheme="minorHAnsi" w:hAnsiTheme="minorHAnsi"/>
          <w:sz w:val="20"/>
          <w:szCs w:val="20"/>
        </w:rPr>
        <w:t xml:space="preserve"> NIHRC, ‘</w:t>
      </w:r>
      <w:r w:rsidRPr="0039251D">
        <w:rPr>
          <w:rFonts w:asciiTheme="minorHAnsi" w:hAnsiTheme="minorHAnsi"/>
          <w:bCs/>
          <w:sz w:val="20"/>
          <w:szCs w:val="20"/>
        </w:rPr>
        <w:t xml:space="preserve">Response of the Northern Ireland Human Rights Commission to the </w:t>
      </w:r>
      <w:proofErr w:type="spellStart"/>
      <w:r w:rsidRPr="0039251D">
        <w:rPr>
          <w:rFonts w:asciiTheme="minorHAnsi" w:hAnsiTheme="minorHAnsi"/>
          <w:bCs/>
          <w:sz w:val="20"/>
          <w:szCs w:val="20"/>
        </w:rPr>
        <w:t>OFMdFM</w:t>
      </w:r>
      <w:proofErr w:type="spellEnd"/>
      <w:r w:rsidRPr="0039251D">
        <w:rPr>
          <w:rFonts w:asciiTheme="minorHAnsi" w:hAnsiTheme="minorHAnsi"/>
          <w:bCs/>
          <w:sz w:val="20"/>
          <w:szCs w:val="20"/>
        </w:rPr>
        <w:t xml:space="preserve"> consultation on ‘A Sense of Belonging: Delivering Social Change through a Racial Equality Strategy for Northern Ireland 2014 - 2024’ (October 2014), available at,</w:t>
      </w:r>
      <w:r w:rsidRPr="0039251D">
        <w:rPr>
          <w:rFonts w:asciiTheme="minorHAnsi" w:hAnsiTheme="minorHAnsi"/>
          <w:b/>
          <w:bCs/>
          <w:sz w:val="20"/>
          <w:szCs w:val="20"/>
        </w:rPr>
        <w:t xml:space="preserve"> </w:t>
      </w:r>
      <w:r w:rsidRPr="0039251D">
        <w:rPr>
          <w:rFonts w:asciiTheme="minorHAnsi" w:hAnsiTheme="minorHAnsi"/>
          <w:sz w:val="20"/>
          <w:szCs w:val="20"/>
        </w:rPr>
        <w:t>&lt;</w:t>
      </w:r>
      <w:hyperlink r:id="rId2" w:history="1">
        <w:r w:rsidRPr="0039251D">
          <w:rPr>
            <w:rStyle w:val="Hyperlink"/>
            <w:rFonts w:asciiTheme="minorHAnsi" w:hAnsiTheme="minorHAnsi"/>
          </w:rPr>
          <w:t>http://www.nihrc.org/uploads/publications/NIHRC_-_Advice_on_RES_%28final%29.pdf</w:t>
        </w:r>
      </w:hyperlink>
      <w:r w:rsidRPr="0039251D">
        <w:rPr>
          <w:rFonts w:asciiTheme="minorHAnsi" w:hAnsiTheme="minorHAnsi"/>
          <w:sz w:val="20"/>
          <w:szCs w:val="20"/>
        </w:rPr>
        <w:t xml:space="preserve">&gt; (accessed 20 April 2015).  See also, OHCHR, </w:t>
      </w:r>
      <w:r w:rsidRPr="0039251D">
        <w:rPr>
          <w:rFonts w:asciiTheme="minorHAnsi" w:hAnsiTheme="minorHAnsi"/>
          <w:i/>
          <w:sz w:val="20"/>
          <w:szCs w:val="20"/>
        </w:rPr>
        <w:t xml:space="preserve">Developing National Action Plans against Racial Discrimination: A Practical Guide </w:t>
      </w:r>
      <w:r w:rsidRPr="0039251D">
        <w:rPr>
          <w:rFonts w:asciiTheme="minorHAnsi" w:hAnsiTheme="minorHAnsi"/>
          <w:sz w:val="20"/>
          <w:szCs w:val="20"/>
        </w:rPr>
        <w:t>(New York &amp; Geneva: 2014).</w:t>
      </w:r>
    </w:p>
  </w:endnote>
  <w:endnote w:id="18">
    <w:p w:rsidR="00F07B5B" w:rsidRPr="0039251D" w:rsidRDefault="00F07B5B" w:rsidP="006C6998">
      <w:pPr>
        <w:pStyle w:val="EndnoteText"/>
      </w:pPr>
      <w:r w:rsidRPr="0039251D">
        <w:rPr>
          <w:rStyle w:val="EndnoteReference"/>
        </w:rPr>
        <w:endnoteRef/>
      </w:r>
      <w:r w:rsidRPr="0039251D">
        <w:t xml:space="preserve"> Policing Board NI ‘Human Rights Annual Report 2014’ Belfast 2015 </w:t>
      </w:r>
      <w:proofErr w:type="spellStart"/>
      <w:r w:rsidRPr="0039251D">
        <w:t>pg</w:t>
      </w:r>
      <w:proofErr w:type="spellEnd"/>
      <w:r w:rsidRPr="0039251D">
        <w:t xml:space="preserve"> 32 </w:t>
      </w:r>
    </w:p>
  </w:endnote>
  <w:endnote w:id="19">
    <w:p w:rsidR="00F07B5B" w:rsidRPr="0039251D" w:rsidRDefault="00F07B5B" w:rsidP="006C6998">
      <w:pPr>
        <w:pStyle w:val="EndnoteText"/>
      </w:pPr>
      <w:r w:rsidRPr="0039251D">
        <w:rPr>
          <w:rStyle w:val="EndnoteReference"/>
        </w:rPr>
        <w:endnoteRef/>
      </w:r>
      <w:r w:rsidRPr="0039251D">
        <w:t xml:space="preserve"> An Investigation of Gender Equality Issues at the Executive Level in Northern Ireland Public Sector Organisations Determining baseline data and reporting on the findings from a survey of current and aspiring executives attitudes Professor Joan Ballantine, University of Ulster Dr Graeme Banks University of Ulster</w:t>
      </w:r>
    </w:p>
    <w:p w:rsidR="00F07B5B" w:rsidRPr="0039251D" w:rsidRDefault="00F07B5B" w:rsidP="006C6998">
      <w:pPr>
        <w:pStyle w:val="EndnoteText"/>
      </w:pPr>
      <w:r w:rsidRPr="0039251D">
        <w:t xml:space="preserve">Professor Kathryn Haynes, Newcastle University Dr Melina </w:t>
      </w:r>
      <w:proofErr w:type="spellStart"/>
      <w:r w:rsidRPr="0039251D">
        <w:t>Manochin</w:t>
      </w:r>
      <w:proofErr w:type="spellEnd"/>
      <w:r w:rsidRPr="0039251D">
        <w:t>, University of Aston Mr Tony Wall, University of Ulster October 2014</w:t>
      </w:r>
    </w:p>
  </w:endnote>
  <w:endnote w:id="20">
    <w:p w:rsidR="00F07B5B" w:rsidRPr="0039251D" w:rsidRDefault="00F07B5B" w:rsidP="006C6998">
      <w:pPr>
        <w:pStyle w:val="EndnoteText"/>
      </w:pPr>
      <w:r w:rsidRPr="0039251D">
        <w:rPr>
          <w:rStyle w:val="EndnoteReference"/>
        </w:rPr>
        <w:endnoteRef/>
      </w:r>
      <w:r w:rsidRPr="0039251D">
        <w:t xml:space="preserve"> Ibid </w:t>
      </w:r>
      <w:proofErr w:type="spellStart"/>
      <w:r w:rsidRPr="0039251D">
        <w:t>pg</w:t>
      </w:r>
      <w:proofErr w:type="spellEnd"/>
      <w:r w:rsidRPr="0039251D">
        <w:t xml:space="preserve"> 118 </w:t>
      </w:r>
    </w:p>
  </w:endnote>
  <w:endnote w:id="21">
    <w:p w:rsidR="00F07B5B" w:rsidRPr="0039251D" w:rsidRDefault="00F07B5B" w:rsidP="006C6998">
      <w:pPr>
        <w:pStyle w:val="EndnoteText"/>
      </w:pPr>
      <w:r w:rsidRPr="0039251D">
        <w:rPr>
          <w:rStyle w:val="EndnoteReference"/>
        </w:rPr>
        <w:endnoteRef/>
      </w:r>
      <w:r w:rsidRPr="0039251D">
        <w:t xml:space="preserve"> NIJAC ‘The Judiciary Northern Ireland 2014 Equality Monitoring Report’ 1 </w:t>
      </w:r>
      <w:proofErr w:type="spellStart"/>
      <w:r w:rsidRPr="0039251D">
        <w:t>april</w:t>
      </w:r>
      <w:proofErr w:type="spellEnd"/>
      <w:r w:rsidRPr="0039251D">
        <w:t xml:space="preserve"> 2014 </w:t>
      </w:r>
    </w:p>
  </w:endnote>
  <w:endnote w:id="22">
    <w:p w:rsidR="00F07B5B" w:rsidRDefault="00F07B5B">
      <w:pPr>
        <w:pStyle w:val="EndnoteText"/>
      </w:pPr>
      <w:r>
        <w:rPr>
          <w:rStyle w:val="EndnoteReference"/>
        </w:rPr>
        <w:endnoteRef/>
      </w:r>
      <w:r>
        <w:t xml:space="preserve"> Ibid See further QUB ‘Rewarding Merit in Judicial Appointments’ January 2013 </w:t>
      </w:r>
    </w:p>
  </w:endnote>
  <w:endnote w:id="23">
    <w:p w:rsidR="00F07B5B" w:rsidRPr="0039251D" w:rsidRDefault="00F07B5B" w:rsidP="00984C4C">
      <w:pPr>
        <w:pStyle w:val="EndnoteText"/>
      </w:pPr>
      <w:r w:rsidRPr="0039251D">
        <w:rPr>
          <w:rStyle w:val="EndnoteReference"/>
        </w:rPr>
        <w:endnoteRef/>
      </w:r>
      <w:r w:rsidRPr="0039251D">
        <w:t xml:space="preserve"> CJINI ‘Domestic Violence and Abuse: A thematic inspection of the handling of domestic violence and abuse cases by the criminal justice system in NI’ December 2010</w:t>
      </w:r>
    </w:p>
    <w:p w:rsidR="00F07B5B" w:rsidRPr="0039251D" w:rsidRDefault="00F07B5B" w:rsidP="00984C4C">
      <w:pPr>
        <w:pStyle w:val="EndnoteText"/>
      </w:pPr>
      <w:r w:rsidRPr="0039251D">
        <w:t>Recommendation 2</w:t>
      </w:r>
    </w:p>
  </w:endnote>
  <w:endnote w:id="24">
    <w:p w:rsidR="00F07B5B" w:rsidRPr="0039251D" w:rsidRDefault="00F07B5B">
      <w:pPr>
        <w:pStyle w:val="EndnoteText"/>
      </w:pPr>
      <w:r w:rsidRPr="0039251D">
        <w:rPr>
          <w:rStyle w:val="EndnoteReference"/>
        </w:rPr>
        <w:endnoteRef/>
      </w:r>
      <w:r w:rsidRPr="0039251D">
        <w:t xml:space="preserve"> </w:t>
      </w:r>
      <w:r w:rsidRPr="0039251D">
        <w:rPr>
          <w:i/>
        </w:rPr>
        <w:t>ibid</w:t>
      </w:r>
    </w:p>
  </w:endnote>
  <w:endnote w:id="25">
    <w:p w:rsidR="00F07B5B" w:rsidRPr="0039251D" w:rsidRDefault="00F07B5B">
      <w:pPr>
        <w:pStyle w:val="EndnoteText"/>
      </w:pPr>
      <w:r w:rsidRPr="0039251D">
        <w:rPr>
          <w:rStyle w:val="EndnoteReference"/>
        </w:rPr>
        <w:endnoteRef/>
      </w:r>
      <w:r w:rsidRPr="0039251D">
        <w:t xml:space="preserve"> Criminal Justice Inspection Northern Ireland, ‘Domestic Violence and Abuse: A follow-up review of inspection recommendations’, October 2013, p. 9, available at: &lt;http://www.cjini.org/CJNI/files/34/34118bcc-00c5-4071-bf2f-5397e6b20332.pdf&gt;.</w:t>
      </w:r>
    </w:p>
  </w:endnote>
  <w:endnote w:id="26">
    <w:p w:rsidR="00F07B5B" w:rsidRDefault="00F07B5B">
      <w:pPr>
        <w:pStyle w:val="EndnoteText"/>
      </w:pPr>
      <w:r>
        <w:rPr>
          <w:rStyle w:val="EndnoteReference"/>
        </w:rPr>
        <w:endnoteRef/>
      </w:r>
      <w:r>
        <w:t xml:space="preserve"> ibid</w:t>
      </w:r>
    </w:p>
  </w:endnote>
  <w:endnote w:id="27">
    <w:p w:rsidR="00F07B5B" w:rsidRPr="0039251D" w:rsidRDefault="00F07B5B">
      <w:pPr>
        <w:pStyle w:val="EndnoteText"/>
      </w:pPr>
      <w:r w:rsidRPr="0039251D">
        <w:rPr>
          <w:rStyle w:val="EndnoteReference"/>
        </w:rPr>
        <w:endnoteRef/>
      </w:r>
      <w:r w:rsidRPr="0039251D">
        <w:t xml:space="preserve"> HC Deb 25 November 2013 c6WMS</w:t>
      </w:r>
    </w:p>
  </w:endnote>
  <w:endnote w:id="28">
    <w:p w:rsidR="00F07B5B" w:rsidRPr="0039251D" w:rsidRDefault="00F07B5B">
      <w:pPr>
        <w:pStyle w:val="EndnoteText"/>
      </w:pPr>
      <w:r w:rsidRPr="0039251D">
        <w:rPr>
          <w:rStyle w:val="EndnoteReference"/>
        </w:rPr>
        <w:endnoteRef/>
      </w:r>
      <w:r w:rsidRPr="0039251D">
        <w:t xml:space="preserve"> Home Office, Evaluation of the pilot of Domestic Violence Protection Orders, 25 November 2013</w:t>
      </w:r>
    </w:p>
  </w:endnote>
  <w:endnote w:id="29">
    <w:p w:rsidR="00F07B5B" w:rsidRDefault="00F07B5B">
      <w:pPr>
        <w:pStyle w:val="EndnoteText"/>
      </w:pPr>
      <w:r>
        <w:rPr>
          <w:rStyle w:val="EndnoteReference"/>
        </w:rPr>
        <w:endnoteRef/>
      </w:r>
      <w:r>
        <w:t xml:space="preserve"> ibid</w:t>
      </w:r>
    </w:p>
  </w:endnote>
  <w:endnote w:id="30">
    <w:p w:rsidR="00F07B5B" w:rsidRDefault="00F07B5B">
      <w:pPr>
        <w:pStyle w:val="EndnoteText"/>
      </w:pPr>
      <w:r>
        <w:rPr>
          <w:rStyle w:val="EndnoteReference"/>
        </w:rPr>
        <w:endnoteRef/>
      </w:r>
      <w:r>
        <w:t xml:space="preserve"> Justice </w:t>
      </w:r>
      <w:r>
        <w:rPr>
          <w:rFonts w:ascii="Arial" w:hAnsi="Arial" w:cs="Arial"/>
          <w:color w:val="444444"/>
        </w:rPr>
        <w:t xml:space="preserve">Bill 37/11-15 Part 7 </w:t>
      </w:r>
    </w:p>
  </w:endnote>
  <w:endnote w:id="31">
    <w:p w:rsidR="00F07B5B" w:rsidRDefault="00F07B5B" w:rsidP="00FC7322">
      <w:pPr>
        <w:pStyle w:val="EndnoteText"/>
      </w:pPr>
      <w:r>
        <w:rPr>
          <w:rStyle w:val="EndnoteReference"/>
        </w:rPr>
        <w:endnoteRef/>
      </w:r>
      <w:r>
        <w:t xml:space="preserve"> Committee for Justice </w:t>
      </w:r>
      <w:r>
        <w:rPr>
          <w:rFonts w:ascii="ITCFranklinGothicBook" w:hAnsi="ITCFranklinGothicBook" w:cs="ITCFranklinGothicBook"/>
          <w:sz w:val="14"/>
          <w:szCs w:val="14"/>
        </w:rPr>
        <w:t xml:space="preserve">Report on the Justice Bill (NIA 37/11-15) </w:t>
      </w:r>
      <w:r w:rsidRPr="00FC7322">
        <w:rPr>
          <w:rFonts w:ascii="ITCFranklinGothicBook" w:hAnsi="ITCFranklinGothicBook" w:cs="ITCFranklinGothicBook"/>
          <w:sz w:val="14"/>
          <w:szCs w:val="14"/>
        </w:rPr>
        <w:t>Volume 1</w:t>
      </w:r>
      <w:r>
        <w:rPr>
          <w:rFonts w:ascii="ITCFranklinGothicBook" w:hAnsi="ITCFranklinGothicBook" w:cs="ITCFranklinGothicBook"/>
          <w:sz w:val="14"/>
          <w:szCs w:val="14"/>
        </w:rPr>
        <w:t xml:space="preserve"> Para 206 anon</w:t>
      </w:r>
    </w:p>
  </w:endnote>
  <w:endnote w:id="32">
    <w:p w:rsidR="00F07B5B" w:rsidRDefault="00F07B5B" w:rsidP="00C236AA">
      <w:pPr>
        <w:pStyle w:val="EndnoteText"/>
      </w:pPr>
      <w:r w:rsidRPr="0039251D">
        <w:rPr>
          <w:rStyle w:val="EndnoteReference"/>
        </w:rPr>
        <w:endnoteRef/>
      </w:r>
      <w:r w:rsidRPr="0039251D">
        <w:t xml:space="preserve"> </w:t>
      </w:r>
      <w:r>
        <w:t xml:space="preserve">Report of the Independent Reviewer of Terrorism : The Terrorism Acts in 2012, </w:t>
      </w:r>
      <w:proofErr w:type="spellStart"/>
      <w:r>
        <w:t>july</w:t>
      </w:r>
      <w:proofErr w:type="spellEnd"/>
      <w:r>
        <w:t xml:space="preserve"> 2013 para 4.3 See comments: “Particularly striking is its indiscriminate criminalisation of those attacking “countries which are</w:t>
      </w:r>
    </w:p>
    <w:p w:rsidR="00F07B5B" w:rsidRPr="0039251D" w:rsidRDefault="00F07B5B" w:rsidP="00C236AA">
      <w:pPr>
        <w:pStyle w:val="EndnoteText"/>
      </w:pPr>
      <w:r>
        <w:t xml:space="preserve">governed by tyrants and dictators” (R v F [2007] EWCA </w:t>
      </w:r>
      <w:proofErr w:type="spellStart"/>
      <w:r>
        <w:t>Crim</w:t>
      </w:r>
      <w:proofErr w:type="spellEnd"/>
      <w:r>
        <w:t xml:space="preserve"> 243, [32])”</w:t>
      </w:r>
    </w:p>
  </w:endnote>
  <w:endnote w:id="33">
    <w:p w:rsidR="00F07B5B" w:rsidRPr="0039251D" w:rsidRDefault="00F07B5B" w:rsidP="00041351">
      <w:pPr>
        <w:pStyle w:val="EndnoteText"/>
      </w:pPr>
      <w:r w:rsidRPr="0039251D">
        <w:rPr>
          <w:rStyle w:val="EndnoteReference"/>
        </w:rPr>
        <w:endnoteRef/>
      </w:r>
      <w:r w:rsidRPr="0039251D">
        <w:t xml:space="preserve"> [2013] UKSC 64, paras 33-34, 62</w:t>
      </w:r>
    </w:p>
  </w:endnote>
  <w:endnote w:id="34">
    <w:p w:rsidR="00F07B5B" w:rsidRPr="0039251D" w:rsidRDefault="00F07B5B" w:rsidP="00041351">
      <w:pPr>
        <w:pStyle w:val="EndnoteText"/>
      </w:pPr>
      <w:r w:rsidRPr="0039251D">
        <w:rPr>
          <w:rStyle w:val="EndnoteReference"/>
        </w:rPr>
        <w:endnoteRef/>
      </w:r>
      <w:r w:rsidRPr="0039251D">
        <w:t xml:space="preserve"> The Terrorism Acts in 2013,  see further The Terrorism Acts in 2012, July 2013, 4.5; cited in R v Gul [2013] UKSC 64, para 34.</w:t>
      </w:r>
    </w:p>
  </w:endnote>
  <w:endnote w:id="35">
    <w:p w:rsidR="00F07B5B" w:rsidRPr="0039251D" w:rsidRDefault="00F07B5B" w:rsidP="00041351">
      <w:pPr>
        <w:pStyle w:val="EndnoteText"/>
      </w:pPr>
      <w:r w:rsidRPr="0039251D">
        <w:rPr>
          <w:rStyle w:val="EndnoteReference"/>
        </w:rPr>
        <w:endnoteRef/>
      </w:r>
      <w:r w:rsidRPr="0039251D">
        <w:t xml:space="preserve"> The Government Response to the Annual Report on the Operation of the Terrorism Acts in 2013 by the</w:t>
      </w:r>
    </w:p>
    <w:p w:rsidR="00F07B5B" w:rsidRPr="0039251D" w:rsidRDefault="00F07B5B" w:rsidP="00041351">
      <w:pPr>
        <w:pStyle w:val="EndnoteText"/>
      </w:pPr>
      <w:r w:rsidRPr="0039251D">
        <w:t>Independent Reviewer of Terrorism Legislation March 2015 Cm</w:t>
      </w:r>
    </w:p>
  </w:endnote>
  <w:endnote w:id="36">
    <w:p w:rsidR="00F07B5B" w:rsidRPr="0039251D" w:rsidRDefault="00F07B5B">
      <w:pPr>
        <w:pStyle w:val="EndnoteText"/>
      </w:pPr>
      <w:r w:rsidRPr="0039251D">
        <w:rPr>
          <w:rStyle w:val="EndnoteReference"/>
        </w:rPr>
        <w:endnoteRef/>
      </w:r>
      <w:r w:rsidRPr="0039251D">
        <w:t xml:space="preserve"> ibid</w:t>
      </w:r>
    </w:p>
  </w:endnote>
  <w:endnote w:id="37">
    <w:p w:rsidR="00F07B5B" w:rsidRPr="0039251D" w:rsidRDefault="00F07B5B" w:rsidP="00041351">
      <w:pPr>
        <w:pStyle w:val="EndnoteText"/>
      </w:pPr>
      <w:r w:rsidRPr="0039251D">
        <w:rPr>
          <w:rStyle w:val="EndnoteReference"/>
        </w:rPr>
        <w:endnoteRef/>
      </w:r>
      <w:r w:rsidRPr="0039251D">
        <w:t xml:space="preserve"> NIHRC ‘Submission to the UN Human Rights Committee on the United Kingdom’s Seventh Periodic Report on compliance with the International Covenant on Civil and Political Rights.’ 2015 </w:t>
      </w:r>
      <w:proofErr w:type="spellStart"/>
      <w:r w:rsidRPr="0039251D">
        <w:t>pg</w:t>
      </w:r>
      <w:proofErr w:type="spellEnd"/>
      <w:r w:rsidRPr="0039251D">
        <w:t xml:space="preserve"> 15 </w:t>
      </w:r>
    </w:p>
  </w:endnote>
  <w:endnote w:id="38">
    <w:p w:rsidR="00F07B5B" w:rsidRPr="0039251D" w:rsidRDefault="00F07B5B">
      <w:pPr>
        <w:pStyle w:val="EndnoteText"/>
      </w:pPr>
      <w:r w:rsidRPr="0039251D">
        <w:rPr>
          <w:rStyle w:val="EndnoteReference"/>
        </w:rPr>
        <w:endnoteRef/>
      </w:r>
      <w:r w:rsidRPr="0039251D">
        <w:t xml:space="preserve"> Ibid </w:t>
      </w:r>
    </w:p>
  </w:endnote>
  <w:endnote w:id="39">
    <w:p w:rsidR="00F07B5B" w:rsidRPr="0039251D" w:rsidRDefault="00F07B5B" w:rsidP="00041351">
      <w:pPr>
        <w:pStyle w:val="EndnoteText"/>
      </w:pPr>
      <w:r w:rsidRPr="0039251D">
        <w:rPr>
          <w:rStyle w:val="EndnoteReference"/>
        </w:rPr>
        <w:endnoteRef/>
      </w:r>
      <w:r w:rsidRPr="0039251D">
        <w:t xml:space="preserve"> </w:t>
      </w:r>
      <w:r w:rsidRPr="00017CA2">
        <w:t xml:space="preserve">Report of the </w:t>
      </w:r>
      <w:proofErr w:type="spellStart"/>
      <w:r w:rsidRPr="00017CA2">
        <w:t>Hallett</w:t>
      </w:r>
      <w:proofErr w:type="spellEnd"/>
      <w:r w:rsidRPr="00017CA2">
        <w:t xml:space="preserve"> Review HC 380 </w:t>
      </w:r>
      <w:r>
        <w:t xml:space="preserve"> 17 July 2014 available at: </w:t>
      </w:r>
      <w:hyperlink r:id="rId3" w:history="1">
        <w:r w:rsidRPr="00DF442E">
          <w:rPr>
            <w:rStyle w:val="Hyperlink"/>
          </w:rPr>
          <w:t>http://www.hallettreview.org/press-summary-17-july-2014/</w:t>
        </w:r>
      </w:hyperlink>
      <w:r>
        <w:t xml:space="preserve"> </w:t>
      </w:r>
      <w:r w:rsidRPr="0039251D">
        <w:t xml:space="preserve">House of Commons Northern Ireland Affairs Committee The administrative scheme for “on-the-runs” HC 177 24 March 2015 </w:t>
      </w:r>
    </w:p>
  </w:endnote>
  <w:endnote w:id="40">
    <w:p w:rsidR="00F07B5B" w:rsidRPr="0039251D" w:rsidRDefault="00F07B5B" w:rsidP="00041351">
      <w:pPr>
        <w:pStyle w:val="EndnoteText"/>
      </w:pPr>
      <w:r w:rsidRPr="0039251D">
        <w:rPr>
          <w:rStyle w:val="EndnoteReference"/>
        </w:rPr>
        <w:endnoteRef/>
      </w:r>
      <w:r w:rsidRPr="0039251D">
        <w:t xml:space="preserve"> Ibid para 157 </w:t>
      </w:r>
    </w:p>
  </w:endnote>
  <w:endnote w:id="41">
    <w:p w:rsidR="00F07B5B" w:rsidRPr="0039251D" w:rsidRDefault="00F07B5B" w:rsidP="00041351">
      <w:pPr>
        <w:pStyle w:val="EndnoteText"/>
      </w:pPr>
      <w:r w:rsidRPr="0039251D">
        <w:rPr>
          <w:rStyle w:val="EndnoteReference"/>
        </w:rPr>
        <w:endnoteRef/>
      </w:r>
      <w:r w:rsidRPr="0039251D">
        <w:t xml:space="preserve"> UN OHCHR, The role of good governance in the promotion of human rights, Commission on Human Rights resolution 2000/64, UN Doc. E/CN/4/RES/2000/64 para 1</w:t>
      </w:r>
    </w:p>
    <w:p w:rsidR="00F07B5B" w:rsidRPr="0039251D" w:rsidRDefault="00F07B5B" w:rsidP="00041351">
      <w:pPr>
        <w:pStyle w:val="EndnoteText"/>
      </w:pPr>
      <w:r w:rsidRPr="0039251D">
        <w:t xml:space="preserve">  UN Human Rights Council, The role of good governance in the promotion and protection of human rights, Resolution 19/20, UN Doc. A/HRC/RES/19/20</w:t>
      </w:r>
    </w:p>
  </w:endnote>
  <w:endnote w:id="42">
    <w:p w:rsidR="00F07B5B" w:rsidRDefault="00F07B5B">
      <w:pPr>
        <w:pStyle w:val="EndnoteText"/>
      </w:pPr>
      <w:r>
        <w:rPr>
          <w:rStyle w:val="EndnoteReference"/>
        </w:rPr>
        <w:endnoteRef/>
      </w:r>
      <w:r>
        <w:t xml:space="preserve"> </w:t>
      </w:r>
      <w:r w:rsidRPr="00017CA2">
        <w:t xml:space="preserve">Report of the </w:t>
      </w:r>
      <w:proofErr w:type="spellStart"/>
      <w:r>
        <w:t>Hallett</w:t>
      </w:r>
      <w:proofErr w:type="spellEnd"/>
      <w:r>
        <w:t xml:space="preserve"> Review </w:t>
      </w:r>
      <w:r w:rsidRPr="00017CA2">
        <w:t xml:space="preserve">HC 380 </w:t>
      </w:r>
      <w:r>
        <w:t xml:space="preserve"> 17 July 2014 para 2.5</w:t>
      </w:r>
    </w:p>
  </w:endnote>
  <w:endnote w:id="43">
    <w:p w:rsidR="00F07B5B" w:rsidRDefault="00F07B5B">
      <w:pPr>
        <w:pStyle w:val="EndnoteText"/>
      </w:pPr>
      <w:r>
        <w:rPr>
          <w:rStyle w:val="EndnoteReference"/>
        </w:rPr>
        <w:endnoteRef/>
      </w:r>
      <w:r>
        <w:t xml:space="preserve"> Ibid para 2.6</w:t>
      </w:r>
    </w:p>
  </w:endnote>
  <w:endnote w:id="44">
    <w:p w:rsidR="00F07B5B" w:rsidRDefault="00F07B5B">
      <w:pPr>
        <w:pStyle w:val="EndnoteText"/>
      </w:pPr>
      <w:r>
        <w:rPr>
          <w:rStyle w:val="EndnoteReference"/>
        </w:rPr>
        <w:endnoteRef/>
      </w:r>
      <w:r>
        <w:t xml:space="preserve"> </w:t>
      </w:r>
      <w:r w:rsidRPr="00224E8D">
        <w:t>House of Commons Northern Ireland Affairs Committee The administrative scheme for “on-the-runs” HC 177 24 March 2015</w:t>
      </w:r>
      <w:r>
        <w:t xml:space="preserve"> para279-282</w:t>
      </w:r>
    </w:p>
  </w:endnote>
  <w:endnote w:id="45">
    <w:p w:rsidR="00F07B5B" w:rsidRPr="0039251D" w:rsidRDefault="00F07B5B" w:rsidP="00041351">
      <w:pPr>
        <w:pStyle w:val="EndnoteText"/>
      </w:pPr>
      <w:r w:rsidRPr="0039251D">
        <w:rPr>
          <w:rStyle w:val="EndnoteReference"/>
        </w:rPr>
        <w:endnoteRef/>
      </w:r>
      <w:r w:rsidRPr="0039251D">
        <w:t xml:space="preserve"> Stormont House Agreement </w:t>
      </w:r>
    </w:p>
  </w:endnote>
  <w:endnote w:id="46">
    <w:p w:rsidR="00F07B5B" w:rsidRPr="0039251D" w:rsidRDefault="00F07B5B" w:rsidP="00041351">
      <w:pPr>
        <w:pStyle w:val="EndnoteText"/>
      </w:pPr>
      <w:r w:rsidRPr="0039251D">
        <w:rPr>
          <w:rStyle w:val="EndnoteReference"/>
        </w:rPr>
        <w:endnoteRef/>
      </w:r>
      <w:r w:rsidRPr="0039251D">
        <w:t xml:space="preserve"> PSNI Chief Constable’s Speaking Note Northern Ireland Policing Board Meeting 06 November 2014</w:t>
      </w:r>
    </w:p>
  </w:endnote>
  <w:endnote w:id="47">
    <w:p w:rsidR="00F07B5B" w:rsidRPr="0039251D" w:rsidRDefault="00F07B5B" w:rsidP="00041351">
      <w:pPr>
        <w:pStyle w:val="EndnoteText"/>
      </w:pPr>
      <w:r w:rsidRPr="0039251D">
        <w:rPr>
          <w:rStyle w:val="EndnoteReference"/>
        </w:rPr>
        <w:endnoteRef/>
      </w:r>
      <w:r w:rsidRPr="0039251D">
        <w:t xml:space="preserve"> PSNI Chief Constable’s formal report to Northern Ireland Policing Board Meeting 4th</w:t>
      </w:r>
    </w:p>
    <w:p w:rsidR="00F07B5B" w:rsidRPr="0039251D" w:rsidRDefault="00F07B5B" w:rsidP="00041351">
      <w:pPr>
        <w:pStyle w:val="EndnoteText"/>
      </w:pPr>
      <w:r w:rsidRPr="0039251D">
        <w:t>December 2014.</w:t>
      </w:r>
    </w:p>
  </w:endnote>
  <w:endnote w:id="48">
    <w:p w:rsidR="00F07B5B" w:rsidRPr="0039251D" w:rsidRDefault="00F07B5B" w:rsidP="00041351">
      <w:pPr>
        <w:pStyle w:val="EndnoteText"/>
      </w:pPr>
      <w:r w:rsidRPr="0039251D">
        <w:rPr>
          <w:rStyle w:val="EndnoteReference"/>
        </w:rPr>
        <w:endnoteRef/>
      </w:r>
      <w:r w:rsidRPr="0039251D">
        <w:t xml:space="preserve"> </w:t>
      </w:r>
      <w:proofErr w:type="gramStart"/>
      <w:r w:rsidRPr="0039251D">
        <w:t>http://www.bbc.co.uk/news/uk-northern-ireland-31082500 (1 February 2015).</w:t>
      </w:r>
      <w:proofErr w:type="gramEnd"/>
      <w:r w:rsidRPr="0039251D">
        <w:t xml:space="preserve"> </w:t>
      </w:r>
    </w:p>
  </w:endnote>
  <w:endnote w:id="49">
    <w:p w:rsidR="00F07B5B" w:rsidRPr="0039251D" w:rsidRDefault="00F07B5B" w:rsidP="00041351">
      <w:pPr>
        <w:pStyle w:val="EndnoteText"/>
      </w:pPr>
      <w:r w:rsidRPr="0039251D">
        <w:rPr>
          <w:rStyle w:val="EndnoteReference"/>
        </w:rPr>
        <w:endnoteRef/>
      </w:r>
      <w:r w:rsidRPr="0039251D">
        <w:t xml:space="preserve"> House of Lords House of Commons Joint Committee on Human Rights ‘Human Rights Judgments’ Seventh Report of Session 2014–15 HL Paper 130 HC 1088 4 March 2015 </w:t>
      </w:r>
    </w:p>
  </w:endnote>
  <w:endnote w:id="50">
    <w:p w:rsidR="00F07B5B" w:rsidRPr="0039251D" w:rsidRDefault="00F07B5B" w:rsidP="00041351">
      <w:pPr>
        <w:pStyle w:val="EndnoteText"/>
      </w:pPr>
      <w:r w:rsidRPr="0039251D">
        <w:rPr>
          <w:rStyle w:val="EndnoteReference"/>
        </w:rPr>
        <w:endnoteRef/>
      </w:r>
      <w:r w:rsidRPr="0039251D">
        <w:t xml:space="preserve"> AQO 7838/11-15 23rd March 2015</w:t>
      </w:r>
    </w:p>
  </w:endnote>
  <w:endnote w:id="51">
    <w:p w:rsidR="00F07B5B" w:rsidRPr="0039251D" w:rsidRDefault="00F07B5B" w:rsidP="00041351">
      <w:pPr>
        <w:pStyle w:val="EndnoteText"/>
      </w:pPr>
      <w:r w:rsidRPr="0039251D">
        <w:rPr>
          <w:rStyle w:val="EndnoteReference"/>
        </w:rPr>
        <w:endnoteRef/>
      </w:r>
      <w:r w:rsidRPr="0039251D">
        <w:t xml:space="preserve"> ibid</w:t>
      </w:r>
    </w:p>
  </w:endnote>
  <w:endnote w:id="52">
    <w:p w:rsidR="00F07B5B" w:rsidRPr="0039251D" w:rsidRDefault="00F07B5B" w:rsidP="00041351">
      <w:pPr>
        <w:pStyle w:val="EndnoteText"/>
      </w:pPr>
      <w:r w:rsidRPr="0039251D">
        <w:rPr>
          <w:rStyle w:val="EndnoteReference"/>
        </w:rPr>
        <w:endnoteRef/>
      </w:r>
      <w:r w:rsidRPr="0039251D">
        <w:t xml:space="preserve"> NICTS ‘Court of Appeal suggests approach to deal with Legacy Inquests’ Summary of Judgement 17 November 2014</w:t>
      </w:r>
    </w:p>
  </w:endnote>
  <w:endnote w:id="53">
    <w:p w:rsidR="00F07B5B" w:rsidRDefault="00F07B5B">
      <w:pPr>
        <w:pStyle w:val="EndnoteText"/>
      </w:pPr>
      <w:r>
        <w:rPr>
          <w:rStyle w:val="EndnoteReference"/>
        </w:rPr>
        <w:endnoteRef/>
      </w:r>
      <w:r>
        <w:t xml:space="preserve"> </w:t>
      </w:r>
      <w:r w:rsidRPr="00B67724">
        <w:t>Legal Aid and Coroners' Courts Bill</w:t>
      </w:r>
      <w:r>
        <w:t xml:space="preserve"> Part 2 </w:t>
      </w:r>
    </w:p>
  </w:endnote>
  <w:endnote w:id="54">
    <w:p w:rsidR="00F07B5B" w:rsidRDefault="00F07B5B" w:rsidP="00053140">
      <w:pPr>
        <w:pStyle w:val="EndnoteText"/>
      </w:pPr>
      <w:r>
        <w:rPr>
          <w:rStyle w:val="EndnoteReference"/>
        </w:rPr>
        <w:endnoteRef/>
      </w:r>
      <w:r>
        <w:t xml:space="preserve"> Northern Ireland Assembly Official Report (</w:t>
      </w:r>
      <w:proofErr w:type="spellStart"/>
      <w:r>
        <w:t>Hansard</w:t>
      </w:r>
      <w:proofErr w:type="spellEnd"/>
      <w:r>
        <w:t xml:space="preserve">) Monday 18 May 2015 Volume 104, No 7 </w:t>
      </w:r>
      <w:proofErr w:type="spellStart"/>
      <w:r>
        <w:t>pg</w:t>
      </w:r>
      <w:proofErr w:type="spellEnd"/>
      <w:r>
        <w:t xml:space="preserve"> 35</w:t>
      </w:r>
    </w:p>
  </w:endnote>
  <w:endnote w:id="55">
    <w:p w:rsidR="00F07B5B" w:rsidRPr="0039251D" w:rsidRDefault="00F07B5B" w:rsidP="00041351">
      <w:pPr>
        <w:pStyle w:val="EndnoteText"/>
      </w:pPr>
      <w:r w:rsidRPr="0039251D">
        <w:rPr>
          <w:rStyle w:val="EndnoteReference"/>
        </w:rPr>
        <w:endnoteRef/>
      </w:r>
      <w:r w:rsidRPr="0039251D">
        <w:t xml:space="preserve"> NICTS ‘Court of Appeal suggests approach to deal with Legacy Inquests’ Summary of Judgement 17 November 2014</w:t>
      </w:r>
    </w:p>
  </w:endnote>
  <w:endnote w:id="56">
    <w:p w:rsidR="00F07B5B" w:rsidRPr="0039251D" w:rsidRDefault="00F07B5B" w:rsidP="00041351">
      <w:pPr>
        <w:pStyle w:val="EndnoteText"/>
      </w:pPr>
      <w:r w:rsidRPr="0039251D">
        <w:rPr>
          <w:rStyle w:val="EndnoteReference"/>
        </w:rPr>
        <w:endnoteRef/>
      </w:r>
      <w:r w:rsidRPr="0039251D">
        <w:t xml:space="preserve"> Stormont House Agreement, 2014, para 22</w:t>
      </w:r>
    </w:p>
  </w:endnote>
  <w:endnote w:id="57">
    <w:p w:rsidR="00F07B5B" w:rsidRPr="0039251D" w:rsidRDefault="00F07B5B" w:rsidP="00041351">
      <w:pPr>
        <w:pStyle w:val="EndnoteText"/>
      </w:pPr>
      <w:r w:rsidRPr="0039251D">
        <w:rPr>
          <w:rStyle w:val="EndnoteReference"/>
        </w:rPr>
        <w:endnoteRef/>
      </w:r>
      <w:r w:rsidRPr="0039251D">
        <w:t xml:space="preserve"> House of Lords Select Committee on the Inquiries Act 2005 Report of Session 2013–14</w:t>
      </w:r>
    </w:p>
    <w:p w:rsidR="00F07B5B" w:rsidRPr="0039251D" w:rsidRDefault="00F07B5B" w:rsidP="00041351">
      <w:pPr>
        <w:pStyle w:val="EndnoteText"/>
      </w:pPr>
      <w:r w:rsidRPr="0039251D">
        <w:t>The Inquiries Act 2005: post-legislative scrutiny March 2015</w:t>
      </w:r>
    </w:p>
  </w:endnote>
  <w:endnote w:id="58">
    <w:p w:rsidR="00F07B5B" w:rsidRPr="0039251D" w:rsidRDefault="00F07B5B" w:rsidP="00041351">
      <w:pPr>
        <w:pStyle w:val="EndnoteText"/>
      </w:pPr>
      <w:r w:rsidRPr="0039251D">
        <w:rPr>
          <w:rStyle w:val="EndnoteReference"/>
        </w:rPr>
        <w:endnoteRef/>
      </w:r>
      <w:r w:rsidRPr="0039251D">
        <w:t xml:space="preserve"> Ibid </w:t>
      </w:r>
    </w:p>
  </w:endnote>
  <w:endnote w:id="59">
    <w:p w:rsidR="00F07B5B" w:rsidRPr="0039251D" w:rsidRDefault="00F07B5B" w:rsidP="00041351">
      <w:pPr>
        <w:pStyle w:val="EndnoteText"/>
      </w:pPr>
      <w:r w:rsidRPr="0039251D">
        <w:rPr>
          <w:rStyle w:val="EndnoteReference"/>
        </w:rPr>
        <w:endnoteRef/>
      </w:r>
      <w:r w:rsidRPr="0039251D">
        <w:t xml:space="preserve"> NIHRC ‘Submission to UN Human Rights Committee on the Sixth Periodic Report of the UK Government’ May 2008 </w:t>
      </w:r>
    </w:p>
  </w:endnote>
  <w:endnote w:id="60">
    <w:p w:rsidR="00F07B5B" w:rsidRPr="0039251D" w:rsidRDefault="00F07B5B" w:rsidP="00041351">
      <w:pPr>
        <w:pStyle w:val="EndnoteText"/>
      </w:pPr>
      <w:r w:rsidRPr="0039251D">
        <w:rPr>
          <w:rStyle w:val="EndnoteReference"/>
        </w:rPr>
        <w:endnoteRef/>
      </w:r>
      <w:r w:rsidRPr="0039251D">
        <w:t xml:space="preserve"> Ministry of Justice ‘Government Response to the Report of the House of Lords Select Committee on the Inquiries Act 2005’ June 2014 </w:t>
      </w:r>
    </w:p>
  </w:endnote>
  <w:endnote w:id="61">
    <w:p w:rsidR="00F07B5B" w:rsidRPr="0039251D" w:rsidRDefault="00F07B5B" w:rsidP="00041351">
      <w:pPr>
        <w:pStyle w:val="EndnoteText"/>
      </w:pPr>
      <w:r w:rsidRPr="0039251D">
        <w:rPr>
          <w:rStyle w:val="EndnoteReference"/>
        </w:rPr>
        <w:endnoteRef/>
      </w:r>
      <w:r w:rsidRPr="0039251D">
        <w:t xml:space="preserve"> Ibid para 35 </w:t>
      </w:r>
    </w:p>
  </w:endnote>
  <w:endnote w:id="62">
    <w:p w:rsidR="00F07B5B" w:rsidRPr="0039251D" w:rsidRDefault="00F07B5B" w:rsidP="00483E70">
      <w:pPr>
        <w:pStyle w:val="EndnoteText"/>
      </w:pPr>
      <w:r w:rsidRPr="0039251D">
        <w:rPr>
          <w:rStyle w:val="EndnoteReference"/>
        </w:rPr>
        <w:endnoteRef/>
      </w:r>
      <w:r w:rsidRPr="0039251D">
        <w:t xml:space="preserve"> Human Rights Committee, General Comment No. 28, CCPR/C/21/Rev.1/Add.10 (2000), para 11; CCPR/C/79/Add.92, para 11; CCPR/C/DOM/CO/5, para 15; CCPR/C/DJI/CO/1, para 9; CCPR/C/PRY/CO/3, para 13; K.N.L.H. v Peru CCPR/C/85/D/1153/2003 Rev. 1 (14 August 2006); CEDAW Committee, CEDAW/C/GBR/CO/7 (30 July 2013), para 51.</w:t>
      </w:r>
    </w:p>
  </w:endnote>
  <w:endnote w:id="63">
    <w:p w:rsidR="00F07B5B" w:rsidRPr="0039251D" w:rsidRDefault="00F07B5B" w:rsidP="0086114F">
      <w:pPr>
        <w:pStyle w:val="Default"/>
        <w:rPr>
          <w:rFonts w:asciiTheme="minorHAnsi" w:hAnsiTheme="minorHAnsi"/>
          <w:sz w:val="20"/>
          <w:szCs w:val="20"/>
        </w:rPr>
      </w:pPr>
      <w:r w:rsidRPr="0039251D">
        <w:rPr>
          <w:rStyle w:val="EndnoteReference"/>
          <w:rFonts w:asciiTheme="minorHAnsi" w:hAnsiTheme="minorHAnsi"/>
          <w:sz w:val="20"/>
          <w:szCs w:val="20"/>
        </w:rPr>
        <w:endnoteRef/>
      </w:r>
      <w:r w:rsidRPr="0039251D">
        <w:rPr>
          <w:rFonts w:asciiTheme="minorHAnsi" w:hAnsiTheme="minorHAnsi"/>
          <w:sz w:val="20"/>
          <w:szCs w:val="20"/>
        </w:rPr>
        <w:t xml:space="preserve"> </w:t>
      </w:r>
      <w:proofErr w:type="spellStart"/>
      <w:r w:rsidRPr="0039251D">
        <w:rPr>
          <w:rFonts w:asciiTheme="minorHAnsi" w:hAnsiTheme="minorHAnsi"/>
          <w:sz w:val="20"/>
          <w:szCs w:val="20"/>
        </w:rPr>
        <w:t>DoJNI</w:t>
      </w:r>
      <w:proofErr w:type="spellEnd"/>
      <w:r w:rsidRPr="0039251D">
        <w:rPr>
          <w:rFonts w:asciiTheme="minorHAnsi" w:hAnsiTheme="minorHAnsi"/>
          <w:sz w:val="20"/>
          <w:szCs w:val="20"/>
        </w:rPr>
        <w:t xml:space="preserve"> ‘The criminal law on abortion: lethal foetal abnormality and sexual crime, a consultation on amending the law by the Department of Justice’ January 2015 </w:t>
      </w:r>
    </w:p>
  </w:endnote>
  <w:endnote w:id="64">
    <w:p w:rsidR="00F07B5B" w:rsidRDefault="00F07B5B">
      <w:pPr>
        <w:pStyle w:val="EndnoteText"/>
      </w:pPr>
      <w:r>
        <w:rPr>
          <w:rStyle w:val="EndnoteReference"/>
        </w:rPr>
        <w:endnoteRef/>
      </w:r>
      <w:r>
        <w:t xml:space="preserve"> BBC News NI ‘</w:t>
      </w:r>
      <w:r w:rsidRPr="00FD5ADB">
        <w:t>NI abortion law: Ford surprised at Robinson comments</w:t>
      </w:r>
      <w:r>
        <w:t xml:space="preserve">’ 1 May 2015 </w:t>
      </w:r>
    </w:p>
  </w:endnote>
  <w:endnote w:id="65">
    <w:p w:rsidR="00F07B5B" w:rsidRPr="0039251D" w:rsidRDefault="00F07B5B" w:rsidP="00483E70">
      <w:pPr>
        <w:pStyle w:val="EndnoteText"/>
      </w:pPr>
      <w:r w:rsidRPr="0039251D">
        <w:rPr>
          <w:rStyle w:val="EndnoteReference"/>
        </w:rPr>
        <w:endnoteRef/>
      </w:r>
      <w:r w:rsidRPr="0039251D">
        <w:t xml:space="preserve"> Criminal Justice and Courts Act 2015</w:t>
      </w:r>
    </w:p>
  </w:endnote>
  <w:endnote w:id="66">
    <w:p w:rsidR="00F07B5B" w:rsidRPr="0039251D" w:rsidRDefault="00F07B5B">
      <w:pPr>
        <w:pStyle w:val="EndnoteText"/>
      </w:pPr>
      <w:r w:rsidRPr="0039251D">
        <w:rPr>
          <w:rStyle w:val="EndnoteReference"/>
        </w:rPr>
        <w:endnoteRef/>
      </w:r>
      <w:r w:rsidRPr="0039251D">
        <w:t xml:space="preserve"> NIHRC ‘Commission Welcomes Publication of Revised Care Standards for Nursing Homes’ April 2015 </w:t>
      </w:r>
    </w:p>
  </w:endnote>
  <w:endnote w:id="67">
    <w:p w:rsidR="00F07B5B" w:rsidRPr="0039251D" w:rsidRDefault="00F07B5B">
      <w:pPr>
        <w:pStyle w:val="EndnoteText"/>
      </w:pPr>
      <w:r w:rsidRPr="0039251D">
        <w:rPr>
          <w:rStyle w:val="EndnoteReference"/>
        </w:rPr>
        <w:endnoteRef/>
      </w:r>
      <w:r w:rsidRPr="0039251D">
        <w:t xml:space="preserve"> Historical Institutional Abuse Inquiry - Terms of Reference </w:t>
      </w:r>
      <w:hyperlink r:id="rId4" w:history="1">
        <w:r w:rsidRPr="0039251D">
          <w:rPr>
            <w:rStyle w:val="Hyperlink"/>
          </w:rPr>
          <w:t>http://www.hiainquiry.org/index/acknowledgement_forum/terms-of-reference.htm</w:t>
        </w:r>
      </w:hyperlink>
      <w:r w:rsidRPr="0039251D">
        <w:t xml:space="preserve"> </w:t>
      </w:r>
    </w:p>
  </w:endnote>
  <w:endnote w:id="68">
    <w:p w:rsidR="00F07B5B" w:rsidRPr="0039251D" w:rsidRDefault="00F07B5B" w:rsidP="006C6998">
      <w:pPr>
        <w:pStyle w:val="EndnoteText"/>
      </w:pPr>
      <w:r w:rsidRPr="0039251D">
        <w:rPr>
          <w:rStyle w:val="EndnoteReference"/>
        </w:rPr>
        <w:endnoteRef/>
      </w:r>
      <w:r w:rsidRPr="0039251D">
        <w:t xml:space="preserve"> See NI Assembly debate Inquiry into Historical Institutional Abuse (Amendment of Terms of Reference) Order (Northern Ireland) 2015 Executive Committee Business – in the Northern Ireland Assembly at 11:15 am on 3rd February 2015.</w:t>
      </w:r>
    </w:p>
  </w:endnote>
  <w:endnote w:id="69">
    <w:p w:rsidR="00F07B5B" w:rsidRPr="0039251D" w:rsidRDefault="00F07B5B">
      <w:pPr>
        <w:pStyle w:val="EndnoteText"/>
      </w:pPr>
      <w:r w:rsidRPr="0039251D">
        <w:rPr>
          <w:rStyle w:val="EndnoteReference"/>
        </w:rPr>
        <w:endnoteRef/>
      </w:r>
      <w:r w:rsidRPr="0039251D">
        <w:t xml:space="preserve"> ibid</w:t>
      </w:r>
    </w:p>
  </w:endnote>
  <w:endnote w:id="70">
    <w:p w:rsidR="00F07B5B" w:rsidRPr="0039251D" w:rsidRDefault="00F07B5B" w:rsidP="006C6998">
      <w:pPr>
        <w:pStyle w:val="EndnoteText"/>
      </w:pPr>
      <w:r w:rsidRPr="0039251D">
        <w:rPr>
          <w:rStyle w:val="EndnoteReference"/>
        </w:rPr>
        <w:endnoteRef/>
      </w:r>
      <w:r w:rsidRPr="0039251D">
        <w:t xml:space="preserve"> BBC News NI ‘Colin Wallace: Any </w:t>
      </w:r>
      <w:proofErr w:type="spellStart"/>
      <w:r w:rsidRPr="0039251D">
        <w:t>Kincora</w:t>
      </w:r>
      <w:proofErr w:type="spellEnd"/>
      <w:r w:rsidRPr="0039251D">
        <w:t xml:space="preserve"> inquiry 'must have full </w:t>
      </w:r>
      <w:proofErr w:type="spellStart"/>
      <w:r w:rsidRPr="0039251D">
        <w:t>access'</w:t>
      </w:r>
      <w:proofErr w:type="spellEnd"/>
      <w:r w:rsidRPr="0039251D">
        <w:t xml:space="preserve"> 20 July 2014 </w:t>
      </w:r>
      <w:hyperlink r:id="rId5" w:history="1">
        <w:r w:rsidRPr="0039251D">
          <w:rPr>
            <w:rStyle w:val="Hyperlink"/>
          </w:rPr>
          <w:t>http://www.bbc.co.uk/news/uk-northern-ireland-28390411</w:t>
        </w:r>
      </w:hyperlink>
      <w:r w:rsidRPr="0039251D">
        <w:t xml:space="preserve"> </w:t>
      </w:r>
    </w:p>
  </w:endnote>
  <w:endnote w:id="71">
    <w:p w:rsidR="00F07B5B" w:rsidRPr="0039251D" w:rsidRDefault="00F07B5B" w:rsidP="006C6998">
      <w:pPr>
        <w:pStyle w:val="EndnoteText"/>
      </w:pPr>
      <w:r w:rsidRPr="0039251D">
        <w:rPr>
          <w:rStyle w:val="EndnoteReference"/>
        </w:rPr>
        <w:endnoteRef/>
      </w:r>
      <w:r w:rsidRPr="0039251D">
        <w:t xml:space="preserve"> See: https://childsexualabuseinquiry.independent.gov.uk/</w:t>
      </w:r>
    </w:p>
  </w:endnote>
  <w:endnote w:id="72">
    <w:p w:rsidR="00F07B5B" w:rsidRPr="0039251D" w:rsidRDefault="00F07B5B" w:rsidP="006C6998">
      <w:pPr>
        <w:pStyle w:val="EndnoteText"/>
      </w:pPr>
      <w:r w:rsidRPr="0039251D">
        <w:rPr>
          <w:rStyle w:val="EndnoteReference"/>
        </w:rPr>
        <w:endnoteRef/>
      </w:r>
      <w:r w:rsidRPr="0039251D">
        <w:t xml:space="preserve"> Correspondence from Interim Chair John Corey to Home Secretary Rt. Hon Theresa May MP June 2014</w:t>
      </w:r>
    </w:p>
  </w:endnote>
  <w:endnote w:id="73">
    <w:p w:rsidR="00F07B5B" w:rsidRPr="0039251D" w:rsidRDefault="00F07B5B" w:rsidP="006C6998">
      <w:pPr>
        <w:pStyle w:val="EndnoteText"/>
      </w:pPr>
      <w:r w:rsidRPr="0039251D">
        <w:rPr>
          <w:rStyle w:val="EndnoteReference"/>
        </w:rPr>
        <w:endnoteRef/>
      </w:r>
      <w:r w:rsidRPr="0039251D">
        <w:t xml:space="preserve"> The </w:t>
      </w:r>
      <w:proofErr w:type="spellStart"/>
      <w:r w:rsidRPr="0039251D">
        <w:t>Rt</w:t>
      </w:r>
      <w:proofErr w:type="spellEnd"/>
      <w:r w:rsidRPr="0039251D">
        <w:t xml:space="preserve"> Hon Theresa Villiers MP Written statement to Parliament ‘</w:t>
      </w:r>
      <w:proofErr w:type="spellStart"/>
      <w:r w:rsidRPr="0039251D">
        <w:t>Kincora</w:t>
      </w:r>
      <w:proofErr w:type="spellEnd"/>
      <w:r w:rsidRPr="0039251D">
        <w:t xml:space="preserve"> Boys’ Home: HM Government co-operation with the Historical Institutional Abuse Inquiry’ October 2014 </w:t>
      </w:r>
    </w:p>
  </w:endnote>
  <w:endnote w:id="74">
    <w:p w:rsidR="00F07B5B" w:rsidRPr="0039251D" w:rsidRDefault="00F07B5B" w:rsidP="006C6998">
      <w:pPr>
        <w:pStyle w:val="EndnoteText"/>
      </w:pPr>
      <w:r w:rsidRPr="0039251D">
        <w:rPr>
          <w:rStyle w:val="EndnoteReference"/>
        </w:rPr>
        <w:endnoteRef/>
      </w:r>
      <w:r w:rsidRPr="0039251D">
        <w:t xml:space="preserve"> Historical Institutional Abuse 21 October 2014 </w:t>
      </w:r>
      <w:hyperlink r:id="rId6" w:history="1">
        <w:r w:rsidRPr="0039251D">
          <w:rPr>
            <w:rStyle w:val="Hyperlink"/>
          </w:rPr>
          <w:t>http://www.hiainquiry.org/index/latest-news.htm</w:t>
        </w:r>
      </w:hyperlink>
      <w:r w:rsidRPr="0039251D">
        <w:t xml:space="preserve"> </w:t>
      </w:r>
    </w:p>
  </w:endnote>
  <w:endnote w:id="75">
    <w:p w:rsidR="00F07B5B" w:rsidRPr="0039251D" w:rsidRDefault="00F07B5B">
      <w:pPr>
        <w:pStyle w:val="EndnoteText"/>
      </w:pPr>
      <w:r w:rsidRPr="0039251D">
        <w:rPr>
          <w:rStyle w:val="EndnoteReference"/>
        </w:rPr>
        <w:endnoteRef/>
      </w:r>
      <w:r w:rsidRPr="0039251D">
        <w:t xml:space="preserve"> The Independent ‘Child sex abuse victim from </w:t>
      </w:r>
      <w:proofErr w:type="spellStart"/>
      <w:r w:rsidRPr="0039251D">
        <w:t>Kincora</w:t>
      </w:r>
      <w:proofErr w:type="spellEnd"/>
      <w:r w:rsidRPr="0039251D">
        <w:t xml:space="preserve"> Boys' Home says he was abused by 'very powerful people' at Elm Guest House and Dolphin Square’ April 2015</w:t>
      </w:r>
    </w:p>
  </w:endnote>
  <w:endnote w:id="76">
    <w:p w:rsidR="00F07B5B" w:rsidRPr="0039251D" w:rsidRDefault="00F07B5B" w:rsidP="00483E70">
      <w:pPr>
        <w:pStyle w:val="EndnoteText"/>
      </w:pPr>
      <w:r w:rsidRPr="0039251D">
        <w:rPr>
          <w:rStyle w:val="EndnoteReference"/>
        </w:rPr>
        <w:endnoteRef/>
      </w:r>
      <w:r w:rsidRPr="0039251D">
        <w:t xml:space="preserve"> NIHRC Submission to the UN Human Rights Committee on the United Kingdom’s Seventh Periodic Report on compliance with the International Covenant on Civil and Political Rights. June 2014 para </w:t>
      </w:r>
    </w:p>
  </w:endnote>
  <w:endnote w:id="77">
    <w:p w:rsidR="00F07B5B" w:rsidRPr="0039251D" w:rsidRDefault="00F07B5B" w:rsidP="006944D6">
      <w:pPr>
        <w:pStyle w:val="EndnoteText"/>
      </w:pPr>
      <w:r w:rsidRPr="0039251D">
        <w:rPr>
          <w:rStyle w:val="EndnoteReference"/>
        </w:rPr>
        <w:endnoteRef/>
      </w:r>
      <w:r w:rsidRPr="0039251D">
        <w:t xml:space="preserve"> Northern Ireland Terrorism Legislation: Annual Statistics 2013/2014, Northern Ireland Office,</w:t>
      </w:r>
    </w:p>
    <w:p w:rsidR="00F07B5B" w:rsidRPr="0039251D" w:rsidRDefault="00F07B5B" w:rsidP="006944D6">
      <w:pPr>
        <w:pStyle w:val="EndnoteText"/>
      </w:pPr>
      <w:r w:rsidRPr="0039251D">
        <w:t>October 2014.</w:t>
      </w:r>
    </w:p>
  </w:endnote>
  <w:endnote w:id="78">
    <w:p w:rsidR="00F07B5B" w:rsidRPr="0039251D" w:rsidRDefault="00F07B5B" w:rsidP="00483E70">
      <w:pPr>
        <w:pStyle w:val="EndnoteText"/>
      </w:pPr>
      <w:r w:rsidRPr="0039251D">
        <w:rPr>
          <w:rStyle w:val="EndnoteReference"/>
        </w:rPr>
        <w:endnoteRef/>
      </w:r>
      <w:r w:rsidRPr="0039251D">
        <w:t xml:space="preserve"> ibid</w:t>
      </w:r>
    </w:p>
  </w:endnote>
  <w:endnote w:id="79">
    <w:p w:rsidR="00F07B5B" w:rsidRPr="0039251D" w:rsidRDefault="00F07B5B" w:rsidP="00483E70">
      <w:pPr>
        <w:pStyle w:val="EndnoteText"/>
      </w:pPr>
      <w:r w:rsidRPr="0039251D">
        <w:rPr>
          <w:rStyle w:val="EndnoteReference"/>
        </w:rPr>
        <w:endnoteRef/>
      </w:r>
      <w:r w:rsidRPr="0039251D">
        <w:t xml:space="preserve"> Policing Board NI ‘Human Rights Annual Report 2014’ March 2015 </w:t>
      </w:r>
      <w:proofErr w:type="spellStart"/>
      <w:r w:rsidRPr="0039251D">
        <w:t>pg</w:t>
      </w:r>
      <w:proofErr w:type="spellEnd"/>
      <w:r w:rsidRPr="0039251D">
        <w:t xml:space="preserve"> 117 – 120 </w:t>
      </w:r>
    </w:p>
  </w:endnote>
  <w:endnote w:id="80">
    <w:p w:rsidR="00F07B5B" w:rsidRPr="0039251D" w:rsidRDefault="00F07B5B" w:rsidP="00483E70">
      <w:pPr>
        <w:pStyle w:val="EndnoteText"/>
      </w:pPr>
      <w:r w:rsidRPr="0039251D">
        <w:rPr>
          <w:rStyle w:val="EndnoteReference"/>
        </w:rPr>
        <w:endnoteRef/>
      </w:r>
      <w:r w:rsidRPr="0039251D">
        <w:t xml:space="preserve"> Independent Reviewer of Terrorism Legislation ‘The Terrorism Acts in 2013’ July 2014 </w:t>
      </w:r>
    </w:p>
  </w:endnote>
  <w:endnote w:id="81">
    <w:p w:rsidR="00F07B5B" w:rsidRPr="0039251D" w:rsidRDefault="00F07B5B" w:rsidP="00483E70">
      <w:pPr>
        <w:pStyle w:val="EndnoteText"/>
      </w:pPr>
      <w:r w:rsidRPr="0039251D">
        <w:rPr>
          <w:rStyle w:val="EndnoteReference"/>
        </w:rPr>
        <w:endnoteRef/>
      </w:r>
      <w:r w:rsidRPr="0039251D">
        <w:t xml:space="preserve"> Government response to July 2014 Terrorism Acts report (Cm 9032)  </w:t>
      </w:r>
      <w:proofErr w:type="spellStart"/>
      <w:r w:rsidRPr="0039251D">
        <w:t>pg</w:t>
      </w:r>
      <w:proofErr w:type="spellEnd"/>
      <w:r w:rsidRPr="0039251D">
        <w:t xml:space="preserve"> 9 </w:t>
      </w:r>
    </w:p>
  </w:endnote>
  <w:endnote w:id="82">
    <w:p w:rsidR="00F07B5B" w:rsidRPr="0039251D" w:rsidRDefault="00F07B5B" w:rsidP="00483E70">
      <w:pPr>
        <w:pStyle w:val="EndnoteText"/>
      </w:pPr>
      <w:r w:rsidRPr="0039251D">
        <w:rPr>
          <w:rStyle w:val="EndnoteReference"/>
        </w:rPr>
        <w:endnoteRef/>
      </w:r>
      <w:r w:rsidRPr="0039251D">
        <w:t xml:space="preserve"> Independent Reviewer of Terrorism Legislation ‘The Terrorism Acts in 2013’ July 2014 </w:t>
      </w:r>
    </w:p>
  </w:endnote>
  <w:endnote w:id="83">
    <w:p w:rsidR="00F07B5B" w:rsidRPr="0039251D" w:rsidRDefault="00F07B5B">
      <w:pPr>
        <w:pStyle w:val="EndnoteText"/>
      </w:pPr>
      <w:r w:rsidRPr="0039251D">
        <w:rPr>
          <w:rStyle w:val="EndnoteReference"/>
        </w:rPr>
        <w:endnoteRef/>
      </w:r>
      <w:r w:rsidRPr="0039251D">
        <w:t xml:space="preserve"> </w:t>
      </w:r>
      <w:proofErr w:type="spellStart"/>
      <w:r w:rsidRPr="0039251D">
        <w:t>DoJNI</w:t>
      </w:r>
      <w:proofErr w:type="spellEnd"/>
      <w:r w:rsidRPr="0039251D">
        <w:t xml:space="preserve"> ‘The Northern Ireland Prison Population 2013’ Research and Statistical Bulletin 15/2014 </w:t>
      </w:r>
      <w:proofErr w:type="spellStart"/>
      <w:r w:rsidRPr="0039251D">
        <w:t>pg</w:t>
      </w:r>
      <w:proofErr w:type="spellEnd"/>
      <w:r w:rsidRPr="0039251D">
        <w:t xml:space="preserve"> 7 </w:t>
      </w:r>
    </w:p>
  </w:endnote>
  <w:endnote w:id="84">
    <w:p w:rsidR="00F07B5B" w:rsidRPr="0039251D" w:rsidRDefault="00F07B5B">
      <w:pPr>
        <w:pStyle w:val="EndnoteText"/>
      </w:pPr>
      <w:r w:rsidRPr="0039251D">
        <w:rPr>
          <w:rStyle w:val="EndnoteReference"/>
        </w:rPr>
        <w:endnoteRef/>
      </w:r>
      <w:r w:rsidRPr="0039251D">
        <w:t xml:space="preserve"> Ibid </w:t>
      </w:r>
    </w:p>
  </w:endnote>
  <w:endnote w:id="85">
    <w:p w:rsidR="00F07B5B" w:rsidRPr="0039251D" w:rsidRDefault="00F07B5B">
      <w:pPr>
        <w:pStyle w:val="EndnoteText"/>
      </w:pPr>
      <w:r w:rsidRPr="0039251D">
        <w:rPr>
          <w:rStyle w:val="EndnoteReference"/>
        </w:rPr>
        <w:endnoteRef/>
      </w:r>
      <w:r w:rsidRPr="0039251D">
        <w:t xml:space="preserve"> </w:t>
      </w:r>
      <w:proofErr w:type="spellStart"/>
      <w:r w:rsidRPr="0039251D">
        <w:t>DoJNI</w:t>
      </w:r>
      <w:proofErr w:type="spellEnd"/>
      <w:r w:rsidRPr="0039251D">
        <w:t xml:space="preserve"> ‘Prison Estate Policy’ 2013</w:t>
      </w:r>
    </w:p>
  </w:endnote>
  <w:endnote w:id="86">
    <w:p w:rsidR="00F07B5B" w:rsidRPr="0039251D" w:rsidRDefault="00F07B5B">
      <w:pPr>
        <w:pStyle w:val="EndnoteText"/>
      </w:pPr>
      <w:r w:rsidRPr="0039251D">
        <w:rPr>
          <w:rStyle w:val="EndnoteReference"/>
        </w:rPr>
        <w:endnoteRef/>
      </w:r>
      <w:r w:rsidRPr="0039251D">
        <w:t xml:space="preserve"> </w:t>
      </w:r>
      <w:proofErr w:type="spellStart"/>
      <w:r w:rsidRPr="0039251D">
        <w:t>DoJNI</w:t>
      </w:r>
      <w:proofErr w:type="spellEnd"/>
      <w:r w:rsidRPr="0039251D">
        <w:t xml:space="preserve"> ‘Consultation on a Review of Community Sentences’ 26 April 2011</w:t>
      </w:r>
    </w:p>
  </w:endnote>
  <w:endnote w:id="87">
    <w:p w:rsidR="00F07B5B" w:rsidRPr="0039251D" w:rsidRDefault="00F07B5B">
      <w:pPr>
        <w:pStyle w:val="EndnoteText"/>
      </w:pPr>
      <w:r w:rsidRPr="0039251D">
        <w:rPr>
          <w:rStyle w:val="EndnoteReference"/>
        </w:rPr>
        <w:endnoteRef/>
      </w:r>
      <w:r w:rsidRPr="0039251D">
        <w:t xml:space="preserve"> </w:t>
      </w:r>
      <w:proofErr w:type="spellStart"/>
      <w:r w:rsidRPr="0039251D">
        <w:t>DoJNI</w:t>
      </w:r>
      <w:proofErr w:type="spellEnd"/>
      <w:r w:rsidRPr="0039251D">
        <w:t xml:space="preserve"> ‘The Northern Ireland Prison Population 2013’ Research and Statistical Bulletin 15/2014</w:t>
      </w:r>
    </w:p>
  </w:endnote>
  <w:endnote w:id="88">
    <w:p w:rsidR="00F07B5B" w:rsidRPr="0039251D" w:rsidRDefault="00F07B5B">
      <w:pPr>
        <w:pStyle w:val="EndnoteText"/>
      </w:pPr>
      <w:r w:rsidRPr="0039251D">
        <w:rPr>
          <w:rStyle w:val="EndnoteReference"/>
        </w:rPr>
        <w:endnoteRef/>
      </w:r>
      <w:r w:rsidRPr="0039251D">
        <w:t xml:space="preserve"> </w:t>
      </w:r>
      <w:proofErr w:type="spellStart"/>
      <w:r w:rsidRPr="0039251D">
        <w:t>DoJNI</w:t>
      </w:r>
      <w:proofErr w:type="spellEnd"/>
      <w:r w:rsidRPr="0039251D">
        <w:t xml:space="preserve"> ‘Consultation on a Review of Community Sentences’ 26 April 2011 </w:t>
      </w:r>
    </w:p>
  </w:endnote>
  <w:endnote w:id="89">
    <w:p w:rsidR="00F07B5B" w:rsidRPr="0039251D" w:rsidRDefault="00F07B5B" w:rsidP="00B56260">
      <w:pPr>
        <w:pStyle w:val="EndnoteText"/>
      </w:pPr>
      <w:r w:rsidRPr="0039251D">
        <w:rPr>
          <w:rStyle w:val="EndnoteReference"/>
        </w:rPr>
        <w:endnoteRef/>
      </w:r>
      <w:r w:rsidRPr="0039251D">
        <w:t xml:space="preserve"> Prison Review Team’ Review of the Northern Ireland Prison Service Conditions, management and oversight of all prisons’ Recommendation 3 October 2011 </w:t>
      </w:r>
    </w:p>
  </w:endnote>
  <w:endnote w:id="90">
    <w:p w:rsidR="00F07B5B" w:rsidRPr="0039251D" w:rsidRDefault="00F07B5B">
      <w:pPr>
        <w:pStyle w:val="EndnoteText"/>
      </w:pPr>
      <w:r w:rsidRPr="0039251D">
        <w:rPr>
          <w:rStyle w:val="EndnoteReference"/>
        </w:rPr>
        <w:endnoteRef/>
      </w:r>
      <w:r w:rsidRPr="0039251D">
        <w:t xml:space="preserve"> Prison Review Oversights Group ‘Second Annual Report’ March 2014 </w:t>
      </w:r>
    </w:p>
  </w:endnote>
  <w:endnote w:id="91">
    <w:p w:rsidR="00F07B5B" w:rsidRPr="0039251D" w:rsidRDefault="00F07B5B">
      <w:pPr>
        <w:pStyle w:val="EndnoteText"/>
      </w:pPr>
      <w:r w:rsidRPr="0039251D">
        <w:rPr>
          <w:rStyle w:val="EndnoteReference"/>
        </w:rPr>
        <w:endnoteRef/>
      </w:r>
      <w:r w:rsidRPr="0039251D">
        <w:t xml:space="preserve"> Prison Review Team’ Review of the Northern Ireland Prison Service Conditions, management and oversight of all prisons’ Recommendation 3 October 2011 Recommendation 31 </w:t>
      </w:r>
    </w:p>
  </w:endnote>
  <w:endnote w:id="92">
    <w:p w:rsidR="00F07B5B" w:rsidRPr="0039251D" w:rsidRDefault="00F07B5B">
      <w:pPr>
        <w:pStyle w:val="EndnoteText"/>
      </w:pPr>
      <w:r w:rsidRPr="0039251D">
        <w:rPr>
          <w:rStyle w:val="EndnoteReference"/>
        </w:rPr>
        <w:endnoteRef/>
      </w:r>
      <w:r w:rsidRPr="0039251D">
        <w:t xml:space="preserve"> Prison Review Oversights Group ‘Second Annual Report’ March 2014 pp. 9 – 11 </w:t>
      </w:r>
    </w:p>
  </w:endnote>
  <w:endnote w:id="93">
    <w:p w:rsidR="00F07B5B" w:rsidRPr="0039251D" w:rsidRDefault="00F07B5B" w:rsidP="001F094F">
      <w:pPr>
        <w:pStyle w:val="EndnoteText"/>
      </w:pPr>
      <w:r w:rsidRPr="0039251D">
        <w:rPr>
          <w:rStyle w:val="EndnoteReference"/>
        </w:rPr>
        <w:endnoteRef/>
      </w:r>
      <w:r w:rsidRPr="0039251D">
        <w:t xml:space="preserve"> </w:t>
      </w:r>
      <w:proofErr w:type="spellStart"/>
      <w:r w:rsidRPr="0039251D">
        <w:t>DoJNI</w:t>
      </w:r>
      <w:proofErr w:type="spellEnd"/>
      <w:r w:rsidRPr="0039251D">
        <w:t xml:space="preserve"> ‘Adult Reoffending in Northern Ireland (2011/12 Cohort) Research and Statistical Bulletin 18/2014</w:t>
      </w:r>
    </w:p>
    <w:p w:rsidR="00F07B5B" w:rsidRPr="0039251D" w:rsidRDefault="00F07B5B" w:rsidP="001F094F">
      <w:pPr>
        <w:pStyle w:val="EndnoteText"/>
      </w:pPr>
      <w:r w:rsidRPr="0039251D">
        <w:t>L Duncan December 2014</w:t>
      </w:r>
    </w:p>
  </w:endnote>
  <w:endnote w:id="94">
    <w:p w:rsidR="00F07B5B" w:rsidRPr="0039251D" w:rsidRDefault="00F07B5B" w:rsidP="00A943BA">
      <w:pPr>
        <w:pStyle w:val="EndnoteText"/>
      </w:pPr>
      <w:r w:rsidRPr="0039251D">
        <w:rPr>
          <w:rStyle w:val="EndnoteReference"/>
        </w:rPr>
        <w:endnoteRef/>
      </w:r>
      <w:r w:rsidRPr="0039251D">
        <w:t xml:space="preserve"> Prison Review Team ‘Review of the Northern Ireland Prison Service Conditions, management and oversight of all prisons’ October 2011 pp. 40 - 47</w:t>
      </w:r>
    </w:p>
  </w:endnote>
  <w:endnote w:id="95">
    <w:p w:rsidR="00F07B5B" w:rsidRPr="0039251D" w:rsidRDefault="00F07B5B">
      <w:pPr>
        <w:pStyle w:val="EndnoteText"/>
      </w:pPr>
      <w:r w:rsidRPr="0039251D">
        <w:rPr>
          <w:rStyle w:val="EndnoteReference"/>
        </w:rPr>
        <w:endnoteRef/>
      </w:r>
      <w:r w:rsidRPr="0039251D">
        <w:t xml:space="preserve"> CJINI and RQIA ‘The Safety of Prisoners held by the Northern Ireland Prison Service’ October 2014</w:t>
      </w:r>
    </w:p>
  </w:endnote>
  <w:endnote w:id="96">
    <w:p w:rsidR="00F07B5B" w:rsidRPr="0039251D" w:rsidRDefault="00F07B5B">
      <w:pPr>
        <w:pStyle w:val="EndnoteText"/>
      </w:pPr>
      <w:r w:rsidRPr="0039251D">
        <w:rPr>
          <w:rStyle w:val="EndnoteReference"/>
        </w:rPr>
        <w:endnoteRef/>
      </w:r>
      <w:r w:rsidRPr="0039251D">
        <w:t xml:space="preserve"> ibid Recommendation </w:t>
      </w:r>
    </w:p>
  </w:endnote>
  <w:endnote w:id="97">
    <w:p w:rsidR="00F07B5B" w:rsidRPr="0039251D" w:rsidRDefault="00F07B5B">
      <w:pPr>
        <w:pStyle w:val="EndnoteText"/>
      </w:pPr>
      <w:r w:rsidRPr="0039251D">
        <w:rPr>
          <w:rStyle w:val="EndnoteReference"/>
        </w:rPr>
        <w:endnoteRef/>
      </w:r>
      <w:r w:rsidRPr="0039251D">
        <w:t xml:space="preserve"> NPM ‘ Report on announced inspection of Ash House, </w:t>
      </w:r>
      <w:proofErr w:type="spellStart"/>
      <w:r w:rsidRPr="0039251D">
        <w:t>Hydebank</w:t>
      </w:r>
      <w:proofErr w:type="spellEnd"/>
      <w:r w:rsidRPr="0039251D">
        <w:t xml:space="preserve"> Wood Women’s Prison 18 – 22 February’ October 2013</w:t>
      </w:r>
    </w:p>
  </w:endnote>
  <w:endnote w:id="98">
    <w:p w:rsidR="00F07B5B" w:rsidRPr="0039251D" w:rsidRDefault="00F07B5B" w:rsidP="00961CDB">
      <w:pPr>
        <w:pStyle w:val="EndnoteText"/>
      </w:pPr>
      <w:r w:rsidRPr="0039251D">
        <w:rPr>
          <w:rStyle w:val="EndnoteReference"/>
        </w:rPr>
        <w:endnoteRef/>
      </w:r>
      <w:r w:rsidRPr="0039251D">
        <w:t xml:space="preserve"> NIHRC ‘The Hurt Inside: The imprisonment of women and girls in NI’ (NIHRC Belfast: 2005) See also: NIHRC, ‘Response to </w:t>
      </w:r>
      <w:proofErr w:type="spellStart"/>
      <w:r w:rsidRPr="0039251D">
        <w:t>DoJNI</w:t>
      </w:r>
      <w:proofErr w:type="spellEnd"/>
      <w:r w:rsidRPr="0039251D">
        <w:t xml:space="preserve"> Prison Estate Policy Consultation’,</w:t>
      </w:r>
    </w:p>
    <w:p w:rsidR="00F07B5B" w:rsidRPr="0039251D" w:rsidRDefault="00F07B5B" w:rsidP="00961CDB">
      <w:pPr>
        <w:pStyle w:val="EndnoteText"/>
      </w:pPr>
      <w:r w:rsidRPr="0039251D">
        <w:t>December 2012, para 33</w:t>
      </w:r>
    </w:p>
  </w:endnote>
  <w:endnote w:id="99">
    <w:p w:rsidR="00F07B5B" w:rsidRPr="0039251D" w:rsidRDefault="00F07B5B">
      <w:pPr>
        <w:pStyle w:val="EndnoteText"/>
      </w:pPr>
      <w:r w:rsidRPr="0039251D">
        <w:rPr>
          <w:rStyle w:val="EndnoteReference"/>
        </w:rPr>
        <w:endnoteRef/>
      </w:r>
      <w:r w:rsidRPr="0039251D">
        <w:t xml:space="preserve"> Prison Review Team’ Review of the Northern Ireland Prison Service Conditions, management and oversight of all prisons’ Recommendation 3 October 2011 Recommendation 36 </w:t>
      </w:r>
    </w:p>
  </w:endnote>
  <w:endnote w:id="100">
    <w:p w:rsidR="00F07B5B" w:rsidRPr="0039251D" w:rsidRDefault="00F07B5B" w:rsidP="00B90907">
      <w:pPr>
        <w:pStyle w:val="EndnoteText"/>
      </w:pPr>
      <w:r w:rsidRPr="0039251D">
        <w:rPr>
          <w:rStyle w:val="EndnoteReference"/>
        </w:rPr>
        <w:endnoteRef/>
      </w:r>
      <w:r w:rsidRPr="0039251D">
        <w:t xml:space="preserve"> Committee for Justice OFFICIAL REPORT (</w:t>
      </w:r>
      <w:proofErr w:type="spellStart"/>
      <w:r w:rsidRPr="0039251D">
        <w:t>Hansard</w:t>
      </w:r>
      <w:proofErr w:type="spellEnd"/>
      <w:r w:rsidRPr="0039251D">
        <w:t>) Prison Reform Programme and Northern Ireland Prison Estate Strategy: Northern Ireland Prison Service 4 March 2015</w:t>
      </w:r>
    </w:p>
  </w:endnote>
  <w:endnote w:id="101">
    <w:p w:rsidR="00F07B5B" w:rsidRPr="0039251D" w:rsidRDefault="00F07B5B" w:rsidP="0017141F">
      <w:pPr>
        <w:pStyle w:val="EndnoteText"/>
      </w:pPr>
      <w:r w:rsidRPr="0039251D">
        <w:rPr>
          <w:rStyle w:val="EndnoteReference"/>
        </w:rPr>
        <w:endnoteRef/>
      </w:r>
      <w:r w:rsidRPr="0039251D">
        <w:t xml:space="preserve"> The prison population in England and Wales as of 30 June 2014 was 85,509 of which 12,197 were on remand representing just over 14% See Ministry of Justice Offender Management Statistics Bulletin, England and Wales Quarterly – January to March 2014</w:t>
      </w:r>
    </w:p>
  </w:endnote>
  <w:endnote w:id="102">
    <w:p w:rsidR="00F07B5B" w:rsidRPr="0039251D" w:rsidRDefault="00F07B5B">
      <w:pPr>
        <w:pStyle w:val="EndnoteText"/>
      </w:pPr>
      <w:r w:rsidRPr="0039251D">
        <w:rPr>
          <w:rStyle w:val="EndnoteReference"/>
        </w:rPr>
        <w:endnoteRef/>
      </w:r>
      <w:r w:rsidRPr="0039251D">
        <w:t xml:space="preserve"> CJINI, ‘Avoidable Delay: A Progress Report’, January 2012, available at: &lt;http://www.cjini.org/CJNI/files/0b/0b926375-5443-44b6-b2f9-7a88e6f6725b.pdf&gt;.</w:t>
      </w:r>
    </w:p>
  </w:endnote>
  <w:endnote w:id="103">
    <w:p w:rsidR="00F07B5B" w:rsidRPr="0039251D" w:rsidRDefault="00F07B5B">
      <w:pPr>
        <w:pStyle w:val="EndnoteText"/>
      </w:pPr>
      <w:r w:rsidRPr="0039251D">
        <w:rPr>
          <w:rStyle w:val="EndnoteReference"/>
        </w:rPr>
        <w:endnoteRef/>
      </w:r>
      <w:r w:rsidRPr="0039251D">
        <w:t xml:space="preserve"> The European Commission for Efficiency of Justice ‘Evaluation of Judicial systems’ 5th Report - Edition 2014 (2012 data) The Clearance rate is calculated by diving the number of cases closed by the number of cases received. Thirty three states were included in the study. </w:t>
      </w:r>
    </w:p>
  </w:endnote>
  <w:endnote w:id="104">
    <w:p w:rsidR="00F07B5B" w:rsidRPr="0039251D" w:rsidRDefault="00F07B5B">
      <w:pPr>
        <w:pStyle w:val="EndnoteText"/>
      </w:pPr>
      <w:r w:rsidRPr="0039251D">
        <w:rPr>
          <w:rStyle w:val="EndnoteReference"/>
        </w:rPr>
        <w:endnoteRef/>
      </w:r>
      <w:r w:rsidRPr="0039251D">
        <w:t xml:space="preserve"> CJINI, ‘Avoidable Delay: A Progress Report’, January 2012, available at: &lt;http://www.cjini.org/CJNI/files/0b/0b926375-5443-44b6-b2f9-7a88e6f6725b.pdf&gt;.</w:t>
      </w:r>
    </w:p>
  </w:endnote>
  <w:endnote w:id="105">
    <w:p w:rsidR="00F07B5B" w:rsidRDefault="00F07B5B" w:rsidP="00DA375E">
      <w:pPr>
        <w:pStyle w:val="EndnoteText"/>
      </w:pPr>
      <w:r>
        <w:rPr>
          <w:rStyle w:val="EndnoteReference"/>
        </w:rPr>
        <w:endnoteRef/>
      </w:r>
      <w:r>
        <w:t xml:space="preserve"> Fiona O’Connell Statutory Time Limits NIAR 125-12 31 March 2012</w:t>
      </w:r>
    </w:p>
  </w:endnote>
  <w:endnote w:id="106">
    <w:p w:rsidR="00F07B5B" w:rsidRPr="0039251D" w:rsidRDefault="00F07B5B">
      <w:pPr>
        <w:pStyle w:val="EndnoteText"/>
      </w:pPr>
      <w:r w:rsidRPr="0039251D">
        <w:rPr>
          <w:rStyle w:val="EndnoteReference"/>
        </w:rPr>
        <w:endnoteRef/>
      </w:r>
      <w:r w:rsidRPr="0039251D">
        <w:t xml:space="preserve"> Department of Justice NI ‘Time Limits in the Youth Court’ 2014</w:t>
      </w:r>
    </w:p>
  </w:endnote>
  <w:endnote w:id="107">
    <w:p w:rsidR="00F07B5B" w:rsidRPr="0039251D" w:rsidRDefault="00F07B5B" w:rsidP="00B9123E">
      <w:pPr>
        <w:pStyle w:val="EndnoteText"/>
      </w:pPr>
      <w:r w:rsidRPr="0039251D">
        <w:rPr>
          <w:rStyle w:val="EndnoteReference"/>
        </w:rPr>
        <w:endnoteRef/>
      </w:r>
      <w:r w:rsidRPr="0039251D">
        <w:t xml:space="preserve"> Official Report (</w:t>
      </w:r>
      <w:proofErr w:type="spellStart"/>
      <w:r w:rsidRPr="0039251D">
        <w:t>Hansard</w:t>
      </w:r>
      <w:proofErr w:type="spellEnd"/>
      <w:r w:rsidRPr="0039251D">
        <w:t>) Session: 2013/2014 Date: 25 June 2014</w:t>
      </w:r>
    </w:p>
  </w:endnote>
  <w:endnote w:id="108">
    <w:p w:rsidR="00F07B5B" w:rsidRPr="0039251D" w:rsidRDefault="00F07B5B" w:rsidP="006F2A3C">
      <w:pPr>
        <w:pStyle w:val="EndnoteText"/>
      </w:pPr>
      <w:r w:rsidRPr="0039251D">
        <w:rPr>
          <w:rStyle w:val="EndnoteReference"/>
        </w:rPr>
        <w:endnoteRef/>
      </w:r>
      <w:r w:rsidRPr="0039251D">
        <w:t xml:space="preserve"> [2011] UKSC 18</w:t>
      </w:r>
    </w:p>
  </w:endnote>
  <w:endnote w:id="109">
    <w:p w:rsidR="00F07B5B" w:rsidRPr="0039251D" w:rsidRDefault="00F07B5B" w:rsidP="006F2A3C">
      <w:pPr>
        <w:pStyle w:val="EndnoteText"/>
      </w:pPr>
      <w:r w:rsidRPr="0039251D">
        <w:rPr>
          <w:rStyle w:val="EndnoteReference"/>
        </w:rPr>
        <w:endnoteRef/>
      </w:r>
      <w:r w:rsidRPr="0039251D">
        <w:t xml:space="preserve"> </w:t>
      </w:r>
      <w:r w:rsidRPr="0039251D">
        <w:rPr>
          <w:i/>
        </w:rPr>
        <w:t>Ibid</w:t>
      </w:r>
      <w:r w:rsidRPr="0039251D">
        <w:t xml:space="preserve"> para 21 </w:t>
      </w:r>
    </w:p>
  </w:endnote>
  <w:endnote w:id="110">
    <w:p w:rsidR="00F07B5B" w:rsidRPr="0039251D" w:rsidRDefault="00F07B5B" w:rsidP="006F2A3C">
      <w:pPr>
        <w:pStyle w:val="EndnoteText"/>
      </w:pPr>
      <w:r w:rsidRPr="0039251D">
        <w:rPr>
          <w:rStyle w:val="EndnoteReference"/>
        </w:rPr>
        <w:endnoteRef/>
      </w:r>
      <w:r w:rsidRPr="0039251D">
        <w:t xml:space="preserve"> Human Rights Committee, General Comment No. 32, Article 14: Right to equality before courts and tribunals and to a fair trial, U.N. Doc. CCPR/C/GC/32 (2007).</w:t>
      </w:r>
    </w:p>
  </w:endnote>
  <w:endnote w:id="111">
    <w:p w:rsidR="00F07B5B" w:rsidRPr="0039251D" w:rsidRDefault="00F07B5B">
      <w:pPr>
        <w:pStyle w:val="EndnoteText"/>
      </w:pPr>
      <w:r w:rsidRPr="0039251D">
        <w:rPr>
          <w:rStyle w:val="EndnoteReference"/>
        </w:rPr>
        <w:endnoteRef/>
      </w:r>
      <w:r w:rsidRPr="0039251D">
        <w:t xml:space="preserve"> Belfast Telegraph ‘</w:t>
      </w:r>
      <w:r w:rsidRPr="0039251D">
        <w:rPr>
          <w:lang w:val="en"/>
        </w:rPr>
        <w:t xml:space="preserve">Call to raise criminal age limit’ 12 February 2015 </w:t>
      </w:r>
    </w:p>
  </w:endnote>
  <w:endnote w:id="112">
    <w:p w:rsidR="00F07B5B" w:rsidRPr="0039251D" w:rsidRDefault="00F07B5B">
      <w:pPr>
        <w:pStyle w:val="EndnoteText"/>
      </w:pPr>
      <w:r w:rsidRPr="0039251D">
        <w:rPr>
          <w:rStyle w:val="EndnoteReference"/>
        </w:rPr>
        <w:endnoteRef/>
      </w:r>
      <w:r w:rsidRPr="0039251D">
        <w:t xml:space="preserve"> NI Law Commission ‘Defamation Law in Northern Ireland’ NILC 19 (2014).</w:t>
      </w:r>
    </w:p>
  </w:endnote>
  <w:endnote w:id="113">
    <w:p w:rsidR="00F07B5B" w:rsidRDefault="00F07B5B">
      <w:pPr>
        <w:pStyle w:val="EndnoteText"/>
      </w:pPr>
      <w:r>
        <w:rPr>
          <w:rStyle w:val="EndnoteReference"/>
        </w:rPr>
        <w:endnoteRef/>
      </w:r>
      <w:r>
        <w:t xml:space="preserve"> NI Law Commission website: </w:t>
      </w:r>
      <w:r w:rsidRPr="0039251D">
        <w:t>The Minister of Justice has decided to reduce significantly funding to the Northern Ireland Law Commission from April 2015 in response to budget pressures within the Department of Justice. This will allow only essential law reform to continue.</w:t>
      </w:r>
    </w:p>
  </w:endnote>
  <w:endnote w:id="114">
    <w:p w:rsidR="00F07B5B" w:rsidRDefault="00F07B5B">
      <w:pPr>
        <w:pStyle w:val="EndnoteText"/>
      </w:pPr>
      <w:r>
        <w:rPr>
          <w:rStyle w:val="EndnoteReference"/>
        </w:rPr>
        <w:endnoteRef/>
      </w:r>
      <w:r>
        <w:t xml:space="preserve"> </w:t>
      </w:r>
    </w:p>
  </w:endnote>
  <w:endnote w:id="115">
    <w:p w:rsidR="00F07B5B" w:rsidRDefault="00F07B5B" w:rsidP="00076BA3">
      <w:pPr>
        <w:pStyle w:val="EndnoteText"/>
      </w:pPr>
      <w:r>
        <w:rPr>
          <w:rStyle w:val="EndnoteReference"/>
        </w:rPr>
        <w:endnoteRef/>
      </w:r>
      <w:r>
        <w:t xml:space="preserve"> See </w:t>
      </w:r>
      <w:r w:rsidRPr="00813B66">
        <w:t>AQO 7748/11-15</w:t>
      </w:r>
      <w:r>
        <w:t xml:space="preserve"> speaking in relation to the matter the Minister for Finance and Personnel stated: “</w:t>
      </w:r>
      <w:r w:rsidRPr="00813B66">
        <w:t>Not a single constituent has raised the issue with me, and I think that many of us in the House would be able to say that. It seems not to be an issue at the top of people's agenda in any way, shape or form.</w:t>
      </w:r>
      <w:r>
        <w:t>”</w:t>
      </w:r>
    </w:p>
  </w:endnote>
  <w:endnote w:id="116">
    <w:p w:rsidR="00F07B5B" w:rsidRDefault="00F07B5B">
      <w:pPr>
        <w:pStyle w:val="EndnoteText"/>
      </w:pPr>
      <w:r>
        <w:rPr>
          <w:rStyle w:val="EndnoteReference"/>
        </w:rPr>
        <w:endnoteRef/>
      </w:r>
      <w:r>
        <w:t xml:space="preserve"> Belfast Newsletter ‘</w:t>
      </w:r>
      <w:r w:rsidRPr="00813B66">
        <w:t>Robinson unapologetic on libel law, despite Scientology move</w:t>
      </w:r>
      <w:r>
        <w:t>’ 22 April 2015</w:t>
      </w:r>
    </w:p>
  </w:endnote>
  <w:endnote w:id="117">
    <w:p w:rsidR="00F07B5B" w:rsidRDefault="00F07B5B">
      <w:pPr>
        <w:pStyle w:val="EndnoteText"/>
      </w:pPr>
      <w:r>
        <w:rPr>
          <w:rStyle w:val="EndnoteReference"/>
        </w:rPr>
        <w:endnoteRef/>
      </w:r>
      <w:r>
        <w:t xml:space="preserve"> </w:t>
      </w:r>
      <w:r w:rsidRPr="00F819B0">
        <w:t>OHCHR Report of the United Nations High Commissioner for Human Rights on the protection of human rights and fundamental freedoms while countering terrorism A/HRC/28/28 para</w:t>
      </w:r>
      <w:r>
        <w:t xml:space="preserve"> 32</w:t>
      </w:r>
    </w:p>
  </w:endnote>
  <w:endnote w:id="118">
    <w:p w:rsidR="00F07B5B" w:rsidRPr="0039251D" w:rsidRDefault="00F07B5B" w:rsidP="006C72F2">
      <w:pPr>
        <w:pStyle w:val="EndnoteText"/>
      </w:pPr>
      <w:r w:rsidRPr="0039251D">
        <w:rPr>
          <w:rStyle w:val="EndnoteReference"/>
        </w:rPr>
        <w:endnoteRef/>
      </w:r>
      <w:r w:rsidRPr="0039251D">
        <w:t xml:space="preserve"> Title: Counter-Terrorism and Security Act 2015 - Temporary Exclusion Orders – Royal Assent</w:t>
      </w:r>
    </w:p>
    <w:p w:rsidR="00F07B5B" w:rsidRPr="0039251D" w:rsidRDefault="00F07B5B" w:rsidP="006C72F2">
      <w:pPr>
        <w:pStyle w:val="EndnoteText"/>
      </w:pPr>
      <w:r w:rsidRPr="0039251D">
        <w:t xml:space="preserve">IA No: HO0144 11 February 2014 </w:t>
      </w:r>
    </w:p>
  </w:endnote>
  <w:endnote w:id="119">
    <w:p w:rsidR="00F07B5B" w:rsidRPr="0039251D" w:rsidRDefault="00F07B5B">
      <w:pPr>
        <w:pStyle w:val="EndnoteText"/>
      </w:pPr>
      <w:r w:rsidRPr="0039251D">
        <w:rPr>
          <w:rStyle w:val="EndnoteReference"/>
        </w:rPr>
        <w:endnoteRef/>
      </w:r>
      <w:r w:rsidRPr="0039251D">
        <w:t xml:space="preserve"> The Telegraph ‘</w:t>
      </w:r>
      <w:r w:rsidRPr="0039251D">
        <w:rPr>
          <w:lang w:val="en"/>
        </w:rPr>
        <w:t xml:space="preserve">20 British teenage girls have gone to Syria to join </w:t>
      </w:r>
      <w:proofErr w:type="spellStart"/>
      <w:r w:rsidRPr="0039251D">
        <w:rPr>
          <w:lang w:val="en"/>
        </w:rPr>
        <w:t>Isil</w:t>
      </w:r>
      <w:proofErr w:type="spellEnd"/>
      <w:r w:rsidRPr="0039251D">
        <w:rPr>
          <w:lang w:val="en"/>
        </w:rPr>
        <w:t xml:space="preserve">’ 1 March 2015 </w:t>
      </w:r>
    </w:p>
  </w:endnote>
  <w:endnote w:id="120">
    <w:p w:rsidR="00F07B5B" w:rsidRPr="0039251D" w:rsidRDefault="00F07B5B">
      <w:pPr>
        <w:pStyle w:val="EndnoteText"/>
      </w:pPr>
      <w:r w:rsidRPr="0039251D">
        <w:rPr>
          <w:rStyle w:val="EndnoteReference"/>
        </w:rPr>
        <w:endnoteRef/>
      </w:r>
      <w:r w:rsidRPr="0039251D">
        <w:t xml:space="preserve"> For discussion see House of Commons Library ‘Deprivation of British Citizenship and withdrawal of passport facilities’ SN/HA/6820 30 January 2015 </w:t>
      </w:r>
    </w:p>
  </w:endnote>
  <w:endnote w:id="121">
    <w:p w:rsidR="00F07B5B" w:rsidRPr="0039251D" w:rsidRDefault="00F07B5B">
      <w:pPr>
        <w:pStyle w:val="EndnoteText"/>
      </w:pPr>
      <w:r w:rsidRPr="0039251D">
        <w:rPr>
          <w:rStyle w:val="EndnoteReference"/>
        </w:rPr>
        <w:endnoteRef/>
      </w:r>
      <w:r w:rsidRPr="0039251D">
        <w:t xml:space="preserve"> British Nationality Act 1981 Section 41 </w:t>
      </w:r>
    </w:p>
  </w:endnote>
  <w:endnote w:id="122">
    <w:p w:rsidR="00F07B5B" w:rsidRPr="0039251D" w:rsidRDefault="00F07B5B">
      <w:pPr>
        <w:pStyle w:val="EndnoteText"/>
      </w:pPr>
      <w:r w:rsidRPr="0039251D">
        <w:rPr>
          <w:rStyle w:val="EndnoteReference"/>
        </w:rPr>
        <w:endnoteRef/>
      </w:r>
      <w:r w:rsidRPr="0039251D">
        <w:t xml:space="preserve"> The Immigration Act 2014 (Commencement No. 1, Transitory and Saving Provisions) Order 2014 Article 3 </w:t>
      </w:r>
    </w:p>
  </w:endnote>
  <w:endnote w:id="123">
    <w:p w:rsidR="00F07B5B" w:rsidRPr="0039251D" w:rsidRDefault="00F07B5B">
      <w:pPr>
        <w:pStyle w:val="EndnoteText"/>
      </w:pPr>
      <w:r w:rsidRPr="0039251D">
        <w:rPr>
          <w:rStyle w:val="EndnoteReference"/>
        </w:rPr>
        <w:endnoteRef/>
      </w:r>
      <w:r w:rsidRPr="0039251D">
        <w:t xml:space="preserve"> Counter Terrorism and Security Act 2015 Section 2(1)(a)</w:t>
      </w:r>
    </w:p>
  </w:endnote>
  <w:endnote w:id="124">
    <w:p w:rsidR="00F07B5B" w:rsidRPr="0039251D" w:rsidRDefault="00F07B5B" w:rsidP="006C72F2">
      <w:pPr>
        <w:pStyle w:val="EndnoteText"/>
      </w:pPr>
      <w:r w:rsidRPr="0039251D">
        <w:rPr>
          <w:rStyle w:val="EndnoteReference"/>
        </w:rPr>
        <w:endnoteRef/>
      </w:r>
      <w:r w:rsidRPr="0039251D">
        <w:t xml:space="preserve"> Counter Terrorism and Security Act 2015 Section 9 - See Independent Reviewer of Terrorism ‘Judicial Oversight of TEOs January 8, 2015</w:t>
      </w:r>
    </w:p>
  </w:endnote>
  <w:endnote w:id="125">
    <w:p w:rsidR="00F07B5B" w:rsidRPr="0039251D" w:rsidRDefault="00F07B5B">
      <w:pPr>
        <w:pStyle w:val="EndnoteText"/>
      </w:pPr>
      <w:r w:rsidRPr="0039251D">
        <w:rPr>
          <w:rStyle w:val="EndnoteReference"/>
        </w:rPr>
        <w:endnoteRef/>
      </w:r>
      <w:r w:rsidRPr="0039251D">
        <w:t xml:space="preserve"> Counter Terrorism and Security Act 2015  Section 10</w:t>
      </w:r>
    </w:p>
  </w:endnote>
  <w:endnote w:id="126">
    <w:p w:rsidR="00F07B5B" w:rsidRPr="0039251D" w:rsidRDefault="00F07B5B" w:rsidP="006C72F2">
      <w:pPr>
        <w:pStyle w:val="EndnoteText"/>
      </w:pPr>
      <w:r w:rsidRPr="0039251D">
        <w:rPr>
          <w:rStyle w:val="EndnoteReference"/>
        </w:rPr>
        <w:endnoteRef/>
      </w:r>
      <w:r w:rsidRPr="0039251D">
        <w:t xml:space="preserve"> Title: Counter-Terrorism and Security Act 2015 - Temporary Exclusion Orders – Royal Assent</w:t>
      </w:r>
    </w:p>
    <w:p w:rsidR="00F07B5B" w:rsidRPr="0039251D" w:rsidRDefault="00F07B5B" w:rsidP="006C72F2">
      <w:pPr>
        <w:pStyle w:val="EndnoteText"/>
      </w:pPr>
      <w:r w:rsidRPr="0039251D">
        <w:t>IA No: HO0144 11 February 2014</w:t>
      </w:r>
    </w:p>
  </w:endnote>
  <w:endnote w:id="127">
    <w:p w:rsidR="00F07B5B" w:rsidRPr="0039251D" w:rsidRDefault="00F07B5B">
      <w:pPr>
        <w:pStyle w:val="EndnoteText"/>
      </w:pPr>
      <w:r w:rsidRPr="0039251D">
        <w:rPr>
          <w:rStyle w:val="EndnoteReference"/>
        </w:rPr>
        <w:endnoteRef/>
      </w:r>
      <w:r w:rsidRPr="0039251D">
        <w:t xml:space="preserve"> GOV.UK, speech, Home Secretary Theresa May on counter terrorism, 24 November 2014 </w:t>
      </w:r>
    </w:p>
  </w:endnote>
  <w:endnote w:id="128">
    <w:p w:rsidR="00F07B5B" w:rsidRPr="0039251D" w:rsidRDefault="00F07B5B">
      <w:pPr>
        <w:pStyle w:val="EndnoteText"/>
      </w:pPr>
      <w:r w:rsidRPr="0039251D">
        <w:rPr>
          <w:rStyle w:val="EndnoteReference"/>
        </w:rPr>
        <w:endnoteRef/>
      </w:r>
      <w:r w:rsidRPr="0039251D">
        <w:t xml:space="preserve"> Counter Terrorism and Security Act 2015 Section 1</w:t>
      </w:r>
    </w:p>
  </w:endnote>
  <w:endnote w:id="129">
    <w:p w:rsidR="00F07B5B" w:rsidRPr="0039251D" w:rsidRDefault="00F07B5B" w:rsidP="006C72F2">
      <w:pPr>
        <w:pStyle w:val="EndnoteText"/>
      </w:pPr>
      <w:r w:rsidRPr="0039251D">
        <w:rPr>
          <w:rStyle w:val="EndnoteReference"/>
        </w:rPr>
        <w:endnoteRef/>
      </w:r>
      <w:r w:rsidRPr="0039251D">
        <w:t xml:space="preserve"> OHCHR Report of the United Nations High Commissioner for Human Rights on the protection of human rights and fundamental freedoms while countering terrorism A/HRC/28/28 para 32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Zurich BT">
    <w:altName w:val="Zurich B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MinionPro-Regular">
    <w:panose1 w:val="00000000000000000000"/>
    <w:charset w:val="00"/>
    <w:family w:val="auto"/>
    <w:notTrueType/>
    <w:pitch w:val="default"/>
    <w:sig w:usb0="00000003" w:usb1="00000000" w:usb2="00000000" w:usb3="00000000" w:csb0="00000001" w:csb1="00000000"/>
  </w:font>
  <w:font w:name="MinionPro-Bold">
    <w:panose1 w:val="00000000000000000000"/>
    <w:charset w:val="00"/>
    <w:family w:val="roman"/>
    <w:notTrueType/>
    <w:pitch w:val="default"/>
    <w:sig w:usb0="00000003" w:usb1="00000000" w:usb2="00000000" w:usb3="00000000" w:csb0="00000001" w:csb1="00000000"/>
  </w:font>
  <w:font w:name="ZurichBT-LightCondensed">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ITCFranklinGothicBook">
    <w:panose1 w:val="00000000000000000000"/>
    <w:charset w:val="00"/>
    <w:family w:val="swiss"/>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 w:name="TT17At00">
    <w:panose1 w:val="00000000000000000000"/>
    <w:charset w:val="00"/>
    <w:family w:val="auto"/>
    <w:notTrueType/>
    <w:pitch w:val="default"/>
    <w:sig w:usb0="00000003" w:usb1="00000000" w:usb2="00000000" w:usb3="00000000" w:csb0="00000001" w:csb1="00000000"/>
  </w:font>
  <w:font w:name="TT17Bt00">
    <w:panose1 w:val="00000000000000000000"/>
    <w:charset w:val="00"/>
    <w:family w:val="auto"/>
    <w:notTrueType/>
    <w:pitch w:val="default"/>
    <w:sig w:usb0="00000003" w:usb1="00000000" w:usb2="00000000" w:usb3="00000000" w:csb0="00000001" w:csb1="00000000"/>
  </w:font>
  <w:font w:name="Times New Roman PSMT">
    <w:altName w:val="Times New Roman PSMT"/>
    <w:panose1 w:val="00000000000000000000"/>
    <w:charset w:val="00"/>
    <w:family w:val="modern"/>
    <w:notTrueType/>
    <w:pitch w:val="default"/>
    <w:sig w:usb0="00000003" w:usb1="00000000" w:usb2="00000000" w:usb3="00000000" w:csb0="00000001" w:csb1="00000000"/>
  </w:font>
  <w:font w:name="OfficinaSanITC-Medium">
    <w:panose1 w:val="00000000000000000000"/>
    <w:charset w:val="00"/>
    <w:family w:val="swiss"/>
    <w:notTrueType/>
    <w:pitch w:val="default"/>
    <w:sig w:usb0="00000003" w:usb1="00000000" w:usb2="00000000" w:usb3="00000000" w:csb0="00000001" w:csb1="00000000"/>
  </w:font>
  <w:font w:name="BookAntiquaParliamentary">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052955"/>
      <w:docPartObj>
        <w:docPartGallery w:val="Page Numbers (Bottom of Page)"/>
        <w:docPartUnique/>
      </w:docPartObj>
    </w:sdtPr>
    <w:sdtEndPr>
      <w:rPr>
        <w:color w:val="808080" w:themeColor="background1" w:themeShade="80"/>
        <w:spacing w:val="60"/>
      </w:rPr>
    </w:sdtEndPr>
    <w:sdtContent>
      <w:p w:rsidR="00F07B5B" w:rsidRDefault="00F07B5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E0A2A" w:rsidRPr="00DE0A2A">
          <w:rPr>
            <w:b/>
            <w:bCs/>
            <w:noProof/>
          </w:rPr>
          <w:t>2</w:t>
        </w:r>
        <w:r>
          <w:rPr>
            <w:b/>
            <w:bCs/>
            <w:noProof/>
          </w:rPr>
          <w:fldChar w:fldCharType="end"/>
        </w:r>
        <w:r>
          <w:rPr>
            <w:b/>
            <w:bCs/>
          </w:rPr>
          <w:t xml:space="preserve"> | </w:t>
        </w:r>
        <w:r>
          <w:rPr>
            <w:color w:val="808080" w:themeColor="background1" w:themeShade="80"/>
            <w:spacing w:val="60"/>
          </w:rPr>
          <w:t>Page</w:t>
        </w:r>
      </w:p>
    </w:sdtContent>
  </w:sdt>
  <w:p w:rsidR="00F07B5B" w:rsidRDefault="00F07B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4DBE" w:rsidRDefault="00D14DBE" w:rsidP="00485374">
      <w:pPr>
        <w:spacing w:after="0" w:line="240" w:lineRule="auto"/>
      </w:pPr>
      <w:r>
        <w:separator/>
      </w:r>
    </w:p>
  </w:footnote>
  <w:footnote w:type="continuationSeparator" w:id="0">
    <w:p w:rsidR="00D14DBE" w:rsidRDefault="00D14DBE" w:rsidP="004853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D5F46"/>
    <w:multiLevelType w:val="hybridMultilevel"/>
    <w:tmpl w:val="C59CABD2"/>
    <w:lvl w:ilvl="0" w:tplc="9BAE0C94">
      <w:start w:val="19"/>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4080284"/>
    <w:multiLevelType w:val="hybridMultilevel"/>
    <w:tmpl w:val="DA36F842"/>
    <w:lvl w:ilvl="0" w:tplc="27CAFAE6">
      <w:numFmt w:val="bullet"/>
      <w:lvlText w:val=""/>
      <w:lvlJc w:val="left"/>
      <w:pPr>
        <w:ind w:left="720" w:hanging="360"/>
      </w:pPr>
      <w:rPr>
        <w:rFonts w:ascii="Symbol" w:eastAsia="Calibri" w:hAnsi="Symbol" w:cs="Times New Roman" w:hint="default"/>
        <w:i w:val="0"/>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34FE2D4E"/>
    <w:multiLevelType w:val="hybridMultilevel"/>
    <w:tmpl w:val="25B29668"/>
    <w:lvl w:ilvl="0" w:tplc="B694F8F8">
      <w:start w:val="1"/>
      <w:numFmt w:val="decimal"/>
      <w:lvlText w:val="%1."/>
      <w:lvlJc w:val="left"/>
      <w:pPr>
        <w:tabs>
          <w:tab w:val="num" w:pos="2988"/>
        </w:tabs>
        <w:ind w:left="2988" w:hanging="360"/>
      </w:pPr>
      <w:rPr>
        <w:rFonts w:hint="default"/>
        <w:b w:val="0"/>
        <w:bCs/>
        <w:i w:val="0"/>
        <w:vertAlign w:val="baseline"/>
      </w:rPr>
    </w:lvl>
    <w:lvl w:ilvl="1" w:tplc="04090019">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
    <w:nsid w:val="498358F2"/>
    <w:multiLevelType w:val="hybridMultilevel"/>
    <w:tmpl w:val="11FEA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B5D71E0"/>
    <w:multiLevelType w:val="hybridMultilevel"/>
    <w:tmpl w:val="B93488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707744B4"/>
    <w:multiLevelType w:val="hybridMultilevel"/>
    <w:tmpl w:val="03DC6934"/>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num w:numId="1">
    <w:abstractNumId w:val="0"/>
  </w:num>
  <w:num w:numId="2">
    <w:abstractNumId w:val="2"/>
  </w:num>
  <w:num w:numId="3">
    <w:abstractNumId w:val="1"/>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F35"/>
    <w:rsid w:val="00013560"/>
    <w:rsid w:val="00017CA2"/>
    <w:rsid w:val="00022A73"/>
    <w:rsid w:val="00030623"/>
    <w:rsid w:val="00041351"/>
    <w:rsid w:val="00053140"/>
    <w:rsid w:val="00076BA3"/>
    <w:rsid w:val="000D42EC"/>
    <w:rsid w:val="000F6AFF"/>
    <w:rsid w:val="001003A5"/>
    <w:rsid w:val="00105456"/>
    <w:rsid w:val="00132825"/>
    <w:rsid w:val="0014450C"/>
    <w:rsid w:val="00145AC9"/>
    <w:rsid w:val="00157BB8"/>
    <w:rsid w:val="0017141F"/>
    <w:rsid w:val="00180C59"/>
    <w:rsid w:val="00185852"/>
    <w:rsid w:val="001969EE"/>
    <w:rsid w:val="001A4EED"/>
    <w:rsid w:val="001C5B34"/>
    <w:rsid w:val="001F094F"/>
    <w:rsid w:val="00203B39"/>
    <w:rsid w:val="00206EE6"/>
    <w:rsid w:val="00224E8D"/>
    <w:rsid w:val="00237B70"/>
    <w:rsid w:val="002809F6"/>
    <w:rsid w:val="00280AB2"/>
    <w:rsid w:val="00281D93"/>
    <w:rsid w:val="00297FAF"/>
    <w:rsid w:val="002C3926"/>
    <w:rsid w:val="002E19A7"/>
    <w:rsid w:val="002E28FF"/>
    <w:rsid w:val="002E4678"/>
    <w:rsid w:val="002E491A"/>
    <w:rsid w:val="002F3AA5"/>
    <w:rsid w:val="002F6043"/>
    <w:rsid w:val="003024A6"/>
    <w:rsid w:val="003279CD"/>
    <w:rsid w:val="00327AA2"/>
    <w:rsid w:val="00327B3E"/>
    <w:rsid w:val="00336854"/>
    <w:rsid w:val="003664FA"/>
    <w:rsid w:val="003758C1"/>
    <w:rsid w:val="0039251D"/>
    <w:rsid w:val="003A30B3"/>
    <w:rsid w:val="003B182C"/>
    <w:rsid w:val="003C0D49"/>
    <w:rsid w:val="003D0B76"/>
    <w:rsid w:val="003D371F"/>
    <w:rsid w:val="003D7908"/>
    <w:rsid w:val="003E17B7"/>
    <w:rsid w:val="003F28D3"/>
    <w:rsid w:val="004022D6"/>
    <w:rsid w:val="0041685B"/>
    <w:rsid w:val="00427FA1"/>
    <w:rsid w:val="00434B76"/>
    <w:rsid w:val="00440C48"/>
    <w:rsid w:val="00445F35"/>
    <w:rsid w:val="0046645D"/>
    <w:rsid w:val="00477758"/>
    <w:rsid w:val="00483E70"/>
    <w:rsid w:val="00485374"/>
    <w:rsid w:val="004A4B9E"/>
    <w:rsid w:val="004B1D98"/>
    <w:rsid w:val="004B20E0"/>
    <w:rsid w:val="004D3119"/>
    <w:rsid w:val="004D481C"/>
    <w:rsid w:val="004E27DB"/>
    <w:rsid w:val="004E562E"/>
    <w:rsid w:val="004E6B73"/>
    <w:rsid w:val="004F162F"/>
    <w:rsid w:val="004F65A5"/>
    <w:rsid w:val="0053034E"/>
    <w:rsid w:val="00540BE8"/>
    <w:rsid w:val="00542ECD"/>
    <w:rsid w:val="00562E31"/>
    <w:rsid w:val="00575D80"/>
    <w:rsid w:val="0058482D"/>
    <w:rsid w:val="00586F1B"/>
    <w:rsid w:val="005876B7"/>
    <w:rsid w:val="00594D6E"/>
    <w:rsid w:val="005B0B99"/>
    <w:rsid w:val="005C5B8B"/>
    <w:rsid w:val="005D7916"/>
    <w:rsid w:val="005F7197"/>
    <w:rsid w:val="006032D0"/>
    <w:rsid w:val="0062328F"/>
    <w:rsid w:val="00632CC4"/>
    <w:rsid w:val="00641F62"/>
    <w:rsid w:val="00646F35"/>
    <w:rsid w:val="00650A2E"/>
    <w:rsid w:val="00651F45"/>
    <w:rsid w:val="00660AB6"/>
    <w:rsid w:val="00667641"/>
    <w:rsid w:val="006858D1"/>
    <w:rsid w:val="006944D6"/>
    <w:rsid w:val="0069576B"/>
    <w:rsid w:val="006A3504"/>
    <w:rsid w:val="006C6998"/>
    <w:rsid w:val="006C72F2"/>
    <w:rsid w:val="006D3215"/>
    <w:rsid w:val="006F2A3C"/>
    <w:rsid w:val="006F5487"/>
    <w:rsid w:val="00704335"/>
    <w:rsid w:val="00715187"/>
    <w:rsid w:val="007412C2"/>
    <w:rsid w:val="0074201C"/>
    <w:rsid w:val="0077286D"/>
    <w:rsid w:val="00781326"/>
    <w:rsid w:val="00783FA6"/>
    <w:rsid w:val="007A0E49"/>
    <w:rsid w:val="007A4860"/>
    <w:rsid w:val="007A5428"/>
    <w:rsid w:val="007B0F04"/>
    <w:rsid w:val="007B1036"/>
    <w:rsid w:val="007D2BED"/>
    <w:rsid w:val="007E476C"/>
    <w:rsid w:val="00813B66"/>
    <w:rsid w:val="008404B0"/>
    <w:rsid w:val="00840B0C"/>
    <w:rsid w:val="0084103D"/>
    <w:rsid w:val="00846C0F"/>
    <w:rsid w:val="008515E9"/>
    <w:rsid w:val="0085477D"/>
    <w:rsid w:val="0086114F"/>
    <w:rsid w:val="00876D09"/>
    <w:rsid w:val="0088072D"/>
    <w:rsid w:val="00880C0B"/>
    <w:rsid w:val="0088100D"/>
    <w:rsid w:val="008857C5"/>
    <w:rsid w:val="008948F5"/>
    <w:rsid w:val="00897EF8"/>
    <w:rsid w:val="008D2ED1"/>
    <w:rsid w:val="008D57B5"/>
    <w:rsid w:val="008F6876"/>
    <w:rsid w:val="00912AE9"/>
    <w:rsid w:val="009235A5"/>
    <w:rsid w:val="00934440"/>
    <w:rsid w:val="00957553"/>
    <w:rsid w:val="00960058"/>
    <w:rsid w:val="00961CDB"/>
    <w:rsid w:val="00962197"/>
    <w:rsid w:val="00970460"/>
    <w:rsid w:val="009716C6"/>
    <w:rsid w:val="009765A2"/>
    <w:rsid w:val="009770D1"/>
    <w:rsid w:val="00981E01"/>
    <w:rsid w:val="00984C4C"/>
    <w:rsid w:val="00993AFC"/>
    <w:rsid w:val="009B622E"/>
    <w:rsid w:val="009C5B5D"/>
    <w:rsid w:val="009D48E6"/>
    <w:rsid w:val="009E669B"/>
    <w:rsid w:val="00A00DB4"/>
    <w:rsid w:val="00A0382F"/>
    <w:rsid w:val="00A14328"/>
    <w:rsid w:val="00A55D97"/>
    <w:rsid w:val="00A57EC6"/>
    <w:rsid w:val="00A645EE"/>
    <w:rsid w:val="00A93B50"/>
    <w:rsid w:val="00A943BA"/>
    <w:rsid w:val="00AD3A92"/>
    <w:rsid w:val="00AF75A0"/>
    <w:rsid w:val="00B03F58"/>
    <w:rsid w:val="00B16933"/>
    <w:rsid w:val="00B17DCD"/>
    <w:rsid w:val="00B2079C"/>
    <w:rsid w:val="00B56260"/>
    <w:rsid w:val="00B632C0"/>
    <w:rsid w:val="00B664BD"/>
    <w:rsid w:val="00B67724"/>
    <w:rsid w:val="00B70F15"/>
    <w:rsid w:val="00B90907"/>
    <w:rsid w:val="00B9123E"/>
    <w:rsid w:val="00BA2949"/>
    <w:rsid w:val="00BC0748"/>
    <w:rsid w:val="00BC45C2"/>
    <w:rsid w:val="00BD276C"/>
    <w:rsid w:val="00BD7887"/>
    <w:rsid w:val="00C0175B"/>
    <w:rsid w:val="00C0436C"/>
    <w:rsid w:val="00C125F0"/>
    <w:rsid w:val="00C236AA"/>
    <w:rsid w:val="00C25AA2"/>
    <w:rsid w:val="00C419E2"/>
    <w:rsid w:val="00C6414D"/>
    <w:rsid w:val="00C726C5"/>
    <w:rsid w:val="00C7620A"/>
    <w:rsid w:val="00C90797"/>
    <w:rsid w:val="00C97829"/>
    <w:rsid w:val="00CB5E3C"/>
    <w:rsid w:val="00CB7CBE"/>
    <w:rsid w:val="00CE0D00"/>
    <w:rsid w:val="00CE3879"/>
    <w:rsid w:val="00CF1CB2"/>
    <w:rsid w:val="00CF2149"/>
    <w:rsid w:val="00D0346D"/>
    <w:rsid w:val="00D040EA"/>
    <w:rsid w:val="00D14DBE"/>
    <w:rsid w:val="00D15B7F"/>
    <w:rsid w:val="00D236C4"/>
    <w:rsid w:val="00D329F0"/>
    <w:rsid w:val="00D3764A"/>
    <w:rsid w:val="00D43597"/>
    <w:rsid w:val="00D4596E"/>
    <w:rsid w:val="00D4775A"/>
    <w:rsid w:val="00D50345"/>
    <w:rsid w:val="00D74DBB"/>
    <w:rsid w:val="00DA375E"/>
    <w:rsid w:val="00DA6C3F"/>
    <w:rsid w:val="00DB0938"/>
    <w:rsid w:val="00DB3EE8"/>
    <w:rsid w:val="00DC037C"/>
    <w:rsid w:val="00DD3BC5"/>
    <w:rsid w:val="00DD6927"/>
    <w:rsid w:val="00DE0A2A"/>
    <w:rsid w:val="00E07945"/>
    <w:rsid w:val="00E464A3"/>
    <w:rsid w:val="00E544D1"/>
    <w:rsid w:val="00E62964"/>
    <w:rsid w:val="00E66B12"/>
    <w:rsid w:val="00E87A86"/>
    <w:rsid w:val="00EA0380"/>
    <w:rsid w:val="00EA1C3B"/>
    <w:rsid w:val="00EA333F"/>
    <w:rsid w:val="00EA708D"/>
    <w:rsid w:val="00EC223D"/>
    <w:rsid w:val="00EC6137"/>
    <w:rsid w:val="00ED0A6F"/>
    <w:rsid w:val="00EE213B"/>
    <w:rsid w:val="00EE44ED"/>
    <w:rsid w:val="00EE5C65"/>
    <w:rsid w:val="00EF25AD"/>
    <w:rsid w:val="00EF3C23"/>
    <w:rsid w:val="00F00DE5"/>
    <w:rsid w:val="00F02FBD"/>
    <w:rsid w:val="00F07B5B"/>
    <w:rsid w:val="00F130E9"/>
    <w:rsid w:val="00F22DB1"/>
    <w:rsid w:val="00F33247"/>
    <w:rsid w:val="00F41AA6"/>
    <w:rsid w:val="00F4427A"/>
    <w:rsid w:val="00F45184"/>
    <w:rsid w:val="00F46FBD"/>
    <w:rsid w:val="00F56DDB"/>
    <w:rsid w:val="00F819B0"/>
    <w:rsid w:val="00F90584"/>
    <w:rsid w:val="00FA2012"/>
    <w:rsid w:val="00FC436A"/>
    <w:rsid w:val="00FC6B04"/>
    <w:rsid w:val="00FC7322"/>
    <w:rsid w:val="00FD1A35"/>
    <w:rsid w:val="00FD5ADB"/>
    <w:rsid w:val="00FE5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Footnote Text1,Footnote Text Char1 Char Char,Footnote Text Char Char Char Char,Footnote Text Char1 Char Char1 Char Char,Footnote Text Char Char Char Char1 Char Char"/>
    <w:basedOn w:val="Normal"/>
    <w:link w:val="FootnoteTextChar"/>
    <w:uiPriority w:val="99"/>
    <w:unhideWhenUsed/>
    <w:rsid w:val="00485374"/>
    <w:pPr>
      <w:spacing w:after="0" w:line="240" w:lineRule="auto"/>
    </w:pPr>
    <w:rPr>
      <w:sz w:val="20"/>
      <w:szCs w:val="20"/>
    </w:rPr>
  </w:style>
  <w:style w:type="character" w:customStyle="1" w:styleId="FootnoteTextChar">
    <w:name w:val="Footnote Text Char"/>
    <w:aliases w:val="5_G Char,Footnote Text Char1 Char,Footnote Text Char Char Char,Footnote Text1 Char,Footnote Text Char1 Char Char Char,Footnote Text Char Char Char Char Char,Footnote Text Char1 Char Char1 Char Char Char"/>
    <w:basedOn w:val="DefaultParagraphFont"/>
    <w:link w:val="FootnoteText"/>
    <w:uiPriority w:val="99"/>
    <w:rsid w:val="00485374"/>
    <w:rPr>
      <w:sz w:val="20"/>
      <w:szCs w:val="20"/>
    </w:rPr>
  </w:style>
  <w:style w:type="character" w:styleId="FootnoteReference">
    <w:name w:val="footnote reference"/>
    <w:aliases w:val="Footnotes refss,Odwołanie przypisu,Footnote symbol,Footnote Reference Number,Appel note de bas de p,Appel note de bas de p + (Asian) Batang,Black,(NECG) Footnote Reference,Nota,Footnote Refernece,Footnote Refernece + (Latein) Arial"/>
    <w:basedOn w:val="DefaultParagraphFont"/>
    <w:link w:val="4GChar"/>
    <w:uiPriority w:val="99"/>
    <w:unhideWhenUsed/>
    <w:qFormat/>
    <w:rsid w:val="00485374"/>
    <w:rPr>
      <w:vertAlign w:val="superscript"/>
    </w:rPr>
  </w:style>
  <w:style w:type="paragraph" w:customStyle="1" w:styleId="Pa4">
    <w:name w:val="Pa4"/>
    <w:basedOn w:val="Normal"/>
    <w:next w:val="Normal"/>
    <w:uiPriority w:val="99"/>
    <w:rsid w:val="008857C5"/>
    <w:pPr>
      <w:autoSpaceDE w:val="0"/>
      <w:autoSpaceDN w:val="0"/>
      <w:adjustRightInd w:val="0"/>
      <w:spacing w:after="0" w:line="241" w:lineRule="atLeast"/>
    </w:pPr>
    <w:rPr>
      <w:rFonts w:ascii="Zurich BT" w:hAnsi="Zurich BT"/>
      <w:sz w:val="24"/>
      <w:szCs w:val="24"/>
    </w:rPr>
  </w:style>
  <w:style w:type="character" w:customStyle="1" w:styleId="A9">
    <w:name w:val="A9"/>
    <w:uiPriority w:val="99"/>
    <w:rsid w:val="008857C5"/>
    <w:rPr>
      <w:rFonts w:cs="Zurich BT"/>
      <w:color w:val="000000"/>
      <w:sz w:val="14"/>
      <w:szCs w:val="14"/>
    </w:rPr>
  </w:style>
  <w:style w:type="paragraph" w:customStyle="1" w:styleId="Pa13">
    <w:name w:val="Pa13"/>
    <w:basedOn w:val="Normal"/>
    <w:next w:val="Normal"/>
    <w:uiPriority w:val="99"/>
    <w:rsid w:val="008857C5"/>
    <w:pPr>
      <w:autoSpaceDE w:val="0"/>
      <w:autoSpaceDN w:val="0"/>
      <w:adjustRightInd w:val="0"/>
      <w:spacing w:after="0" w:line="241" w:lineRule="atLeast"/>
    </w:pPr>
    <w:rPr>
      <w:rFonts w:ascii="Zurich BT" w:hAnsi="Zurich BT"/>
      <w:sz w:val="24"/>
      <w:szCs w:val="24"/>
    </w:rPr>
  </w:style>
  <w:style w:type="paragraph" w:styleId="ListParagraph">
    <w:name w:val="List Paragraph"/>
    <w:basedOn w:val="Normal"/>
    <w:uiPriority w:val="34"/>
    <w:qFormat/>
    <w:rsid w:val="00EA1C3B"/>
    <w:pPr>
      <w:ind w:left="720"/>
      <w:contextualSpacing/>
    </w:pPr>
  </w:style>
  <w:style w:type="paragraph" w:styleId="BalloonText">
    <w:name w:val="Balloon Text"/>
    <w:basedOn w:val="Normal"/>
    <w:link w:val="BalloonTextChar"/>
    <w:uiPriority w:val="99"/>
    <w:semiHidden/>
    <w:unhideWhenUsed/>
    <w:rsid w:val="006C72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72F2"/>
    <w:rPr>
      <w:rFonts w:ascii="Tahoma" w:hAnsi="Tahoma" w:cs="Tahoma"/>
      <w:sz w:val="16"/>
      <w:szCs w:val="16"/>
    </w:rPr>
  </w:style>
  <w:style w:type="character" w:customStyle="1" w:styleId="legds2">
    <w:name w:val="legds2"/>
    <w:basedOn w:val="DefaultParagraphFont"/>
    <w:rsid w:val="006C72F2"/>
    <w:rPr>
      <w:vanish w:val="0"/>
      <w:webHidden w:val="0"/>
      <w:specVanish w:val="0"/>
    </w:rPr>
  </w:style>
  <w:style w:type="character" w:customStyle="1" w:styleId="ends2">
    <w:name w:val="ends2"/>
    <w:basedOn w:val="DefaultParagraphFont"/>
    <w:rsid w:val="006C72F2"/>
    <w:rPr>
      <w:vanish w:val="0"/>
      <w:webHidden w:val="0"/>
      <w:specVanish w:val="0"/>
    </w:rPr>
  </w:style>
  <w:style w:type="paragraph" w:customStyle="1" w:styleId="Default">
    <w:name w:val="Default"/>
    <w:rsid w:val="006C72F2"/>
    <w:pPr>
      <w:autoSpaceDE w:val="0"/>
      <w:autoSpaceDN w:val="0"/>
      <w:adjustRightInd w:val="0"/>
      <w:spacing w:after="0" w:line="240" w:lineRule="auto"/>
    </w:pPr>
    <w:rPr>
      <w:rFonts w:ascii="Arial" w:hAnsi="Arial" w:cs="Arial"/>
      <w:color w:val="000000"/>
      <w:sz w:val="24"/>
      <w:szCs w:val="24"/>
    </w:rPr>
  </w:style>
  <w:style w:type="paragraph" w:customStyle="1" w:styleId="SingleTxtG">
    <w:name w:val="_ Single Txt_G"/>
    <w:basedOn w:val="Normal"/>
    <w:link w:val="SingleTxtGChar"/>
    <w:uiPriority w:val="99"/>
    <w:rsid w:val="006C72F2"/>
    <w:pPr>
      <w:suppressAutoHyphens/>
      <w:spacing w:after="120" w:line="240" w:lineRule="atLeast"/>
      <w:ind w:left="1134" w:right="1134"/>
      <w:jc w:val="both"/>
    </w:pPr>
    <w:rPr>
      <w:rFonts w:ascii="Times New Roman" w:eastAsia="Times New Roman" w:hAnsi="Times New Roman" w:cs="Times New Roman"/>
      <w:sz w:val="20"/>
      <w:szCs w:val="20"/>
      <w:lang w:val="x-none"/>
    </w:rPr>
  </w:style>
  <w:style w:type="character" w:customStyle="1" w:styleId="SingleTxtGChar">
    <w:name w:val="_ Single Txt_G Char"/>
    <w:link w:val="SingleTxtG"/>
    <w:uiPriority w:val="99"/>
    <w:locked/>
    <w:rsid w:val="006C72F2"/>
    <w:rPr>
      <w:rFonts w:ascii="Times New Roman" w:eastAsia="Times New Roman" w:hAnsi="Times New Roman" w:cs="Times New Roman"/>
      <w:sz w:val="20"/>
      <w:szCs w:val="20"/>
      <w:lang w:val="x-none"/>
    </w:rPr>
  </w:style>
  <w:style w:type="paragraph" w:customStyle="1" w:styleId="legp2paratext1">
    <w:name w:val="legp2paratext1"/>
    <w:basedOn w:val="Normal"/>
    <w:rsid w:val="002E4678"/>
    <w:pPr>
      <w:shd w:val="clear" w:color="auto" w:fill="FFFFFF"/>
      <w:spacing w:after="120" w:line="360" w:lineRule="atLeast"/>
      <w:ind w:firstLine="240"/>
      <w:jc w:val="both"/>
    </w:pPr>
    <w:rPr>
      <w:rFonts w:ascii="Times New Roman" w:eastAsia="Times New Roman" w:hAnsi="Times New Roman" w:cs="Times New Roman"/>
      <w:color w:val="494949"/>
      <w:sz w:val="19"/>
      <w:szCs w:val="19"/>
      <w:lang w:eastAsia="en-GB"/>
    </w:rPr>
  </w:style>
  <w:style w:type="paragraph" w:customStyle="1" w:styleId="legclearfix2">
    <w:name w:val="legclearfix2"/>
    <w:basedOn w:val="Normal"/>
    <w:rsid w:val="002E4678"/>
    <w:pPr>
      <w:shd w:val="clear" w:color="auto" w:fill="FFFFFF"/>
      <w:spacing w:after="120" w:line="360" w:lineRule="atLeast"/>
    </w:pPr>
    <w:rPr>
      <w:rFonts w:ascii="Times New Roman" w:eastAsia="Times New Roman" w:hAnsi="Times New Roman" w:cs="Times New Roman"/>
      <w:color w:val="494949"/>
      <w:sz w:val="19"/>
      <w:szCs w:val="19"/>
      <w:lang w:eastAsia="en-GB"/>
    </w:rPr>
  </w:style>
  <w:style w:type="character" w:styleId="Hyperlink">
    <w:name w:val="Hyperlink"/>
    <w:basedOn w:val="DefaultParagraphFont"/>
    <w:uiPriority w:val="99"/>
    <w:unhideWhenUsed/>
    <w:rsid w:val="006C6998"/>
    <w:rPr>
      <w:color w:val="0000FF" w:themeColor="hyperlink"/>
      <w:u w:val="single"/>
    </w:rPr>
  </w:style>
  <w:style w:type="paragraph" w:customStyle="1" w:styleId="4GChar">
    <w:name w:val="4_G Char"/>
    <w:aliases w:val="Footnote Reference1 Char,Footnotes refss Char,ftref Char,BVI fnr Char,BVI fnr Car Car Char,BVI fnr Car Char,BVI fnr Car Car Car Car Char,BVI fnr Char Car Car Car Char"/>
    <w:basedOn w:val="Normal"/>
    <w:link w:val="FootnoteReference"/>
    <w:uiPriority w:val="99"/>
    <w:rsid w:val="006C6998"/>
    <w:pPr>
      <w:spacing w:after="160" w:line="240" w:lineRule="exact"/>
      <w:jc w:val="both"/>
    </w:pPr>
    <w:rPr>
      <w:vertAlign w:val="superscript"/>
    </w:rPr>
  </w:style>
  <w:style w:type="paragraph" w:styleId="EndnoteText">
    <w:name w:val="endnote text"/>
    <w:basedOn w:val="Normal"/>
    <w:link w:val="EndnoteTextChar"/>
    <w:uiPriority w:val="99"/>
    <w:semiHidden/>
    <w:unhideWhenUsed/>
    <w:rsid w:val="0004135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41351"/>
    <w:rPr>
      <w:sz w:val="20"/>
      <w:szCs w:val="20"/>
    </w:rPr>
  </w:style>
  <w:style w:type="character" w:styleId="CommentReference">
    <w:name w:val="annotation reference"/>
    <w:basedOn w:val="DefaultParagraphFont"/>
    <w:uiPriority w:val="99"/>
    <w:semiHidden/>
    <w:unhideWhenUsed/>
    <w:rsid w:val="005B0B99"/>
    <w:rPr>
      <w:sz w:val="16"/>
      <w:szCs w:val="16"/>
    </w:rPr>
  </w:style>
  <w:style w:type="paragraph" w:styleId="CommentText">
    <w:name w:val="annotation text"/>
    <w:basedOn w:val="Normal"/>
    <w:link w:val="CommentTextChar"/>
    <w:uiPriority w:val="99"/>
    <w:semiHidden/>
    <w:unhideWhenUsed/>
    <w:rsid w:val="005B0B99"/>
    <w:pPr>
      <w:spacing w:line="240" w:lineRule="auto"/>
    </w:pPr>
    <w:rPr>
      <w:sz w:val="20"/>
      <w:szCs w:val="20"/>
    </w:rPr>
  </w:style>
  <w:style w:type="character" w:customStyle="1" w:styleId="CommentTextChar">
    <w:name w:val="Comment Text Char"/>
    <w:basedOn w:val="DefaultParagraphFont"/>
    <w:link w:val="CommentText"/>
    <w:uiPriority w:val="99"/>
    <w:semiHidden/>
    <w:rsid w:val="005B0B99"/>
    <w:rPr>
      <w:sz w:val="20"/>
      <w:szCs w:val="20"/>
    </w:rPr>
  </w:style>
  <w:style w:type="paragraph" w:styleId="CommentSubject">
    <w:name w:val="annotation subject"/>
    <w:basedOn w:val="CommentText"/>
    <w:next w:val="CommentText"/>
    <w:link w:val="CommentSubjectChar"/>
    <w:uiPriority w:val="99"/>
    <w:semiHidden/>
    <w:unhideWhenUsed/>
    <w:rsid w:val="005B0B99"/>
    <w:rPr>
      <w:b/>
      <w:bCs/>
    </w:rPr>
  </w:style>
  <w:style w:type="character" w:customStyle="1" w:styleId="CommentSubjectChar">
    <w:name w:val="Comment Subject Char"/>
    <w:basedOn w:val="CommentTextChar"/>
    <w:link w:val="CommentSubject"/>
    <w:uiPriority w:val="99"/>
    <w:semiHidden/>
    <w:rsid w:val="005B0B99"/>
    <w:rPr>
      <w:b/>
      <w:bCs/>
      <w:sz w:val="20"/>
      <w:szCs w:val="20"/>
    </w:rPr>
  </w:style>
  <w:style w:type="paragraph" w:styleId="NoSpacing">
    <w:name w:val="No Spacing"/>
    <w:uiPriority w:val="1"/>
    <w:qFormat/>
    <w:rsid w:val="00B03F58"/>
    <w:pPr>
      <w:spacing w:after="0" w:line="240" w:lineRule="auto"/>
    </w:pPr>
  </w:style>
  <w:style w:type="character" w:styleId="EndnoteReference">
    <w:name w:val="endnote reference"/>
    <w:basedOn w:val="DefaultParagraphFont"/>
    <w:uiPriority w:val="99"/>
    <w:semiHidden/>
    <w:unhideWhenUsed/>
    <w:rsid w:val="00B70F15"/>
    <w:rPr>
      <w:vertAlign w:val="superscript"/>
    </w:rPr>
  </w:style>
  <w:style w:type="paragraph" w:styleId="Header">
    <w:name w:val="header"/>
    <w:basedOn w:val="Normal"/>
    <w:link w:val="HeaderChar"/>
    <w:uiPriority w:val="99"/>
    <w:unhideWhenUsed/>
    <w:rsid w:val="009E66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669B"/>
  </w:style>
  <w:style w:type="paragraph" w:styleId="Footer">
    <w:name w:val="footer"/>
    <w:basedOn w:val="Normal"/>
    <w:link w:val="FooterChar"/>
    <w:uiPriority w:val="99"/>
    <w:unhideWhenUsed/>
    <w:rsid w:val="009E66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66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Footnote Text1,Footnote Text Char1 Char Char,Footnote Text Char Char Char Char,Footnote Text Char1 Char Char1 Char Char,Footnote Text Char Char Char Char1 Char Char"/>
    <w:basedOn w:val="Normal"/>
    <w:link w:val="FootnoteTextChar"/>
    <w:uiPriority w:val="99"/>
    <w:unhideWhenUsed/>
    <w:rsid w:val="00485374"/>
    <w:pPr>
      <w:spacing w:after="0" w:line="240" w:lineRule="auto"/>
    </w:pPr>
    <w:rPr>
      <w:sz w:val="20"/>
      <w:szCs w:val="20"/>
    </w:rPr>
  </w:style>
  <w:style w:type="character" w:customStyle="1" w:styleId="FootnoteTextChar">
    <w:name w:val="Footnote Text Char"/>
    <w:aliases w:val="5_G Char,Footnote Text Char1 Char,Footnote Text Char Char Char,Footnote Text1 Char,Footnote Text Char1 Char Char Char,Footnote Text Char Char Char Char Char,Footnote Text Char1 Char Char1 Char Char Char"/>
    <w:basedOn w:val="DefaultParagraphFont"/>
    <w:link w:val="FootnoteText"/>
    <w:uiPriority w:val="99"/>
    <w:rsid w:val="00485374"/>
    <w:rPr>
      <w:sz w:val="20"/>
      <w:szCs w:val="20"/>
    </w:rPr>
  </w:style>
  <w:style w:type="character" w:styleId="FootnoteReference">
    <w:name w:val="footnote reference"/>
    <w:aliases w:val="Footnotes refss,Odwołanie przypisu,Footnote symbol,Footnote Reference Number,Appel note de bas de p,Appel note de bas de p + (Asian) Batang,Black,(NECG) Footnote Reference,Nota,Footnote Refernece,Footnote Refernece + (Latein) Arial"/>
    <w:basedOn w:val="DefaultParagraphFont"/>
    <w:link w:val="4GChar"/>
    <w:uiPriority w:val="99"/>
    <w:unhideWhenUsed/>
    <w:qFormat/>
    <w:rsid w:val="00485374"/>
    <w:rPr>
      <w:vertAlign w:val="superscript"/>
    </w:rPr>
  </w:style>
  <w:style w:type="paragraph" w:customStyle="1" w:styleId="Pa4">
    <w:name w:val="Pa4"/>
    <w:basedOn w:val="Normal"/>
    <w:next w:val="Normal"/>
    <w:uiPriority w:val="99"/>
    <w:rsid w:val="008857C5"/>
    <w:pPr>
      <w:autoSpaceDE w:val="0"/>
      <w:autoSpaceDN w:val="0"/>
      <w:adjustRightInd w:val="0"/>
      <w:spacing w:after="0" w:line="241" w:lineRule="atLeast"/>
    </w:pPr>
    <w:rPr>
      <w:rFonts w:ascii="Zurich BT" w:hAnsi="Zurich BT"/>
      <w:sz w:val="24"/>
      <w:szCs w:val="24"/>
    </w:rPr>
  </w:style>
  <w:style w:type="character" w:customStyle="1" w:styleId="A9">
    <w:name w:val="A9"/>
    <w:uiPriority w:val="99"/>
    <w:rsid w:val="008857C5"/>
    <w:rPr>
      <w:rFonts w:cs="Zurich BT"/>
      <w:color w:val="000000"/>
      <w:sz w:val="14"/>
      <w:szCs w:val="14"/>
    </w:rPr>
  </w:style>
  <w:style w:type="paragraph" w:customStyle="1" w:styleId="Pa13">
    <w:name w:val="Pa13"/>
    <w:basedOn w:val="Normal"/>
    <w:next w:val="Normal"/>
    <w:uiPriority w:val="99"/>
    <w:rsid w:val="008857C5"/>
    <w:pPr>
      <w:autoSpaceDE w:val="0"/>
      <w:autoSpaceDN w:val="0"/>
      <w:adjustRightInd w:val="0"/>
      <w:spacing w:after="0" w:line="241" w:lineRule="atLeast"/>
    </w:pPr>
    <w:rPr>
      <w:rFonts w:ascii="Zurich BT" w:hAnsi="Zurich BT"/>
      <w:sz w:val="24"/>
      <w:szCs w:val="24"/>
    </w:rPr>
  </w:style>
  <w:style w:type="paragraph" w:styleId="ListParagraph">
    <w:name w:val="List Paragraph"/>
    <w:basedOn w:val="Normal"/>
    <w:uiPriority w:val="34"/>
    <w:qFormat/>
    <w:rsid w:val="00EA1C3B"/>
    <w:pPr>
      <w:ind w:left="720"/>
      <w:contextualSpacing/>
    </w:pPr>
  </w:style>
  <w:style w:type="paragraph" w:styleId="BalloonText">
    <w:name w:val="Balloon Text"/>
    <w:basedOn w:val="Normal"/>
    <w:link w:val="BalloonTextChar"/>
    <w:uiPriority w:val="99"/>
    <w:semiHidden/>
    <w:unhideWhenUsed/>
    <w:rsid w:val="006C72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72F2"/>
    <w:rPr>
      <w:rFonts w:ascii="Tahoma" w:hAnsi="Tahoma" w:cs="Tahoma"/>
      <w:sz w:val="16"/>
      <w:szCs w:val="16"/>
    </w:rPr>
  </w:style>
  <w:style w:type="character" w:customStyle="1" w:styleId="legds2">
    <w:name w:val="legds2"/>
    <w:basedOn w:val="DefaultParagraphFont"/>
    <w:rsid w:val="006C72F2"/>
    <w:rPr>
      <w:vanish w:val="0"/>
      <w:webHidden w:val="0"/>
      <w:specVanish w:val="0"/>
    </w:rPr>
  </w:style>
  <w:style w:type="character" w:customStyle="1" w:styleId="ends2">
    <w:name w:val="ends2"/>
    <w:basedOn w:val="DefaultParagraphFont"/>
    <w:rsid w:val="006C72F2"/>
    <w:rPr>
      <w:vanish w:val="0"/>
      <w:webHidden w:val="0"/>
      <w:specVanish w:val="0"/>
    </w:rPr>
  </w:style>
  <w:style w:type="paragraph" w:customStyle="1" w:styleId="Default">
    <w:name w:val="Default"/>
    <w:rsid w:val="006C72F2"/>
    <w:pPr>
      <w:autoSpaceDE w:val="0"/>
      <w:autoSpaceDN w:val="0"/>
      <w:adjustRightInd w:val="0"/>
      <w:spacing w:after="0" w:line="240" w:lineRule="auto"/>
    </w:pPr>
    <w:rPr>
      <w:rFonts w:ascii="Arial" w:hAnsi="Arial" w:cs="Arial"/>
      <w:color w:val="000000"/>
      <w:sz w:val="24"/>
      <w:szCs w:val="24"/>
    </w:rPr>
  </w:style>
  <w:style w:type="paragraph" w:customStyle="1" w:styleId="SingleTxtG">
    <w:name w:val="_ Single Txt_G"/>
    <w:basedOn w:val="Normal"/>
    <w:link w:val="SingleTxtGChar"/>
    <w:uiPriority w:val="99"/>
    <w:rsid w:val="006C72F2"/>
    <w:pPr>
      <w:suppressAutoHyphens/>
      <w:spacing w:after="120" w:line="240" w:lineRule="atLeast"/>
      <w:ind w:left="1134" w:right="1134"/>
      <w:jc w:val="both"/>
    </w:pPr>
    <w:rPr>
      <w:rFonts w:ascii="Times New Roman" w:eastAsia="Times New Roman" w:hAnsi="Times New Roman" w:cs="Times New Roman"/>
      <w:sz w:val="20"/>
      <w:szCs w:val="20"/>
      <w:lang w:val="x-none"/>
    </w:rPr>
  </w:style>
  <w:style w:type="character" w:customStyle="1" w:styleId="SingleTxtGChar">
    <w:name w:val="_ Single Txt_G Char"/>
    <w:link w:val="SingleTxtG"/>
    <w:uiPriority w:val="99"/>
    <w:locked/>
    <w:rsid w:val="006C72F2"/>
    <w:rPr>
      <w:rFonts w:ascii="Times New Roman" w:eastAsia="Times New Roman" w:hAnsi="Times New Roman" w:cs="Times New Roman"/>
      <w:sz w:val="20"/>
      <w:szCs w:val="20"/>
      <w:lang w:val="x-none"/>
    </w:rPr>
  </w:style>
  <w:style w:type="paragraph" w:customStyle="1" w:styleId="legp2paratext1">
    <w:name w:val="legp2paratext1"/>
    <w:basedOn w:val="Normal"/>
    <w:rsid w:val="002E4678"/>
    <w:pPr>
      <w:shd w:val="clear" w:color="auto" w:fill="FFFFFF"/>
      <w:spacing w:after="120" w:line="360" w:lineRule="atLeast"/>
      <w:ind w:firstLine="240"/>
      <w:jc w:val="both"/>
    </w:pPr>
    <w:rPr>
      <w:rFonts w:ascii="Times New Roman" w:eastAsia="Times New Roman" w:hAnsi="Times New Roman" w:cs="Times New Roman"/>
      <w:color w:val="494949"/>
      <w:sz w:val="19"/>
      <w:szCs w:val="19"/>
      <w:lang w:eastAsia="en-GB"/>
    </w:rPr>
  </w:style>
  <w:style w:type="paragraph" w:customStyle="1" w:styleId="legclearfix2">
    <w:name w:val="legclearfix2"/>
    <w:basedOn w:val="Normal"/>
    <w:rsid w:val="002E4678"/>
    <w:pPr>
      <w:shd w:val="clear" w:color="auto" w:fill="FFFFFF"/>
      <w:spacing w:after="120" w:line="360" w:lineRule="atLeast"/>
    </w:pPr>
    <w:rPr>
      <w:rFonts w:ascii="Times New Roman" w:eastAsia="Times New Roman" w:hAnsi="Times New Roman" w:cs="Times New Roman"/>
      <w:color w:val="494949"/>
      <w:sz w:val="19"/>
      <w:szCs w:val="19"/>
      <w:lang w:eastAsia="en-GB"/>
    </w:rPr>
  </w:style>
  <w:style w:type="character" w:styleId="Hyperlink">
    <w:name w:val="Hyperlink"/>
    <w:basedOn w:val="DefaultParagraphFont"/>
    <w:uiPriority w:val="99"/>
    <w:unhideWhenUsed/>
    <w:rsid w:val="006C6998"/>
    <w:rPr>
      <w:color w:val="0000FF" w:themeColor="hyperlink"/>
      <w:u w:val="single"/>
    </w:rPr>
  </w:style>
  <w:style w:type="paragraph" w:customStyle="1" w:styleId="4GChar">
    <w:name w:val="4_G Char"/>
    <w:aliases w:val="Footnote Reference1 Char,Footnotes refss Char,ftref Char,BVI fnr Char,BVI fnr Car Car Char,BVI fnr Car Char,BVI fnr Car Car Car Car Char,BVI fnr Char Car Car Car Char"/>
    <w:basedOn w:val="Normal"/>
    <w:link w:val="FootnoteReference"/>
    <w:uiPriority w:val="99"/>
    <w:rsid w:val="006C6998"/>
    <w:pPr>
      <w:spacing w:after="160" w:line="240" w:lineRule="exact"/>
      <w:jc w:val="both"/>
    </w:pPr>
    <w:rPr>
      <w:vertAlign w:val="superscript"/>
    </w:rPr>
  </w:style>
  <w:style w:type="paragraph" w:styleId="EndnoteText">
    <w:name w:val="endnote text"/>
    <w:basedOn w:val="Normal"/>
    <w:link w:val="EndnoteTextChar"/>
    <w:uiPriority w:val="99"/>
    <w:semiHidden/>
    <w:unhideWhenUsed/>
    <w:rsid w:val="0004135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41351"/>
    <w:rPr>
      <w:sz w:val="20"/>
      <w:szCs w:val="20"/>
    </w:rPr>
  </w:style>
  <w:style w:type="character" w:styleId="CommentReference">
    <w:name w:val="annotation reference"/>
    <w:basedOn w:val="DefaultParagraphFont"/>
    <w:uiPriority w:val="99"/>
    <w:semiHidden/>
    <w:unhideWhenUsed/>
    <w:rsid w:val="005B0B99"/>
    <w:rPr>
      <w:sz w:val="16"/>
      <w:szCs w:val="16"/>
    </w:rPr>
  </w:style>
  <w:style w:type="paragraph" w:styleId="CommentText">
    <w:name w:val="annotation text"/>
    <w:basedOn w:val="Normal"/>
    <w:link w:val="CommentTextChar"/>
    <w:uiPriority w:val="99"/>
    <w:semiHidden/>
    <w:unhideWhenUsed/>
    <w:rsid w:val="005B0B99"/>
    <w:pPr>
      <w:spacing w:line="240" w:lineRule="auto"/>
    </w:pPr>
    <w:rPr>
      <w:sz w:val="20"/>
      <w:szCs w:val="20"/>
    </w:rPr>
  </w:style>
  <w:style w:type="character" w:customStyle="1" w:styleId="CommentTextChar">
    <w:name w:val="Comment Text Char"/>
    <w:basedOn w:val="DefaultParagraphFont"/>
    <w:link w:val="CommentText"/>
    <w:uiPriority w:val="99"/>
    <w:semiHidden/>
    <w:rsid w:val="005B0B99"/>
    <w:rPr>
      <w:sz w:val="20"/>
      <w:szCs w:val="20"/>
    </w:rPr>
  </w:style>
  <w:style w:type="paragraph" w:styleId="CommentSubject">
    <w:name w:val="annotation subject"/>
    <w:basedOn w:val="CommentText"/>
    <w:next w:val="CommentText"/>
    <w:link w:val="CommentSubjectChar"/>
    <w:uiPriority w:val="99"/>
    <w:semiHidden/>
    <w:unhideWhenUsed/>
    <w:rsid w:val="005B0B99"/>
    <w:rPr>
      <w:b/>
      <w:bCs/>
    </w:rPr>
  </w:style>
  <w:style w:type="character" w:customStyle="1" w:styleId="CommentSubjectChar">
    <w:name w:val="Comment Subject Char"/>
    <w:basedOn w:val="CommentTextChar"/>
    <w:link w:val="CommentSubject"/>
    <w:uiPriority w:val="99"/>
    <w:semiHidden/>
    <w:rsid w:val="005B0B99"/>
    <w:rPr>
      <w:b/>
      <w:bCs/>
      <w:sz w:val="20"/>
      <w:szCs w:val="20"/>
    </w:rPr>
  </w:style>
  <w:style w:type="paragraph" w:styleId="NoSpacing">
    <w:name w:val="No Spacing"/>
    <w:uiPriority w:val="1"/>
    <w:qFormat/>
    <w:rsid w:val="00B03F58"/>
    <w:pPr>
      <w:spacing w:after="0" w:line="240" w:lineRule="auto"/>
    </w:pPr>
  </w:style>
  <w:style w:type="character" w:styleId="EndnoteReference">
    <w:name w:val="endnote reference"/>
    <w:basedOn w:val="DefaultParagraphFont"/>
    <w:uiPriority w:val="99"/>
    <w:semiHidden/>
    <w:unhideWhenUsed/>
    <w:rsid w:val="00B70F15"/>
    <w:rPr>
      <w:vertAlign w:val="superscript"/>
    </w:rPr>
  </w:style>
  <w:style w:type="paragraph" w:styleId="Header">
    <w:name w:val="header"/>
    <w:basedOn w:val="Normal"/>
    <w:link w:val="HeaderChar"/>
    <w:uiPriority w:val="99"/>
    <w:unhideWhenUsed/>
    <w:rsid w:val="009E66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669B"/>
  </w:style>
  <w:style w:type="paragraph" w:styleId="Footer">
    <w:name w:val="footer"/>
    <w:basedOn w:val="Normal"/>
    <w:link w:val="FooterChar"/>
    <w:uiPriority w:val="99"/>
    <w:unhideWhenUsed/>
    <w:rsid w:val="009E66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66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80529">
      <w:bodyDiv w:val="1"/>
      <w:marLeft w:val="0"/>
      <w:marRight w:val="0"/>
      <w:marTop w:val="0"/>
      <w:marBottom w:val="0"/>
      <w:divBdr>
        <w:top w:val="none" w:sz="0" w:space="0" w:color="auto"/>
        <w:left w:val="none" w:sz="0" w:space="0" w:color="auto"/>
        <w:bottom w:val="none" w:sz="0" w:space="0" w:color="auto"/>
        <w:right w:val="none" w:sz="0" w:space="0" w:color="auto"/>
      </w:divBdr>
      <w:divsChild>
        <w:div w:id="566381780">
          <w:marLeft w:val="0"/>
          <w:marRight w:val="0"/>
          <w:marTop w:val="0"/>
          <w:marBottom w:val="0"/>
          <w:divBdr>
            <w:top w:val="none" w:sz="0" w:space="0" w:color="auto"/>
            <w:left w:val="none" w:sz="0" w:space="0" w:color="auto"/>
            <w:bottom w:val="none" w:sz="0" w:space="0" w:color="auto"/>
            <w:right w:val="none" w:sz="0" w:space="0" w:color="auto"/>
          </w:divBdr>
          <w:divsChild>
            <w:div w:id="1778669718">
              <w:marLeft w:val="0"/>
              <w:marRight w:val="0"/>
              <w:marTop w:val="0"/>
              <w:marBottom w:val="0"/>
              <w:divBdr>
                <w:top w:val="single" w:sz="2" w:space="0" w:color="FFFFFF"/>
                <w:left w:val="single" w:sz="6" w:space="0" w:color="FFFFFF"/>
                <w:bottom w:val="single" w:sz="6" w:space="0" w:color="FFFFFF"/>
                <w:right w:val="single" w:sz="6" w:space="0" w:color="FFFFFF"/>
              </w:divBdr>
              <w:divsChild>
                <w:div w:id="827212337">
                  <w:marLeft w:val="0"/>
                  <w:marRight w:val="0"/>
                  <w:marTop w:val="0"/>
                  <w:marBottom w:val="0"/>
                  <w:divBdr>
                    <w:top w:val="single" w:sz="6" w:space="1" w:color="D3D3D3"/>
                    <w:left w:val="none" w:sz="0" w:space="0" w:color="auto"/>
                    <w:bottom w:val="none" w:sz="0" w:space="0" w:color="auto"/>
                    <w:right w:val="none" w:sz="0" w:space="0" w:color="auto"/>
                  </w:divBdr>
                  <w:divsChild>
                    <w:div w:id="718549627">
                      <w:marLeft w:val="0"/>
                      <w:marRight w:val="0"/>
                      <w:marTop w:val="0"/>
                      <w:marBottom w:val="0"/>
                      <w:divBdr>
                        <w:top w:val="none" w:sz="0" w:space="0" w:color="auto"/>
                        <w:left w:val="none" w:sz="0" w:space="0" w:color="auto"/>
                        <w:bottom w:val="none" w:sz="0" w:space="0" w:color="auto"/>
                        <w:right w:val="none" w:sz="0" w:space="0" w:color="auto"/>
                      </w:divBdr>
                      <w:divsChild>
                        <w:div w:id="184165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806775">
      <w:bodyDiv w:val="1"/>
      <w:marLeft w:val="0"/>
      <w:marRight w:val="0"/>
      <w:marTop w:val="0"/>
      <w:marBottom w:val="0"/>
      <w:divBdr>
        <w:top w:val="none" w:sz="0" w:space="0" w:color="auto"/>
        <w:left w:val="none" w:sz="0" w:space="0" w:color="auto"/>
        <w:bottom w:val="none" w:sz="0" w:space="0" w:color="auto"/>
        <w:right w:val="none" w:sz="0" w:space="0" w:color="auto"/>
      </w:divBdr>
    </w:div>
    <w:div w:id="904073821">
      <w:bodyDiv w:val="1"/>
      <w:marLeft w:val="0"/>
      <w:marRight w:val="0"/>
      <w:marTop w:val="0"/>
      <w:marBottom w:val="0"/>
      <w:divBdr>
        <w:top w:val="none" w:sz="0" w:space="0" w:color="auto"/>
        <w:left w:val="none" w:sz="0" w:space="0" w:color="auto"/>
        <w:bottom w:val="none" w:sz="0" w:space="0" w:color="auto"/>
        <w:right w:val="none" w:sz="0" w:space="0" w:color="auto"/>
      </w:divBdr>
      <w:divsChild>
        <w:div w:id="217480149">
          <w:marLeft w:val="0"/>
          <w:marRight w:val="0"/>
          <w:marTop w:val="0"/>
          <w:marBottom w:val="0"/>
          <w:divBdr>
            <w:top w:val="none" w:sz="0" w:space="0" w:color="auto"/>
            <w:left w:val="none" w:sz="0" w:space="0" w:color="auto"/>
            <w:bottom w:val="none" w:sz="0" w:space="0" w:color="auto"/>
            <w:right w:val="none" w:sz="0" w:space="0" w:color="auto"/>
          </w:divBdr>
          <w:divsChild>
            <w:div w:id="1743746734">
              <w:marLeft w:val="0"/>
              <w:marRight w:val="-300"/>
              <w:marTop w:val="0"/>
              <w:marBottom w:val="0"/>
              <w:divBdr>
                <w:top w:val="none" w:sz="0" w:space="0" w:color="auto"/>
                <w:left w:val="none" w:sz="0" w:space="0" w:color="auto"/>
                <w:bottom w:val="none" w:sz="0" w:space="0" w:color="auto"/>
                <w:right w:val="none" w:sz="0" w:space="0" w:color="auto"/>
              </w:divBdr>
              <w:divsChild>
                <w:div w:id="1493333153">
                  <w:marLeft w:val="0"/>
                  <w:marRight w:val="0"/>
                  <w:marTop w:val="0"/>
                  <w:marBottom w:val="0"/>
                  <w:divBdr>
                    <w:top w:val="none" w:sz="0" w:space="0" w:color="auto"/>
                    <w:left w:val="none" w:sz="0" w:space="0" w:color="auto"/>
                    <w:bottom w:val="none" w:sz="0" w:space="0" w:color="auto"/>
                    <w:right w:val="none" w:sz="0" w:space="0" w:color="auto"/>
                  </w:divBdr>
                  <w:divsChild>
                    <w:div w:id="112526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1064035">
      <w:bodyDiv w:val="1"/>
      <w:marLeft w:val="0"/>
      <w:marRight w:val="0"/>
      <w:marTop w:val="0"/>
      <w:marBottom w:val="0"/>
      <w:divBdr>
        <w:top w:val="none" w:sz="0" w:space="0" w:color="auto"/>
        <w:left w:val="none" w:sz="0" w:space="0" w:color="auto"/>
        <w:bottom w:val="none" w:sz="0" w:space="0" w:color="auto"/>
        <w:right w:val="none" w:sz="0" w:space="0" w:color="auto"/>
      </w:divBdr>
    </w:div>
    <w:div w:id="1033582115">
      <w:bodyDiv w:val="1"/>
      <w:marLeft w:val="0"/>
      <w:marRight w:val="0"/>
      <w:marTop w:val="0"/>
      <w:marBottom w:val="0"/>
      <w:divBdr>
        <w:top w:val="none" w:sz="0" w:space="0" w:color="auto"/>
        <w:left w:val="none" w:sz="0" w:space="0" w:color="auto"/>
        <w:bottom w:val="none" w:sz="0" w:space="0" w:color="auto"/>
        <w:right w:val="none" w:sz="0" w:space="0" w:color="auto"/>
      </w:divBdr>
      <w:divsChild>
        <w:div w:id="1869952816">
          <w:marLeft w:val="0"/>
          <w:marRight w:val="0"/>
          <w:marTop w:val="0"/>
          <w:marBottom w:val="0"/>
          <w:divBdr>
            <w:top w:val="none" w:sz="0" w:space="0" w:color="auto"/>
            <w:left w:val="none" w:sz="0" w:space="0" w:color="auto"/>
            <w:bottom w:val="none" w:sz="0" w:space="0" w:color="auto"/>
            <w:right w:val="none" w:sz="0" w:space="0" w:color="auto"/>
          </w:divBdr>
          <w:divsChild>
            <w:div w:id="1968505629">
              <w:marLeft w:val="0"/>
              <w:marRight w:val="0"/>
              <w:marTop w:val="0"/>
              <w:marBottom w:val="180"/>
              <w:divBdr>
                <w:top w:val="none" w:sz="0" w:space="0" w:color="auto"/>
                <w:left w:val="none" w:sz="0" w:space="9"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3" Type="http://schemas.openxmlformats.org/officeDocument/2006/relationships/hyperlink" Target="http://www.hallettreview.org/press-summary-17-july-2014/" TargetMode="External"/><Relationship Id="rId2" Type="http://schemas.openxmlformats.org/officeDocument/2006/relationships/hyperlink" Target="http://www.nihrc.org/uploads/publications/NIHRC_-_Advice_on_RES_%28final%29.pdf" TargetMode="External"/><Relationship Id="rId1" Type="http://schemas.openxmlformats.org/officeDocument/2006/relationships/hyperlink" Target="http://www.nihrc.org/uploads/publications/103141_NIHRC_Racist_Hate_Crime_4_Combined_%282%29.pdf" TargetMode="External"/><Relationship Id="rId6" Type="http://schemas.openxmlformats.org/officeDocument/2006/relationships/hyperlink" Target="http://www.hiainquiry.org/index/latest-news.htm" TargetMode="External"/><Relationship Id="rId5" Type="http://schemas.openxmlformats.org/officeDocument/2006/relationships/hyperlink" Target="http://www.bbc.co.uk/news/uk-northern-ireland-28390411" TargetMode="External"/><Relationship Id="rId4" Type="http://schemas.openxmlformats.org/officeDocument/2006/relationships/hyperlink" Target="http://www.hiainquiry.org/index/acknowledgement_forum/terms-of-referenc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6FE413-3A3B-4DE1-A354-E6B6A1532525}"/>
</file>

<file path=customXml/itemProps2.xml><?xml version="1.0" encoding="utf-8"?>
<ds:datastoreItem xmlns:ds="http://schemas.openxmlformats.org/officeDocument/2006/customXml" ds:itemID="{B5AAEC3F-FA5F-45A9-9F97-F78CFD4C1295}"/>
</file>

<file path=customXml/itemProps3.xml><?xml version="1.0" encoding="utf-8"?>
<ds:datastoreItem xmlns:ds="http://schemas.openxmlformats.org/officeDocument/2006/customXml" ds:itemID="{EE45D65C-3803-472F-B756-76AF544E5AC8}"/>
</file>

<file path=customXml/itemProps4.xml><?xml version="1.0" encoding="utf-8"?>
<ds:datastoreItem xmlns:ds="http://schemas.openxmlformats.org/officeDocument/2006/customXml" ds:itemID="{8574C14F-0F48-4BC8-997A-7D2ECE2126CD}"/>
</file>

<file path=docProps/app.xml><?xml version="1.0" encoding="utf-8"?>
<Properties xmlns="http://schemas.openxmlformats.org/officeDocument/2006/extended-properties" xmlns:vt="http://schemas.openxmlformats.org/officeDocument/2006/docPropsVTypes">
  <Template>Normal.dotm</Template>
  <TotalTime>122</TotalTime>
  <Pages>1</Pages>
  <Words>7676</Words>
  <Characters>43754</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Colin Caughey</dc:creator>
  <cp:lastModifiedBy>Colin Caughey</cp:lastModifiedBy>
  <cp:revision>4</cp:revision>
  <cp:lastPrinted>2015-05-29T12:20:00Z</cp:lastPrinted>
  <dcterms:created xsi:type="dcterms:W3CDTF">2015-05-29T10:42:00Z</dcterms:created>
  <dcterms:modified xsi:type="dcterms:W3CDTF">2015-05-29T12:45:00Z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