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2771C5" w14:textId="40686772" w:rsidR="00C67D98" w:rsidRPr="00487884" w:rsidRDefault="00C67D98" w:rsidP="00487884">
      <w:pPr>
        <w:spacing w:line="276" w:lineRule="auto"/>
        <w:jc w:val="center"/>
        <w:rPr>
          <w:rFonts w:ascii="Cambria" w:hAnsi="Cambria" w:cs="Arial"/>
          <w:sz w:val="22"/>
          <w:szCs w:val="22"/>
        </w:rPr>
      </w:pPr>
      <w:r w:rsidRPr="00487884">
        <w:rPr>
          <w:rFonts w:ascii="Cambria" w:hAnsi="Cambria" w:cs="Arial"/>
          <w:b/>
          <w:bCs/>
          <w:color w:val="000000"/>
          <w:sz w:val="22"/>
          <w:szCs w:val="22"/>
        </w:rPr>
        <w:t>Informe de Seguimiento a las Observaciones finales sobre el noveno informe periódico de Colombia al Comité CEDAW</w:t>
      </w:r>
      <w:r w:rsidR="00487884">
        <w:rPr>
          <w:rStyle w:val="Refdenotaalpie"/>
          <w:rFonts w:ascii="Cambria" w:hAnsi="Cambria" w:cs="Arial"/>
          <w:b/>
          <w:bCs/>
          <w:color w:val="000000"/>
          <w:sz w:val="22"/>
          <w:szCs w:val="22"/>
        </w:rPr>
        <w:footnoteReference w:id="1"/>
      </w:r>
    </w:p>
    <w:p w14:paraId="5A446330" w14:textId="77777777" w:rsidR="00C67D98" w:rsidRPr="00487884" w:rsidRDefault="00C67D98" w:rsidP="00487884">
      <w:pPr>
        <w:spacing w:line="276" w:lineRule="auto"/>
        <w:jc w:val="both"/>
        <w:rPr>
          <w:rFonts w:ascii="Cambria" w:hAnsi="Cambria" w:cs="Arial"/>
          <w:sz w:val="22"/>
          <w:szCs w:val="22"/>
        </w:rPr>
      </w:pPr>
    </w:p>
    <w:p w14:paraId="0C9E135D" w14:textId="33252B70" w:rsidR="00C67D98" w:rsidRPr="00487884" w:rsidRDefault="00C67D98" w:rsidP="00487884">
      <w:pPr>
        <w:spacing w:line="276" w:lineRule="auto"/>
        <w:jc w:val="both"/>
        <w:rPr>
          <w:rFonts w:ascii="Cambria" w:hAnsi="Cambria" w:cs="Arial"/>
          <w:color w:val="000000" w:themeColor="text1"/>
          <w:sz w:val="22"/>
          <w:szCs w:val="22"/>
        </w:rPr>
      </w:pPr>
      <w:r w:rsidRPr="00487884">
        <w:rPr>
          <w:rFonts w:ascii="Cambria" w:hAnsi="Cambria" w:cs="Arial"/>
          <w:color w:val="000000" w:themeColor="text1"/>
          <w:sz w:val="22"/>
          <w:szCs w:val="22"/>
        </w:rPr>
        <w:t xml:space="preserve">Este informe es presentado por </w:t>
      </w:r>
      <w:r w:rsidRPr="00487884">
        <w:rPr>
          <w:rFonts w:ascii="Cambria" w:hAnsi="Cambria" w:cs="Arial"/>
          <w:b/>
          <w:color w:val="000000" w:themeColor="text1"/>
          <w:sz w:val="22"/>
          <w:szCs w:val="22"/>
        </w:rPr>
        <w:t>La Mesa por la Vida y la Salud de las Mujeres</w:t>
      </w:r>
      <w:r w:rsidRPr="00487884">
        <w:rPr>
          <w:rStyle w:val="Refdenotaalpie"/>
          <w:rFonts w:ascii="Cambria" w:hAnsi="Cambria" w:cs="Arial"/>
          <w:color w:val="000000" w:themeColor="text1"/>
          <w:sz w:val="22"/>
          <w:szCs w:val="22"/>
        </w:rPr>
        <w:footnoteReference w:id="2"/>
      </w:r>
      <w:r w:rsidRPr="00487884">
        <w:rPr>
          <w:rFonts w:ascii="Cambria" w:hAnsi="Cambria" w:cs="Arial"/>
          <w:color w:val="000000" w:themeColor="text1"/>
          <w:sz w:val="22"/>
          <w:szCs w:val="22"/>
        </w:rPr>
        <w:t xml:space="preserve">(La Mesa) y </w:t>
      </w:r>
      <w:r w:rsidRPr="00487884">
        <w:rPr>
          <w:rFonts w:ascii="Cambria" w:hAnsi="Cambria" w:cs="Arial"/>
          <w:b/>
          <w:color w:val="000000" w:themeColor="text1"/>
          <w:sz w:val="22"/>
          <w:szCs w:val="22"/>
        </w:rPr>
        <w:t>la Red Nacional de Mujeres</w:t>
      </w:r>
      <w:r w:rsidRPr="00487884">
        <w:rPr>
          <w:rStyle w:val="Refdenotaalpie"/>
          <w:rFonts w:ascii="Cambria" w:hAnsi="Cambria" w:cs="Arial"/>
          <w:color w:val="000000" w:themeColor="text1"/>
          <w:sz w:val="22"/>
          <w:szCs w:val="22"/>
        </w:rPr>
        <w:footnoteReference w:id="3"/>
      </w:r>
      <w:r w:rsidRPr="00487884">
        <w:rPr>
          <w:rFonts w:ascii="Cambria" w:hAnsi="Cambria" w:cs="Arial"/>
          <w:color w:val="000000" w:themeColor="text1"/>
          <w:sz w:val="22"/>
          <w:szCs w:val="22"/>
        </w:rPr>
        <w:t xml:space="preserve"> (La Red) al Comité CEDAW con el fin de brindar información alternativa y recomendaciones en respuesta a la información suministrada por el Estado Colombiano en marzo de 2021 al Comité, sobre el seguimiento de las observaciones finales de su noveno informe periódico. En cuanto al reporte del Estado sobre las medidas para poner en práctica las recomendaciones que figuran en los párrafos 16 a) y c), en relación a las garantías de seguridad de las lideresas y las defensoras de derechos humanos, la reintegración de las excombatientes de las FARC-EP, y la presencia del Estado en zonas de conflicto, La Mesa y La Red presentan observaciones e información adicional frente al estado de cumplimiento y las dificultades en la </w:t>
      </w:r>
      <w:proofErr w:type="spellStart"/>
      <w:r w:rsidRPr="00487884">
        <w:rPr>
          <w:rFonts w:ascii="Cambria" w:hAnsi="Cambria" w:cs="Arial"/>
          <w:color w:val="000000" w:themeColor="text1"/>
          <w:sz w:val="22"/>
          <w:szCs w:val="22"/>
        </w:rPr>
        <w:t>transversalización</w:t>
      </w:r>
      <w:proofErr w:type="spellEnd"/>
      <w:r w:rsidRPr="00487884">
        <w:rPr>
          <w:rFonts w:ascii="Cambria" w:hAnsi="Cambria" w:cs="Arial"/>
          <w:color w:val="000000" w:themeColor="text1"/>
          <w:sz w:val="22"/>
          <w:szCs w:val="22"/>
        </w:rPr>
        <w:t xml:space="preserve"> del enfoque de género, haciendo énfasis en la garantía de los derechos sexuales y derechos reproductivos de las víctimas, excombatientes y de la población de mujeres </w:t>
      </w:r>
      <w:r w:rsidR="00667682" w:rsidRPr="00487884">
        <w:rPr>
          <w:rFonts w:ascii="Cambria" w:hAnsi="Cambria" w:cs="Arial"/>
          <w:color w:val="000000" w:themeColor="text1"/>
          <w:sz w:val="22"/>
          <w:szCs w:val="22"/>
        </w:rPr>
        <w:t>e</w:t>
      </w:r>
      <w:r w:rsidRPr="00487884">
        <w:rPr>
          <w:rFonts w:ascii="Cambria" w:hAnsi="Cambria" w:cs="Arial"/>
          <w:color w:val="000000" w:themeColor="text1"/>
          <w:sz w:val="22"/>
          <w:szCs w:val="22"/>
        </w:rPr>
        <w:t xml:space="preserve">n general, en el marco de la implementación del Acuerdo Final para la Terminación de Conflicto y la Construcción de una Paz Estable y Duradera (en adelante Acuerdo Final). </w:t>
      </w:r>
    </w:p>
    <w:p w14:paraId="41DFCE44" w14:textId="7090DE9F" w:rsidR="00582678" w:rsidRPr="00487884" w:rsidRDefault="00582678" w:rsidP="00487884">
      <w:pPr>
        <w:spacing w:line="276" w:lineRule="auto"/>
        <w:rPr>
          <w:rFonts w:ascii="Cambria" w:hAnsi="Cambria" w:cs="Arial"/>
          <w:sz w:val="22"/>
          <w:szCs w:val="22"/>
        </w:rPr>
      </w:pPr>
    </w:p>
    <w:p w14:paraId="17AE861B" w14:textId="2AC5ED88" w:rsidR="00C67D98" w:rsidRPr="00487884" w:rsidRDefault="00C67D98" w:rsidP="00487884">
      <w:pPr>
        <w:spacing w:line="276" w:lineRule="auto"/>
        <w:jc w:val="both"/>
        <w:rPr>
          <w:rFonts w:ascii="Cambria" w:hAnsi="Cambria" w:cs="Arial"/>
          <w:color w:val="000000" w:themeColor="text1"/>
          <w:sz w:val="22"/>
          <w:szCs w:val="22"/>
        </w:rPr>
      </w:pPr>
      <w:r w:rsidRPr="00487884">
        <w:rPr>
          <w:rFonts w:ascii="Cambria" w:hAnsi="Cambria" w:cs="Arial"/>
          <w:color w:val="000000" w:themeColor="text1"/>
          <w:sz w:val="22"/>
          <w:szCs w:val="22"/>
        </w:rPr>
        <w:t>El Acuerdo Final representa una oportunidad histórica para la garantía de los derechos de las mujeres, al incluir dentro de sus principios el enfoque de género, la igualdad y la no discriminación. Cabe recordar que entre las medidas exigidas</w:t>
      </w:r>
      <w:r w:rsidR="00595DEF" w:rsidRPr="00487884">
        <w:rPr>
          <w:rFonts w:ascii="Cambria" w:hAnsi="Cambria" w:cs="Arial"/>
          <w:color w:val="000000" w:themeColor="text1"/>
          <w:sz w:val="22"/>
          <w:szCs w:val="22"/>
        </w:rPr>
        <w:t xml:space="preserve"> por</w:t>
      </w:r>
      <w:r w:rsidRPr="00487884">
        <w:rPr>
          <w:rFonts w:ascii="Cambria" w:hAnsi="Cambria" w:cs="Arial"/>
          <w:color w:val="000000" w:themeColor="text1"/>
          <w:sz w:val="22"/>
          <w:szCs w:val="22"/>
        </w:rPr>
        <w:t xml:space="preserve"> el movimiento </w:t>
      </w:r>
      <w:r w:rsidR="00595DEF" w:rsidRPr="00487884">
        <w:rPr>
          <w:rFonts w:ascii="Cambria" w:hAnsi="Cambria" w:cs="Arial"/>
          <w:color w:val="000000" w:themeColor="text1"/>
          <w:sz w:val="22"/>
          <w:szCs w:val="22"/>
        </w:rPr>
        <w:t xml:space="preserve">feminista y de mujeres, que incidió para la inclusión del enfoque de género durante las negociaciones de paz del Gobierno Colombiano y las FARC-EP, se incluía </w:t>
      </w:r>
      <w:r w:rsidRPr="00487884">
        <w:rPr>
          <w:rFonts w:ascii="Cambria" w:hAnsi="Cambria" w:cs="Arial"/>
          <w:color w:val="000000" w:themeColor="text1"/>
          <w:sz w:val="22"/>
          <w:szCs w:val="22"/>
        </w:rPr>
        <w:t>la garantía de los derechos sexuales y derechos reproductivos. Esta garantía, según la recomendación general no</w:t>
      </w:r>
      <w:r w:rsidR="00667682" w:rsidRPr="00487884">
        <w:rPr>
          <w:rFonts w:ascii="Cambria" w:hAnsi="Cambria" w:cs="Arial"/>
          <w:color w:val="000000" w:themeColor="text1"/>
          <w:sz w:val="22"/>
          <w:szCs w:val="22"/>
        </w:rPr>
        <w:t>.</w:t>
      </w:r>
      <w:r w:rsidRPr="00487884">
        <w:rPr>
          <w:rFonts w:ascii="Cambria" w:hAnsi="Cambria" w:cs="Arial"/>
          <w:color w:val="000000" w:themeColor="text1"/>
          <w:sz w:val="22"/>
          <w:szCs w:val="22"/>
        </w:rPr>
        <w:t xml:space="preserve"> 30 del Comité de la CEDAW, sobre las mujeres en la prevención de conflictos y en situaciones de conflicto y posteriores a conflictos, debe lograrse a través de “</w:t>
      </w:r>
      <w:r w:rsidRPr="00487884">
        <w:rPr>
          <w:rFonts w:ascii="Cambria" w:hAnsi="Cambria" w:cs="Arial"/>
          <w:iCs/>
          <w:color w:val="000000" w:themeColor="text1"/>
          <w:sz w:val="22"/>
          <w:szCs w:val="22"/>
        </w:rPr>
        <w:t>el acceso a información en materia de salud y derechos sexuales y reproductivos; apoyo psicosocial; servicios de planificación de la familia, incluidos los anticonceptivos de emergencia; servicios de salud materna, incluidos los cuidados prenatales, unos servicios apropiados para el parto, la prevención de la transmisión vertical y la atención obstétrica de urgencia; servicios de aborto sin riesgo; atención posterior al aborto…</w:t>
      </w:r>
      <w:r w:rsidRPr="00487884">
        <w:rPr>
          <w:rFonts w:ascii="Cambria" w:hAnsi="Cambria" w:cs="Arial"/>
          <w:i/>
          <w:iCs/>
          <w:color w:val="000000" w:themeColor="text1"/>
          <w:sz w:val="22"/>
          <w:szCs w:val="22"/>
        </w:rPr>
        <w:t>”</w:t>
      </w:r>
      <w:r w:rsidR="00667682" w:rsidRPr="00487884">
        <w:rPr>
          <w:rStyle w:val="Refdenotaalpie"/>
          <w:rFonts w:ascii="Cambria" w:hAnsi="Cambria" w:cs="Arial"/>
          <w:i/>
          <w:iCs/>
          <w:color w:val="000000" w:themeColor="text1"/>
          <w:sz w:val="22"/>
          <w:szCs w:val="22"/>
        </w:rPr>
        <w:footnoteReference w:id="4"/>
      </w:r>
      <w:r w:rsidRPr="00487884">
        <w:rPr>
          <w:rFonts w:ascii="Cambria" w:hAnsi="Cambria" w:cs="Arial"/>
          <w:i/>
          <w:iCs/>
          <w:color w:val="000000" w:themeColor="text1"/>
          <w:sz w:val="22"/>
          <w:szCs w:val="22"/>
        </w:rPr>
        <w:t xml:space="preserve">. </w:t>
      </w:r>
    </w:p>
    <w:p w14:paraId="00B961B1" w14:textId="6E971B57" w:rsidR="00C67D98" w:rsidRPr="00487884" w:rsidRDefault="00C67D98" w:rsidP="00487884">
      <w:pPr>
        <w:spacing w:line="276" w:lineRule="auto"/>
        <w:jc w:val="both"/>
        <w:rPr>
          <w:rFonts w:ascii="Cambria" w:hAnsi="Cambria"/>
          <w:sz w:val="22"/>
          <w:szCs w:val="22"/>
        </w:rPr>
      </w:pPr>
    </w:p>
    <w:p w14:paraId="3600BD89" w14:textId="7D5214FF" w:rsidR="00595DEF" w:rsidRPr="00487884" w:rsidRDefault="00595DEF" w:rsidP="00487884">
      <w:pPr>
        <w:spacing w:line="276" w:lineRule="auto"/>
        <w:jc w:val="both"/>
        <w:rPr>
          <w:rFonts w:ascii="Cambria" w:hAnsi="Cambria"/>
          <w:sz w:val="22"/>
          <w:szCs w:val="22"/>
        </w:rPr>
      </w:pPr>
      <w:r w:rsidRPr="00487884">
        <w:rPr>
          <w:rFonts w:ascii="Cambria" w:hAnsi="Cambria" w:cs="Arial"/>
          <w:color w:val="000000" w:themeColor="text1"/>
          <w:sz w:val="22"/>
          <w:szCs w:val="22"/>
        </w:rPr>
        <w:t>De ahí que, en el Acuerdo Final quedaran consignadas acciones concretas en esta</w:t>
      </w:r>
      <w:r w:rsidR="00F137EA" w:rsidRPr="00487884">
        <w:rPr>
          <w:rFonts w:ascii="Cambria" w:hAnsi="Cambria" w:cs="Arial"/>
          <w:color w:val="000000" w:themeColor="text1"/>
          <w:sz w:val="22"/>
          <w:szCs w:val="22"/>
        </w:rPr>
        <w:t xml:space="preserve"> materia</w:t>
      </w:r>
      <w:r w:rsidRPr="00487884">
        <w:rPr>
          <w:rFonts w:ascii="Cambria" w:hAnsi="Cambria" w:cs="Arial"/>
          <w:color w:val="000000" w:themeColor="text1"/>
          <w:sz w:val="22"/>
          <w:szCs w:val="22"/>
        </w:rPr>
        <w:t xml:space="preserve">. Para ilustrarlo, en el Punto 1, sobre </w:t>
      </w:r>
      <w:r w:rsidRPr="00487884">
        <w:rPr>
          <w:rStyle w:val="Textoennegrita"/>
          <w:rFonts w:ascii="Cambria" w:hAnsi="Cambria" w:cs="Arial"/>
          <w:b w:val="0"/>
          <w:bCs w:val="0"/>
          <w:color w:val="000000" w:themeColor="text1"/>
          <w:sz w:val="22"/>
          <w:szCs w:val="22"/>
          <w:shd w:val="clear" w:color="auto" w:fill="FFFFFF"/>
        </w:rPr>
        <w:t>Reforma Rural Integral se incorporó:</w:t>
      </w:r>
      <w:r w:rsidRPr="00487884">
        <w:rPr>
          <w:rFonts w:ascii="Cambria" w:hAnsi="Cambria" w:cs="Arial"/>
          <w:color w:val="000000" w:themeColor="text1"/>
          <w:sz w:val="22"/>
          <w:szCs w:val="22"/>
        </w:rPr>
        <w:t xml:space="preserve"> “</w:t>
      </w:r>
      <w:r w:rsidRPr="00487884">
        <w:rPr>
          <w:rFonts w:ascii="Cambria" w:hAnsi="Cambria" w:cs="Arial"/>
          <w:sz w:val="22"/>
          <w:szCs w:val="22"/>
        </w:rPr>
        <w:t xml:space="preserve">la adopción de un enfoque diferencial y de género, que tenga en cuenta los requerimientos en salud para las mujeres de acuerdo a su ciclo vital, incluyendo medidas en materia de salud sexual y </w:t>
      </w:r>
      <w:r w:rsidRPr="00487884">
        <w:rPr>
          <w:rFonts w:ascii="Cambria" w:hAnsi="Cambria" w:cs="Arial"/>
          <w:sz w:val="22"/>
          <w:szCs w:val="22"/>
        </w:rPr>
        <w:lastRenderedPageBreak/>
        <w:t>reproductiva, atención psicosocial y medidas especiales para mujeres gestantes y los niños y niñas, en la prevención, promoción y atención en salud</w:t>
      </w:r>
      <w:proofErr w:type="gramStart"/>
      <w:r w:rsidRPr="00487884">
        <w:rPr>
          <w:rFonts w:ascii="Cambria" w:hAnsi="Cambria" w:cs="Arial"/>
          <w:sz w:val="22"/>
          <w:szCs w:val="22"/>
        </w:rPr>
        <w:t xml:space="preserve">” </w:t>
      </w:r>
      <w:proofErr w:type="gramEnd"/>
      <w:r w:rsidR="00667682" w:rsidRPr="00487884">
        <w:rPr>
          <w:rStyle w:val="Refdenotaalpie"/>
          <w:rFonts w:ascii="Cambria" w:hAnsi="Cambria" w:cs="Arial"/>
          <w:sz w:val="22"/>
          <w:szCs w:val="22"/>
        </w:rPr>
        <w:footnoteReference w:id="5"/>
      </w:r>
      <w:r w:rsidRPr="00487884">
        <w:rPr>
          <w:rFonts w:ascii="Cambria" w:hAnsi="Cambria" w:cs="Arial"/>
          <w:sz w:val="22"/>
          <w:szCs w:val="22"/>
        </w:rPr>
        <w:t>.</w:t>
      </w:r>
      <w:r w:rsidRPr="00487884">
        <w:rPr>
          <w:rFonts w:ascii="Cambria" w:hAnsi="Cambria" w:cs="Arial"/>
          <w:color w:val="000000"/>
          <w:sz w:val="22"/>
          <w:szCs w:val="22"/>
        </w:rPr>
        <w:t xml:space="preserve"> Asimismo, </w:t>
      </w:r>
      <w:r w:rsidR="004D6A87" w:rsidRPr="00487884">
        <w:rPr>
          <w:rFonts w:ascii="Cambria" w:hAnsi="Cambria" w:cs="Arial"/>
          <w:color w:val="000000"/>
          <w:sz w:val="22"/>
          <w:szCs w:val="22"/>
        </w:rPr>
        <w:t xml:space="preserve">en la </w:t>
      </w:r>
      <w:r w:rsidR="004D6A87" w:rsidRPr="00487884">
        <w:rPr>
          <w:rFonts w:ascii="Cambria" w:hAnsi="Cambria" w:cs="Arial"/>
          <w:color w:val="000000"/>
          <w:sz w:val="22"/>
          <w:szCs w:val="22"/>
          <w:shd w:val="clear" w:color="auto" w:fill="FFFFFF"/>
        </w:rPr>
        <w:t xml:space="preserve">Política Nacional para la reincorporación social y económica de exintegrantes de las </w:t>
      </w:r>
      <w:proofErr w:type="spellStart"/>
      <w:r w:rsidR="004D6A87" w:rsidRPr="00487884">
        <w:rPr>
          <w:rFonts w:ascii="Cambria" w:hAnsi="Cambria" w:cs="Arial"/>
          <w:color w:val="000000"/>
          <w:sz w:val="22"/>
          <w:szCs w:val="22"/>
          <w:shd w:val="clear" w:color="auto" w:fill="FFFFFF"/>
        </w:rPr>
        <w:t>Farc</w:t>
      </w:r>
      <w:proofErr w:type="spellEnd"/>
      <w:r w:rsidR="004D6A87" w:rsidRPr="00487884">
        <w:rPr>
          <w:rFonts w:ascii="Cambria" w:hAnsi="Cambria" w:cs="Arial"/>
          <w:color w:val="000000"/>
          <w:sz w:val="22"/>
          <w:szCs w:val="22"/>
          <w:shd w:val="clear" w:color="auto" w:fill="FFFFFF"/>
        </w:rPr>
        <w:t xml:space="preserve"> EP -</w:t>
      </w:r>
      <w:proofErr w:type="spellStart"/>
      <w:r w:rsidR="004D6A87" w:rsidRPr="00487884">
        <w:rPr>
          <w:rFonts w:ascii="Cambria" w:hAnsi="Cambria" w:cs="Arial"/>
          <w:color w:val="000000"/>
          <w:sz w:val="22"/>
          <w:szCs w:val="22"/>
          <w:shd w:val="clear" w:color="auto" w:fill="FFFFFF"/>
        </w:rPr>
        <w:t>Conpes</w:t>
      </w:r>
      <w:proofErr w:type="spellEnd"/>
      <w:r w:rsidR="004D6A87" w:rsidRPr="00487884">
        <w:rPr>
          <w:rFonts w:ascii="Cambria" w:hAnsi="Cambria" w:cs="Arial"/>
          <w:color w:val="000000"/>
          <w:sz w:val="22"/>
          <w:szCs w:val="22"/>
          <w:shd w:val="clear" w:color="auto" w:fill="FFFFFF"/>
        </w:rPr>
        <w:t xml:space="preserve"> 3931-</w:t>
      </w:r>
      <w:r w:rsidR="004D6A87" w:rsidRPr="00487884">
        <w:rPr>
          <w:rStyle w:val="Refdenotaalpie"/>
          <w:rFonts w:ascii="Cambria" w:hAnsi="Cambria" w:cs="Arial"/>
          <w:color w:val="000000"/>
          <w:sz w:val="22"/>
          <w:szCs w:val="22"/>
          <w:shd w:val="clear" w:color="auto" w:fill="FFFFFF"/>
        </w:rPr>
        <w:footnoteReference w:id="6"/>
      </w:r>
      <w:r w:rsidRPr="00487884">
        <w:rPr>
          <w:rFonts w:ascii="Cambria" w:hAnsi="Cambria" w:cs="Arial"/>
          <w:color w:val="000000"/>
          <w:sz w:val="22"/>
          <w:szCs w:val="22"/>
        </w:rPr>
        <w:t xml:space="preserve">, que se desprende del punto 3. 2.2 </w:t>
      </w:r>
      <w:r w:rsidR="00F137EA" w:rsidRPr="00487884">
        <w:rPr>
          <w:rFonts w:ascii="Cambria" w:hAnsi="Cambria" w:cs="Arial"/>
          <w:color w:val="000000"/>
          <w:sz w:val="22"/>
          <w:szCs w:val="22"/>
        </w:rPr>
        <w:t>del Acuerdo Final</w:t>
      </w:r>
      <w:r w:rsidRPr="00487884">
        <w:rPr>
          <w:rFonts w:ascii="Cambria" w:hAnsi="Cambria" w:cs="Arial"/>
          <w:sz w:val="22"/>
          <w:szCs w:val="22"/>
        </w:rPr>
        <w:t xml:space="preserve">, se definieron 18 acciones específicas de género, entre las cuales se encuentra </w:t>
      </w:r>
      <w:r w:rsidRPr="00487884">
        <w:rPr>
          <w:rFonts w:ascii="Cambria" w:hAnsi="Cambria" w:cs="Arial"/>
          <w:color w:val="000000"/>
          <w:sz w:val="22"/>
          <w:szCs w:val="22"/>
        </w:rPr>
        <w:t>la promoción y prevención en derechos sexuales y reproductivos</w:t>
      </w:r>
      <w:r w:rsidR="00667682" w:rsidRPr="00487884">
        <w:rPr>
          <w:rFonts w:ascii="Cambria" w:hAnsi="Cambria" w:cs="Arial"/>
          <w:color w:val="000000"/>
          <w:sz w:val="22"/>
          <w:szCs w:val="22"/>
        </w:rPr>
        <w:t xml:space="preserve"> (</w:t>
      </w:r>
      <w:r w:rsidR="00667682" w:rsidRPr="00487884">
        <w:rPr>
          <w:rFonts w:ascii="Cambria" w:hAnsi="Cambria" w:cs="Arial"/>
          <w:sz w:val="22"/>
          <w:szCs w:val="22"/>
        </w:rPr>
        <w:t>acción 4.24)</w:t>
      </w:r>
      <w:r w:rsidRPr="00487884">
        <w:rPr>
          <w:rFonts w:ascii="Cambria" w:hAnsi="Cambria" w:cs="Arial"/>
          <w:color w:val="000000"/>
          <w:sz w:val="22"/>
          <w:szCs w:val="22"/>
        </w:rPr>
        <w:t xml:space="preserve">. Adicionalmente, </w:t>
      </w:r>
      <w:r w:rsidR="00F137EA" w:rsidRPr="00487884">
        <w:rPr>
          <w:rFonts w:ascii="Cambria" w:hAnsi="Cambria" w:cs="Arial"/>
          <w:color w:val="000000"/>
          <w:sz w:val="22"/>
          <w:szCs w:val="22"/>
        </w:rPr>
        <w:t>se</w:t>
      </w:r>
      <w:r w:rsidRPr="00487884">
        <w:rPr>
          <w:rFonts w:ascii="Cambria" w:hAnsi="Cambria" w:cs="Arial"/>
          <w:color w:val="000000"/>
          <w:sz w:val="22"/>
          <w:szCs w:val="22"/>
        </w:rPr>
        <w:t xml:space="preserve"> </w:t>
      </w:r>
      <w:r w:rsidR="00F137EA" w:rsidRPr="00487884">
        <w:rPr>
          <w:rFonts w:ascii="Cambria" w:hAnsi="Cambria" w:cs="Arial"/>
          <w:color w:val="000000"/>
          <w:sz w:val="22"/>
          <w:szCs w:val="22"/>
        </w:rPr>
        <w:t xml:space="preserve">incorporó </w:t>
      </w:r>
      <w:r w:rsidRPr="00487884">
        <w:rPr>
          <w:rFonts w:ascii="Cambria" w:hAnsi="Cambria" w:cs="Arial"/>
          <w:color w:val="000000"/>
          <w:sz w:val="22"/>
          <w:szCs w:val="22"/>
        </w:rPr>
        <w:t xml:space="preserve">el enfoque de género en los procesos de esclarecimiento y justicia transicional, lo que representa una oportunidad para la </w:t>
      </w:r>
      <w:proofErr w:type="spellStart"/>
      <w:r w:rsidRPr="00487884">
        <w:rPr>
          <w:rFonts w:ascii="Cambria" w:hAnsi="Cambria" w:cs="Arial"/>
          <w:color w:val="000000"/>
          <w:sz w:val="22"/>
          <w:szCs w:val="22"/>
        </w:rPr>
        <w:t>visibilización</w:t>
      </w:r>
      <w:proofErr w:type="spellEnd"/>
      <w:r w:rsidRPr="00487884">
        <w:rPr>
          <w:rFonts w:ascii="Cambria" w:hAnsi="Cambria" w:cs="Arial"/>
          <w:color w:val="000000"/>
          <w:sz w:val="22"/>
          <w:szCs w:val="22"/>
        </w:rPr>
        <w:t>, el reconocimiento y la reparación de las afectaciones diferenciales del conflicto armado sobre la vida y el cuerpo de las mujeres</w:t>
      </w:r>
      <w:r w:rsidR="00667682" w:rsidRPr="00487884">
        <w:rPr>
          <w:rFonts w:ascii="Cambria" w:hAnsi="Cambria" w:cs="Arial"/>
          <w:color w:val="000000"/>
          <w:sz w:val="22"/>
          <w:szCs w:val="22"/>
        </w:rPr>
        <w:t xml:space="preserve">, adolescentes </w:t>
      </w:r>
      <w:r w:rsidRPr="00487884">
        <w:rPr>
          <w:rFonts w:ascii="Cambria" w:hAnsi="Cambria" w:cs="Arial"/>
          <w:color w:val="000000"/>
          <w:sz w:val="22"/>
          <w:szCs w:val="22"/>
        </w:rPr>
        <w:t>y las niñas</w:t>
      </w:r>
      <w:r w:rsidR="00667682" w:rsidRPr="00487884">
        <w:rPr>
          <w:rFonts w:ascii="Cambria" w:hAnsi="Cambria" w:cs="Arial"/>
          <w:color w:val="000000"/>
          <w:sz w:val="22"/>
          <w:szCs w:val="22"/>
        </w:rPr>
        <w:t xml:space="preserve">. </w:t>
      </w:r>
    </w:p>
    <w:p w14:paraId="70FEAB4F" w14:textId="1EEE0B17" w:rsidR="00C67D98" w:rsidRPr="00487884" w:rsidRDefault="00C67D98" w:rsidP="00487884">
      <w:pPr>
        <w:spacing w:line="276" w:lineRule="auto"/>
        <w:rPr>
          <w:rFonts w:ascii="Cambria" w:hAnsi="Cambria"/>
          <w:sz w:val="22"/>
          <w:szCs w:val="22"/>
        </w:rPr>
      </w:pPr>
    </w:p>
    <w:p w14:paraId="12FAE0A1" w14:textId="6CB58480" w:rsidR="00F137EA" w:rsidRPr="00487884" w:rsidRDefault="00F137EA" w:rsidP="00487884">
      <w:pPr>
        <w:spacing w:line="276" w:lineRule="auto"/>
        <w:jc w:val="both"/>
        <w:rPr>
          <w:rFonts w:ascii="Cambria" w:hAnsi="Cambria" w:cs="Arial"/>
          <w:color w:val="000000"/>
          <w:sz w:val="22"/>
          <w:szCs w:val="22"/>
        </w:rPr>
      </w:pPr>
      <w:r w:rsidRPr="00487884">
        <w:rPr>
          <w:rFonts w:ascii="Cambria" w:hAnsi="Cambria" w:cs="Arial"/>
          <w:sz w:val="22"/>
          <w:szCs w:val="22"/>
        </w:rPr>
        <w:t xml:space="preserve">La garantía de los derechos sexuales y reproductivos de las mujeres y las niñas en la implementación del Acuerdo Final es una condición necesaria </w:t>
      </w:r>
      <w:r w:rsidRPr="00487884">
        <w:rPr>
          <w:rFonts w:ascii="Cambria" w:hAnsi="Cambria" w:cs="Arial"/>
          <w:color w:val="000000"/>
          <w:sz w:val="22"/>
          <w:szCs w:val="22"/>
        </w:rPr>
        <w:t>para la construcción de una paz duradera</w:t>
      </w:r>
      <w:r w:rsidR="009368E7" w:rsidRPr="00487884">
        <w:rPr>
          <w:rFonts w:ascii="Cambria" w:hAnsi="Cambria" w:cs="Arial"/>
          <w:color w:val="000000"/>
          <w:sz w:val="22"/>
          <w:szCs w:val="22"/>
        </w:rPr>
        <w:t xml:space="preserve">. El </w:t>
      </w:r>
      <w:r w:rsidRPr="00487884">
        <w:rPr>
          <w:rFonts w:ascii="Cambria" w:hAnsi="Cambria" w:cs="Arial"/>
          <w:color w:val="000000"/>
          <w:sz w:val="22"/>
          <w:szCs w:val="22"/>
        </w:rPr>
        <w:t>reconocimiento de la autonomía plena de las mujeres</w:t>
      </w:r>
      <w:r w:rsidR="009368E7" w:rsidRPr="00487884">
        <w:rPr>
          <w:rFonts w:ascii="Cambria" w:hAnsi="Cambria" w:cs="Arial"/>
          <w:color w:val="000000"/>
          <w:sz w:val="22"/>
          <w:szCs w:val="22"/>
        </w:rPr>
        <w:t>, entendida como una interrelación entre la dimensión económica,</w:t>
      </w:r>
      <w:r w:rsidR="00667682" w:rsidRPr="00487884">
        <w:rPr>
          <w:rFonts w:ascii="Cambria" w:hAnsi="Cambria" w:cs="Arial"/>
          <w:color w:val="000000"/>
          <w:sz w:val="22"/>
          <w:szCs w:val="22"/>
        </w:rPr>
        <w:t xml:space="preserve"> política y </w:t>
      </w:r>
      <w:r w:rsidR="009368E7" w:rsidRPr="00487884">
        <w:rPr>
          <w:rFonts w:ascii="Cambria" w:hAnsi="Cambria" w:cs="Arial"/>
          <w:color w:val="000000"/>
          <w:sz w:val="22"/>
          <w:szCs w:val="22"/>
        </w:rPr>
        <w:t xml:space="preserve"> física</w:t>
      </w:r>
      <w:r w:rsidR="00BF5151" w:rsidRPr="00487884">
        <w:rPr>
          <w:rFonts w:ascii="Cambria" w:hAnsi="Cambria" w:cs="Arial"/>
          <w:color w:val="000000"/>
          <w:sz w:val="22"/>
          <w:szCs w:val="22"/>
        </w:rPr>
        <w:t xml:space="preserve">, </w:t>
      </w:r>
      <w:r w:rsidR="009368E7" w:rsidRPr="00487884">
        <w:rPr>
          <w:rFonts w:ascii="Cambria" w:hAnsi="Cambria" w:cs="Arial"/>
          <w:color w:val="000000"/>
          <w:sz w:val="22"/>
          <w:szCs w:val="22"/>
        </w:rPr>
        <w:t xml:space="preserve">que </w:t>
      </w:r>
      <w:r w:rsidR="00667682" w:rsidRPr="00487884">
        <w:rPr>
          <w:rFonts w:ascii="Cambria" w:hAnsi="Cambria" w:cs="Arial"/>
          <w:color w:val="000000"/>
          <w:sz w:val="22"/>
          <w:szCs w:val="22"/>
        </w:rPr>
        <w:t xml:space="preserve">además </w:t>
      </w:r>
      <w:r w:rsidR="009368E7" w:rsidRPr="00487884">
        <w:rPr>
          <w:rFonts w:ascii="Cambria" w:hAnsi="Cambria" w:cs="Arial"/>
          <w:color w:val="000000"/>
          <w:sz w:val="22"/>
          <w:szCs w:val="22"/>
        </w:rPr>
        <w:t>está asociada al ejercicio de sus derechos</w:t>
      </w:r>
      <w:r w:rsidR="00BF5151" w:rsidRPr="00487884">
        <w:rPr>
          <w:rStyle w:val="Refdenotaalpie"/>
          <w:rFonts w:ascii="Cambria" w:hAnsi="Cambria" w:cs="Arial"/>
          <w:color w:val="000000"/>
          <w:sz w:val="22"/>
          <w:szCs w:val="22"/>
        </w:rPr>
        <w:footnoteReference w:id="7"/>
      </w:r>
      <w:r w:rsidR="00A02A5D" w:rsidRPr="00487884">
        <w:rPr>
          <w:rFonts w:ascii="Cambria" w:hAnsi="Cambria" w:cs="Arial"/>
          <w:color w:val="000000"/>
          <w:sz w:val="22"/>
          <w:szCs w:val="22"/>
        </w:rPr>
        <w:t xml:space="preserve">, </w:t>
      </w:r>
      <w:r w:rsidR="009368E7" w:rsidRPr="00487884">
        <w:rPr>
          <w:rFonts w:ascii="Cambria" w:hAnsi="Cambria" w:cs="Arial"/>
          <w:color w:val="000000"/>
          <w:sz w:val="22"/>
          <w:szCs w:val="22"/>
        </w:rPr>
        <w:t>permitirá el</w:t>
      </w:r>
      <w:r w:rsidR="00A02A5D" w:rsidRPr="00487884">
        <w:rPr>
          <w:rFonts w:ascii="Cambria" w:hAnsi="Cambria" w:cs="Arial"/>
          <w:color w:val="000000"/>
          <w:sz w:val="22"/>
          <w:szCs w:val="22"/>
        </w:rPr>
        <w:t xml:space="preserve"> </w:t>
      </w:r>
      <w:r w:rsidR="009368E7" w:rsidRPr="00487884">
        <w:rPr>
          <w:rFonts w:ascii="Cambria" w:hAnsi="Cambria" w:cs="Arial"/>
          <w:color w:val="000000"/>
          <w:sz w:val="22"/>
          <w:szCs w:val="22"/>
        </w:rPr>
        <w:t xml:space="preserve">alcance de la igualdad y la construcción de una sociedad democrática y justa. </w:t>
      </w:r>
      <w:r w:rsidRPr="00487884">
        <w:rPr>
          <w:rFonts w:ascii="Cambria" w:hAnsi="Cambria" w:cs="Arial"/>
          <w:color w:val="000000"/>
          <w:sz w:val="22"/>
          <w:szCs w:val="22"/>
        </w:rPr>
        <w:t xml:space="preserve">A su vez, este reconocimiento </w:t>
      </w:r>
      <w:r w:rsidR="00A02A5D" w:rsidRPr="00487884">
        <w:rPr>
          <w:rFonts w:ascii="Cambria" w:hAnsi="Cambria" w:cs="Arial"/>
          <w:color w:val="000000"/>
          <w:sz w:val="22"/>
          <w:szCs w:val="22"/>
        </w:rPr>
        <w:t>implica</w:t>
      </w:r>
      <w:r w:rsidRPr="00487884">
        <w:rPr>
          <w:rFonts w:ascii="Cambria" w:hAnsi="Cambria" w:cs="Arial"/>
          <w:color w:val="000000"/>
          <w:sz w:val="22"/>
          <w:szCs w:val="22"/>
        </w:rPr>
        <w:t xml:space="preserve"> que la sociedad colombiana supere las brechas y barreras de género que impactan de manera desigual el goce de los derechos humanos </w:t>
      </w:r>
      <w:r w:rsidR="00A02A5D" w:rsidRPr="00487884">
        <w:rPr>
          <w:rFonts w:ascii="Cambria" w:hAnsi="Cambria" w:cs="Arial"/>
          <w:color w:val="000000"/>
          <w:sz w:val="22"/>
          <w:szCs w:val="22"/>
        </w:rPr>
        <w:t xml:space="preserve">de </w:t>
      </w:r>
      <w:r w:rsidRPr="00487884">
        <w:rPr>
          <w:rFonts w:ascii="Cambria" w:hAnsi="Cambria" w:cs="Arial"/>
          <w:color w:val="000000"/>
          <w:sz w:val="22"/>
          <w:szCs w:val="22"/>
        </w:rPr>
        <w:t xml:space="preserve">mujeres y niñas, </w:t>
      </w:r>
      <w:r w:rsidR="00BF5151" w:rsidRPr="00487884">
        <w:rPr>
          <w:rFonts w:ascii="Cambria" w:hAnsi="Cambria" w:cs="Arial"/>
          <w:color w:val="000000"/>
          <w:sz w:val="22"/>
          <w:szCs w:val="22"/>
        </w:rPr>
        <w:t xml:space="preserve">en particular </w:t>
      </w:r>
      <w:r w:rsidRPr="00487884">
        <w:rPr>
          <w:rFonts w:ascii="Cambria" w:hAnsi="Cambria" w:cs="Arial"/>
          <w:color w:val="000000"/>
          <w:sz w:val="22"/>
          <w:szCs w:val="22"/>
        </w:rPr>
        <w:t xml:space="preserve">los derechos sexuales y </w:t>
      </w:r>
      <w:r w:rsidR="00BF5151" w:rsidRPr="00487884">
        <w:rPr>
          <w:rFonts w:ascii="Cambria" w:hAnsi="Cambria" w:cs="Arial"/>
          <w:color w:val="000000"/>
          <w:sz w:val="22"/>
          <w:szCs w:val="22"/>
        </w:rPr>
        <w:t xml:space="preserve">derechos </w:t>
      </w:r>
      <w:r w:rsidRPr="00487884">
        <w:rPr>
          <w:rFonts w:ascii="Cambria" w:hAnsi="Cambria" w:cs="Arial"/>
          <w:color w:val="000000"/>
          <w:sz w:val="22"/>
          <w:szCs w:val="22"/>
        </w:rPr>
        <w:t xml:space="preserve">reproductivos. </w:t>
      </w:r>
    </w:p>
    <w:p w14:paraId="6200DBA4" w14:textId="31A4BED5" w:rsidR="009368E7" w:rsidRPr="00487884" w:rsidRDefault="009368E7" w:rsidP="00487884">
      <w:pPr>
        <w:spacing w:line="276" w:lineRule="auto"/>
        <w:rPr>
          <w:rFonts w:ascii="Cambria" w:hAnsi="Cambria"/>
          <w:sz w:val="22"/>
          <w:szCs w:val="22"/>
        </w:rPr>
      </w:pPr>
    </w:p>
    <w:p w14:paraId="7ADD0488" w14:textId="40A578AD" w:rsidR="00A02A5D" w:rsidRPr="00487884" w:rsidRDefault="00A02A5D" w:rsidP="00487884">
      <w:pPr>
        <w:spacing w:line="276" w:lineRule="auto"/>
        <w:jc w:val="both"/>
        <w:rPr>
          <w:rFonts w:ascii="Cambria" w:hAnsi="Cambria" w:cs="Arial"/>
          <w:sz w:val="22"/>
          <w:szCs w:val="22"/>
        </w:rPr>
      </w:pPr>
      <w:r w:rsidRPr="00487884">
        <w:rPr>
          <w:rFonts w:ascii="Cambria" w:hAnsi="Cambria" w:cs="Arial"/>
          <w:sz w:val="22"/>
          <w:szCs w:val="22"/>
        </w:rPr>
        <w:t>En esta línea</w:t>
      </w:r>
      <w:r w:rsidR="009D59D3" w:rsidRPr="00487884">
        <w:rPr>
          <w:rFonts w:ascii="Cambria" w:hAnsi="Cambria" w:cs="Arial"/>
          <w:sz w:val="22"/>
          <w:szCs w:val="22"/>
        </w:rPr>
        <w:t xml:space="preserve"> </w:t>
      </w:r>
      <w:r w:rsidRPr="00487884">
        <w:rPr>
          <w:rFonts w:ascii="Cambria" w:hAnsi="Cambria" w:cs="Arial"/>
          <w:sz w:val="22"/>
          <w:szCs w:val="22"/>
        </w:rPr>
        <w:t>se expondrá</w:t>
      </w:r>
      <w:r w:rsidR="009D59D3" w:rsidRPr="00487884">
        <w:rPr>
          <w:rFonts w:ascii="Cambria" w:hAnsi="Cambria" w:cs="Arial"/>
          <w:sz w:val="22"/>
          <w:szCs w:val="22"/>
        </w:rPr>
        <w:t>n comentarios</w:t>
      </w:r>
      <w:r w:rsidRPr="00487884">
        <w:rPr>
          <w:rFonts w:ascii="Cambria" w:hAnsi="Cambria" w:cs="Arial"/>
          <w:sz w:val="22"/>
          <w:szCs w:val="22"/>
        </w:rPr>
        <w:t xml:space="preserve"> frente a los </w:t>
      </w:r>
      <w:r w:rsidRPr="00487884">
        <w:rPr>
          <w:rFonts w:ascii="Cambria" w:hAnsi="Cambria" w:cs="Arial"/>
          <w:color w:val="000000"/>
          <w:sz w:val="22"/>
          <w:szCs w:val="22"/>
        </w:rPr>
        <w:t xml:space="preserve">párrafos 16 a) y c), </w:t>
      </w:r>
      <w:r w:rsidR="009D59D3" w:rsidRPr="00487884">
        <w:rPr>
          <w:rFonts w:ascii="Cambria" w:hAnsi="Cambria" w:cs="Arial"/>
          <w:color w:val="000000"/>
          <w:sz w:val="22"/>
          <w:szCs w:val="22"/>
        </w:rPr>
        <w:t>y se</w:t>
      </w:r>
      <w:r w:rsidRPr="00487884">
        <w:rPr>
          <w:rFonts w:ascii="Cambria" w:hAnsi="Cambria" w:cs="Arial"/>
          <w:color w:val="000000"/>
          <w:sz w:val="22"/>
          <w:szCs w:val="22"/>
        </w:rPr>
        <w:t xml:space="preserve"> conclu</w:t>
      </w:r>
      <w:r w:rsidR="009D59D3" w:rsidRPr="00487884">
        <w:rPr>
          <w:rFonts w:ascii="Cambria" w:hAnsi="Cambria" w:cs="Arial"/>
          <w:color w:val="000000"/>
          <w:sz w:val="22"/>
          <w:szCs w:val="22"/>
        </w:rPr>
        <w:t>ye</w:t>
      </w:r>
      <w:r w:rsidRPr="00487884">
        <w:rPr>
          <w:rFonts w:ascii="Cambria" w:hAnsi="Cambria" w:cs="Arial"/>
          <w:color w:val="000000"/>
          <w:sz w:val="22"/>
          <w:szCs w:val="22"/>
        </w:rPr>
        <w:t xml:space="preserve"> con peticiones que desde La Mesa y La Red se extienden a consideración del Comité CEDAW y al Estado colombiano: </w:t>
      </w:r>
    </w:p>
    <w:p w14:paraId="0BEB646F" w14:textId="77777777" w:rsidR="00A02A5D" w:rsidRPr="00487884" w:rsidRDefault="00A02A5D" w:rsidP="00487884">
      <w:pPr>
        <w:spacing w:line="276" w:lineRule="auto"/>
        <w:jc w:val="both"/>
        <w:rPr>
          <w:rFonts w:ascii="Cambria" w:hAnsi="Cambria" w:cs="Arial"/>
          <w:color w:val="000000"/>
          <w:sz w:val="22"/>
          <w:szCs w:val="22"/>
        </w:rPr>
      </w:pPr>
    </w:p>
    <w:p w14:paraId="6078B423" w14:textId="2B24AEA2" w:rsidR="00A02A5D" w:rsidRPr="00487884" w:rsidRDefault="00A02A5D" w:rsidP="00487884">
      <w:pPr>
        <w:spacing w:line="276" w:lineRule="auto"/>
        <w:jc w:val="both"/>
        <w:rPr>
          <w:rFonts w:ascii="Cambria" w:hAnsi="Cambria" w:cs="Arial"/>
          <w:b/>
          <w:bCs/>
          <w:color w:val="000000"/>
          <w:sz w:val="22"/>
          <w:szCs w:val="22"/>
        </w:rPr>
      </w:pPr>
      <w:r w:rsidRPr="00487884">
        <w:rPr>
          <w:rFonts w:ascii="Cambria" w:hAnsi="Cambria" w:cs="Arial"/>
          <w:b/>
          <w:bCs/>
          <w:color w:val="000000"/>
          <w:sz w:val="22"/>
          <w:szCs w:val="22"/>
        </w:rPr>
        <w:t>I. Información alternativa frente a los párrafos 16 a) y c)</w:t>
      </w:r>
    </w:p>
    <w:p w14:paraId="11A39D4D" w14:textId="77777777" w:rsidR="00A02A5D" w:rsidRPr="00487884" w:rsidRDefault="00A02A5D" w:rsidP="00487884">
      <w:pPr>
        <w:spacing w:line="276" w:lineRule="auto"/>
        <w:jc w:val="both"/>
        <w:rPr>
          <w:rFonts w:ascii="Cambria" w:hAnsi="Cambria" w:cs="Arial"/>
          <w:b/>
          <w:bCs/>
          <w:color w:val="000000"/>
          <w:sz w:val="22"/>
          <w:szCs w:val="22"/>
        </w:rPr>
      </w:pPr>
    </w:p>
    <w:p w14:paraId="4CD64CBE" w14:textId="394C3486" w:rsidR="00A02A5D" w:rsidRPr="00487884" w:rsidRDefault="00A02A5D" w:rsidP="00487884">
      <w:pPr>
        <w:spacing w:line="276" w:lineRule="auto"/>
        <w:jc w:val="both"/>
        <w:rPr>
          <w:rFonts w:ascii="Cambria" w:hAnsi="Cambria" w:cs="Arial"/>
          <w:b/>
          <w:bCs/>
          <w:color w:val="000000"/>
          <w:sz w:val="22"/>
          <w:szCs w:val="22"/>
        </w:rPr>
      </w:pPr>
      <w:r w:rsidRPr="00487884">
        <w:rPr>
          <w:rFonts w:ascii="Cambria" w:hAnsi="Cambria" w:cs="Arial"/>
          <w:b/>
          <w:bCs/>
          <w:color w:val="000000"/>
          <w:sz w:val="22"/>
          <w:szCs w:val="22"/>
        </w:rPr>
        <w:t>Párrafo 16a)</w:t>
      </w:r>
    </w:p>
    <w:p w14:paraId="328B7E10" w14:textId="00A0A805" w:rsidR="00A02A5D" w:rsidRPr="00487884" w:rsidRDefault="00A02A5D" w:rsidP="00487884">
      <w:pPr>
        <w:spacing w:line="276" w:lineRule="auto"/>
        <w:jc w:val="both"/>
        <w:rPr>
          <w:rFonts w:ascii="Cambria" w:hAnsi="Cambria" w:cs="Arial"/>
          <w:b/>
          <w:bCs/>
          <w:color w:val="000000"/>
          <w:sz w:val="22"/>
          <w:szCs w:val="22"/>
        </w:rPr>
      </w:pPr>
    </w:p>
    <w:p w14:paraId="61834F0B" w14:textId="0562B904" w:rsidR="00A02A5D" w:rsidRPr="00487884" w:rsidRDefault="00A02A5D" w:rsidP="00487884">
      <w:pPr>
        <w:pStyle w:val="Prrafodelista"/>
        <w:numPr>
          <w:ilvl w:val="0"/>
          <w:numId w:val="1"/>
        </w:numPr>
        <w:spacing w:line="276" w:lineRule="auto"/>
        <w:ind w:left="284"/>
        <w:jc w:val="both"/>
        <w:rPr>
          <w:rFonts w:ascii="Cambria" w:hAnsi="Cambria" w:cs="Arial"/>
          <w:sz w:val="22"/>
          <w:szCs w:val="22"/>
        </w:rPr>
      </w:pPr>
      <w:r w:rsidRPr="00487884">
        <w:rPr>
          <w:rFonts w:ascii="Cambria" w:hAnsi="Cambria" w:cs="Arial"/>
          <w:color w:val="000000"/>
          <w:sz w:val="22"/>
          <w:szCs w:val="22"/>
        </w:rPr>
        <w:t>El Estado reporta la implementación del enfoque de género del A</w:t>
      </w:r>
      <w:r w:rsidR="009D59D3" w:rsidRPr="00487884">
        <w:rPr>
          <w:rFonts w:ascii="Cambria" w:hAnsi="Cambria" w:cs="Arial"/>
          <w:color w:val="000000"/>
          <w:sz w:val="22"/>
          <w:szCs w:val="22"/>
        </w:rPr>
        <w:t>cuerdo Final</w:t>
      </w:r>
      <w:r w:rsidRPr="00487884">
        <w:rPr>
          <w:rFonts w:ascii="Cambria" w:hAnsi="Cambria" w:cs="Arial"/>
          <w:color w:val="000000"/>
          <w:sz w:val="22"/>
          <w:szCs w:val="22"/>
        </w:rPr>
        <w:t xml:space="preserve"> </w:t>
      </w:r>
      <w:r w:rsidRPr="00487884">
        <w:rPr>
          <w:rFonts w:ascii="Cambria" w:hAnsi="Cambria" w:cs="Arial"/>
          <w:color w:val="000000"/>
          <w:sz w:val="22"/>
          <w:szCs w:val="22"/>
          <w:shd w:val="clear" w:color="auto" w:fill="FFFFFF"/>
        </w:rPr>
        <w:t xml:space="preserve">mediante la materialización de los 51 indicadores de género del Plan Marco de Implementación (PMI). Dichos indicadores contienen limitantes para un seguimiento efectivo a los impactos en el cierre de brechas de género y en la atención a las necesidades de las </w:t>
      </w:r>
      <w:r w:rsidRPr="00487884">
        <w:rPr>
          <w:rFonts w:ascii="Cambria" w:hAnsi="Cambria" w:cs="Arial"/>
          <w:color w:val="000000"/>
          <w:sz w:val="22"/>
          <w:szCs w:val="22"/>
          <w:shd w:val="clear" w:color="auto" w:fill="FFFFFF"/>
        </w:rPr>
        <w:lastRenderedPageBreak/>
        <w:t>mujeres, como es el propósito del enfoque de género del A</w:t>
      </w:r>
      <w:r w:rsidR="00BF5151" w:rsidRPr="00487884">
        <w:rPr>
          <w:rFonts w:ascii="Cambria" w:hAnsi="Cambria" w:cs="Arial"/>
          <w:color w:val="000000"/>
          <w:sz w:val="22"/>
          <w:szCs w:val="22"/>
          <w:shd w:val="clear" w:color="auto" w:fill="FFFFFF"/>
        </w:rPr>
        <w:t>cuerdo Final</w:t>
      </w:r>
      <w:r w:rsidRPr="00487884">
        <w:rPr>
          <w:rStyle w:val="Refdenotaalpie"/>
          <w:rFonts w:ascii="Cambria" w:hAnsi="Cambria" w:cs="Arial"/>
          <w:color w:val="000000"/>
          <w:sz w:val="22"/>
          <w:szCs w:val="22"/>
          <w:shd w:val="clear" w:color="auto" w:fill="FFFFFF"/>
        </w:rPr>
        <w:footnoteReference w:id="8"/>
      </w:r>
      <w:r w:rsidRPr="00487884">
        <w:rPr>
          <w:rFonts w:ascii="Cambria" w:hAnsi="Cambria" w:cs="Arial"/>
          <w:color w:val="000000"/>
          <w:sz w:val="22"/>
          <w:szCs w:val="22"/>
          <w:shd w:val="clear" w:color="auto" w:fill="FFFFFF"/>
        </w:rPr>
        <w:t xml:space="preserve">. La </w:t>
      </w:r>
      <w:r w:rsidRPr="00487884">
        <w:rPr>
          <w:rFonts w:ascii="Cambria" w:hAnsi="Cambria" w:cs="Arial"/>
          <w:color w:val="222222"/>
          <w:sz w:val="22"/>
          <w:szCs w:val="22"/>
          <w:shd w:val="clear" w:color="auto" w:fill="FFFFFF"/>
        </w:rPr>
        <w:t>Instancia Especial de Género</w:t>
      </w:r>
      <w:r w:rsidRPr="00487884">
        <w:rPr>
          <w:rStyle w:val="Refdenotaalpie"/>
          <w:rFonts w:ascii="Cambria" w:hAnsi="Cambria" w:cs="Arial"/>
          <w:color w:val="222222"/>
          <w:sz w:val="22"/>
          <w:szCs w:val="22"/>
          <w:shd w:val="clear" w:color="auto" w:fill="FFFFFF"/>
        </w:rPr>
        <w:footnoteReference w:id="9"/>
      </w:r>
      <w:r w:rsidRPr="00487884">
        <w:rPr>
          <w:rFonts w:ascii="Cambria" w:hAnsi="Cambria" w:cs="Arial"/>
          <w:color w:val="222222"/>
          <w:sz w:val="22"/>
          <w:szCs w:val="22"/>
          <w:shd w:val="clear" w:color="auto" w:fill="FFFFFF"/>
        </w:rPr>
        <w:t xml:space="preserve"> </w:t>
      </w:r>
      <w:r w:rsidRPr="00487884">
        <w:rPr>
          <w:rFonts w:ascii="Cambria" w:hAnsi="Cambria" w:cs="Arial"/>
          <w:i/>
          <w:iCs/>
          <w:color w:val="000000"/>
          <w:sz w:val="22"/>
          <w:szCs w:val="22"/>
          <w:shd w:val="clear" w:color="auto" w:fill="FFFFFF"/>
        </w:rPr>
        <w:t xml:space="preserve">y </w:t>
      </w:r>
      <w:r w:rsidRPr="00487884">
        <w:rPr>
          <w:rFonts w:ascii="Cambria" w:hAnsi="Cambria" w:cs="Arial"/>
          <w:color w:val="000000"/>
          <w:sz w:val="22"/>
          <w:szCs w:val="22"/>
          <w:shd w:val="clear" w:color="auto" w:fill="FFFFFF"/>
        </w:rPr>
        <w:t>otras organizaciones de mujeres</w:t>
      </w:r>
      <w:r w:rsidR="00833C00" w:rsidRPr="00487884">
        <w:rPr>
          <w:rStyle w:val="Refdenotaalpie"/>
          <w:rFonts w:ascii="Cambria" w:hAnsi="Cambria" w:cs="Arial"/>
          <w:color w:val="000000"/>
          <w:sz w:val="22"/>
          <w:szCs w:val="22"/>
          <w:shd w:val="clear" w:color="auto" w:fill="FFFFFF"/>
        </w:rPr>
        <w:footnoteReference w:id="10"/>
      </w:r>
      <w:r w:rsidRPr="00487884">
        <w:rPr>
          <w:rFonts w:ascii="Cambria" w:hAnsi="Cambria" w:cs="Arial"/>
          <w:color w:val="000000"/>
          <w:sz w:val="22"/>
          <w:szCs w:val="22"/>
          <w:shd w:val="clear" w:color="auto" w:fill="FFFFFF"/>
        </w:rPr>
        <w:t>, por un lado,</w:t>
      </w:r>
      <w:r w:rsidRPr="00487884">
        <w:rPr>
          <w:rFonts w:ascii="Cambria" w:hAnsi="Cambria" w:cs="Arial"/>
          <w:i/>
          <w:iCs/>
          <w:color w:val="000000"/>
          <w:sz w:val="22"/>
          <w:szCs w:val="22"/>
          <w:shd w:val="clear" w:color="auto" w:fill="FFFFFF"/>
        </w:rPr>
        <w:t xml:space="preserve"> </w:t>
      </w:r>
      <w:r w:rsidRPr="00487884">
        <w:rPr>
          <w:rFonts w:ascii="Cambria" w:hAnsi="Cambria" w:cs="Arial"/>
          <w:color w:val="000000"/>
          <w:sz w:val="22"/>
          <w:szCs w:val="22"/>
          <w:shd w:val="clear" w:color="auto" w:fill="FFFFFF"/>
        </w:rPr>
        <w:t xml:space="preserve">han cuestionado la conveniencia de tener un capítulo específico para el tema de género, pues “[…]  </w:t>
      </w:r>
      <w:r w:rsidRPr="00487884">
        <w:rPr>
          <w:rFonts w:ascii="Cambria" w:hAnsi="Cambria" w:cs="Arial"/>
          <w:i/>
          <w:iCs/>
          <w:color w:val="000000"/>
          <w:sz w:val="22"/>
          <w:szCs w:val="22"/>
          <w:shd w:val="clear" w:color="auto" w:fill="FFFFFF"/>
        </w:rPr>
        <w:t>tiende a reproducir la idea que, el enfoque de género es algo que se agrega, y no algo estructural y transversal</w:t>
      </w:r>
      <w:r w:rsidRPr="00487884">
        <w:rPr>
          <w:rFonts w:ascii="Cambria" w:hAnsi="Cambria" w:cs="Arial"/>
          <w:color w:val="000000"/>
          <w:sz w:val="22"/>
          <w:szCs w:val="22"/>
          <w:shd w:val="clear" w:color="auto" w:fill="FFFFFF"/>
        </w:rPr>
        <w:t xml:space="preserve"> […]”</w:t>
      </w:r>
      <w:r w:rsidR="00B7186B" w:rsidRPr="00487884">
        <w:rPr>
          <w:rStyle w:val="Refdenotaalpie"/>
          <w:rFonts w:ascii="Cambria" w:hAnsi="Cambria" w:cs="Arial"/>
          <w:color w:val="000000"/>
          <w:sz w:val="22"/>
          <w:szCs w:val="22"/>
          <w:shd w:val="clear" w:color="auto" w:fill="FFFFFF"/>
        </w:rPr>
        <w:footnoteReference w:id="11"/>
      </w:r>
      <w:r w:rsidRPr="00487884">
        <w:rPr>
          <w:rFonts w:ascii="Cambria" w:hAnsi="Cambria" w:cs="Arial"/>
          <w:color w:val="000000"/>
          <w:sz w:val="22"/>
          <w:szCs w:val="22"/>
          <w:shd w:val="clear" w:color="auto" w:fill="FFFFFF"/>
        </w:rPr>
        <w:t>Por otro lado, gran parte de estos indicadores son de gestión, y no identifican metas, ni parten de líneas base sobre la situación actual de las mujeres. A lo anterior se le suma la ausencia de datos desagregados atendiendo a los enfoques diferenciales</w:t>
      </w:r>
      <w:r w:rsidR="00B7186B" w:rsidRPr="00487884">
        <w:rPr>
          <w:rStyle w:val="Refdenotaalpie"/>
          <w:rFonts w:ascii="Cambria" w:hAnsi="Cambria" w:cs="Arial"/>
          <w:color w:val="000000"/>
          <w:sz w:val="22"/>
          <w:szCs w:val="22"/>
          <w:shd w:val="clear" w:color="auto" w:fill="FFFFFF"/>
        </w:rPr>
        <w:footnoteReference w:id="12"/>
      </w:r>
      <w:r w:rsidR="00AC00C4" w:rsidRPr="00487884">
        <w:rPr>
          <w:rFonts w:ascii="Cambria" w:hAnsi="Cambria" w:cs="Arial"/>
          <w:color w:val="000000"/>
          <w:sz w:val="22"/>
          <w:szCs w:val="22"/>
          <w:shd w:val="clear" w:color="auto" w:fill="FFFFFF"/>
        </w:rPr>
        <w:t xml:space="preserve">. </w:t>
      </w:r>
    </w:p>
    <w:p w14:paraId="282E3572" w14:textId="77777777" w:rsidR="00487884" w:rsidRPr="00487884" w:rsidRDefault="00487884" w:rsidP="00487884">
      <w:pPr>
        <w:pStyle w:val="Prrafodelista"/>
        <w:spacing w:line="276" w:lineRule="auto"/>
        <w:ind w:left="284"/>
        <w:jc w:val="both"/>
        <w:rPr>
          <w:rFonts w:ascii="Cambria" w:hAnsi="Cambria" w:cs="Arial"/>
          <w:sz w:val="22"/>
          <w:szCs w:val="22"/>
        </w:rPr>
      </w:pPr>
    </w:p>
    <w:p w14:paraId="0E5388C5" w14:textId="086FE448" w:rsidR="00833C00" w:rsidRPr="00487884" w:rsidRDefault="00833C00" w:rsidP="00487884">
      <w:pPr>
        <w:pStyle w:val="Prrafodelista"/>
        <w:numPr>
          <w:ilvl w:val="0"/>
          <w:numId w:val="1"/>
        </w:numPr>
        <w:spacing w:line="276" w:lineRule="auto"/>
        <w:ind w:left="284"/>
        <w:jc w:val="both"/>
        <w:rPr>
          <w:rFonts w:ascii="Cambria" w:hAnsi="Cambria" w:cs="Arial"/>
          <w:sz w:val="22"/>
          <w:szCs w:val="22"/>
        </w:rPr>
      </w:pPr>
      <w:r w:rsidRPr="00487884">
        <w:rPr>
          <w:rFonts w:ascii="Cambria" w:hAnsi="Cambria" w:cs="Arial"/>
          <w:sz w:val="22"/>
          <w:szCs w:val="22"/>
        </w:rPr>
        <w:t xml:space="preserve">Si bien se hace alusión a los 51 indicadores de género, no se presentan </w:t>
      </w:r>
      <w:r w:rsidRPr="00487884">
        <w:rPr>
          <w:rFonts w:ascii="Cambria" w:hAnsi="Cambria" w:cs="Arial"/>
          <w:color w:val="000000"/>
          <w:sz w:val="22"/>
          <w:szCs w:val="22"/>
          <w:shd w:val="clear" w:color="auto" w:fill="FFFFFF"/>
        </w:rPr>
        <w:t>las medidas implementadas, el nivel de cumplimiento, ni los territorios priorizados para su materialización. Por ejemplo, no se presenta el grado de avance de los indicadores a cargo del Ministerio de Salud y Protección Social, asociados a la garantía del derecho a la salud desde una perspectiva de género, especialmente</w:t>
      </w:r>
      <w:r w:rsidR="00AC00C4" w:rsidRPr="00487884">
        <w:rPr>
          <w:rFonts w:ascii="Cambria" w:hAnsi="Cambria" w:cs="Arial"/>
          <w:color w:val="000000"/>
          <w:sz w:val="22"/>
          <w:szCs w:val="22"/>
          <w:shd w:val="clear" w:color="auto" w:fill="FFFFFF"/>
        </w:rPr>
        <w:t xml:space="preserve"> en lo que respecta a</w:t>
      </w:r>
      <w:r w:rsidRPr="00487884">
        <w:rPr>
          <w:rFonts w:ascii="Cambria" w:hAnsi="Cambria" w:cs="Arial"/>
          <w:color w:val="000000"/>
          <w:sz w:val="22"/>
          <w:szCs w:val="22"/>
          <w:shd w:val="clear" w:color="auto" w:fill="FFFFFF"/>
        </w:rPr>
        <w:t xml:space="preserve"> la salud sexual y reproductiva, entre los que se encuentran “</w:t>
      </w:r>
      <w:r w:rsidRPr="00487884">
        <w:rPr>
          <w:rFonts w:ascii="Cambria" w:hAnsi="Cambria" w:cs="Arial"/>
          <w:i/>
          <w:iCs/>
          <w:color w:val="000000"/>
          <w:sz w:val="22"/>
          <w:szCs w:val="22"/>
          <w:shd w:val="clear" w:color="auto" w:fill="FFFFFF"/>
        </w:rPr>
        <w:t>el porcentaje de subregiones con modelo especial de salud pública, con enfoque de género, para zonas rurales</w:t>
      </w:r>
      <w:r w:rsidRPr="00487884">
        <w:rPr>
          <w:rFonts w:ascii="Cambria" w:hAnsi="Cambria" w:cs="Arial"/>
          <w:color w:val="000000"/>
          <w:sz w:val="22"/>
          <w:szCs w:val="22"/>
          <w:shd w:val="clear" w:color="auto" w:fill="FFFFFF"/>
        </w:rPr>
        <w:t>", o "</w:t>
      </w:r>
      <w:r w:rsidRPr="00487884">
        <w:rPr>
          <w:rFonts w:ascii="Cambria" w:hAnsi="Cambria" w:cs="Arial"/>
          <w:i/>
          <w:iCs/>
          <w:color w:val="000000"/>
          <w:sz w:val="22"/>
          <w:szCs w:val="22"/>
          <w:shd w:val="clear" w:color="auto" w:fill="FFFFFF"/>
        </w:rPr>
        <w:t>las mujeres víctimas con atención y/o acompañamiento psicosocial para la recuperación emocional de acuerdo a la línea de atención diferenciada a mujeres y grupos étnicos"</w:t>
      </w:r>
      <w:r w:rsidRPr="00487884">
        <w:rPr>
          <w:rFonts w:ascii="Cambria" w:hAnsi="Cambria" w:cs="Arial"/>
          <w:color w:val="000000"/>
          <w:sz w:val="22"/>
          <w:szCs w:val="22"/>
          <w:shd w:val="clear" w:color="auto" w:fill="FFFFFF"/>
        </w:rPr>
        <w:t xml:space="preserve">. Lo anterior es de especial relevancia para hacer seguimiento a los avances en materia de salud sexual y reproductiva de las mujeres en la implementación del Acuerdo Final.  </w:t>
      </w:r>
    </w:p>
    <w:p w14:paraId="0FC528FD" w14:textId="77777777" w:rsidR="00487884" w:rsidRPr="00487884" w:rsidRDefault="00487884" w:rsidP="00487884">
      <w:pPr>
        <w:pStyle w:val="Prrafodelista"/>
        <w:spacing w:line="276" w:lineRule="auto"/>
        <w:ind w:left="284"/>
        <w:jc w:val="both"/>
        <w:rPr>
          <w:rFonts w:ascii="Cambria" w:hAnsi="Cambria" w:cs="Arial"/>
          <w:sz w:val="22"/>
          <w:szCs w:val="22"/>
        </w:rPr>
      </w:pPr>
    </w:p>
    <w:p w14:paraId="214592FF" w14:textId="69382B3A" w:rsidR="009E4DFC" w:rsidRPr="00487884" w:rsidRDefault="009E4DFC" w:rsidP="00487884">
      <w:pPr>
        <w:pStyle w:val="NormalWeb"/>
        <w:numPr>
          <w:ilvl w:val="0"/>
          <w:numId w:val="1"/>
        </w:numPr>
        <w:spacing w:before="0" w:beforeAutospacing="0" w:after="0" w:afterAutospacing="0" w:line="276" w:lineRule="auto"/>
        <w:ind w:left="284"/>
        <w:jc w:val="both"/>
        <w:textAlignment w:val="baseline"/>
        <w:rPr>
          <w:rFonts w:ascii="Cambria" w:hAnsi="Cambria" w:cs="Arial"/>
          <w:color w:val="000000"/>
          <w:sz w:val="22"/>
          <w:szCs w:val="22"/>
          <w:shd w:val="clear" w:color="auto" w:fill="FFFFFF"/>
        </w:rPr>
      </w:pPr>
      <w:r w:rsidRPr="00487884">
        <w:rPr>
          <w:rFonts w:ascii="Cambria" w:hAnsi="Cambria" w:cs="Arial"/>
          <w:color w:val="000000"/>
          <w:sz w:val="22"/>
          <w:szCs w:val="22"/>
          <w:shd w:val="clear" w:color="auto" w:fill="FFFFFF"/>
        </w:rPr>
        <w:t xml:space="preserve">Aunque la adopción del </w:t>
      </w:r>
      <w:r w:rsidRPr="00487884">
        <w:rPr>
          <w:rFonts w:ascii="Cambria" w:hAnsi="Cambria" w:cs="Arial"/>
          <w:color w:val="000000"/>
          <w:sz w:val="22"/>
          <w:szCs w:val="22"/>
        </w:rPr>
        <w:t xml:space="preserve">Programa Integral de Garantías para Lideresas y Defensoras de Derechos Humanos (PIGMLD),  bajo el liderazgo del Ministerio del Interior, significa un avance </w:t>
      </w:r>
      <w:r w:rsidRPr="00487884">
        <w:rPr>
          <w:rFonts w:ascii="Cambria" w:hAnsi="Cambria" w:cs="Arial"/>
          <w:color w:val="000000"/>
          <w:sz w:val="22"/>
          <w:szCs w:val="22"/>
          <w:shd w:val="clear" w:color="auto" w:fill="FFFFFF"/>
        </w:rPr>
        <w:t xml:space="preserve">en materia de garantías para las mujeres en ejercicio de liderazgo, resulta </w:t>
      </w:r>
      <w:r w:rsidR="00AC00C4" w:rsidRPr="00487884">
        <w:rPr>
          <w:rFonts w:ascii="Cambria" w:hAnsi="Cambria" w:cs="Arial"/>
          <w:color w:val="000000"/>
          <w:sz w:val="22"/>
          <w:szCs w:val="22"/>
          <w:shd w:val="clear" w:color="auto" w:fill="FFFFFF"/>
        </w:rPr>
        <w:t>de suma importancia</w:t>
      </w:r>
      <w:r w:rsidRPr="00487884">
        <w:rPr>
          <w:rFonts w:ascii="Cambria" w:hAnsi="Cambria" w:cs="Arial"/>
          <w:color w:val="000000"/>
          <w:sz w:val="22"/>
          <w:szCs w:val="22"/>
          <w:shd w:val="clear" w:color="auto" w:fill="FFFFFF"/>
        </w:rPr>
        <w:t xml:space="preserve"> evaluar su eficacia en la práctica. Lo anterior, teniendo en cuenta que los hechos violentos contra estas mujeres y sus hijas/os</w:t>
      </w:r>
      <w:r w:rsidRPr="00487884">
        <w:rPr>
          <w:rStyle w:val="Refdenotaalpie"/>
          <w:rFonts w:ascii="Cambria" w:hAnsi="Cambria" w:cs="Arial"/>
          <w:color w:val="000000"/>
          <w:sz w:val="22"/>
          <w:szCs w:val="22"/>
          <w:shd w:val="clear" w:color="auto" w:fill="FFFFFF"/>
        </w:rPr>
        <w:footnoteReference w:id="13"/>
      </w:r>
      <w:r w:rsidRPr="00487884">
        <w:rPr>
          <w:rFonts w:ascii="Cambria" w:hAnsi="Cambria" w:cs="Arial"/>
          <w:color w:val="000000"/>
          <w:sz w:val="22"/>
          <w:szCs w:val="22"/>
          <w:shd w:val="clear" w:color="auto" w:fill="FFFFFF"/>
        </w:rPr>
        <w:t xml:space="preserve"> han aumentado en los últimos años, como se describe a continuación: </w:t>
      </w:r>
    </w:p>
    <w:p w14:paraId="05251635" w14:textId="08B627BF" w:rsidR="009E4DFC" w:rsidRPr="00487884" w:rsidRDefault="009E4DFC" w:rsidP="00487884">
      <w:pPr>
        <w:pStyle w:val="NormalWeb"/>
        <w:numPr>
          <w:ilvl w:val="1"/>
          <w:numId w:val="1"/>
        </w:numPr>
        <w:spacing w:before="0" w:beforeAutospacing="0" w:after="0" w:afterAutospacing="0" w:line="276" w:lineRule="auto"/>
        <w:ind w:left="284"/>
        <w:jc w:val="both"/>
        <w:textAlignment w:val="baseline"/>
        <w:rPr>
          <w:rFonts w:ascii="Cambria" w:hAnsi="Cambria" w:cs="Arial"/>
          <w:color w:val="000000"/>
          <w:sz w:val="22"/>
          <w:szCs w:val="22"/>
        </w:rPr>
      </w:pPr>
      <w:r w:rsidRPr="00487884">
        <w:rPr>
          <w:rFonts w:ascii="Cambria" w:hAnsi="Cambria" w:cs="Arial"/>
          <w:color w:val="000000"/>
          <w:sz w:val="22"/>
          <w:szCs w:val="22"/>
        </w:rPr>
        <w:t xml:space="preserve">Para el  2019, las duplas de género de la Delegada para los Derechos de las Mujeres y Asuntos de Género de la Defensoría del Pueblo reportaron 104 hechos de violencia contra defensoras. </w:t>
      </w:r>
      <w:r w:rsidRPr="00487884">
        <w:rPr>
          <w:rFonts w:ascii="Cambria" w:hAnsi="Cambria" w:cs="Arial"/>
          <w:color w:val="000000"/>
          <w:sz w:val="22"/>
          <w:szCs w:val="22"/>
          <w:shd w:val="clear" w:color="auto" w:fill="FFFFFF"/>
        </w:rPr>
        <w:t>Con respecto al año anterior se registra un incremento del 50,88 % en las amenazas y de 166,67 % en otras agresiones contra las defensoras</w:t>
      </w:r>
      <w:r w:rsidR="00AC00C4" w:rsidRPr="00487884">
        <w:rPr>
          <w:rStyle w:val="Refdenotaalpie"/>
          <w:rFonts w:ascii="Cambria" w:hAnsi="Cambria" w:cs="Arial"/>
          <w:color w:val="000000"/>
          <w:sz w:val="22"/>
          <w:szCs w:val="22"/>
          <w:shd w:val="clear" w:color="auto" w:fill="FFFFFF"/>
        </w:rPr>
        <w:footnoteReference w:id="14"/>
      </w:r>
      <w:r w:rsidR="00AC00C4" w:rsidRPr="00487884">
        <w:rPr>
          <w:rFonts w:ascii="Cambria" w:hAnsi="Cambria" w:cs="Arial"/>
          <w:color w:val="000000"/>
          <w:sz w:val="22"/>
          <w:szCs w:val="22"/>
          <w:shd w:val="clear" w:color="auto" w:fill="FFFFFF"/>
        </w:rPr>
        <w:t xml:space="preserve">. </w:t>
      </w:r>
    </w:p>
    <w:p w14:paraId="7AD1B35C" w14:textId="379192D9" w:rsidR="009E4DFC" w:rsidRPr="00487884" w:rsidRDefault="009E4DFC" w:rsidP="00487884">
      <w:pPr>
        <w:pStyle w:val="Prrafodelista"/>
        <w:numPr>
          <w:ilvl w:val="1"/>
          <w:numId w:val="1"/>
        </w:numPr>
        <w:autoSpaceDE w:val="0"/>
        <w:autoSpaceDN w:val="0"/>
        <w:adjustRightInd w:val="0"/>
        <w:spacing w:line="276" w:lineRule="auto"/>
        <w:ind w:left="284"/>
        <w:jc w:val="both"/>
        <w:rPr>
          <w:rFonts w:ascii="Cambria" w:hAnsi="Cambria" w:cs="Arial"/>
          <w:color w:val="000000"/>
          <w:sz w:val="22"/>
          <w:szCs w:val="22"/>
        </w:rPr>
      </w:pPr>
      <w:r w:rsidRPr="00487884">
        <w:rPr>
          <w:rFonts w:ascii="Cambria" w:hAnsi="Cambria" w:cs="Arial"/>
          <w:color w:val="000000"/>
          <w:sz w:val="22"/>
          <w:szCs w:val="22"/>
          <w:shd w:val="clear" w:color="auto" w:fill="FFFFFF"/>
        </w:rPr>
        <w:lastRenderedPageBreak/>
        <w:t xml:space="preserve">El Sistema de Información Sobre </w:t>
      </w:r>
      <w:r w:rsidRPr="00487884">
        <w:rPr>
          <w:rFonts w:ascii="Cambria" w:hAnsi="Cambria" w:cs="Arial"/>
          <w:color w:val="000000" w:themeColor="text1"/>
          <w:sz w:val="22"/>
          <w:szCs w:val="22"/>
          <w:shd w:val="clear" w:color="auto" w:fill="FFFFFF"/>
        </w:rPr>
        <w:t>Agresiones a Personas Defensoras de Derechos Humanos en Colombia (SIADDHH)</w:t>
      </w:r>
      <w:r w:rsidR="0010334C" w:rsidRPr="00487884">
        <w:rPr>
          <w:rFonts w:ascii="Cambria" w:hAnsi="Cambria" w:cs="Arial"/>
          <w:color w:val="000000" w:themeColor="text1"/>
          <w:sz w:val="22"/>
          <w:szCs w:val="22"/>
          <w:shd w:val="clear" w:color="auto" w:fill="FFFFFF"/>
        </w:rPr>
        <w:t xml:space="preserve"> </w:t>
      </w:r>
      <w:r w:rsidRPr="00487884">
        <w:rPr>
          <w:rFonts w:ascii="Cambria" w:hAnsi="Cambria" w:cs="Arial"/>
          <w:color w:val="000000" w:themeColor="text1"/>
          <w:sz w:val="22"/>
          <w:szCs w:val="22"/>
          <w:shd w:val="clear" w:color="auto" w:fill="FFFFFF"/>
        </w:rPr>
        <w:t>registró para el 2020 el número más alto de agresiones a personas defensoras desde la existencia de dicho sistema. Se registraron 241 hechos violentos en contra de mujeres</w:t>
      </w:r>
      <w:r w:rsidRPr="00487884">
        <w:rPr>
          <w:rFonts w:ascii="Cambria" w:hAnsi="Cambria" w:cs="Arial"/>
          <w:color w:val="000000"/>
          <w:sz w:val="22"/>
          <w:szCs w:val="22"/>
          <w:shd w:val="clear" w:color="auto" w:fill="FFFFFF"/>
        </w:rPr>
        <w:t xml:space="preserve">, lo que corresponde a </w:t>
      </w:r>
      <w:r w:rsidRPr="00487884">
        <w:rPr>
          <w:rFonts w:ascii="Cambria" w:eastAsiaTheme="minorHAnsi" w:hAnsi="Cambria" w:cs="Arial"/>
          <w:sz w:val="22"/>
          <w:szCs w:val="22"/>
          <w:lang w:val="es-ES_tradnl" w:eastAsia="en-US"/>
        </w:rPr>
        <w:t>un incremento del 7 % frente al 2019, “especialmente los feminicidios, que en el año 2020 fueron de 3 defensoras, situación relacionada con el incremento de la violencia de género en Colombia advertida por varias organizaciones feministas</w:t>
      </w:r>
      <w:r w:rsidR="00AC00C4" w:rsidRPr="00487884">
        <w:rPr>
          <w:rFonts w:ascii="Cambria" w:eastAsiaTheme="minorHAnsi" w:hAnsi="Cambria" w:cs="Arial"/>
          <w:sz w:val="22"/>
          <w:szCs w:val="22"/>
          <w:lang w:val="es-ES_tradnl" w:eastAsia="en-US"/>
        </w:rPr>
        <w:t>”</w:t>
      </w:r>
      <w:r w:rsidRPr="00487884">
        <w:rPr>
          <w:rStyle w:val="Refdenotaalpie"/>
          <w:rFonts w:ascii="Cambria" w:eastAsiaTheme="minorHAnsi" w:hAnsi="Cambria" w:cs="Arial"/>
          <w:sz w:val="22"/>
          <w:szCs w:val="22"/>
          <w:lang w:val="es-ES_tradnl" w:eastAsia="en-US"/>
        </w:rPr>
        <w:footnoteReference w:id="15"/>
      </w:r>
      <w:r w:rsidRPr="00487884">
        <w:rPr>
          <w:rFonts w:ascii="Cambria" w:hAnsi="Cambria" w:cs="Arial"/>
          <w:color w:val="000000"/>
          <w:sz w:val="22"/>
          <w:szCs w:val="22"/>
          <w:shd w:val="clear" w:color="auto" w:fill="FFFFFF"/>
        </w:rPr>
        <w:t>. Entre enero y octubre de 2020, el Instituto Nacional de Medicina Legal reportó tres casos de presunto delito sexual contra defensoras de derechos humanos</w:t>
      </w:r>
      <w:r w:rsidRPr="00487884">
        <w:rPr>
          <w:rStyle w:val="Refdenotaalpie"/>
          <w:rFonts w:ascii="Cambria" w:hAnsi="Cambria" w:cs="Arial"/>
          <w:color w:val="000000" w:themeColor="text1"/>
          <w:sz w:val="22"/>
          <w:szCs w:val="22"/>
          <w:shd w:val="clear" w:color="auto" w:fill="FFFFFF"/>
        </w:rPr>
        <w:footnoteReference w:id="16"/>
      </w:r>
      <w:r w:rsidRPr="00487884">
        <w:rPr>
          <w:rFonts w:ascii="Cambria" w:hAnsi="Cambria" w:cs="Arial"/>
          <w:color w:val="000000" w:themeColor="text1"/>
          <w:sz w:val="22"/>
          <w:szCs w:val="22"/>
          <w:shd w:val="clear" w:color="auto" w:fill="FFFFFF"/>
        </w:rPr>
        <w:t xml:space="preserve">.  </w:t>
      </w:r>
    </w:p>
    <w:p w14:paraId="03DD2EE7" w14:textId="1B9941C4" w:rsidR="00833C00" w:rsidRPr="00487884" w:rsidRDefault="00833C00" w:rsidP="00487884">
      <w:pPr>
        <w:autoSpaceDE w:val="0"/>
        <w:autoSpaceDN w:val="0"/>
        <w:adjustRightInd w:val="0"/>
        <w:spacing w:line="276" w:lineRule="auto"/>
        <w:ind w:left="284"/>
        <w:jc w:val="both"/>
        <w:rPr>
          <w:rFonts w:ascii="Cambria" w:hAnsi="Cambria" w:cs="Arial"/>
          <w:sz w:val="22"/>
          <w:szCs w:val="22"/>
        </w:rPr>
      </w:pPr>
    </w:p>
    <w:p w14:paraId="215B4B1F" w14:textId="770D1803" w:rsidR="00404B02" w:rsidRPr="00487884" w:rsidRDefault="00044BB1" w:rsidP="00487884">
      <w:pPr>
        <w:pStyle w:val="Prrafodelista"/>
        <w:numPr>
          <w:ilvl w:val="0"/>
          <w:numId w:val="1"/>
        </w:numPr>
        <w:spacing w:line="276" w:lineRule="auto"/>
        <w:ind w:left="284"/>
        <w:jc w:val="both"/>
        <w:rPr>
          <w:rFonts w:ascii="Cambria" w:hAnsi="Cambria"/>
          <w:sz w:val="22"/>
          <w:szCs w:val="22"/>
        </w:rPr>
      </w:pPr>
      <w:r w:rsidRPr="00487884">
        <w:rPr>
          <w:rFonts w:ascii="Cambria" w:hAnsi="Cambria" w:cs="Arial"/>
          <w:sz w:val="22"/>
          <w:szCs w:val="22"/>
        </w:rPr>
        <w:t xml:space="preserve">Varias organizaciones que hacen seguimiento </w:t>
      </w:r>
      <w:r w:rsidRPr="00487884">
        <w:rPr>
          <w:rFonts w:ascii="Cambria" w:hAnsi="Cambria" w:cs="Arial"/>
          <w:color w:val="000000"/>
          <w:sz w:val="22"/>
          <w:szCs w:val="22"/>
          <w:shd w:val="clear" w:color="auto" w:fill="FFFFFF"/>
        </w:rPr>
        <w:t>a la situación que enfrentan las defensoras y lideresas destacan las siguientes dificultades en torno al PIGMLD: i) falta de articulación entre el nivel local y nacional; ii) retrasos en la selección de beneficiarias del programa; y iii) falta de claridad frente a la oferta institucional</w:t>
      </w:r>
      <w:r w:rsidR="008C000A" w:rsidRPr="00487884">
        <w:rPr>
          <w:rStyle w:val="Refdenotaalpie"/>
          <w:rFonts w:ascii="Cambria" w:hAnsi="Cambria" w:cs="Arial"/>
          <w:color w:val="000000"/>
          <w:sz w:val="22"/>
          <w:szCs w:val="22"/>
          <w:shd w:val="clear" w:color="auto" w:fill="FFFFFF"/>
        </w:rPr>
        <w:footnoteReference w:id="17"/>
      </w:r>
      <w:r w:rsidRPr="00487884">
        <w:rPr>
          <w:rFonts w:ascii="Cambria" w:hAnsi="Cambria" w:cs="Arial"/>
          <w:color w:val="000000"/>
          <w:sz w:val="22"/>
          <w:szCs w:val="22"/>
          <w:shd w:val="clear" w:color="auto" w:fill="FFFFFF"/>
        </w:rPr>
        <w:t xml:space="preserve"> específica para defensoras de las 28 entidades responsables del Plan de acción</w:t>
      </w:r>
      <w:r w:rsidR="008C000A" w:rsidRPr="00487884">
        <w:rPr>
          <w:rStyle w:val="Refdenotaalpie"/>
          <w:rFonts w:ascii="Cambria" w:hAnsi="Cambria" w:cs="Arial"/>
          <w:color w:val="000000"/>
          <w:sz w:val="22"/>
          <w:szCs w:val="22"/>
          <w:shd w:val="clear" w:color="auto" w:fill="FFFFFF"/>
        </w:rPr>
        <w:footnoteReference w:id="18"/>
      </w:r>
      <w:r w:rsidR="008C000A" w:rsidRPr="00487884">
        <w:rPr>
          <w:rFonts w:ascii="Cambria" w:hAnsi="Cambria" w:cs="Arial"/>
          <w:color w:val="000000"/>
          <w:sz w:val="22"/>
          <w:szCs w:val="22"/>
          <w:shd w:val="clear" w:color="auto" w:fill="FFFFFF"/>
        </w:rPr>
        <w:t xml:space="preserve">. </w:t>
      </w:r>
    </w:p>
    <w:p w14:paraId="11450BCF" w14:textId="77777777" w:rsidR="00404B02" w:rsidRPr="00487884" w:rsidRDefault="00404B02" w:rsidP="00487884">
      <w:pPr>
        <w:spacing w:line="276" w:lineRule="auto"/>
        <w:ind w:left="284"/>
        <w:jc w:val="both"/>
        <w:rPr>
          <w:rFonts w:ascii="Cambria" w:hAnsi="Cambria"/>
          <w:sz w:val="22"/>
          <w:szCs w:val="22"/>
        </w:rPr>
      </w:pPr>
    </w:p>
    <w:p w14:paraId="1BCECCC9" w14:textId="3AD34B16" w:rsidR="00B8686A" w:rsidRPr="00487884" w:rsidRDefault="00B8686A" w:rsidP="00487884">
      <w:pPr>
        <w:pStyle w:val="Prrafodelista"/>
        <w:numPr>
          <w:ilvl w:val="0"/>
          <w:numId w:val="1"/>
        </w:numPr>
        <w:autoSpaceDE w:val="0"/>
        <w:autoSpaceDN w:val="0"/>
        <w:adjustRightInd w:val="0"/>
        <w:spacing w:line="276" w:lineRule="auto"/>
        <w:ind w:left="284"/>
        <w:jc w:val="both"/>
        <w:rPr>
          <w:rFonts w:ascii="Cambria" w:hAnsi="Cambria" w:cs="Arial"/>
          <w:color w:val="000000" w:themeColor="text1"/>
          <w:sz w:val="22"/>
          <w:szCs w:val="22"/>
        </w:rPr>
      </w:pPr>
      <w:r w:rsidRPr="00487884">
        <w:rPr>
          <w:rFonts w:ascii="Cambria" w:hAnsi="Cambria" w:cs="Arial"/>
          <w:color w:val="000000" w:themeColor="text1"/>
          <w:sz w:val="22"/>
          <w:szCs w:val="22"/>
        </w:rPr>
        <w:t xml:space="preserve">En el reporte del Estado faltan claridades sobre las acciones que se </w:t>
      </w:r>
      <w:r w:rsidR="00487884" w:rsidRPr="00487884">
        <w:rPr>
          <w:rFonts w:ascii="Cambria" w:hAnsi="Cambria" w:cs="Arial"/>
          <w:color w:val="000000" w:themeColor="text1"/>
          <w:sz w:val="22"/>
          <w:szCs w:val="22"/>
        </w:rPr>
        <w:t xml:space="preserve">han </w:t>
      </w:r>
      <w:r w:rsidR="009D59D3" w:rsidRPr="00487884">
        <w:rPr>
          <w:rFonts w:ascii="Cambria" w:hAnsi="Cambria" w:cs="Arial"/>
          <w:color w:val="000000" w:themeColor="text1"/>
          <w:sz w:val="22"/>
          <w:szCs w:val="22"/>
        </w:rPr>
        <w:t xml:space="preserve">puesto en </w:t>
      </w:r>
      <w:r w:rsidR="006C17DE" w:rsidRPr="00487884">
        <w:rPr>
          <w:rFonts w:ascii="Cambria" w:hAnsi="Cambria" w:cs="Arial"/>
          <w:color w:val="000000" w:themeColor="text1"/>
          <w:sz w:val="22"/>
          <w:szCs w:val="22"/>
        </w:rPr>
        <w:t>marcha</w:t>
      </w:r>
      <w:r w:rsidR="009D59D3" w:rsidRPr="00487884">
        <w:rPr>
          <w:rFonts w:ascii="Cambria" w:hAnsi="Cambria" w:cs="Arial"/>
          <w:color w:val="000000" w:themeColor="text1"/>
          <w:sz w:val="22"/>
          <w:szCs w:val="22"/>
        </w:rPr>
        <w:t xml:space="preserve"> </w:t>
      </w:r>
      <w:r w:rsidRPr="00487884">
        <w:rPr>
          <w:rFonts w:ascii="Cambria" w:hAnsi="Cambria" w:cs="Arial"/>
          <w:color w:val="000000" w:themeColor="text1"/>
          <w:sz w:val="22"/>
          <w:szCs w:val="22"/>
        </w:rPr>
        <w:t xml:space="preserve">para garantizar los derechos sexuales y reproductivos, incluyendo el acceso a la </w:t>
      </w:r>
      <w:r w:rsidR="00360AAB" w:rsidRPr="00487884">
        <w:rPr>
          <w:rFonts w:ascii="Cambria" w:hAnsi="Cambria" w:cs="Arial"/>
          <w:color w:val="000000" w:themeColor="text1"/>
          <w:sz w:val="22"/>
          <w:szCs w:val="22"/>
        </w:rPr>
        <w:t>I</w:t>
      </w:r>
      <w:r w:rsidRPr="00487884">
        <w:rPr>
          <w:rFonts w:ascii="Cambria" w:hAnsi="Cambria" w:cs="Arial"/>
          <w:color w:val="000000" w:themeColor="text1"/>
          <w:sz w:val="22"/>
          <w:szCs w:val="22"/>
        </w:rPr>
        <w:t>nterrupción Voluntaria del Embarazo (IVE), de acuerdo con la sentencia C-355 de 2006 de la Corte Constitucional, y la jurisprudencia constitucional posterior</w:t>
      </w:r>
      <w:r w:rsidRPr="00487884">
        <w:rPr>
          <w:rStyle w:val="Refdenotaalpie"/>
          <w:rFonts w:ascii="Cambria" w:hAnsi="Cambria" w:cs="Arial"/>
          <w:color w:val="000000" w:themeColor="text1"/>
          <w:sz w:val="22"/>
          <w:szCs w:val="22"/>
        </w:rPr>
        <w:footnoteReference w:id="19"/>
      </w:r>
      <w:r w:rsidRPr="00487884">
        <w:rPr>
          <w:rFonts w:ascii="Cambria" w:hAnsi="Cambria" w:cs="Arial"/>
          <w:color w:val="000000" w:themeColor="text1"/>
          <w:sz w:val="22"/>
          <w:szCs w:val="22"/>
        </w:rPr>
        <w:t xml:space="preserve"> en el despliegue de las  rutas incluidas</w:t>
      </w:r>
      <w:r w:rsidR="00092D55" w:rsidRPr="00487884">
        <w:rPr>
          <w:rFonts w:ascii="Cambria" w:hAnsi="Cambria" w:cs="Arial"/>
          <w:color w:val="000000" w:themeColor="text1"/>
          <w:sz w:val="22"/>
          <w:szCs w:val="22"/>
        </w:rPr>
        <w:t xml:space="preserve"> en</w:t>
      </w:r>
      <w:r w:rsidRPr="00487884">
        <w:rPr>
          <w:rFonts w:ascii="Cambria" w:hAnsi="Cambria" w:cs="Arial"/>
          <w:color w:val="000000" w:themeColor="text1"/>
          <w:sz w:val="22"/>
          <w:szCs w:val="22"/>
        </w:rPr>
        <w:t xml:space="preserve"> el Plan de acción del PIGMLD, dentro de la línea de prevención  y a cargo </w:t>
      </w:r>
      <w:r w:rsidRPr="00487884">
        <w:rPr>
          <w:rFonts w:ascii="Cambria" w:hAnsi="Cambria" w:cs="Arial"/>
          <w:color w:val="000000"/>
          <w:sz w:val="22"/>
          <w:szCs w:val="22"/>
        </w:rPr>
        <w:t>el Ministerio de Salud y Protección</w:t>
      </w:r>
      <w:r w:rsidRPr="00487884">
        <w:rPr>
          <w:rFonts w:ascii="Cambria" w:hAnsi="Cambria" w:cs="Arial"/>
          <w:sz w:val="22"/>
          <w:szCs w:val="22"/>
        </w:rPr>
        <w:t xml:space="preserve">, </w:t>
      </w:r>
      <w:r w:rsidRPr="00487884">
        <w:rPr>
          <w:rFonts w:ascii="Cambria" w:hAnsi="Cambria" w:cs="Arial"/>
          <w:color w:val="000000" w:themeColor="text1"/>
          <w:sz w:val="22"/>
          <w:szCs w:val="22"/>
        </w:rPr>
        <w:t xml:space="preserve"> que se relacionan a continuación: </w:t>
      </w:r>
    </w:p>
    <w:p w14:paraId="3523A79F" w14:textId="064EE5B4" w:rsidR="00B8686A" w:rsidRPr="00487884" w:rsidRDefault="00B8686A" w:rsidP="00487884">
      <w:pPr>
        <w:pStyle w:val="Prrafodelista"/>
        <w:numPr>
          <w:ilvl w:val="0"/>
          <w:numId w:val="6"/>
        </w:numPr>
        <w:autoSpaceDE w:val="0"/>
        <w:autoSpaceDN w:val="0"/>
        <w:adjustRightInd w:val="0"/>
        <w:spacing w:line="276" w:lineRule="auto"/>
        <w:ind w:left="851" w:hanging="927"/>
        <w:jc w:val="both"/>
        <w:rPr>
          <w:rFonts w:ascii="Cambria" w:hAnsi="Cambria" w:cs="Arial"/>
          <w:color w:val="000000" w:themeColor="text1"/>
          <w:sz w:val="22"/>
          <w:szCs w:val="22"/>
        </w:rPr>
      </w:pPr>
      <w:r w:rsidRPr="00487884">
        <w:rPr>
          <w:rFonts w:ascii="Cambria" w:hAnsi="Cambria" w:cs="Arial"/>
          <w:color w:val="000000" w:themeColor="text1"/>
          <w:sz w:val="22"/>
          <w:szCs w:val="22"/>
        </w:rPr>
        <w:t xml:space="preserve">“Desplegar la Ruta de Promoción y Mantenimiento de la Salud en territorios identificados con presencia de mujeres lideresas y defensoras de derechos humanos”. </w:t>
      </w:r>
    </w:p>
    <w:p w14:paraId="33E24DF6" w14:textId="77777777" w:rsidR="00B8686A" w:rsidRPr="00487884" w:rsidRDefault="00B8686A" w:rsidP="00487884">
      <w:pPr>
        <w:pStyle w:val="Prrafodelista"/>
        <w:numPr>
          <w:ilvl w:val="0"/>
          <w:numId w:val="6"/>
        </w:numPr>
        <w:autoSpaceDE w:val="0"/>
        <w:autoSpaceDN w:val="0"/>
        <w:adjustRightInd w:val="0"/>
        <w:spacing w:line="276" w:lineRule="auto"/>
        <w:ind w:left="851" w:hanging="927"/>
        <w:jc w:val="both"/>
        <w:rPr>
          <w:rFonts w:ascii="Cambria" w:hAnsi="Cambria" w:cs="Arial"/>
          <w:color w:val="000000" w:themeColor="text1"/>
          <w:sz w:val="22"/>
          <w:szCs w:val="22"/>
        </w:rPr>
      </w:pPr>
      <w:r w:rsidRPr="00487884">
        <w:rPr>
          <w:rFonts w:ascii="Cambria" w:hAnsi="Cambria" w:cs="Arial"/>
          <w:color w:val="000000" w:themeColor="text1"/>
          <w:sz w:val="22"/>
          <w:szCs w:val="22"/>
        </w:rPr>
        <w:t xml:space="preserve">“Desplegar la Ruta Materno Perinatal en territorios identificados con presencia de mujeres lideresas y defensoras de derechos humanos”. </w:t>
      </w:r>
    </w:p>
    <w:p w14:paraId="0BD5AFFC" w14:textId="6199A55D" w:rsidR="00B8686A" w:rsidRPr="00487884" w:rsidRDefault="00B8686A" w:rsidP="00487884">
      <w:pPr>
        <w:pStyle w:val="Prrafodelista"/>
        <w:numPr>
          <w:ilvl w:val="0"/>
          <w:numId w:val="6"/>
        </w:numPr>
        <w:autoSpaceDE w:val="0"/>
        <w:autoSpaceDN w:val="0"/>
        <w:adjustRightInd w:val="0"/>
        <w:spacing w:line="276" w:lineRule="auto"/>
        <w:ind w:left="851" w:hanging="927"/>
        <w:jc w:val="both"/>
        <w:rPr>
          <w:rStyle w:val="Refdecomentario"/>
          <w:rFonts w:ascii="Cambria" w:hAnsi="Cambria" w:cs="Arial"/>
          <w:color w:val="000000" w:themeColor="text1"/>
          <w:sz w:val="22"/>
          <w:szCs w:val="22"/>
        </w:rPr>
      </w:pPr>
      <w:r w:rsidRPr="00487884">
        <w:rPr>
          <w:rFonts w:ascii="Cambria" w:hAnsi="Cambria" w:cs="Arial"/>
          <w:color w:val="000000" w:themeColor="text1"/>
          <w:sz w:val="22"/>
          <w:szCs w:val="22"/>
        </w:rPr>
        <w:t>“Desplegar otras Rutas Priorizadas en territorios identificados con presencia de mujeres lideresas y defensoras de derechos humanos”</w:t>
      </w:r>
      <w:r w:rsidRPr="00487884">
        <w:rPr>
          <w:rStyle w:val="Refdenotaalpie"/>
          <w:rFonts w:ascii="Cambria" w:hAnsi="Cambria" w:cs="Arial"/>
          <w:color w:val="000000" w:themeColor="text1"/>
          <w:sz w:val="22"/>
          <w:szCs w:val="22"/>
        </w:rPr>
        <w:footnoteReference w:id="20"/>
      </w:r>
    </w:p>
    <w:p w14:paraId="37CA415E" w14:textId="5BDAE339" w:rsidR="00586C05" w:rsidRPr="00487884" w:rsidRDefault="00B8686A" w:rsidP="00A24E29">
      <w:pPr>
        <w:autoSpaceDE w:val="0"/>
        <w:autoSpaceDN w:val="0"/>
        <w:adjustRightInd w:val="0"/>
        <w:spacing w:line="276" w:lineRule="auto"/>
        <w:ind w:left="284"/>
        <w:jc w:val="both"/>
        <w:rPr>
          <w:rFonts w:ascii="Cambria" w:hAnsi="Cambria" w:cs="Arial"/>
          <w:sz w:val="22"/>
          <w:szCs w:val="22"/>
        </w:rPr>
      </w:pPr>
      <w:r w:rsidRPr="00487884">
        <w:rPr>
          <w:rFonts w:ascii="Cambria" w:hAnsi="Cambria" w:cs="Arial"/>
          <w:color w:val="000000" w:themeColor="text1"/>
          <w:sz w:val="22"/>
          <w:szCs w:val="22"/>
        </w:rPr>
        <w:lastRenderedPageBreak/>
        <w:t xml:space="preserve">Lo anterior es </w:t>
      </w:r>
      <w:r w:rsidR="00092D55" w:rsidRPr="00487884">
        <w:rPr>
          <w:rFonts w:ascii="Cambria" w:hAnsi="Cambria" w:cs="Arial"/>
          <w:color w:val="000000" w:themeColor="text1"/>
          <w:sz w:val="22"/>
          <w:szCs w:val="22"/>
        </w:rPr>
        <w:t>relevante</w:t>
      </w:r>
      <w:r w:rsidRPr="00487884">
        <w:rPr>
          <w:rFonts w:ascii="Cambria" w:hAnsi="Cambria" w:cs="Arial"/>
          <w:color w:val="000000" w:themeColor="text1"/>
          <w:sz w:val="22"/>
          <w:szCs w:val="22"/>
        </w:rPr>
        <w:t xml:space="preserve"> entendiendo </w:t>
      </w:r>
      <w:r w:rsidR="00044BB1" w:rsidRPr="00487884">
        <w:rPr>
          <w:rFonts w:ascii="Cambria" w:hAnsi="Cambria" w:cs="Arial"/>
          <w:color w:val="000000" w:themeColor="text1"/>
          <w:sz w:val="22"/>
          <w:szCs w:val="22"/>
          <w:shd w:val="clear" w:color="auto" w:fill="FFFFFF"/>
        </w:rPr>
        <w:t>que i) la violencia sexual</w:t>
      </w:r>
      <w:r w:rsidR="00404B02" w:rsidRPr="00487884">
        <w:rPr>
          <w:rFonts w:ascii="Cambria" w:hAnsi="Cambria" w:cs="Arial"/>
          <w:color w:val="000000" w:themeColor="text1"/>
          <w:sz w:val="22"/>
          <w:szCs w:val="22"/>
          <w:shd w:val="clear" w:color="auto" w:fill="FFFFFF"/>
        </w:rPr>
        <w:t>, es una de las manifestaciones de la violencia basada en género que tiene como principales víctimas a las mujeres y, en este caso,</w:t>
      </w:r>
      <w:r w:rsidR="00B22CED" w:rsidRPr="00487884">
        <w:rPr>
          <w:rFonts w:ascii="Cambria" w:hAnsi="Cambria" w:cs="Arial"/>
          <w:color w:val="000000" w:themeColor="text1"/>
          <w:sz w:val="22"/>
          <w:szCs w:val="22"/>
          <w:shd w:val="clear" w:color="auto" w:fill="FFFFFF"/>
        </w:rPr>
        <w:t xml:space="preserve"> </w:t>
      </w:r>
      <w:r w:rsidR="00404B02" w:rsidRPr="00487884">
        <w:rPr>
          <w:rFonts w:ascii="Cambria" w:hAnsi="Cambria" w:cs="Arial"/>
          <w:color w:val="000000" w:themeColor="text1"/>
          <w:sz w:val="22"/>
          <w:szCs w:val="22"/>
          <w:shd w:val="clear" w:color="auto" w:fill="FFFFFF"/>
        </w:rPr>
        <w:t>es una forma de victimización particular que sufren las mujeres defensoras de derechos humanos y sus hijos/as</w:t>
      </w:r>
      <w:r w:rsidR="00044BB1" w:rsidRPr="00487884">
        <w:rPr>
          <w:rFonts w:ascii="Cambria" w:hAnsi="Cambria" w:cs="Arial"/>
          <w:color w:val="000000" w:themeColor="text1"/>
          <w:sz w:val="22"/>
          <w:szCs w:val="22"/>
          <w:shd w:val="clear" w:color="auto" w:fill="FFFFFF"/>
        </w:rPr>
        <w:t>; ii) que</w:t>
      </w:r>
      <w:r w:rsidR="00B22CED" w:rsidRPr="00487884">
        <w:rPr>
          <w:rFonts w:ascii="Cambria" w:hAnsi="Cambria" w:cs="Arial"/>
          <w:color w:val="000000" w:themeColor="text1"/>
          <w:sz w:val="22"/>
          <w:szCs w:val="22"/>
          <w:shd w:val="clear" w:color="auto" w:fill="FFFFFF"/>
        </w:rPr>
        <w:t xml:space="preserve"> existe una subvaloración e incluso estigmatización</w:t>
      </w:r>
      <w:r w:rsidR="00092D55" w:rsidRPr="00487884">
        <w:rPr>
          <w:rFonts w:ascii="Cambria" w:hAnsi="Cambria" w:cs="Arial"/>
          <w:color w:val="000000" w:themeColor="text1"/>
          <w:sz w:val="22"/>
          <w:szCs w:val="22"/>
          <w:shd w:val="clear" w:color="auto" w:fill="FFFFFF"/>
        </w:rPr>
        <w:t>, relacionada con estereotipos de género,</w:t>
      </w:r>
      <w:r w:rsidR="00B22CED" w:rsidRPr="00487884">
        <w:rPr>
          <w:rFonts w:ascii="Cambria" w:hAnsi="Cambria" w:cs="Arial"/>
          <w:color w:val="000000" w:themeColor="text1"/>
          <w:sz w:val="22"/>
          <w:szCs w:val="22"/>
          <w:shd w:val="clear" w:color="auto" w:fill="FFFFFF"/>
        </w:rPr>
        <w:t xml:space="preserve"> de las labores de mujeres en posición de liderazgo, </w:t>
      </w:r>
      <w:r w:rsidR="00044BB1" w:rsidRPr="00487884">
        <w:rPr>
          <w:rFonts w:ascii="Cambria" w:hAnsi="Cambria" w:cs="Arial"/>
          <w:color w:val="000000" w:themeColor="text1"/>
          <w:sz w:val="22"/>
          <w:szCs w:val="22"/>
          <w:shd w:val="clear" w:color="auto" w:fill="FFFFFF"/>
        </w:rPr>
        <w:t xml:space="preserve">y que iii)  </w:t>
      </w:r>
      <w:r w:rsidR="00B22CED" w:rsidRPr="00487884">
        <w:rPr>
          <w:rFonts w:ascii="Cambria" w:hAnsi="Cambria" w:cs="Arial"/>
          <w:color w:val="000000" w:themeColor="text1"/>
          <w:sz w:val="22"/>
          <w:szCs w:val="22"/>
          <w:shd w:val="clear" w:color="auto" w:fill="FFFFFF"/>
        </w:rPr>
        <w:t xml:space="preserve">el aumento de </w:t>
      </w:r>
      <w:r w:rsidR="00B22CED" w:rsidRPr="00487884">
        <w:rPr>
          <w:rFonts w:ascii="Cambria" w:hAnsi="Cambria" w:cs="Arial"/>
          <w:sz w:val="22"/>
          <w:szCs w:val="22"/>
        </w:rPr>
        <w:t xml:space="preserve"> las </w:t>
      </w:r>
      <w:r w:rsidR="009D59D3" w:rsidRPr="00487884">
        <w:rPr>
          <w:rFonts w:ascii="Cambria" w:hAnsi="Cambria" w:cs="Arial"/>
          <w:sz w:val="22"/>
          <w:szCs w:val="22"/>
        </w:rPr>
        <w:t xml:space="preserve">agresiones </w:t>
      </w:r>
      <w:r w:rsidR="00B22CED" w:rsidRPr="00487884">
        <w:rPr>
          <w:rFonts w:ascii="Cambria" w:hAnsi="Cambria" w:cs="Arial"/>
          <w:sz w:val="22"/>
          <w:szCs w:val="22"/>
        </w:rPr>
        <w:t>coincide con los territorios con fuerte presencia de grupos armados, que obstruyen el acceso a los servicios de salud sexual y reproductiva de manera segura, adecuada y oportuna</w:t>
      </w:r>
      <w:r w:rsidR="009D59D3" w:rsidRPr="00487884">
        <w:rPr>
          <w:rFonts w:ascii="Cambria" w:hAnsi="Cambria" w:cs="Arial"/>
          <w:sz w:val="22"/>
          <w:szCs w:val="22"/>
        </w:rPr>
        <w:t xml:space="preserve">. </w:t>
      </w:r>
    </w:p>
    <w:p w14:paraId="066E8A08" w14:textId="7903AE97" w:rsidR="00AE1304" w:rsidRPr="00487884" w:rsidRDefault="009D59D3" w:rsidP="00487884">
      <w:pPr>
        <w:pStyle w:val="NormalWeb"/>
        <w:numPr>
          <w:ilvl w:val="0"/>
          <w:numId w:val="1"/>
        </w:numPr>
        <w:spacing w:after="120" w:afterAutospacing="0" w:line="276" w:lineRule="auto"/>
        <w:ind w:left="284"/>
        <w:jc w:val="both"/>
        <w:rPr>
          <w:rFonts w:ascii="Cambria" w:hAnsi="Cambria" w:cs="Arial"/>
          <w:sz w:val="22"/>
          <w:szCs w:val="22"/>
        </w:rPr>
      </w:pPr>
      <w:r w:rsidRPr="00487884">
        <w:rPr>
          <w:rFonts w:ascii="Cambria" w:hAnsi="Cambria" w:cs="Arial"/>
          <w:sz w:val="22"/>
          <w:szCs w:val="22"/>
        </w:rPr>
        <w:t xml:space="preserve">A nivel nacional e </w:t>
      </w:r>
      <w:r w:rsidR="00586C05" w:rsidRPr="00487884">
        <w:rPr>
          <w:rFonts w:ascii="Cambria" w:hAnsi="Cambria" w:cs="Arial"/>
          <w:sz w:val="22"/>
          <w:szCs w:val="22"/>
        </w:rPr>
        <w:t>internacional</w:t>
      </w:r>
      <w:r w:rsidRPr="00487884">
        <w:rPr>
          <w:rFonts w:ascii="Cambria" w:hAnsi="Cambria" w:cs="Arial"/>
          <w:sz w:val="22"/>
          <w:szCs w:val="22"/>
        </w:rPr>
        <w:t xml:space="preserve"> se</w:t>
      </w:r>
      <w:r w:rsidR="00487884" w:rsidRPr="00487884">
        <w:rPr>
          <w:rFonts w:ascii="Cambria" w:hAnsi="Cambria" w:cs="Arial"/>
          <w:sz w:val="22"/>
          <w:szCs w:val="22"/>
        </w:rPr>
        <w:t xml:space="preserve"> ha</w:t>
      </w:r>
      <w:r w:rsidR="00B8686A" w:rsidRPr="00487884">
        <w:rPr>
          <w:rFonts w:ascii="Cambria" w:hAnsi="Cambria" w:cs="Arial"/>
          <w:sz w:val="22"/>
          <w:szCs w:val="22"/>
        </w:rPr>
        <w:t xml:space="preserve"> reconocido el impacto </w:t>
      </w:r>
      <w:r w:rsidR="006C17DE" w:rsidRPr="00487884">
        <w:rPr>
          <w:rFonts w:ascii="Cambria" w:hAnsi="Cambria" w:cs="Arial"/>
          <w:sz w:val="22"/>
          <w:szCs w:val="22"/>
        </w:rPr>
        <w:t xml:space="preserve"> </w:t>
      </w:r>
      <w:r w:rsidR="00B8686A" w:rsidRPr="00487884">
        <w:rPr>
          <w:rFonts w:ascii="Cambria" w:hAnsi="Cambria" w:cs="Arial"/>
          <w:sz w:val="22"/>
          <w:szCs w:val="22"/>
        </w:rPr>
        <w:t>diferencial del conflicto armado en la vida y los cuerpos de las mujeres</w:t>
      </w:r>
      <w:r w:rsidRPr="00487884">
        <w:rPr>
          <w:rStyle w:val="Refdenotaalpie"/>
          <w:rFonts w:ascii="Cambria" w:hAnsi="Cambria" w:cs="Arial"/>
          <w:sz w:val="22"/>
          <w:szCs w:val="22"/>
        </w:rPr>
        <w:footnoteReference w:id="21"/>
      </w:r>
      <w:r w:rsidR="00B8686A" w:rsidRPr="00487884">
        <w:rPr>
          <w:rFonts w:ascii="Cambria" w:hAnsi="Cambria" w:cs="Arial"/>
          <w:sz w:val="22"/>
          <w:szCs w:val="22"/>
        </w:rPr>
        <w:t xml:space="preserve">, como parte de un </w:t>
      </w:r>
      <w:r w:rsidR="00B8686A" w:rsidRPr="00487884">
        <w:rPr>
          <w:rFonts w:ascii="Cambria" w:hAnsi="Cambria" w:cs="Arial"/>
          <w:i/>
          <w:iCs/>
          <w:sz w:val="22"/>
          <w:szCs w:val="22"/>
        </w:rPr>
        <w:t>continuum</w:t>
      </w:r>
      <w:r w:rsidR="00B8686A" w:rsidRPr="00487884">
        <w:rPr>
          <w:rFonts w:ascii="Cambria" w:hAnsi="Cambria" w:cs="Arial"/>
          <w:sz w:val="22"/>
          <w:szCs w:val="22"/>
        </w:rPr>
        <w:t xml:space="preserve"> de violencias que se agudiza en contextos de conflicto armado y que se materializa de manera más directa en los casos de violencia sexual y reproductiva.</w:t>
      </w:r>
      <w:r w:rsidR="00AE1304" w:rsidRPr="00487884">
        <w:rPr>
          <w:rFonts w:ascii="Cambria" w:hAnsi="Cambria" w:cs="Arial"/>
          <w:sz w:val="22"/>
          <w:szCs w:val="22"/>
        </w:rPr>
        <w:t xml:space="preserve"> No obstante, el Estado</w:t>
      </w:r>
      <w:r w:rsidR="00593DAC" w:rsidRPr="00487884">
        <w:rPr>
          <w:rFonts w:ascii="Cambria" w:hAnsi="Cambria" w:cs="Arial"/>
          <w:sz w:val="22"/>
          <w:szCs w:val="22"/>
        </w:rPr>
        <w:t>, en el marco de la implementación del Acuerdo Final,</w:t>
      </w:r>
      <w:r w:rsidR="00AE1304" w:rsidRPr="00487884">
        <w:rPr>
          <w:rFonts w:ascii="Cambria" w:hAnsi="Cambria" w:cs="Arial"/>
          <w:sz w:val="22"/>
          <w:szCs w:val="22"/>
        </w:rPr>
        <w:t xml:space="preserve"> no ha reconocido, esclarecido ni adelantado investigaciones con enfoque de género frente a las situaciones </w:t>
      </w:r>
      <w:r w:rsidR="00CD3F88" w:rsidRPr="00487884">
        <w:rPr>
          <w:rFonts w:ascii="Cambria" w:hAnsi="Cambria" w:cs="Arial"/>
          <w:sz w:val="22"/>
          <w:szCs w:val="22"/>
        </w:rPr>
        <w:t xml:space="preserve"> particulares </w:t>
      </w:r>
      <w:r w:rsidR="00AE1304" w:rsidRPr="00487884">
        <w:rPr>
          <w:rFonts w:ascii="Cambria" w:hAnsi="Cambria" w:cs="Arial"/>
          <w:sz w:val="22"/>
          <w:szCs w:val="22"/>
        </w:rPr>
        <w:t>de violencia sexual y reproductiva y violencias basadas en género que soportaron (y continúan haciéndolo) las mujeres lideresas y defensoras de derechos humanos, víctimas y excombatientes</w:t>
      </w:r>
      <w:r w:rsidR="00AE1304" w:rsidRPr="00487884">
        <w:rPr>
          <w:rStyle w:val="Refdenotaalpie"/>
          <w:rFonts w:ascii="Cambria" w:hAnsi="Cambria" w:cs="Arial"/>
          <w:sz w:val="22"/>
          <w:szCs w:val="22"/>
        </w:rPr>
        <w:footnoteReference w:id="22"/>
      </w:r>
      <w:r w:rsidR="00AE1304" w:rsidRPr="00487884">
        <w:rPr>
          <w:rFonts w:ascii="Cambria" w:hAnsi="Cambria" w:cs="Arial"/>
          <w:sz w:val="22"/>
          <w:szCs w:val="22"/>
        </w:rPr>
        <w:t xml:space="preserve"> en el marco del conflicto armado.</w:t>
      </w:r>
    </w:p>
    <w:p w14:paraId="3C102435" w14:textId="5034973E" w:rsidR="006C17DE" w:rsidRPr="00487884" w:rsidRDefault="00092D55" w:rsidP="00487884">
      <w:pPr>
        <w:pStyle w:val="NormalWeb"/>
        <w:spacing w:line="276" w:lineRule="auto"/>
        <w:ind w:left="284"/>
        <w:jc w:val="both"/>
        <w:rPr>
          <w:rFonts w:ascii="Cambria" w:hAnsi="Cambria" w:cs="Arial"/>
          <w:color w:val="000000" w:themeColor="text1"/>
          <w:sz w:val="22"/>
          <w:szCs w:val="22"/>
          <w:shd w:val="clear" w:color="auto" w:fill="FFFFFF"/>
        </w:rPr>
      </w:pPr>
      <w:r w:rsidRPr="00487884">
        <w:rPr>
          <w:rFonts w:ascii="Cambria" w:hAnsi="Cambria" w:cs="Arial"/>
          <w:color w:val="222222"/>
          <w:sz w:val="22"/>
          <w:szCs w:val="22"/>
          <w:shd w:val="clear" w:color="auto" w:fill="FFFFFF"/>
        </w:rPr>
        <w:t>En específico</w:t>
      </w:r>
      <w:r w:rsidR="00593DAC" w:rsidRPr="00487884">
        <w:rPr>
          <w:rFonts w:ascii="Cambria" w:hAnsi="Cambria" w:cs="Arial"/>
          <w:color w:val="222222"/>
          <w:sz w:val="22"/>
          <w:szCs w:val="22"/>
          <w:shd w:val="clear" w:color="auto" w:fill="FFFFFF"/>
        </w:rPr>
        <w:t xml:space="preserve">, en las decisiones y pronunciamientos  de la Jurisdicción Especial para la Paz -JEP- </w:t>
      </w:r>
      <w:r w:rsidR="00593DAC" w:rsidRPr="00487884">
        <w:rPr>
          <w:rFonts w:ascii="Cambria" w:hAnsi="Cambria" w:cs="Arial"/>
          <w:sz w:val="22"/>
          <w:szCs w:val="22"/>
        </w:rPr>
        <w:t>encargada de administrar justicia</w:t>
      </w:r>
      <w:r w:rsidRPr="00487884">
        <w:rPr>
          <w:rFonts w:ascii="Cambria" w:hAnsi="Cambria" w:cs="Arial"/>
          <w:sz w:val="22"/>
          <w:szCs w:val="22"/>
        </w:rPr>
        <w:t xml:space="preserve">, </w:t>
      </w:r>
      <w:r w:rsidR="00593DAC" w:rsidRPr="00487884">
        <w:rPr>
          <w:rFonts w:ascii="Cambria" w:hAnsi="Cambria" w:cs="Arial"/>
          <w:sz w:val="22"/>
          <w:szCs w:val="22"/>
        </w:rPr>
        <w:t xml:space="preserve">investigar, esclarecer y sancionar las graves violaciones a los derechos humanos y las graves infracciones al </w:t>
      </w:r>
      <w:r w:rsidR="008C000A" w:rsidRPr="00487884">
        <w:rPr>
          <w:rFonts w:ascii="Cambria" w:hAnsi="Cambria" w:cs="Arial"/>
          <w:sz w:val="22"/>
          <w:szCs w:val="22"/>
        </w:rPr>
        <w:t>DIH</w:t>
      </w:r>
      <w:r w:rsidR="00593DAC" w:rsidRPr="00487884">
        <w:rPr>
          <w:rFonts w:ascii="Cambria" w:hAnsi="Cambria" w:cs="Arial"/>
          <w:sz w:val="22"/>
          <w:szCs w:val="22"/>
        </w:rPr>
        <w:t xml:space="preserve"> en el marco del conflicto armado interno en Colombia, se ha</w:t>
      </w:r>
      <w:r w:rsidR="008C000A" w:rsidRPr="00487884">
        <w:rPr>
          <w:rFonts w:ascii="Cambria" w:hAnsi="Cambria" w:cs="Arial"/>
          <w:sz w:val="22"/>
          <w:szCs w:val="22"/>
        </w:rPr>
        <w:t xml:space="preserve"> </w:t>
      </w:r>
      <w:r w:rsidR="00593DAC" w:rsidRPr="00487884">
        <w:rPr>
          <w:rFonts w:ascii="Cambria" w:hAnsi="Cambria" w:cs="Arial"/>
          <w:sz w:val="22"/>
          <w:szCs w:val="22"/>
        </w:rPr>
        <w:t>identificado</w:t>
      </w:r>
      <w:r w:rsidR="002E267E" w:rsidRPr="00487884">
        <w:rPr>
          <w:rFonts w:ascii="Cambria" w:hAnsi="Cambria" w:cs="Arial"/>
          <w:sz w:val="22"/>
          <w:szCs w:val="22"/>
        </w:rPr>
        <w:t xml:space="preserve"> que no incorpora</w:t>
      </w:r>
      <w:r w:rsidR="00360AAB" w:rsidRPr="00487884">
        <w:rPr>
          <w:rFonts w:ascii="Cambria" w:hAnsi="Cambria" w:cs="Arial"/>
          <w:sz w:val="22"/>
          <w:szCs w:val="22"/>
        </w:rPr>
        <w:t xml:space="preserve">n </w:t>
      </w:r>
      <w:r w:rsidR="002E267E" w:rsidRPr="00487884">
        <w:rPr>
          <w:rFonts w:ascii="Cambria" w:hAnsi="Cambria" w:cs="Arial"/>
          <w:sz w:val="22"/>
          <w:szCs w:val="22"/>
        </w:rPr>
        <w:t xml:space="preserve">una perspectiva de género en las diferentes fases del proceso judicial transicional y ha abordado </w:t>
      </w:r>
      <w:r w:rsidR="008C000A" w:rsidRPr="00487884">
        <w:rPr>
          <w:rFonts w:ascii="Cambria" w:hAnsi="Cambria" w:cs="Arial"/>
          <w:sz w:val="22"/>
          <w:szCs w:val="22"/>
        </w:rPr>
        <w:t xml:space="preserve">los casos de </w:t>
      </w:r>
      <w:r w:rsidR="002E267E" w:rsidRPr="00487884">
        <w:rPr>
          <w:rFonts w:ascii="Cambria" w:hAnsi="Cambria" w:cs="Arial"/>
          <w:sz w:val="22"/>
          <w:szCs w:val="22"/>
        </w:rPr>
        <w:t xml:space="preserve"> violencia sexual de forma tangencial, entendiéndol</w:t>
      </w:r>
      <w:r w:rsidR="008C000A" w:rsidRPr="00487884">
        <w:rPr>
          <w:rFonts w:ascii="Cambria" w:hAnsi="Cambria" w:cs="Arial"/>
          <w:sz w:val="22"/>
          <w:szCs w:val="22"/>
        </w:rPr>
        <w:t xml:space="preserve">os </w:t>
      </w:r>
      <w:r w:rsidR="002E267E" w:rsidRPr="00487884">
        <w:rPr>
          <w:rFonts w:ascii="Cambria" w:hAnsi="Cambria" w:cs="Arial"/>
          <w:sz w:val="22"/>
          <w:szCs w:val="22"/>
        </w:rPr>
        <w:t>co</w:t>
      </w:r>
      <w:r w:rsidR="0010334C" w:rsidRPr="00487884">
        <w:rPr>
          <w:rFonts w:ascii="Cambria" w:hAnsi="Cambria" w:cs="Arial"/>
          <w:sz w:val="22"/>
          <w:szCs w:val="22"/>
        </w:rPr>
        <w:t>mo</w:t>
      </w:r>
      <w:r w:rsidR="00586C05" w:rsidRPr="00487884">
        <w:rPr>
          <w:rFonts w:ascii="Cambria" w:hAnsi="Cambria" w:cs="Arial"/>
          <w:sz w:val="22"/>
          <w:szCs w:val="22"/>
        </w:rPr>
        <w:t xml:space="preserve"> hechos aislados, lo cual, como lo han señalado las organizaciones parte de la Alianza Cinco claves</w:t>
      </w:r>
      <w:r w:rsidR="00E52FD8" w:rsidRPr="00487884">
        <w:rPr>
          <w:rStyle w:val="Refdenotaalpie"/>
          <w:rFonts w:ascii="Cambria" w:hAnsi="Cambria" w:cs="Arial"/>
          <w:sz w:val="22"/>
          <w:szCs w:val="22"/>
        </w:rPr>
        <w:footnoteReference w:id="23"/>
      </w:r>
      <w:r w:rsidR="00586C05" w:rsidRPr="00487884">
        <w:rPr>
          <w:rFonts w:ascii="Cambria" w:hAnsi="Cambria" w:cs="Arial"/>
          <w:sz w:val="22"/>
          <w:szCs w:val="22"/>
        </w:rPr>
        <w:t xml:space="preserve"> representa un “retroceso en el proceso de justicia transicional”</w:t>
      </w:r>
      <w:r w:rsidR="00586C05" w:rsidRPr="00487884">
        <w:rPr>
          <w:rStyle w:val="Refdenotaalpie"/>
          <w:rFonts w:ascii="Cambria" w:hAnsi="Cambria" w:cs="Arial"/>
          <w:sz w:val="22"/>
          <w:szCs w:val="22"/>
        </w:rPr>
        <w:footnoteReference w:id="24"/>
      </w:r>
    </w:p>
    <w:p w14:paraId="0D847F2F" w14:textId="2D841058" w:rsidR="00F179DD" w:rsidRPr="00487884" w:rsidRDefault="00F179DD" w:rsidP="00487884">
      <w:pPr>
        <w:pStyle w:val="Prrafodelista"/>
        <w:numPr>
          <w:ilvl w:val="0"/>
          <w:numId w:val="1"/>
        </w:numPr>
        <w:autoSpaceDE w:val="0"/>
        <w:autoSpaceDN w:val="0"/>
        <w:adjustRightInd w:val="0"/>
        <w:spacing w:line="276" w:lineRule="auto"/>
        <w:ind w:left="284"/>
        <w:jc w:val="both"/>
        <w:rPr>
          <w:rFonts w:ascii="Cambria" w:hAnsi="Cambria" w:cs="Arial"/>
          <w:color w:val="000000"/>
          <w:sz w:val="22"/>
          <w:szCs w:val="22"/>
          <w:shd w:val="clear" w:color="auto" w:fill="FFFFFF"/>
        </w:rPr>
      </w:pPr>
      <w:r w:rsidRPr="00487884">
        <w:rPr>
          <w:rFonts w:ascii="Cambria" w:hAnsi="Cambria" w:cs="Arial"/>
          <w:color w:val="000000" w:themeColor="text1"/>
          <w:sz w:val="22"/>
          <w:szCs w:val="22"/>
        </w:rPr>
        <w:t>Frente al proceso de reincorporación de mujeres excombatientes de las FARC EP h</w:t>
      </w:r>
      <w:r w:rsidRPr="00487884">
        <w:rPr>
          <w:rFonts w:ascii="Cambria" w:hAnsi="Cambria" w:cs="Arial"/>
          <w:color w:val="000000"/>
          <w:sz w:val="22"/>
          <w:szCs w:val="22"/>
          <w:shd w:val="clear" w:color="auto" w:fill="FFFFFF"/>
        </w:rPr>
        <w:t xml:space="preserve">ay un rezago en la garantía y la protección de los derechos sexuales y reproductivos en los siguientes términos: </w:t>
      </w:r>
    </w:p>
    <w:p w14:paraId="0FD6A9B1" w14:textId="291621DE" w:rsidR="00F179DD" w:rsidRDefault="00F179DD" w:rsidP="00487884">
      <w:pPr>
        <w:pStyle w:val="Prrafodelista"/>
        <w:autoSpaceDE w:val="0"/>
        <w:autoSpaceDN w:val="0"/>
        <w:adjustRightInd w:val="0"/>
        <w:spacing w:line="276" w:lineRule="auto"/>
        <w:ind w:left="284"/>
        <w:jc w:val="both"/>
        <w:rPr>
          <w:rFonts w:ascii="Cambria" w:hAnsi="Cambria" w:cs="Arial"/>
          <w:color w:val="FF0000"/>
          <w:sz w:val="22"/>
          <w:szCs w:val="22"/>
          <w:shd w:val="clear" w:color="auto" w:fill="FFFFFF"/>
        </w:rPr>
      </w:pPr>
      <w:r w:rsidRPr="00487884">
        <w:rPr>
          <w:rFonts w:ascii="Cambria" w:hAnsi="Cambria" w:cs="Arial"/>
          <w:b/>
          <w:color w:val="000000" w:themeColor="text1"/>
          <w:sz w:val="22"/>
          <w:szCs w:val="22"/>
        </w:rPr>
        <w:t>i)</w:t>
      </w:r>
      <w:r w:rsidRPr="00487884">
        <w:rPr>
          <w:rFonts w:ascii="Cambria" w:hAnsi="Cambria" w:cs="Arial"/>
          <w:color w:val="000000" w:themeColor="text1"/>
          <w:sz w:val="22"/>
          <w:szCs w:val="22"/>
        </w:rPr>
        <w:t xml:space="preserve"> </w:t>
      </w:r>
      <w:r w:rsidRPr="00487884">
        <w:rPr>
          <w:rFonts w:ascii="Cambria" w:hAnsi="Cambria" w:cs="Arial"/>
          <w:color w:val="000000"/>
          <w:sz w:val="22"/>
          <w:szCs w:val="22"/>
          <w:shd w:val="clear" w:color="auto" w:fill="FFFFFF"/>
        </w:rPr>
        <w:t xml:space="preserve">Hay limitaciones presupuestarías, así como de recurso humano, para avanzar en las acciones de género, en especial en aquellas relacionadas con los derechos sexuales y </w:t>
      </w:r>
      <w:r w:rsidRPr="00487884">
        <w:rPr>
          <w:rFonts w:ascii="Cambria" w:hAnsi="Cambria" w:cs="Arial"/>
          <w:color w:val="000000"/>
          <w:sz w:val="22"/>
          <w:szCs w:val="22"/>
          <w:shd w:val="clear" w:color="auto" w:fill="FFFFFF"/>
        </w:rPr>
        <w:lastRenderedPageBreak/>
        <w:t>reproductivos. Si bien la Mesa Técnica de Género del Consejo Nacional de Reincorporación (CNR)</w:t>
      </w:r>
      <w:r w:rsidRPr="00487884">
        <w:rPr>
          <w:rStyle w:val="Refdenotaalpie"/>
          <w:rFonts w:ascii="Cambria" w:hAnsi="Cambria" w:cs="Arial"/>
          <w:color w:val="000000"/>
          <w:sz w:val="22"/>
          <w:szCs w:val="22"/>
          <w:shd w:val="clear" w:color="auto" w:fill="FFFFFF"/>
        </w:rPr>
        <w:footnoteReference w:id="25"/>
      </w:r>
      <w:r w:rsidRPr="00487884">
        <w:rPr>
          <w:rFonts w:ascii="Cambria" w:hAnsi="Cambria" w:cs="Arial"/>
          <w:color w:val="000000"/>
          <w:sz w:val="22"/>
          <w:szCs w:val="22"/>
          <w:shd w:val="clear" w:color="auto" w:fill="FFFFFF"/>
        </w:rPr>
        <w:t xml:space="preserve"> ha promovido la articulación y asignación de recursos para el tema, las demás entidades responsables a nivel nacional, no asignan recursos para llevar a cabo acciones y/o brindar una oferta institucional en materia de derechos sexuales y reproductivos</w:t>
      </w:r>
      <w:r w:rsidR="00206E87" w:rsidRPr="00487884">
        <w:rPr>
          <w:rFonts w:ascii="Cambria" w:hAnsi="Cambria" w:cs="Arial"/>
          <w:color w:val="000000"/>
          <w:sz w:val="22"/>
          <w:szCs w:val="22"/>
          <w:shd w:val="clear" w:color="auto" w:fill="FFFFFF"/>
        </w:rPr>
        <w:t xml:space="preserve">; </w:t>
      </w:r>
      <w:r w:rsidRPr="00487884">
        <w:rPr>
          <w:rFonts w:ascii="Cambria" w:hAnsi="Cambria" w:cs="Arial"/>
          <w:color w:val="000000"/>
          <w:sz w:val="22"/>
          <w:szCs w:val="22"/>
          <w:shd w:val="clear" w:color="auto" w:fill="FFFFFF"/>
        </w:rPr>
        <w:t xml:space="preserve">hay retrasos en la asignación de funcionarios/as </w:t>
      </w:r>
      <w:r w:rsidR="00206E87" w:rsidRPr="00487884">
        <w:rPr>
          <w:rFonts w:ascii="Cambria" w:hAnsi="Cambria" w:cs="Arial"/>
          <w:color w:val="000000"/>
          <w:sz w:val="22"/>
          <w:szCs w:val="22"/>
          <w:shd w:val="clear" w:color="auto" w:fill="FFFFFF"/>
        </w:rPr>
        <w:t>encargados del tema</w:t>
      </w:r>
      <w:r w:rsidRPr="00487884">
        <w:rPr>
          <w:rFonts w:ascii="Cambria" w:hAnsi="Cambria" w:cs="Arial"/>
          <w:color w:val="000000"/>
          <w:sz w:val="22"/>
          <w:szCs w:val="22"/>
          <w:shd w:val="clear" w:color="auto" w:fill="FFFFFF"/>
        </w:rPr>
        <w:t xml:space="preserve"> y en el cumplimiento de </w:t>
      </w:r>
      <w:r w:rsidR="00206E87" w:rsidRPr="00487884">
        <w:rPr>
          <w:rFonts w:ascii="Cambria" w:hAnsi="Cambria" w:cs="Arial"/>
          <w:color w:val="000000"/>
          <w:sz w:val="22"/>
          <w:szCs w:val="22"/>
          <w:shd w:val="clear" w:color="auto" w:fill="FFFFFF"/>
        </w:rPr>
        <w:t xml:space="preserve">los </w:t>
      </w:r>
      <w:r w:rsidRPr="00487884">
        <w:rPr>
          <w:rFonts w:ascii="Cambria" w:hAnsi="Cambria" w:cs="Arial"/>
          <w:color w:val="000000"/>
          <w:sz w:val="22"/>
          <w:szCs w:val="22"/>
          <w:shd w:val="clear" w:color="auto" w:fill="FFFFFF"/>
        </w:rPr>
        <w:t xml:space="preserve">compromisos </w:t>
      </w:r>
      <w:r w:rsidR="00206E87" w:rsidRPr="00487884">
        <w:rPr>
          <w:rFonts w:ascii="Cambria" w:hAnsi="Cambria" w:cs="Arial"/>
          <w:color w:val="000000"/>
          <w:sz w:val="22"/>
          <w:szCs w:val="22"/>
          <w:shd w:val="clear" w:color="auto" w:fill="FFFFFF"/>
        </w:rPr>
        <w:t>para lograr una articulación interinstitucional efectiva</w:t>
      </w:r>
      <w:r w:rsidR="002E267E" w:rsidRPr="00487884">
        <w:rPr>
          <w:rStyle w:val="Refdenotaalpie"/>
          <w:rFonts w:ascii="Cambria" w:hAnsi="Cambria" w:cs="Arial"/>
          <w:color w:val="000000"/>
          <w:sz w:val="22"/>
          <w:szCs w:val="22"/>
          <w:shd w:val="clear" w:color="auto" w:fill="FFFFFF"/>
        </w:rPr>
        <w:footnoteReference w:id="26"/>
      </w:r>
      <w:r w:rsidR="00BB356B" w:rsidRPr="00487884">
        <w:rPr>
          <w:rFonts w:ascii="Cambria" w:hAnsi="Cambria" w:cs="Arial"/>
          <w:color w:val="000000"/>
          <w:sz w:val="22"/>
          <w:szCs w:val="22"/>
          <w:shd w:val="clear" w:color="auto" w:fill="FFFFFF"/>
        </w:rPr>
        <w:t>.</w:t>
      </w:r>
      <w:r w:rsidRPr="00487884">
        <w:rPr>
          <w:rFonts w:ascii="Cambria" w:hAnsi="Cambria" w:cs="Arial"/>
          <w:color w:val="FF0000"/>
          <w:sz w:val="22"/>
          <w:szCs w:val="22"/>
          <w:shd w:val="clear" w:color="auto" w:fill="FFFFFF"/>
        </w:rPr>
        <w:t xml:space="preserve"> </w:t>
      </w:r>
    </w:p>
    <w:p w14:paraId="19C22BD5" w14:textId="77777777" w:rsidR="00487884" w:rsidRPr="00487884" w:rsidRDefault="00487884" w:rsidP="00487884">
      <w:pPr>
        <w:pStyle w:val="Prrafodelista"/>
        <w:autoSpaceDE w:val="0"/>
        <w:autoSpaceDN w:val="0"/>
        <w:adjustRightInd w:val="0"/>
        <w:spacing w:line="276" w:lineRule="auto"/>
        <w:ind w:left="284"/>
        <w:jc w:val="both"/>
        <w:rPr>
          <w:rFonts w:ascii="Cambria" w:hAnsi="Cambria" w:cs="Arial"/>
          <w:color w:val="000000"/>
          <w:sz w:val="22"/>
          <w:szCs w:val="22"/>
          <w:shd w:val="clear" w:color="auto" w:fill="FFFFFF"/>
        </w:rPr>
      </w:pPr>
    </w:p>
    <w:p w14:paraId="4B38D516" w14:textId="511E13B2" w:rsidR="00F179DD" w:rsidRDefault="00F179DD" w:rsidP="00487884">
      <w:pPr>
        <w:autoSpaceDE w:val="0"/>
        <w:autoSpaceDN w:val="0"/>
        <w:adjustRightInd w:val="0"/>
        <w:spacing w:line="276" w:lineRule="auto"/>
        <w:ind w:left="284"/>
        <w:jc w:val="both"/>
        <w:rPr>
          <w:rFonts w:ascii="Cambria" w:hAnsi="Cambria" w:cs="Arial"/>
          <w:color w:val="000000"/>
          <w:sz w:val="22"/>
          <w:szCs w:val="22"/>
          <w:shd w:val="clear" w:color="auto" w:fill="FFFFFF"/>
        </w:rPr>
      </w:pPr>
      <w:r w:rsidRPr="00487884">
        <w:rPr>
          <w:rFonts w:ascii="Cambria" w:hAnsi="Cambria" w:cs="Arial"/>
          <w:b/>
          <w:color w:val="000000"/>
          <w:sz w:val="22"/>
          <w:szCs w:val="22"/>
          <w:shd w:val="clear" w:color="auto" w:fill="FFFFFF"/>
        </w:rPr>
        <w:t>ii)</w:t>
      </w:r>
      <w:r w:rsidRPr="00487884">
        <w:rPr>
          <w:rFonts w:ascii="Cambria" w:hAnsi="Cambria" w:cs="Arial"/>
          <w:color w:val="000000"/>
          <w:sz w:val="22"/>
          <w:szCs w:val="22"/>
          <w:shd w:val="clear" w:color="auto" w:fill="FFFFFF"/>
        </w:rPr>
        <w:t xml:space="preserve"> Se han desarrollado brigadas de salud, ofreciendo atención en salud sexual y reproductiva en las zonas de reincorporación, en especial en los Antiguos Espacios Territoriales de Capacitación y Reincorporación (AETCR)</w:t>
      </w:r>
      <w:r w:rsidR="00EF3F11" w:rsidRPr="00487884">
        <w:rPr>
          <w:rStyle w:val="Refdenotaalpie"/>
          <w:rFonts w:ascii="Cambria" w:hAnsi="Cambria" w:cs="Arial"/>
          <w:color w:val="000000"/>
          <w:sz w:val="22"/>
          <w:szCs w:val="22"/>
          <w:shd w:val="clear" w:color="auto" w:fill="FFFFFF"/>
        </w:rPr>
        <w:footnoteReference w:id="27"/>
      </w:r>
      <w:r w:rsidRPr="00487884">
        <w:rPr>
          <w:rFonts w:ascii="Cambria" w:hAnsi="Cambria" w:cs="Arial"/>
          <w:color w:val="000000"/>
          <w:sz w:val="22"/>
          <w:szCs w:val="22"/>
          <w:shd w:val="clear" w:color="auto" w:fill="FFFFFF"/>
        </w:rPr>
        <w:t>.No obstante, no hay un seguimiento</w:t>
      </w:r>
      <w:r w:rsidR="00BB356B" w:rsidRPr="00487884">
        <w:rPr>
          <w:rFonts w:ascii="Cambria" w:hAnsi="Cambria" w:cs="Arial"/>
          <w:color w:val="000000"/>
          <w:sz w:val="22"/>
          <w:szCs w:val="22"/>
          <w:shd w:val="clear" w:color="auto" w:fill="FFFFFF"/>
        </w:rPr>
        <w:t xml:space="preserve"> posterior ni se garantiza una atención permanente que esté acorde a lo estipulado en la política pública de reincorporación</w:t>
      </w:r>
      <w:r w:rsidR="002C799B" w:rsidRPr="00487884">
        <w:rPr>
          <w:rFonts w:ascii="Cambria" w:hAnsi="Cambria" w:cs="Arial"/>
          <w:color w:val="000000"/>
          <w:sz w:val="22"/>
          <w:szCs w:val="22"/>
          <w:shd w:val="clear" w:color="auto" w:fill="FFFFFF"/>
        </w:rPr>
        <w:t xml:space="preserve">. </w:t>
      </w:r>
      <w:r w:rsidR="002C799B" w:rsidRPr="00487884">
        <w:rPr>
          <w:rStyle w:val="Refdenotaalpie"/>
          <w:rFonts w:ascii="Cambria" w:hAnsi="Cambria" w:cs="Arial"/>
          <w:color w:val="000000"/>
          <w:sz w:val="22"/>
          <w:szCs w:val="22"/>
          <w:shd w:val="clear" w:color="auto" w:fill="FFFFFF"/>
        </w:rPr>
        <w:footnoteReference w:id="28"/>
      </w:r>
      <w:r w:rsidRPr="00487884">
        <w:rPr>
          <w:rFonts w:ascii="Cambria" w:hAnsi="Cambria" w:cs="Arial"/>
          <w:color w:val="000000"/>
          <w:sz w:val="22"/>
          <w:szCs w:val="22"/>
          <w:shd w:val="clear" w:color="auto" w:fill="FFFFFF"/>
        </w:rPr>
        <w:t>Gran parte de estas brigadas se han orientado a los AETCR, desconociendo que más del 70% de la población reside en las Nuevas Áreas de Reincorporación (NAR)</w:t>
      </w:r>
      <w:r w:rsidR="002C799B" w:rsidRPr="00487884">
        <w:rPr>
          <w:rStyle w:val="Refdenotaalpie"/>
          <w:rFonts w:ascii="Cambria" w:hAnsi="Cambria" w:cs="Arial"/>
          <w:color w:val="000000"/>
          <w:sz w:val="22"/>
          <w:szCs w:val="22"/>
          <w:shd w:val="clear" w:color="auto" w:fill="FFFFFF"/>
        </w:rPr>
        <w:footnoteReference w:id="29"/>
      </w:r>
      <w:r w:rsidRPr="00487884">
        <w:rPr>
          <w:rFonts w:ascii="Cambria" w:hAnsi="Cambria" w:cs="Arial"/>
          <w:color w:val="000000"/>
          <w:sz w:val="22"/>
          <w:szCs w:val="22"/>
          <w:shd w:val="clear" w:color="auto" w:fill="FFFFFF"/>
        </w:rPr>
        <w:t>, en zonas dispersas y urbanas</w:t>
      </w:r>
      <w:r w:rsidR="002C799B" w:rsidRPr="00487884">
        <w:rPr>
          <w:rStyle w:val="Refdenotaalpie"/>
          <w:rFonts w:ascii="Cambria" w:hAnsi="Cambria" w:cs="Arial"/>
          <w:color w:val="000000"/>
          <w:sz w:val="22"/>
          <w:szCs w:val="22"/>
          <w:shd w:val="clear" w:color="auto" w:fill="FFFFFF"/>
        </w:rPr>
        <w:footnoteReference w:id="30"/>
      </w:r>
      <w:r w:rsidR="002C799B" w:rsidRPr="00487884">
        <w:rPr>
          <w:rFonts w:ascii="Cambria" w:hAnsi="Cambria" w:cs="Arial"/>
          <w:color w:val="000000"/>
          <w:sz w:val="22"/>
          <w:szCs w:val="22"/>
          <w:shd w:val="clear" w:color="auto" w:fill="FFFFFF"/>
        </w:rPr>
        <w:t>.</w:t>
      </w:r>
      <w:r w:rsidRPr="00487884">
        <w:rPr>
          <w:rFonts w:ascii="Cambria" w:hAnsi="Cambria" w:cs="Arial"/>
          <w:color w:val="000000"/>
          <w:sz w:val="22"/>
          <w:szCs w:val="22"/>
          <w:shd w:val="clear" w:color="auto" w:fill="FFFFFF"/>
        </w:rPr>
        <w:t xml:space="preserve"> </w:t>
      </w:r>
    </w:p>
    <w:p w14:paraId="49184D84" w14:textId="77777777" w:rsidR="00487884" w:rsidRPr="00487884" w:rsidRDefault="00487884" w:rsidP="00487884">
      <w:pPr>
        <w:autoSpaceDE w:val="0"/>
        <w:autoSpaceDN w:val="0"/>
        <w:adjustRightInd w:val="0"/>
        <w:spacing w:line="276" w:lineRule="auto"/>
        <w:ind w:left="284"/>
        <w:jc w:val="both"/>
        <w:rPr>
          <w:rFonts w:ascii="Cambria" w:hAnsi="Cambria" w:cs="Arial"/>
          <w:color w:val="000000"/>
          <w:sz w:val="22"/>
          <w:szCs w:val="22"/>
          <w:shd w:val="clear" w:color="auto" w:fill="FFFFFF"/>
        </w:rPr>
      </w:pPr>
    </w:p>
    <w:p w14:paraId="46B5DC0D" w14:textId="6B9D7C1C" w:rsidR="00F179DD" w:rsidRPr="00487884" w:rsidRDefault="00F179DD" w:rsidP="00487884">
      <w:pPr>
        <w:spacing w:line="276" w:lineRule="auto"/>
        <w:ind w:left="284"/>
        <w:jc w:val="both"/>
        <w:rPr>
          <w:rFonts w:ascii="Cambria" w:hAnsi="Cambria" w:cs="Arial"/>
          <w:sz w:val="22"/>
          <w:szCs w:val="22"/>
        </w:rPr>
      </w:pPr>
      <w:r w:rsidRPr="00487884">
        <w:rPr>
          <w:rFonts w:ascii="Cambria" w:hAnsi="Cambria" w:cs="Arial"/>
          <w:b/>
          <w:color w:val="000000"/>
          <w:sz w:val="22"/>
          <w:szCs w:val="22"/>
          <w:shd w:val="clear" w:color="auto" w:fill="FFFFFF"/>
        </w:rPr>
        <w:t>iii)</w:t>
      </w:r>
      <w:r w:rsidRPr="00487884">
        <w:rPr>
          <w:rFonts w:ascii="Cambria" w:hAnsi="Cambria" w:cs="Arial"/>
          <w:color w:val="000000"/>
          <w:sz w:val="22"/>
          <w:szCs w:val="22"/>
          <w:shd w:val="clear" w:color="auto" w:fill="FFFFFF"/>
        </w:rPr>
        <w:t xml:space="preserve"> Las excombatientes enfrentan barreras para acceder a la atención en salud sexual y reproductiva, en particular a la interrupción voluntaria del embrazo (IVE), toda vez que las zonas de reincorporación donde habitan suelen estar alejadas de los puestos de salud, no hay rutas de acceso </w:t>
      </w:r>
      <w:r w:rsidR="002C799B" w:rsidRPr="00487884">
        <w:rPr>
          <w:rFonts w:ascii="Cambria" w:hAnsi="Cambria" w:cs="Arial"/>
          <w:color w:val="000000"/>
          <w:sz w:val="22"/>
          <w:szCs w:val="22"/>
          <w:shd w:val="clear" w:color="auto" w:fill="FFFFFF"/>
        </w:rPr>
        <w:t>y/</w:t>
      </w:r>
      <w:r w:rsidRPr="00487884">
        <w:rPr>
          <w:rFonts w:ascii="Cambria" w:hAnsi="Cambria" w:cs="Arial"/>
          <w:color w:val="000000"/>
          <w:sz w:val="22"/>
          <w:szCs w:val="22"/>
          <w:shd w:val="clear" w:color="auto" w:fill="FFFFFF"/>
        </w:rPr>
        <w:t>o los desplazamientos tienen altos costos</w:t>
      </w:r>
      <w:r w:rsidR="002C799B" w:rsidRPr="00487884">
        <w:rPr>
          <w:rStyle w:val="Refdenotaalpie"/>
          <w:rFonts w:ascii="Cambria" w:hAnsi="Cambria" w:cs="Arial"/>
          <w:color w:val="000000"/>
          <w:sz w:val="22"/>
          <w:szCs w:val="22"/>
          <w:shd w:val="clear" w:color="auto" w:fill="FFFFFF"/>
        </w:rPr>
        <w:footnoteReference w:id="31"/>
      </w:r>
      <w:r w:rsidRPr="00487884">
        <w:rPr>
          <w:rFonts w:ascii="Cambria" w:hAnsi="Cambria" w:cs="Arial"/>
          <w:color w:val="000000"/>
          <w:sz w:val="22"/>
          <w:szCs w:val="22"/>
          <w:shd w:val="clear" w:color="auto" w:fill="FFFFFF"/>
        </w:rPr>
        <w:t xml:space="preserve">. Adicionalmente, hay un desconocimiento normativo sobre el derecho a la IVE, </w:t>
      </w:r>
      <w:r w:rsidR="002C799B" w:rsidRPr="00487884">
        <w:rPr>
          <w:rFonts w:ascii="Cambria" w:hAnsi="Cambria" w:cs="Arial"/>
          <w:color w:val="000000"/>
          <w:sz w:val="22"/>
          <w:szCs w:val="22"/>
          <w:shd w:val="clear" w:color="auto" w:fill="FFFFFF"/>
        </w:rPr>
        <w:t xml:space="preserve">toda vez que </w:t>
      </w:r>
      <w:r w:rsidRPr="00487884">
        <w:rPr>
          <w:rFonts w:ascii="Cambria" w:hAnsi="Cambria" w:cs="Arial"/>
          <w:color w:val="000000"/>
          <w:sz w:val="22"/>
          <w:szCs w:val="22"/>
          <w:shd w:val="clear" w:color="auto" w:fill="FFFFFF"/>
        </w:rPr>
        <w:t>en las capacitaciones sobre salud sexual y reproductiva no siempre se socializan las rutas para el acceso a la IVE, y hay una doble estigmatización</w:t>
      </w:r>
      <w:r w:rsidR="002C799B" w:rsidRPr="00487884">
        <w:rPr>
          <w:rFonts w:ascii="Cambria" w:hAnsi="Cambria" w:cs="Arial"/>
          <w:color w:val="000000"/>
          <w:sz w:val="22"/>
          <w:szCs w:val="22"/>
          <w:shd w:val="clear" w:color="auto" w:fill="FFFFFF"/>
        </w:rPr>
        <w:t xml:space="preserve"> que enfrentan</w:t>
      </w:r>
      <w:r w:rsidRPr="00487884">
        <w:rPr>
          <w:rFonts w:ascii="Cambria" w:hAnsi="Cambria" w:cs="Arial"/>
          <w:color w:val="000000"/>
          <w:sz w:val="22"/>
          <w:szCs w:val="22"/>
          <w:shd w:val="clear" w:color="auto" w:fill="FFFFFF"/>
        </w:rPr>
        <w:t xml:space="preserve"> por ser excombatientes</w:t>
      </w:r>
      <w:r w:rsidR="00BB356B" w:rsidRPr="00487884">
        <w:rPr>
          <w:rStyle w:val="Refdenotaalpie"/>
          <w:rFonts w:ascii="Cambria" w:hAnsi="Cambria" w:cs="Arial"/>
          <w:color w:val="000000"/>
          <w:sz w:val="22"/>
          <w:szCs w:val="22"/>
          <w:shd w:val="clear" w:color="auto" w:fill="FFFFFF"/>
        </w:rPr>
        <w:footnoteReference w:id="32"/>
      </w:r>
      <w:r w:rsidRPr="00487884">
        <w:rPr>
          <w:rFonts w:ascii="Cambria" w:hAnsi="Cambria" w:cs="Arial"/>
          <w:color w:val="000000"/>
          <w:sz w:val="22"/>
          <w:szCs w:val="22"/>
          <w:shd w:val="clear" w:color="auto" w:fill="FFFFFF"/>
        </w:rPr>
        <w:t>, lo cual lleva a la negación o retraso en el servicio</w:t>
      </w:r>
      <w:r w:rsidR="002C799B" w:rsidRPr="00487884">
        <w:rPr>
          <w:rStyle w:val="Refdenotaalpie"/>
          <w:rFonts w:ascii="Cambria" w:hAnsi="Cambria" w:cs="Arial"/>
          <w:color w:val="000000"/>
          <w:sz w:val="22"/>
          <w:szCs w:val="22"/>
          <w:shd w:val="clear" w:color="auto" w:fill="FFFFFF"/>
        </w:rPr>
        <w:footnoteReference w:id="33"/>
      </w:r>
      <w:r w:rsidR="00BB356B" w:rsidRPr="00487884">
        <w:rPr>
          <w:rFonts w:ascii="Cambria" w:hAnsi="Cambria" w:cs="Arial"/>
          <w:color w:val="000000"/>
          <w:sz w:val="22"/>
          <w:szCs w:val="22"/>
          <w:shd w:val="clear" w:color="auto" w:fill="FFFFFF"/>
        </w:rPr>
        <w:t>.</w:t>
      </w:r>
      <w:r w:rsidRPr="00487884">
        <w:rPr>
          <w:rFonts w:ascii="Cambria" w:hAnsi="Cambria" w:cs="Arial"/>
          <w:color w:val="000000"/>
          <w:sz w:val="22"/>
          <w:szCs w:val="22"/>
          <w:shd w:val="clear" w:color="auto" w:fill="FFFFFF"/>
        </w:rPr>
        <w:t xml:space="preserve"> </w:t>
      </w:r>
    </w:p>
    <w:p w14:paraId="475D9781" w14:textId="6F8C7FE3" w:rsidR="00FF15DA" w:rsidRDefault="00F179DD" w:rsidP="00487884">
      <w:pPr>
        <w:spacing w:line="276" w:lineRule="auto"/>
        <w:ind w:left="284"/>
        <w:jc w:val="both"/>
        <w:rPr>
          <w:rFonts w:ascii="Cambria" w:hAnsi="Cambria" w:cs="Arial"/>
          <w:color w:val="000000"/>
          <w:sz w:val="22"/>
          <w:szCs w:val="22"/>
          <w:shd w:val="clear" w:color="auto" w:fill="FFFFFF"/>
        </w:rPr>
      </w:pPr>
      <w:r w:rsidRPr="00487884">
        <w:rPr>
          <w:rFonts w:ascii="Cambria" w:hAnsi="Cambria" w:cs="Arial"/>
          <w:b/>
          <w:color w:val="000000"/>
          <w:sz w:val="22"/>
          <w:szCs w:val="22"/>
          <w:shd w:val="clear" w:color="auto" w:fill="FFFFFF"/>
        </w:rPr>
        <w:lastRenderedPageBreak/>
        <w:t>iv)</w:t>
      </w:r>
      <w:r w:rsidRPr="00487884">
        <w:rPr>
          <w:rFonts w:ascii="Cambria" w:hAnsi="Cambria" w:cs="Arial"/>
          <w:color w:val="000000"/>
          <w:sz w:val="22"/>
          <w:szCs w:val="22"/>
          <w:shd w:val="clear" w:color="auto" w:fill="FFFFFF"/>
        </w:rPr>
        <w:t xml:space="preserve"> Se brinda una oferta de anticonceptivos limitada</w:t>
      </w:r>
      <w:r w:rsidR="009D59D3" w:rsidRPr="00487884">
        <w:rPr>
          <w:rStyle w:val="Refdenotaalpie"/>
          <w:rFonts w:ascii="Cambria" w:hAnsi="Cambria" w:cs="Arial"/>
          <w:color w:val="000000"/>
          <w:sz w:val="22"/>
          <w:szCs w:val="22"/>
          <w:shd w:val="clear" w:color="auto" w:fill="FFFFFF"/>
        </w:rPr>
        <w:footnoteReference w:id="34"/>
      </w:r>
      <w:r w:rsidRPr="00487884">
        <w:rPr>
          <w:rFonts w:ascii="Cambria" w:hAnsi="Cambria" w:cs="Arial"/>
          <w:color w:val="000000"/>
          <w:sz w:val="22"/>
          <w:szCs w:val="22"/>
          <w:shd w:val="clear" w:color="auto" w:fill="FFFFFF"/>
        </w:rPr>
        <w:t>, Tampoco se ofrecen servicios a las familias y a otras personas que residen con ellas y que no son del proceso de reincorporación y/o no están afiliadas a la EPS</w:t>
      </w:r>
      <w:r w:rsidR="005673C9" w:rsidRPr="00487884">
        <w:rPr>
          <w:rStyle w:val="Refdenotaalpie"/>
          <w:rFonts w:ascii="Cambria" w:hAnsi="Cambria" w:cs="Arial"/>
          <w:color w:val="000000"/>
          <w:sz w:val="22"/>
          <w:szCs w:val="22"/>
          <w:shd w:val="clear" w:color="auto" w:fill="FFFFFF"/>
        </w:rPr>
        <w:footnoteReference w:id="35"/>
      </w:r>
      <w:r w:rsidRPr="00487884">
        <w:rPr>
          <w:rFonts w:ascii="Cambria" w:hAnsi="Cambria" w:cs="Arial"/>
          <w:color w:val="000000"/>
          <w:sz w:val="22"/>
          <w:szCs w:val="22"/>
          <w:shd w:val="clear" w:color="auto" w:fill="FFFFFF"/>
        </w:rPr>
        <w:t xml:space="preserve"> </w:t>
      </w:r>
    </w:p>
    <w:p w14:paraId="44629134" w14:textId="77777777" w:rsidR="00487884" w:rsidRPr="00487884" w:rsidRDefault="00487884" w:rsidP="00487884">
      <w:pPr>
        <w:spacing w:line="276" w:lineRule="auto"/>
        <w:ind w:left="284"/>
        <w:jc w:val="both"/>
        <w:rPr>
          <w:rFonts w:ascii="Cambria" w:hAnsi="Cambria" w:cs="Arial"/>
          <w:color w:val="000000"/>
          <w:sz w:val="22"/>
          <w:szCs w:val="22"/>
          <w:shd w:val="clear" w:color="auto" w:fill="FFFFFF"/>
        </w:rPr>
      </w:pPr>
    </w:p>
    <w:p w14:paraId="06FFAD29" w14:textId="36DCB270" w:rsidR="00FF15DA" w:rsidRPr="00487884" w:rsidRDefault="00360AAB" w:rsidP="00487884">
      <w:pPr>
        <w:spacing w:line="276" w:lineRule="auto"/>
        <w:ind w:left="284"/>
        <w:jc w:val="both"/>
        <w:rPr>
          <w:rFonts w:ascii="Cambria" w:hAnsi="Cambria" w:cs="Arial"/>
          <w:color w:val="000000"/>
          <w:sz w:val="22"/>
          <w:szCs w:val="22"/>
          <w:shd w:val="clear" w:color="auto" w:fill="FFFFFF"/>
        </w:rPr>
      </w:pPr>
      <w:r w:rsidRPr="00487884">
        <w:rPr>
          <w:rFonts w:ascii="Cambria" w:hAnsi="Cambria" w:cs="Arial"/>
          <w:b/>
          <w:color w:val="000000"/>
          <w:sz w:val="22"/>
          <w:szCs w:val="22"/>
          <w:shd w:val="clear" w:color="auto" w:fill="FFFFFF"/>
        </w:rPr>
        <w:t>v</w:t>
      </w:r>
      <w:r w:rsidR="00075AF8" w:rsidRPr="00487884">
        <w:rPr>
          <w:rFonts w:ascii="Cambria" w:hAnsi="Cambria" w:cs="Arial"/>
          <w:b/>
          <w:color w:val="000000"/>
          <w:sz w:val="22"/>
          <w:szCs w:val="22"/>
          <w:shd w:val="clear" w:color="auto" w:fill="FFFFFF"/>
        </w:rPr>
        <w:t>)</w:t>
      </w:r>
      <w:r w:rsidR="00075AF8" w:rsidRPr="00487884">
        <w:rPr>
          <w:rFonts w:ascii="Cambria" w:hAnsi="Cambria" w:cs="Arial"/>
          <w:color w:val="000000"/>
          <w:sz w:val="22"/>
          <w:szCs w:val="22"/>
          <w:shd w:val="clear" w:color="auto" w:fill="FFFFFF"/>
        </w:rPr>
        <w:t xml:space="preserve"> El Estado </w:t>
      </w:r>
      <w:r w:rsidR="00FF15DA" w:rsidRPr="00487884">
        <w:rPr>
          <w:rFonts w:ascii="Cambria" w:hAnsi="Cambria" w:cs="Arial"/>
          <w:color w:val="000000"/>
          <w:sz w:val="22"/>
          <w:szCs w:val="22"/>
          <w:shd w:val="clear" w:color="auto" w:fill="FFFFFF"/>
        </w:rPr>
        <w:t xml:space="preserve">no ha </w:t>
      </w:r>
      <w:r w:rsidR="00075AF8" w:rsidRPr="00487884">
        <w:rPr>
          <w:rFonts w:ascii="Cambria" w:hAnsi="Cambria" w:cs="Arial"/>
          <w:color w:val="000000"/>
          <w:sz w:val="22"/>
          <w:szCs w:val="22"/>
          <w:shd w:val="clear" w:color="auto" w:fill="FFFFFF"/>
        </w:rPr>
        <w:t xml:space="preserve">implementado acciones dentro del proceso de reincorporación para aportar al reconocimiento y la reparación de la violencia sexual y reproductiva que mujeres excombatientes soportaron al interior de los grupos armados. </w:t>
      </w:r>
      <w:r w:rsidR="00FF15DA" w:rsidRPr="00487884">
        <w:rPr>
          <w:rFonts w:ascii="Cambria" w:hAnsi="Cambria" w:cs="Arial"/>
          <w:color w:val="000000"/>
          <w:sz w:val="22"/>
          <w:szCs w:val="22"/>
          <w:shd w:val="clear" w:color="auto" w:fill="FFFFFF"/>
        </w:rPr>
        <w:t xml:space="preserve">Lo anterior, teniendo en consideración que </w:t>
      </w:r>
      <w:r w:rsidR="00FF15DA" w:rsidRPr="00487884">
        <w:rPr>
          <w:rFonts w:ascii="Cambria" w:hAnsi="Cambria" w:cs="Arial"/>
          <w:sz w:val="22"/>
          <w:szCs w:val="22"/>
        </w:rPr>
        <w:t>las mujeres combatientes “padecieron un control sobre sus cuerpos, justificado por la estructura del grupo en las condiciones de la guerra, que evidencia, en algunos casos, vulneraciones a los derechos reproductivos y al derecho a una vida libre de violencias, y que nos obliga a pensar en los impactos sobre sus cuerpos y sus proyectos de vida”</w:t>
      </w:r>
      <w:r w:rsidR="00FF15DA" w:rsidRPr="00487884">
        <w:rPr>
          <w:rStyle w:val="Refdenotaalpie"/>
          <w:rFonts w:ascii="Cambria" w:hAnsi="Cambria" w:cs="Arial"/>
          <w:sz w:val="22"/>
          <w:szCs w:val="22"/>
        </w:rPr>
        <w:footnoteReference w:id="36"/>
      </w:r>
    </w:p>
    <w:p w14:paraId="3167DB7B" w14:textId="77777777" w:rsidR="00075AF8" w:rsidRPr="00487884" w:rsidRDefault="00075AF8" w:rsidP="00487884">
      <w:pPr>
        <w:spacing w:line="276" w:lineRule="auto"/>
        <w:ind w:left="284"/>
        <w:rPr>
          <w:rFonts w:ascii="Cambria" w:hAnsi="Cambria" w:cs="Arial"/>
          <w:b/>
          <w:bCs/>
          <w:sz w:val="22"/>
          <w:szCs w:val="22"/>
        </w:rPr>
      </w:pPr>
    </w:p>
    <w:p w14:paraId="785BDEA3" w14:textId="774BF1DF" w:rsidR="00075AF8" w:rsidRPr="00487884" w:rsidRDefault="00075AF8" w:rsidP="00487884">
      <w:pPr>
        <w:spacing w:line="276" w:lineRule="auto"/>
        <w:ind w:left="284"/>
        <w:rPr>
          <w:rFonts w:ascii="Cambria" w:hAnsi="Cambria" w:cs="Arial"/>
          <w:b/>
          <w:bCs/>
          <w:sz w:val="22"/>
          <w:szCs w:val="22"/>
        </w:rPr>
      </w:pPr>
      <w:r w:rsidRPr="00487884">
        <w:rPr>
          <w:rFonts w:ascii="Cambria" w:hAnsi="Cambria" w:cs="Arial"/>
          <w:b/>
          <w:bCs/>
          <w:sz w:val="22"/>
          <w:szCs w:val="22"/>
        </w:rPr>
        <w:t>Párrafo 16</w:t>
      </w:r>
      <w:r w:rsidR="00A24E29">
        <w:rPr>
          <w:rFonts w:ascii="Cambria" w:hAnsi="Cambria" w:cs="Arial"/>
          <w:b/>
          <w:bCs/>
          <w:sz w:val="22"/>
          <w:szCs w:val="22"/>
        </w:rPr>
        <w:t xml:space="preserve"> </w:t>
      </w:r>
      <w:r w:rsidRPr="00487884">
        <w:rPr>
          <w:rFonts w:ascii="Cambria" w:hAnsi="Cambria" w:cs="Arial"/>
          <w:b/>
          <w:bCs/>
          <w:sz w:val="22"/>
          <w:szCs w:val="22"/>
        </w:rPr>
        <w:t xml:space="preserve">c) </w:t>
      </w:r>
    </w:p>
    <w:p w14:paraId="18132464" w14:textId="77777777" w:rsidR="00075AF8" w:rsidRPr="00487884" w:rsidRDefault="00075AF8" w:rsidP="00487884">
      <w:pPr>
        <w:pStyle w:val="Prrafodelista"/>
        <w:spacing w:line="276" w:lineRule="auto"/>
        <w:ind w:left="284"/>
        <w:jc w:val="both"/>
        <w:rPr>
          <w:rFonts w:ascii="Cambria" w:hAnsi="Cambria" w:cs="Arial"/>
          <w:sz w:val="22"/>
          <w:szCs w:val="22"/>
        </w:rPr>
      </w:pPr>
    </w:p>
    <w:p w14:paraId="65ED72DB" w14:textId="49CD9455" w:rsidR="003D4601" w:rsidRPr="00487884" w:rsidRDefault="00075AF8" w:rsidP="00487884">
      <w:pPr>
        <w:pStyle w:val="Prrafodelista"/>
        <w:numPr>
          <w:ilvl w:val="0"/>
          <w:numId w:val="1"/>
        </w:numPr>
        <w:spacing w:line="276" w:lineRule="auto"/>
        <w:ind w:left="284"/>
        <w:jc w:val="both"/>
        <w:rPr>
          <w:rFonts w:ascii="Cambria" w:hAnsi="Cambria" w:cs="Arial"/>
          <w:sz w:val="22"/>
          <w:szCs w:val="22"/>
        </w:rPr>
      </w:pPr>
      <w:r w:rsidRPr="00487884">
        <w:rPr>
          <w:rFonts w:ascii="Cambria" w:hAnsi="Cambria" w:cs="Arial"/>
          <w:sz w:val="22"/>
          <w:szCs w:val="22"/>
        </w:rPr>
        <w:t>En cuanto a la participación de las mujeres en la formulación de los PDET, organizaciones de mujeres identificaron dificultades en el proceso participativo</w:t>
      </w:r>
      <w:r w:rsidR="00D641C6" w:rsidRPr="00487884">
        <w:rPr>
          <w:rFonts w:ascii="Cambria" w:hAnsi="Cambria" w:cs="Arial"/>
          <w:sz w:val="22"/>
          <w:szCs w:val="22"/>
        </w:rPr>
        <w:t>. S</w:t>
      </w:r>
      <w:r w:rsidR="007613C7" w:rsidRPr="00487884">
        <w:rPr>
          <w:rFonts w:ascii="Cambria" w:hAnsi="Cambria" w:cs="Arial"/>
          <w:sz w:val="22"/>
          <w:szCs w:val="22"/>
        </w:rPr>
        <w:t>e ha</w:t>
      </w:r>
      <w:r w:rsidR="00D641C6" w:rsidRPr="00487884">
        <w:rPr>
          <w:rFonts w:ascii="Cambria" w:hAnsi="Cambria" w:cs="Arial"/>
          <w:sz w:val="22"/>
          <w:szCs w:val="22"/>
        </w:rPr>
        <w:t>n</w:t>
      </w:r>
      <w:r w:rsidR="007613C7" w:rsidRPr="00487884">
        <w:rPr>
          <w:rFonts w:ascii="Cambria" w:hAnsi="Cambria" w:cs="Arial"/>
          <w:sz w:val="22"/>
          <w:szCs w:val="22"/>
        </w:rPr>
        <w:t xml:space="preserve"> resaltado las </w:t>
      </w:r>
      <w:r w:rsidRPr="00487884">
        <w:rPr>
          <w:rFonts w:ascii="Cambria" w:hAnsi="Cambria" w:cs="Arial"/>
          <w:sz w:val="22"/>
          <w:szCs w:val="22"/>
        </w:rPr>
        <w:t>falencias para su participación “</w:t>
      </w:r>
      <w:r w:rsidRPr="00487884">
        <w:rPr>
          <w:rFonts w:ascii="Cambria" w:hAnsi="Cambria" w:cs="Arial"/>
          <w:color w:val="000000"/>
          <w:sz w:val="22"/>
          <w:szCs w:val="22"/>
          <w:shd w:val="clear" w:color="auto" w:fill="FFFFFF"/>
        </w:rPr>
        <w:t>de forma igualitaria a las discusiones,</w:t>
      </w:r>
      <w:r w:rsidR="00FF15DA" w:rsidRPr="00487884">
        <w:rPr>
          <w:rFonts w:ascii="Cambria" w:hAnsi="Cambria" w:cs="Arial"/>
          <w:color w:val="000000"/>
          <w:sz w:val="22"/>
          <w:szCs w:val="22"/>
          <w:shd w:val="clear" w:color="auto" w:fill="FFFFFF"/>
        </w:rPr>
        <w:t xml:space="preserve"> </w:t>
      </w:r>
      <w:r w:rsidRPr="00487884">
        <w:rPr>
          <w:rFonts w:ascii="Cambria" w:hAnsi="Cambria" w:cs="Arial"/>
          <w:color w:val="000000"/>
          <w:sz w:val="22"/>
          <w:szCs w:val="22"/>
          <w:shd w:val="clear" w:color="auto" w:fill="FFFFFF"/>
        </w:rPr>
        <w:t>el uso de lenguaje técnico por parte de los funcionarios, que derivó en la modificación de las iniciativas redactadas originalmente por las mujeres</w:t>
      </w:r>
      <w:r w:rsidR="007B4B50" w:rsidRPr="00487884">
        <w:rPr>
          <w:rFonts w:ascii="Cambria" w:hAnsi="Cambria" w:cs="Arial"/>
          <w:color w:val="000000"/>
          <w:sz w:val="22"/>
          <w:szCs w:val="22"/>
          <w:shd w:val="clear" w:color="auto" w:fill="FFFFFF"/>
        </w:rPr>
        <w:t xml:space="preserve"> [y]</w:t>
      </w:r>
      <w:r w:rsidR="00F42AA1" w:rsidRPr="00487884">
        <w:rPr>
          <w:rFonts w:ascii="Cambria" w:hAnsi="Cambria" w:cs="Arial"/>
          <w:color w:val="000000"/>
          <w:sz w:val="22"/>
          <w:szCs w:val="22"/>
          <w:shd w:val="clear" w:color="auto" w:fill="FFFFFF"/>
        </w:rPr>
        <w:t xml:space="preserve"> vacíos pedagógicos</w:t>
      </w:r>
      <w:r w:rsidR="00FF15DA" w:rsidRPr="00487884">
        <w:rPr>
          <w:rFonts w:ascii="Cambria" w:hAnsi="Cambria" w:cs="Arial"/>
          <w:color w:val="000000"/>
          <w:sz w:val="22"/>
          <w:szCs w:val="22"/>
          <w:shd w:val="clear" w:color="auto" w:fill="FFFFFF"/>
        </w:rPr>
        <w:t xml:space="preserve"> sobre el funcionamiento de los PDET”</w:t>
      </w:r>
      <w:r w:rsidR="00FF15DA" w:rsidRPr="00487884">
        <w:rPr>
          <w:rStyle w:val="Refdenotaalpie"/>
          <w:rFonts w:ascii="Cambria" w:hAnsi="Cambria" w:cs="Arial"/>
          <w:color w:val="000000"/>
          <w:sz w:val="22"/>
          <w:szCs w:val="22"/>
          <w:shd w:val="clear" w:color="auto" w:fill="FFFFFF"/>
        </w:rPr>
        <w:footnoteReference w:id="37"/>
      </w:r>
      <w:r w:rsidR="00FF15DA" w:rsidRPr="00487884">
        <w:rPr>
          <w:rFonts w:ascii="Cambria" w:hAnsi="Cambria" w:cs="Arial"/>
          <w:color w:val="000000"/>
          <w:sz w:val="22"/>
          <w:szCs w:val="22"/>
          <w:shd w:val="clear" w:color="auto" w:fill="FFFFFF"/>
        </w:rPr>
        <w:t xml:space="preserve">. </w:t>
      </w:r>
      <w:r w:rsidR="009D59D3" w:rsidRPr="00487884">
        <w:rPr>
          <w:rFonts w:ascii="Cambria" w:hAnsi="Cambria" w:cs="Arial"/>
          <w:color w:val="000000"/>
          <w:sz w:val="22"/>
          <w:szCs w:val="22"/>
          <w:shd w:val="clear" w:color="auto" w:fill="FFFFFF"/>
        </w:rPr>
        <w:t>D</w:t>
      </w:r>
      <w:r w:rsidR="00D641C6" w:rsidRPr="00487884">
        <w:rPr>
          <w:rFonts w:ascii="Cambria" w:hAnsi="Cambria" w:cs="Arial"/>
          <w:color w:val="000000"/>
          <w:sz w:val="22"/>
          <w:szCs w:val="22"/>
          <w:shd w:val="clear" w:color="auto" w:fill="FFFFFF"/>
        </w:rPr>
        <w:t xml:space="preserve">ichas dificultades se relacionan con </w:t>
      </w:r>
      <w:r w:rsidR="00D641C6" w:rsidRPr="00487884">
        <w:rPr>
          <w:rFonts w:ascii="Cambria" w:hAnsi="Cambria" w:cs="Arial"/>
          <w:sz w:val="22"/>
          <w:szCs w:val="22"/>
        </w:rPr>
        <w:t>las barreras que comúnmente enfrentan las mujeres en los espacios de decisiones como: los estereotipos sobre los roles de las mujeres, menor acceso a educación y capacitación y menor conocimiento de los mecanismos de participación ciudadana</w:t>
      </w:r>
      <w:r w:rsidR="00D641C6" w:rsidRPr="00487884">
        <w:rPr>
          <w:rStyle w:val="Refdenotaalpie"/>
          <w:rFonts w:ascii="Cambria" w:hAnsi="Cambria" w:cs="Arial"/>
          <w:sz w:val="22"/>
          <w:szCs w:val="22"/>
        </w:rPr>
        <w:footnoteReference w:id="38"/>
      </w:r>
      <w:r w:rsidR="00D641C6" w:rsidRPr="00487884">
        <w:rPr>
          <w:rFonts w:ascii="Cambria" w:hAnsi="Cambria" w:cs="Arial"/>
          <w:sz w:val="22"/>
          <w:szCs w:val="22"/>
        </w:rPr>
        <w:t>.</w:t>
      </w:r>
    </w:p>
    <w:p w14:paraId="25433501" w14:textId="77777777" w:rsidR="003D4601" w:rsidRPr="00487884" w:rsidRDefault="003D4601" w:rsidP="00487884">
      <w:pPr>
        <w:pStyle w:val="Prrafodelista"/>
        <w:spacing w:line="276" w:lineRule="auto"/>
        <w:ind w:left="284"/>
        <w:jc w:val="both"/>
        <w:rPr>
          <w:rFonts w:ascii="Cambria" w:hAnsi="Cambria" w:cs="Arial"/>
          <w:sz w:val="22"/>
          <w:szCs w:val="22"/>
        </w:rPr>
      </w:pPr>
    </w:p>
    <w:p w14:paraId="7E19440F" w14:textId="7265BB44" w:rsidR="00915A94" w:rsidRPr="00487884" w:rsidRDefault="00075AF8" w:rsidP="00487884">
      <w:pPr>
        <w:pStyle w:val="Prrafodelista"/>
        <w:numPr>
          <w:ilvl w:val="0"/>
          <w:numId w:val="1"/>
        </w:numPr>
        <w:spacing w:line="276" w:lineRule="auto"/>
        <w:ind w:left="284"/>
        <w:jc w:val="both"/>
        <w:rPr>
          <w:rFonts w:ascii="Cambria" w:hAnsi="Cambria" w:cs="Arial"/>
          <w:sz w:val="22"/>
          <w:szCs w:val="22"/>
        </w:rPr>
      </w:pPr>
      <w:r w:rsidRPr="00487884">
        <w:rPr>
          <w:rFonts w:ascii="Cambria" w:hAnsi="Cambria" w:cs="Arial"/>
          <w:color w:val="000000"/>
          <w:sz w:val="22"/>
          <w:szCs w:val="22"/>
          <w:shd w:val="clear" w:color="auto" w:fill="FFFFFF"/>
        </w:rPr>
        <w:t>Adicionalmente, aún falta información sobre cómo se han incluido las iniciativas con enfoque de género en la puesta en marcha de las Hojas de Ruta</w:t>
      </w:r>
      <w:r w:rsidR="007B4B50" w:rsidRPr="00487884">
        <w:rPr>
          <w:rFonts w:ascii="Cambria" w:hAnsi="Cambria" w:cs="Arial"/>
          <w:color w:val="000000"/>
          <w:sz w:val="22"/>
          <w:szCs w:val="22"/>
          <w:shd w:val="clear" w:color="auto" w:fill="FFFFFF"/>
        </w:rPr>
        <w:t xml:space="preserve"> de los PDET</w:t>
      </w:r>
      <w:r w:rsidR="00915A94" w:rsidRPr="00487884">
        <w:rPr>
          <w:rFonts w:ascii="Cambria" w:hAnsi="Cambria" w:cs="Arial"/>
          <w:color w:val="000000"/>
          <w:sz w:val="22"/>
          <w:szCs w:val="22"/>
          <w:shd w:val="clear" w:color="auto" w:fill="FFFFFF"/>
        </w:rPr>
        <w:t xml:space="preserve">. </w:t>
      </w:r>
      <w:r w:rsidR="009D59D3" w:rsidRPr="00487884">
        <w:rPr>
          <w:rFonts w:ascii="Cambria" w:hAnsi="Cambria" w:cs="Arial"/>
          <w:color w:val="000000"/>
          <w:sz w:val="22"/>
          <w:szCs w:val="22"/>
          <w:shd w:val="clear" w:color="auto" w:fill="FFFFFF"/>
        </w:rPr>
        <w:t>Sumado a</w:t>
      </w:r>
      <w:r w:rsidR="00915A94" w:rsidRPr="00487884">
        <w:rPr>
          <w:rFonts w:ascii="Cambria" w:hAnsi="Cambria" w:cs="Arial"/>
          <w:color w:val="000000"/>
          <w:sz w:val="22"/>
          <w:szCs w:val="22"/>
          <w:shd w:val="clear" w:color="auto" w:fill="FFFFFF"/>
        </w:rPr>
        <w:t xml:space="preserve"> la incertidumbre sobre cómo </w:t>
      </w:r>
      <w:r w:rsidR="00D641C6" w:rsidRPr="00487884">
        <w:rPr>
          <w:rFonts w:ascii="Cambria" w:hAnsi="Cambria" w:cs="Arial"/>
          <w:color w:val="000000"/>
          <w:sz w:val="22"/>
          <w:szCs w:val="22"/>
          <w:shd w:val="clear" w:color="auto" w:fill="FFFFFF"/>
        </w:rPr>
        <w:t>dichas iniciativas, aún cuando hayan sido incluidas dentro de los Planes de Desarrollo Territorial</w:t>
      </w:r>
      <w:r w:rsidR="009D59D3" w:rsidRPr="00487884">
        <w:rPr>
          <w:rFonts w:ascii="Cambria" w:hAnsi="Cambria" w:cs="Arial"/>
          <w:color w:val="000000"/>
          <w:sz w:val="22"/>
          <w:szCs w:val="22"/>
          <w:shd w:val="clear" w:color="auto" w:fill="FFFFFF"/>
        </w:rPr>
        <w:t>es</w:t>
      </w:r>
      <w:r w:rsidR="00D641C6" w:rsidRPr="00487884">
        <w:rPr>
          <w:rFonts w:ascii="Cambria" w:hAnsi="Cambria" w:cs="Arial"/>
          <w:color w:val="000000"/>
          <w:sz w:val="22"/>
          <w:szCs w:val="22"/>
          <w:shd w:val="clear" w:color="auto" w:fill="FFFFFF"/>
        </w:rPr>
        <w:t>, se traducen a una ejecución efectiva, con asignación</w:t>
      </w:r>
      <w:r w:rsidR="00915A94" w:rsidRPr="00487884">
        <w:rPr>
          <w:rFonts w:ascii="Cambria" w:hAnsi="Cambria" w:cs="Arial"/>
          <w:color w:val="000000"/>
          <w:sz w:val="22"/>
          <w:szCs w:val="22"/>
          <w:shd w:val="clear" w:color="auto" w:fill="FFFFFF"/>
        </w:rPr>
        <w:t xml:space="preserve"> de presupuesto, contratación </w:t>
      </w:r>
      <w:r w:rsidR="00D641C6" w:rsidRPr="00487884">
        <w:rPr>
          <w:rFonts w:ascii="Cambria" w:hAnsi="Cambria" w:cs="Arial"/>
          <w:color w:val="000000"/>
          <w:sz w:val="22"/>
          <w:szCs w:val="22"/>
          <w:shd w:val="clear" w:color="auto" w:fill="FFFFFF"/>
        </w:rPr>
        <w:t>de personal</w:t>
      </w:r>
      <w:r w:rsidR="00915A94" w:rsidRPr="00487884">
        <w:rPr>
          <w:rFonts w:ascii="Cambria" w:hAnsi="Cambria" w:cs="Arial"/>
          <w:color w:val="000000"/>
          <w:sz w:val="22"/>
          <w:szCs w:val="22"/>
          <w:shd w:val="clear" w:color="auto" w:fill="FFFFFF"/>
        </w:rPr>
        <w:t xml:space="preserve">, rendición de cuentas y una constante participación de las comunidades y en particular de las mujeres en </w:t>
      </w:r>
      <w:r w:rsidR="00D641C6" w:rsidRPr="00487884">
        <w:rPr>
          <w:rFonts w:ascii="Cambria" w:hAnsi="Cambria" w:cs="Arial"/>
          <w:color w:val="000000"/>
          <w:sz w:val="22"/>
          <w:szCs w:val="22"/>
          <w:shd w:val="clear" w:color="auto" w:fill="FFFFFF"/>
        </w:rPr>
        <w:t xml:space="preserve">procesos de </w:t>
      </w:r>
      <w:r w:rsidR="00915A94" w:rsidRPr="00487884">
        <w:rPr>
          <w:rFonts w:ascii="Cambria" w:hAnsi="Cambria" w:cs="Arial"/>
          <w:color w:val="000000"/>
          <w:sz w:val="22"/>
          <w:szCs w:val="22"/>
          <w:shd w:val="clear" w:color="auto" w:fill="FFFFFF"/>
        </w:rPr>
        <w:t>veeduría y seguimiento</w:t>
      </w:r>
      <w:r w:rsidR="00D641C6" w:rsidRPr="00487884">
        <w:rPr>
          <w:rStyle w:val="Refdenotaalpie"/>
          <w:rFonts w:ascii="Cambria" w:hAnsi="Cambria" w:cs="Arial"/>
          <w:color w:val="000000"/>
          <w:sz w:val="22"/>
          <w:szCs w:val="22"/>
          <w:shd w:val="clear" w:color="auto" w:fill="FFFFFF"/>
        </w:rPr>
        <w:footnoteReference w:id="39"/>
      </w:r>
      <w:r w:rsidR="00915A94" w:rsidRPr="00487884">
        <w:rPr>
          <w:rFonts w:ascii="Cambria" w:hAnsi="Cambria" w:cs="Arial"/>
          <w:color w:val="000000"/>
          <w:sz w:val="22"/>
          <w:szCs w:val="22"/>
          <w:shd w:val="clear" w:color="auto" w:fill="FFFFFF"/>
        </w:rPr>
        <w:t xml:space="preserve">. </w:t>
      </w:r>
    </w:p>
    <w:p w14:paraId="16D7EDA5" w14:textId="77777777" w:rsidR="00915A94" w:rsidRPr="00487884" w:rsidRDefault="00915A94" w:rsidP="00487884">
      <w:pPr>
        <w:spacing w:line="276" w:lineRule="auto"/>
        <w:ind w:left="284"/>
        <w:jc w:val="both"/>
        <w:rPr>
          <w:rFonts w:ascii="Cambria" w:hAnsi="Cambria" w:cs="Arial"/>
          <w:sz w:val="22"/>
          <w:szCs w:val="22"/>
        </w:rPr>
      </w:pPr>
    </w:p>
    <w:p w14:paraId="3AD5A561" w14:textId="7F679C69" w:rsidR="00075AF8" w:rsidRPr="00487884" w:rsidRDefault="00075AF8" w:rsidP="00487884">
      <w:pPr>
        <w:pStyle w:val="Prrafodelista"/>
        <w:numPr>
          <w:ilvl w:val="0"/>
          <w:numId w:val="1"/>
        </w:numPr>
        <w:spacing w:line="276" w:lineRule="auto"/>
        <w:ind w:left="284"/>
        <w:jc w:val="both"/>
        <w:rPr>
          <w:rFonts w:ascii="Cambria" w:hAnsi="Cambria" w:cs="Arial"/>
          <w:color w:val="000000" w:themeColor="text1"/>
          <w:sz w:val="22"/>
          <w:szCs w:val="22"/>
        </w:rPr>
      </w:pPr>
      <w:r w:rsidRPr="00487884">
        <w:rPr>
          <w:rFonts w:ascii="Cambria" w:hAnsi="Cambria" w:cs="Arial"/>
          <w:color w:val="000000" w:themeColor="text1"/>
          <w:sz w:val="22"/>
          <w:szCs w:val="22"/>
          <w:shd w:val="clear" w:color="auto" w:fill="FFFFFF"/>
        </w:rPr>
        <w:lastRenderedPageBreak/>
        <w:t xml:space="preserve">La atención en materia de salud sexual y reproductiva es vital para la transformación de las zonas más afectadas por el conflicto armado, la pobreza y la precariedad estatal. No obstante, no hay claridad sobre la </w:t>
      </w:r>
      <w:r w:rsidRPr="00487884">
        <w:rPr>
          <w:rFonts w:ascii="Cambria" w:hAnsi="Cambria" w:cs="Arial"/>
          <w:color w:val="000000"/>
          <w:sz w:val="22"/>
          <w:szCs w:val="22"/>
          <w:shd w:val="clear" w:color="auto" w:fill="FFFFFF"/>
        </w:rPr>
        <w:t xml:space="preserve">priorización y avance en la implementación </w:t>
      </w:r>
      <w:r w:rsidRPr="00487884">
        <w:rPr>
          <w:rFonts w:ascii="Cambria" w:hAnsi="Cambria" w:cs="Arial"/>
          <w:color w:val="000000" w:themeColor="text1"/>
          <w:sz w:val="22"/>
          <w:szCs w:val="22"/>
        </w:rPr>
        <w:t xml:space="preserve">de iniciativas con </w:t>
      </w:r>
      <w:r w:rsidR="00D641C6" w:rsidRPr="00487884">
        <w:rPr>
          <w:rFonts w:ascii="Cambria" w:hAnsi="Cambria" w:cs="Arial"/>
          <w:color w:val="000000" w:themeColor="text1"/>
          <w:sz w:val="22"/>
          <w:szCs w:val="22"/>
        </w:rPr>
        <w:t>enfoque</w:t>
      </w:r>
      <w:r w:rsidRPr="00487884">
        <w:rPr>
          <w:rFonts w:ascii="Cambria" w:hAnsi="Cambria" w:cs="Arial"/>
          <w:color w:val="000000" w:themeColor="text1"/>
          <w:sz w:val="22"/>
          <w:szCs w:val="22"/>
        </w:rPr>
        <w:t xml:space="preserve"> género del </w:t>
      </w:r>
      <w:r w:rsidRPr="00487884">
        <w:rPr>
          <w:rFonts w:ascii="Cambria" w:hAnsi="Cambria" w:cs="Arial"/>
          <w:color w:val="000000"/>
          <w:sz w:val="22"/>
          <w:szCs w:val="22"/>
          <w:shd w:val="clear" w:color="auto" w:fill="FFFFFF"/>
        </w:rPr>
        <w:t>Pilar 3 sobre salud rural de los PDET</w:t>
      </w:r>
      <w:r w:rsidRPr="00487884">
        <w:rPr>
          <w:rFonts w:ascii="Cambria" w:hAnsi="Cambria" w:cs="Arial"/>
          <w:color w:val="000000" w:themeColor="text1"/>
          <w:sz w:val="22"/>
          <w:szCs w:val="22"/>
        </w:rPr>
        <w:t>,</w:t>
      </w:r>
      <w:r w:rsidRPr="00487884">
        <w:rPr>
          <w:rFonts w:ascii="Cambria" w:hAnsi="Cambria" w:cs="Arial"/>
          <w:color w:val="000000"/>
          <w:sz w:val="22"/>
          <w:szCs w:val="22"/>
          <w:shd w:val="clear" w:color="auto" w:fill="FFFFFF"/>
        </w:rPr>
        <w:t xml:space="preserve"> </w:t>
      </w:r>
      <w:r w:rsidRPr="00487884">
        <w:rPr>
          <w:rFonts w:ascii="Cambria" w:hAnsi="Cambria" w:cs="Arial"/>
          <w:color w:val="000000" w:themeColor="text1"/>
          <w:sz w:val="22"/>
          <w:szCs w:val="22"/>
        </w:rPr>
        <w:t>lo cual es necesario teniendo en cuenta que “</w:t>
      </w:r>
      <w:r w:rsidRPr="00487884">
        <w:rPr>
          <w:rFonts w:ascii="Cambria" w:hAnsi="Cambria" w:cs="Arial"/>
          <w:color w:val="000000" w:themeColor="text1"/>
          <w:sz w:val="22"/>
          <w:szCs w:val="22"/>
          <w:shd w:val="clear" w:color="auto" w:fill="FFFFFF"/>
        </w:rPr>
        <w:t>en las zonas PDET hay una mayor tasa de fecundidad de niñez y se presenta un aumento de la violencia basada en género, en comparación con el resto del país”</w:t>
      </w:r>
      <w:r w:rsidR="00D641C6" w:rsidRPr="00487884">
        <w:rPr>
          <w:rStyle w:val="Refdenotaalpie"/>
          <w:rFonts w:ascii="Cambria" w:hAnsi="Cambria" w:cs="Arial"/>
          <w:color w:val="000000" w:themeColor="text1"/>
          <w:sz w:val="22"/>
          <w:szCs w:val="22"/>
          <w:shd w:val="clear" w:color="auto" w:fill="FFFFFF"/>
        </w:rPr>
        <w:footnoteReference w:id="40"/>
      </w:r>
      <w:r w:rsidRPr="00487884">
        <w:rPr>
          <w:rFonts w:ascii="Cambria" w:hAnsi="Cambria" w:cs="Arial"/>
          <w:color w:val="000000" w:themeColor="text1"/>
          <w:sz w:val="22"/>
          <w:szCs w:val="22"/>
          <w:shd w:val="clear" w:color="auto" w:fill="FFFFFF"/>
        </w:rPr>
        <w:t xml:space="preserve"> Llama la atención entonces que en</w:t>
      </w:r>
      <w:r w:rsidR="00D641C6" w:rsidRPr="00487884">
        <w:rPr>
          <w:rFonts w:ascii="Cambria" w:hAnsi="Cambria" w:cs="Arial"/>
          <w:color w:val="000000" w:themeColor="text1"/>
          <w:sz w:val="22"/>
          <w:szCs w:val="22"/>
          <w:shd w:val="clear" w:color="auto" w:fill="FFFFFF"/>
        </w:rPr>
        <w:t xml:space="preserve"> los PATR de las</w:t>
      </w:r>
      <w:r w:rsidRPr="00487884">
        <w:rPr>
          <w:rFonts w:ascii="Cambria" w:hAnsi="Cambria" w:cs="Arial"/>
          <w:color w:val="000000" w:themeColor="text1"/>
          <w:sz w:val="22"/>
          <w:szCs w:val="22"/>
          <w:shd w:val="clear" w:color="auto" w:fill="FFFFFF"/>
        </w:rPr>
        <w:t xml:space="preserve"> subregiones con mayor concentración de iniciativas con marca</w:t>
      </w:r>
      <w:r w:rsidR="00D641C6" w:rsidRPr="00487884">
        <w:rPr>
          <w:rFonts w:ascii="Cambria" w:hAnsi="Cambria" w:cs="Arial"/>
          <w:color w:val="000000" w:themeColor="text1"/>
          <w:sz w:val="22"/>
          <w:szCs w:val="22"/>
          <w:shd w:val="clear" w:color="auto" w:fill="FFFFFF"/>
        </w:rPr>
        <w:t xml:space="preserve">dor </w:t>
      </w:r>
      <w:r w:rsidRPr="00487884">
        <w:rPr>
          <w:rFonts w:ascii="Cambria" w:hAnsi="Cambria" w:cs="Arial"/>
          <w:color w:val="000000" w:themeColor="text1"/>
          <w:sz w:val="22"/>
          <w:szCs w:val="22"/>
          <w:shd w:val="clear" w:color="auto" w:fill="FFFFFF"/>
        </w:rPr>
        <w:t xml:space="preserve">de género como </w:t>
      </w:r>
      <w:r w:rsidRPr="00487884">
        <w:rPr>
          <w:rFonts w:ascii="Cambria" w:hAnsi="Cambria" w:cs="Arial"/>
          <w:sz w:val="22"/>
          <w:szCs w:val="22"/>
        </w:rPr>
        <w:t>Alto Patía (26,84%) y Montes de María (12,09%)</w:t>
      </w:r>
      <w:r w:rsidR="00D641C6" w:rsidRPr="00487884">
        <w:rPr>
          <w:rStyle w:val="Refdenotaalpie"/>
          <w:rFonts w:ascii="Cambria" w:hAnsi="Cambria" w:cs="Arial"/>
          <w:color w:val="000000"/>
          <w:sz w:val="22"/>
          <w:szCs w:val="22"/>
          <w:shd w:val="clear" w:color="auto" w:fill="FFFFFF"/>
        </w:rPr>
        <w:footnoteReference w:id="41"/>
      </w:r>
      <w:r w:rsidRPr="00487884">
        <w:rPr>
          <w:rFonts w:ascii="Cambria" w:hAnsi="Cambria" w:cs="Arial"/>
          <w:sz w:val="22"/>
          <w:szCs w:val="22"/>
        </w:rPr>
        <w:t xml:space="preserve">, se definieron solo dos iniciativas relacionadas con la salud sexual y reproductiva. Para el caso de Montes de María, </w:t>
      </w:r>
      <w:r w:rsidR="003D4601" w:rsidRPr="00487884">
        <w:rPr>
          <w:rFonts w:ascii="Cambria" w:hAnsi="Cambria" w:cs="Arial"/>
          <w:sz w:val="22"/>
          <w:szCs w:val="22"/>
        </w:rPr>
        <w:t>en 2018 un centro de investigaciones de la sociedad civil señaló</w:t>
      </w:r>
      <w:r w:rsidR="003D4601" w:rsidRPr="00487884">
        <w:rPr>
          <w:rFonts w:ascii="Cambria" w:hAnsi="Cambria"/>
          <w:sz w:val="22"/>
          <w:szCs w:val="22"/>
        </w:rPr>
        <w:t xml:space="preserve"> </w:t>
      </w:r>
      <w:r w:rsidRPr="00487884">
        <w:rPr>
          <w:rFonts w:ascii="Cambria" w:hAnsi="Cambria" w:cs="Arial"/>
          <w:sz w:val="22"/>
          <w:szCs w:val="22"/>
        </w:rPr>
        <w:t xml:space="preserve">que </w:t>
      </w:r>
      <w:r w:rsidRPr="00487884">
        <w:rPr>
          <w:rFonts w:ascii="Cambria" w:hAnsi="Cambria" w:cs="Arial"/>
          <w:color w:val="000000" w:themeColor="text1"/>
          <w:sz w:val="22"/>
          <w:szCs w:val="22"/>
        </w:rPr>
        <w:t>“en los 15 municipio</w:t>
      </w:r>
      <w:r w:rsidR="00593EED" w:rsidRPr="00487884">
        <w:rPr>
          <w:rFonts w:ascii="Cambria" w:hAnsi="Cambria" w:cs="Arial"/>
          <w:color w:val="000000" w:themeColor="text1"/>
          <w:sz w:val="22"/>
          <w:szCs w:val="22"/>
        </w:rPr>
        <w:t>s</w:t>
      </w:r>
      <w:r w:rsidR="00206E87" w:rsidRPr="00487884">
        <w:rPr>
          <w:rFonts w:ascii="Cambria" w:hAnsi="Cambria" w:cs="Arial"/>
          <w:color w:val="000000" w:themeColor="text1"/>
          <w:sz w:val="22"/>
          <w:szCs w:val="22"/>
          <w:shd w:val="clear" w:color="auto" w:fill="FFFFFF"/>
        </w:rPr>
        <w:t xml:space="preserve"> del programa Somos Defensores</w:t>
      </w:r>
      <w:r w:rsidRPr="00487884">
        <w:rPr>
          <w:rFonts w:ascii="Cambria" w:hAnsi="Cambria" w:cs="Arial"/>
          <w:color w:val="000000" w:themeColor="text1"/>
          <w:sz w:val="22"/>
          <w:szCs w:val="22"/>
        </w:rPr>
        <w:t xml:space="preserve"> se discutieron más de veinte medidas relacionadas con salud sexual y reproductiva. Sin embargo, ninguna de estas fue priorizada, pues se le dio primacía a las medidas relativas a la superación de pobreza y redistribución de tierras, lo que demuestra la preocupación de los habitantes de Montes de María por su precariedad socioeconómica y la responsabilidad del Estado por abordar este problema histórico sobre las necesidades en SSR de las mujeres</w:t>
      </w:r>
      <w:r w:rsidR="008C000A" w:rsidRPr="00487884">
        <w:rPr>
          <w:rFonts w:ascii="Cambria" w:hAnsi="Cambria" w:cs="Arial"/>
          <w:color w:val="000000" w:themeColor="text1"/>
          <w:sz w:val="22"/>
          <w:szCs w:val="22"/>
        </w:rPr>
        <w:t>”</w:t>
      </w:r>
      <w:r w:rsidR="008C000A" w:rsidRPr="00487884">
        <w:rPr>
          <w:rStyle w:val="Refdenotaalpie"/>
          <w:rFonts w:ascii="Cambria" w:hAnsi="Cambria" w:cs="Arial"/>
          <w:color w:val="000000" w:themeColor="text1"/>
          <w:sz w:val="22"/>
          <w:szCs w:val="22"/>
        </w:rPr>
        <w:footnoteReference w:id="42"/>
      </w:r>
      <w:r w:rsidRPr="00487884">
        <w:rPr>
          <w:rFonts w:ascii="Cambria" w:hAnsi="Cambria" w:cs="Arial"/>
          <w:color w:val="000000" w:themeColor="text1"/>
          <w:sz w:val="22"/>
          <w:szCs w:val="22"/>
        </w:rPr>
        <w:t xml:space="preserve">. </w:t>
      </w:r>
      <w:r w:rsidR="008C000A" w:rsidRPr="00487884">
        <w:rPr>
          <w:rFonts w:ascii="Cambria" w:hAnsi="Cambria" w:cs="Arial"/>
          <w:color w:val="000000" w:themeColor="text1"/>
          <w:sz w:val="22"/>
          <w:szCs w:val="22"/>
        </w:rPr>
        <w:t xml:space="preserve"> </w:t>
      </w:r>
    </w:p>
    <w:p w14:paraId="4AA5A80E" w14:textId="0AFB2F79" w:rsidR="00A02A5D" w:rsidRPr="00487884" w:rsidRDefault="00A02A5D" w:rsidP="00487884">
      <w:pPr>
        <w:spacing w:line="276" w:lineRule="auto"/>
        <w:rPr>
          <w:rFonts w:ascii="Cambria" w:hAnsi="Cambria"/>
          <w:sz w:val="22"/>
          <w:szCs w:val="22"/>
        </w:rPr>
      </w:pPr>
    </w:p>
    <w:p w14:paraId="2E23F61B" w14:textId="77777777" w:rsidR="00111C6F" w:rsidRPr="00487884" w:rsidRDefault="00111C6F" w:rsidP="00487884">
      <w:pPr>
        <w:pStyle w:val="Textocomentario"/>
        <w:spacing w:line="276" w:lineRule="auto"/>
        <w:rPr>
          <w:rFonts w:ascii="Cambria" w:hAnsi="Cambria" w:cs="Arial"/>
          <w:b/>
          <w:bCs/>
          <w:sz w:val="22"/>
          <w:szCs w:val="22"/>
        </w:rPr>
      </w:pPr>
      <w:r w:rsidRPr="00487884">
        <w:rPr>
          <w:rFonts w:ascii="Cambria" w:hAnsi="Cambria" w:cs="Arial"/>
          <w:b/>
          <w:bCs/>
          <w:sz w:val="22"/>
          <w:szCs w:val="22"/>
        </w:rPr>
        <w:t>II. Peticiones al Comité de la CEDAW y al Estado Colombiano.</w:t>
      </w:r>
    </w:p>
    <w:p w14:paraId="34A530FE" w14:textId="77777777" w:rsidR="00111C6F" w:rsidRPr="00487884" w:rsidRDefault="00111C6F" w:rsidP="00487884">
      <w:pPr>
        <w:spacing w:line="276" w:lineRule="auto"/>
        <w:jc w:val="both"/>
        <w:rPr>
          <w:rFonts w:ascii="Cambria" w:hAnsi="Cambria" w:cs="Arial"/>
          <w:b/>
          <w:bCs/>
          <w:color w:val="000000" w:themeColor="text1"/>
          <w:sz w:val="22"/>
          <w:szCs w:val="22"/>
        </w:rPr>
      </w:pPr>
    </w:p>
    <w:p w14:paraId="4055492E" w14:textId="77777777" w:rsidR="00111C6F" w:rsidRPr="00487884" w:rsidRDefault="00111C6F" w:rsidP="00487884">
      <w:pPr>
        <w:pStyle w:val="Prrafodelista"/>
        <w:numPr>
          <w:ilvl w:val="0"/>
          <w:numId w:val="10"/>
        </w:numPr>
        <w:spacing w:after="200" w:line="276" w:lineRule="auto"/>
        <w:ind w:left="284"/>
        <w:jc w:val="both"/>
        <w:rPr>
          <w:rFonts w:ascii="Cambria" w:hAnsi="Cambria" w:cs="Arial"/>
          <w:sz w:val="22"/>
          <w:szCs w:val="22"/>
        </w:rPr>
      </w:pPr>
      <w:r w:rsidRPr="00487884">
        <w:rPr>
          <w:rFonts w:ascii="Cambria" w:hAnsi="Cambria" w:cs="Arial"/>
          <w:sz w:val="22"/>
          <w:szCs w:val="22"/>
        </w:rPr>
        <w:t xml:space="preserve">Que el Estado en sus reportes periódicos al Comité de la CEDAW, así como las recomendaciones emitidas por el Comité, relacionadas con el enfoque de género en el acuerdo de paz, las garantías de seguridad de las lideresas y las defensoras de derechos humanos, y la reintegración de las excombatientes, referencie de manera directa el seguimiento a la garantía de los derechos sexuales y reproductivos. Lo anterior, en el entendido que son garantías fundamentales, reconocidas como derechos humanos, que permiten la participación de mujeres, niñas y personas LGBTI en todos los ámbitos de la sociedad en condiciones dignas e igualitarias, y  que están relacionadas con las múltiples victimizaciones que soportaron durante el conflicto armado. </w:t>
      </w:r>
    </w:p>
    <w:p w14:paraId="22E53970" w14:textId="77777777" w:rsidR="00111C6F" w:rsidRPr="00487884" w:rsidRDefault="00111C6F" w:rsidP="00487884">
      <w:pPr>
        <w:pStyle w:val="Prrafodelista"/>
        <w:spacing w:after="200" w:line="276" w:lineRule="auto"/>
        <w:ind w:left="284"/>
        <w:jc w:val="both"/>
        <w:rPr>
          <w:rFonts w:ascii="Cambria" w:hAnsi="Cambria" w:cs="Arial"/>
          <w:sz w:val="22"/>
          <w:szCs w:val="22"/>
        </w:rPr>
      </w:pPr>
    </w:p>
    <w:p w14:paraId="4ED93B5A" w14:textId="2F48C7F0" w:rsidR="00111C6F" w:rsidRPr="00487884" w:rsidRDefault="00111C6F" w:rsidP="00487884">
      <w:pPr>
        <w:pStyle w:val="Prrafodelista"/>
        <w:numPr>
          <w:ilvl w:val="0"/>
          <w:numId w:val="10"/>
        </w:numPr>
        <w:spacing w:after="200" w:line="276" w:lineRule="auto"/>
        <w:ind w:left="284"/>
        <w:jc w:val="both"/>
        <w:rPr>
          <w:rFonts w:ascii="Cambria" w:hAnsi="Cambria" w:cs="Arial"/>
          <w:sz w:val="22"/>
          <w:szCs w:val="22"/>
        </w:rPr>
      </w:pPr>
      <w:r w:rsidRPr="00487884">
        <w:rPr>
          <w:rFonts w:ascii="Cambria" w:hAnsi="Cambria" w:cs="Arial"/>
          <w:sz w:val="22"/>
          <w:szCs w:val="22"/>
        </w:rPr>
        <w:t>Que tanto en el marco de la implementación del Acuerdo Final de Paz y de la Ley 1448 de 2018</w:t>
      </w:r>
      <w:r w:rsidRPr="00487884">
        <w:rPr>
          <w:rStyle w:val="Refdenotaalpie"/>
          <w:rFonts w:ascii="Cambria" w:hAnsi="Cambria" w:cs="Arial"/>
          <w:sz w:val="22"/>
          <w:szCs w:val="22"/>
        </w:rPr>
        <w:footnoteReference w:id="43"/>
      </w:r>
      <w:r w:rsidR="00D641C6" w:rsidRPr="00487884">
        <w:rPr>
          <w:rFonts w:ascii="Cambria" w:hAnsi="Cambria" w:cs="Arial"/>
          <w:sz w:val="22"/>
          <w:szCs w:val="22"/>
        </w:rPr>
        <w:t xml:space="preserve"> </w:t>
      </w:r>
      <w:r w:rsidRPr="00487884">
        <w:rPr>
          <w:rFonts w:ascii="Cambria" w:hAnsi="Cambria" w:cs="Arial"/>
          <w:sz w:val="22"/>
          <w:szCs w:val="22"/>
        </w:rPr>
        <w:t xml:space="preserve">se lleven a cabo acciones para la difusión de información veraz, oportuna y adecuada sobre los derechos sexuales y derechos reproductivos, y el derecho a una vida libre de violencia para las mujeres, que permitan, entre otras garantías, el acceso a información y servicios </w:t>
      </w:r>
      <w:r w:rsidR="00593EED" w:rsidRPr="00487884">
        <w:rPr>
          <w:rFonts w:ascii="Cambria" w:hAnsi="Cambria" w:cs="Arial"/>
          <w:sz w:val="22"/>
          <w:szCs w:val="22"/>
        </w:rPr>
        <w:t>de IVE</w:t>
      </w:r>
      <w:r w:rsidRPr="00487884">
        <w:rPr>
          <w:rFonts w:ascii="Cambria" w:hAnsi="Cambria" w:cs="Arial"/>
          <w:sz w:val="22"/>
          <w:szCs w:val="22"/>
        </w:rPr>
        <w:t xml:space="preserve">, de acuerdo a la amplia jurisprudencia constitucional, desde la sentencia C-355 de 2006, sobre </w:t>
      </w:r>
      <w:r w:rsidR="00593EED" w:rsidRPr="00487884">
        <w:rPr>
          <w:rFonts w:ascii="Cambria" w:hAnsi="Cambria" w:cs="Arial"/>
          <w:sz w:val="22"/>
          <w:szCs w:val="22"/>
        </w:rPr>
        <w:t>este derecho.</w:t>
      </w:r>
    </w:p>
    <w:p w14:paraId="2A172A2D" w14:textId="77777777" w:rsidR="00AD2169" w:rsidRPr="00487884" w:rsidRDefault="00AD2169" w:rsidP="00487884">
      <w:pPr>
        <w:pStyle w:val="Prrafodelista"/>
        <w:spacing w:line="276" w:lineRule="auto"/>
        <w:ind w:left="284"/>
        <w:rPr>
          <w:rFonts w:ascii="Cambria" w:hAnsi="Cambria" w:cs="Arial"/>
          <w:sz w:val="22"/>
          <w:szCs w:val="22"/>
        </w:rPr>
      </w:pPr>
    </w:p>
    <w:p w14:paraId="5DDB1628" w14:textId="63172F7C" w:rsidR="00D641C6" w:rsidRPr="00487884" w:rsidRDefault="00AD2169" w:rsidP="00487884">
      <w:pPr>
        <w:pStyle w:val="Prrafodelista"/>
        <w:numPr>
          <w:ilvl w:val="0"/>
          <w:numId w:val="10"/>
        </w:numPr>
        <w:spacing w:after="200" w:line="276" w:lineRule="auto"/>
        <w:ind w:left="284"/>
        <w:jc w:val="both"/>
        <w:rPr>
          <w:rFonts w:ascii="Cambria" w:hAnsi="Cambria" w:cs="Arial"/>
          <w:sz w:val="22"/>
          <w:szCs w:val="22"/>
        </w:rPr>
      </w:pPr>
      <w:r w:rsidRPr="00487884">
        <w:rPr>
          <w:rFonts w:ascii="Cambria" w:hAnsi="Cambria" w:cs="Arial"/>
          <w:sz w:val="22"/>
          <w:szCs w:val="22"/>
        </w:rPr>
        <w:lastRenderedPageBreak/>
        <w:t xml:space="preserve">Que los indicadores de </w:t>
      </w:r>
      <w:r w:rsidRPr="00487884">
        <w:rPr>
          <w:rFonts w:ascii="Cambria" w:hAnsi="Cambria" w:cs="Arial"/>
          <w:color w:val="000000"/>
          <w:sz w:val="22"/>
          <w:szCs w:val="22"/>
          <w:shd w:val="clear" w:color="auto" w:fill="FFFFFF"/>
        </w:rPr>
        <w:t xml:space="preserve">género del Plan Marco de Implementación (PMI) incluyan metas, desagregación de datos atendiendo a los enfoques diferenciales y líneas bases que permitan </w:t>
      </w:r>
      <w:r w:rsidR="00D641C6" w:rsidRPr="00487884">
        <w:rPr>
          <w:rFonts w:ascii="Cambria" w:hAnsi="Cambria" w:cs="Arial"/>
          <w:color w:val="000000"/>
          <w:sz w:val="22"/>
          <w:szCs w:val="22"/>
          <w:shd w:val="clear" w:color="auto" w:fill="FFFFFF"/>
        </w:rPr>
        <w:t>medir</w:t>
      </w:r>
      <w:r w:rsidRPr="00487884">
        <w:rPr>
          <w:rFonts w:ascii="Cambria" w:hAnsi="Cambria" w:cs="Arial"/>
          <w:color w:val="000000"/>
          <w:sz w:val="22"/>
          <w:szCs w:val="22"/>
          <w:shd w:val="clear" w:color="auto" w:fill="FFFFFF"/>
        </w:rPr>
        <w:t xml:space="preserve"> los impactos en el cierre de brechas de género, tal como fue incluido en el Acuerdo Final. </w:t>
      </w:r>
    </w:p>
    <w:p w14:paraId="0B8588DC" w14:textId="77777777" w:rsidR="006C17DE" w:rsidRPr="00487884" w:rsidRDefault="006C17DE" w:rsidP="00487884">
      <w:pPr>
        <w:pStyle w:val="Prrafodelista"/>
        <w:spacing w:after="200" w:line="276" w:lineRule="auto"/>
        <w:ind w:left="284"/>
        <w:jc w:val="both"/>
        <w:rPr>
          <w:rFonts w:ascii="Cambria" w:hAnsi="Cambria" w:cs="Arial"/>
          <w:sz w:val="22"/>
          <w:szCs w:val="22"/>
        </w:rPr>
      </w:pPr>
    </w:p>
    <w:p w14:paraId="2D6669FB" w14:textId="77777777" w:rsidR="00111C6F" w:rsidRPr="00487884" w:rsidRDefault="00111C6F" w:rsidP="00487884">
      <w:pPr>
        <w:pStyle w:val="Prrafodelista"/>
        <w:numPr>
          <w:ilvl w:val="0"/>
          <w:numId w:val="10"/>
        </w:numPr>
        <w:spacing w:after="200" w:line="276" w:lineRule="auto"/>
        <w:ind w:left="284"/>
        <w:jc w:val="both"/>
        <w:rPr>
          <w:rFonts w:ascii="Cambria" w:hAnsi="Cambria" w:cs="Arial"/>
          <w:sz w:val="22"/>
          <w:szCs w:val="22"/>
        </w:rPr>
      </w:pPr>
      <w:r w:rsidRPr="00487884">
        <w:rPr>
          <w:rFonts w:ascii="Cambria" w:hAnsi="Cambria" w:cs="Arial"/>
          <w:sz w:val="22"/>
          <w:szCs w:val="22"/>
        </w:rPr>
        <w:t>Que la judicialización de los máximos responsables, desde un enfoque diferencial, contemple el reconocimiento de la vivencia del aborto y la anticoncepción forzada, incluyendo las afectaciones vividas por las mujeres y las niñas; así como medidas de reparación integral, especialmente dirigidas al acceso a la salud sexual y salud reproductiva de las mujeres, y la valoración a los impactos diferenciales que tuvieron estas prácticas en sus cuerpos, sexualidad y proyectos de vida, teniendo en cuenta las diferencias según las edades.</w:t>
      </w:r>
    </w:p>
    <w:p w14:paraId="4CFC9D12" w14:textId="77777777" w:rsidR="00111C6F" w:rsidRPr="00487884" w:rsidRDefault="00111C6F" w:rsidP="00487884">
      <w:pPr>
        <w:pStyle w:val="Prrafodelista"/>
        <w:spacing w:after="200" w:line="276" w:lineRule="auto"/>
        <w:ind w:left="284"/>
        <w:jc w:val="both"/>
        <w:rPr>
          <w:rFonts w:ascii="Cambria" w:hAnsi="Cambria" w:cs="Arial"/>
          <w:sz w:val="22"/>
          <w:szCs w:val="22"/>
        </w:rPr>
      </w:pPr>
    </w:p>
    <w:p w14:paraId="1222A20B" w14:textId="39CF929C" w:rsidR="00111C6F" w:rsidRPr="00487884" w:rsidRDefault="00111C6F" w:rsidP="00487884">
      <w:pPr>
        <w:pStyle w:val="Prrafodelista"/>
        <w:numPr>
          <w:ilvl w:val="0"/>
          <w:numId w:val="9"/>
        </w:numPr>
        <w:spacing w:before="100" w:beforeAutospacing="1" w:after="100" w:afterAutospacing="1" w:line="276" w:lineRule="auto"/>
        <w:ind w:left="284"/>
        <w:jc w:val="both"/>
        <w:rPr>
          <w:rFonts w:ascii="Cambria" w:hAnsi="Cambria" w:cs="Arial"/>
          <w:sz w:val="22"/>
          <w:szCs w:val="22"/>
        </w:rPr>
      </w:pPr>
      <w:r w:rsidRPr="00487884">
        <w:rPr>
          <w:rFonts w:ascii="Cambria" w:hAnsi="Cambria" w:cs="Arial"/>
          <w:sz w:val="22"/>
          <w:szCs w:val="22"/>
        </w:rPr>
        <w:t>Que la JEP</w:t>
      </w:r>
      <w:r w:rsidR="00AD2169" w:rsidRPr="00487884">
        <w:rPr>
          <w:rFonts w:ascii="Cambria" w:hAnsi="Cambria" w:cs="Arial"/>
          <w:sz w:val="22"/>
          <w:szCs w:val="22"/>
        </w:rPr>
        <w:t xml:space="preserve"> </w:t>
      </w:r>
      <w:r w:rsidRPr="00487884">
        <w:rPr>
          <w:rFonts w:ascii="Cambria" w:hAnsi="Cambria" w:cs="Arial"/>
          <w:sz w:val="22"/>
          <w:szCs w:val="22"/>
        </w:rPr>
        <w:t xml:space="preserve">abra un caso nacional de violencia sexual y reproductiva para investigar y analizar estas violencias, evidenciando los daños causados a las mujeres y el impacto sobre sus vidas. </w:t>
      </w:r>
    </w:p>
    <w:p w14:paraId="55AF460E" w14:textId="77777777" w:rsidR="00111C6F" w:rsidRPr="00487884" w:rsidRDefault="00111C6F" w:rsidP="00487884">
      <w:pPr>
        <w:pStyle w:val="Prrafodelista"/>
        <w:spacing w:before="100" w:beforeAutospacing="1" w:after="100" w:afterAutospacing="1" w:line="276" w:lineRule="auto"/>
        <w:ind w:left="284"/>
        <w:jc w:val="both"/>
        <w:rPr>
          <w:rFonts w:ascii="Cambria" w:hAnsi="Cambria" w:cs="Arial"/>
          <w:sz w:val="22"/>
          <w:szCs w:val="22"/>
        </w:rPr>
      </w:pPr>
    </w:p>
    <w:p w14:paraId="401F5A8E" w14:textId="77777777" w:rsidR="00111C6F" w:rsidRPr="00487884" w:rsidRDefault="00111C6F" w:rsidP="00487884">
      <w:pPr>
        <w:pStyle w:val="Prrafodelista"/>
        <w:numPr>
          <w:ilvl w:val="0"/>
          <w:numId w:val="9"/>
        </w:numPr>
        <w:spacing w:before="100" w:beforeAutospacing="1" w:after="100" w:afterAutospacing="1" w:line="276" w:lineRule="auto"/>
        <w:ind w:left="284"/>
        <w:jc w:val="both"/>
        <w:rPr>
          <w:rFonts w:ascii="Cambria" w:hAnsi="Cambria" w:cs="Arial"/>
          <w:sz w:val="22"/>
          <w:szCs w:val="22"/>
        </w:rPr>
      </w:pPr>
      <w:r w:rsidRPr="00487884">
        <w:rPr>
          <w:rFonts w:ascii="Cambria" w:hAnsi="Cambria" w:cs="Arial"/>
          <w:sz w:val="22"/>
          <w:szCs w:val="22"/>
        </w:rPr>
        <w:t>Que se garantice la articulación interinstitucional así como la asignación de recursos de las entidades responsables de la Política de Reincorporación para avanzar en la promoción de los derechos sexuales y reproductivos de las mujeres excombatientes.</w:t>
      </w:r>
    </w:p>
    <w:p w14:paraId="0DE1E0C4" w14:textId="77777777" w:rsidR="00111C6F" w:rsidRPr="00487884" w:rsidRDefault="00111C6F" w:rsidP="00487884">
      <w:pPr>
        <w:pStyle w:val="Prrafodelista"/>
        <w:spacing w:before="100" w:beforeAutospacing="1" w:after="100" w:afterAutospacing="1" w:line="276" w:lineRule="auto"/>
        <w:ind w:left="284"/>
        <w:jc w:val="both"/>
        <w:rPr>
          <w:rFonts w:ascii="Cambria" w:hAnsi="Cambria" w:cs="Arial"/>
          <w:sz w:val="22"/>
          <w:szCs w:val="22"/>
        </w:rPr>
      </w:pPr>
      <w:r w:rsidRPr="00487884">
        <w:rPr>
          <w:rFonts w:ascii="Cambria" w:hAnsi="Cambria" w:cs="Arial"/>
          <w:sz w:val="22"/>
          <w:szCs w:val="22"/>
        </w:rPr>
        <w:t xml:space="preserve">  </w:t>
      </w:r>
    </w:p>
    <w:p w14:paraId="58A81BC7" w14:textId="6004E2CD" w:rsidR="00652529" w:rsidRPr="00487884" w:rsidRDefault="00111C6F" w:rsidP="00487884">
      <w:pPr>
        <w:pStyle w:val="Prrafodelista"/>
        <w:numPr>
          <w:ilvl w:val="0"/>
          <w:numId w:val="9"/>
        </w:numPr>
        <w:spacing w:after="200" w:line="276" w:lineRule="auto"/>
        <w:ind w:left="284"/>
        <w:jc w:val="both"/>
        <w:rPr>
          <w:rFonts w:ascii="Cambria" w:hAnsi="Cambria" w:cs="Arial"/>
          <w:sz w:val="22"/>
          <w:szCs w:val="22"/>
        </w:rPr>
      </w:pPr>
      <w:r w:rsidRPr="00487884">
        <w:rPr>
          <w:rFonts w:ascii="Cambria" w:hAnsi="Cambria" w:cs="Arial"/>
          <w:sz w:val="22"/>
          <w:szCs w:val="22"/>
        </w:rPr>
        <w:t>Que se implementen estrategias que brinden atención en salud integral, inmediata, especializada, con enfoque diferencial  durante el tiempo necesario a las mujeres que afrontan afectaciones físicas y psicológicas derivadas de la anticoncepción y el aborto forzados, en el reconocimiento de su calidad de víctimas del conflicto armado.</w:t>
      </w:r>
    </w:p>
    <w:p w14:paraId="0183A6FF" w14:textId="77777777" w:rsidR="00111C6F" w:rsidRPr="00487884" w:rsidRDefault="00111C6F" w:rsidP="00487884">
      <w:pPr>
        <w:pStyle w:val="Prrafodelista"/>
        <w:spacing w:after="200" w:line="276" w:lineRule="auto"/>
        <w:ind w:left="284"/>
        <w:jc w:val="both"/>
        <w:rPr>
          <w:rFonts w:ascii="Cambria" w:hAnsi="Cambria" w:cs="Arial"/>
          <w:sz w:val="22"/>
          <w:szCs w:val="22"/>
        </w:rPr>
      </w:pPr>
      <w:r w:rsidRPr="00487884">
        <w:rPr>
          <w:rFonts w:ascii="Cambria" w:hAnsi="Cambria" w:cs="Arial"/>
          <w:sz w:val="22"/>
          <w:szCs w:val="22"/>
        </w:rPr>
        <w:t xml:space="preserve"> </w:t>
      </w:r>
    </w:p>
    <w:p w14:paraId="32AA48D3" w14:textId="0FB81396" w:rsidR="00111C6F" w:rsidRPr="00487884" w:rsidRDefault="00111C6F" w:rsidP="00487884">
      <w:pPr>
        <w:pStyle w:val="Prrafodelista"/>
        <w:numPr>
          <w:ilvl w:val="0"/>
          <w:numId w:val="9"/>
        </w:numPr>
        <w:spacing w:after="200" w:line="276" w:lineRule="auto"/>
        <w:ind w:left="284"/>
        <w:jc w:val="both"/>
        <w:rPr>
          <w:rFonts w:ascii="Cambria" w:hAnsi="Cambria" w:cs="Arial"/>
          <w:sz w:val="22"/>
          <w:szCs w:val="22"/>
        </w:rPr>
      </w:pPr>
      <w:r w:rsidRPr="00487884">
        <w:rPr>
          <w:rFonts w:ascii="Cambria" w:hAnsi="Cambria" w:cs="Arial"/>
          <w:sz w:val="22"/>
          <w:szCs w:val="22"/>
        </w:rPr>
        <w:t>Que la implementación de los PDET, así como del Plan Nacional de Salud Rural, y su apuesta por la garantía de los derechos de estas comunidades, incluya y reconozca la importancia de equipamientos y personal capacitado</w:t>
      </w:r>
      <w:r w:rsidR="008C000A" w:rsidRPr="00487884">
        <w:rPr>
          <w:rFonts w:ascii="Cambria" w:hAnsi="Cambria" w:cs="Arial"/>
          <w:sz w:val="22"/>
          <w:szCs w:val="22"/>
        </w:rPr>
        <w:t>,</w:t>
      </w:r>
      <w:r w:rsidRPr="00487884">
        <w:rPr>
          <w:rFonts w:ascii="Cambria" w:hAnsi="Cambria" w:cs="Arial"/>
          <w:sz w:val="22"/>
          <w:szCs w:val="22"/>
        </w:rPr>
        <w:t xml:space="preserve"> que atiendan de forma oportuna la salud sexual y reproductiva, en especial de las comunidades campesinas, indígenas y afrodescendientes. </w:t>
      </w:r>
    </w:p>
    <w:p w14:paraId="49B8855E" w14:textId="77777777" w:rsidR="00111C6F" w:rsidRPr="00487884" w:rsidRDefault="00111C6F" w:rsidP="00487884">
      <w:pPr>
        <w:pStyle w:val="Prrafodelista"/>
        <w:spacing w:after="200" w:line="276" w:lineRule="auto"/>
        <w:ind w:left="284"/>
        <w:jc w:val="both"/>
        <w:rPr>
          <w:rFonts w:ascii="Cambria" w:hAnsi="Cambria" w:cs="Arial"/>
          <w:sz w:val="22"/>
          <w:szCs w:val="22"/>
        </w:rPr>
      </w:pPr>
    </w:p>
    <w:p w14:paraId="46E14DC3" w14:textId="77777777" w:rsidR="00111C6F" w:rsidRPr="00487884" w:rsidRDefault="00111C6F" w:rsidP="00487884">
      <w:pPr>
        <w:pStyle w:val="Prrafodelista"/>
        <w:numPr>
          <w:ilvl w:val="0"/>
          <w:numId w:val="9"/>
        </w:numPr>
        <w:spacing w:after="200" w:line="276" w:lineRule="auto"/>
        <w:ind w:left="284"/>
        <w:jc w:val="both"/>
        <w:rPr>
          <w:rFonts w:ascii="Cambria" w:hAnsi="Cambria" w:cs="Arial"/>
          <w:sz w:val="22"/>
          <w:szCs w:val="22"/>
        </w:rPr>
      </w:pPr>
      <w:r w:rsidRPr="00487884">
        <w:rPr>
          <w:rFonts w:ascii="Cambria" w:hAnsi="Cambria" w:cs="Arial"/>
          <w:sz w:val="22"/>
          <w:szCs w:val="22"/>
        </w:rPr>
        <w:t xml:space="preserve">Brindar capacitaciones  a las personas que están en proceso de reincorporación, incluyendo a los comandantes y personas con jerarquía dentro de la organización política, en derechos humanos de las mujeres, derechos sexuales y derechos reproductivos. </w:t>
      </w:r>
    </w:p>
    <w:p w14:paraId="4C71157E" w14:textId="77777777" w:rsidR="00111C6F" w:rsidRPr="00487884" w:rsidRDefault="00111C6F" w:rsidP="00487884">
      <w:pPr>
        <w:pStyle w:val="Prrafodelista"/>
        <w:spacing w:line="276" w:lineRule="auto"/>
        <w:ind w:left="284"/>
        <w:rPr>
          <w:rFonts w:ascii="Cambria" w:hAnsi="Cambria" w:cs="Arial"/>
          <w:sz w:val="22"/>
          <w:szCs w:val="22"/>
        </w:rPr>
      </w:pPr>
    </w:p>
    <w:p w14:paraId="295272F1" w14:textId="77777777" w:rsidR="00111C6F" w:rsidRPr="00487884" w:rsidRDefault="00111C6F" w:rsidP="00487884">
      <w:pPr>
        <w:pStyle w:val="Prrafodelista"/>
        <w:numPr>
          <w:ilvl w:val="0"/>
          <w:numId w:val="9"/>
        </w:numPr>
        <w:spacing w:after="200" w:line="276" w:lineRule="auto"/>
        <w:ind w:left="284"/>
        <w:jc w:val="both"/>
        <w:rPr>
          <w:rFonts w:ascii="Cambria" w:hAnsi="Cambria" w:cs="Arial"/>
          <w:sz w:val="22"/>
          <w:szCs w:val="22"/>
        </w:rPr>
      </w:pPr>
      <w:r w:rsidRPr="00487884">
        <w:rPr>
          <w:rFonts w:ascii="Cambria" w:hAnsi="Cambria" w:cs="Arial"/>
          <w:sz w:val="22"/>
          <w:szCs w:val="22"/>
        </w:rPr>
        <w:t xml:space="preserve">Que se establezcan medidas afirmativas para suplir las carencias en salud sexual y reproductiva en los territorios más afectados por el conflicto armado, en cumplimiento de la incorporación del enfoque de género del pilar 3 de los PDET, garantizando el acceso a la  planificación reproductiva con la mejor tecnología, espacios de diálogo para cuestionar la responsabilidad reproductiva como un asunto de mujeres, y adelantar acuerdos sociales y familiares para la redistribución de las responsabilidades del cuidado. </w:t>
      </w:r>
    </w:p>
    <w:p w14:paraId="5B105E2B" w14:textId="77777777" w:rsidR="00111C6F" w:rsidRPr="00487884" w:rsidRDefault="00111C6F" w:rsidP="00487884">
      <w:pPr>
        <w:pStyle w:val="Prrafodelista"/>
        <w:spacing w:after="200" w:line="276" w:lineRule="auto"/>
        <w:ind w:left="284"/>
        <w:jc w:val="both"/>
        <w:rPr>
          <w:rFonts w:ascii="Cambria" w:hAnsi="Cambria" w:cs="Arial"/>
          <w:sz w:val="22"/>
          <w:szCs w:val="22"/>
        </w:rPr>
      </w:pPr>
    </w:p>
    <w:p w14:paraId="1DF97090" w14:textId="77777777" w:rsidR="00111C6F" w:rsidRPr="00487884" w:rsidRDefault="00111C6F" w:rsidP="00487884">
      <w:pPr>
        <w:pStyle w:val="Prrafodelista"/>
        <w:numPr>
          <w:ilvl w:val="0"/>
          <w:numId w:val="9"/>
        </w:numPr>
        <w:spacing w:after="200" w:line="276" w:lineRule="auto"/>
        <w:ind w:left="284"/>
        <w:jc w:val="both"/>
        <w:rPr>
          <w:rFonts w:ascii="Cambria" w:hAnsi="Cambria" w:cs="Arial"/>
          <w:sz w:val="22"/>
          <w:szCs w:val="22"/>
        </w:rPr>
      </w:pPr>
      <w:r w:rsidRPr="00487884">
        <w:rPr>
          <w:rFonts w:ascii="Cambria" w:hAnsi="Cambria" w:cs="Arial"/>
          <w:sz w:val="22"/>
          <w:szCs w:val="22"/>
        </w:rPr>
        <w:lastRenderedPageBreak/>
        <w:t xml:space="preserve">Que la comunidad científica y el Estado, incluyendo al Instituto Nacional de Medicina Legal y Ciencias Forenses, establezcan metodologías y procedimientos que permitan reconocer las secuelas físicas y psicológicas derivadas de la violación de los derechos sexuales y derechos reproductivos, incluyendo la vivencia de la anticoncepción y el aborto forzado, tanto en las excombatientes como en las mujeres de población civil, así como fortalecer la investigación sobre tratamientos frente a esas secuelas, a efectos de fortalecer con argumentos la identificación del daño y contribuir a la adopción de medidas de reparación desde un enfoque de género. </w:t>
      </w:r>
    </w:p>
    <w:p w14:paraId="05600F18" w14:textId="77777777" w:rsidR="00111C6F" w:rsidRPr="00487884" w:rsidRDefault="00111C6F" w:rsidP="00487884">
      <w:pPr>
        <w:pStyle w:val="Prrafodelista"/>
        <w:spacing w:after="200" w:line="276" w:lineRule="auto"/>
        <w:ind w:left="284"/>
        <w:jc w:val="both"/>
        <w:rPr>
          <w:rFonts w:ascii="Cambria" w:hAnsi="Cambria" w:cs="Arial"/>
          <w:sz w:val="22"/>
          <w:szCs w:val="22"/>
        </w:rPr>
      </w:pPr>
    </w:p>
    <w:p w14:paraId="20C49767" w14:textId="71093CCD" w:rsidR="00E52FD8" w:rsidRPr="00487884" w:rsidRDefault="00111C6F" w:rsidP="00487884">
      <w:pPr>
        <w:pStyle w:val="Prrafodelista"/>
        <w:numPr>
          <w:ilvl w:val="0"/>
          <w:numId w:val="9"/>
        </w:numPr>
        <w:spacing w:after="200" w:line="276" w:lineRule="auto"/>
        <w:ind w:left="284"/>
        <w:jc w:val="both"/>
        <w:rPr>
          <w:rFonts w:ascii="Cambria" w:hAnsi="Cambria" w:cs="Arial"/>
          <w:b/>
          <w:bCs/>
          <w:color w:val="000000" w:themeColor="text1"/>
          <w:sz w:val="22"/>
          <w:szCs w:val="22"/>
        </w:rPr>
      </w:pPr>
      <w:r w:rsidRPr="00487884">
        <w:rPr>
          <w:rFonts w:ascii="Cambria" w:hAnsi="Cambria" w:cs="Arial"/>
          <w:color w:val="000000"/>
          <w:sz w:val="22"/>
          <w:szCs w:val="22"/>
          <w:shd w:val="clear" w:color="auto" w:fill="FFFFFF"/>
        </w:rPr>
        <w:t>La implementación del plan de acción de la Política pública para la prevención del reclutamiento forzado avance  en los programas que prioricen</w:t>
      </w:r>
      <w:r w:rsidRPr="00487884">
        <w:rPr>
          <w:rFonts w:ascii="Cambria" w:hAnsi="Cambria" w:cs="Arial"/>
          <w:sz w:val="22"/>
          <w:szCs w:val="22"/>
        </w:rPr>
        <w:t xml:space="preserve"> el reconocimiento de los derechos sexuales y reproductivos, de niñas y adolescentes, incluyendo el acceso a la IVE. </w:t>
      </w:r>
    </w:p>
    <w:p w14:paraId="633A9EA4" w14:textId="77777777" w:rsidR="00EA34CE" w:rsidRDefault="00EA34CE" w:rsidP="00EA34CE">
      <w:pPr>
        <w:jc w:val="both"/>
      </w:pPr>
      <w:bookmarkStart w:id="0" w:name="_GoBack"/>
      <w:bookmarkEnd w:id="0"/>
    </w:p>
    <w:p w14:paraId="5AE4D331" w14:textId="77777777" w:rsidR="00EA34CE" w:rsidRPr="00E52FD8" w:rsidRDefault="00EA34CE" w:rsidP="00EA34CE">
      <w:pPr>
        <w:tabs>
          <w:tab w:val="right" w:pos="1276"/>
        </w:tabs>
        <w:ind w:left="-709"/>
        <w:jc w:val="both"/>
        <w:rPr>
          <w:rFonts w:ascii="Arial" w:hAnsi="Arial" w:cs="Arial"/>
          <w:b/>
          <w:bCs/>
          <w:sz w:val="22"/>
          <w:szCs w:val="22"/>
        </w:rPr>
      </w:pPr>
      <w:r w:rsidRPr="00E52FD8">
        <w:rPr>
          <w:rFonts w:ascii="Arial" w:hAnsi="Arial" w:cs="Arial"/>
          <w:b/>
          <w:bCs/>
          <w:sz w:val="22"/>
          <w:szCs w:val="22"/>
        </w:rPr>
        <w:t xml:space="preserve"> </w:t>
      </w:r>
    </w:p>
    <w:p w14:paraId="7F85C537" w14:textId="77777777" w:rsidR="00EA34CE" w:rsidRPr="00EA34CE" w:rsidRDefault="00EA34CE" w:rsidP="00EA34CE">
      <w:pPr>
        <w:spacing w:line="276" w:lineRule="auto"/>
        <w:ind w:left="284"/>
        <w:jc w:val="center"/>
        <w:rPr>
          <w:rFonts w:ascii="Cambria" w:hAnsi="Cambria"/>
          <w:b/>
          <w:sz w:val="22"/>
          <w:szCs w:val="22"/>
        </w:rPr>
      </w:pPr>
    </w:p>
    <w:sectPr w:rsidR="00EA34CE" w:rsidRPr="00EA34CE">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66D2A0" w14:textId="77777777" w:rsidR="00015301" w:rsidRDefault="00015301" w:rsidP="00C67D98">
      <w:r>
        <w:separator/>
      </w:r>
    </w:p>
  </w:endnote>
  <w:endnote w:type="continuationSeparator" w:id="0">
    <w:p w14:paraId="6ED6AE5E" w14:textId="77777777" w:rsidR="00015301" w:rsidRDefault="00015301" w:rsidP="00C67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998103"/>
      <w:docPartObj>
        <w:docPartGallery w:val="Page Numbers (Bottom of Page)"/>
        <w:docPartUnique/>
      </w:docPartObj>
    </w:sdtPr>
    <w:sdtEndPr/>
    <w:sdtContent>
      <w:p w14:paraId="1B5590EF" w14:textId="43D0BCFC" w:rsidR="00487884" w:rsidRDefault="00487884">
        <w:pPr>
          <w:pStyle w:val="Piedepgina"/>
          <w:jc w:val="right"/>
        </w:pPr>
        <w:r>
          <w:fldChar w:fldCharType="begin"/>
        </w:r>
        <w:r>
          <w:instrText>PAGE   \* MERGEFORMAT</w:instrText>
        </w:r>
        <w:r>
          <w:fldChar w:fldCharType="separate"/>
        </w:r>
        <w:r w:rsidR="00256A8B" w:rsidRPr="00256A8B">
          <w:rPr>
            <w:noProof/>
            <w:lang w:val="es-ES"/>
          </w:rPr>
          <w:t>5</w:t>
        </w:r>
        <w:r>
          <w:fldChar w:fldCharType="end"/>
        </w:r>
      </w:p>
    </w:sdtContent>
  </w:sdt>
  <w:p w14:paraId="36CE094E" w14:textId="77777777" w:rsidR="00487884" w:rsidRDefault="0048788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4D95C4" w14:textId="77777777" w:rsidR="00015301" w:rsidRDefault="00015301" w:rsidP="00C67D98">
      <w:r>
        <w:separator/>
      </w:r>
    </w:p>
  </w:footnote>
  <w:footnote w:type="continuationSeparator" w:id="0">
    <w:p w14:paraId="7728BED1" w14:textId="77777777" w:rsidR="00015301" w:rsidRDefault="00015301" w:rsidP="00C67D98">
      <w:r>
        <w:continuationSeparator/>
      </w:r>
    </w:p>
  </w:footnote>
  <w:footnote w:id="1">
    <w:p w14:paraId="00555157" w14:textId="4D2D8CBD" w:rsidR="00487884" w:rsidRDefault="00487884">
      <w:pPr>
        <w:pStyle w:val="Textonotapie"/>
      </w:pPr>
      <w:r>
        <w:rPr>
          <w:rStyle w:val="Refdenotaalpie"/>
        </w:rPr>
        <w:footnoteRef/>
      </w:r>
      <w:r>
        <w:t xml:space="preserve"> </w:t>
      </w:r>
      <w:r w:rsidRPr="00487884">
        <w:rPr>
          <w:rFonts w:ascii="Cambria" w:hAnsi="Cambria" w:cs="Arial"/>
          <w:sz w:val="18"/>
          <w:szCs w:val="18"/>
        </w:rPr>
        <w:t>Informe elaborado por Laura María Rojas. Asesoría técnica: Laura Castro González, María Isabel Niño, Beatriz Quintero y María de los Ángeles Ríos.</w:t>
      </w:r>
      <w:r>
        <w:t xml:space="preserve"> </w:t>
      </w:r>
    </w:p>
  </w:footnote>
  <w:footnote w:id="2">
    <w:p w14:paraId="275991FB" w14:textId="3101E771" w:rsidR="00C67D98" w:rsidRPr="00487884" w:rsidRDefault="00C67D98" w:rsidP="00487884">
      <w:pPr>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color w:val="000000"/>
          <w:sz w:val="18"/>
          <w:szCs w:val="18"/>
        </w:rPr>
        <w:t> </w:t>
      </w:r>
      <w:r w:rsidRPr="00487884">
        <w:rPr>
          <w:rFonts w:ascii="Cambria" w:hAnsi="Cambria" w:cs="Arial"/>
          <w:sz w:val="18"/>
          <w:szCs w:val="18"/>
        </w:rPr>
        <w:t xml:space="preserve">La Mesa por la Vida y la Salud de las Mujeres es un colectivo feminista de organizaciones y personas  que desde 1998 trabaja por  los derechos sexuales y reproductivos de las mujeres, en particular los relacionados con la libre opción de la maternidad, el libre ejercicio de la sexualidad y la despenalización el aborto. Más información en: </w:t>
      </w:r>
      <w:hyperlink r:id="rId1" w:history="1">
        <w:r w:rsidR="005E0394" w:rsidRPr="00487884">
          <w:rPr>
            <w:rStyle w:val="Hipervnculo"/>
            <w:rFonts w:ascii="Cambria" w:hAnsi="Cambria" w:cs="Arial"/>
            <w:sz w:val="18"/>
            <w:szCs w:val="18"/>
          </w:rPr>
          <w:t>http://www.despenalizaciondelaborto.org.co/</w:t>
        </w:r>
      </w:hyperlink>
      <w:r w:rsidR="005E0394" w:rsidRPr="00487884">
        <w:rPr>
          <w:rFonts w:ascii="Cambria" w:hAnsi="Cambria" w:cs="Arial"/>
          <w:sz w:val="18"/>
          <w:szCs w:val="18"/>
        </w:rPr>
        <w:t xml:space="preserve"> </w:t>
      </w:r>
    </w:p>
  </w:footnote>
  <w:footnote w:id="3">
    <w:p w14:paraId="2B872D38" w14:textId="6748BBF5" w:rsidR="00C67D98" w:rsidRPr="00487884" w:rsidRDefault="00C67D98" w:rsidP="00487884">
      <w:pPr>
        <w:pStyle w:val="Textonotapie"/>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La Red Nacional de Mujeres es una alianza de organizaciones en 16 nodos del país que desde 1991 ha promovido el reconocimiento de los derechos de las mujeres, en especial el de los derechos sexuales y reproductivos, como derechos fundamentales para el desarrollo de la vida de las mujeres. Más información disponible en: </w:t>
      </w:r>
      <w:hyperlink r:id="rId2" w:history="1">
        <w:r w:rsidRPr="00487884">
          <w:rPr>
            <w:rStyle w:val="Hipervnculo"/>
            <w:rFonts w:ascii="Cambria" w:hAnsi="Cambria" w:cs="Arial"/>
            <w:sz w:val="18"/>
            <w:szCs w:val="18"/>
          </w:rPr>
          <w:t>https://www.rednacionaldemujeres.org/</w:t>
        </w:r>
      </w:hyperlink>
      <w:r w:rsidRPr="00487884">
        <w:rPr>
          <w:rFonts w:ascii="Cambria" w:hAnsi="Cambria" w:cs="Arial"/>
          <w:sz w:val="18"/>
          <w:szCs w:val="18"/>
        </w:rPr>
        <w:t xml:space="preserve"> </w:t>
      </w:r>
    </w:p>
  </w:footnote>
  <w:footnote w:id="4">
    <w:p w14:paraId="2C2487B7" w14:textId="04A038FD" w:rsidR="00667682" w:rsidRPr="00487884" w:rsidRDefault="00667682" w:rsidP="00487884">
      <w:pPr>
        <w:pStyle w:val="Textonotapie"/>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Comité </w:t>
      </w:r>
      <w:proofErr w:type="spellStart"/>
      <w:r w:rsidRPr="00487884">
        <w:rPr>
          <w:rFonts w:ascii="Cambria" w:hAnsi="Cambria" w:cs="Arial"/>
          <w:sz w:val="18"/>
          <w:szCs w:val="18"/>
        </w:rPr>
        <w:t>Cedaw</w:t>
      </w:r>
      <w:proofErr w:type="spellEnd"/>
      <w:r w:rsidRPr="00487884">
        <w:rPr>
          <w:rFonts w:ascii="Cambria" w:hAnsi="Cambria" w:cs="Arial"/>
          <w:sz w:val="18"/>
          <w:szCs w:val="18"/>
        </w:rPr>
        <w:t xml:space="preserve">.  </w:t>
      </w:r>
      <w:r w:rsidRPr="00487884">
        <w:rPr>
          <w:rFonts w:ascii="Cambria" w:hAnsi="Cambria" w:cs="Arial"/>
          <w:color w:val="000000" w:themeColor="text1"/>
          <w:sz w:val="18"/>
          <w:szCs w:val="18"/>
        </w:rPr>
        <w:t xml:space="preserve">Recomendación General 30. “Sobre las mujeres en la </w:t>
      </w:r>
      <w:r w:rsidR="00206E87" w:rsidRPr="00487884">
        <w:rPr>
          <w:rFonts w:ascii="Cambria" w:hAnsi="Cambria" w:cs="Arial"/>
          <w:color w:val="000000" w:themeColor="text1"/>
          <w:sz w:val="18"/>
          <w:szCs w:val="18"/>
        </w:rPr>
        <w:t>prevención</w:t>
      </w:r>
      <w:r w:rsidRPr="00487884">
        <w:rPr>
          <w:rFonts w:ascii="Cambria" w:hAnsi="Cambria" w:cs="Arial"/>
          <w:color w:val="000000" w:themeColor="text1"/>
          <w:sz w:val="18"/>
          <w:szCs w:val="18"/>
        </w:rPr>
        <w:t xml:space="preserve"> de conflictos, conflictos y situaciones postconflicto. 2018. p.16</w:t>
      </w:r>
    </w:p>
  </w:footnote>
  <w:footnote w:id="5">
    <w:p w14:paraId="7C73CBDE" w14:textId="1105C1A9" w:rsidR="00667682" w:rsidRPr="00487884" w:rsidRDefault="00667682" w:rsidP="00487884">
      <w:pPr>
        <w:ind w:left="709" w:hanging="709"/>
        <w:jc w:val="both"/>
        <w:rPr>
          <w:rFonts w:ascii="Cambria" w:hAnsi="Cambria" w:cs="Arial"/>
          <w:color w:val="000000" w:themeColor="text1"/>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w:t>
      </w:r>
      <w:r w:rsidRPr="00EA34CE">
        <w:rPr>
          <w:rFonts w:ascii="Cambria" w:hAnsi="Cambria" w:cs="Arial"/>
          <w:sz w:val="18"/>
          <w:szCs w:val="18"/>
        </w:rPr>
        <w:t xml:space="preserve">Acuerdo Final para la Terminación del Conflicto Armado y la </w:t>
      </w:r>
      <w:r w:rsidR="00206E87" w:rsidRPr="00EA34CE">
        <w:rPr>
          <w:rFonts w:ascii="Cambria" w:hAnsi="Cambria" w:cs="Arial"/>
          <w:sz w:val="18"/>
          <w:szCs w:val="18"/>
        </w:rPr>
        <w:t>Construcción</w:t>
      </w:r>
      <w:r w:rsidRPr="00EA34CE">
        <w:rPr>
          <w:rFonts w:ascii="Cambria" w:hAnsi="Cambria" w:cs="Arial"/>
          <w:sz w:val="18"/>
          <w:szCs w:val="18"/>
        </w:rPr>
        <w:t xml:space="preserve"> de una Paz estable y Duradera.2016.p. 26</w:t>
      </w:r>
    </w:p>
  </w:footnote>
  <w:footnote w:id="6">
    <w:p w14:paraId="21A08568" w14:textId="0CEB40BE" w:rsidR="004D6A87" w:rsidRPr="00487884" w:rsidRDefault="004D6A87" w:rsidP="00487884">
      <w:pPr>
        <w:jc w:val="both"/>
        <w:rPr>
          <w:rFonts w:ascii="Cambria" w:hAnsi="Cambria" w:cs="Arial"/>
          <w:sz w:val="18"/>
          <w:szCs w:val="18"/>
        </w:rPr>
      </w:pPr>
      <w:r w:rsidRPr="00487884">
        <w:rPr>
          <w:rStyle w:val="Refdenotaalpie"/>
          <w:rFonts w:ascii="Cambria" w:hAnsi="Cambria" w:cs="Arial"/>
          <w:sz w:val="18"/>
          <w:szCs w:val="18"/>
        </w:rPr>
        <w:footnoteRef/>
      </w:r>
      <w:r w:rsidR="00BF5151" w:rsidRPr="00487884">
        <w:rPr>
          <w:rFonts w:ascii="Cambria" w:hAnsi="Cambria" w:cs="Arial"/>
          <w:sz w:val="18"/>
          <w:szCs w:val="18"/>
        </w:rPr>
        <w:t xml:space="preserve"> De acuerdo con el Departamento Nacional de Planeación (DNP) </w:t>
      </w:r>
      <w:r w:rsidRPr="00487884">
        <w:rPr>
          <w:rFonts w:ascii="Cambria" w:hAnsi="Cambria" w:cs="Arial"/>
          <w:sz w:val="18"/>
          <w:szCs w:val="18"/>
        </w:rPr>
        <w:t>El C</w:t>
      </w:r>
      <w:r w:rsidRPr="00487884">
        <w:rPr>
          <w:rFonts w:ascii="Cambria" w:hAnsi="Cambria" w:cs="Arial"/>
          <w:color w:val="000000"/>
          <w:sz w:val="18"/>
          <w:szCs w:val="18"/>
          <w:shd w:val="clear" w:color="auto" w:fill="FFFFFF"/>
        </w:rPr>
        <w:t>onsejo Nacional de Política Económica y Social</w:t>
      </w:r>
      <w:r w:rsidRPr="00487884">
        <w:rPr>
          <w:rFonts w:ascii="Cambria" w:hAnsi="Cambria" w:cs="Arial"/>
          <w:sz w:val="18"/>
          <w:szCs w:val="18"/>
        </w:rPr>
        <w:t xml:space="preserve"> (CONPES) </w:t>
      </w:r>
      <w:r w:rsidRPr="00487884">
        <w:rPr>
          <w:rFonts w:ascii="Cambria" w:hAnsi="Cambria" w:cs="Arial"/>
          <w:color w:val="000000"/>
          <w:sz w:val="18"/>
          <w:szCs w:val="18"/>
          <w:shd w:val="clear" w:color="auto" w:fill="FFFFFF"/>
        </w:rPr>
        <w:t>“es la máxima autoridad nacional de planeación y se desempeña como organismo asesor del Gobierno en todos los aspectos relacionados con el desarrollo económico y social del país. Para lograrlo, coordina y orienta a los organismos encargados de la dirección económica y social en el Gobierno, a través del estudio y aprobación de documentos sobre el desarrollo de políticas generales que son presentados en sesión"</w:t>
      </w:r>
      <w:r w:rsidR="00F137EA" w:rsidRPr="00487884">
        <w:rPr>
          <w:rFonts w:ascii="Cambria" w:hAnsi="Cambria" w:cs="Arial"/>
          <w:color w:val="000000"/>
          <w:sz w:val="18"/>
          <w:szCs w:val="18"/>
          <w:shd w:val="clear" w:color="auto" w:fill="FFFFFF"/>
        </w:rPr>
        <w:t xml:space="preserve"> </w:t>
      </w:r>
      <w:r w:rsidRPr="00487884">
        <w:rPr>
          <w:rFonts w:ascii="Cambria" w:hAnsi="Cambria" w:cs="Arial"/>
          <w:color w:val="000000"/>
          <w:sz w:val="18"/>
          <w:szCs w:val="18"/>
          <w:shd w:val="clear" w:color="auto" w:fill="FFFFFF"/>
        </w:rPr>
        <w:t xml:space="preserve">Los documentos </w:t>
      </w:r>
      <w:r w:rsidR="00BF5151" w:rsidRPr="00487884">
        <w:rPr>
          <w:rFonts w:ascii="Cambria" w:hAnsi="Cambria" w:cs="Arial"/>
          <w:color w:val="000000"/>
          <w:sz w:val="18"/>
          <w:szCs w:val="18"/>
          <w:shd w:val="clear" w:color="auto" w:fill="FFFFFF"/>
        </w:rPr>
        <w:t xml:space="preserve"> CONPES </w:t>
      </w:r>
      <w:r w:rsidRPr="00487884">
        <w:rPr>
          <w:rFonts w:ascii="Cambria" w:hAnsi="Cambria" w:cs="Arial"/>
          <w:color w:val="000000"/>
          <w:sz w:val="18"/>
          <w:szCs w:val="18"/>
          <w:shd w:val="clear" w:color="auto" w:fill="FFFFFF"/>
        </w:rPr>
        <w:t xml:space="preserve">son hojas de ruta en materia económica y social. </w:t>
      </w:r>
    </w:p>
  </w:footnote>
  <w:footnote w:id="7">
    <w:p w14:paraId="303DE3EB" w14:textId="73C7BBC1" w:rsidR="00B7186B" w:rsidRPr="00487884" w:rsidRDefault="00BF5151" w:rsidP="00487884">
      <w:pPr>
        <w:jc w:val="both"/>
        <w:rPr>
          <w:rFonts w:ascii="Cambria" w:hAnsi="Cambria" w:cs="Arial"/>
          <w:color w:val="333537"/>
          <w:sz w:val="18"/>
          <w:szCs w:val="18"/>
          <w:shd w:val="clear" w:color="auto" w:fill="FFFFFF"/>
        </w:rPr>
      </w:pPr>
      <w:r w:rsidRPr="00487884">
        <w:rPr>
          <w:rStyle w:val="Refdenotaalpie"/>
          <w:rFonts w:ascii="Cambria" w:hAnsi="Cambria" w:cs="Arial"/>
          <w:sz w:val="18"/>
          <w:szCs w:val="18"/>
        </w:rPr>
        <w:footnoteRef/>
      </w:r>
      <w:r w:rsidRPr="00487884">
        <w:rPr>
          <w:rFonts w:ascii="Cambria" w:hAnsi="Cambria" w:cs="Arial"/>
          <w:sz w:val="18"/>
          <w:szCs w:val="18"/>
        </w:rPr>
        <w:t xml:space="preserve"> La </w:t>
      </w:r>
      <w:proofErr w:type="spellStart"/>
      <w:r w:rsidRPr="00487884">
        <w:rPr>
          <w:rFonts w:ascii="Cambria" w:hAnsi="Cambria" w:cs="Arial"/>
          <w:sz w:val="18"/>
          <w:szCs w:val="18"/>
        </w:rPr>
        <w:t>Cepal</w:t>
      </w:r>
      <w:proofErr w:type="spellEnd"/>
      <w:r w:rsidRPr="00487884">
        <w:rPr>
          <w:rFonts w:ascii="Cambria" w:hAnsi="Cambria" w:cs="Arial"/>
          <w:sz w:val="18"/>
          <w:szCs w:val="18"/>
        </w:rPr>
        <w:t xml:space="preserve"> define la </w:t>
      </w:r>
      <w:r w:rsidRPr="00487884">
        <w:rPr>
          <w:rFonts w:ascii="Cambria" w:hAnsi="Cambria" w:cs="Arial"/>
          <w:color w:val="000000" w:themeColor="text1"/>
          <w:sz w:val="18"/>
          <w:szCs w:val="18"/>
        </w:rPr>
        <w:t>autonomía como “</w:t>
      </w:r>
      <w:r w:rsidRPr="00487884">
        <w:rPr>
          <w:rFonts w:ascii="Cambria" w:hAnsi="Cambria" w:cs="Arial"/>
          <w:color w:val="000000" w:themeColor="text1"/>
          <w:sz w:val="18"/>
          <w:szCs w:val="18"/>
          <w:shd w:val="clear" w:color="auto" w:fill="FFFFFF"/>
        </w:rPr>
        <w:t>la capacidad de las personas para tomar decisiones libres e informadas sobre sus vidas, de manera de poder ser y hacer en función de sus propias aspiraciones y deseos en el contexto histórico que las hace posibles”</w:t>
      </w:r>
      <w:r w:rsidR="00B7186B" w:rsidRPr="00487884">
        <w:rPr>
          <w:rFonts w:ascii="Cambria" w:hAnsi="Cambria" w:cs="Arial"/>
          <w:color w:val="000000" w:themeColor="text1"/>
          <w:sz w:val="18"/>
          <w:szCs w:val="18"/>
          <w:shd w:val="clear" w:color="auto" w:fill="FFFFFF"/>
        </w:rPr>
        <w:t xml:space="preserve">, </w:t>
      </w:r>
      <w:r w:rsidR="0010334C" w:rsidRPr="00487884">
        <w:rPr>
          <w:rFonts w:ascii="Cambria" w:hAnsi="Cambria" w:cs="Arial"/>
          <w:color w:val="000000" w:themeColor="text1"/>
          <w:sz w:val="18"/>
          <w:szCs w:val="18"/>
          <w:shd w:val="clear" w:color="auto" w:fill="FFFFFF"/>
        </w:rPr>
        <w:t>planteando</w:t>
      </w:r>
      <w:r w:rsidRPr="00487884">
        <w:rPr>
          <w:rFonts w:ascii="Cambria" w:hAnsi="Cambria" w:cs="Arial"/>
          <w:color w:val="000000" w:themeColor="text1"/>
          <w:sz w:val="18"/>
          <w:szCs w:val="18"/>
          <w:shd w:val="clear" w:color="auto" w:fill="FFFFFF"/>
        </w:rPr>
        <w:t xml:space="preserve"> que es “un factor fundamental para garantizar el ejercicio de sus derechos humanos en un contexto de plena igualdad y en este sentido una condición para la superación de las injusticias de género.  La autonomía se convierte en un elemento central para alcanzar la igualdad, como un derecho humano fundamental, y una precondición para que las mujeres actúen como sujetos plenos del desarrollo”</w:t>
      </w:r>
      <w:r w:rsidR="00B7186B" w:rsidRPr="00487884">
        <w:rPr>
          <w:rFonts w:ascii="Cambria" w:hAnsi="Cambria" w:cs="Arial"/>
          <w:color w:val="000000" w:themeColor="text1"/>
          <w:sz w:val="18"/>
          <w:szCs w:val="18"/>
          <w:shd w:val="clear" w:color="auto" w:fill="FFFFFF"/>
        </w:rPr>
        <w:t xml:space="preserve"> Disponible en: </w:t>
      </w:r>
      <w:r w:rsidRPr="00487884">
        <w:rPr>
          <w:rFonts w:ascii="Cambria" w:hAnsi="Cambria" w:cs="Arial"/>
          <w:color w:val="000000" w:themeColor="text1"/>
          <w:sz w:val="18"/>
          <w:szCs w:val="18"/>
          <w:shd w:val="clear" w:color="auto" w:fill="FFFFFF"/>
        </w:rPr>
        <w:t xml:space="preserve"> </w:t>
      </w:r>
      <w:r w:rsidR="00B7186B" w:rsidRPr="00487884">
        <w:rPr>
          <w:rFonts w:ascii="Cambria" w:hAnsi="Cambria" w:cs="Arial"/>
          <w:color w:val="000000" w:themeColor="text1"/>
          <w:sz w:val="18"/>
          <w:szCs w:val="18"/>
          <w:shd w:val="clear" w:color="auto" w:fill="FFFFFF"/>
        </w:rPr>
        <w:t>https://oig.cepal.org/es/autonomias/interrelacion-autonomias</w:t>
      </w:r>
    </w:p>
  </w:footnote>
  <w:footnote w:id="8">
    <w:p w14:paraId="0AEA4F60" w14:textId="51B6F6B9" w:rsidR="00A02A5D" w:rsidRPr="00487884" w:rsidRDefault="00A02A5D" w:rsidP="00487884">
      <w:pPr>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w:t>
      </w:r>
      <w:r w:rsidRPr="00487884">
        <w:rPr>
          <w:rFonts w:ascii="Cambria" w:hAnsi="Cambria" w:cs="Arial"/>
          <w:sz w:val="18"/>
          <w:szCs w:val="18"/>
          <w:lang w:val="es-ES"/>
        </w:rPr>
        <w:t xml:space="preserve">Instancia Especial de Mujeres para el Enfoque de Género en la Paz. </w:t>
      </w:r>
      <w:r w:rsidRPr="00487884">
        <w:rPr>
          <w:rFonts w:ascii="Cambria" w:hAnsi="Cambria" w:cs="Arial"/>
          <w:sz w:val="18"/>
          <w:szCs w:val="18"/>
        </w:rPr>
        <w:t xml:space="preserve">Comentarios planes de trabajo para dar cumplimiento a los 51 indicadores de género del plan marco de implementación del acuerdo final.  2019. </w:t>
      </w:r>
    </w:p>
  </w:footnote>
  <w:footnote w:id="9">
    <w:p w14:paraId="1C5D2018" w14:textId="274EF899" w:rsidR="00A02A5D" w:rsidRPr="00487884" w:rsidRDefault="00A02A5D" w:rsidP="00487884">
      <w:pPr>
        <w:jc w:val="both"/>
        <w:rPr>
          <w:rFonts w:ascii="Cambria" w:hAnsi="Cambria" w:cs="Arial"/>
          <w:color w:val="FF0000"/>
          <w:sz w:val="18"/>
          <w:szCs w:val="18"/>
          <w:shd w:val="clear" w:color="auto" w:fill="FFFFFF"/>
        </w:rPr>
      </w:pPr>
      <w:r w:rsidRPr="00487884">
        <w:rPr>
          <w:rStyle w:val="Refdenotaalpie"/>
          <w:rFonts w:ascii="Cambria" w:hAnsi="Cambria" w:cs="Arial"/>
          <w:sz w:val="18"/>
          <w:szCs w:val="18"/>
        </w:rPr>
        <w:footnoteRef/>
      </w:r>
      <w:r w:rsidRPr="00487884">
        <w:rPr>
          <w:rFonts w:ascii="Cambria" w:hAnsi="Cambria" w:cs="Arial"/>
          <w:sz w:val="18"/>
          <w:szCs w:val="18"/>
        </w:rPr>
        <w:t xml:space="preserve"> </w:t>
      </w:r>
      <w:r w:rsidR="00833C00" w:rsidRPr="00487884">
        <w:rPr>
          <w:rFonts w:ascii="Cambria" w:hAnsi="Cambria" w:cs="Arial"/>
          <w:color w:val="000000"/>
          <w:sz w:val="18"/>
          <w:szCs w:val="18"/>
          <w:shd w:val="clear" w:color="auto" w:fill="FFFFFF"/>
        </w:rPr>
        <w:t xml:space="preserve">La Instancia Especial de Mujeres para el Enfoque de Género en la Paz surge del punto 6.1. del </w:t>
      </w:r>
      <w:r w:rsidR="00B7186B" w:rsidRPr="00487884">
        <w:rPr>
          <w:rFonts w:ascii="Cambria" w:hAnsi="Cambria" w:cs="Arial"/>
          <w:color w:val="000000"/>
          <w:sz w:val="18"/>
          <w:szCs w:val="18"/>
          <w:shd w:val="clear" w:color="auto" w:fill="FFFFFF"/>
        </w:rPr>
        <w:t>A</w:t>
      </w:r>
      <w:r w:rsidR="00833C00" w:rsidRPr="00487884">
        <w:rPr>
          <w:rFonts w:ascii="Cambria" w:hAnsi="Cambria" w:cs="Arial"/>
          <w:color w:val="000000"/>
          <w:sz w:val="18"/>
          <w:szCs w:val="18"/>
          <w:shd w:val="clear" w:color="auto" w:fill="FFFFFF"/>
        </w:rPr>
        <w:t>cuerdo Final orientado a los “mecanismos de implementación, verificación” con el fin de contribuir al seguimiento del enfoque de género y garantía de los derechos de las mujeres y la población LGBT</w:t>
      </w:r>
      <w:r w:rsidR="00833C00" w:rsidRPr="00487884">
        <w:rPr>
          <w:rFonts w:ascii="Cambria" w:hAnsi="Cambria" w:cs="Arial"/>
          <w:color w:val="FF0000"/>
          <w:sz w:val="18"/>
          <w:szCs w:val="18"/>
          <w:shd w:val="clear" w:color="auto" w:fill="FFFFFF"/>
        </w:rPr>
        <w:t xml:space="preserve">. </w:t>
      </w:r>
      <w:r w:rsidR="00833C00" w:rsidRPr="00487884">
        <w:rPr>
          <w:rFonts w:ascii="Cambria" w:hAnsi="Cambria" w:cs="Arial"/>
          <w:color w:val="000000" w:themeColor="text1"/>
          <w:sz w:val="18"/>
          <w:szCs w:val="18"/>
          <w:shd w:val="clear" w:color="auto" w:fill="FFFFFF"/>
        </w:rPr>
        <w:t xml:space="preserve">Fue </w:t>
      </w:r>
      <w:r w:rsidR="0010334C" w:rsidRPr="00487884">
        <w:rPr>
          <w:rFonts w:ascii="Cambria" w:hAnsi="Cambria" w:cs="Arial"/>
          <w:color w:val="000000" w:themeColor="text1"/>
          <w:sz w:val="18"/>
          <w:szCs w:val="18"/>
          <w:shd w:val="clear" w:color="auto" w:fill="FFFFFF"/>
        </w:rPr>
        <w:t xml:space="preserve">en el </w:t>
      </w:r>
      <w:r w:rsidR="00833C00" w:rsidRPr="00487884">
        <w:rPr>
          <w:rFonts w:ascii="Cambria" w:hAnsi="Cambria" w:cs="Arial"/>
          <w:color w:val="000000"/>
          <w:sz w:val="18"/>
          <w:szCs w:val="18"/>
          <w:shd w:val="clear" w:color="auto" w:fill="FFFFFF"/>
        </w:rPr>
        <w:t>2017</w:t>
      </w:r>
      <w:r w:rsidR="0010334C" w:rsidRPr="00487884">
        <w:rPr>
          <w:rFonts w:ascii="Cambria" w:hAnsi="Cambria" w:cs="Arial"/>
          <w:color w:val="000000"/>
          <w:sz w:val="18"/>
          <w:szCs w:val="18"/>
          <w:shd w:val="clear" w:color="auto" w:fill="FFFFFF"/>
        </w:rPr>
        <w:t xml:space="preserve"> y durante estos años ha realizado </w:t>
      </w:r>
      <w:r w:rsidR="00833C00" w:rsidRPr="00487884">
        <w:rPr>
          <w:rFonts w:ascii="Cambria" w:hAnsi="Cambria" w:cs="Arial"/>
          <w:color w:val="000000"/>
          <w:sz w:val="18"/>
          <w:szCs w:val="18"/>
          <w:shd w:val="clear" w:color="auto" w:fill="FFFFFF"/>
        </w:rPr>
        <w:t xml:space="preserve">incidencia, seguimiento </w:t>
      </w:r>
      <w:r w:rsidR="0010334C" w:rsidRPr="00487884">
        <w:rPr>
          <w:rFonts w:ascii="Cambria" w:hAnsi="Cambria" w:cs="Arial"/>
          <w:color w:val="000000"/>
          <w:sz w:val="18"/>
          <w:szCs w:val="18"/>
          <w:shd w:val="clear" w:color="auto" w:fill="FFFFFF"/>
        </w:rPr>
        <w:t xml:space="preserve">y </w:t>
      </w:r>
      <w:r w:rsidR="00833C00" w:rsidRPr="00487884">
        <w:rPr>
          <w:rFonts w:ascii="Cambria" w:hAnsi="Cambria" w:cs="Arial"/>
          <w:color w:val="000000"/>
          <w:sz w:val="18"/>
          <w:szCs w:val="18"/>
          <w:shd w:val="clear" w:color="auto" w:fill="FFFFFF"/>
        </w:rPr>
        <w:t>verifica</w:t>
      </w:r>
      <w:r w:rsidR="0010334C" w:rsidRPr="00487884">
        <w:rPr>
          <w:rFonts w:ascii="Cambria" w:hAnsi="Cambria" w:cs="Arial"/>
          <w:color w:val="000000"/>
          <w:sz w:val="18"/>
          <w:szCs w:val="18"/>
          <w:shd w:val="clear" w:color="auto" w:fill="FFFFFF"/>
        </w:rPr>
        <w:t>ción de</w:t>
      </w:r>
      <w:r w:rsidR="00833C00" w:rsidRPr="00487884">
        <w:rPr>
          <w:rFonts w:ascii="Cambria" w:hAnsi="Cambria" w:cs="Arial"/>
          <w:color w:val="000000"/>
          <w:sz w:val="18"/>
          <w:szCs w:val="18"/>
          <w:shd w:val="clear" w:color="auto" w:fill="FFFFFF"/>
        </w:rPr>
        <w:t xml:space="preserve"> la </w:t>
      </w:r>
      <w:r w:rsidR="0010334C" w:rsidRPr="00487884">
        <w:rPr>
          <w:rFonts w:ascii="Cambria" w:hAnsi="Cambria" w:cs="Arial"/>
          <w:color w:val="000000"/>
          <w:sz w:val="18"/>
          <w:szCs w:val="18"/>
          <w:shd w:val="clear" w:color="auto" w:fill="FFFFFF"/>
        </w:rPr>
        <w:t>implementación</w:t>
      </w:r>
      <w:r w:rsidR="00833C00" w:rsidRPr="00487884">
        <w:rPr>
          <w:rFonts w:ascii="Cambria" w:hAnsi="Cambria" w:cs="Arial"/>
          <w:color w:val="000000"/>
          <w:sz w:val="18"/>
          <w:szCs w:val="18"/>
          <w:shd w:val="clear" w:color="auto" w:fill="FFFFFF"/>
        </w:rPr>
        <w:t xml:space="preserve"> del enfoque de género</w:t>
      </w:r>
      <w:r w:rsidR="0010334C" w:rsidRPr="00487884">
        <w:rPr>
          <w:rFonts w:ascii="Cambria" w:hAnsi="Cambria" w:cs="Arial"/>
          <w:color w:val="000000"/>
          <w:sz w:val="18"/>
          <w:szCs w:val="18"/>
          <w:shd w:val="clear" w:color="auto" w:fill="FFFFFF"/>
        </w:rPr>
        <w:t xml:space="preserve"> </w:t>
      </w:r>
      <w:r w:rsidR="00833C00" w:rsidRPr="00487884">
        <w:rPr>
          <w:rFonts w:ascii="Cambria" w:hAnsi="Cambria" w:cs="Arial"/>
          <w:color w:val="000000"/>
          <w:sz w:val="18"/>
          <w:szCs w:val="18"/>
          <w:shd w:val="clear" w:color="auto" w:fill="FFFFFF"/>
        </w:rPr>
        <w:t>del Acuerdo de Paz</w:t>
      </w:r>
      <w:r w:rsidR="0010334C" w:rsidRPr="00487884">
        <w:rPr>
          <w:rFonts w:ascii="Cambria" w:hAnsi="Cambria" w:cs="Arial"/>
          <w:color w:val="000000"/>
          <w:sz w:val="18"/>
          <w:szCs w:val="18"/>
          <w:shd w:val="clear" w:color="auto" w:fill="FFFFFF"/>
        </w:rPr>
        <w:t xml:space="preserve">. </w:t>
      </w:r>
    </w:p>
  </w:footnote>
  <w:footnote w:id="10">
    <w:p w14:paraId="168B5D81" w14:textId="554BC2D3" w:rsidR="00833C00" w:rsidRPr="00487884" w:rsidRDefault="00833C00" w:rsidP="00487884">
      <w:pPr>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Entre las cuales se destaca la labor de Grupo de Género en la Paz </w:t>
      </w:r>
      <w:r w:rsidR="0010334C" w:rsidRPr="00487884">
        <w:rPr>
          <w:rFonts w:ascii="Cambria" w:hAnsi="Cambria" w:cs="Arial"/>
          <w:sz w:val="18"/>
          <w:szCs w:val="18"/>
        </w:rPr>
        <w:t>-</w:t>
      </w:r>
      <w:r w:rsidRPr="00487884">
        <w:rPr>
          <w:rFonts w:ascii="Cambria" w:hAnsi="Cambria" w:cs="Arial"/>
          <w:sz w:val="18"/>
          <w:szCs w:val="18"/>
        </w:rPr>
        <w:t>GPAZ</w:t>
      </w:r>
      <w:r w:rsidR="0010334C" w:rsidRPr="00487884">
        <w:rPr>
          <w:rFonts w:ascii="Cambria" w:hAnsi="Cambria" w:cs="Arial"/>
          <w:sz w:val="18"/>
          <w:szCs w:val="18"/>
        </w:rPr>
        <w:t xml:space="preserve">-, conformado por </w:t>
      </w:r>
      <w:r w:rsidRPr="00487884">
        <w:rPr>
          <w:rFonts w:ascii="Cambria" w:hAnsi="Cambria" w:cs="Arial"/>
          <w:sz w:val="18"/>
          <w:szCs w:val="18"/>
        </w:rPr>
        <w:t>u</w:t>
      </w:r>
      <w:r w:rsidRPr="00487884">
        <w:rPr>
          <w:rFonts w:ascii="Cambria" w:hAnsi="Cambria" w:cs="Arial"/>
          <w:color w:val="000000"/>
          <w:sz w:val="18"/>
          <w:szCs w:val="18"/>
        </w:rPr>
        <w:t>n grupo de organizaciones que ha velado porque se incluya y se dé cumplimiento al enfoque de género en el Acuerdo de Paz</w:t>
      </w:r>
      <w:r w:rsidR="0010334C" w:rsidRPr="00487884">
        <w:rPr>
          <w:rFonts w:ascii="Cambria" w:hAnsi="Cambria" w:cs="Arial"/>
          <w:color w:val="000000"/>
          <w:sz w:val="18"/>
          <w:szCs w:val="18"/>
        </w:rPr>
        <w:t>.</w:t>
      </w:r>
      <w:r w:rsidRPr="00487884">
        <w:rPr>
          <w:rFonts w:ascii="Cambria" w:hAnsi="Cambria" w:cs="Arial"/>
          <w:color w:val="000000"/>
          <w:sz w:val="18"/>
          <w:szCs w:val="18"/>
        </w:rPr>
        <w:t xml:space="preserve"> </w:t>
      </w:r>
    </w:p>
  </w:footnote>
  <w:footnote w:id="11">
    <w:p w14:paraId="498C8211" w14:textId="6FF107E0" w:rsidR="00B7186B" w:rsidRPr="00487884" w:rsidRDefault="00B7186B" w:rsidP="00487884">
      <w:pPr>
        <w:pStyle w:val="Textonotapie"/>
        <w:jc w:val="both"/>
        <w:rPr>
          <w:rFonts w:ascii="Cambria" w:hAnsi="Cambria" w:cs="Arial"/>
          <w:color w:val="000000"/>
          <w:sz w:val="18"/>
          <w:szCs w:val="18"/>
          <w:shd w:val="clear" w:color="auto" w:fill="FFFFFF"/>
        </w:rPr>
      </w:pPr>
      <w:r w:rsidRPr="00487884">
        <w:rPr>
          <w:rStyle w:val="Refdenotaalpie"/>
          <w:rFonts w:ascii="Cambria" w:hAnsi="Cambria" w:cs="Arial"/>
          <w:sz w:val="18"/>
          <w:szCs w:val="18"/>
        </w:rPr>
        <w:footnoteRef/>
      </w:r>
      <w:r w:rsidRPr="00487884">
        <w:rPr>
          <w:rFonts w:ascii="Cambria" w:hAnsi="Cambria" w:cs="Arial"/>
          <w:sz w:val="18"/>
          <w:szCs w:val="18"/>
        </w:rPr>
        <w:t xml:space="preserve"> </w:t>
      </w:r>
      <w:r w:rsidR="0010334C" w:rsidRPr="00487884">
        <w:rPr>
          <w:rFonts w:ascii="Cambria" w:hAnsi="Cambria" w:cs="Arial"/>
          <w:color w:val="000000" w:themeColor="text1"/>
          <w:sz w:val="18"/>
          <w:szCs w:val="18"/>
        </w:rPr>
        <w:t>Procuraduría</w:t>
      </w:r>
      <w:r w:rsidRPr="00487884">
        <w:rPr>
          <w:rFonts w:ascii="Cambria" w:hAnsi="Cambria" w:cs="Arial"/>
          <w:color w:val="000000" w:themeColor="text1"/>
          <w:sz w:val="18"/>
          <w:szCs w:val="18"/>
        </w:rPr>
        <w:t xml:space="preserve"> General de la Nación- </w:t>
      </w:r>
      <w:r w:rsidRPr="00487884">
        <w:rPr>
          <w:rFonts w:ascii="Cambria" w:hAnsi="Cambria" w:cs="Arial"/>
          <w:color w:val="000000" w:themeColor="text1"/>
          <w:sz w:val="18"/>
          <w:szCs w:val="18"/>
          <w:lang w:val="es-ES"/>
        </w:rPr>
        <w:t>PGN-. Balance Ley 1448 de 2011. Recomendaciones</w:t>
      </w:r>
      <w:r w:rsidR="0010334C" w:rsidRPr="00487884">
        <w:rPr>
          <w:rFonts w:ascii="Cambria" w:hAnsi="Cambria" w:cs="Arial"/>
          <w:color w:val="000000" w:themeColor="text1"/>
          <w:sz w:val="18"/>
          <w:szCs w:val="18"/>
          <w:lang w:val="es-ES"/>
        </w:rPr>
        <w:t xml:space="preserve"> </w:t>
      </w:r>
      <w:r w:rsidRPr="00487884">
        <w:rPr>
          <w:rFonts w:ascii="Cambria" w:hAnsi="Cambria" w:cs="Arial"/>
          <w:color w:val="000000" w:themeColor="text1"/>
          <w:sz w:val="18"/>
          <w:szCs w:val="18"/>
          <w:lang w:val="es-ES"/>
        </w:rPr>
        <w:t>para garantizar los derechos de las víctimas del conflicto armado, componente diferencial y de género.2020.p.136.</w:t>
      </w:r>
      <w:r w:rsidRPr="00487884">
        <w:rPr>
          <w:rFonts w:ascii="Cambria" w:hAnsi="Cambria" w:cs="Arial"/>
          <w:color w:val="000000"/>
          <w:sz w:val="18"/>
          <w:szCs w:val="18"/>
          <w:shd w:val="clear" w:color="auto" w:fill="FFFFFF"/>
        </w:rPr>
        <w:tab/>
      </w:r>
    </w:p>
  </w:footnote>
  <w:footnote w:id="12">
    <w:p w14:paraId="59FD61F9" w14:textId="2ADF3620" w:rsidR="00B7186B" w:rsidRPr="00487884" w:rsidRDefault="00B7186B" w:rsidP="00487884">
      <w:pPr>
        <w:pStyle w:val="Textonotapie"/>
        <w:ind w:left="709" w:hanging="709"/>
        <w:jc w:val="both"/>
        <w:rPr>
          <w:rFonts w:ascii="Cambria" w:hAnsi="Cambria" w:cs="Arial"/>
          <w:color w:val="000000" w:themeColor="text1"/>
          <w:sz w:val="18"/>
          <w:szCs w:val="18"/>
          <w:lang w:val="es-ES"/>
        </w:rPr>
      </w:pPr>
      <w:r w:rsidRPr="00487884">
        <w:rPr>
          <w:rStyle w:val="Refdenotaalpie"/>
          <w:rFonts w:ascii="Cambria" w:hAnsi="Cambria" w:cs="Arial"/>
          <w:sz w:val="18"/>
          <w:szCs w:val="18"/>
        </w:rPr>
        <w:footnoteRef/>
      </w:r>
      <w:r w:rsidRPr="00487884">
        <w:rPr>
          <w:rFonts w:ascii="Cambria" w:hAnsi="Cambria" w:cs="Arial"/>
          <w:sz w:val="18"/>
          <w:szCs w:val="18"/>
        </w:rPr>
        <w:t xml:space="preserve"> </w:t>
      </w:r>
      <w:proofErr w:type="spellStart"/>
      <w:r w:rsidRPr="00487884">
        <w:rPr>
          <w:rFonts w:ascii="Cambria" w:hAnsi="Cambria" w:cs="Arial"/>
          <w:sz w:val="18"/>
          <w:szCs w:val="18"/>
        </w:rPr>
        <w:t>Ibíd</w:t>
      </w:r>
      <w:proofErr w:type="spellEnd"/>
    </w:p>
  </w:footnote>
  <w:footnote w:id="13">
    <w:p w14:paraId="225DFCCC" w14:textId="507AC74F" w:rsidR="009E4DFC" w:rsidRPr="00487884" w:rsidRDefault="009E4DFC" w:rsidP="00487884">
      <w:pPr>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Se ha </w:t>
      </w:r>
      <w:r w:rsidR="00AC00C4" w:rsidRPr="00487884">
        <w:rPr>
          <w:rFonts w:ascii="Cambria" w:hAnsi="Cambria" w:cs="Arial"/>
          <w:sz w:val="18"/>
          <w:szCs w:val="18"/>
        </w:rPr>
        <w:t>constatado por organizaciones como Sisma Mujer y entidades como la Defensoría del Pueblo,</w:t>
      </w:r>
      <w:r w:rsidRPr="00487884">
        <w:rPr>
          <w:rFonts w:ascii="Cambria" w:hAnsi="Cambria" w:cs="Arial"/>
          <w:sz w:val="18"/>
          <w:szCs w:val="18"/>
        </w:rPr>
        <w:t xml:space="preserve"> que una de las agresiones particulares hacia mujeres lideresas y defensoras de derechos humanas son las </w:t>
      </w:r>
      <w:r w:rsidR="00AC00C4" w:rsidRPr="00487884">
        <w:rPr>
          <w:rFonts w:ascii="Cambria" w:hAnsi="Cambria" w:cs="Arial"/>
          <w:sz w:val="18"/>
          <w:szCs w:val="18"/>
        </w:rPr>
        <w:t>amenazas</w:t>
      </w:r>
      <w:r w:rsidRPr="00487884">
        <w:rPr>
          <w:rFonts w:ascii="Cambria" w:hAnsi="Cambria" w:cs="Arial"/>
          <w:sz w:val="18"/>
          <w:szCs w:val="18"/>
        </w:rPr>
        <w:t xml:space="preserve"> e intimidaciones contra sus hijos e hijas, </w:t>
      </w:r>
      <w:r w:rsidR="00AC00C4" w:rsidRPr="00487884">
        <w:rPr>
          <w:rFonts w:ascii="Cambria" w:hAnsi="Cambria" w:cs="Arial"/>
          <w:sz w:val="18"/>
          <w:szCs w:val="18"/>
        </w:rPr>
        <w:t>“</w:t>
      </w:r>
      <w:r w:rsidRPr="00487884">
        <w:rPr>
          <w:rFonts w:ascii="Cambria" w:hAnsi="Cambria" w:cs="Arial"/>
          <w:sz w:val="18"/>
          <w:szCs w:val="18"/>
        </w:rPr>
        <w:t>para debilitar en el caso de lideresas los procesos que adelantan</w:t>
      </w:r>
      <w:r w:rsidR="00AC00C4" w:rsidRPr="00487884">
        <w:rPr>
          <w:rFonts w:ascii="Cambria" w:hAnsi="Cambria" w:cs="Arial"/>
          <w:sz w:val="18"/>
          <w:szCs w:val="18"/>
        </w:rPr>
        <w:t xml:space="preserve">”. Disponible en: </w:t>
      </w:r>
      <w:r w:rsidRPr="00487884">
        <w:rPr>
          <w:rFonts w:ascii="Cambria" w:hAnsi="Cambria" w:cs="Arial"/>
          <w:sz w:val="18"/>
          <w:szCs w:val="18"/>
        </w:rPr>
        <w:t xml:space="preserve"> </w:t>
      </w:r>
      <w:hyperlink r:id="rId3" w:history="1">
        <w:r w:rsidR="00AC00C4" w:rsidRPr="00487884">
          <w:rPr>
            <w:rStyle w:val="Hipervnculo"/>
            <w:rFonts w:ascii="Cambria" w:hAnsi="Cambria" w:cs="Arial"/>
            <w:sz w:val="18"/>
            <w:szCs w:val="18"/>
          </w:rPr>
          <w:t>https://www.sismamujer.org/wp-content/uploads/2020/11/INFORME-SISMA-final.pdf</w:t>
        </w:r>
      </w:hyperlink>
      <w:r w:rsidR="00AC00C4" w:rsidRPr="00487884">
        <w:rPr>
          <w:rFonts w:ascii="Cambria" w:hAnsi="Cambria" w:cs="Arial"/>
          <w:sz w:val="18"/>
          <w:szCs w:val="18"/>
        </w:rPr>
        <w:t xml:space="preserve">. </w:t>
      </w:r>
    </w:p>
  </w:footnote>
  <w:footnote w:id="14">
    <w:p w14:paraId="191F30BF" w14:textId="113D06A1" w:rsidR="00AC00C4" w:rsidRPr="00487884" w:rsidRDefault="00AC00C4" w:rsidP="00487884">
      <w:pPr>
        <w:pStyle w:val="Textonotapie"/>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Comisión Colombiana de Juristas; ONIC; SISMA Mujer; Colombia Diversa; ASCSUCOR; et al. “El riesgo de defender y liderar: Pautas comunes y afectaciones diferenciales en las violaciones de los derechos humanos de las personas defensoras en Colombia.” 2020. P 141. Disponible en: </w:t>
      </w:r>
      <w:hyperlink r:id="rId4" w:history="1">
        <w:r w:rsidRPr="00487884">
          <w:rPr>
            <w:rStyle w:val="Hipervnculo"/>
            <w:rFonts w:ascii="Cambria" w:hAnsi="Cambria" w:cs="Arial"/>
            <w:sz w:val="18"/>
            <w:szCs w:val="18"/>
          </w:rPr>
          <w:t>https://www.sismamujer.org/wp-content/uploads/2020/10/Informe-El-Riesgo-de-Defender-y-Liderar7oct20.pdf</w:t>
        </w:r>
      </w:hyperlink>
    </w:p>
  </w:footnote>
  <w:footnote w:id="15">
    <w:p w14:paraId="04A5B9E7" w14:textId="31E4F9C7" w:rsidR="009E4DFC" w:rsidRPr="00487884" w:rsidRDefault="009E4DFC" w:rsidP="00487884">
      <w:pPr>
        <w:pStyle w:val="Textonotapie"/>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Sistema de Información sobre Agresiones contra Personas Defensoras de Derechos Humanos en Colombia – SIADDHH. La Mala Hora. 2020.</w:t>
      </w:r>
      <w:r w:rsidR="00AC00C4" w:rsidRPr="00487884">
        <w:rPr>
          <w:rFonts w:ascii="Cambria" w:hAnsi="Cambria" w:cs="Arial"/>
          <w:sz w:val="18"/>
          <w:szCs w:val="18"/>
        </w:rPr>
        <w:t>p</w:t>
      </w:r>
      <w:r w:rsidRPr="00487884">
        <w:rPr>
          <w:rFonts w:ascii="Cambria" w:hAnsi="Cambria" w:cs="Arial"/>
          <w:sz w:val="18"/>
          <w:szCs w:val="18"/>
        </w:rPr>
        <w:t>.85</w:t>
      </w:r>
      <w:r w:rsidRPr="00487884">
        <w:rPr>
          <w:rFonts w:ascii="Cambria" w:hAnsi="Cambria" w:cs="Arial"/>
          <w:sz w:val="18"/>
          <w:szCs w:val="18"/>
          <w:lang w:val="es-ES"/>
        </w:rPr>
        <w:t xml:space="preserve"> </w:t>
      </w:r>
    </w:p>
  </w:footnote>
  <w:footnote w:id="16">
    <w:p w14:paraId="64D98DCF" w14:textId="64A7A6F0" w:rsidR="009E4DFC" w:rsidRPr="00487884" w:rsidRDefault="009E4DFC" w:rsidP="00487884">
      <w:pPr>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lang w:val="es-ES"/>
        </w:rPr>
        <w:t xml:space="preserve">Sisma Mujer. </w:t>
      </w:r>
      <w:r w:rsidRPr="00487884">
        <w:rPr>
          <w:rFonts w:ascii="Cambria" w:hAnsi="Cambria" w:cs="Arial"/>
          <w:sz w:val="18"/>
          <w:szCs w:val="18"/>
        </w:rPr>
        <w:t>Situación de las lideresas y defensoras de derechos humanos en Colombia durante la pandemia</w:t>
      </w:r>
      <w:r w:rsidR="0010334C" w:rsidRPr="00487884">
        <w:rPr>
          <w:rFonts w:ascii="Cambria" w:hAnsi="Cambria" w:cs="Arial"/>
          <w:sz w:val="18"/>
          <w:szCs w:val="18"/>
        </w:rPr>
        <w:t>.</w:t>
      </w:r>
      <w:r w:rsidRPr="00487884">
        <w:rPr>
          <w:rFonts w:ascii="Cambria" w:hAnsi="Cambria" w:cs="Arial"/>
          <w:sz w:val="18"/>
          <w:szCs w:val="18"/>
        </w:rPr>
        <w:t xml:space="preserve"> Día internacional de las Defensoras de Derechos Humanos. 2020. </w:t>
      </w:r>
      <w:r w:rsidR="00AC00C4" w:rsidRPr="00487884">
        <w:rPr>
          <w:rFonts w:ascii="Cambria" w:hAnsi="Cambria" w:cs="Arial"/>
          <w:sz w:val="18"/>
          <w:szCs w:val="18"/>
        </w:rPr>
        <w:t>p</w:t>
      </w:r>
      <w:r w:rsidRPr="00487884">
        <w:rPr>
          <w:rFonts w:ascii="Cambria" w:hAnsi="Cambria" w:cs="Arial"/>
          <w:sz w:val="18"/>
          <w:szCs w:val="18"/>
        </w:rPr>
        <w:t xml:space="preserve">.3. </w:t>
      </w:r>
    </w:p>
  </w:footnote>
  <w:footnote w:id="17">
    <w:p w14:paraId="675F2052" w14:textId="11B6FFE1" w:rsidR="008C000A" w:rsidRPr="00487884" w:rsidRDefault="008C000A" w:rsidP="00487884">
      <w:pPr>
        <w:pStyle w:val="Textonotapie"/>
        <w:jc w:val="both"/>
        <w:rPr>
          <w:rFonts w:ascii="Cambria" w:hAnsi="Cambria" w:cs="Arial"/>
          <w:sz w:val="18"/>
          <w:szCs w:val="18"/>
          <w:lang w:val="es-ES"/>
        </w:rPr>
      </w:pPr>
      <w:r w:rsidRPr="00487884">
        <w:rPr>
          <w:rStyle w:val="Refdenotaalpie"/>
          <w:rFonts w:ascii="Cambria" w:hAnsi="Cambria" w:cs="Arial"/>
          <w:sz w:val="18"/>
          <w:szCs w:val="18"/>
        </w:rPr>
        <w:footnoteRef/>
      </w:r>
      <w:r w:rsidRPr="00487884">
        <w:rPr>
          <w:rFonts w:ascii="Cambria" w:hAnsi="Cambria" w:cs="Arial"/>
          <w:sz w:val="18"/>
          <w:szCs w:val="18"/>
        </w:rPr>
        <w:t xml:space="preserve"> Comisión Colombiana de Juristas; ONIC; SISMA Mujer; Colombia Diversa; ASCSUCOR; et al.</w:t>
      </w:r>
      <w:r w:rsidR="00586C05" w:rsidRPr="00487884">
        <w:rPr>
          <w:rFonts w:ascii="Cambria" w:hAnsi="Cambria" w:cs="Arial"/>
          <w:sz w:val="18"/>
          <w:szCs w:val="18"/>
        </w:rPr>
        <w:t xml:space="preserve"> </w:t>
      </w:r>
      <w:proofErr w:type="spellStart"/>
      <w:r w:rsidRPr="00487884">
        <w:rPr>
          <w:rFonts w:ascii="Cambria" w:hAnsi="Cambria" w:cs="Arial"/>
          <w:sz w:val="18"/>
          <w:szCs w:val="18"/>
        </w:rPr>
        <w:t>Op</w:t>
      </w:r>
      <w:proofErr w:type="spellEnd"/>
      <w:r w:rsidRPr="00487884">
        <w:rPr>
          <w:rFonts w:ascii="Cambria" w:hAnsi="Cambria" w:cs="Arial"/>
          <w:sz w:val="18"/>
          <w:szCs w:val="18"/>
        </w:rPr>
        <w:t>. cit.,p.133- .136</w:t>
      </w:r>
    </w:p>
  </w:footnote>
  <w:footnote w:id="18">
    <w:p w14:paraId="599C0B9C" w14:textId="364D6681" w:rsidR="008C000A" w:rsidRPr="00487884" w:rsidRDefault="008C000A" w:rsidP="00487884">
      <w:pPr>
        <w:pStyle w:val="Textonotapie"/>
        <w:jc w:val="both"/>
        <w:rPr>
          <w:rFonts w:ascii="Cambria" w:hAnsi="Cambria" w:cs="Arial"/>
          <w:color w:val="000000" w:themeColor="text1"/>
          <w:sz w:val="18"/>
          <w:szCs w:val="18"/>
        </w:rPr>
      </w:pPr>
      <w:r w:rsidRPr="00487884">
        <w:rPr>
          <w:rStyle w:val="Refdenotaalpie"/>
          <w:rFonts w:ascii="Cambria" w:hAnsi="Cambria" w:cs="Arial"/>
          <w:color w:val="000000" w:themeColor="text1"/>
          <w:sz w:val="18"/>
          <w:szCs w:val="18"/>
        </w:rPr>
        <w:footnoteRef/>
      </w:r>
      <w:r w:rsidRPr="00487884">
        <w:rPr>
          <w:rFonts w:ascii="Cambria" w:hAnsi="Cambria" w:cs="Arial"/>
          <w:color w:val="000000" w:themeColor="text1"/>
          <w:sz w:val="18"/>
          <w:szCs w:val="18"/>
        </w:rPr>
        <w:t xml:space="preserve"> </w:t>
      </w:r>
      <w:r w:rsidRPr="00487884">
        <w:rPr>
          <w:rFonts w:ascii="Cambria" w:hAnsi="Cambria" w:cs="Arial"/>
          <w:color w:val="000000" w:themeColor="text1"/>
          <w:sz w:val="18"/>
          <w:szCs w:val="18"/>
          <w:shd w:val="clear" w:color="auto" w:fill="FFFFFF"/>
        </w:rPr>
        <w:t xml:space="preserve">A lo anterior se le suma la </w:t>
      </w:r>
      <w:r w:rsidR="00360AAB" w:rsidRPr="00487884">
        <w:rPr>
          <w:rFonts w:ascii="Cambria" w:hAnsi="Cambria" w:cs="Arial"/>
          <w:color w:val="000000" w:themeColor="text1"/>
          <w:sz w:val="18"/>
          <w:szCs w:val="18"/>
          <w:shd w:val="clear" w:color="auto" w:fill="FFFFFF"/>
        </w:rPr>
        <w:t xml:space="preserve">debilidad </w:t>
      </w:r>
      <w:r w:rsidRPr="00487884">
        <w:rPr>
          <w:rFonts w:ascii="Cambria" w:hAnsi="Cambria" w:cs="Arial"/>
          <w:color w:val="000000" w:themeColor="text1"/>
          <w:sz w:val="18"/>
          <w:szCs w:val="18"/>
          <w:shd w:val="clear" w:color="auto" w:fill="FFFFFF"/>
        </w:rPr>
        <w:t>de</w:t>
      </w:r>
      <w:r w:rsidR="00360AAB" w:rsidRPr="00487884">
        <w:rPr>
          <w:rFonts w:ascii="Cambria" w:hAnsi="Cambria" w:cs="Arial"/>
          <w:color w:val="000000" w:themeColor="text1"/>
          <w:sz w:val="18"/>
          <w:szCs w:val="18"/>
          <w:shd w:val="clear" w:color="auto" w:fill="FFFFFF"/>
        </w:rPr>
        <w:t xml:space="preserve">l </w:t>
      </w:r>
      <w:r w:rsidRPr="00487884">
        <w:rPr>
          <w:rFonts w:ascii="Cambria" w:hAnsi="Cambria" w:cs="Arial"/>
          <w:color w:val="000000" w:themeColor="text1"/>
          <w:sz w:val="18"/>
          <w:szCs w:val="18"/>
          <w:shd w:val="clear" w:color="auto" w:fill="FFFFFF"/>
        </w:rPr>
        <w:t xml:space="preserve">enfoque de género en los esquemas de protección brindados por parte de la Unidad Nacional de Protección -UNP- , lo cual </w:t>
      </w:r>
      <w:proofErr w:type="spellStart"/>
      <w:r w:rsidRPr="00487884">
        <w:rPr>
          <w:rFonts w:ascii="Cambria" w:hAnsi="Cambria" w:cs="Arial"/>
          <w:color w:val="000000" w:themeColor="text1"/>
          <w:sz w:val="18"/>
          <w:szCs w:val="18"/>
          <w:shd w:val="clear" w:color="auto" w:fill="FFFFFF"/>
        </w:rPr>
        <w:t>revictimiza</w:t>
      </w:r>
      <w:proofErr w:type="spellEnd"/>
      <w:r w:rsidRPr="00487884">
        <w:rPr>
          <w:rFonts w:ascii="Cambria" w:hAnsi="Cambria" w:cs="Arial"/>
          <w:color w:val="000000" w:themeColor="text1"/>
          <w:sz w:val="18"/>
          <w:szCs w:val="18"/>
          <w:shd w:val="clear" w:color="auto" w:fill="FFFFFF"/>
        </w:rPr>
        <w:t xml:space="preserve"> y profundiza la discriminación en contra de mujeres en cargo de liderazgo; pues tal como lo ha señalado la Defensoría del Pueblo  “se han denunciado situaciones de violencia psicológica, hostigamiento o violencia sexual que va desde acoso hasta acceso carnal violento a las protegidas por parte de los hombres de protección</w:t>
      </w:r>
      <w:r w:rsidR="00360AAB" w:rsidRPr="00487884">
        <w:rPr>
          <w:rFonts w:ascii="Cambria" w:hAnsi="Cambria" w:cs="Arial"/>
          <w:color w:val="000000" w:themeColor="text1"/>
          <w:sz w:val="18"/>
          <w:szCs w:val="18"/>
          <w:shd w:val="clear" w:color="auto" w:fill="FFFFFF"/>
        </w:rPr>
        <w:t>”</w:t>
      </w:r>
      <w:r w:rsidRPr="00487884">
        <w:rPr>
          <w:rFonts w:ascii="Cambria" w:hAnsi="Cambria" w:cs="Arial"/>
          <w:color w:val="000000" w:themeColor="text1"/>
          <w:sz w:val="18"/>
          <w:szCs w:val="18"/>
          <w:shd w:val="clear" w:color="auto" w:fill="FFFFFF"/>
        </w:rPr>
        <w:t>.</w:t>
      </w:r>
    </w:p>
  </w:footnote>
  <w:footnote w:id="19">
    <w:p w14:paraId="196AC9D1" w14:textId="77777777" w:rsidR="00B8686A" w:rsidRPr="00487884" w:rsidRDefault="00B8686A" w:rsidP="00487884">
      <w:pPr>
        <w:pStyle w:val="Textonotapie"/>
        <w:jc w:val="both"/>
        <w:rPr>
          <w:rFonts w:ascii="Cambria" w:hAnsi="Cambria" w:cs="Arial"/>
          <w:color w:val="000000" w:themeColor="text1"/>
          <w:sz w:val="18"/>
          <w:szCs w:val="18"/>
        </w:rPr>
      </w:pPr>
      <w:r w:rsidRPr="00487884">
        <w:rPr>
          <w:rStyle w:val="Refdenotaalpie"/>
          <w:rFonts w:ascii="Cambria" w:hAnsi="Cambria" w:cs="Arial"/>
          <w:color w:val="000000" w:themeColor="text1"/>
          <w:sz w:val="18"/>
          <w:szCs w:val="18"/>
        </w:rPr>
        <w:footnoteRef/>
      </w:r>
      <w:r w:rsidRPr="00487884">
        <w:rPr>
          <w:rFonts w:ascii="Cambria" w:hAnsi="Cambria" w:cs="Arial"/>
          <w:color w:val="000000" w:themeColor="text1"/>
          <w:sz w:val="18"/>
          <w:szCs w:val="18"/>
        </w:rPr>
        <w:t xml:space="preserve"> Corte Constitucional Sentencias T-636 de 2007, T-988 de 2007, T- 209 de 2008, T-946 de 2008, T-009 de 2009, T-388 de 2009, T-585 de 2010, T-636 de 2011, T- 841 de 2011, T-959 de 2001, T-627 de 2012, T-532 de 2014, C-754 de 2015, T-301 de 2016, T-697 de 2016, T-731 de 2016, C-327 de 2016, C-341 de 2017 y SU-096 de 2018.</w:t>
      </w:r>
    </w:p>
  </w:footnote>
  <w:footnote w:id="20">
    <w:p w14:paraId="5E69BD78" w14:textId="41A30C40" w:rsidR="00B8686A" w:rsidRPr="00487884" w:rsidRDefault="00B8686A" w:rsidP="00487884">
      <w:pPr>
        <w:pStyle w:val="Textonotapie"/>
        <w:jc w:val="both"/>
        <w:rPr>
          <w:rFonts w:ascii="Cambria" w:hAnsi="Cambria" w:cs="Arial"/>
          <w:color w:val="000000" w:themeColor="text1"/>
          <w:sz w:val="18"/>
          <w:szCs w:val="18"/>
        </w:rPr>
      </w:pPr>
      <w:r w:rsidRPr="00487884">
        <w:rPr>
          <w:rStyle w:val="Refdenotaalpie"/>
          <w:rFonts w:ascii="Cambria" w:hAnsi="Cambria" w:cs="Arial"/>
          <w:color w:val="000000" w:themeColor="text1"/>
          <w:sz w:val="18"/>
          <w:szCs w:val="18"/>
        </w:rPr>
        <w:footnoteRef/>
      </w:r>
      <w:r w:rsidRPr="00487884">
        <w:rPr>
          <w:rFonts w:ascii="Cambria" w:hAnsi="Cambria" w:cs="Arial"/>
          <w:color w:val="000000" w:themeColor="text1"/>
          <w:sz w:val="18"/>
          <w:szCs w:val="18"/>
        </w:rPr>
        <w:t xml:space="preserve"> Teniendo en cuenta la violencia sexual que enfrentan particularmente las mujeres defensoras es necesario conocer la implementación del Protocolo de Atención de Casos de Violencia Sexual, incluyendo las consideraciones relativas a la IVE.  </w:t>
      </w:r>
    </w:p>
  </w:footnote>
  <w:footnote w:id="21">
    <w:p w14:paraId="3EEC737D" w14:textId="0BC9F8CD" w:rsidR="009D59D3" w:rsidRPr="00487884" w:rsidRDefault="009D59D3" w:rsidP="00487884">
      <w:pPr>
        <w:pStyle w:val="NormalWeb"/>
        <w:spacing w:before="0" w:beforeAutospacing="0" w:after="0" w:afterAutospacing="0"/>
        <w:jc w:val="both"/>
        <w:rPr>
          <w:rFonts w:ascii="Cambria" w:hAnsi="Cambria" w:cs="Arial"/>
          <w:sz w:val="18"/>
          <w:szCs w:val="18"/>
        </w:rPr>
      </w:pPr>
      <w:r w:rsidRPr="00487884">
        <w:rPr>
          <w:rStyle w:val="Refdenotaalpie"/>
          <w:rFonts w:ascii="Cambria" w:hAnsi="Cambria" w:cs="Arial"/>
          <w:color w:val="000000" w:themeColor="text1"/>
          <w:sz w:val="18"/>
          <w:szCs w:val="18"/>
        </w:rPr>
        <w:footnoteRef/>
      </w:r>
      <w:r w:rsidRPr="00487884">
        <w:rPr>
          <w:rFonts w:ascii="Cambria" w:hAnsi="Cambria" w:cs="Arial"/>
          <w:color w:val="000000" w:themeColor="text1"/>
          <w:sz w:val="18"/>
          <w:szCs w:val="18"/>
        </w:rPr>
        <w:t>Para ilustrarlo,</w:t>
      </w:r>
      <w:r w:rsidR="0010334C" w:rsidRPr="00487884">
        <w:rPr>
          <w:rFonts w:ascii="Cambria" w:hAnsi="Cambria" w:cs="Arial"/>
          <w:color w:val="000000" w:themeColor="text1"/>
          <w:sz w:val="18"/>
          <w:szCs w:val="18"/>
        </w:rPr>
        <w:t xml:space="preserve"> el Auto 092 de 2008, la Corte Constitucional, </w:t>
      </w:r>
      <w:r w:rsidRPr="00487884">
        <w:rPr>
          <w:rFonts w:ascii="Cambria" w:hAnsi="Cambria" w:cs="Arial"/>
          <w:color w:val="000000" w:themeColor="text1"/>
          <w:sz w:val="18"/>
          <w:szCs w:val="18"/>
        </w:rPr>
        <w:t xml:space="preserve"> las organizaciones de mujeres, la academia y los entes de control como la Procuraduría General de la Nación (PGN) y Defensoría del Pueblo</w:t>
      </w:r>
      <w:r w:rsidR="00E52FD8" w:rsidRPr="00487884">
        <w:rPr>
          <w:rFonts w:ascii="Cambria" w:hAnsi="Cambria" w:cs="Arial"/>
          <w:color w:val="000000" w:themeColor="text1"/>
          <w:sz w:val="18"/>
          <w:szCs w:val="18"/>
        </w:rPr>
        <w:t>.</w:t>
      </w:r>
    </w:p>
  </w:footnote>
  <w:footnote w:id="22">
    <w:p w14:paraId="71B7436B" w14:textId="0DF8ACED" w:rsidR="00AE1304" w:rsidRPr="00487884" w:rsidRDefault="00AE1304" w:rsidP="00487884">
      <w:pPr>
        <w:pStyle w:val="Textonotapie"/>
        <w:jc w:val="both"/>
        <w:rPr>
          <w:rFonts w:ascii="Cambria" w:hAnsi="Cambria" w:cs="Arial"/>
          <w:color w:val="FF0000"/>
          <w:sz w:val="18"/>
          <w:szCs w:val="18"/>
          <w:lang w:val="es-ES"/>
        </w:rPr>
      </w:pPr>
      <w:r w:rsidRPr="00487884">
        <w:rPr>
          <w:rStyle w:val="Refdenotaalpie"/>
          <w:rFonts w:ascii="Cambria" w:hAnsi="Cambria" w:cs="Arial"/>
          <w:color w:val="000000" w:themeColor="text1"/>
          <w:sz w:val="18"/>
          <w:szCs w:val="18"/>
        </w:rPr>
        <w:footnoteRef/>
      </w:r>
      <w:r w:rsidRPr="00487884">
        <w:rPr>
          <w:rFonts w:ascii="Cambria" w:hAnsi="Cambria" w:cs="Arial"/>
          <w:color w:val="000000" w:themeColor="text1"/>
          <w:sz w:val="18"/>
          <w:szCs w:val="18"/>
        </w:rPr>
        <w:t xml:space="preserve"> </w:t>
      </w:r>
      <w:r w:rsidR="00092D55" w:rsidRPr="00487884">
        <w:rPr>
          <w:rFonts w:ascii="Cambria" w:hAnsi="Cambria" w:cs="Arial"/>
          <w:color w:val="000000" w:themeColor="text1"/>
          <w:sz w:val="18"/>
          <w:szCs w:val="18"/>
        </w:rPr>
        <w:t>E</w:t>
      </w:r>
      <w:r w:rsidRPr="00487884">
        <w:rPr>
          <w:rFonts w:ascii="Cambria" w:hAnsi="Cambria" w:cs="Arial"/>
          <w:color w:val="000000" w:themeColor="text1"/>
          <w:sz w:val="18"/>
          <w:szCs w:val="18"/>
        </w:rPr>
        <w:t>n particular acciones como la esterilización, anticoncepción y  aborto forzado</w:t>
      </w:r>
      <w:r w:rsidR="00092D55" w:rsidRPr="00487884">
        <w:rPr>
          <w:rFonts w:ascii="Cambria" w:hAnsi="Cambria" w:cs="Arial"/>
          <w:color w:val="000000" w:themeColor="text1"/>
          <w:sz w:val="18"/>
          <w:szCs w:val="18"/>
        </w:rPr>
        <w:t xml:space="preserve">. </w:t>
      </w:r>
    </w:p>
  </w:footnote>
  <w:footnote w:id="23">
    <w:p w14:paraId="7DEB5625" w14:textId="2E91BD58" w:rsidR="00E52FD8" w:rsidRPr="00487884" w:rsidRDefault="00E52FD8" w:rsidP="00487884">
      <w:pPr>
        <w:pStyle w:val="Textonotapie"/>
        <w:jc w:val="both"/>
        <w:rPr>
          <w:rFonts w:ascii="Cambria" w:hAnsi="Cambria"/>
          <w:sz w:val="18"/>
          <w:szCs w:val="18"/>
          <w:lang w:val="es-ES"/>
        </w:rPr>
      </w:pPr>
      <w:r w:rsidRPr="00487884">
        <w:rPr>
          <w:rStyle w:val="Refdenotaalpie"/>
          <w:rFonts w:ascii="Cambria" w:hAnsi="Cambria"/>
          <w:sz w:val="18"/>
          <w:szCs w:val="18"/>
        </w:rPr>
        <w:footnoteRef/>
      </w:r>
      <w:r w:rsidRPr="00487884">
        <w:rPr>
          <w:rFonts w:ascii="Cambria" w:hAnsi="Cambria"/>
          <w:sz w:val="18"/>
          <w:szCs w:val="18"/>
        </w:rPr>
        <w:t xml:space="preserve"> La Alianza Cinco Claves para el tratamiento diferencial de la violencia sexual contra las mujeres y </w:t>
      </w:r>
      <w:r w:rsidRPr="00487884">
        <w:rPr>
          <w:rFonts w:ascii="Cambria" w:hAnsi="Cambria" w:cs="Arial"/>
          <w:sz w:val="18"/>
          <w:szCs w:val="18"/>
        </w:rPr>
        <w:t xml:space="preserve">niñas víctimas de la violencia sexual en el Acuerdo Final de Paz, conformada por Colombia Diversa, la Corporación Humanas, la Corporación Sisma Mujer, </w:t>
      </w:r>
      <w:proofErr w:type="spellStart"/>
      <w:r w:rsidRPr="00487884">
        <w:rPr>
          <w:rFonts w:ascii="Cambria" w:hAnsi="Cambria" w:cs="Arial"/>
          <w:sz w:val="18"/>
          <w:szCs w:val="18"/>
        </w:rPr>
        <w:t>Women’s</w:t>
      </w:r>
      <w:proofErr w:type="spellEnd"/>
      <w:r w:rsidRPr="00487884">
        <w:rPr>
          <w:rFonts w:ascii="Cambria" w:hAnsi="Cambria" w:cs="Arial"/>
          <w:sz w:val="18"/>
          <w:szCs w:val="18"/>
        </w:rPr>
        <w:t xml:space="preserve"> Link </w:t>
      </w:r>
      <w:proofErr w:type="spellStart"/>
      <w:r w:rsidRPr="00487884">
        <w:rPr>
          <w:rFonts w:ascii="Cambria" w:hAnsi="Cambria" w:cs="Arial"/>
          <w:sz w:val="18"/>
          <w:szCs w:val="18"/>
        </w:rPr>
        <w:t>Worldwide</w:t>
      </w:r>
      <w:proofErr w:type="spellEnd"/>
      <w:r w:rsidRPr="00487884">
        <w:rPr>
          <w:rFonts w:ascii="Cambria" w:hAnsi="Cambria" w:cs="Arial"/>
          <w:sz w:val="18"/>
          <w:szCs w:val="18"/>
        </w:rPr>
        <w:t xml:space="preserve"> y la Red Nacional de Mujeres, realizó un análisis del enfoque de género del  auto del caso 001 sobre secuestro expedido por la JEP, notando limitaciones como 1). Ausencia del enfoque de género en la investigación judicial. 2). Estereotipos socioculturales que omiten el enfoque de género en los casos de violencia sexual. 3). No hay desagregación de datos  </w:t>
      </w:r>
      <w:r w:rsidRPr="00487884">
        <w:rPr>
          <w:rFonts w:ascii="Cambria" w:hAnsi="Cambria" w:cs="Arial"/>
          <w:sz w:val="18"/>
          <w:szCs w:val="18"/>
          <w:shd w:val="clear" w:color="auto" w:fill="FFFFFF"/>
        </w:rPr>
        <w:t xml:space="preserve">de las personas secuestradas (orientación sexual o identidad de género). 4. En cuarto lugar, el Auto de la JEP no explica qué estrategias tomó para superar el alto </w:t>
      </w:r>
      <w:proofErr w:type="spellStart"/>
      <w:r w:rsidRPr="00487884">
        <w:rPr>
          <w:rFonts w:ascii="Cambria" w:hAnsi="Cambria" w:cs="Arial"/>
          <w:sz w:val="18"/>
          <w:szCs w:val="18"/>
          <w:shd w:val="clear" w:color="auto" w:fill="FFFFFF"/>
        </w:rPr>
        <w:t>subregistro</w:t>
      </w:r>
      <w:proofErr w:type="spellEnd"/>
      <w:r w:rsidRPr="00487884">
        <w:rPr>
          <w:rFonts w:ascii="Cambria" w:hAnsi="Cambria" w:cs="Arial"/>
          <w:sz w:val="18"/>
          <w:szCs w:val="18"/>
          <w:shd w:val="clear" w:color="auto" w:fill="FFFFFF"/>
        </w:rPr>
        <w:t xml:space="preserve"> que se sabe que existe en casos de violencia sexual, reproductiva y por prejuicio, a diferencia de lo que sí hizo con privaciones de la libertad. Sin una estrategia intencionada que, desde el principio busque superar este </w:t>
      </w:r>
      <w:proofErr w:type="spellStart"/>
      <w:r w:rsidRPr="00487884">
        <w:rPr>
          <w:rFonts w:ascii="Cambria" w:hAnsi="Cambria" w:cs="Arial"/>
          <w:sz w:val="18"/>
          <w:szCs w:val="18"/>
          <w:shd w:val="clear" w:color="auto" w:fill="FFFFFF"/>
        </w:rPr>
        <w:t>subregistro</w:t>
      </w:r>
      <w:proofErr w:type="spellEnd"/>
      <w:r w:rsidRPr="00487884">
        <w:rPr>
          <w:rFonts w:ascii="Cambria" w:hAnsi="Cambria" w:cs="Arial"/>
          <w:sz w:val="18"/>
          <w:szCs w:val="18"/>
          <w:shd w:val="clear" w:color="auto" w:fill="FFFFFF"/>
        </w:rPr>
        <w:t>, no se debe</w:t>
      </w:r>
      <w:r w:rsidRPr="00487884">
        <w:rPr>
          <w:rFonts w:ascii="Cambria" w:hAnsi="Cambria"/>
          <w:sz w:val="18"/>
          <w:szCs w:val="18"/>
          <w:shd w:val="clear" w:color="auto" w:fill="FFFFFF"/>
        </w:rPr>
        <w:t xml:space="preserve"> concluir, como hace la JEP, que estas violencias fueron hechos aislado.</w:t>
      </w:r>
    </w:p>
  </w:footnote>
  <w:footnote w:id="24">
    <w:p w14:paraId="71F5B416" w14:textId="02021E91" w:rsidR="00586C05" w:rsidRPr="00487884" w:rsidRDefault="00586C05" w:rsidP="00487884">
      <w:pPr>
        <w:pStyle w:val="Textonotapie"/>
        <w:jc w:val="both"/>
        <w:rPr>
          <w:rFonts w:ascii="Cambria" w:hAnsi="Cambria"/>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w:t>
      </w:r>
      <w:r w:rsidRPr="00487884">
        <w:rPr>
          <w:rFonts w:ascii="Cambria" w:eastAsiaTheme="minorHAnsi" w:hAnsi="Cambria" w:cs="Arial"/>
          <w:sz w:val="18"/>
          <w:szCs w:val="18"/>
          <w:lang w:val="es-ES_tradnl" w:eastAsia="en-US"/>
        </w:rPr>
        <w:t>Alianza Cinco Claves. Pronunciamiento Público para el tratamiento diferencial de la violencia sexual. 2021.</w:t>
      </w:r>
    </w:p>
  </w:footnote>
  <w:footnote w:id="25">
    <w:p w14:paraId="691C2ACE" w14:textId="0D3008C3" w:rsidR="00F179DD" w:rsidRPr="00487884" w:rsidRDefault="00F179DD" w:rsidP="00487884">
      <w:pPr>
        <w:jc w:val="both"/>
        <w:rPr>
          <w:rFonts w:ascii="Cambria" w:hAnsi="Cambria" w:cs="Arial"/>
          <w:color w:val="000000" w:themeColor="text1"/>
          <w:sz w:val="18"/>
          <w:szCs w:val="18"/>
        </w:rPr>
      </w:pPr>
      <w:r w:rsidRPr="00487884">
        <w:rPr>
          <w:rStyle w:val="Refdenotaalpie"/>
          <w:rFonts w:ascii="Cambria" w:hAnsi="Cambria" w:cs="Arial"/>
          <w:color w:val="000000" w:themeColor="text1"/>
          <w:sz w:val="18"/>
          <w:szCs w:val="18"/>
        </w:rPr>
        <w:footnoteRef/>
      </w:r>
      <w:r w:rsidRPr="00487884">
        <w:rPr>
          <w:rFonts w:ascii="Cambria" w:hAnsi="Cambria" w:cs="Arial"/>
          <w:color w:val="000000" w:themeColor="text1"/>
          <w:sz w:val="18"/>
          <w:szCs w:val="18"/>
        </w:rPr>
        <w:t xml:space="preserve"> </w:t>
      </w:r>
      <w:r w:rsidR="00EF3F11" w:rsidRPr="00487884">
        <w:rPr>
          <w:rFonts w:ascii="Cambria" w:hAnsi="Cambria" w:cs="Arial"/>
          <w:color w:val="000000" w:themeColor="text1"/>
          <w:sz w:val="18"/>
          <w:szCs w:val="18"/>
        </w:rPr>
        <w:t xml:space="preserve">La Mesa técnica de género del CNR </w:t>
      </w:r>
      <w:r w:rsidR="00EF3F11" w:rsidRPr="00487884">
        <w:rPr>
          <w:rFonts w:ascii="Cambria" w:hAnsi="Cambria" w:cs="Arial"/>
          <w:color w:val="000000" w:themeColor="text1"/>
          <w:sz w:val="18"/>
          <w:szCs w:val="18"/>
          <w:shd w:val="clear" w:color="auto" w:fill="FFFFFF"/>
        </w:rPr>
        <w:t xml:space="preserve">es el  mecanismo de género para la  </w:t>
      </w:r>
      <w:proofErr w:type="spellStart"/>
      <w:r w:rsidR="00EF3F11" w:rsidRPr="00487884">
        <w:rPr>
          <w:rFonts w:ascii="Cambria" w:hAnsi="Cambria" w:cs="Arial"/>
          <w:color w:val="000000" w:themeColor="text1"/>
          <w:sz w:val="18"/>
          <w:szCs w:val="18"/>
          <w:shd w:val="clear" w:color="auto" w:fill="FFFFFF"/>
        </w:rPr>
        <w:t>transversalización</w:t>
      </w:r>
      <w:proofErr w:type="spellEnd"/>
      <w:r w:rsidR="00EF3F11" w:rsidRPr="00487884">
        <w:rPr>
          <w:rFonts w:ascii="Cambria" w:hAnsi="Cambria" w:cs="Arial"/>
          <w:color w:val="000000" w:themeColor="text1"/>
          <w:sz w:val="18"/>
          <w:szCs w:val="18"/>
          <w:shd w:val="clear" w:color="auto" w:fill="FFFFFF"/>
        </w:rPr>
        <w:t xml:space="preserve"> del enfoque de género en planes, programas y proyectos de reincorporación. La mesa está constituida por representantes del Gobierno y de </w:t>
      </w:r>
      <w:proofErr w:type="spellStart"/>
      <w:r w:rsidR="00EF3F11" w:rsidRPr="00487884">
        <w:rPr>
          <w:rFonts w:ascii="Cambria" w:hAnsi="Cambria" w:cs="Arial"/>
          <w:color w:val="000000" w:themeColor="text1"/>
          <w:sz w:val="18"/>
          <w:szCs w:val="18"/>
          <w:shd w:val="clear" w:color="auto" w:fill="FFFFFF"/>
        </w:rPr>
        <w:t>Farc</w:t>
      </w:r>
      <w:proofErr w:type="spellEnd"/>
      <w:r w:rsidR="00EF3F11" w:rsidRPr="00487884">
        <w:rPr>
          <w:rFonts w:ascii="Cambria" w:hAnsi="Cambria" w:cs="Arial"/>
          <w:color w:val="000000" w:themeColor="text1"/>
          <w:sz w:val="18"/>
          <w:szCs w:val="18"/>
          <w:shd w:val="clear" w:color="auto" w:fill="FFFFFF"/>
        </w:rPr>
        <w:t xml:space="preserve">. El Consejo Nacional de Reincorporación -CNR -  es la instancia creada por el Acuerdo final (punto 3.2.2.3), cuyo objetivo es definir las actividades, establecer el cronograma y adelantar el seguimiento del proceso de reincorporación a la vida civil de los miembros de las </w:t>
      </w:r>
      <w:proofErr w:type="spellStart"/>
      <w:r w:rsidR="00EF3F11" w:rsidRPr="00487884">
        <w:rPr>
          <w:rFonts w:ascii="Cambria" w:hAnsi="Cambria" w:cs="Arial"/>
          <w:color w:val="000000" w:themeColor="text1"/>
          <w:sz w:val="18"/>
          <w:szCs w:val="18"/>
          <w:shd w:val="clear" w:color="auto" w:fill="FFFFFF"/>
        </w:rPr>
        <w:t>Farc-Ep</w:t>
      </w:r>
      <w:proofErr w:type="spellEnd"/>
      <w:r w:rsidR="00EF3F11" w:rsidRPr="00487884">
        <w:rPr>
          <w:rFonts w:ascii="Cambria" w:hAnsi="Cambria" w:cs="Arial"/>
          <w:color w:val="000000" w:themeColor="text1"/>
          <w:sz w:val="18"/>
          <w:szCs w:val="18"/>
          <w:shd w:val="clear" w:color="auto" w:fill="FFFFFF"/>
        </w:rPr>
        <w:t xml:space="preserve">. El CNR, como la Mesa, está constituida por representantes del Gobierno Colombiano y de </w:t>
      </w:r>
      <w:proofErr w:type="spellStart"/>
      <w:r w:rsidR="00EF3F11" w:rsidRPr="00487884">
        <w:rPr>
          <w:rFonts w:ascii="Cambria" w:hAnsi="Cambria" w:cs="Arial"/>
          <w:color w:val="000000" w:themeColor="text1"/>
          <w:sz w:val="18"/>
          <w:szCs w:val="18"/>
          <w:shd w:val="clear" w:color="auto" w:fill="FFFFFF"/>
        </w:rPr>
        <w:t>Farc</w:t>
      </w:r>
      <w:proofErr w:type="spellEnd"/>
      <w:r w:rsidR="00EF3F11" w:rsidRPr="00487884">
        <w:rPr>
          <w:rFonts w:ascii="Cambria" w:hAnsi="Cambria" w:cs="Arial"/>
          <w:color w:val="000000" w:themeColor="text1"/>
          <w:sz w:val="18"/>
          <w:szCs w:val="18"/>
          <w:shd w:val="clear" w:color="auto" w:fill="FFFFFF"/>
        </w:rPr>
        <w:t xml:space="preserve">. Ambas instancias articulan distintas entidades para el cumplimiento e sus funciones. </w:t>
      </w:r>
    </w:p>
  </w:footnote>
  <w:footnote w:id="26">
    <w:p w14:paraId="204DCB52" w14:textId="4733C58B" w:rsidR="002E267E" w:rsidRPr="00487884" w:rsidRDefault="002E267E" w:rsidP="00487884">
      <w:pPr>
        <w:jc w:val="both"/>
        <w:rPr>
          <w:rFonts w:ascii="Cambria" w:hAnsi="Cambria" w:cs="Arial"/>
          <w:color w:val="000000" w:themeColor="text1"/>
          <w:sz w:val="18"/>
          <w:szCs w:val="18"/>
        </w:rPr>
      </w:pPr>
      <w:r w:rsidRPr="00487884">
        <w:rPr>
          <w:rStyle w:val="Refdenotaalpie"/>
          <w:rFonts w:ascii="Cambria" w:hAnsi="Cambria" w:cs="Arial"/>
          <w:sz w:val="18"/>
          <w:szCs w:val="18"/>
        </w:rPr>
        <w:footnoteRef/>
      </w:r>
      <w:r w:rsidR="00487884">
        <w:rPr>
          <w:rFonts w:ascii="Cambria" w:hAnsi="Cambria" w:cs="Arial"/>
          <w:sz w:val="18"/>
          <w:szCs w:val="18"/>
        </w:rPr>
        <w:t xml:space="preserve"> Entrevista realizada a Mesa T</w:t>
      </w:r>
      <w:r w:rsidRPr="00487884">
        <w:rPr>
          <w:rFonts w:ascii="Cambria" w:hAnsi="Cambria" w:cs="Arial"/>
          <w:sz w:val="18"/>
          <w:szCs w:val="18"/>
        </w:rPr>
        <w:t xml:space="preserve">écnica de Género del CNR en mayo de 2021; </w:t>
      </w:r>
      <w:r w:rsidR="002C799B" w:rsidRPr="00487884">
        <w:rPr>
          <w:rFonts w:ascii="Cambria" w:hAnsi="Cambria" w:cs="Arial"/>
          <w:color w:val="000000" w:themeColor="text1"/>
          <w:sz w:val="18"/>
          <w:szCs w:val="18"/>
        </w:rPr>
        <w:t xml:space="preserve">Iniciativa Barómetro, Matriz de Acuerdos de Paz, Instituto </w:t>
      </w:r>
      <w:proofErr w:type="spellStart"/>
      <w:r w:rsidR="002C799B" w:rsidRPr="00487884">
        <w:rPr>
          <w:rFonts w:ascii="Cambria" w:hAnsi="Cambria" w:cs="Arial"/>
          <w:color w:val="000000" w:themeColor="text1"/>
          <w:sz w:val="18"/>
          <w:szCs w:val="18"/>
        </w:rPr>
        <w:t>Kroc</w:t>
      </w:r>
      <w:proofErr w:type="spellEnd"/>
      <w:r w:rsidR="002C799B" w:rsidRPr="00487884">
        <w:rPr>
          <w:rFonts w:ascii="Cambria" w:hAnsi="Cambria" w:cs="Arial"/>
          <w:color w:val="000000" w:themeColor="text1"/>
          <w:sz w:val="18"/>
          <w:szCs w:val="18"/>
        </w:rPr>
        <w:t xml:space="preserve"> de Estudios Internacionales de Paz). "Hacia la implementación del enfoque de género en el Acuerdo Final de Paz de Colombia: avances, oportunidades y retos." Universidad de </w:t>
      </w:r>
      <w:proofErr w:type="spellStart"/>
      <w:r w:rsidR="002C799B" w:rsidRPr="00487884">
        <w:rPr>
          <w:rFonts w:ascii="Cambria" w:hAnsi="Cambria" w:cs="Arial"/>
          <w:color w:val="000000" w:themeColor="text1"/>
          <w:sz w:val="18"/>
          <w:szCs w:val="18"/>
        </w:rPr>
        <w:t>Notre</w:t>
      </w:r>
      <w:proofErr w:type="spellEnd"/>
      <w:r w:rsidR="002C799B" w:rsidRPr="00487884">
        <w:rPr>
          <w:rFonts w:ascii="Cambria" w:hAnsi="Cambria" w:cs="Arial"/>
          <w:color w:val="000000" w:themeColor="text1"/>
          <w:sz w:val="18"/>
          <w:szCs w:val="18"/>
        </w:rPr>
        <w:t xml:space="preserve"> Dame, </w:t>
      </w:r>
      <w:proofErr w:type="spellStart"/>
      <w:r w:rsidR="002C799B" w:rsidRPr="00487884">
        <w:rPr>
          <w:rFonts w:ascii="Cambria" w:hAnsi="Cambria" w:cs="Arial"/>
          <w:color w:val="000000" w:themeColor="text1"/>
          <w:sz w:val="18"/>
          <w:szCs w:val="18"/>
        </w:rPr>
        <w:t>Notre</w:t>
      </w:r>
      <w:proofErr w:type="spellEnd"/>
      <w:r w:rsidR="002C799B" w:rsidRPr="00487884">
        <w:rPr>
          <w:rFonts w:ascii="Cambria" w:hAnsi="Cambria" w:cs="Arial"/>
          <w:color w:val="000000" w:themeColor="text1"/>
          <w:sz w:val="18"/>
          <w:szCs w:val="18"/>
        </w:rPr>
        <w:t xml:space="preserve"> Dame, IN y Bogotá, Colombia. 2020. </w:t>
      </w:r>
    </w:p>
  </w:footnote>
  <w:footnote w:id="27">
    <w:p w14:paraId="7A471F47" w14:textId="197127BE" w:rsidR="00EF3F11" w:rsidRPr="00487884" w:rsidRDefault="00EF3F11" w:rsidP="00487884">
      <w:pPr>
        <w:pStyle w:val="NormalWeb"/>
        <w:shd w:val="clear" w:color="auto" w:fill="FFFFFF"/>
        <w:spacing w:before="0" w:beforeAutospacing="0" w:after="0" w:afterAutospacing="0"/>
        <w:jc w:val="both"/>
        <w:rPr>
          <w:rFonts w:ascii="Cambria" w:hAnsi="Cambria" w:cs="Arial"/>
          <w:color w:val="212529"/>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Los </w:t>
      </w:r>
      <w:r w:rsidRPr="00487884">
        <w:rPr>
          <w:rFonts w:ascii="Cambria" w:hAnsi="Cambria" w:cs="Arial"/>
          <w:color w:val="000000"/>
          <w:sz w:val="18"/>
          <w:szCs w:val="18"/>
          <w:shd w:val="clear" w:color="auto" w:fill="FFFFFF"/>
        </w:rPr>
        <w:t xml:space="preserve">Antiguos Espacios Territoriales de Capacitación y Reincorporación son espacios que dieron continuación a las Zonas </w:t>
      </w:r>
      <w:proofErr w:type="spellStart"/>
      <w:r w:rsidRPr="00487884">
        <w:rPr>
          <w:rFonts w:ascii="Cambria" w:hAnsi="Cambria" w:cs="Arial"/>
          <w:color w:val="000000"/>
          <w:sz w:val="18"/>
          <w:szCs w:val="18"/>
          <w:shd w:val="clear" w:color="auto" w:fill="FFFFFF"/>
        </w:rPr>
        <w:t>Veredales</w:t>
      </w:r>
      <w:proofErr w:type="spellEnd"/>
      <w:r w:rsidRPr="00487884">
        <w:rPr>
          <w:rFonts w:ascii="Cambria" w:hAnsi="Cambria" w:cs="Arial"/>
          <w:color w:val="000000"/>
          <w:sz w:val="18"/>
          <w:szCs w:val="18"/>
          <w:shd w:val="clear" w:color="auto" w:fill="FFFFFF"/>
        </w:rPr>
        <w:t xml:space="preserve"> Transitorias de Normalización, incluidas en el Acuerdo Final, </w:t>
      </w:r>
      <w:r w:rsidR="002C799B" w:rsidRPr="00487884">
        <w:rPr>
          <w:rFonts w:ascii="Cambria" w:hAnsi="Cambria" w:cs="Arial"/>
          <w:color w:val="000000"/>
          <w:sz w:val="18"/>
          <w:szCs w:val="18"/>
          <w:shd w:val="clear" w:color="auto" w:fill="FFFFFF"/>
        </w:rPr>
        <w:t xml:space="preserve">para </w:t>
      </w:r>
      <w:r w:rsidRPr="00487884">
        <w:rPr>
          <w:rFonts w:ascii="Cambria" w:hAnsi="Cambria" w:cs="Arial"/>
          <w:color w:val="000000"/>
          <w:sz w:val="18"/>
          <w:szCs w:val="18"/>
          <w:shd w:val="clear" w:color="auto" w:fill="FFFFFF"/>
        </w:rPr>
        <w:t xml:space="preserve">facilitar las fases iniciales de adaptación de los miembros de las </w:t>
      </w:r>
      <w:proofErr w:type="spellStart"/>
      <w:r w:rsidRPr="00487884">
        <w:rPr>
          <w:rFonts w:ascii="Cambria" w:hAnsi="Cambria" w:cs="Arial"/>
          <w:color w:val="000000"/>
          <w:sz w:val="18"/>
          <w:szCs w:val="18"/>
          <w:shd w:val="clear" w:color="auto" w:fill="FFFFFF"/>
        </w:rPr>
        <w:t>Farc-Ep</w:t>
      </w:r>
      <w:proofErr w:type="spellEnd"/>
      <w:r w:rsidRPr="00487884">
        <w:rPr>
          <w:rFonts w:ascii="Cambria" w:hAnsi="Cambria" w:cs="Arial"/>
          <w:color w:val="000000"/>
          <w:sz w:val="18"/>
          <w:szCs w:val="18"/>
          <w:shd w:val="clear" w:color="auto" w:fill="FFFFFF"/>
        </w:rPr>
        <w:t xml:space="preserve"> a la vida civil. E</w:t>
      </w:r>
      <w:r w:rsidR="002C799B" w:rsidRPr="00487884">
        <w:rPr>
          <w:rFonts w:ascii="Cambria" w:hAnsi="Cambria" w:cs="Arial"/>
          <w:color w:val="000000"/>
          <w:sz w:val="18"/>
          <w:szCs w:val="18"/>
          <w:shd w:val="clear" w:color="auto" w:fill="FFFFFF"/>
        </w:rPr>
        <w:t>n</w:t>
      </w:r>
      <w:r w:rsidRPr="00487884">
        <w:rPr>
          <w:rFonts w:ascii="Cambria" w:hAnsi="Cambria" w:cs="Arial"/>
          <w:color w:val="000000"/>
          <w:sz w:val="18"/>
          <w:szCs w:val="18"/>
          <w:shd w:val="clear" w:color="auto" w:fill="FFFFFF"/>
        </w:rPr>
        <w:t xml:space="preserve"> agosto de 2019 terminó la figura de ETCR y dio a pie a  su siguiente fase como los “</w:t>
      </w:r>
      <w:r w:rsidR="002C799B" w:rsidRPr="00487884">
        <w:rPr>
          <w:rFonts w:ascii="Cambria" w:hAnsi="Cambria" w:cs="Arial"/>
          <w:color w:val="000000"/>
          <w:sz w:val="18"/>
          <w:szCs w:val="18"/>
          <w:shd w:val="clear" w:color="auto" w:fill="FFFFFF"/>
        </w:rPr>
        <w:t>A</w:t>
      </w:r>
      <w:r w:rsidRPr="00487884">
        <w:rPr>
          <w:rFonts w:ascii="Cambria" w:hAnsi="Cambria" w:cs="Arial"/>
          <w:color w:val="000000"/>
          <w:sz w:val="18"/>
          <w:szCs w:val="18"/>
          <w:shd w:val="clear" w:color="auto" w:fill="FFFFFF"/>
        </w:rPr>
        <w:t xml:space="preserve">ntiguos ETCR”. </w:t>
      </w:r>
    </w:p>
  </w:footnote>
  <w:footnote w:id="28">
    <w:p w14:paraId="5F0EC31F" w14:textId="72027880" w:rsidR="002C799B" w:rsidRPr="00487884" w:rsidRDefault="002C799B" w:rsidP="00487884">
      <w:pPr>
        <w:pStyle w:val="Textonotapie"/>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Entrevista Mesa técnica de Género de CNR mayo 2921</w:t>
      </w:r>
    </w:p>
  </w:footnote>
  <w:footnote w:id="29">
    <w:p w14:paraId="77B32A36" w14:textId="253B31D9" w:rsidR="008C000A" w:rsidRPr="00487884" w:rsidRDefault="002C799B" w:rsidP="00487884">
      <w:pPr>
        <w:pStyle w:val="NormalWeb"/>
        <w:shd w:val="clear" w:color="auto" w:fill="FFFFFF"/>
        <w:spacing w:before="0" w:beforeAutospacing="0" w:after="0" w:afterAutospacing="0"/>
        <w:jc w:val="both"/>
        <w:rPr>
          <w:rFonts w:ascii="Cambria" w:hAnsi="Cambria" w:cs="Arial"/>
          <w:color w:val="212529"/>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w:t>
      </w:r>
      <w:r w:rsidRPr="00487884">
        <w:rPr>
          <w:rFonts w:ascii="Cambria" w:hAnsi="Cambria" w:cs="Arial"/>
          <w:color w:val="000000"/>
          <w:sz w:val="18"/>
          <w:szCs w:val="18"/>
          <w:shd w:val="clear" w:color="auto" w:fill="FFFFFF"/>
        </w:rPr>
        <w:t xml:space="preserve">Gran parte de la población ha salido de esos espacios y continuaron su proceso de </w:t>
      </w:r>
      <w:r w:rsidR="000322D1" w:rsidRPr="00487884">
        <w:rPr>
          <w:rFonts w:ascii="Cambria" w:hAnsi="Cambria" w:cs="Arial"/>
          <w:color w:val="000000"/>
          <w:sz w:val="18"/>
          <w:szCs w:val="18"/>
          <w:shd w:val="clear" w:color="auto" w:fill="FFFFFF"/>
        </w:rPr>
        <w:t>reincorporación</w:t>
      </w:r>
      <w:r w:rsidRPr="00487884">
        <w:rPr>
          <w:rFonts w:ascii="Cambria" w:hAnsi="Cambria" w:cs="Arial"/>
          <w:color w:val="000000"/>
          <w:sz w:val="18"/>
          <w:szCs w:val="18"/>
          <w:shd w:val="clear" w:color="auto" w:fill="FFFFFF"/>
        </w:rPr>
        <w:t xml:space="preserve"> en las Nuevas </w:t>
      </w:r>
      <w:r w:rsidR="000322D1" w:rsidRPr="00487884">
        <w:rPr>
          <w:rFonts w:ascii="Cambria" w:hAnsi="Cambria" w:cs="Arial"/>
          <w:color w:val="000000"/>
          <w:sz w:val="18"/>
          <w:szCs w:val="18"/>
          <w:shd w:val="clear" w:color="auto" w:fill="FFFFFF"/>
        </w:rPr>
        <w:t>Áreas</w:t>
      </w:r>
      <w:r w:rsidRPr="00487884">
        <w:rPr>
          <w:rFonts w:ascii="Cambria" w:hAnsi="Cambria" w:cs="Arial"/>
          <w:color w:val="000000"/>
          <w:sz w:val="18"/>
          <w:szCs w:val="18"/>
          <w:shd w:val="clear" w:color="auto" w:fill="FFFFFF"/>
        </w:rPr>
        <w:t xml:space="preserve"> de </w:t>
      </w:r>
      <w:r w:rsidR="000322D1" w:rsidRPr="00487884">
        <w:rPr>
          <w:rFonts w:ascii="Cambria" w:hAnsi="Cambria" w:cs="Arial"/>
          <w:color w:val="000000"/>
          <w:sz w:val="18"/>
          <w:szCs w:val="18"/>
          <w:shd w:val="clear" w:color="auto" w:fill="FFFFFF"/>
        </w:rPr>
        <w:t>Reincorporación</w:t>
      </w:r>
      <w:r w:rsidRPr="00487884">
        <w:rPr>
          <w:rFonts w:ascii="Cambria" w:hAnsi="Cambria" w:cs="Arial"/>
          <w:color w:val="000000"/>
          <w:sz w:val="18"/>
          <w:szCs w:val="18"/>
          <w:shd w:val="clear" w:color="auto" w:fill="FFFFFF"/>
        </w:rPr>
        <w:t xml:space="preserve"> NAR, </w:t>
      </w:r>
      <w:r w:rsidRPr="00487884">
        <w:rPr>
          <w:rFonts w:ascii="Cambria" w:hAnsi="Cambria" w:cs="Arial"/>
          <w:color w:val="212529"/>
          <w:sz w:val="18"/>
          <w:szCs w:val="18"/>
        </w:rPr>
        <w:t xml:space="preserve"> asentamientos colectivos para ex integrantes de FARC-EP, sus familias y comunidades. Véase:https://pares.com.co/2020/05/31/nueve-mil-exguerrill</w:t>
      </w:r>
      <w:r w:rsidR="00EA34CE">
        <w:rPr>
          <w:rFonts w:ascii="Cambria" w:hAnsi="Cambria" w:cs="Arial"/>
          <w:color w:val="212529"/>
          <w:sz w:val="18"/>
          <w:szCs w:val="18"/>
        </w:rPr>
        <w:t xml:space="preserve">eros-reclaman-atencion-urgente/ </w:t>
      </w:r>
    </w:p>
  </w:footnote>
  <w:footnote w:id="30">
    <w:p w14:paraId="40883337" w14:textId="2D6D2FDD" w:rsidR="002C799B" w:rsidRPr="00487884" w:rsidRDefault="002C799B" w:rsidP="00487884">
      <w:pPr>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w:t>
      </w:r>
      <w:r w:rsidR="00E52FD8" w:rsidRPr="00487884">
        <w:rPr>
          <w:rFonts w:ascii="Cambria" w:hAnsi="Cambria" w:cs="Arial"/>
          <w:sz w:val="18"/>
          <w:szCs w:val="18"/>
        </w:rPr>
        <w:t xml:space="preserve">Iniciativa Barómetro, Matriz de Acuerdos de Paz, Instituto </w:t>
      </w:r>
      <w:proofErr w:type="spellStart"/>
      <w:r w:rsidR="00E52FD8" w:rsidRPr="00487884">
        <w:rPr>
          <w:rFonts w:ascii="Cambria" w:hAnsi="Cambria" w:cs="Arial"/>
          <w:sz w:val="18"/>
          <w:szCs w:val="18"/>
        </w:rPr>
        <w:t>Kroc</w:t>
      </w:r>
      <w:proofErr w:type="spellEnd"/>
      <w:r w:rsidR="00E52FD8" w:rsidRPr="00487884">
        <w:rPr>
          <w:rFonts w:ascii="Cambria" w:hAnsi="Cambria" w:cs="Arial"/>
          <w:sz w:val="18"/>
          <w:szCs w:val="18"/>
        </w:rPr>
        <w:t xml:space="preserve"> de Estudios Internacionales de Paz, ONU Mujeres, FDIM, Suecia, Hacia la paz sostenible por el camino de la igualdad de género. II informe de seguimiento al enfoque de género en la implementación del Acuerdo de Paz en </w:t>
      </w:r>
      <w:proofErr w:type="spellStart"/>
      <w:r w:rsidR="00E52FD8" w:rsidRPr="00487884">
        <w:rPr>
          <w:rFonts w:ascii="Cambria" w:hAnsi="Cambria" w:cs="Arial"/>
          <w:sz w:val="18"/>
          <w:szCs w:val="18"/>
        </w:rPr>
        <w:t>Colombia.Universidad</w:t>
      </w:r>
      <w:proofErr w:type="spellEnd"/>
      <w:r w:rsidR="00E52FD8" w:rsidRPr="00487884">
        <w:rPr>
          <w:rFonts w:ascii="Cambria" w:hAnsi="Cambria" w:cs="Arial"/>
          <w:sz w:val="18"/>
          <w:szCs w:val="18"/>
        </w:rPr>
        <w:t xml:space="preserve"> de </w:t>
      </w:r>
      <w:proofErr w:type="spellStart"/>
      <w:r w:rsidR="00E52FD8" w:rsidRPr="00487884">
        <w:rPr>
          <w:rFonts w:ascii="Cambria" w:hAnsi="Cambria" w:cs="Arial"/>
          <w:sz w:val="18"/>
          <w:szCs w:val="18"/>
        </w:rPr>
        <w:t>Notre</w:t>
      </w:r>
      <w:proofErr w:type="spellEnd"/>
      <w:r w:rsidR="00E52FD8" w:rsidRPr="00487884">
        <w:rPr>
          <w:rFonts w:ascii="Cambria" w:hAnsi="Cambria" w:cs="Arial"/>
          <w:sz w:val="18"/>
          <w:szCs w:val="18"/>
        </w:rPr>
        <w:t xml:space="preserve"> Dame, Estados Unidos y Bogotá, Colombia.2019.p.58</w:t>
      </w:r>
    </w:p>
  </w:footnote>
  <w:footnote w:id="31">
    <w:p w14:paraId="5F3D80EF" w14:textId="59106C13" w:rsidR="002C799B" w:rsidRPr="00487884" w:rsidRDefault="002C799B" w:rsidP="00487884">
      <w:pPr>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w:t>
      </w:r>
      <w:r w:rsidRPr="00487884">
        <w:rPr>
          <w:rFonts w:ascii="Cambria" w:hAnsi="Cambria" w:cs="Arial"/>
          <w:color w:val="000000" w:themeColor="text1"/>
          <w:sz w:val="18"/>
          <w:szCs w:val="18"/>
          <w:shd w:val="clear" w:color="auto" w:fill="FFFFFF"/>
        </w:rPr>
        <w:t>C</w:t>
      </w:r>
      <w:r w:rsidRPr="00487884">
        <w:rPr>
          <w:rFonts w:ascii="Cambria" w:hAnsi="Cambria" w:cs="Arial"/>
          <w:color w:val="000000" w:themeColor="text1"/>
          <w:sz w:val="18"/>
          <w:szCs w:val="18"/>
        </w:rPr>
        <w:t>olombia Diversa, Corporación Casa de la Mujer, Corporación de Apoyo a Comunidades Populares, Corporación Humanas et al,</w:t>
      </w:r>
      <w:r w:rsidR="006C17DE" w:rsidRPr="00487884">
        <w:rPr>
          <w:rFonts w:ascii="Cambria" w:hAnsi="Cambria" w:cs="Arial"/>
          <w:color w:val="000000" w:themeColor="text1"/>
          <w:sz w:val="18"/>
          <w:szCs w:val="18"/>
        </w:rPr>
        <w:t xml:space="preserve"> A 20 años DE LA RESOLUCIÓN 1325 Las organizaciones de mujeres revisan su implementación en Colombia durante. Bogotá. </w:t>
      </w:r>
      <w:r w:rsidRPr="00487884">
        <w:rPr>
          <w:rFonts w:ascii="Cambria" w:hAnsi="Cambria" w:cs="Arial"/>
          <w:color w:val="000000" w:themeColor="text1"/>
          <w:sz w:val="18"/>
          <w:szCs w:val="18"/>
        </w:rPr>
        <w:t>2020</w:t>
      </w:r>
    </w:p>
  </w:footnote>
  <w:footnote w:id="32">
    <w:p w14:paraId="475658B8" w14:textId="69584AA5" w:rsidR="00BB356B" w:rsidRPr="00487884" w:rsidRDefault="00BB356B" w:rsidP="00487884">
      <w:pPr>
        <w:jc w:val="both"/>
        <w:rPr>
          <w:rFonts w:ascii="Cambria" w:hAnsi="Cambria" w:cs="Arial"/>
          <w:color w:val="000000" w:themeColor="text1"/>
          <w:sz w:val="18"/>
          <w:szCs w:val="18"/>
          <w:lang w:val="es-ES_tradnl"/>
        </w:rPr>
      </w:pPr>
      <w:r w:rsidRPr="00487884">
        <w:rPr>
          <w:rStyle w:val="Refdenotaalpie"/>
          <w:rFonts w:ascii="Cambria" w:hAnsi="Cambria" w:cs="Arial"/>
          <w:color w:val="000000" w:themeColor="text1"/>
          <w:sz w:val="18"/>
          <w:szCs w:val="18"/>
        </w:rPr>
        <w:footnoteRef/>
      </w:r>
      <w:r w:rsidRPr="00487884">
        <w:rPr>
          <w:rFonts w:ascii="Cambria" w:hAnsi="Cambria" w:cs="Arial"/>
          <w:color w:val="000000" w:themeColor="text1"/>
          <w:sz w:val="18"/>
          <w:szCs w:val="18"/>
        </w:rPr>
        <w:t xml:space="preserve"> </w:t>
      </w:r>
      <w:r w:rsidR="00EA34CE" w:rsidRPr="00EA34CE">
        <w:rPr>
          <w:rFonts w:ascii="Cambria" w:hAnsi="Cambria" w:cs="Arial"/>
          <w:color w:val="000000" w:themeColor="text1"/>
          <w:sz w:val="18"/>
          <w:szCs w:val="18"/>
        </w:rPr>
        <w:t>Las mujeres excombatientes, por un lado, enfrentan los mismos estigmas que otras mujeres por decidir interrumpir los embarazos y por otro lado, afrontan estigmas relacionados con ser parte de la guerrilla y controvertir los roles de género tradicionales que han sido establecidos social y culturalmente. Así pues, en la vida civil las mujeres sufren una doble estigmatización, lo que se traduce en mayores barreras a la hora de acceder a servicios de salud sexual y reproductiva, como la IVE.</w:t>
      </w:r>
      <w:r w:rsidR="00586C05" w:rsidRPr="00487884">
        <w:rPr>
          <w:rFonts w:ascii="Cambria" w:hAnsi="Cambria" w:cs="Arial"/>
          <w:color w:val="000000" w:themeColor="text1"/>
          <w:sz w:val="18"/>
          <w:szCs w:val="18"/>
        </w:rPr>
        <w:t xml:space="preserve"> </w:t>
      </w:r>
      <w:r w:rsidR="00A25FB1" w:rsidRPr="00487884">
        <w:rPr>
          <w:rFonts w:ascii="Cambria" w:hAnsi="Cambria" w:cs="Arial"/>
          <w:color w:val="000000" w:themeColor="text1"/>
          <w:sz w:val="18"/>
          <w:szCs w:val="18"/>
          <w:lang w:val="fr-FR"/>
        </w:rPr>
        <w:t xml:space="preserve"> </w:t>
      </w:r>
    </w:p>
  </w:footnote>
  <w:footnote w:id="33">
    <w:p w14:paraId="64C6BA4F" w14:textId="234EF028" w:rsidR="002C799B" w:rsidRPr="00487884" w:rsidRDefault="002C799B" w:rsidP="00487884">
      <w:pPr>
        <w:pStyle w:val="Textonotapie"/>
        <w:jc w:val="both"/>
        <w:rPr>
          <w:rFonts w:ascii="Cambria" w:hAnsi="Cambria" w:cs="Arial"/>
          <w:color w:val="000000" w:themeColor="text1"/>
          <w:sz w:val="18"/>
          <w:szCs w:val="18"/>
        </w:rPr>
      </w:pPr>
      <w:r w:rsidRPr="00487884">
        <w:rPr>
          <w:rStyle w:val="Refdenotaalpie"/>
          <w:rFonts w:ascii="Cambria" w:hAnsi="Cambria" w:cs="Arial"/>
          <w:color w:val="000000" w:themeColor="text1"/>
          <w:sz w:val="18"/>
          <w:szCs w:val="18"/>
        </w:rPr>
        <w:footnoteRef/>
      </w:r>
      <w:r w:rsidRPr="00487884">
        <w:rPr>
          <w:rFonts w:ascii="Cambria" w:hAnsi="Cambria" w:cs="Arial"/>
          <w:color w:val="000000" w:themeColor="text1"/>
          <w:sz w:val="18"/>
          <w:szCs w:val="18"/>
        </w:rPr>
        <w:t xml:space="preserve"> Entrevista Mesa técnica de Género CNR, realizada en mayo 2021</w:t>
      </w:r>
      <w:r w:rsidR="005673C9" w:rsidRPr="00487884">
        <w:rPr>
          <w:rFonts w:ascii="Cambria" w:hAnsi="Cambria" w:cs="Arial"/>
          <w:color w:val="000000" w:themeColor="text1"/>
          <w:sz w:val="18"/>
          <w:szCs w:val="18"/>
        </w:rPr>
        <w:t xml:space="preserve">. </w:t>
      </w:r>
    </w:p>
  </w:footnote>
  <w:footnote w:id="34">
    <w:p w14:paraId="44F8B098" w14:textId="2316C96A" w:rsidR="009D59D3" w:rsidRPr="00487884" w:rsidRDefault="009D59D3" w:rsidP="00487884">
      <w:pPr>
        <w:pStyle w:val="Textonotapie"/>
        <w:jc w:val="both"/>
        <w:rPr>
          <w:rFonts w:ascii="Cambria" w:hAnsi="Cambria" w:cs="Arial"/>
          <w:color w:val="000000" w:themeColor="text1"/>
          <w:sz w:val="18"/>
          <w:szCs w:val="18"/>
          <w:lang w:val="es-ES"/>
        </w:rPr>
      </w:pPr>
      <w:r w:rsidRPr="00487884">
        <w:rPr>
          <w:rStyle w:val="Refdenotaalpie"/>
          <w:rFonts w:ascii="Cambria" w:hAnsi="Cambria" w:cs="Arial"/>
          <w:color w:val="000000" w:themeColor="text1"/>
          <w:sz w:val="18"/>
          <w:szCs w:val="18"/>
        </w:rPr>
        <w:footnoteRef/>
      </w:r>
      <w:r w:rsidRPr="00487884">
        <w:rPr>
          <w:rFonts w:ascii="Cambria" w:hAnsi="Cambria" w:cs="Arial"/>
          <w:color w:val="000000" w:themeColor="text1"/>
          <w:sz w:val="18"/>
          <w:szCs w:val="18"/>
        </w:rPr>
        <w:t xml:space="preserve"> No se tiene en cuenta </w:t>
      </w:r>
      <w:r w:rsidRPr="00487884">
        <w:rPr>
          <w:rFonts w:ascii="Cambria" w:hAnsi="Cambria" w:cs="Arial"/>
          <w:color w:val="000000" w:themeColor="text1"/>
          <w:sz w:val="18"/>
          <w:szCs w:val="18"/>
          <w:shd w:val="clear" w:color="auto" w:fill="FFFFFF"/>
        </w:rPr>
        <w:t>que la mayor parte de las mujeres excombatientes prefieren anticonceptivos de larga duración que son difíciles de adquirir en dichos territorios.</w:t>
      </w:r>
    </w:p>
  </w:footnote>
  <w:footnote w:id="35">
    <w:p w14:paraId="7C131A1A" w14:textId="44011D75" w:rsidR="005673C9" w:rsidRPr="00487884" w:rsidRDefault="005673C9" w:rsidP="00487884">
      <w:pPr>
        <w:pStyle w:val="Textonotapie"/>
        <w:jc w:val="both"/>
        <w:rPr>
          <w:rFonts w:ascii="Cambria" w:hAnsi="Cambria"/>
          <w:sz w:val="18"/>
          <w:szCs w:val="18"/>
          <w:lang w:val="es-ES"/>
        </w:rPr>
      </w:pPr>
      <w:r w:rsidRPr="00487884">
        <w:rPr>
          <w:rStyle w:val="Refdenotaalpie"/>
          <w:rFonts w:ascii="Cambria" w:hAnsi="Cambria"/>
          <w:sz w:val="18"/>
          <w:szCs w:val="18"/>
        </w:rPr>
        <w:footnoteRef/>
      </w:r>
      <w:r w:rsidRPr="00487884">
        <w:rPr>
          <w:rFonts w:ascii="Cambria" w:hAnsi="Cambria"/>
          <w:sz w:val="18"/>
          <w:szCs w:val="18"/>
        </w:rPr>
        <w:t xml:space="preserve"> </w:t>
      </w:r>
      <w:r w:rsidRPr="00487884">
        <w:rPr>
          <w:rFonts w:ascii="Cambria" w:hAnsi="Cambria" w:cs="Arial"/>
          <w:color w:val="000000" w:themeColor="text1"/>
          <w:sz w:val="18"/>
          <w:szCs w:val="18"/>
        </w:rPr>
        <w:t>Entrevista Mesa técnica de Género CNR, realizada en mayo 2021.</w:t>
      </w:r>
    </w:p>
  </w:footnote>
  <w:footnote w:id="36">
    <w:p w14:paraId="57808196" w14:textId="28E8F41E" w:rsidR="00FF15DA" w:rsidRPr="00487884" w:rsidRDefault="00FF15DA" w:rsidP="00487884">
      <w:pPr>
        <w:pStyle w:val="NormalWeb"/>
        <w:spacing w:before="0" w:beforeAutospacing="0" w:after="0" w:afterAutospacing="0"/>
        <w:jc w:val="both"/>
        <w:rPr>
          <w:rFonts w:ascii="Cambria" w:hAnsi="Cambria" w:cs="Arial"/>
          <w:color w:val="000000" w:themeColor="text1"/>
          <w:sz w:val="18"/>
          <w:szCs w:val="18"/>
        </w:rPr>
      </w:pPr>
      <w:r w:rsidRPr="00487884">
        <w:rPr>
          <w:rStyle w:val="Refdenotaalpie"/>
          <w:rFonts w:ascii="Cambria" w:hAnsi="Cambria" w:cs="Arial"/>
          <w:color w:val="000000" w:themeColor="text1"/>
          <w:sz w:val="18"/>
          <w:szCs w:val="18"/>
        </w:rPr>
        <w:footnoteRef/>
      </w:r>
      <w:r w:rsidRPr="00487884">
        <w:rPr>
          <w:rFonts w:ascii="Cambria" w:hAnsi="Cambria" w:cs="Arial"/>
          <w:color w:val="000000" w:themeColor="text1"/>
          <w:sz w:val="18"/>
          <w:szCs w:val="18"/>
        </w:rPr>
        <w:t xml:space="preserve"> Rodríguez, Viviana. Informe contextual sobre el aborto y la </w:t>
      </w:r>
      <w:r w:rsidR="00586C05" w:rsidRPr="00487884">
        <w:rPr>
          <w:rFonts w:ascii="Cambria" w:hAnsi="Cambria" w:cs="Arial"/>
          <w:color w:val="000000" w:themeColor="text1"/>
          <w:sz w:val="18"/>
          <w:szCs w:val="18"/>
        </w:rPr>
        <w:t>anticoncepción</w:t>
      </w:r>
      <w:r w:rsidRPr="00487884">
        <w:rPr>
          <w:rFonts w:ascii="Cambria" w:hAnsi="Cambria" w:cs="Arial"/>
          <w:color w:val="000000" w:themeColor="text1"/>
          <w:sz w:val="18"/>
          <w:szCs w:val="18"/>
        </w:rPr>
        <w:t xml:space="preserve"> forzada a mujeres combatientes en el marco del conflicto armado. Bogotá: La Mesa por la Vida y la Salud de las Mujeres. 2020. </w:t>
      </w:r>
      <w:r w:rsidR="00E52FD8" w:rsidRPr="00487884">
        <w:rPr>
          <w:rFonts w:ascii="Cambria" w:hAnsi="Cambria" w:cs="Arial"/>
          <w:color w:val="000000" w:themeColor="text1"/>
          <w:sz w:val="18"/>
          <w:szCs w:val="18"/>
        </w:rPr>
        <w:t>p</w:t>
      </w:r>
      <w:r w:rsidRPr="00487884">
        <w:rPr>
          <w:rFonts w:ascii="Cambria" w:hAnsi="Cambria" w:cs="Arial"/>
          <w:color w:val="000000" w:themeColor="text1"/>
          <w:sz w:val="18"/>
          <w:szCs w:val="18"/>
        </w:rPr>
        <w:t xml:space="preserve">.6.  </w:t>
      </w:r>
    </w:p>
  </w:footnote>
  <w:footnote w:id="37">
    <w:p w14:paraId="4FDDB1B2" w14:textId="48BE0F27" w:rsidR="00FF15DA" w:rsidRPr="00487884" w:rsidRDefault="00FF15DA" w:rsidP="00487884">
      <w:pPr>
        <w:pStyle w:val="Textonotapie"/>
        <w:jc w:val="both"/>
        <w:rPr>
          <w:rFonts w:ascii="Cambria" w:hAnsi="Cambria" w:cs="Arial"/>
          <w:color w:val="000000" w:themeColor="text1"/>
          <w:sz w:val="18"/>
          <w:szCs w:val="18"/>
        </w:rPr>
      </w:pPr>
      <w:r w:rsidRPr="00487884">
        <w:rPr>
          <w:rStyle w:val="Refdenotaalpie"/>
          <w:rFonts w:ascii="Cambria" w:hAnsi="Cambria" w:cs="Arial"/>
          <w:color w:val="000000" w:themeColor="text1"/>
          <w:sz w:val="18"/>
          <w:szCs w:val="18"/>
        </w:rPr>
        <w:footnoteRef/>
      </w:r>
      <w:r w:rsidR="00192E98" w:rsidRPr="00487884">
        <w:rPr>
          <w:rFonts w:ascii="Cambria" w:hAnsi="Cambria" w:cs="Arial"/>
          <w:color w:val="000000" w:themeColor="text1"/>
          <w:sz w:val="18"/>
          <w:szCs w:val="18"/>
        </w:rPr>
        <w:t>Secretaría Técnica del Componente Internacional de Verificación CINEP/PPP-CERAC Tercer informe de verificación de la implementación del Enfoque de Género en el Acuerdo Final de Paz en Colombia para los Verificadores Internacionales Felipe González y José Mujica (A.F. 6.3.2).</w:t>
      </w:r>
      <w:r w:rsidRPr="00487884">
        <w:rPr>
          <w:rFonts w:ascii="Cambria" w:hAnsi="Cambria" w:cs="Arial"/>
          <w:color w:val="000000" w:themeColor="text1"/>
          <w:sz w:val="18"/>
          <w:szCs w:val="18"/>
        </w:rPr>
        <w:t>, 2019</w:t>
      </w:r>
      <w:r w:rsidR="00E52FD8" w:rsidRPr="00487884">
        <w:rPr>
          <w:rFonts w:ascii="Cambria" w:hAnsi="Cambria" w:cs="Arial"/>
          <w:color w:val="000000" w:themeColor="text1"/>
          <w:sz w:val="18"/>
          <w:szCs w:val="18"/>
        </w:rPr>
        <w:t xml:space="preserve">. </w:t>
      </w:r>
      <w:r w:rsidRPr="00487884">
        <w:rPr>
          <w:rFonts w:ascii="Cambria" w:hAnsi="Cambria" w:cs="Arial"/>
          <w:color w:val="000000" w:themeColor="text1"/>
          <w:sz w:val="18"/>
          <w:szCs w:val="18"/>
        </w:rPr>
        <w:t>P.15</w:t>
      </w:r>
      <w:r w:rsidR="00192E98" w:rsidRPr="00487884">
        <w:rPr>
          <w:rFonts w:ascii="Cambria" w:hAnsi="Cambria" w:cs="Arial"/>
          <w:color w:val="000000" w:themeColor="text1"/>
          <w:sz w:val="18"/>
          <w:szCs w:val="18"/>
        </w:rPr>
        <w:t xml:space="preserve">. </w:t>
      </w:r>
    </w:p>
  </w:footnote>
  <w:footnote w:id="38">
    <w:p w14:paraId="65FB0815" w14:textId="710DBE0D" w:rsidR="00D641C6" w:rsidRPr="00487884" w:rsidRDefault="00D641C6" w:rsidP="00487884">
      <w:pPr>
        <w:jc w:val="both"/>
        <w:rPr>
          <w:rFonts w:ascii="Cambria" w:hAnsi="Cambria" w:cs="Arial"/>
          <w:color w:val="000000" w:themeColor="text1"/>
          <w:sz w:val="18"/>
          <w:szCs w:val="18"/>
        </w:rPr>
      </w:pPr>
      <w:r w:rsidRPr="00487884">
        <w:rPr>
          <w:rStyle w:val="Refdenotaalpie"/>
          <w:rFonts w:ascii="Cambria" w:hAnsi="Cambria" w:cs="Arial"/>
          <w:color w:val="000000" w:themeColor="text1"/>
          <w:sz w:val="18"/>
          <w:szCs w:val="18"/>
        </w:rPr>
        <w:footnoteRef/>
      </w:r>
      <w:r w:rsidRPr="00487884">
        <w:rPr>
          <w:rFonts w:ascii="Cambria" w:hAnsi="Cambria" w:cs="Arial"/>
          <w:color w:val="000000" w:themeColor="text1"/>
          <w:sz w:val="18"/>
          <w:szCs w:val="18"/>
        </w:rPr>
        <w:t xml:space="preserve"> </w:t>
      </w:r>
      <w:r w:rsidR="006C17DE" w:rsidRPr="00487884">
        <w:rPr>
          <w:rFonts w:ascii="Cambria" w:hAnsi="Cambria" w:cs="Arial"/>
          <w:color w:val="000000" w:themeColor="text1"/>
          <w:sz w:val="18"/>
          <w:szCs w:val="18"/>
        </w:rPr>
        <w:t xml:space="preserve">RIMISP - Centro Latinoamericano para el Desarrollo Rural. Enfoque de género para la planeación territorial. Bogotá. 2017. </w:t>
      </w:r>
    </w:p>
  </w:footnote>
  <w:footnote w:id="39">
    <w:p w14:paraId="5C7DDCB1" w14:textId="28C1C66F" w:rsidR="00D641C6" w:rsidRPr="00487884" w:rsidRDefault="00D641C6" w:rsidP="00487884">
      <w:pPr>
        <w:pStyle w:val="Textonotapie"/>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w:t>
      </w:r>
      <w:r w:rsidR="00192E98" w:rsidRPr="00487884">
        <w:rPr>
          <w:rFonts w:ascii="Cambria" w:hAnsi="Cambria" w:cs="Arial"/>
          <w:color w:val="000000" w:themeColor="text1"/>
          <w:sz w:val="18"/>
          <w:szCs w:val="18"/>
          <w:shd w:val="clear" w:color="auto" w:fill="FFFFFF"/>
        </w:rPr>
        <w:t>Iniciativa Barómetro, Matriz de Acuerdos de P</w:t>
      </w:r>
      <w:r w:rsidR="00E52FD8" w:rsidRPr="00487884">
        <w:rPr>
          <w:rFonts w:ascii="Cambria" w:hAnsi="Cambria" w:cs="Arial"/>
          <w:color w:val="000000" w:themeColor="text1"/>
          <w:sz w:val="18"/>
          <w:szCs w:val="18"/>
          <w:shd w:val="clear" w:color="auto" w:fill="FFFFFF"/>
        </w:rPr>
        <w:t>a</w:t>
      </w:r>
      <w:r w:rsidR="00192E98" w:rsidRPr="00487884">
        <w:rPr>
          <w:rFonts w:ascii="Cambria" w:hAnsi="Cambria" w:cs="Arial"/>
          <w:color w:val="000000" w:themeColor="text1"/>
          <w:sz w:val="18"/>
          <w:szCs w:val="18"/>
          <w:shd w:val="clear" w:color="auto" w:fill="FFFFFF"/>
        </w:rPr>
        <w:t xml:space="preserve">z, &amp; Instituto </w:t>
      </w:r>
      <w:proofErr w:type="spellStart"/>
      <w:r w:rsidR="00192E98" w:rsidRPr="00487884">
        <w:rPr>
          <w:rFonts w:ascii="Cambria" w:hAnsi="Cambria" w:cs="Arial"/>
          <w:color w:val="000000" w:themeColor="text1"/>
          <w:sz w:val="18"/>
          <w:szCs w:val="18"/>
          <w:shd w:val="clear" w:color="auto" w:fill="FFFFFF"/>
        </w:rPr>
        <w:t>Kroc</w:t>
      </w:r>
      <w:proofErr w:type="spellEnd"/>
      <w:r w:rsidR="00192E98" w:rsidRPr="00487884">
        <w:rPr>
          <w:rFonts w:ascii="Cambria" w:hAnsi="Cambria" w:cs="Arial"/>
          <w:color w:val="000000" w:themeColor="text1"/>
          <w:sz w:val="18"/>
          <w:szCs w:val="18"/>
          <w:shd w:val="clear" w:color="auto" w:fill="FFFFFF"/>
        </w:rPr>
        <w:t xml:space="preserve"> de Estudios Internacionales. El Acuerdo Final De Colombia En Tiempos Del COVID-19: Apropiación Institucional y Ciudadana Como Clave De La Implementación.2021.  </w:t>
      </w:r>
    </w:p>
  </w:footnote>
  <w:footnote w:id="40">
    <w:p w14:paraId="1F053235" w14:textId="3E5F0FA5" w:rsidR="00D641C6" w:rsidRPr="00487884" w:rsidRDefault="00D641C6" w:rsidP="00487884">
      <w:pPr>
        <w:pStyle w:val="Textonotapie"/>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w:t>
      </w:r>
      <w:r w:rsidR="00192E98" w:rsidRPr="00487884">
        <w:rPr>
          <w:rFonts w:ascii="Cambria" w:hAnsi="Cambria" w:cs="Arial"/>
          <w:sz w:val="18"/>
          <w:szCs w:val="18"/>
        </w:rPr>
        <w:t>Gobierno Nacional y Naciones Unidas lanzan herramienta poblacional y demográfica para los municipios PDET. Disponible en: https://www.renovacionterritorio.gov.co/Publicaciones/gobierno_nacional_y_naciones_unidas_lanzan_herramienta_poblacional_y_demogrfica_para_los_municipios_pdet</w:t>
      </w:r>
    </w:p>
  </w:footnote>
  <w:footnote w:id="41">
    <w:p w14:paraId="5F15CE09" w14:textId="1FCAE0CD" w:rsidR="00D641C6" w:rsidRPr="00487884" w:rsidRDefault="00D641C6" w:rsidP="00487884">
      <w:pPr>
        <w:pStyle w:val="Textonotapie"/>
        <w:jc w:val="both"/>
        <w:rPr>
          <w:rFonts w:ascii="Cambria" w:hAnsi="Cambria" w:cs="Arial"/>
          <w:sz w:val="18"/>
          <w:szCs w:val="18"/>
          <w:lang w:val="es-ES"/>
        </w:rPr>
      </w:pPr>
      <w:r w:rsidRPr="00487884">
        <w:rPr>
          <w:rStyle w:val="Refdenotaalpie"/>
          <w:rFonts w:ascii="Cambria" w:hAnsi="Cambria" w:cs="Arial"/>
          <w:sz w:val="18"/>
          <w:szCs w:val="18"/>
        </w:rPr>
        <w:footnoteRef/>
      </w:r>
      <w:r w:rsidRPr="00487884">
        <w:rPr>
          <w:rFonts w:ascii="Cambria" w:hAnsi="Cambria" w:cs="Arial"/>
          <w:sz w:val="18"/>
          <w:szCs w:val="18"/>
        </w:rPr>
        <w:t xml:space="preserve"> </w:t>
      </w:r>
      <w:r w:rsidRPr="00487884">
        <w:rPr>
          <w:rFonts w:ascii="Cambria" w:hAnsi="Cambria" w:cs="Arial"/>
          <w:sz w:val="18"/>
          <w:szCs w:val="18"/>
          <w:lang w:val="es-ES"/>
        </w:rPr>
        <w:t xml:space="preserve">La subregión de alto Patía y norte del Cauca: Cauca, Nariño y Valle del Cauca  incluye los departamentos de: La región de </w:t>
      </w:r>
      <w:r w:rsidR="00586C05" w:rsidRPr="00487884">
        <w:rPr>
          <w:rFonts w:ascii="Cambria" w:hAnsi="Cambria" w:cs="Arial"/>
          <w:sz w:val="18"/>
          <w:szCs w:val="18"/>
          <w:lang w:val="es-ES"/>
        </w:rPr>
        <w:t>Montes</w:t>
      </w:r>
      <w:r w:rsidRPr="00487884">
        <w:rPr>
          <w:rFonts w:ascii="Cambria" w:hAnsi="Cambria" w:cs="Arial"/>
          <w:sz w:val="18"/>
          <w:szCs w:val="18"/>
          <w:lang w:val="es-ES"/>
        </w:rPr>
        <w:t xml:space="preserve"> de María incluye los departamentos de: Bolívar y </w:t>
      </w:r>
      <w:r w:rsidR="00586C05" w:rsidRPr="00487884">
        <w:rPr>
          <w:rFonts w:ascii="Cambria" w:hAnsi="Cambria" w:cs="Arial"/>
          <w:sz w:val="18"/>
          <w:szCs w:val="18"/>
          <w:lang w:val="es-ES"/>
        </w:rPr>
        <w:t>Sucre.</w:t>
      </w:r>
    </w:p>
  </w:footnote>
  <w:footnote w:id="42">
    <w:p w14:paraId="148D83B0" w14:textId="2A8B1DCF" w:rsidR="008C000A" w:rsidRPr="00487884" w:rsidRDefault="008C000A" w:rsidP="00487884">
      <w:pPr>
        <w:jc w:val="both"/>
        <w:rPr>
          <w:rFonts w:ascii="Cambria" w:hAnsi="Cambria" w:cs="Arial"/>
          <w:sz w:val="18"/>
          <w:szCs w:val="18"/>
        </w:rPr>
      </w:pPr>
      <w:r w:rsidRPr="00487884">
        <w:rPr>
          <w:rStyle w:val="Refdenotaalpie"/>
          <w:rFonts w:ascii="Cambria" w:hAnsi="Cambria" w:cs="Arial"/>
          <w:sz w:val="18"/>
          <w:szCs w:val="18"/>
        </w:rPr>
        <w:footnoteRef/>
      </w:r>
      <w:r w:rsidRPr="00487884">
        <w:rPr>
          <w:rFonts w:ascii="Cambria" w:hAnsi="Cambria" w:cs="Arial"/>
          <w:sz w:val="18"/>
          <w:szCs w:val="18"/>
        </w:rPr>
        <w:t xml:space="preserve"> </w:t>
      </w:r>
      <w:r w:rsidR="00EA34CE">
        <w:rPr>
          <w:rFonts w:ascii="Cambria" w:hAnsi="Cambria" w:cs="Arial"/>
          <w:sz w:val="18"/>
          <w:szCs w:val="18"/>
        </w:rPr>
        <w:t>Dávila, María Ximena; Martínez</w:t>
      </w:r>
      <w:r w:rsidR="00192E98" w:rsidRPr="00487884">
        <w:rPr>
          <w:rFonts w:ascii="Cambria" w:hAnsi="Cambria" w:cs="Arial"/>
          <w:sz w:val="18"/>
          <w:szCs w:val="18"/>
        </w:rPr>
        <w:t xml:space="preserve">, </w:t>
      </w:r>
      <w:proofErr w:type="gramStart"/>
      <w:r w:rsidR="00192E98" w:rsidRPr="00487884">
        <w:rPr>
          <w:rFonts w:ascii="Cambria" w:hAnsi="Cambria" w:cs="Arial"/>
          <w:sz w:val="18"/>
          <w:szCs w:val="18"/>
        </w:rPr>
        <w:t>Margarita ;</w:t>
      </w:r>
      <w:proofErr w:type="gramEnd"/>
      <w:r w:rsidR="00192E98" w:rsidRPr="00487884">
        <w:rPr>
          <w:rFonts w:ascii="Cambria" w:hAnsi="Cambria" w:cs="Arial"/>
          <w:sz w:val="18"/>
          <w:szCs w:val="18"/>
        </w:rPr>
        <w:t xml:space="preserve"> Chaparro, Nina Chaparro. </w:t>
      </w:r>
      <w:r w:rsidR="00192E98" w:rsidRPr="00487884">
        <w:rPr>
          <w:rFonts w:ascii="Cambria" w:hAnsi="Cambria" w:cs="Arial"/>
          <w:color w:val="000000" w:themeColor="text1"/>
          <w:sz w:val="18"/>
          <w:szCs w:val="18"/>
        </w:rPr>
        <w:t xml:space="preserve">Un camino truncado: los derechos sexuales y reproductivos en Montes de María. Dejusticia.2018 </w:t>
      </w:r>
      <w:r w:rsidRPr="00487884">
        <w:rPr>
          <w:rFonts w:ascii="Cambria" w:hAnsi="Cambria" w:cs="Arial"/>
          <w:color w:val="000000" w:themeColor="text1"/>
          <w:sz w:val="18"/>
          <w:szCs w:val="18"/>
        </w:rPr>
        <w:t xml:space="preserve">p.57.  </w:t>
      </w:r>
    </w:p>
  </w:footnote>
  <w:footnote w:id="43">
    <w:p w14:paraId="3CBF60D6" w14:textId="36349729" w:rsidR="00111C6F" w:rsidRPr="00487884" w:rsidRDefault="00111C6F" w:rsidP="00487884">
      <w:pPr>
        <w:pStyle w:val="Textonotapie"/>
        <w:jc w:val="both"/>
        <w:rPr>
          <w:rFonts w:ascii="Cambria" w:hAnsi="Cambria"/>
          <w:sz w:val="18"/>
          <w:szCs w:val="18"/>
          <w:lang w:val="es-ES"/>
        </w:rPr>
      </w:pPr>
      <w:r w:rsidRPr="00487884">
        <w:rPr>
          <w:rStyle w:val="Refdenotaalpie"/>
          <w:rFonts w:ascii="Cambria" w:hAnsi="Cambria" w:cs="Arial"/>
          <w:sz w:val="18"/>
          <w:szCs w:val="18"/>
        </w:rPr>
        <w:footnoteRef/>
      </w:r>
      <w:r w:rsidRPr="00487884">
        <w:rPr>
          <w:rFonts w:ascii="Cambria" w:hAnsi="Cambria" w:cs="Arial"/>
          <w:sz w:val="18"/>
          <w:szCs w:val="18"/>
        </w:rPr>
        <w:t xml:space="preserve"> </w:t>
      </w:r>
      <w:r w:rsidR="00D641C6" w:rsidRPr="00487884">
        <w:rPr>
          <w:rFonts w:ascii="Cambria" w:hAnsi="Cambria" w:cs="Arial"/>
          <w:sz w:val="18"/>
          <w:szCs w:val="18"/>
        </w:rPr>
        <w:t xml:space="preserve">De acuerdo con la Sentencia C-588/19 por la cual  se prórroga la vigencia de la ley 1448 y obliga a la complementariedad de Acuerdo Final con la Ley de Victimas.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F6BD6" w14:textId="0EF3CF77" w:rsidR="00487884" w:rsidRDefault="00487884">
    <w:pPr>
      <w:pStyle w:val="Encabezado"/>
    </w:pPr>
    <w:r>
      <w:rPr>
        <w:noProof/>
        <w:lang w:eastAsia="es-CO"/>
      </w:rPr>
      <w:drawing>
        <wp:anchor distT="0" distB="0" distL="114300" distR="114300" simplePos="0" relativeHeight="251658240" behindDoc="0" locked="0" layoutInCell="1" allowOverlap="1" wp14:anchorId="39320F07" wp14:editId="2B008851">
          <wp:simplePos x="0" y="0"/>
          <wp:positionH relativeFrom="column">
            <wp:posOffset>4549140</wp:posOffset>
          </wp:positionH>
          <wp:positionV relativeFrom="paragraph">
            <wp:posOffset>-497205</wp:posOffset>
          </wp:positionV>
          <wp:extent cx="712470" cy="1101090"/>
          <wp:effectExtent l="0" t="0" r="0" b="3810"/>
          <wp:wrapTopAndBottom/>
          <wp:docPr id="1" name="Imagen 1" descr="C:\Users\Apoyo Legal\OneDrive Viejo\Escritorio\logo LAMESA-al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oyo Legal\OneDrive Viejo\Escritorio\logo LAMESA-alta.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2470" cy="11010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9264" behindDoc="0" locked="0" layoutInCell="1" allowOverlap="1" wp14:anchorId="1BC3825F" wp14:editId="3A6AB723">
          <wp:simplePos x="0" y="0"/>
          <wp:positionH relativeFrom="column">
            <wp:posOffset>-203835</wp:posOffset>
          </wp:positionH>
          <wp:positionV relativeFrom="paragraph">
            <wp:posOffset>-278130</wp:posOffset>
          </wp:positionV>
          <wp:extent cx="1670050" cy="798830"/>
          <wp:effectExtent l="0" t="0" r="6350" b="1270"/>
          <wp:wrapTopAndBottom/>
          <wp:docPr id="2" name="Imagen 2" descr="C:\Users\Apoyo Legal\Downloads\Logo_RNM_2017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poyo Legal\Downloads\Logo_RNM_2017 (1).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670050" cy="7988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35909"/>
    <w:multiLevelType w:val="hybridMultilevel"/>
    <w:tmpl w:val="AA9C9FAA"/>
    <w:lvl w:ilvl="0" w:tplc="0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204F3CD5"/>
    <w:multiLevelType w:val="hybridMultilevel"/>
    <w:tmpl w:val="F9EC949A"/>
    <w:lvl w:ilvl="0" w:tplc="8E74808E">
      <w:numFmt w:val="bullet"/>
      <w:lvlText w:val="-"/>
      <w:lvlJc w:val="left"/>
      <w:pPr>
        <w:ind w:left="720" w:hanging="360"/>
      </w:pPr>
      <w:rPr>
        <w:rFonts w:ascii="Times New Roman" w:eastAsia="Times New Roman" w:hAnsi="Times New Roman" w:cs="Times New Roman" w:hint="default"/>
        <w:color w:val="000000"/>
        <w:sz w:val="20"/>
        <w:szCs w:val="20"/>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36581982"/>
    <w:multiLevelType w:val="hybridMultilevel"/>
    <w:tmpl w:val="5B7E6D24"/>
    <w:lvl w:ilvl="0" w:tplc="8E74808E">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3C0962FE"/>
    <w:multiLevelType w:val="hybridMultilevel"/>
    <w:tmpl w:val="30C68E2E"/>
    <w:lvl w:ilvl="0" w:tplc="B0F06918">
      <w:start w:val="1"/>
      <w:numFmt w:val="decimal"/>
      <w:lvlText w:val="%1."/>
      <w:lvlJc w:val="left"/>
      <w:pPr>
        <w:ind w:left="1068" w:hanging="360"/>
      </w:pPr>
      <w:rPr>
        <w:rFonts w:hint="default"/>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4">
    <w:nsid w:val="47530DC6"/>
    <w:multiLevelType w:val="hybridMultilevel"/>
    <w:tmpl w:val="57CCC16E"/>
    <w:lvl w:ilvl="0" w:tplc="191484BC">
      <w:start w:val="1"/>
      <w:numFmt w:val="decimal"/>
      <w:lvlText w:val="%1."/>
      <w:lvlJc w:val="left"/>
      <w:pPr>
        <w:ind w:left="720" w:hanging="360"/>
      </w:pPr>
      <w:rPr>
        <w:rFonts w:ascii="Arial" w:hAnsi="Arial" w:cs="Arial" w:hint="default"/>
        <w:color w:val="000000"/>
        <w:sz w:val="20"/>
        <w:szCs w:val="20"/>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nsid w:val="4C203B22"/>
    <w:multiLevelType w:val="hybridMultilevel"/>
    <w:tmpl w:val="AB1CC0E4"/>
    <w:lvl w:ilvl="0" w:tplc="040A0001">
      <w:start w:val="1"/>
      <w:numFmt w:val="bullet"/>
      <w:lvlText w:val=""/>
      <w:lvlJc w:val="left"/>
      <w:pPr>
        <w:ind w:left="720" w:hanging="360"/>
      </w:pPr>
      <w:rPr>
        <w:rFonts w:ascii="Symbol" w:hAnsi="Symbol" w:hint="default"/>
        <w:color w:val="000000"/>
        <w:sz w:val="20"/>
        <w:szCs w:val="20"/>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50F33905"/>
    <w:multiLevelType w:val="hybridMultilevel"/>
    <w:tmpl w:val="A89AB4B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nsid w:val="586C5F79"/>
    <w:multiLevelType w:val="hybridMultilevel"/>
    <w:tmpl w:val="57CCC16E"/>
    <w:lvl w:ilvl="0" w:tplc="191484BC">
      <w:start w:val="1"/>
      <w:numFmt w:val="decimal"/>
      <w:lvlText w:val="%1."/>
      <w:lvlJc w:val="left"/>
      <w:pPr>
        <w:ind w:left="720" w:hanging="360"/>
      </w:pPr>
      <w:rPr>
        <w:rFonts w:ascii="Arial" w:hAnsi="Arial" w:cs="Arial" w:hint="default"/>
        <w:color w:val="000000"/>
        <w:sz w:val="20"/>
        <w:szCs w:val="20"/>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nsid w:val="6B38112A"/>
    <w:multiLevelType w:val="multilevel"/>
    <w:tmpl w:val="EECC937A"/>
    <w:lvl w:ilvl="0">
      <w:numFmt w:val="bullet"/>
      <w:lvlText w:val="-"/>
      <w:lvlJc w:val="left"/>
      <w:pPr>
        <w:ind w:left="1068" w:hanging="360"/>
      </w:pPr>
      <w:rPr>
        <w:rFonts w:ascii="Calibri" w:eastAsia="Calibri" w:hAnsi="Calibri" w:cs="Calibri" w:hint="default"/>
        <w:w w:val="100"/>
        <w:sz w:val="22"/>
        <w:szCs w:val="22"/>
        <w:lang w:val="es-ES" w:eastAsia="en-US" w:bidi="ar-SA"/>
      </w:rPr>
    </w:lvl>
    <w:lvl w:ilvl="1">
      <w:start w:val="1"/>
      <w:numFmt w:val="bullet"/>
      <w:lvlText w:val="o"/>
      <w:lvlJc w:val="left"/>
      <w:pPr>
        <w:tabs>
          <w:tab w:val="num" w:pos="1788"/>
        </w:tabs>
        <w:ind w:left="1788" w:hanging="360"/>
      </w:pPr>
      <w:rPr>
        <w:rFonts w:ascii="Courier New" w:hAnsi="Courier New" w:hint="default"/>
        <w:sz w:val="20"/>
      </w:rPr>
    </w:lvl>
    <w:lvl w:ilvl="2">
      <w:start w:val="16"/>
      <w:numFmt w:val="decimal"/>
      <w:lvlText w:val="%3"/>
      <w:lvlJc w:val="left"/>
      <w:pPr>
        <w:ind w:left="2508" w:hanging="360"/>
      </w:pPr>
      <w:rPr>
        <w:rFonts w:hint="default"/>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9">
    <w:nsid w:val="6C3576D9"/>
    <w:multiLevelType w:val="hybridMultilevel"/>
    <w:tmpl w:val="86D8A27C"/>
    <w:lvl w:ilvl="0" w:tplc="8E74808E">
      <w:numFmt w:val="bullet"/>
      <w:lvlText w:val="-"/>
      <w:lvlJc w:val="left"/>
      <w:pPr>
        <w:ind w:left="1068" w:hanging="360"/>
      </w:pPr>
      <w:rPr>
        <w:rFonts w:ascii="Times New Roman" w:eastAsia="Times New Roman" w:hAnsi="Times New Roman" w:cs="Times New Roman" w:hint="default"/>
        <w:color w:val="000000"/>
        <w:sz w:val="20"/>
        <w:szCs w:val="20"/>
      </w:rPr>
    </w:lvl>
    <w:lvl w:ilvl="1" w:tplc="040A0019">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num w:numId="1">
    <w:abstractNumId w:val="7"/>
  </w:num>
  <w:num w:numId="2">
    <w:abstractNumId w:val="8"/>
  </w:num>
  <w:num w:numId="3">
    <w:abstractNumId w:val="2"/>
  </w:num>
  <w:num w:numId="4">
    <w:abstractNumId w:val="5"/>
  </w:num>
  <w:num w:numId="5">
    <w:abstractNumId w:val="9"/>
  </w:num>
  <w:num w:numId="6">
    <w:abstractNumId w:val="1"/>
  </w:num>
  <w:num w:numId="7">
    <w:abstractNumId w:val="4"/>
  </w:num>
  <w:num w:numId="8">
    <w:abstractNumId w:val="3"/>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251"/>
    <w:rsid w:val="00015301"/>
    <w:rsid w:val="000322D1"/>
    <w:rsid w:val="00040FE1"/>
    <w:rsid w:val="00044BB1"/>
    <w:rsid w:val="00075AF8"/>
    <w:rsid w:val="00087689"/>
    <w:rsid w:val="00092D55"/>
    <w:rsid w:val="0010334C"/>
    <w:rsid w:val="00111C6F"/>
    <w:rsid w:val="00174A56"/>
    <w:rsid w:val="00192E98"/>
    <w:rsid w:val="00206E87"/>
    <w:rsid w:val="00256A8B"/>
    <w:rsid w:val="002C799B"/>
    <w:rsid w:val="002E1D96"/>
    <w:rsid w:val="002E267E"/>
    <w:rsid w:val="00360AAB"/>
    <w:rsid w:val="003D4601"/>
    <w:rsid w:val="00404B02"/>
    <w:rsid w:val="00487884"/>
    <w:rsid w:val="004D556F"/>
    <w:rsid w:val="004D6A87"/>
    <w:rsid w:val="005024AC"/>
    <w:rsid w:val="005673C9"/>
    <w:rsid w:val="00582678"/>
    <w:rsid w:val="00586C05"/>
    <w:rsid w:val="00593DAC"/>
    <w:rsid w:val="00593EED"/>
    <w:rsid w:val="00595DEF"/>
    <w:rsid w:val="005A0A9D"/>
    <w:rsid w:val="005E0394"/>
    <w:rsid w:val="00652529"/>
    <w:rsid w:val="00667682"/>
    <w:rsid w:val="006C17DE"/>
    <w:rsid w:val="007613C7"/>
    <w:rsid w:val="00782487"/>
    <w:rsid w:val="007B4B50"/>
    <w:rsid w:val="00824BE9"/>
    <w:rsid w:val="00833C00"/>
    <w:rsid w:val="008C000A"/>
    <w:rsid w:val="008C6EC2"/>
    <w:rsid w:val="00915A94"/>
    <w:rsid w:val="009368E7"/>
    <w:rsid w:val="009D59D3"/>
    <w:rsid w:val="009E4DFC"/>
    <w:rsid w:val="00A02A5D"/>
    <w:rsid w:val="00A12DA6"/>
    <w:rsid w:val="00A24E29"/>
    <w:rsid w:val="00A25FB1"/>
    <w:rsid w:val="00A50BD7"/>
    <w:rsid w:val="00AC00C4"/>
    <w:rsid w:val="00AC46E7"/>
    <w:rsid w:val="00AD2169"/>
    <w:rsid w:val="00AD672F"/>
    <w:rsid w:val="00AE1304"/>
    <w:rsid w:val="00AE5891"/>
    <w:rsid w:val="00B22CED"/>
    <w:rsid w:val="00B7186B"/>
    <w:rsid w:val="00B8686A"/>
    <w:rsid w:val="00BB356B"/>
    <w:rsid w:val="00BF5151"/>
    <w:rsid w:val="00C67D98"/>
    <w:rsid w:val="00CD3F88"/>
    <w:rsid w:val="00D364E4"/>
    <w:rsid w:val="00D641C6"/>
    <w:rsid w:val="00DD2251"/>
    <w:rsid w:val="00E00F33"/>
    <w:rsid w:val="00E52FD8"/>
    <w:rsid w:val="00E8387C"/>
    <w:rsid w:val="00EA34CE"/>
    <w:rsid w:val="00EF3F11"/>
    <w:rsid w:val="00F137EA"/>
    <w:rsid w:val="00F179DD"/>
    <w:rsid w:val="00F42AA1"/>
    <w:rsid w:val="00FF15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BFB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E98"/>
    <w:rPr>
      <w:rFonts w:ascii="Times New Roman" w:eastAsia="Times New Roman" w:hAnsi="Times New Roman" w:cs="Times New Roman"/>
      <w:lang w:eastAsia="es-ES_tradnl"/>
    </w:rPr>
  </w:style>
  <w:style w:type="paragraph" w:styleId="Ttulo1">
    <w:name w:val="heading 1"/>
    <w:basedOn w:val="Normal"/>
    <w:next w:val="Normal"/>
    <w:link w:val="Ttulo1Car"/>
    <w:uiPriority w:val="9"/>
    <w:qFormat/>
    <w:rsid w:val="00192E9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192E9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ar"/>
    <w:uiPriority w:val="9"/>
    <w:qFormat/>
    <w:rsid w:val="00CD3F88"/>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5_G,single space,Texto nota pie Car Car Car,FOOTNOTES,fn,Footnote Text Char Char Char,Footnote Text1 Char,Footnote Text2,Footnote Text Char Char Char1 Char,Footnote Text Char Char Char1,ft,ADB,Footnote Text Char Char,footnote text,f,FA Fu"/>
    <w:basedOn w:val="Normal"/>
    <w:link w:val="TextonotapieCar"/>
    <w:uiPriority w:val="99"/>
    <w:unhideWhenUsed/>
    <w:qFormat/>
    <w:rsid w:val="00C67D98"/>
    <w:rPr>
      <w:sz w:val="20"/>
      <w:szCs w:val="20"/>
    </w:rPr>
  </w:style>
  <w:style w:type="character" w:customStyle="1" w:styleId="TextonotapieCar">
    <w:name w:val="Texto nota pie Car"/>
    <w:aliases w:val="5_G Car,single space Car,Texto nota pie Car Car Car Car,FOOTNOTES Car,fn Car,Footnote Text Char Char Char Car,Footnote Text1 Char Car,Footnote Text2 Car,Footnote Text Char Char Char1 Char Car,Footnote Text Char Char Char1 Car,ft Car"/>
    <w:basedOn w:val="Fuentedeprrafopredeter"/>
    <w:link w:val="Textonotapie"/>
    <w:uiPriority w:val="99"/>
    <w:qFormat/>
    <w:rsid w:val="00C67D98"/>
    <w:rPr>
      <w:rFonts w:ascii="Times New Roman" w:eastAsia="Times New Roman" w:hAnsi="Times New Roman" w:cs="Times New Roman"/>
      <w:sz w:val="20"/>
      <w:szCs w:val="20"/>
      <w:lang w:eastAsia="es-ES_tradnl"/>
    </w:rPr>
  </w:style>
  <w:style w:type="character" w:styleId="Refdenotaalpie">
    <w:name w:val="footnote reference"/>
    <w:basedOn w:val="Fuentedeprrafopredeter"/>
    <w:uiPriority w:val="99"/>
    <w:semiHidden/>
    <w:unhideWhenUsed/>
    <w:rsid w:val="00C67D98"/>
    <w:rPr>
      <w:vertAlign w:val="superscript"/>
    </w:rPr>
  </w:style>
  <w:style w:type="character" w:styleId="Hipervnculo">
    <w:name w:val="Hyperlink"/>
    <w:basedOn w:val="Fuentedeprrafopredeter"/>
    <w:uiPriority w:val="99"/>
    <w:unhideWhenUsed/>
    <w:rsid w:val="00C67D98"/>
    <w:rPr>
      <w:color w:val="0563C1" w:themeColor="hyperlink"/>
      <w:u w:val="single"/>
    </w:rPr>
  </w:style>
  <w:style w:type="character" w:styleId="Refdecomentario">
    <w:name w:val="annotation reference"/>
    <w:basedOn w:val="Fuentedeprrafopredeter"/>
    <w:uiPriority w:val="99"/>
    <w:semiHidden/>
    <w:unhideWhenUsed/>
    <w:rsid w:val="00C67D98"/>
    <w:rPr>
      <w:sz w:val="16"/>
      <w:szCs w:val="16"/>
    </w:rPr>
  </w:style>
  <w:style w:type="paragraph" w:styleId="Textocomentario">
    <w:name w:val="annotation text"/>
    <w:basedOn w:val="Normal"/>
    <w:link w:val="TextocomentarioCar"/>
    <w:uiPriority w:val="99"/>
    <w:semiHidden/>
    <w:unhideWhenUsed/>
    <w:rsid w:val="00C67D98"/>
    <w:rPr>
      <w:sz w:val="20"/>
      <w:szCs w:val="20"/>
    </w:rPr>
  </w:style>
  <w:style w:type="character" w:customStyle="1" w:styleId="TextocomentarioCar">
    <w:name w:val="Texto comentario Car"/>
    <w:basedOn w:val="Fuentedeprrafopredeter"/>
    <w:link w:val="Textocomentario"/>
    <w:uiPriority w:val="99"/>
    <w:semiHidden/>
    <w:rsid w:val="00C67D98"/>
    <w:rPr>
      <w:rFonts w:ascii="Times New Roman" w:eastAsia="Times New Roman" w:hAnsi="Times New Roman" w:cs="Times New Roman"/>
      <w:sz w:val="20"/>
      <w:szCs w:val="20"/>
      <w:lang w:eastAsia="es-ES_tradnl"/>
    </w:rPr>
  </w:style>
  <w:style w:type="character" w:styleId="Textoennegrita">
    <w:name w:val="Strong"/>
    <w:basedOn w:val="Fuentedeprrafopredeter"/>
    <w:uiPriority w:val="22"/>
    <w:qFormat/>
    <w:rsid w:val="00595DEF"/>
    <w:rPr>
      <w:b/>
      <w:bCs/>
    </w:rPr>
  </w:style>
  <w:style w:type="paragraph" w:styleId="Prrafodelista">
    <w:name w:val="List Paragraph"/>
    <w:basedOn w:val="Normal"/>
    <w:uiPriority w:val="34"/>
    <w:qFormat/>
    <w:rsid w:val="00A02A5D"/>
    <w:pPr>
      <w:ind w:left="720"/>
      <w:contextualSpacing/>
    </w:pPr>
  </w:style>
  <w:style w:type="paragraph" w:styleId="Revisin">
    <w:name w:val="Revision"/>
    <w:hidden/>
    <w:uiPriority w:val="99"/>
    <w:semiHidden/>
    <w:rsid w:val="00833C00"/>
    <w:rPr>
      <w:rFonts w:ascii="Times New Roman" w:eastAsia="Times New Roman" w:hAnsi="Times New Roman" w:cs="Times New Roman"/>
      <w:lang w:eastAsia="es-ES_tradnl"/>
    </w:rPr>
  </w:style>
  <w:style w:type="paragraph" w:styleId="NormalWeb">
    <w:name w:val="Normal (Web)"/>
    <w:basedOn w:val="Normal"/>
    <w:uiPriority w:val="99"/>
    <w:unhideWhenUsed/>
    <w:rsid w:val="009E4DFC"/>
    <w:pPr>
      <w:spacing w:before="100" w:beforeAutospacing="1" w:after="100" w:afterAutospacing="1"/>
    </w:pPr>
  </w:style>
  <w:style w:type="character" w:customStyle="1" w:styleId="Ttulo3Car">
    <w:name w:val="Título 3 Car"/>
    <w:basedOn w:val="Fuentedeprrafopredeter"/>
    <w:link w:val="Ttulo3"/>
    <w:uiPriority w:val="9"/>
    <w:rsid w:val="00CD3F88"/>
    <w:rPr>
      <w:rFonts w:ascii="Times New Roman" w:eastAsia="Times New Roman" w:hAnsi="Times New Roman" w:cs="Times New Roman"/>
      <w:b/>
      <w:bCs/>
      <w:sz w:val="27"/>
      <w:szCs w:val="27"/>
      <w:lang w:eastAsia="es-ES_tradnl"/>
    </w:rPr>
  </w:style>
  <w:style w:type="paragraph" w:customStyle="1" w:styleId="Body">
    <w:name w:val="Body"/>
    <w:rsid w:val="00A25FB1"/>
    <w:pPr>
      <w:pBdr>
        <w:top w:val="nil"/>
        <w:left w:val="nil"/>
        <w:bottom w:val="nil"/>
        <w:right w:val="nil"/>
        <w:between w:val="nil"/>
        <w:bar w:val="nil"/>
      </w:pBdr>
    </w:pPr>
    <w:rPr>
      <w:rFonts w:ascii="Times New Roman" w:eastAsia="Arial Unicode MS" w:hAnsi="Arial Unicode MS" w:cs="Arial Unicode MS"/>
      <w:color w:val="000000"/>
      <w:u w:color="000000"/>
      <w:bdr w:val="nil"/>
      <w:lang w:val="es-ES" w:eastAsia="es-ES"/>
    </w:rPr>
  </w:style>
  <w:style w:type="character" w:customStyle="1" w:styleId="UnresolvedMention">
    <w:name w:val="Unresolved Mention"/>
    <w:basedOn w:val="Fuentedeprrafopredeter"/>
    <w:uiPriority w:val="99"/>
    <w:semiHidden/>
    <w:unhideWhenUsed/>
    <w:rsid w:val="00B7186B"/>
    <w:rPr>
      <w:color w:val="605E5C"/>
      <w:shd w:val="clear" w:color="auto" w:fill="E1DFDD"/>
    </w:rPr>
  </w:style>
  <w:style w:type="paragraph" w:styleId="Sinespaciado">
    <w:name w:val="No Spacing"/>
    <w:uiPriority w:val="1"/>
    <w:qFormat/>
    <w:rsid w:val="008C000A"/>
    <w:rPr>
      <w:rFonts w:ascii="Times New Roman" w:eastAsia="Times New Roman" w:hAnsi="Times New Roman" w:cs="Times New Roman"/>
      <w:lang w:eastAsia="es-ES_tradnl"/>
    </w:rPr>
  </w:style>
  <w:style w:type="character" w:customStyle="1" w:styleId="Ttulo1Car">
    <w:name w:val="Título 1 Car"/>
    <w:basedOn w:val="Fuentedeprrafopredeter"/>
    <w:link w:val="Ttulo1"/>
    <w:uiPriority w:val="9"/>
    <w:rsid w:val="00192E98"/>
    <w:rPr>
      <w:rFonts w:asciiTheme="majorHAnsi" w:eastAsiaTheme="majorEastAsia" w:hAnsiTheme="majorHAnsi" w:cstheme="majorBidi"/>
      <w:color w:val="2F5496" w:themeColor="accent1" w:themeShade="BF"/>
      <w:sz w:val="32"/>
      <w:szCs w:val="32"/>
      <w:lang w:eastAsia="es-ES_tradnl"/>
    </w:rPr>
  </w:style>
  <w:style w:type="character" w:customStyle="1" w:styleId="Ttulo2Car">
    <w:name w:val="Título 2 Car"/>
    <w:basedOn w:val="Fuentedeprrafopredeter"/>
    <w:link w:val="Ttulo2"/>
    <w:uiPriority w:val="9"/>
    <w:semiHidden/>
    <w:rsid w:val="00192E98"/>
    <w:rPr>
      <w:rFonts w:asciiTheme="majorHAnsi" w:eastAsiaTheme="majorEastAsia" w:hAnsiTheme="majorHAnsi" w:cstheme="majorBidi"/>
      <w:color w:val="2F5496" w:themeColor="accent1" w:themeShade="BF"/>
      <w:sz w:val="26"/>
      <w:szCs w:val="26"/>
      <w:lang w:eastAsia="es-ES_tradnl"/>
    </w:rPr>
  </w:style>
  <w:style w:type="paragraph" w:styleId="Textonotaalfinal">
    <w:name w:val="endnote text"/>
    <w:basedOn w:val="Normal"/>
    <w:link w:val="TextonotaalfinalCar"/>
    <w:uiPriority w:val="99"/>
    <w:semiHidden/>
    <w:unhideWhenUsed/>
    <w:rsid w:val="00586C05"/>
    <w:rPr>
      <w:sz w:val="20"/>
      <w:szCs w:val="20"/>
    </w:rPr>
  </w:style>
  <w:style w:type="character" w:customStyle="1" w:styleId="TextonotaalfinalCar">
    <w:name w:val="Texto nota al final Car"/>
    <w:basedOn w:val="Fuentedeprrafopredeter"/>
    <w:link w:val="Textonotaalfinal"/>
    <w:uiPriority w:val="99"/>
    <w:semiHidden/>
    <w:rsid w:val="00586C05"/>
    <w:rPr>
      <w:rFonts w:ascii="Times New Roman" w:eastAsia="Times New Roman" w:hAnsi="Times New Roman" w:cs="Times New Roman"/>
      <w:sz w:val="20"/>
      <w:szCs w:val="20"/>
      <w:lang w:eastAsia="es-ES_tradnl"/>
    </w:rPr>
  </w:style>
  <w:style w:type="character" w:styleId="Refdenotaalfinal">
    <w:name w:val="endnote reference"/>
    <w:basedOn w:val="Fuentedeprrafopredeter"/>
    <w:uiPriority w:val="99"/>
    <w:semiHidden/>
    <w:unhideWhenUsed/>
    <w:rsid w:val="00586C05"/>
    <w:rPr>
      <w:vertAlign w:val="superscript"/>
    </w:rPr>
  </w:style>
  <w:style w:type="paragraph" w:styleId="Encabezado">
    <w:name w:val="header"/>
    <w:basedOn w:val="Normal"/>
    <w:link w:val="EncabezadoCar"/>
    <w:uiPriority w:val="99"/>
    <w:unhideWhenUsed/>
    <w:rsid w:val="00487884"/>
    <w:pPr>
      <w:tabs>
        <w:tab w:val="center" w:pos="4419"/>
        <w:tab w:val="right" w:pos="8838"/>
      </w:tabs>
    </w:pPr>
  </w:style>
  <w:style w:type="character" w:customStyle="1" w:styleId="EncabezadoCar">
    <w:name w:val="Encabezado Car"/>
    <w:basedOn w:val="Fuentedeprrafopredeter"/>
    <w:link w:val="Encabezado"/>
    <w:uiPriority w:val="99"/>
    <w:rsid w:val="00487884"/>
    <w:rPr>
      <w:rFonts w:ascii="Times New Roman" w:eastAsia="Times New Roman" w:hAnsi="Times New Roman" w:cs="Times New Roman"/>
      <w:lang w:eastAsia="es-ES_tradnl"/>
    </w:rPr>
  </w:style>
  <w:style w:type="paragraph" w:styleId="Piedepgina">
    <w:name w:val="footer"/>
    <w:basedOn w:val="Normal"/>
    <w:link w:val="PiedepginaCar"/>
    <w:uiPriority w:val="99"/>
    <w:unhideWhenUsed/>
    <w:rsid w:val="00487884"/>
    <w:pPr>
      <w:tabs>
        <w:tab w:val="center" w:pos="4419"/>
        <w:tab w:val="right" w:pos="8838"/>
      </w:tabs>
    </w:pPr>
  </w:style>
  <w:style w:type="character" w:customStyle="1" w:styleId="PiedepginaCar">
    <w:name w:val="Pie de página Car"/>
    <w:basedOn w:val="Fuentedeprrafopredeter"/>
    <w:link w:val="Piedepgina"/>
    <w:uiPriority w:val="99"/>
    <w:rsid w:val="00487884"/>
    <w:rPr>
      <w:rFonts w:ascii="Times New Roman" w:eastAsia="Times New Roman" w:hAnsi="Times New Roman" w:cs="Times New Roman"/>
      <w:lang w:eastAsia="es-ES_tradnl"/>
    </w:rPr>
  </w:style>
  <w:style w:type="paragraph" w:styleId="Textodeglobo">
    <w:name w:val="Balloon Text"/>
    <w:basedOn w:val="Normal"/>
    <w:link w:val="TextodegloboCar"/>
    <w:uiPriority w:val="99"/>
    <w:semiHidden/>
    <w:unhideWhenUsed/>
    <w:rsid w:val="00487884"/>
    <w:rPr>
      <w:rFonts w:ascii="Tahoma" w:hAnsi="Tahoma" w:cs="Tahoma"/>
      <w:sz w:val="16"/>
      <w:szCs w:val="16"/>
    </w:rPr>
  </w:style>
  <w:style w:type="character" w:customStyle="1" w:styleId="TextodegloboCar">
    <w:name w:val="Texto de globo Car"/>
    <w:basedOn w:val="Fuentedeprrafopredeter"/>
    <w:link w:val="Textodeglobo"/>
    <w:uiPriority w:val="99"/>
    <w:semiHidden/>
    <w:rsid w:val="00487884"/>
    <w:rPr>
      <w:rFonts w:ascii="Tahoma" w:eastAsia="Times New Roman" w:hAnsi="Tahoma" w:cs="Tahoma"/>
      <w:sz w:val="16"/>
      <w:szCs w:val="16"/>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2E98"/>
    <w:rPr>
      <w:rFonts w:ascii="Times New Roman" w:eastAsia="Times New Roman" w:hAnsi="Times New Roman" w:cs="Times New Roman"/>
      <w:lang w:eastAsia="es-ES_tradnl"/>
    </w:rPr>
  </w:style>
  <w:style w:type="paragraph" w:styleId="Ttulo1">
    <w:name w:val="heading 1"/>
    <w:basedOn w:val="Normal"/>
    <w:next w:val="Normal"/>
    <w:link w:val="Ttulo1Car"/>
    <w:uiPriority w:val="9"/>
    <w:qFormat/>
    <w:rsid w:val="00192E9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192E9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ar"/>
    <w:uiPriority w:val="9"/>
    <w:qFormat/>
    <w:rsid w:val="00CD3F88"/>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5_G,single space,Texto nota pie Car Car Car,FOOTNOTES,fn,Footnote Text Char Char Char,Footnote Text1 Char,Footnote Text2,Footnote Text Char Char Char1 Char,Footnote Text Char Char Char1,ft,ADB,Footnote Text Char Char,footnote text,f,FA Fu"/>
    <w:basedOn w:val="Normal"/>
    <w:link w:val="TextonotapieCar"/>
    <w:uiPriority w:val="99"/>
    <w:unhideWhenUsed/>
    <w:qFormat/>
    <w:rsid w:val="00C67D98"/>
    <w:rPr>
      <w:sz w:val="20"/>
      <w:szCs w:val="20"/>
    </w:rPr>
  </w:style>
  <w:style w:type="character" w:customStyle="1" w:styleId="TextonotapieCar">
    <w:name w:val="Texto nota pie Car"/>
    <w:aliases w:val="5_G Car,single space Car,Texto nota pie Car Car Car Car,FOOTNOTES Car,fn Car,Footnote Text Char Char Char Car,Footnote Text1 Char Car,Footnote Text2 Car,Footnote Text Char Char Char1 Char Car,Footnote Text Char Char Char1 Car,ft Car"/>
    <w:basedOn w:val="Fuentedeprrafopredeter"/>
    <w:link w:val="Textonotapie"/>
    <w:uiPriority w:val="99"/>
    <w:qFormat/>
    <w:rsid w:val="00C67D98"/>
    <w:rPr>
      <w:rFonts w:ascii="Times New Roman" w:eastAsia="Times New Roman" w:hAnsi="Times New Roman" w:cs="Times New Roman"/>
      <w:sz w:val="20"/>
      <w:szCs w:val="20"/>
      <w:lang w:eastAsia="es-ES_tradnl"/>
    </w:rPr>
  </w:style>
  <w:style w:type="character" w:styleId="Refdenotaalpie">
    <w:name w:val="footnote reference"/>
    <w:basedOn w:val="Fuentedeprrafopredeter"/>
    <w:uiPriority w:val="99"/>
    <w:semiHidden/>
    <w:unhideWhenUsed/>
    <w:rsid w:val="00C67D98"/>
    <w:rPr>
      <w:vertAlign w:val="superscript"/>
    </w:rPr>
  </w:style>
  <w:style w:type="character" w:styleId="Hipervnculo">
    <w:name w:val="Hyperlink"/>
    <w:basedOn w:val="Fuentedeprrafopredeter"/>
    <w:uiPriority w:val="99"/>
    <w:unhideWhenUsed/>
    <w:rsid w:val="00C67D98"/>
    <w:rPr>
      <w:color w:val="0563C1" w:themeColor="hyperlink"/>
      <w:u w:val="single"/>
    </w:rPr>
  </w:style>
  <w:style w:type="character" w:styleId="Refdecomentario">
    <w:name w:val="annotation reference"/>
    <w:basedOn w:val="Fuentedeprrafopredeter"/>
    <w:uiPriority w:val="99"/>
    <w:semiHidden/>
    <w:unhideWhenUsed/>
    <w:rsid w:val="00C67D98"/>
    <w:rPr>
      <w:sz w:val="16"/>
      <w:szCs w:val="16"/>
    </w:rPr>
  </w:style>
  <w:style w:type="paragraph" w:styleId="Textocomentario">
    <w:name w:val="annotation text"/>
    <w:basedOn w:val="Normal"/>
    <w:link w:val="TextocomentarioCar"/>
    <w:uiPriority w:val="99"/>
    <w:semiHidden/>
    <w:unhideWhenUsed/>
    <w:rsid w:val="00C67D98"/>
    <w:rPr>
      <w:sz w:val="20"/>
      <w:szCs w:val="20"/>
    </w:rPr>
  </w:style>
  <w:style w:type="character" w:customStyle="1" w:styleId="TextocomentarioCar">
    <w:name w:val="Texto comentario Car"/>
    <w:basedOn w:val="Fuentedeprrafopredeter"/>
    <w:link w:val="Textocomentario"/>
    <w:uiPriority w:val="99"/>
    <w:semiHidden/>
    <w:rsid w:val="00C67D98"/>
    <w:rPr>
      <w:rFonts w:ascii="Times New Roman" w:eastAsia="Times New Roman" w:hAnsi="Times New Roman" w:cs="Times New Roman"/>
      <w:sz w:val="20"/>
      <w:szCs w:val="20"/>
      <w:lang w:eastAsia="es-ES_tradnl"/>
    </w:rPr>
  </w:style>
  <w:style w:type="character" w:styleId="Textoennegrita">
    <w:name w:val="Strong"/>
    <w:basedOn w:val="Fuentedeprrafopredeter"/>
    <w:uiPriority w:val="22"/>
    <w:qFormat/>
    <w:rsid w:val="00595DEF"/>
    <w:rPr>
      <w:b/>
      <w:bCs/>
    </w:rPr>
  </w:style>
  <w:style w:type="paragraph" w:styleId="Prrafodelista">
    <w:name w:val="List Paragraph"/>
    <w:basedOn w:val="Normal"/>
    <w:uiPriority w:val="34"/>
    <w:qFormat/>
    <w:rsid w:val="00A02A5D"/>
    <w:pPr>
      <w:ind w:left="720"/>
      <w:contextualSpacing/>
    </w:pPr>
  </w:style>
  <w:style w:type="paragraph" w:styleId="Revisin">
    <w:name w:val="Revision"/>
    <w:hidden/>
    <w:uiPriority w:val="99"/>
    <w:semiHidden/>
    <w:rsid w:val="00833C00"/>
    <w:rPr>
      <w:rFonts w:ascii="Times New Roman" w:eastAsia="Times New Roman" w:hAnsi="Times New Roman" w:cs="Times New Roman"/>
      <w:lang w:eastAsia="es-ES_tradnl"/>
    </w:rPr>
  </w:style>
  <w:style w:type="paragraph" w:styleId="NormalWeb">
    <w:name w:val="Normal (Web)"/>
    <w:basedOn w:val="Normal"/>
    <w:uiPriority w:val="99"/>
    <w:unhideWhenUsed/>
    <w:rsid w:val="009E4DFC"/>
    <w:pPr>
      <w:spacing w:before="100" w:beforeAutospacing="1" w:after="100" w:afterAutospacing="1"/>
    </w:pPr>
  </w:style>
  <w:style w:type="character" w:customStyle="1" w:styleId="Ttulo3Car">
    <w:name w:val="Título 3 Car"/>
    <w:basedOn w:val="Fuentedeprrafopredeter"/>
    <w:link w:val="Ttulo3"/>
    <w:uiPriority w:val="9"/>
    <w:rsid w:val="00CD3F88"/>
    <w:rPr>
      <w:rFonts w:ascii="Times New Roman" w:eastAsia="Times New Roman" w:hAnsi="Times New Roman" w:cs="Times New Roman"/>
      <w:b/>
      <w:bCs/>
      <w:sz w:val="27"/>
      <w:szCs w:val="27"/>
      <w:lang w:eastAsia="es-ES_tradnl"/>
    </w:rPr>
  </w:style>
  <w:style w:type="paragraph" w:customStyle="1" w:styleId="Body">
    <w:name w:val="Body"/>
    <w:rsid w:val="00A25FB1"/>
    <w:pPr>
      <w:pBdr>
        <w:top w:val="nil"/>
        <w:left w:val="nil"/>
        <w:bottom w:val="nil"/>
        <w:right w:val="nil"/>
        <w:between w:val="nil"/>
        <w:bar w:val="nil"/>
      </w:pBdr>
    </w:pPr>
    <w:rPr>
      <w:rFonts w:ascii="Times New Roman" w:eastAsia="Arial Unicode MS" w:hAnsi="Arial Unicode MS" w:cs="Arial Unicode MS"/>
      <w:color w:val="000000"/>
      <w:u w:color="000000"/>
      <w:bdr w:val="nil"/>
      <w:lang w:val="es-ES" w:eastAsia="es-ES"/>
    </w:rPr>
  </w:style>
  <w:style w:type="character" w:customStyle="1" w:styleId="UnresolvedMention">
    <w:name w:val="Unresolved Mention"/>
    <w:basedOn w:val="Fuentedeprrafopredeter"/>
    <w:uiPriority w:val="99"/>
    <w:semiHidden/>
    <w:unhideWhenUsed/>
    <w:rsid w:val="00B7186B"/>
    <w:rPr>
      <w:color w:val="605E5C"/>
      <w:shd w:val="clear" w:color="auto" w:fill="E1DFDD"/>
    </w:rPr>
  </w:style>
  <w:style w:type="paragraph" w:styleId="Sinespaciado">
    <w:name w:val="No Spacing"/>
    <w:uiPriority w:val="1"/>
    <w:qFormat/>
    <w:rsid w:val="008C000A"/>
    <w:rPr>
      <w:rFonts w:ascii="Times New Roman" w:eastAsia="Times New Roman" w:hAnsi="Times New Roman" w:cs="Times New Roman"/>
      <w:lang w:eastAsia="es-ES_tradnl"/>
    </w:rPr>
  </w:style>
  <w:style w:type="character" w:customStyle="1" w:styleId="Ttulo1Car">
    <w:name w:val="Título 1 Car"/>
    <w:basedOn w:val="Fuentedeprrafopredeter"/>
    <w:link w:val="Ttulo1"/>
    <w:uiPriority w:val="9"/>
    <w:rsid w:val="00192E98"/>
    <w:rPr>
      <w:rFonts w:asciiTheme="majorHAnsi" w:eastAsiaTheme="majorEastAsia" w:hAnsiTheme="majorHAnsi" w:cstheme="majorBidi"/>
      <w:color w:val="2F5496" w:themeColor="accent1" w:themeShade="BF"/>
      <w:sz w:val="32"/>
      <w:szCs w:val="32"/>
      <w:lang w:eastAsia="es-ES_tradnl"/>
    </w:rPr>
  </w:style>
  <w:style w:type="character" w:customStyle="1" w:styleId="Ttulo2Car">
    <w:name w:val="Título 2 Car"/>
    <w:basedOn w:val="Fuentedeprrafopredeter"/>
    <w:link w:val="Ttulo2"/>
    <w:uiPriority w:val="9"/>
    <w:semiHidden/>
    <w:rsid w:val="00192E98"/>
    <w:rPr>
      <w:rFonts w:asciiTheme="majorHAnsi" w:eastAsiaTheme="majorEastAsia" w:hAnsiTheme="majorHAnsi" w:cstheme="majorBidi"/>
      <w:color w:val="2F5496" w:themeColor="accent1" w:themeShade="BF"/>
      <w:sz w:val="26"/>
      <w:szCs w:val="26"/>
      <w:lang w:eastAsia="es-ES_tradnl"/>
    </w:rPr>
  </w:style>
  <w:style w:type="paragraph" w:styleId="Textonotaalfinal">
    <w:name w:val="endnote text"/>
    <w:basedOn w:val="Normal"/>
    <w:link w:val="TextonotaalfinalCar"/>
    <w:uiPriority w:val="99"/>
    <w:semiHidden/>
    <w:unhideWhenUsed/>
    <w:rsid w:val="00586C05"/>
    <w:rPr>
      <w:sz w:val="20"/>
      <w:szCs w:val="20"/>
    </w:rPr>
  </w:style>
  <w:style w:type="character" w:customStyle="1" w:styleId="TextonotaalfinalCar">
    <w:name w:val="Texto nota al final Car"/>
    <w:basedOn w:val="Fuentedeprrafopredeter"/>
    <w:link w:val="Textonotaalfinal"/>
    <w:uiPriority w:val="99"/>
    <w:semiHidden/>
    <w:rsid w:val="00586C05"/>
    <w:rPr>
      <w:rFonts w:ascii="Times New Roman" w:eastAsia="Times New Roman" w:hAnsi="Times New Roman" w:cs="Times New Roman"/>
      <w:sz w:val="20"/>
      <w:szCs w:val="20"/>
      <w:lang w:eastAsia="es-ES_tradnl"/>
    </w:rPr>
  </w:style>
  <w:style w:type="character" w:styleId="Refdenotaalfinal">
    <w:name w:val="endnote reference"/>
    <w:basedOn w:val="Fuentedeprrafopredeter"/>
    <w:uiPriority w:val="99"/>
    <w:semiHidden/>
    <w:unhideWhenUsed/>
    <w:rsid w:val="00586C05"/>
    <w:rPr>
      <w:vertAlign w:val="superscript"/>
    </w:rPr>
  </w:style>
  <w:style w:type="paragraph" w:styleId="Encabezado">
    <w:name w:val="header"/>
    <w:basedOn w:val="Normal"/>
    <w:link w:val="EncabezadoCar"/>
    <w:uiPriority w:val="99"/>
    <w:unhideWhenUsed/>
    <w:rsid w:val="00487884"/>
    <w:pPr>
      <w:tabs>
        <w:tab w:val="center" w:pos="4419"/>
        <w:tab w:val="right" w:pos="8838"/>
      </w:tabs>
    </w:pPr>
  </w:style>
  <w:style w:type="character" w:customStyle="1" w:styleId="EncabezadoCar">
    <w:name w:val="Encabezado Car"/>
    <w:basedOn w:val="Fuentedeprrafopredeter"/>
    <w:link w:val="Encabezado"/>
    <w:uiPriority w:val="99"/>
    <w:rsid w:val="00487884"/>
    <w:rPr>
      <w:rFonts w:ascii="Times New Roman" w:eastAsia="Times New Roman" w:hAnsi="Times New Roman" w:cs="Times New Roman"/>
      <w:lang w:eastAsia="es-ES_tradnl"/>
    </w:rPr>
  </w:style>
  <w:style w:type="paragraph" w:styleId="Piedepgina">
    <w:name w:val="footer"/>
    <w:basedOn w:val="Normal"/>
    <w:link w:val="PiedepginaCar"/>
    <w:uiPriority w:val="99"/>
    <w:unhideWhenUsed/>
    <w:rsid w:val="00487884"/>
    <w:pPr>
      <w:tabs>
        <w:tab w:val="center" w:pos="4419"/>
        <w:tab w:val="right" w:pos="8838"/>
      </w:tabs>
    </w:pPr>
  </w:style>
  <w:style w:type="character" w:customStyle="1" w:styleId="PiedepginaCar">
    <w:name w:val="Pie de página Car"/>
    <w:basedOn w:val="Fuentedeprrafopredeter"/>
    <w:link w:val="Piedepgina"/>
    <w:uiPriority w:val="99"/>
    <w:rsid w:val="00487884"/>
    <w:rPr>
      <w:rFonts w:ascii="Times New Roman" w:eastAsia="Times New Roman" w:hAnsi="Times New Roman" w:cs="Times New Roman"/>
      <w:lang w:eastAsia="es-ES_tradnl"/>
    </w:rPr>
  </w:style>
  <w:style w:type="paragraph" w:styleId="Textodeglobo">
    <w:name w:val="Balloon Text"/>
    <w:basedOn w:val="Normal"/>
    <w:link w:val="TextodegloboCar"/>
    <w:uiPriority w:val="99"/>
    <w:semiHidden/>
    <w:unhideWhenUsed/>
    <w:rsid w:val="00487884"/>
    <w:rPr>
      <w:rFonts w:ascii="Tahoma" w:hAnsi="Tahoma" w:cs="Tahoma"/>
      <w:sz w:val="16"/>
      <w:szCs w:val="16"/>
    </w:rPr>
  </w:style>
  <w:style w:type="character" w:customStyle="1" w:styleId="TextodegloboCar">
    <w:name w:val="Texto de globo Car"/>
    <w:basedOn w:val="Fuentedeprrafopredeter"/>
    <w:link w:val="Textodeglobo"/>
    <w:uiPriority w:val="99"/>
    <w:semiHidden/>
    <w:rsid w:val="00487884"/>
    <w:rPr>
      <w:rFonts w:ascii="Tahoma" w:eastAsia="Times New Roman" w:hAnsi="Tahoma" w:cs="Tahoma"/>
      <w:sz w:val="16"/>
      <w:szCs w:val="16"/>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440952">
      <w:bodyDiv w:val="1"/>
      <w:marLeft w:val="0"/>
      <w:marRight w:val="0"/>
      <w:marTop w:val="0"/>
      <w:marBottom w:val="0"/>
      <w:divBdr>
        <w:top w:val="none" w:sz="0" w:space="0" w:color="auto"/>
        <w:left w:val="none" w:sz="0" w:space="0" w:color="auto"/>
        <w:bottom w:val="none" w:sz="0" w:space="0" w:color="auto"/>
        <w:right w:val="none" w:sz="0" w:space="0" w:color="auto"/>
      </w:divBdr>
    </w:div>
    <w:div w:id="98138371">
      <w:bodyDiv w:val="1"/>
      <w:marLeft w:val="0"/>
      <w:marRight w:val="0"/>
      <w:marTop w:val="0"/>
      <w:marBottom w:val="0"/>
      <w:divBdr>
        <w:top w:val="none" w:sz="0" w:space="0" w:color="auto"/>
        <w:left w:val="none" w:sz="0" w:space="0" w:color="auto"/>
        <w:bottom w:val="none" w:sz="0" w:space="0" w:color="auto"/>
        <w:right w:val="none" w:sz="0" w:space="0" w:color="auto"/>
      </w:divBdr>
    </w:div>
    <w:div w:id="98915353">
      <w:bodyDiv w:val="1"/>
      <w:marLeft w:val="0"/>
      <w:marRight w:val="0"/>
      <w:marTop w:val="0"/>
      <w:marBottom w:val="0"/>
      <w:divBdr>
        <w:top w:val="none" w:sz="0" w:space="0" w:color="auto"/>
        <w:left w:val="none" w:sz="0" w:space="0" w:color="auto"/>
        <w:bottom w:val="none" w:sz="0" w:space="0" w:color="auto"/>
        <w:right w:val="none" w:sz="0" w:space="0" w:color="auto"/>
      </w:divBdr>
    </w:div>
    <w:div w:id="164907898">
      <w:bodyDiv w:val="1"/>
      <w:marLeft w:val="0"/>
      <w:marRight w:val="0"/>
      <w:marTop w:val="0"/>
      <w:marBottom w:val="0"/>
      <w:divBdr>
        <w:top w:val="none" w:sz="0" w:space="0" w:color="auto"/>
        <w:left w:val="none" w:sz="0" w:space="0" w:color="auto"/>
        <w:bottom w:val="none" w:sz="0" w:space="0" w:color="auto"/>
        <w:right w:val="none" w:sz="0" w:space="0" w:color="auto"/>
      </w:divBdr>
    </w:div>
    <w:div w:id="276572109">
      <w:bodyDiv w:val="1"/>
      <w:marLeft w:val="0"/>
      <w:marRight w:val="0"/>
      <w:marTop w:val="0"/>
      <w:marBottom w:val="0"/>
      <w:divBdr>
        <w:top w:val="none" w:sz="0" w:space="0" w:color="auto"/>
        <w:left w:val="none" w:sz="0" w:space="0" w:color="auto"/>
        <w:bottom w:val="none" w:sz="0" w:space="0" w:color="auto"/>
        <w:right w:val="none" w:sz="0" w:space="0" w:color="auto"/>
      </w:divBdr>
    </w:div>
    <w:div w:id="284581909">
      <w:bodyDiv w:val="1"/>
      <w:marLeft w:val="0"/>
      <w:marRight w:val="0"/>
      <w:marTop w:val="0"/>
      <w:marBottom w:val="0"/>
      <w:divBdr>
        <w:top w:val="none" w:sz="0" w:space="0" w:color="auto"/>
        <w:left w:val="none" w:sz="0" w:space="0" w:color="auto"/>
        <w:bottom w:val="none" w:sz="0" w:space="0" w:color="auto"/>
        <w:right w:val="none" w:sz="0" w:space="0" w:color="auto"/>
      </w:divBdr>
    </w:div>
    <w:div w:id="285357958">
      <w:bodyDiv w:val="1"/>
      <w:marLeft w:val="0"/>
      <w:marRight w:val="0"/>
      <w:marTop w:val="0"/>
      <w:marBottom w:val="0"/>
      <w:divBdr>
        <w:top w:val="none" w:sz="0" w:space="0" w:color="auto"/>
        <w:left w:val="none" w:sz="0" w:space="0" w:color="auto"/>
        <w:bottom w:val="none" w:sz="0" w:space="0" w:color="auto"/>
        <w:right w:val="none" w:sz="0" w:space="0" w:color="auto"/>
      </w:divBdr>
    </w:div>
    <w:div w:id="556402931">
      <w:bodyDiv w:val="1"/>
      <w:marLeft w:val="0"/>
      <w:marRight w:val="0"/>
      <w:marTop w:val="0"/>
      <w:marBottom w:val="0"/>
      <w:divBdr>
        <w:top w:val="none" w:sz="0" w:space="0" w:color="auto"/>
        <w:left w:val="none" w:sz="0" w:space="0" w:color="auto"/>
        <w:bottom w:val="none" w:sz="0" w:space="0" w:color="auto"/>
        <w:right w:val="none" w:sz="0" w:space="0" w:color="auto"/>
      </w:divBdr>
    </w:div>
    <w:div w:id="588195848">
      <w:bodyDiv w:val="1"/>
      <w:marLeft w:val="0"/>
      <w:marRight w:val="0"/>
      <w:marTop w:val="0"/>
      <w:marBottom w:val="0"/>
      <w:divBdr>
        <w:top w:val="none" w:sz="0" w:space="0" w:color="auto"/>
        <w:left w:val="none" w:sz="0" w:space="0" w:color="auto"/>
        <w:bottom w:val="none" w:sz="0" w:space="0" w:color="auto"/>
        <w:right w:val="none" w:sz="0" w:space="0" w:color="auto"/>
      </w:divBdr>
    </w:div>
    <w:div w:id="611858051">
      <w:bodyDiv w:val="1"/>
      <w:marLeft w:val="0"/>
      <w:marRight w:val="0"/>
      <w:marTop w:val="0"/>
      <w:marBottom w:val="0"/>
      <w:divBdr>
        <w:top w:val="none" w:sz="0" w:space="0" w:color="auto"/>
        <w:left w:val="none" w:sz="0" w:space="0" w:color="auto"/>
        <w:bottom w:val="none" w:sz="0" w:space="0" w:color="auto"/>
        <w:right w:val="none" w:sz="0" w:space="0" w:color="auto"/>
      </w:divBdr>
    </w:div>
    <w:div w:id="628634476">
      <w:bodyDiv w:val="1"/>
      <w:marLeft w:val="0"/>
      <w:marRight w:val="0"/>
      <w:marTop w:val="0"/>
      <w:marBottom w:val="0"/>
      <w:divBdr>
        <w:top w:val="none" w:sz="0" w:space="0" w:color="auto"/>
        <w:left w:val="none" w:sz="0" w:space="0" w:color="auto"/>
        <w:bottom w:val="none" w:sz="0" w:space="0" w:color="auto"/>
        <w:right w:val="none" w:sz="0" w:space="0" w:color="auto"/>
      </w:divBdr>
      <w:divsChild>
        <w:div w:id="594826487">
          <w:marLeft w:val="0"/>
          <w:marRight w:val="0"/>
          <w:marTop w:val="0"/>
          <w:marBottom w:val="0"/>
          <w:divBdr>
            <w:top w:val="none" w:sz="0" w:space="0" w:color="auto"/>
            <w:left w:val="none" w:sz="0" w:space="0" w:color="auto"/>
            <w:bottom w:val="none" w:sz="0" w:space="0" w:color="auto"/>
            <w:right w:val="none" w:sz="0" w:space="0" w:color="auto"/>
          </w:divBdr>
          <w:divsChild>
            <w:div w:id="577638459">
              <w:marLeft w:val="0"/>
              <w:marRight w:val="0"/>
              <w:marTop w:val="0"/>
              <w:marBottom w:val="0"/>
              <w:divBdr>
                <w:top w:val="none" w:sz="0" w:space="0" w:color="auto"/>
                <w:left w:val="none" w:sz="0" w:space="0" w:color="auto"/>
                <w:bottom w:val="none" w:sz="0" w:space="0" w:color="auto"/>
                <w:right w:val="none" w:sz="0" w:space="0" w:color="auto"/>
              </w:divBdr>
              <w:divsChild>
                <w:div w:id="1750691228">
                  <w:marLeft w:val="0"/>
                  <w:marRight w:val="0"/>
                  <w:marTop w:val="0"/>
                  <w:marBottom w:val="0"/>
                  <w:divBdr>
                    <w:top w:val="none" w:sz="0" w:space="0" w:color="auto"/>
                    <w:left w:val="none" w:sz="0" w:space="0" w:color="auto"/>
                    <w:bottom w:val="none" w:sz="0" w:space="0" w:color="auto"/>
                    <w:right w:val="none" w:sz="0" w:space="0" w:color="auto"/>
                  </w:divBdr>
                  <w:divsChild>
                    <w:div w:id="1054621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5110633">
      <w:bodyDiv w:val="1"/>
      <w:marLeft w:val="0"/>
      <w:marRight w:val="0"/>
      <w:marTop w:val="0"/>
      <w:marBottom w:val="0"/>
      <w:divBdr>
        <w:top w:val="none" w:sz="0" w:space="0" w:color="auto"/>
        <w:left w:val="none" w:sz="0" w:space="0" w:color="auto"/>
        <w:bottom w:val="none" w:sz="0" w:space="0" w:color="auto"/>
        <w:right w:val="none" w:sz="0" w:space="0" w:color="auto"/>
      </w:divBdr>
    </w:div>
    <w:div w:id="672343097">
      <w:bodyDiv w:val="1"/>
      <w:marLeft w:val="0"/>
      <w:marRight w:val="0"/>
      <w:marTop w:val="0"/>
      <w:marBottom w:val="0"/>
      <w:divBdr>
        <w:top w:val="none" w:sz="0" w:space="0" w:color="auto"/>
        <w:left w:val="none" w:sz="0" w:space="0" w:color="auto"/>
        <w:bottom w:val="none" w:sz="0" w:space="0" w:color="auto"/>
        <w:right w:val="none" w:sz="0" w:space="0" w:color="auto"/>
      </w:divBdr>
      <w:divsChild>
        <w:div w:id="1412504856">
          <w:marLeft w:val="0"/>
          <w:marRight w:val="0"/>
          <w:marTop w:val="0"/>
          <w:marBottom w:val="0"/>
          <w:divBdr>
            <w:top w:val="none" w:sz="0" w:space="0" w:color="auto"/>
            <w:left w:val="none" w:sz="0" w:space="0" w:color="auto"/>
            <w:bottom w:val="none" w:sz="0" w:space="0" w:color="auto"/>
            <w:right w:val="none" w:sz="0" w:space="0" w:color="auto"/>
          </w:divBdr>
          <w:divsChild>
            <w:div w:id="1266884012">
              <w:marLeft w:val="0"/>
              <w:marRight w:val="0"/>
              <w:marTop w:val="0"/>
              <w:marBottom w:val="0"/>
              <w:divBdr>
                <w:top w:val="none" w:sz="0" w:space="0" w:color="auto"/>
                <w:left w:val="none" w:sz="0" w:space="0" w:color="auto"/>
                <w:bottom w:val="none" w:sz="0" w:space="0" w:color="auto"/>
                <w:right w:val="none" w:sz="0" w:space="0" w:color="auto"/>
              </w:divBdr>
              <w:divsChild>
                <w:div w:id="134409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611449">
      <w:bodyDiv w:val="1"/>
      <w:marLeft w:val="0"/>
      <w:marRight w:val="0"/>
      <w:marTop w:val="0"/>
      <w:marBottom w:val="0"/>
      <w:divBdr>
        <w:top w:val="none" w:sz="0" w:space="0" w:color="auto"/>
        <w:left w:val="none" w:sz="0" w:space="0" w:color="auto"/>
        <w:bottom w:val="none" w:sz="0" w:space="0" w:color="auto"/>
        <w:right w:val="none" w:sz="0" w:space="0" w:color="auto"/>
      </w:divBdr>
    </w:div>
    <w:div w:id="688725403">
      <w:bodyDiv w:val="1"/>
      <w:marLeft w:val="0"/>
      <w:marRight w:val="0"/>
      <w:marTop w:val="0"/>
      <w:marBottom w:val="0"/>
      <w:divBdr>
        <w:top w:val="none" w:sz="0" w:space="0" w:color="auto"/>
        <w:left w:val="none" w:sz="0" w:space="0" w:color="auto"/>
        <w:bottom w:val="none" w:sz="0" w:space="0" w:color="auto"/>
        <w:right w:val="none" w:sz="0" w:space="0" w:color="auto"/>
      </w:divBdr>
    </w:div>
    <w:div w:id="735588516">
      <w:bodyDiv w:val="1"/>
      <w:marLeft w:val="0"/>
      <w:marRight w:val="0"/>
      <w:marTop w:val="0"/>
      <w:marBottom w:val="0"/>
      <w:divBdr>
        <w:top w:val="none" w:sz="0" w:space="0" w:color="auto"/>
        <w:left w:val="none" w:sz="0" w:space="0" w:color="auto"/>
        <w:bottom w:val="none" w:sz="0" w:space="0" w:color="auto"/>
        <w:right w:val="none" w:sz="0" w:space="0" w:color="auto"/>
      </w:divBdr>
    </w:div>
    <w:div w:id="761877403">
      <w:bodyDiv w:val="1"/>
      <w:marLeft w:val="0"/>
      <w:marRight w:val="0"/>
      <w:marTop w:val="0"/>
      <w:marBottom w:val="0"/>
      <w:divBdr>
        <w:top w:val="none" w:sz="0" w:space="0" w:color="auto"/>
        <w:left w:val="none" w:sz="0" w:space="0" w:color="auto"/>
        <w:bottom w:val="none" w:sz="0" w:space="0" w:color="auto"/>
        <w:right w:val="none" w:sz="0" w:space="0" w:color="auto"/>
      </w:divBdr>
    </w:div>
    <w:div w:id="770392034">
      <w:bodyDiv w:val="1"/>
      <w:marLeft w:val="0"/>
      <w:marRight w:val="0"/>
      <w:marTop w:val="0"/>
      <w:marBottom w:val="0"/>
      <w:divBdr>
        <w:top w:val="none" w:sz="0" w:space="0" w:color="auto"/>
        <w:left w:val="none" w:sz="0" w:space="0" w:color="auto"/>
        <w:bottom w:val="none" w:sz="0" w:space="0" w:color="auto"/>
        <w:right w:val="none" w:sz="0" w:space="0" w:color="auto"/>
      </w:divBdr>
    </w:div>
    <w:div w:id="785348563">
      <w:bodyDiv w:val="1"/>
      <w:marLeft w:val="0"/>
      <w:marRight w:val="0"/>
      <w:marTop w:val="0"/>
      <w:marBottom w:val="0"/>
      <w:divBdr>
        <w:top w:val="none" w:sz="0" w:space="0" w:color="auto"/>
        <w:left w:val="none" w:sz="0" w:space="0" w:color="auto"/>
        <w:bottom w:val="none" w:sz="0" w:space="0" w:color="auto"/>
        <w:right w:val="none" w:sz="0" w:space="0" w:color="auto"/>
      </w:divBdr>
    </w:div>
    <w:div w:id="796532042">
      <w:bodyDiv w:val="1"/>
      <w:marLeft w:val="0"/>
      <w:marRight w:val="0"/>
      <w:marTop w:val="0"/>
      <w:marBottom w:val="0"/>
      <w:divBdr>
        <w:top w:val="none" w:sz="0" w:space="0" w:color="auto"/>
        <w:left w:val="none" w:sz="0" w:space="0" w:color="auto"/>
        <w:bottom w:val="none" w:sz="0" w:space="0" w:color="auto"/>
        <w:right w:val="none" w:sz="0" w:space="0" w:color="auto"/>
      </w:divBdr>
    </w:div>
    <w:div w:id="898512494">
      <w:bodyDiv w:val="1"/>
      <w:marLeft w:val="0"/>
      <w:marRight w:val="0"/>
      <w:marTop w:val="0"/>
      <w:marBottom w:val="0"/>
      <w:divBdr>
        <w:top w:val="none" w:sz="0" w:space="0" w:color="auto"/>
        <w:left w:val="none" w:sz="0" w:space="0" w:color="auto"/>
        <w:bottom w:val="none" w:sz="0" w:space="0" w:color="auto"/>
        <w:right w:val="none" w:sz="0" w:space="0" w:color="auto"/>
      </w:divBdr>
    </w:div>
    <w:div w:id="929894957">
      <w:bodyDiv w:val="1"/>
      <w:marLeft w:val="0"/>
      <w:marRight w:val="0"/>
      <w:marTop w:val="0"/>
      <w:marBottom w:val="0"/>
      <w:divBdr>
        <w:top w:val="none" w:sz="0" w:space="0" w:color="auto"/>
        <w:left w:val="none" w:sz="0" w:space="0" w:color="auto"/>
        <w:bottom w:val="none" w:sz="0" w:space="0" w:color="auto"/>
        <w:right w:val="none" w:sz="0" w:space="0" w:color="auto"/>
      </w:divBdr>
    </w:div>
    <w:div w:id="956722322">
      <w:bodyDiv w:val="1"/>
      <w:marLeft w:val="0"/>
      <w:marRight w:val="0"/>
      <w:marTop w:val="0"/>
      <w:marBottom w:val="0"/>
      <w:divBdr>
        <w:top w:val="none" w:sz="0" w:space="0" w:color="auto"/>
        <w:left w:val="none" w:sz="0" w:space="0" w:color="auto"/>
        <w:bottom w:val="none" w:sz="0" w:space="0" w:color="auto"/>
        <w:right w:val="none" w:sz="0" w:space="0" w:color="auto"/>
      </w:divBdr>
    </w:div>
    <w:div w:id="993484573">
      <w:bodyDiv w:val="1"/>
      <w:marLeft w:val="0"/>
      <w:marRight w:val="0"/>
      <w:marTop w:val="0"/>
      <w:marBottom w:val="0"/>
      <w:divBdr>
        <w:top w:val="none" w:sz="0" w:space="0" w:color="auto"/>
        <w:left w:val="none" w:sz="0" w:space="0" w:color="auto"/>
        <w:bottom w:val="none" w:sz="0" w:space="0" w:color="auto"/>
        <w:right w:val="none" w:sz="0" w:space="0" w:color="auto"/>
      </w:divBdr>
    </w:div>
    <w:div w:id="1015615535">
      <w:bodyDiv w:val="1"/>
      <w:marLeft w:val="0"/>
      <w:marRight w:val="0"/>
      <w:marTop w:val="0"/>
      <w:marBottom w:val="0"/>
      <w:divBdr>
        <w:top w:val="none" w:sz="0" w:space="0" w:color="auto"/>
        <w:left w:val="none" w:sz="0" w:space="0" w:color="auto"/>
        <w:bottom w:val="none" w:sz="0" w:space="0" w:color="auto"/>
        <w:right w:val="none" w:sz="0" w:space="0" w:color="auto"/>
      </w:divBdr>
    </w:div>
    <w:div w:id="1078090451">
      <w:bodyDiv w:val="1"/>
      <w:marLeft w:val="0"/>
      <w:marRight w:val="0"/>
      <w:marTop w:val="0"/>
      <w:marBottom w:val="0"/>
      <w:divBdr>
        <w:top w:val="none" w:sz="0" w:space="0" w:color="auto"/>
        <w:left w:val="none" w:sz="0" w:space="0" w:color="auto"/>
        <w:bottom w:val="none" w:sz="0" w:space="0" w:color="auto"/>
        <w:right w:val="none" w:sz="0" w:space="0" w:color="auto"/>
      </w:divBdr>
    </w:div>
    <w:div w:id="1351109169">
      <w:bodyDiv w:val="1"/>
      <w:marLeft w:val="0"/>
      <w:marRight w:val="0"/>
      <w:marTop w:val="0"/>
      <w:marBottom w:val="0"/>
      <w:divBdr>
        <w:top w:val="none" w:sz="0" w:space="0" w:color="auto"/>
        <w:left w:val="none" w:sz="0" w:space="0" w:color="auto"/>
        <w:bottom w:val="none" w:sz="0" w:space="0" w:color="auto"/>
        <w:right w:val="none" w:sz="0" w:space="0" w:color="auto"/>
      </w:divBdr>
    </w:div>
    <w:div w:id="1363362226">
      <w:bodyDiv w:val="1"/>
      <w:marLeft w:val="0"/>
      <w:marRight w:val="0"/>
      <w:marTop w:val="0"/>
      <w:marBottom w:val="0"/>
      <w:divBdr>
        <w:top w:val="none" w:sz="0" w:space="0" w:color="auto"/>
        <w:left w:val="none" w:sz="0" w:space="0" w:color="auto"/>
        <w:bottom w:val="none" w:sz="0" w:space="0" w:color="auto"/>
        <w:right w:val="none" w:sz="0" w:space="0" w:color="auto"/>
      </w:divBdr>
      <w:divsChild>
        <w:div w:id="170991433">
          <w:marLeft w:val="0"/>
          <w:marRight w:val="0"/>
          <w:marTop w:val="0"/>
          <w:marBottom w:val="0"/>
          <w:divBdr>
            <w:top w:val="none" w:sz="0" w:space="0" w:color="auto"/>
            <w:left w:val="none" w:sz="0" w:space="0" w:color="auto"/>
            <w:bottom w:val="none" w:sz="0" w:space="0" w:color="auto"/>
            <w:right w:val="none" w:sz="0" w:space="0" w:color="auto"/>
          </w:divBdr>
          <w:divsChild>
            <w:div w:id="1134640099">
              <w:marLeft w:val="0"/>
              <w:marRight w:val="0"/>
              <w:marTop w:val="0"/>
              <w:marBottom w:val="0"/>
              <w:divBdr>
                <w:top w:val="none" w:sz="0" w:space="0" w:color="auto"/>
                <w:left w:val="none" w:sz="0" w:space="0" w:color="auto"/>
                <w:bottom w:val="none" w:sz="0" w:space="0" w:color="auto"/>
                <w:right w:val="none" w:sz="0" w:space="0" w:color="auto"/>
              </w:divBdr>
              <w:divsChild>
                <w:div w:id="56630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420367">
      <w:bodyDiv w:val="1"/>
      <w:marLeft w:val="0"/>
      <w:marRight w:val="0"/>
      <w:marTop w:val="0"/>
      <w:marBottom w:val="0"/>
      <w:divBdr>
        <w:top w:val="none" w:sz="0" w:space="0" w:color="auto"/>
        <w:left w:val="none" w:sz="0" w:space="0" w:color="auto"/>
        <w:bottom w:val="none" w:sz="0" w:space="0" w:color="auto"/>
        <w:right w:val="none" w:sz="0" w:space="0" w:color="auto"/>
      </w:divBdr>
    </w:div>
    <w:div w:id="1513716451">
      <w:bodyDiv w:val="1"/>
      <w:marLeft w:val="0"/>
      <w:marRight w:val="0"/>
      <w:marTop w:val="0"/>
      <w:marBottom w:val="0"/>
      <w:divBdr>
        <w:top w:val="none" w:sz="0" w:space="0" w:color="auto"/>
        <w:left w:val="none" w:sz="0" w:space="0" w:color="auto"/>
        <w:bottom w:val="none" w:sz="0" w:space="0" w:color="auto"/>
        <w:right w:val="none" w:sz="0" w:space="0" w:color="auto"/>
      </w:divBdr>
    </w:div>
    <w:div w:id="1547599212">
      <w:bodyDiv w:val="1"/>
      <w:marLeft w:val="0"/>
      <w:marRight w:val="0"/>
      <w:marTop w:val="0"/>
      <w:marBottom w:val="0"/>
      <w:divBdr>
        <w:top w:val="none" w:sz="0" w:space="0" w:color="auto"/>
        <w:left w:val="none" w:sz="0" w:space="0" w:color="auto"/>
        <w:bottom w:val="none" w:sz="0" w:space="0" w:color="auto"/>
        <w:right w:val="none" w:sz="0" w:space="0" w:color="auto"/>
      </w:divBdr>
    </w:div>
    <w:div w:id="1568416553">
      <w:bodyDiv w:val="1"/>
      <w:marLeft w:val="0"/>
      <w:marRight w:val="0"/>
      <w:marTop w:val="0"/>
      <w:marBottom w:val="0"/>
      <w:divBdr>
        <w:top w:val="none" w:sz="0" w:space="0" w:color="auto"/>
        <w:left w:val="none" w:sz="0" w:space="0" w:color="auto"/>
        <w:bottom w:val="none" w:sz="0" w:space="0" w:color="auto"/>
        <w:right w:val="none" w:sz="0" w:space="0" w:color="auto"/>
      </w:divBdr>
    </w:div>
    <w:div w:id="1618871485">
      <w:bodyDiv w:val="1"/>
      <w:marLeft w:val="0"/>
      <w:marRight w:val="0"/>
      <w:marTop w:val="0"/>
      <w:marBottom w:val="0"/>
      <w:divBdr>
        <w:top w:val="none" w:sz="0" w:space="0" w:color="auto"/>
        <w:left w:val="none" w:sz="0" w:space="0" w:color="auto"/>
        <w:bottom w:val="none" w:sz="0" w:space="0" w:color="auto"/>
        <w:right w:val="none" w:sz="0" w:space="0" w:color="auto"/>
      </w:divBdr>
    </w:div>
    <w:div w:id="1660843875">
      <w:bodyDiv w:val="1"/>
      <w:marLeft w:val="0"/>
      <w:marRight w:val="0"/>
      <w:marTop w:val="0"/>
      <w:marBottom w:val="0"/>
      <w:divBdr>
        <w:top w:val="none" w:sz="0" w:space="0" w:color="auto"/>
        <w:left w:val="none" w:sz="0" w:space="0" w:color="auto"/>
        <w:bottom w:val="none" w:sz="0" w:space="0" w:color="auto"/>
        <w:right w:val="none" w:sz="0" w:space="0" w:color="auto"/>
      </w:divBdr>
    </w:div>
    <w:div w:id="1729768276">
      <w:bodyDiv w:val="1"/>
      <w:marLeft w:val="0"/>
      <w:marRight w:val="0"/>
      <w:marTop w:val="0"/>
      <w:marBottom w:val="0"/>
      <w:divBdr>
        <w:top w:val="none" w:sz="0" w:space="0" w:color="auto"/>
        <w:left w:val="none" w:sz="0" w:space="0" w:color="auto"/>
        <w:bottom w:val="none" w:sz="0" w:space="0" w:color="auto"/>
        <w:right w:val="none" w:sz="0" w:space="0" w:color="auto"/>
      </w:divBdr>
    </w:div>
    <w:div w:id="1736321847">
      <w:bodyDiv w:val="1"/>
      <w:marLeft w:val="0"/>
      <w:marRight w:val="0"/>
      <w:marTop w:val="0"/>
      <w:marBottom w:val="0"/>
      <w:divBdr>
        <w:top w:val="none" w:sz="0" w:space="0" w:color="auto"/>
        <w:left w:val="none" w:sz="0" w:space="0" w:color="auto"/>
        <w:bottom w:val="none" w:sz="0" w:space="0" w:color="auto"/>
        <w:right w:val="none" w:sz="0" w:space="0" w:color="auto"/>
      </w:divBdr>
    </w:div>
    <w:div w:id="1843887831">
      <w:bodyDiv w:val="1"/>
      <w:marLeft w:val="0"/>
      <w:marRight w:val="0"/>
      <w:marTop w:val="0"/>
      <w:marBottom w:val="0"/>
      <w:divBdr>
        <w:top w:val="none" w:sz="0" w:space="0" w:color="auto"/>
        <w:left w:val="none" w:sz="0" w:space="0" w:color="auto"/>
        <w:bottom w:val="none" w:sz="0" w:space="0" w:color="auto"/>
        <w:right w:val="none" w:sz="0" w:space="0" w:color="auto"/>
      </w:divBdr>
    </w:div>
    <w:div w:id="1905096807">
      <w:bodyDiv w:val="1"/>
      <w:marLeft w:val="0"/>
      <w:marRight w:val="0"/>
      <w:marTop w:val="0"/>
      <w:marBottom w:val="0"/>
      <w:divBdr>
        <w:top w:val="none" w:sz="0" w:space="0" w:color="auto"/>
        <w:left w:val="none" w:sz="0" w:space="0" w:color="auto"/>
        <w:bottom w:val="none" w:sz="0" w:space="0" w:color="auto"/>
        <w:right w:val="none" w:sz="0" w:space="0" w:color="auto"/>
      </w:divBdr>
    </w:div>
    <w:div w:id="1933469973">
      <w:bodyDiv w:val="1"/>
      <w:marLeft w:val="0"/>
      <w:marRight w:val="0"/>
      <w:marTop w:val="0"/>
      <w:marBottom w:val="0"/>
      <w:divBdr>
        <w:top w:val="none" w:sz="0" w:space="0" w:color="auto"/>
        <w:left w:val="none" w:sz="0" w:space="0" w:color="auto"/>
        <w:bottom w:val="none" w:sz="0" w:space="0" w:color="auto"/>
        <w:right w:val="none" w:sz="0" w:space="0" w:color="auto"/>
      </w:divBdr>
    </w:div>
    <w:div w:id="1989358910">
      <w:bodyDiv w:val="1"/>
      <w:marLeft w:val="0"/>
      <w:marRight w:val="0"/>
      <w:marTop w:val="0"/>
      <w:marBottom w:val="0"/>
      <w:divBdr>
        <w:top w:val="none" w:sz="0" w:space="0" w:color="auto"/>
        <w:left w:val="none" w:sz="0" w:space="0" w:color="auto"/>
        <w:bottom w:val="none" w:sz="0" w:space="0" w:color="auto"/>
        <w:right w:val="none" w:sz="0" w:space="0" w:color="auto"/>
      </w:divBdr>
    </w:div>
    <w:div w:id="2000188554">
      <w:bodyDiv w:val="1"/>
      <w:marLeft w:val="0"/>
      <w:marRight w:val="0"/>
      <w:marTop w:val="0"/>
      <w:marBottom w:val="0"/>
      <w:divBdr>
        <w:top w:val="none" w:sz="0" w:space="0" w:color="auto"/>
        <w:left w:val="none" w:sz="0" w:space="0" w:color="auto"/>
        <w:bottom w:val="none" w:sz="0" w:space="0" w:color="auto"/>
        <w:right w:val="none" w:sz="0" w:space="0" w:color="auto"/>
      </w:divBdr>
    </w:div>
    <w:div w:id="2026519145">
      <w:bodyDiv w:val="1"/>
      <w:marLeft w:val="0"/>
      <w:marRight w:val="0"/>
      <w:marTop w:val="0"/>
      <w:marBottom w:val="0"/>
      <w:divBdr>
        <w:top w:val="none" w:sz="0" w:space="0" w:color="auto"/>
        <w:left w:val="none" w:sz="0" w:space="0" w:color="auto"/>
        <w:bottom w:val="none" w:sz="0" w:space="0" w:color="auto"/>
        <w:right w:val="none" w:sz="0" w:space="0" w:color="auto"/>
      </w:divBdr>
    </w:div>
    <w:div w:id="2103917881">
      <w:bodyDiv w:val="1"/>
      <w:marLeft w:val="0"/>
      <w:marRight w:val="0"/>
      <w:marTop w:val="0"/>
      <w:marBottom w:val="0"/>
      <w:divBdr>
        <w:top w:val="none" w:sz="0" w:space="0" w:color="auto"/>
        <w:left w:val="none" w:sz="0" w:space="0" w:color="auto"/>
        <w:bottom w:val="none" w:sz="0" w:space="0" w:color="auto"/>
        <w:right w:val="none" w:sz="0" w:space="0" w:color="auto"/>
      </w:divBdr>
    </w:div>
    <w:div w:id="2105297496">
      <w:bodyDiv w:val="1"/>
      <w:marLeft w:val="0"/>
      <w:marRight w:val="0"/>
      <w:marTop w:val="0"/>
      <w:marBottom w:val="0"/>
      <w:divBdr>
        <w:top w:val="none" w:sz="0" w:space="0" w:color="auto"/>
        <w:left w:val="none" w:sz="0" w:space="0" w:color="auto"/>
        <w:bottom w:val="none" w:sz="0" w:space="0" w:color="auto"/>
        <w:right w:val="none" w:sz="0" w:space="0" w:color="auto"/>
      </w:divBdr>
    </w:div>
    <w:div w:id="2106996155">
      <w:bodyDiv w:val="1"/>
      <w:marLeft w:val="0"/>
      <w:marRight w:val="0"/>
      <w:marTop w:val="0"/>
      <w:marBottom w:val="0"/>
      <w:divBdr>
        <w:top w:val="none" w:sz="0" w:space="0" w:color="auto"/>
        <w:left w:val="none" w:sz="0" w:space="0" w:color="auto"/>
        <w:bottom w:val="none" w:sz="0" w:space="0" w:color="auto"/>
        <w:right w:val="none" w:sz="0" w:space="0" w:color="auto"/>
      </w:divBdr>
      <w:divsChild>
        <w:div w:id="356734825">
          <w:marLeft w:val="0"/>
          <w:marRight w:val="0"/>
          <w:marTop w:val="0"/>
          <w:marBottom w:val="0"/>
          <w:divBdr>
            <w:top w:val="none" w:sz="0" w:space="0" w:color="auto"/>
            <w:left w:val="none" w:sz="0" w:space="0" w:color="auto"/>
            <w:bottom w:val="none" w:sz="0" w:space="0" w:color="auto"/>
            <w:right w:val="none" w:sz="0" w:space="0" w:color="auto"/>
          </w:divBdr>
          <w:divsChild>
            <w:div w:id="546527602">
              <w:marLeft w:val="0"/>
              <w:marRight w:val="0"/>
              <w:marTop w:val="0"/>
              <w:marBottom w:val="0"/>
              <w:divBdr>
                <w:top w:val="none" w:sz="0" w:space="0" w:color="auto"/>
                <w:left w:val="none" w:sz="0" w:space="0" w:color="auto"/>
                <w:bottom w:val="none" w:sz="0" w:space="0" w:color="auto"/>
                <w:right w:val="none" w:sz="0" w:space="0" w:color="auto"/>
              </w:divBdr>
              <w:divsChild>
                <w:div w:id="1640305102">
                  <w:marLeft w:val="0"/>
                  <w:marRight w:val="0"/>
                  <w:marTop w:val="0"/>
                  <w:marBottom w:val="0"/>
                  <w:divBdr>
                    <w:top w:val="none" w:sz="0" w:space="0" w:color="auto"/>
                    <w:left w:val="none" w:sz="0" w:space="0" w:color="auto"/>
                    <w:bottom w:val="none" w:sz="0" w:space="0" w:color="auto"/>
                    <w:right w:val="none" w:sz="0" w:space="0" w:color="auto"/>
                  </w:divBdr>
                  <w:divsChild>
                    <w:div w:id="159647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93368">
      <w:bodyDiv w:val="1"/>
      <w:marLeft w:val="0"/>
      <w:marRight w:val="0"/>
      <w:marTop w:val="0"/>
      <w:marBottom w:val="0"/>
      <w:divBdr>
        <w:top w:val="none" w:sz="0" w:space="0" w:color="auto"/>
        <w:left w:val="none" w:sz="0" w:space="0" w:color="auto"/>
        <w:bottom w:val="none" w:sz="0" w:space="0" w:color="auto"/>
        <w:right w:val="none" w:sz="0" w:space="0" w:color="auto"/>
      </w:divBdr>
      <w:divsChild>
        <w:div w:id="577786485">
          <w:marLeft w:val="0"/>
          <w:marRight w:val="0"/>
          <w:marTop w:val="0"/>
          <w:marBottom w:val="0"/>
          <w:divBdr>
            <w:top w:val="none" w:sz="0" w:space="0" w:color="auto"/>
            <w:left w:val="none" w:sz="0" w:space="0" w:color="auto"/>
            <w:bottom w:val="none" w:sz="0" w:space="0" w:color="auto"/>
            <w:right w:val="none" w:sz="0" w:space="0" w:color="auto"/>
          </w:divBdr>
          <w:divsChild>
            <w:div w:id="1282880299">
              <w:marLeft w:val="0"/>
              <w:marRight w:val="0"/>
              <w:marTop w:val="0"/>
              <w:marBottom w:val="0"/>
              <w:divBdr>
                <w:top w:val="none" w:sz="0" w:space="0" w:color="auto"/>
                <w:left w:val="none" w:sz="0" w:space="0" w:color="auto"/>
                <w:bottom w:val="none" w:sz="0" w:space="0" w:color="auto"/>
                <w:right w:val="none" w:sz="0" w:space="0" w:color="auto"/>
              </w:divBdr>
              <w:divsChild>
                <w:div w:id="177782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sismamujer.org/wp-content/uploads/2020/11/INFORME-SISMA-final.pdf" TargetMode="External"/><Relationship Id="rId2" Type="http://schemas.openxmlformats.org/officeDocument/2006/relationships/hyperlink" Target="https://www.rednacionaldemujeres.org/" TargetMode="External"/><Relationship Id="rId1" Type="http://schemas.openxmlformats.org/officeDocument/2006/relationships/hyperlink" Target="http://www.despenalizaciondelaborto.org.co/" TargetMode="External"/><Relationship Id="rId4" Type="http://schemas.openxmlformats.org/officeDocument/2006/relationships/hyperlink" Target="https://www.sismamujer.org/wp-content/uploads/2020/10/Informe-El-Riesgo-de-Defender-y-Liderar7oct20.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F2A184-B92F-4ED6-9A41-7EF4365D977B}">
  <ds:schemaRefs>
    <ds:schemaRef ds:uri="http://schemas.openxmlformats.org/officeDocument/2006/bibliography"/>
  </ds:schemaRefs>
</ds:datastoreItem>
</file>

<file path=customXml/itemProps2.xml><?xml version="1.0" encoding="utf-8"?>
<ds:datastoreItem xmlns:ds="http://schemas.openxmlformats.org/officeDocument/2006/customXml" ds:itemID="{01C7D670-1F75-4CFC-B357-539CBE6C0169}"/>
</file>

<file path=customXml/itemProps3.xml><?xml version="1.0" encoding="utf-8"?>
<ds:datastoreItem xmlns:ds="http://schemas.openxmlformats.org/officeDocument/2006/customXml" ds:itemID="{00EBBDE3-DC2F-42E8-9491-108C6A5CCCC0}"/>
</file>

<file path=customXml/itemProps4.xml><?xml version="1.0" encoding="utf-8"?>
<ds:datastoreItem xmlns:ds="http://schemas.openxmlformats.org/officeDocument/2006/customXml" ds:itemID="{6EA15C88-D3D8-494C-9BE2-2A0DF8D0D0FF}"/>
</file>

<file path=docProps/app.xml><?xml version="1.0" encoding="utf-8"?>
<Properties xmlns="http://schemas.openxmlformats.org/officeDocument/2006/extended-properties" xmlns:vt="http://schemas.openxmlformats.org/officeDocument/2006/docPropsVTypes">
  <Template>Normal</Template>
  <TotalTime>0</TotalTime>
  <Pages>10</Pages>
  <Words>3398</Words>
  <Characters>18695</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rojas</dc:creator>
  <cp:lastModifiedBy>María Isabel Niño C</cp:lastModifiedBy>
  <cp:revision>2</cp:revision>
  <dcterms:created xsi:type="dcterms:W3CDTF">2021-05-31T13:03:00Z</dcterms:created>
  <dcterms:modified xsi:type="dcterms:W3CDTF">2021-05-31T13:03:00Z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