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74C52" w14:textId="77777777" w:rsidR="00E87476" w:rsidRDefault="00E87476" w:rsidP="00E87476">
      <w:pPr>
        <w:rPr>
          <w:b/>
          <w:sz w:val="32"/>
          <w:szCs w:val="32"/>
        </w:rPr>
      </w:pPr>
    </w:p>
    <w:p w14:paraId="35779F7C" w14:textId="2407F491" w:rsidR="00E87476" w:rsidRDefault="00A1637D" w:rsidP="00E87476">
      <w:pPr>
        <w:jc w:val="center"/>
        <w:rPr>
          <w:b/>
          <w:sz w:val="32"/>
          <w:szCs w:val="32"/>
        </w:rPr>
      </w:pPr>
      <w:r w:rsidRPr="00742EE1">
        <w:rPr>
          <w:rFonts w:eastAsia="Arial"/>
          <w:noProof/>
        </w:rPr>
        <w:drawing>
          <wp:inline distT="0" distB="0" distL="0" distR="0" wp14:anchorId="603E2555" wp14:editId="4B2B12BB">
            <wp:extent cx="3658964" cy="1600945"/>
            <wp:effectExtent l="0" t="0" r="0" b="0"/>
            <wp:docPr id="1" name="image9.jpg" descr="A picture containing 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9.jpg" descr="A picture containing graphical user interface&#10;&#10;Description automatically generated"/>
                    <pic:cNvPicPr preferRelativeResize="0"/>
                  </pic:nvPicPr>
                  <pic:blipFill>
                    <a:blip r:embed="rId8"/>
                    <a:srcRect/>
                    <a:stretch>
                      <a:fillRect/>
                    </a:stretch>
                  </pic:blipFill>
                  <pic:spPr>
                    <a:xfrm>
                      <a:off x="0" y="0"/>
                      <a:ext cx="3658964" cy="1600945"/>
                    </a:xfrm>
                    <a:prstGeom prst="rect">
                      <a:avLst/>
                    </a:prstGeom>
                    <a:ln/>
                  </pic:spPr>
                </pic:pic>
              </a:graphicData>
            </a:graphic>
          </wp:inline>
        </w:drawing>
      </w:r>
    </w:p>
    <w:p w14:paraId="6AB1926C" w14:textId="77777777" w:rsidR="00A1637D" w:rsidRDefault="002B5B46" w:rsidP="002B5B46">
      <w:pPr>
        <w:pStyle w:val="Normal1"/>
        <w:spacing w:before="0" w:after="280" w:line="240" w:lineRule="auto"/>
        <w:jc w:val="center"/>
        <w:rPr>
          <w:rFonts w:ascii="Trebuchet MS" w:eastAsia="Arial" w:hAnsi="Trebuchet MS" w:cstheme="minorBidi"/>
          <w:b/>
          <w:sz w:val="32"/>
          <w:szCs w:val="32"/>
        </w:rPr>
      </w:pPr>
      <w:r w:rsidRPr="00817554">
        <w:rPr>
          <w:noProof/>
        </w:rPr>
        <w:drawing>
          <wp:inline distT="0" distB="0" distL="0" distR="0" wp14:anchorId="3EC1C64C" wp14:editId="0F771A0B">
            <wp:extent cx="5664200" cy="585342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64200" cy="5853427"/>
                    </a:xfrm>
                    <a:prstGeom prst="rect">
                      <a:avLst/>
                    </a:prstGeom>
                  </pic:spPr>
                </pic:pic>
              </a:graphicData>
            </a:graphic>
          </wp:inline>
        </w:drawing>
      </w:r>
      <w:bookmarkStart w:id="0" w:name="_gjdgxs" w:colFirst="0" w:colLast="0"/>
      <w:bookmarkEnd w:id="0"/>
    </w:p>
    <w:p w14:paraId="7F2C7649" w14:textId="77777777" w:rsidR="002B5B46" w:rsidRDefault="002B5B46" w:rsidP="002B5B46">
      <w:pPr>
        <w:pStyle w:val="Normal1"/>
        <w:spacing w:before="0" w:after="280" w:line="240" w:lineRule="auto"/>
        <w:rPr>
          <w:rFonts w:ascii="Trebuchet MS" w:eastAsia="Arial" w:hAnsi="Trebuchet MS" w:cstheme="minorBidi"/>
          <w:b/>
          <w:sz w:val="32"/>
          <w:szCs w:val="32"/>
        </w:rPr>
      </w:pPr>
    </w:p>
    <w:p w14:paraId="3867569C" w14:textId="77777777" w:rsidR="002B5B46" w:rsidRDefault="002B5B46" w:rsidP="002B5B46">
      <w:pPr>
        <w:pStyle w:val="Normal1"/>
        <w:spacing w:before="0" w:after="280" w:line="240" w:lineRule="auto"/>
        <w:rPr>
          <w:rFonts w:ascii="Trebuchet MS" w:eastAsia="Arial" w:hAnsi="Trebuchet MS" w:cstheme="minorBidi"/>
          <w:b/>
          <w:sz w:val="32"/>
          <w:szCs w:val="32"/>
        </w:rPr>
      </w:pPr>
    </w:p>
    <w:p w14:paraId="13164754" w14:textId="77777777" w:rsidR="002B5B46" w:rsidRDefault="002B5B46" w:rsidP="002B5B46">
      <w:pPr>
        <w:pStyle w:val="Normal1"/>
        <w:spacing w:before="0" w:after="280" w:line="240" w:lineRule="auto"/>
        <w:rPr>
          <w:rFonts w:ascii="Trebuchet MS" w:eastAsia="Arial" w:hAnsi="Trebuchet MS" w:cstheme="minorBidi"/>
          <w:b/>
          <w:sz w:val="32"/>
          <w:szCs w:val="32"/>
        </w:rPr>
      </w:pPr>
    </w:p>
    <w:p w14:paraId="4EC1B5E3" w14:textId="6F726840" w:rsidR="002B5B46" w:rsidRPr="002B5B46" w:rsidRDefault="002B5B46" w:rsidP="002B5B46">
      <w:pPr>
        <w:pStyle w:val="Normal1"/>
        <w:spacing w:before="0" w:after="280" w:line="240" w:lineRule="auto"/>
        <w:rPr>
          <w:rFonts w:ascii="Trebuchet MS" w:eastAsia="Arial" w:hAnsi="Trebuchet MS" w:cstheme="minorBidi"/>
          <w:b/>
          <w:sz w:val="32"/>
          <w:szCs w:val="32"/>
        </w:rPr>
        <w:sectPr w:rsidR="002B5B46" w:rsidRPr="002B5B46">
          <w:footerReference w:type="even" r:id="rId10"/>
          <w:footerReference w:type="default" r:id="rId11"/>
          <w:type w:val="continuous"/>
          <w:pgSz w:w="11900" w:h="16820"/>
          <w:pgMar w:top="1267" w:right="1454" w:bottom="990" w:left="1526" w:header="360" w:footer="360" w:gutter="0"/>
          <w:cols w:space="720"/>
        </w:sectPr>
      </w:pPr>
    </w:p>
    <w:p w14:paraId="434F61A8" w14:textId="7CEA21D4" w:rsidR="00E26F24" w:rsidRPr="007D41ED" w:rsidRDefault="00E87476" w:rsidP="00125749">
      <w:pPr>
        <w:rPr>
          <w:rFonts w:eastAsia="Arial"/>
        </w:rPr>
        <w:sectPr w:rsidR="00E26F24" w:rsidRPr="007D41ED">
          <w:footerReference w:type="even" r:id="rId12"/>
          <w:footerReference w:type="default" r:id="rId13"/>
          <w:type w:val="continuous"/>
          <w:pgSz w:w="11900" w:h="16820"/>
          <w:pgMar w:top="1267" w:right="1454" w:bottom="990" w:left="1526" w:header="360" w:footer="360" w:gutter="0"/>
          <w:cols w:space="720"/>
        </w:sectPr>
      </w:pPr>
      <w:r>
        <w:rPr>
          <w:rFonts w:eastAsia="Arial"/>
          <w:b/>
        </w:rPr>
        <w:br w:type="page"/>
      </w:r>
    </w:p>
    <w:p w14:paraId="102FEA83" w14:textId="77777777" w:rsidR="00892FA5" w:rsidRPr="00F0236D" w:rsidRDefault="00892FA5" w:rsidP="00892FA5">
      <w:pPr>
        <w:pStyle w:val="Normal1"/>
        <w:shd w:val="clear" w:color="auto" w:fill="BD0014"/>
        <w:tabs>
          <w:tab w:val="left" w:pos="270"/>
          <w:tab w:val="left" w:pos="630"/>
        </w:tabs>
        <w:spacing w:before="40" w:after="40" w:line="240" w:lineRule="auto"/>
        <w:ind w:left="547" w:hanging="547"/>
        <w:rPr>
          <w:rFonts w:ascii="Arial" w:eastAsia="Arial" w:hAnsi="Arial" w:cs="Arial"/>
          <w:b/>
          <w:smallCaps/>
          <w:noProof/>
          <w:color w:val="FFFFFF"/>
          <w:sz w:val="30"/>
          <w:szCs w:val="30"/>
          <w:lang w:val="en-GB"/>
        </w:rPr>
      </w:pPr>
      <w:bookmarkStart w:id="1" w:name="_30j0zll" w:colFirst="0" w:colLast="0"/>
      <w:bookmarkStart w:id="2" w:name="_Toc526513931"/>
      <w:bookmarkStart w:id="3" w:name="_Toc103472502"/>
      <w:bookmarkEnd w:id="1"/>
      <w:r w:rsidRPr="00F0236D">
        <w:rPr>
          <w:rFonts w:ascii="Arial" w:eastAsia="Arial" w:hAnsi="Arial" w:cs="Arial"/>
          <w:b/>
          <w:smallCaps/>
          <w:noProof/>
          <w:color w:val="FFFFFF"/>
          <w:sz w:val="30"/>
          <w:szCs w:val="30"/>
          <w:lang w:val="en-GB"/>
        </w:rPr>
        <w:lastRenderedPageBreak/>
        <w:t>Table of Contents</w:t>
      </w:r>
    </w:p>
    <w:p w14:paraId="3AD66821" w14:textId="194460BC" w:rsidR="00892FA5" w:rsidRDefault="00892FA5">
      <w:pPr>
        <w:rPr>
          <w:rFonts w:eastAsia="Arial"/>
          <w:color w:val="FFFFFF"/>
          <w:sz w:val="28"/>
          <w:szCs w:val="28"/>
        </w:rPr>
      </w:pPr>
    </w:p>
    <w:sdt>
      <w:sdtPr>
        <w:rPr>
          <w:rFonts w:ascii="Times New Roman" w:hAnsi="Times New Roman" w:cs="Times New Roman"/>
          <w:b w:val="0"/>
          <w:bCs w:val="0"/>
          <w:i w:val="0"/>
          <w:iCs w:val="0"/>
          <w:szCs w:val="24"/>
        </w:rPr>
        <w:id w:val="713158483"/>
        <w:docPartObj>
          <w:docPartGallery w:val="Table of Contents"/>
          <w:docPartUnique/>
        </w:docPartObj>
      </w:sdtPr>
      <w:sdtEndPr>
        <w:rPr>
          <w:rFonts w:asciiTheme="minorBidi" w:hAnsiTheme="minorBidi" w:cstheme="minorBidi"/>
          <w:noProof/>
          <w:szCs w:val="18"/>
        </w:rPr>
      </w:sdtEndPr>
      <w:sdtContent>
        <w:p w14:paraId="266E654F" w14:textId="2A7ACACA" w:rsidR="0059014E" w:rsidRPr="00D52545" w:rsidRDefault="00892FA5">
          <w:pPr>
            <w:pStyle w:val="TOC1"/>
            <w:tabs>
              <w:tab w:val="right" w:leader="dot" w:pos="8910"/>
            </w:tabs>
            <w:rPr>
              <w:rFonts w:eastAsiaTheme="minorEastAsia" w:cstheme="minorBidi"/>
              <w:b w:val="0"/>
              <w:bCs w:val="0"/>
              <w:i w:val="0"/>
              <w:iCs w:val="0"/>
              <w:noProof/>
              <w:sz w:val="24"/>
              <w:szCs w:val="24"/>
              <w:lang w:val="en-PK" w:eastAsia="en-GB"/>
            </w:rPr>
          </w:pPr>
          <w:r>
            <w:fldChar w:fldCharType="begin"/>
          </w:r>
          <w:r>
            <w:instrText xml:space="preserve"> TOC \o "1-3" \h \z \u </w:instrText>
          </w:r>
          <w:r>
            <w:fldChar w:fldCharType="separate"/>
          </w:r>
          <w:hyperlink w:anchor="_Toc124203701" w:history="1">
            <w:r w:rsidR="0059014E" w:rsidRPr="00D52545">
              <w:rPr>
                <w:rStyle w:val="Hyperlink"/>
                <w:noProof/>
                <w:sz w:val="24"/>
                <w:szCs w:val="24"/>
              </w:rPr>
              <w:t>A. INTRODUCTION</w:t>
            </w:r>
            <w:r w:rsidR="0059014E" w:rsidRPr="00D52545">
              <w:rPr>
                <w:noProof/>
                <w:webHidden/>
                <w:sz w:val="24"/>
                <w:szCs w:val="24"/>
              </w:rPr>
              <w:tab/>
            </w:r>
            <w:r w:rsidR="0059014E" w:rsidRPr="00D52545">
              <w:rPr>
                <w:noProof/>
                <w:webHidden/>
                <w:sz w:val="24"/>
                <w:szCs w:val="24"/>
              </w:rPr>
              <w:fldChar w:fldCharType="begin"/>
            </w:r>
            <w:r w:rsidR="0059014E" w:rsidRPr="00D52545">
              <w:rPr>
                <w:noProof/>
                <w:webHidden/>
                <w:sz w:val="24"/>
                <w:szCs w:val="24"/>
              </w:rPr>
              <w:instrText xml:space="preserve"> PAGEREF _Toc124203701 \h </w:instrText>
            </w:r>
            <w:r w:rsidR="0059014E" w:rsidRPr="00D52545">
              <w:rPr>
                <w:noProof/>
                <w:webHidden/>
                <w:sz w:val="24"/>
                <w:szCs w:val="24"/>
              </w:rPr>
            </w:r>
            <w:r w:rsidR="0059014E" w:rsidRPr="00D52545">
              <w:rPr>
                <w:noProof/>
                <w:webHidden/>
                <w:sz w:val="24"/>
                <w:szCs w:val="24"/>
              </w:rPr>
              <w:fldChar w:fldCharType="separate"/>
            </w:r>
            <w:r w:rsidR="004E64A5">
              <w:rPr>
                <w:noProof/>
                <w:webHidden/>
                <w:sz w:val="24"/>
                <w:szCs w:val="24"/>
              </w:rPr>
              <w:t>3</w:t>
            </w:r>
            <w:r w:rsidR="0059014E" w:rsidRPr="00D52545">
              <w:rPr>
                <w:noProof/>
                <w:webHidden/>
                <w:sz w:val="24"/>
                <w:szCs w:val="24"/>
              </w:rPr>
              <w:fldChar w:fldCharType="end"/>
            </w:r>
          </w:hyperlink>
        </w:p>
        <w:p w14:paraId="74315DB7" w14:textId="7FC44E77" w:rsidR="0059014E" w:rsidRPr="00D52545" w:rsidRDefault="00000000">
          <w:pPr>
            <w:pStyle w:val="TOC1"/>
            <w:tabs>
              <w:tab w:val="right" w:leader="dot" w:pos="8910"/>
            </w:tabs>
            <w:rPr>
              <w:rFonts w:eastAsiaTheme="minorEastAsia" w:cstheme="minorBidi"/>
              <w:b w:val="0"/>
              <w:bCs w:val="0"/>
              <w:i w:val="0"/>
              <w:iCs w:val="0"/>
              <w:noProof/>
              <w:sz w:val="24"/>
              <w:szCs w:val="24"/>
              <w:lang w:val="en-PK" w:eastAsia="en-GB"/>
            </w:rPr>
          </w:pPr>
          <w:hyperlink w:anchor="_Toc124203702" w:history="1">
            <w:r w:rsidR="0059014E" w:rsidRPr="00D52545">
              <w:rPr>
                <w:rStyle w:val="Hyperlink"/>
                <w:noProof/>
                <w:sz w:val="24"/>
                <w:szCs w:val="24"/>
              </w:rPr>
              <w:t>B. BACKGROUND, LEGAL FRAMEWORK AND CONTEXT</w:t>
            </w:r>
            <w:r w:rsidR="0059014E" w:rsidRPr="00D52545">
              <w:rPr>
                <w:noProof/>
                <w:webHidden/>
                <w:sz w:val="24"/>
                <w:szCs w:val="24"/>
              </w:rPr>
              <w:tab/>
            </w:r>
            <w:r w:rsidR="0059014E" w:rsidRPr="00D52545">
              <w:rPr>
                <w:noProof/>
                <w:webHidden/>
                <w:sz w:val="24"/>
                <w:szCs w:val="24"/>
              </w:rPr>
              <w:fldChar w:fldCharType="begin"/>
            </w:r>
            <w:r w:rsidR="0059014E" w:rsidRPr="00D52545">
              <w:rPr>
                <w:noProof/>
                <w:webHidden/>
                <w:sz w:val="24"/>
                <w:szCs w:val="24"/>
              </w:rPr>
              <w:instrText xml:space="preserve"> PAGEREF _Toc124203702 \h </w:instrText>
            </w:r>
            <w:r w:rsidR="0059014E" w:rsidRPr="00D52545">
              <w:rPr>
                <w:noProof/>
                <w:webHidden/>
                <w:sz w:val="24"/>
                <w:szCs w:val="24"/>
              </w:rPr>
            </w:r>
            <w:r w:rsidR="0059014E" w:rsidRPr="00D52545">
              <w:rPr>
                <w:noProof/>
                <w:webHidden/>
                <w:sz w:val="24"/>
                <w:szCs w:val="24"/>
              </w:rPr>
              <w:fldChar w:fldCharType="separate"/>
            </w:r>
            <w:r w:rsidR="004E64A5">
              <w:rPr>
                <w:noProof/>
                <w:webHidden/>
                <w:sz w:val="24"/>
                <w:szCs w:val="24"/>
              </w:rPr>
              <w:t>3</w:t>
            </w:r>
            <w:r w:rsidR="0059014E" w:rsidRPr="00D52545">
              <w:rPr>
                <w:noProof/>
                <w:webHidden/>
                <w:sz w:val="24"/>
                <w:szCs w:val="24"/>
              </w:rPr>
              <w:fldChar w:fldCharType="end"/>
            </w:r>
          </w:hyperlink>
        </w:p>
        <w:p w14:paraId="24E52367" w14:textId="28FDD094" w:rsidR="0059014E" w:rsidRPr="00D52545" w:rsidRDefault="00000000">
          <w:pPr>
            <w:pStyle w:val="TOC1"/>
            <w:tabs>
              <w:tab w:val="right" w:leader="dot" w:pos="8910"/>
            </w:tabs>
            <w:rPr>
              <w:rFonts w:eastAsiaTheme="minorEastAsia" w:cstheme="minorBidi"/>
              <w:b w:val="0"/>
              <w:bCs w:val="0"/>
              <w:i w:val="0"/>
              <w:iCs w:val="0"/>
              <w:noProof/>
              <w:sz w:val="24"/>
              <w:szCs w:val="24"/>
              <w:lang w:val="en-PK" w:eastAsia="en-GB"/>
            </w:rPr>
          </w:pPr>
          <w:hyperlink w:anchor="_Toc124203703" w:history="1">
            <w:r w:rsidR="0059014E" w:rsidRPr="00D52545">
              <w:rPr>
                <w:rStyle w:val="Hyperlink"/>
                <w:noProof/>
                <w:sz w:val="24"/>
                <w:szCs w:val="24"/>
              </w:rPr>
              <w:t>C. KEY ISSUES AND RECOMMENDATIONS</w:t>
            </w:r>
            <w:r w:rsidR="0059014E" w:rsidRPr="00D52545">
              <w:rPr>
                <w:noProof/>
                <w:webHidden/>
                <w:sz w:val="24"/>
                <w:szCs w:val="24"/>
              </w:rPr>
              <w:tab/>
            </w:r>
            <w:r w:rsidR="0059014E" w:rsidRPr="00D52545">
              <w:rPr>
                <w:noProof/>
                <w:webHidden/>
                <w:sz w:val="24"/>
                <w:szCs w:val="24"/>
              </w:rPr>
              <w:fldChar w:fldCharType="begin"/>
            </w:r>
            <w:r w:rsidR="0059014E" w:rsidRPr="00D52545">
              <w:rPr>
                <w:noProof/>
                <w:webHidden/>
                <w:sz w:val="24"/>
                <w:szCs w:val="24"/>
              </w:rPr>
              <w:instrText xml:space="preserve"> PAGEREF _Toc124203703 \h </w:instrText>
            </w:r>
            <w:r w:rsidR="0059014E" w:rsidRPr="00D52545">
              <w:rPr>
                <w:noProof/>
                <w:webHidden/>
                <w:sz w:val="24"/>
                <w:szCs w:val="24"/>
              </w:rPr>
            </w:r>
            <w:r w:rsidR="0059014E" w:rsidRPr="00D52545">
              <w:rPr>
                <w:noProof/>
                <w:webHidden/>
                <w:sz w:val="24"/>
                <w:szCs w:val="24"/>
              </w:rPr>
              <w:fldChar w:fldCharType="separate"/>
            </w:r>
            <w:r w:rsidR="004E64A5">
              <w:rPr>
                <w:noProof/>
                <w:webHidden/>
                <w:sz w:val="24"/>
                <w:szCs w:val="24"/>
              </w:rPr>
              <w:t>3</w:t>
            </w:r>
            <w:r w:rsidR="0059014E" w:rsidRPr="00D52545">
              <w:rPr>
                <w:noProof/>
                <w:webHidden/>
                <w:sz w:val="24"/>
                <w:szCs w:val="24"/>
              </w:rPr>
              <w:fldChar w:fldCharType="end"/>
            </w:r>
          </w:hyperlink>
        </w:p>
        <w:p w14:paraId="058BEBE1" w14:textId="5F587AF9" w:rsidR="0059014E" w:rsidRDefault="00000000">
          <w:pPr>
            <w:pStyle w:val="TOC2"/>
            <w:tabs>
              <w:tab w:val="left" w:pos="720"/>
              <w:tab w:val="right" w:leader="dot" w:pos="8910"/>
            </w:tabs>
            <w:rPr>
              <w:rFonts w:eastAsiaTheme="minorEastAsia" w:cstheme="minorBidi"/>
              <w:b w:val="0"/>
              <w:bCs w:val="0"/>
              <w:noProof/>
              <w:sz w:val="24"/>
              <w:szCs w:val="24"/>
              <w:lang w:val="en-PK" w:eastAsia="en-GB"/>
            </w:rPr>
          </w:pPr>
          <w:hyperlink w:anchor="_Toc124203704" w:history="1">
            <w:r w:rsidR="0059014E" w:rsidRPr="0068789D">
              <w:rPr>
                <w:rStyle w:val="Hyperlink"/>
                <w:noProof/>
              </w:rPr>
              <w:t>1.</w:t>
            </w:r>
            <w:r w:rsidR="0059014E">
              <w:rPr>
                <w:rFonts w:eastAsiaTheme="minorEastAsia" w:cstheme="minorBidi"/>
                <w:b w:val="0"/>
                <w:bCs w:val="0"/>
                <w:noProof/>
                <w:sz w:val="24"/>
                <w:szCs w:val="24"/>
                <w:lang w:val="en-PK" w:eastAsia="en-GB"/>
              </w:rPr>
              <w:tab/>
            </w:r>
            <w:r w:rsidR="0059014E" w:rsidRPr="0068789D">
              <w:rPr>
                <w:rStyle w:val="Hyperlink"/>
                <w:noProof/>
              </w:rPr>
              <w:t>Discriminatory Legal Framework</w:t>
            </w:r>
            <w:r w:rsidR="0059014E">
              <w:rPr>
                <w:noProof/>
                <w:webHidden/>
              </w:rPr>
              <w:tab/>
            </w:r>
            <w:r w:rsidR="0059014E">
              <w:rPr>
                <w:noProof/>
                <w:webHidden/>
              </w:rPr>
              <w:fldChar w:fldCharType="begin"/>
            </w:r>
            <w:r w:rsidR="0059014E">
              <w:rPr>
                <w:noProof/>
                <w:webHidden/>
              </w:rPr>
              <w:instrText xml:space="preserve"> PAGEREF _Toc124203704 \h </w:instrText>
            </w:r>
            <w:r w:rsidR="0059014E">
              <w:rPr>
                <w:noProof/>
                <w:webHidden/>
              </w:rPr>
            </w:r>
            <w:r w:rsidR="0059014E">
              <w:rPr>
                <w:noProof/>
                <w:webHidden/>
              </w:rPr>
              <w:fldChar w:fldCharType="separate"/>
            </w:r>
            <w:r w:rsidR="004E64A5">
              <w:rPr>
                <w:noProof/>
                <w:webHidden/>
              </w:rPr>
              <w:t>3</w:t>
            </w:r>
            <w:r w:rsidR="0059014E">
              <w:rPr>
                <w:noProof/>
                <w:webHidden/>
              </w:rPr>
              <w:fldChar w:fldCharType="end"/>
            </w:r>
          </w:hyperlink>
        </w:p>
        <w:p w14:paraId="63E4D8D3" w14:textId="28DCB8E2" w:rsidR="0059014E" w:rsidRDefault="00000000">
          <w:pPr>
            <w:pStyle w:val="TOC2"/>
            <w:tabs>
              <w:tab w:val="left" w:pos="720"/>
              <w:tab w:val="right" w:leader="dot" w:pos="8910"/>
            </w:tabs>
            <w:rPr>
              <w:rFonts w:eastAsiaTheme="minorEastAsia" w:cstheme="minorBidi"/>
              <w:b w:val="0"/>
              <w:bCs w:val="0"/>
              <w:noProof/>
              <w:sz w:val="24"/>
              <w:szCs w:val="24"/>
              <w:lang w:val="en-PK" w:eastAsia="en-GB"/>
            </w:rPr>
          </w:pPr>
          <w:hyperlink w:anchor="_Toc124203705" w:history="1">
            <w:r w:rsidR="0059014E" w:rsidRPr="0068789D">
              <w:rPr>
                <w:rStyle w:val="Hyperlink"/>
                <w:noProof/>
              </w:rPr>
              <w:t>2.</w:t>
            </w:r>
            <w:r w:rsidR="0059014E">
              <w:rPr>
                <w:rFonts w:eastAsiaTheme="minorEastAsia" w:cstheme="minorBidi"/>
                <w:b w:val="0"/>
                <w:bCs w:val="0"/>
                <w:noProof/>
                <w:sz w:val="24"/>
                <w:szCs w:val="24"/>
                <w:lang w:val="en-PK" w:eastAsia="en-GB"/>
              </w:rPr>
              <w:tab/>
            </w:r>
            <w:r w:rsidR="0059014E" w:rsidRPr="0068789D">
              <w:rPr>
                <w:rStyle w:val="Hyperlink"/>
                <w:noProof/>
              </w:rPr>
              <w:t>Early and Child Marriage</w:t>
            </w:r>
            <w:r w:rsidR="0059014E">
              <w:rPr>
                <w:noProof/>
                <w:webHidden/>
              </w:rPr>
              <w:tab/>
            </w:r>
            <w:r w:rsidR="0059014E">
              <w:rPr>
                <w:noProof/>
                <w:webHidden/>
              </w:rPr>
              <w:fldChar w:fldCharType="begin"/>
            </w:r>
            <w:r w:rsidR="0059014E">
              <w:rPr>
                <w:noProof/>
                <w:webHidden/>
              </w:rPr>
              <w:instrText xml:space="preserve"> PAGEREF _Toc124203705 \h </w:instrText>
            </w:r>
            <w:r w:rsidR="0059014E">
              <w:rPr>
                <w:noProof/>
                <w:webHidden/>
              </w:rPr>
            </w:r>
            <w:r w:rsidR="0059014E">
              <w:rPr>
                <w:noProof/>
                <w:webHidden/>
              </w:rPr>
              <w:fldChar w:fldCharType="separate"/>
            </w:r>
            <w:r w:rsidR="004E64A5">
              <w:rPr>
                <w:noProof/>
                <w:webHidden/>
              </w:rPr>
              <w:t>5</w:t>
            </w:r>
            <w:r w:rsidR="0059014E">
              <w:rPr>
                <w:noProof/>
                <w:webHidden/>
              </w:rPr>
              <w:fldChar w:fldCharType="end"/>
            </w:r>
          </w:hyperlink>
        </w:p>
        <w:p w14:paraId="5D5EF86F" w14:textId="1EA026B8" w:rsidR="0059014E" w:rsidRDefault="00000000">
          <w:pPr>
            <w:pStyle w:val="TOC2"/>
            <w:tabs>
              <w:tab w:val="left" w:pos="720"/>
              <w:tab w:val="right" w:leader="dot" w:pos="8910"/>
            </w:tabs>
            <w:rPr>
              <w:rFonts w:eastAsiaTheme="minorEastAsia" w:cstheme="minorBidi"/>
              <w:b w:val="0"/>
              <w:bCs w:val="0"/>
              <w:noProof/>
              <w:sz w:val="24"/>
              <w:szCs w:val="24"/>
              <w:lang w:val="en-PK" w:eastAsia="en-GB"/>
            </w:rPr>
          </w:pPr>
          <w:hyperlink w:anchor="_Toc124203706" w:history="1">
            <w:r w:rsidR="0059014E" w:rsidRPr="0068789D">
              <w:rPr>
                <w:rStyle w:val="Hyperlink"/>
                <w:noProof/>
              </w:rPr>
              <w:t>3.</w:t>
            </w:r>
            <w:r w:rsidR="0059014E">
              <w:rPr>
                <w:rFonts w:eastAsiaTheme="minorEastAsia" w:cstheme="minorBidi"/>
                <w:b w:val="0"/>
                <w:bCs w:val="0"/>
                <w:noProof/>
                <w:sz w:val="24"/>
                <w:szCs w:val="24"/>
                <w:lang w:val="en-PK" w:eastAsia="en-GB"/>
              </w:rPr>
              <w:tab/>
            </w:r>
            <w:r w:rsidR="0059014E" w:rsidRPr="0068789D">
              <w:rPr>
                <w:rStyle w:val="Hyperlink"/>
                <w:noProof/>
              </w:rPr>
              <w:t>Women’s Legal Capacity to Enter into Marriage</w:t>
            </w:r>
            <w:r w:rsidR="0059014E">
              <w:rPr>
                <w:noProof/>
                <w:webHidden/>
              </w:rPr>
              <w:tab/>
            </w:r>
            <w:r w:rsidR="0059014E">
              <w:rPr>
                <w:noProof/>
                <w:webHidden/>
              </w:rPr>
              <w:fldChar w:fldCharType="begin"/>
            </w:r>
            <w:r w:rsidR="0059014E">
              <w:rPr>
                <w:noProof/>
                <w:webHidden/>
              </w:rPr>
              <w:instrText xml:space="preserve"> PAGEREF _Toc124203706 \h </w:instrText>
            </w:r>
            <w:r w:rsidR="0059014E">
              <w:rPr>
                <w:noProof/>
                <w:webHidden/>
              </w:rPr>
            </w:r>
            <w:r w:rsidR="0059014E">
              <w:rPr>
                <w:noProof/>
                <w:webHidden/>
              </w:rPr>
              <w:fldChar w:fldCharType="separate"/>
            </w:r>
            <w:r w:rsidR="004E64A5">
              <w:rPr>
                <w:noProof/>
                <w:webHidden/>
              </w:rPr>
              <w:t>6</w:t>
            </w:r>
            <w:r w:rsidR="0059014E">
              <w:rPr>
                <w:noProof/>
                <w:webHidden/>
              </w:rPr>
              <w:fldChar w:fldCharType="end"/>
            </w:r>
          </w:hyperlink>
        </w:p>
        <w:p w14:paraId="1F6D95BD" w14:textId="1F762886" w:rsidR="0059014E" w:rsidRDefault="00000000">
          <w:pPr>
            <w:pStyle w:val="TOC2"/>
            <w:tabs>
              <w:tab w:val="left" w:pos="720"/>
              <w:tab w:val="right" w:leader="dot" w:pos="8910"/>
            </w:tabs>
            <w:rPr>
              <w:rFonts w:eastAsiaTheme="minorEastAsia" w:cstheme="minorBidi"/>
              <w:b w:val="0"/>
              <w:bCs w:val="0"/>
              <w:noProof/>
              <w:sz w:val="24"/>
              <w:szCs w:val="24"/>
              <w:lang w:val="en-PK" w:eastAsia="en-GB"/>
            </w:rPr>
          </w:pPr>
          <w:hyperlink w:anchor="_Toc124203707" w:history="1">
            <w:r w:rsidR="0059014E" w:rsidRPr="0068789D">
              <w:rPr>
                <w:rStyle w:val="Hyperlink"/>
                <w:noProof/>
              </w:rPr>
              <w:t>4.</w:t>
            </w:r>
            <w:r w:rsidR="0059014E">
              <w:rPr>
                <w:rFonts w:eastAsiaTheme="minorEastAsia" w:cstheme="minorBidi"/>
                <w:b w:val="0"/>
                <w:bCs w:val="0"/>
                <w:noProof/>
                <w:sz w:val="24"/>
                <w:szCs w:val="24"/>
                <w:lang w:val="en-PK" w:eastAsia="en-GB"/>
              </w:rPr>
              <w:tab/>
            </w:r>
            <w:r w:rsidR="0059014E" w:rsidRPr="0068789D">
              <w:rPr>
                <w:rStyle w:val="Hyperlink"/>
                <w:noProof/>
              </w:rPr>
              <w:t>Divorce Rights</w:t>
            </w:r>
            <w:r w:rsidR="0059014E">
              <w:rPr>
                <w:noProof/>
                <w:webHidden/>
              </w:rPr>
              <w:tab/>
            </w:r>
            <w:r w:rsidR="0059014E">
              <w:rPr>
                <w:noProof/>
                <w:webHidden/>
              </w:rPr>
              <w:fldChar w:fldCharType="begin"/>
            </w:r>
            <w:r w:rsidR="0059014E">
              <w:rPr>
                <w:noProof/>
                <w:webHidden/>
              </w:rPr>
              <w:instrText xml:space="preserve"> PAGEREF _Toc124203707 \h </w:instrText>
            </w:r>
            <w:r w:rsidR="0059014E">
              <w:rPr>
                <w:noProof/>
                <w:webHidden/>
              </w:rPr>
            </w:r>
            <w:r w:rsidR="0059014E">
              <w:rPr>
                <w:noProof/>
                <w:webHidden/>
              </w:rPr>
              <w:fldChar w:fldCharType="separate"/>
            </w:r>
            <w:r w:rsidR="004E64A5">
              <w:rPr>
                <w:noProof/>
                <w:webHidden/>
              </w:rPr>
              <w:t>7</w:t>
            </w:r>
            <w:r w:rsidR="0059014E">
              <w:rPr>
                <w:noProof/>
                <w:webHidden/>
              </w:rPr>
              <w:fldChar w:fldCharType="end"/>
            </w:r>
          </w:hyperlink>
        </w:p>
        <w:p w14:paraId="4A163E37" w14:textId="5E3A8D96" w:rsidR="0059014E" w:rsidRDefault="00000000">
          <w:pPr>
            <w:pStyle w:val="TOC2"/>
            <w:tabs>
              <w:tab w:val="left" w:pos="720"/>
              <w:tab w:val="right" w:leader="dot" w:pos="8910"/>
            </w:tabs>
            <w:rPr>
              <w:rFonts w:eastAsiaTheme="minorEastAsia" w:cstheme="minorBidi"/>
              <w:b w:val="0"/>
              <w:bCs w:val="0"/>
              <w:noProof/>
              <w:sz w:val="24"/>
              <w:szCs w:val="24"/>
              <w:lang w:val="en-PK" w:eastAsia="en-GB"/>
            </w:rPr>
          </w:pPr>
          <w:hyperlink w:anchor="_Toc124203708" w:history="1">
            <w:r w:rsidR="0059014E" w:rsidRPr="0068789D">
              <w:rPr>
                <w:rStyle w:val="Hyperlink"/>
                <w:noProof/>
              </w:rPr>
              <w:t>5.</w:t>
            </w:r>
            <w:r w:rsidR="0059014E">
              <w:rPr>
                <w:rFonts w:eastAsiaTheme="minorEastAsia" w:cstheme="minorBidi"/>
                <w:b w:val="0"/>
                <w:bCs w:val="0"/>
                <w:noProof/>
                <w:sz w:val="24"/>
                <w:szCs w:val="24"/>
                <w:lang w:val="en-PK" w:eastAsia="en-GB"/>
              </w:rPr>
              <w:tab/>
            </w:r>
            <w:r w:rsidR="0059014E" w:rsidRPr="0068789D">
              <w:rPr>
                <w:rStyle w:val="Hyperlink"/>
                <w:noProof/>
              </w:rPr>
              <w:t>Custody and Guardianship of Children</w:t>
            </w:r>
            <w:r w:rsidR="0059014E">
              <w:rPr>
                <w:noProof/>
                <w:webHidden/>
              </w:rPr>
              <w:tab/>
            </w:r>
            <w:r w:rsidR="0059014E">
              <w:rPr>
                <w:noProof/>
                <w:webHidden/>
              </w:rPr>
              <w:fldChar w:fldCharType="begin"/>
            </w:r>
            <w:r w:rsidR="0059014E">
              <w:rPr>
                <w:noProof/>
                <w:webHidden/>
              </w:rPr>
              <w:instrText xml:space="preserve"> PAGEREF _Toc124203708 \h </w:instrText>
            </w:r>
            <w:r w:rsidR="0059014E">
              <w:rPr>
                <w:noProof/>
                <w:webHidden/>
              </w:rPr>
            </w:r>
            <w:r w:rsidR="0059014E">
              <w:rPr>
                <w:noProof/>
                <w:webHidden/>
              </w:rPr>
              <w:fldChar w:fldCharType="separate"/>
            </w:r>
            <w:r w:rsidR="004E64A5">
              <w:rPr>
                <w:noProof/>
                <w:webHidden/>
              </w:rPr>
              <w:t>8</w:t>
            </w:r>
            <w:r w:rsidR="0059014E">
              <w:rPr>
                <w:noProof/>
                <w:webHidden/>
              </w:rPr>
              <w:fldChar w:fldCharType="end"/>
            </w:r>
          </w:hyperlink>
        </w:p>
        <w:p w14:paraId="525D938E" w14:textId="3F8D1FDD" w:rsidR="0059014E" w:rsidRDefault="00000000">
          <w:pPr>
            <w:pStyle w:val="TOC2"/>
            <w:tabs>
              <w:tab w:val="left" w:pos="720"/>
              <w:tab w:val="right" w:leader="dot" w:pos="8910"/>
            </w:tabs>
            <w:rPr>
              <w:rFonts w:eastAsiaTheme="minorEastAsia" w:cstheme="minorBidi"/>
              <w:b w:val="0"/>
              <w:bCs w:val="0"/>
              <w:noProof/>
              <w:sz w:val="24"/>
              <w:szCs w:val="24"/>
              <w:lang w:val="en-PK" w:eastAsia="en-GB"/>
            </w:rPr>
          </w:pPr>
          <w:hyperlink w:anchor="_Toc124203709" w:history="1">
            <w:r w:rsidR="0059014E" w:rsidRPr="0068789D">
              <w:rPr>
                <w:rStyle w:val="Hyperlink"/>
                <w:noProof/>
              </w:rPr>
              <w:t>6.</w:t>
            </w:r>
            <w:r w:rsidR="0059014E">
              <w:rPr>
                <w:rFonts w:eastAsiaTheme="minorEastAsia" w:cstheme="minorBidi"/>
                <w:b w:val="0"/>
                <w:bCs w:val="0"/>
                <w:noProof/>
                <w:sz w:val="24"/>
                <w:szCs w:val="24"/>
                <w:lang w:val="en-PK" w:eastAsia="en-GB"/>
              </w:rPr>
              <w:tab/>
            </w:r>
            <w:r w:rsidR="0059014E" w:rsidRPr="0068789D">
              <w:rPr>
                <w:rStyle w:val="Hyperlink"/>
                <w:noProof/>
              </w:rPr>
              <w:t>Violence Against Women</w:t>
            </w:r>
            <w:r w:rsidR="0059014E">
              <w:rPr>
                <w:noProof/>
                <w:webHidden/>
              </w:rPr>
              <w:tab/>
            </w:r>
            <w:r w:rsidR="0059014E">
              <w:rPr>
                <w:noProof/>
                <w:webHidden/>
              </w:rPr>
              <w:fldChar w:fldCharType="begin"/>
            </w:r>
            <w:r w:rsidR="0059014E">
              <w:rPr>
                <w:noProof/>
                <w:webHidden/>
              </w:rPr>
              <w:instrText xml:space="preserve"> PAGEREF _Toc124203709 \h </w:instrText>
            </w:r>
            <w:r w:rsidR="0059014E">
              <w:rPr>
                <w:noProof/>
                <w:webHidden/>
              </w:rPr>
            </w:r>
            <w:r w:rsidR="0059014E">
              <w:rPr>
                <w:noProof/>
                <w:webHidden/>
              </w:rPr>
              <w:fldChar w:fldCharType="separate"/>
            </w:r>
            <w:r w:rsidR="004E64A5">
              <w:rPr>
                <w:noProof/>
                <w:webHidden/>
              </w:rPr>
              <w:t>9</w:t>
            </w:r>
            <w:r w:rsidR="0059014E">
              <w:rPr>
                <w:noProof/>
                <w:webHidden/>
              </w:rPr>
              <w:fldChar w:fldCharType="end"/>
            </w:r>
          </w:hyperlink>
        </w:p>
        <w:p w14:paraId="6AF284AD" w14:textId="63AD83AA" w:rsidR="0059014E" w:rsidRDefault="00000000">
          <w:pPr>
            <w:pStyle w:val="TOC2"/>
            <w:tabs>
              <w:tab w:val="left" w:pos="720"/>
              <w:tab w:val="right" w:leader="dot" w:pos="8910"/>
            </w:tabs>
            <w:rPr>
              <w:rFonts w:eastAsiaTheme="minorEastAsia" w:cstheme="minorBidi"/>
              <w:b w:val="0"/>
              <w:bCs w:val="0"/>
              <w:noProof/>
              <w:sz w:val="24"/>
              <w:szCs w:val="24"/>
              <w:lang w:val="en-PK" w:eastAsia="en-GB"/>
            </w:rPr>
          </w:pPr>
          <w:hyperlink w:anchor="_Toc124203710" w:history="1">
            <w:r w:rsidR="0059014E" w:rsidRPr="0068789D">
              <w:rPr>
                <w:rStyle w:val="Hyperlink"/>
                <w:noProof/>
              </w:rPr>
              <w:t>7.</w:t>
            </w:r>
            <w:r w:rsidR="0059014E">
              <w:rPr>
                <w:rFonts w:eastAsiaTheme="minorEastAsia" w:cstheme="minorBidi"/>
                <w:b w:val="0"/>
                <w:bCs w:val="0"/>
                <w:noProof/>
                <w:sz w:val="24"/>
                <w:szCs w:val="24"/>
                <w:lang w:val="en-PK" w:eastAsia="en-GB"/>
              </w:rPr>
              <w:tab/>
            </w:r>
            <w:r w:rsidR="0059014E" w:rsidRPr="0068789D">
              <w:rPr>
                <w:rStyle w:val="Hyperlink"/>
                <w:noProof/>
              </w:rPr>
              <w:t>Nationality</w:t>
            </w:r>
            <w:r w:rsidR="0059014E">
              <w:rPr>
                <w:noProof/>
                <w:webHidden/>
              </w:rPr>
              <w:tab/>
            </w:r>
            <w:r w:rsidR="0059014E">
              <w:rPr>
                <w:noProof/>
                <w:webHidden/>
              </w:rPr>
              <w:fldChar w:fldCharType="begin"/>
            </w:r>
            <w:r w:rsidR="0059014E">
              <w:rPr>
                <w:noProof/>
                <w:webHidden/>
              </w:rPr>
              <w:instrText xml:space="preserve"> PAGEREF _Toc124203710 \h </w:instrText>
            </w:r>
            <w:r w:rsidR="0059014E">
              <w:rPr>
                <w:noProof/>
                <w:webHidden/>
              </w:rPr>
            </w:r>
            <w:r w:rsidR="0059014E">
              <w:rPr>
                <w:noProof/>
                <w:webHidden/>
              </w:rPr>
              <w:fldChar w:fldCharType="separate"/>
            </w:r>
            <w:r w:rsidR="004E64A5">
              <w:rPr>
                <w:noProof/>
                <w:webHidden/>
              </w:rPr>
              <w:t>11</w:t>
            </w:r>
            <w:r w:rsidR="0059014E">
              <w:rPr>
                <w:noProof/>
                <w:webHidden/>
              </w:rPr>
              <w:fldChar w:fldCharType="end"/>
            </w:r>
          </w:hyperlink>
        </w:p>
        <w:p w14:paraId="478F1365" w14:textId="74D8D5BC" w:rsidR="00892FA5" w:rsidRDefault="00892FA5">
          <w:r>
            <w:rPr>
              <w:b/>
              <w:bCs/>
              <w:noProof/>
            </w:rPr>
            <w:fldChar w:fldCharType="end"/>
          </w:r>
        </w:p>
      </w:sdtContent>
    </w:sdt>
    <w:p w14:paraId="6F3FC829" w14:textId="19D980FF" w:rsidR="00892FA5" w:rsidRDefault="00892FA5">
      <w:pPr>
        <w:rPr>
          <w:rFonts w:eastAsia="Arial"/>
          <w:color w:val="FFFFFF"/>
          <w:sz w:val="28"/>
          <w:szCs w:val="28"/>
        </w:rPr>
      </w:pPr>
    </w:p>
    <w:p w14:paraId="48367667" w14:textId="6C6916FF" w:rsidR="00892FA5" w:rsidRDefault="00892FA5">
      <w:pPr>
        <w:rPr>
          <w:rFonts w:eastAsia="Arial"/>
          <w:color w:val="FFFFFF"/>
          <w:sz w:val="28"/>
          <w:szCs w:val="28"/>
        </w:rPr>
      </w:pPr>
    </w:p>
    <w:p w14:paraId="16A41CB7" w14:textId="30EE577F" w:rsidR="00892FA5" w:rsidRDefault="00892FA5">
      <w:pPr>
        <w:rPr>
          <w:rFonts w:eastAsia="Arial"/>
          <w:color w:val="FFFFFF"/>
          <w:sz w:val="28"/>
          <w:szCs w:val="28"/>
        </w:rPr>
      </w:pPr>
    </w:p>
    <w:p w14:paraId="429F73C2" w14:textId="7A28C465" w:rsidR="00892FA5" w:rsidRDefault="00892FA5">
      <w:pPr>
        <w:rPr>
          <w:rFonts w:eastAsia="Arial"/>
          <w:color w:val="FFFFFF"/>
          <w:sz w:val="28"/>
          <w:szCs w:val="28"/>
        </w:rPr>
      </w:pPr>
    </w:p>
    <w:p w14:paraId="09035E9D" w14:textId="615173B1" w:rsidR="00892FA5" w:rsidRDefault="00892FA5">
      <w:pPr>
        <w:rPr>
          <w:rFonts w:eastAsia="Arial"/>
          <w:color w:val="FFFFFF"/>
          <w:sz w:val="28"/>
          <w:szCs w:val="28"/>
        </w:rPr>
      </w:pPr>
    </w:p>
    <w:p w14:paraId="0CD03228" w14:textId="2A20EEBE" w:rsidR="00892FA5" w:rsidRDefault="00892FA5">
      <w:pPr>
        <w:rPr>
          <w:rFonts w:eastAsia="Arial"/>
          <w:color w:val="FFFFFF"/>
          <w:sz w:val="28"/>
          <w:szCs w:val="28"/>
        </w:rPr>
      </w:pPr>
    </w:p>
    <w:p w14:paraId="4C73AA11" w14:textId="0C502D1D" w:rsidR="00892FA5" w:rsidRDefault="00892FA5">
      <w:pPr>
        <w:rPr>
          <w:rFonts w:eastAsia="Arial"/>
          <w:color w:val="FFFFFF"/>
          <w:sz w:val="28"/>
          <w:szCs w:val="28"/>
        </w:rPr>
      </w:pPr>
    </w:p>
    <w:p w14:paraId="7ADF6A54" w14:textId="77777777" w:rsidR="00892FA5" w:rsidRDefault="00892FA5">
      <w:pPr>
        <w:rPr>
          <w:rFonts w:eastAsia="Arial"/>
          <w:color w:val="FFFFFF"/>
          <w:sz w:val="28"/>
          <w:szCs w:val="28"/>
        </w:rPr>
      </w:pPr>
    </w:p>
    <w:p w14:paraId="283B90D4" w14:textId="77777777" w:rsidR="00892FA5" w:rsidRDefault="00892FA5">
      <w:pPr>
        <w:rPr>
          <w:rFonts w:eastAsia="Arial"/>
          <w:color w:val="FFFFFF"/>
          <w:sz w:val="28"/>
          <w:szCs w:val="28"/>
        </w:rPr>
      </w:pPr>
    </w:p>
    <w:p w14:paraId="278EA620" w14:textId="4E6588BD" w:rsidR="00892FA5" w:rsidRDefault="00892FA5">
      <w:pPr>
        <w:rPr>
          <w:rFonts w:eastAsia="Arial"/>
          <w:b/>
          <w:smallCaps/>
          <w:color w:val="FFFFFF"/>
          <w:sz w:val="28"/>
          <w:szCs w:val="28"/>
        </w:rPr>
      </w:pPr>
      <w:r>
        <w:rPr>
          <w:rFonts w:eastAsia="Arial"/>
          <w:color w:val="FFFFFF"/>
          <w:sz w:val="28"/>
          <w:szCs w:val="28"/>
        </w:rPr>
        <w:br w:type="page"/>
      </w:r>
    </w:p>
    <w:p w14:paraId="57624285" w14:textId="4C8D5689" w:rsidR="00E26F24" w:rsidRPr="00892FA5" w:rsidRDefault="00E26F24" w:rsidP="00892FA5">
      <w:pPr>
        <w:pStyle w:val="Heading1"/>
      </w:pPr>
      <w:bookmarkStart w:id="4" w:name="_Toc124203701"/>
      <w:r w:rsidRPr="00892FA5">
        <w:lastRenderedPageBreak/>
        <w:t>A. INTRODUCTION</w:t>
      </w:r>
      <w:bookmarkEnd w:id="2"/>
      <w:bookmarkEnd w:id="3"/>
      <w:bookmarkEnd w:id="4"/>
      <w:r w:rsidRPr="00892FA5">
        <w:tab/>
      </w:r>
    </w:p>
    <w:p w14:paraId="3C19E5DE" w14:textId="02BA4834" w:rsidR="00AE5D3A" w:rsidRPr="00AF68E5" w:rsidRDefault="00AE5D3A" w:rsidP="003D66DE">
      <w:pPr>
        <w:pStyle w:val="Normal1"/>
        <w:spacing w:line="240" w:lineRule="auto"/>
        <w:jc w:val="both"/>
        <w:rPr>
          <w:rFonts w:asciiTheme="minorBidi" w:eastAsia="Arial" w:hAnsiTheme="minorBidi" w:cstheme="minorBidi"/>
          <w:sz w:val="20"/>
          <w:szCs w:val="20"/>
        </w:rPr>
      </w:pPr>
      <w:r w:rsidRPr="003D66DE">
        <w:rPr>
          <w:rFonts w:asciiTheme="minorBidi" w:eastAsia="Arial" w:hAnsiTheme="minorBidi" w:cstheme="minorBidi"/>
          <w:b/>
          <w:bCs/>
          <w:sz w:val="20"/>
          <w:szCs w:val="20"/>
        </w:rPr>
        <w:t>Musawah</w:t>
      </w:r>
      <w:r w:rsidRPr="00AF68E5">
        <w:rPr>
          <w:rFonts w:asciiTheme="minorBidi" w:eastAsia="Arial" w:hAnsiTheme="minorBidi" w:cstheme="minorBidi"/>
          <w:sz w:val="20"/>
          <w:szCs w:val="20"/>
        </w:rPr>
        <w:t xml:space="preserve">, the global movement for equality and justice in the Muslim family, submits this Thematic Report on concerns for consideration by the CEDAW Committee in its review of the Kingdom of Bahrain, reporting before the </w:t>
      </w:r>
      <w:r w:rsidR="003D66DE">
        <w:rPr>
          <w:rFonts w:asciiTheme="minorBidi" w:eastAsia="Arial" w:hAnsiTheme="minorBidi" w:cstheme="minorBidi"/>
          <w:sz w:val="20"/>
          <w:szCs w:val="20"/>
        </w:rPr>
        <w:t>84</w:t>
      </w:r>
      <w:r w:rsidR="003D66DE" w:rsidRPr="003D66DE">
        <w:rPr>
          <w:rFonts w:asciiTheme="minorBidi" w:eastAsia="Arial" w:hAnsiTheme="minorBidi" w:cstheme="minorBidi"/>
          <w:sz w:val="20"/>
          <w:szCs w:val="20"/>
          <w:vertAlign w:val="superscript"/>
        </w:rPr>
        <w:t>th</w:t>
      </w:r>
      <w:r w:rsidR="003D66DE">
        <w:rPr>
          <w:rFonts w:asciiTheme="minorBidi" w:eastAsia="Arial" w:hAnsiTheme="minorBidi" w:cstheme="minorBidi"/>
          <w:sz w:val="20"/>
          <w:szCs w:val="20"/>
        </w:rPr>
        <w:t xml:space="preserve"> </w:t>
      </w:r>
      <w:r w:rsidRPr="00AF68E5">
        <w:rPr>
          <w:rFonts w:asciiTheme="minorBidi" w:eastAsia="Arial" w:hAnsiTheme="minorBidi" w:cstheme="minorBidi"/>
          <w:sz w:val="20"/>
          <w:szCs w:val="20"/>
        </w:rPr>
        <w:t xml:space="preserve">CEDAW Session in </w:t>
      </w:r>
      <w:r w:rsidR="003D66DE">
        <w:rPr>
          <w:rFonts w:asciiTheme="minorBidi" w:eastAsia="Arial" w:hAnsiTheme="minorBidi" w:cstheme="minorBidi"/>
          <w:sz w:val="20"/>
          <w:szCs w:val="20"/>
        </w:rPr>
        <w:t xml:space="preserve">February 2023. </w:t>
      </w:r>
      <w:r w:rsidRPr="00AF68E5">
        <w:rPr>
          <w:rFonts w:asciiTheme="minorBidi" w:eastAsia="Arial" w:hAnsiTheme="minorBidi" w:cstheme="minorBidi"/>
          <w:sz w:val="20"/>
          <w:szCs w:val="20"/>
        </w:rPr>
        <w:t>This is the CEDAW Committee’s third engagement with Bahrain, which acceded to the Convention in 2002. Bahrain has expressed reservations</w:t>
      </w:r>
      <w:r>
        <w:rPr>
          <w:rFonts w:asciiTheme="minorBidi" w:eastAsia="Arial" w:hAnsiTheme="minorBidi" w:cstheme="minorBidi"/>
          <w:sz w:val="20"/>
          <w:szCs w:val="20"/>
        </w:rPr>
        <w:t>, in relevant part,</w:t>
      </w:r>
      <w:r w:rsidRPr="00AF68E5">
        <w:rPr>
          <w:rFonts w:asciiTheme="minorBidi" w:eastAsia="Arial" w:hAnsiTheme="minorBidi" w:cstheme="minorBidi"/>
          <w:sz w:val="20"/>
          <w:szCs w:val="20"/>
        </w:rPr>
        <w:t xml:space="preserve"> to </w:t>
      </w:r>
      <w:r>
        <w:rPr>
          <w:rFonts w:asciiTheme="minorBidi" w:eastAsia="Arial" w:hAnsiTheme="minorBidi" w:cstheme="minorBidi"/>
          <w:sz w:val="20"/>
          <w:szCs w:val="20"/>
        </w:rPr>
        <w:t>A</w:t>
      </w:r>
      <w:r w:rsidRPr="00AF68E5">
        <w:rPr>
          <w:rFonts w:asciiTheme="minorBidi" w:eastAsia="Arial" w:hAnsiTheme="minorBidi" w:cstheme="minorBidi"/>
          <w:sz w:val="20"/>
          <w:szCs w:val="20"/>
        </w:rPr>
        <w:t>rticle 2, Article 9(2), Article 15(4),</w:t>
      </w:r>
      <w:r>
        <w:rPr>
          <w:rFonts w:asciiTheme="minorBidi" w:eastAsia="Arial" w:hAnsiTheme="minorBidi" w:cstheme="minorBidi"/>
          <w:sz w:val="20"/>
          <w:szCs w:val="20"/>
        </w:rPr>
        <w:t xml:space="preserve"> and</w:t>
      </w:r>
      <w:r w:rsidRPr="00AF68E5">
        <w:rPr>
          <w:rFonts w:asciiTheme="minorBidi" w:eastAsia="Arial" w:hAnsiTheme="minorBidi" w:cstheme="minorBidi"/>
          <w:sz w:val="20"/>
          <w:szCs w:val="20"/>
        </w:rPr>
        <w:t xml:space="preserve"> Article 16 of the Convention. </w:t>
      </w:r>
    </w:p>
    <w:p w14:paraId="48945C4D" w14:textId="0444D757" w:rsidR="00AE5D3A" w:rsidRPr="00AF68E5" w:rsidRDefault="00AE5D3A" w:rsidP="00AE5D3A">
      <w:pPr>
        <w:pStyle w:val="Normal1"/>
        <w:spacing w:line="240" w:lineRule="auto"/>
        <w:jc w:val="both"/>
        <w:rPr>
          <w:rFonts w:asciiTheme="minorBidi" w:eastAsia="Arial" w:hAnsiTheme="minorBidi" w:cstheme="minorBidi"/>
          <w:sz w:val="20"/>
          <w:szCs w:val="20"/>
        </w:rPr>
      </w:pPr>
      <w:r w:rsidRPr="00AF68E5">
        <w:rPr>
          <w:rFonts w:asciiTheme="minorBidi" w:eastAsia="Arial" w:hAnsiTheme="minorBidi" w:cstheme="minorBidi"/>
          <w:sz w:val="20"/>
          <w:szCs w:val="20"/>
        </w:rPr>
        <w:t xml:space="preserve">In 2014 and 2008, Concluding </w:t>
      </w:r>
      <w:r>
        <w:rPr>
          <w:rFonts w:asciiTheme="minorBidi" w:eastAsia="Arial" w:hAnsiTheme="minorBidi" w:cstheme="minorBidi"/>
          <w:sz w:val="20"/>
          <w:szCs w:val="20"/>
        </w:rPr>
        <w:t>O</w:t>
      </w:r>
      <w:r w:rsidRPr="00AF68E5">
        <w:rPr>
          <w:rFonts w:asciiTheme="minorBidi" w:eastAsia="Arial" w:hAnsiTheme="minorBidi" w:cstheme="minorBidi"/>
          <w:sz w:val="20"/>
          <w:szCs w:val="20"/>
        </w:rPr>
        <w:t xml:space="preserve">bservations of the CEDAW Committee included for the State Party to: prohibit and sanction discrimination against women; criminalize violence against women and provide effective remedies and sanctions; and adopt a unified family law that provides for equality and effective access to justice in family issues. Recommendations were also made for the State to: withdraw or limit its reservations to the Convention; change widely shared stereotypical roles of women and men; </w:t>
      </w:r>
      <w:r>
        <w:rPr>
          <w:rFonts w:asciiTheme="minorBidi" w:eastAsia="Arial" w:hAnsiTheme="minorBidi" w:cstheme="minorBidi"/>
          <w:sz w:val="20"/>
          <w:szCs w:val="20"/>
        </w:rPr>
        <w:t>set</w:t>
      </w:r>
      <w:r w:rsidRPr="00AF68E5">
        <w:rPr>
          <w:rFonts w:asciiTheme="minorBidi" w:eastAsia="Arial" w:hAnsiTheme="minorBidi" w:cstheme="minorBidi"/>
          <w:sz w:val="20"/>
          <w:szCs w:val="20"/>
        </w:rPr>
        <w:t xml:space="preserve"> </w:t>
      </w:r>
      <w:r>
        <w:rPr>
          <w:rFonts w:asciiTheme="minorBidi" w:eastAsia="Arial" w:hAnsiTheme="minorBidi" w:cstheme="minorBidi"/>
          <w:sz w:val="20"/>
          <w:szCs w:val="20"/>
        </w:rPr>
        <w:t>the</w:t>
      </w:r>
      <w:r w:rsidRPr="00AF68E5">
        <w:rPr>
          <w:rFonts w:asciiTheme="minorBidi" w:eastAsia="Arial" w:hAnsiTheme="minorBidi" w:cstheme="minorBidi"/>
          <w:sz w:val="20"/>
          <w:szCs w:val="20"/>
        </w:rPr>
        <w:t xml:space="preserve"> minimum age of marriage </w:t>
      </w:r>
      <w:r>
        <w:rPr>
          <w:rFonts w:asciiTheme="minorBidi" w:eastAsia="Arial" w:hAnsiTheme="minorBidi" w:cstheme="minorBidi"/>
          <w:sz w:val="20"/>
          <w:szCs w:val="20"/>
        </w:rPr>
        <w:t>at</w:t>
      </w:r>
      <w:r w:rsidRPr="00AF68E5">
        <w:rPr>
          <w:rFonts w:asciiTheme="minorBidi" w:eastAsia="Arial" w:hAnsiTheme="minorBidi" w:cstheme="minorBidi"/>
          <w:sz w:val="20"/>
          <w:szCs w:val="20"/>
        </w:rPr>
        <w:t xml:space="preserve"> 18 years; and, adopt legislative measures to eliminate discriminatory economic consequences in divorce. However, it is noted that </w:t>
      </w:r>
      <w:r>
        <w:rPr>
          <w:rFonts w:asciiTheme="minorBidi" w:eastAsia="Arial" w:hAnsiTheme="minorBidi" w:cstheme="minorBidi"/>
          <w:sz w:val="20"/>
          <w:szCs w:val="20"/>
        </w:rPr>
        <w:t>despite</w:t>
      </w:r>
      <w:r w:rsidRPr="00AF68E5">
        <w:rPr>
          <w:rFonts w:asciiTheme="minorBidi" w:eastAsia="Arial" w:hAnsiTheme="minorBidi" w:cstheme="minorBidi"/>
          <w:sz w:val="20"/>
          <w:szCs w:val="20"/>
        </w:rPr>
        <w:t xml:space="preserve"> enacting a comprehensive Family Law in Bahrain in 2017, there has </w:t>
      </w:r>
      <w:r>
        <w:rPr>
          <w:rFonts w:asciiTheme="minorBidi" w:eastAsia="Arial" w:hAnsiTheme="minorBidi" w:cstheme="minorBidi"/>
          <w:sz w:val="20"/>
          <w:szCs w:val="20"/>
        </w:rPr>
        <w:t>not been sufficient</w:t>
      </w:r>
      <w:r w:rsidRPr="00AF68E5">
        <w:rPr>
          <w:rFonts w:asciiTheme="minorBidi" w:eastAsia="Arial" w:hAnsiTheme="minorBidi" w:cstheme="minorBidi"/>
          <w:sz w:val="20"/>
          <w:szCs w:val="20"/>
        </w:rPr>
        <w:t xml:space="preserve"> progress towards substantive implementation of these recommendations. </w:t>
      </w:r>
      <w:r w:rsidR="004C1479">
        <w:rPr>
          <w:rFonts w:asciiTheme="minorBidi" w:eastAsia="Arial" w:hAnsiTheme="minorBidi" w:cstheme="minorBidi"/>
          <w:sz w:val="20"/>
          <w:szCs w:val="20"/>
        </w:rPr>
        <w:t>In</w:t>
      </w:r>
      <w:r w:rsidRPr="00AF68E5">
        <w:rPr>
          <w:rFonts w:asciiTheme="minorBidi" w:eastAsia="Arial" w:hAnsiTheme="minorBidi" w:cstheme="minorBidi"/>
          <w:sz w:val="20"/>
          <w:szCs w:val="20"/>
        </w:rPr>
        <w:t xml:space="preserve">equalities remain entrenched in the legal framework governing family relations in Bahrain. </w:t>
      </w:r>
    </w:p>
    <w:p w14:paraId="04D4442F" w14:textId="15B28BCC" w:rsidR="00E26F24" w:rsidRPr="00AE5D3A" w:rsidRDefault="00AE5D3A" w:rsidP="00AE5D3A">
      <w:pPr>
        <w:pStyle w:val="Normal1"/>
        <w:spacing w:line="240" w:lineRule="auto"/>
        <w:jc w:val="both"/>
        <w:rPr>
          <w:rFonts w:asciiTheme="minorBidi" w:eastAsia="Arial" w:hAnsiTheme="minorBidi" w:cstheme="minorBidi"/>
          <w:sz w:val="20"/>
          <w:szCs w:val="20"/>
        </w:rPr>
      </w:pPr>
      <w:r w:rsidRPr="00AF68E5">
        <w:rPr>
          <w:rFonts w:asciiTheme="minorBidi" w:eastAsia="Arial" w:hAnsiTheme="minorBidi" w:cstheme="minorBidi"/>
          <w:sz w:val="20"/>
          <w:szCs w:val="20"/>
        </w:rPr>
        <w:t xml:space="preserve">We hope that the CEDAW committee will utilize this report as a key resource during its constructive engagement with the State </w:t>
      </w:r>
      <w:r>
        <w:rPr>
          <w:rFonts w:asciiTheme="minorBidi" w:eastAsia="Arial" w:hAnsiTheme="minorBidi" w:cstheme="minorBidi"/>
          <w:sz w:val="20"/>
          <w:szCs w:val="20"/>
        </w:rPr>
        <w:t>P</w:t>
      </w:r>
      <w:r w:rsidRPr="00AF68E5">
        <w:rPr>
          <w:rFonts w:asciiTheme="minorBidi" w:eastAsia="Arial" w:hAnsiTheme="minorBidi" w:cstheme="minorBidi"/>
          <w:sz w:val="20"/>
          <w:szCs w:val="20"/>
        </w:rPr>
        <w:t>arty and in follow-up activities on the Concluding Observations. Musawah would like to acknowledge the vital input and feedback from Harvard Law School’s International Human Rights Clinic, various national women’s rights advocates, and Bahraini lawyers into this Report</w:t>
      </w:r>
      <w:r>
        <w:rPr>
          <w:rFonts w:asciiTheme="minorBidi" w:eastAsia="Arial" w:hAnsiTheme="minorBidi" w:cstheme="minorBidi"/>
          <w:sz w:val="20"/>
          <w:szCs w:val="20"/>
        </w:rPr>
        <w:t>.</w:t>
      </w:r>
    </w:p>
    <w:p w14:paraId="31E30B1E" w14:textId="09D9C2EE" w:rsidR="00E26F24" w:rsidRPr="009C3146" w:rsidRDefault="00E26F24" w:rsidP="009C3146">
      <w:pPr>
        <w:pStyle w:val="Heading1"/>
        <w:rPr>
          <w:sz w:val="26"/>
          <w:szCs w:val="26"/>
        </w:rPr>
      </w:pPr>
      <w:bookmarkStart w:id="5" w:name="_Toc526513932"/>
      <w:bookmarkStart w:id="6" w:name="_Toc103472503"/>
      <w:bookmarkStart w:id="7" w:name="_Toc124203702"/>
      <w:r w:rsidRPr="00742EE1">
        <w:t>B. BACKGROUND</w:t>
      </w:r>
      <w:bookmarkEnd w:id="5"/>
      <w:r w:rsidR="007237F8">
        <w:t xml:space="preserve">, </w:t>
      </w:r>
      <w:r>
        <w:t>LEGAL FRAMEWOR</w:t>
      </w:r>
      <w:bookmarkEnd w:id="6"/>
      <w:r w:rsidR="007237F8">
        <w:t>K AND CONTEXT</w:t>
      </w:r>
      <w:bookmarkEnd w:id="7"/>
    </w:p>
    <w:p w14:paraId="0FBB9B0E" w14:textId="346288A1" w:rsidR="00AE5D3A" w:rsidRPr="00447EC0" w:rsidRDefault="00AE5D3A" w:rsidP="00AE5D3A">
      <w:pPr>
        <w:pStyle w:val="paragraph"/>
        <w:jc w:val="both"/>
        <w:textAlignment w:val="baseline"/>
        <w:rPr>
          <w:sz w:val="20"/>
          <w:szCs w:val="20"/>
        </w:rPr>
      </w:pPr>
      <w:r w:rsidRPr="00447EC0">
        <w:rPr>
          <w:sz w:val="20"/>
          <w:szCs w:val="20"/>
        </w:rPr>
        <w:t>Article 2 of the of the Constitution of Bahrain (2002) establishes Islam as the state religion of Bahrain and provides that Islamic Shari’a is “a principal source for legislation.” Article 18 declares all citizens “equal before the law in public rights and duties</w:t>
      </w:r>
      <w:r w:rsidR="00747629">
        <w:rPr>
          <w:sz w:val="20"/>
          <w:szCs w:val="20"/>
        </w:rPr>
        <w:t>”.</w:t>
      </w:r>
      <w:r w:rsidRPr="00447EC0">
        <w:rPr>
          <w:sz w:val="20"/>
          <w:szCs w:val="20"/>
        </w:rPr>
        <w:t xml:space="preserve"> </w:t>
      </w:r>
      <w:r w:rsidR="004F4C50">
        <w:rPr>
          <w:sz w:val="20"/>
          <w:szCs w:val="20"/>
        </w:rPr>
        <w:t>Article 5</w:t>
      </w:r>
      <w:r w:rsidRPr="00447EC0">
        <w:rPr>
          <w:sz w:val="20"/>
          <w:szCs w:val="20"/>
        </w:rPr>
        <w:t xml:space="preserve"> commits the state to “guarantee[] reconciling the duties of women towards the family with their work in society, and their equality with men in the political, social, cultural, and economic spheres without breaching the provisions of [Shari’a].”</w:t>
      </w:r>
    </w:p>
    <w:p w14:paraId="2B381B30" w14:textId="0D378178" w:rsidR="00AE5D3A" w:rsidRPr="00AE5D3A" w:rsidRDefault="00AE5D3A" w:rsidP="00AE5D3A">
      <w:pPr>
        <w:pStyle w:val="paragraph"/>
        <w:jc w:val="both"/>
        <w:textAlignment w:val="baseline"/>
        <w:rPr>
          <w:sz w:val="20"/>
          <w:szCs w:val="20"/>
          <w:vertAlign w:val="superscript"/>
        </w:rPr>
      </w:pPr>
      <w:r w:rsidRPr="00447EC0">
        <w:rPr>
          <w:sz w:val="20"/>
          <w:szCs w:val="20"/>
        </w:rPr>
        <w:t>All matters relating to personal status, marriage, divorce, and custody and guardianship of children are governed by Law No. 19 of 2017 Promulgating the Family Law (“the Family Law”), which was the country’s first codification of a unified family law and followed decades of women’s advocacy efforts.</w:t>
      </w:r>
      <w:r w:rsidR="0005015F">
        <w:rPr>
          <w:rStyle w:val="FootnoteReference"/>
          <w:sz w:val="20"/>
          <w:szCs w:val="20"/>
        </w:rPr>
        <w:footnoteReference w:id="1"/>
      </w:r>
      <w:r>
        <w:rPr>
          <w:sz w:val="20"/>
          <w:szCs w:val="20"/>
          <w:vertAlign w:val="superscript"/>
        </w:rPr>
        <w:t xml:space="preserve"> </w:t>
      </w:r>
      <w:r>
        <w:rPr>
          <w:rFonts w:ascii="Arial" w:eastAsia="Arial" w:hAnsi="Arial" w:cs="Arial"/>
          <w:sz w:val="20"/>
          <w:szCs w:val="20"/>
        </w:rPr>
        <w:t>The law includes some unified provisions that apply to all Muslims regardless of their sects, as well as provisions that specifically apply to adherents of the Sunni or Shia</w:t>
      </w:r>
      <w:r>
        <w:rPr>
          <w:rFonts w:ascii="Arial" w:eastAsia="Arial" w:hAnsi="Arial" w:cs="Arial"/>
          <w:i/>
          <w:sz w:val="20"/>
          <w:szCs w:val="20"/>
        </w:rPr>
        <w:t xml:space="preserve"> </w:t>
      </w:r>
      <w:r>
        <w:rPr>
          <w:rFonts w:ascii="Arial" w:eastAsia="Arial" w:hAnsi="Arial" w:cs="Arial"/>
          <w:iCs/>
          <w:sz w:val="20"/>
          <w:szCs w:val="20"/>
        </w:rPr>
        <w:t>school of jurisprudence</w:t>
      </w:r>
      <w:r w:rsidRPr="00447EC0">
        <w:rPr>
          <w:sz w:val="20"/>
          <w:szCs w:val="20"/>
        </w:rPr>
        <w:t>.</w:t>
      </w:r>
      <w:r w:rsidR="0005015F">
        <w:rPr>
          <w:rStyle w:val="FootnoteReference"/>
          <w:sz w:val="20"/>
          <w:szCs w:val="20"/>
        </w:rPr>
        <w:footnoteReference w:id="2"/>
      </w:r>
    </w:p>
    <w:p w14:paraId="05391416" w14:textId="4554826D" w:rsidR="007237F8" w:rsidRDefault="00AE5D3A" w:rsidP="00AE5D3A">
      <w:pPr>
        <w:jc w:val="both"/>
        <w:rPr>
          <w:rFonts w:ascii="Arial" w:eastAsia="Arial" w:hAnsi="Arial" w:cs="Arial"/>
          <w:sz w:val="20"/>
          <w:szCs w:val="20"/>
          <w:lang w:val="en"/>
        </w:rPr>
      </w:pPr>
      <w:r w:rsidRPr="00447EC0">
        <w:rPr>
          <w:sz w:val="20"/>
          <w:szCs w:val="20"/>
        </w:rPr>
        <w:t>In addition to the 2017 Family Law, several other national laws in Bahrain relate to personal status and family. The 2015 Domestic Violence Act defines domestic violence as any act of abuse that occurs within the family by one of its members.</w:t>
      </w:r>
      <w:r w:rsidRPr="00C70995">
        <w:rPr>
          <w:sz w:val="20"/>
          <w:szCs w:val="20"/>
          <w:vertAlign w:val="superscript"/>
        </w:rPr>
        <w:footnoteReference w:id="3"/>
      </w:r>
      <w:r w:rsidRPr="00C70995">
        <w:rPr>
          <w:sz w:val="20"/>
          <w:szCs w:val="20"/>
          <w:vertAlign w:val="superscript"/>
        </w:rPr>
        <w:t xml:space="preserve"> </w:t>
      </w:r>
      <w:r w:rsidRPr="00447EC0">
        <w:rPr>
          <w:sz w:val="20"/>
          <w:szCs w:val="20"/>
        </w:rPr>
        <w:t xml:space="preserve">The Bahraini Penal Code of 1976 </w:t>
      </w:r>
      <w:r>
        <w:rPr>
          <w:sz w:val="20"/>
          <w:szCs w:val="20"/>
        </w:rPr>
        <w:t xml:space="preserve">(“the Penal Code”) </w:t>
      </w:r>
      <w:r w:rsidRPr="00447EC0">
        <w:rPr>
          <w:sz w:val="20"/>
          <w:szCs w:val="20"/>
        </w:rPr>
        <w:t>also includes general criminal laws that are applicable to the domestic violence context, such as prohibitions on kidnapping, murder, rape, sexual assault, and battery.</w:t>
      </w:r>
      <w:r w:rsidRPr="00C70995">
        <w:rPr>
          <w:sz w:val="20"/>
          <w:szCs w:val="20"/>
          <w:vertAlign w:val="superscript"/>
        </w:rPr>
        <w:footnoteReference w:id="4"/>
      </w:r>
      <w:r w:rsidR="004F4C50">
        <w:rPr>
          <w:sz w:val="20"/>
          <w:szCs w:val="20"/>
        </w:rPr>
        <w:t xml:space="preserve"> </w:t>
      </w:r>
      <w:r w:rsidRPr="00447EC0">
        <w:rPr>
          <w:sz w:val="20"/>
          <w:szCs w:val="20"/>
        </w:rPr>
        <w:t>Bahraini nationality law is codified in the Nationality Act of 1963.</w:t>
      </w:r>
    </w:p>
    <w:p w14:paraId="33403382" w14:textId="77777777" w:rsidR="00233AE3" w:rsidRPr="002F7D20" w:rsidRDefault="00233AE3" w:rsidP="00E26F24">
      <w:pPr>
        <w:rPr>
          <w:rFonts w:ascii="Arial" w:eastAsia="Arial" w:hAnsi="Arial" w:cs="Arial"/>
          <w:sz w:val="20"/>
          <w:szCs w:val="20"/>
        </w:rPr>
      </w:pPr>
    </w:p>
    <w:p w14:paraId="6E2E447A" w14:textId="77777777" w:rsidR="00E26F24" w:rsidRPr="00742EE1" w:rsidRDefault="00E26F24" w:rsidP="00892FA5">
      <w:pPr>
        <w:pStyle w:val="Heading1"/>
      </w:pPr>
      <w:bookmarkStart w:id="8" w:name="_Toc526513933"/>
      <w:bookmarkStart w:id="9" w:name="_Toc103472504"/>
      <w:bookmarkStart w:id="10" w:name="_Toc124203703"/>
      <w:r w:rsidRPr="00742EE1">
        <w:t xml:space="preserve">C. </w:t>
      </w:r>
      <w:bookmarkEnd w:id="8"/>
      <w:r>
        <w:t>KEY ISSUES AND RECOMMENDATIONS</w:t>
      </w:r>
      <w:bookmarkEnd w:id="9"/>
      <w:bookmarkEnd w:id="10"/>
      <w:r w:rsidRPr="00742EE1">
        <w:t xml:space="preserve"> </w:t>
      </w:r>
    </w:p>
    <w:p w14:paraId="00060093" w14:textId="77777777" w:rsidR="00E26F24" w:rsidRPr="00C70995" w:rsidRDefault="00E26F24" w:rsidP="00E26F24">
      <w:bookmarkStart w:id="11" w:name="_2et92p0" w:colFirst="0" w:colLast="0"/>
      <w:bookmarkStart w:id="12" w:name="_Toc526513939"/>
      <w:bookmarkEnd w:id="11"/>
    </w:p>
    <w:p w14:paraId="0ECDF60E" w14:textId="1BB1C713" w:rsidR="00E26F24" w:rsidRPr="00191FBF" w:rsidRDefault="00E44263" w:rsidP="00B44210">
      <w:pPr>
        <w:pStyle w:val="Heading2"/>
        <w:rPr>
          <w:i/>
          <w:iCs/>
        </w:rPr>
      </w:pPr>
      <w:bookmarkStart w:id="13" w:name="_Toc103472505"/>
      <w:bookmarkStart w:id="14" w:name="_Toc124203704"/>
      <w:r>
        <w:t>Discriminatory Legal Framework</w:t>
      </w:r>
      <w:r w:rsidR="00AE5D3A">
        <w:tab/>
      </w:r>
      <w:r w:rsidR="007C55CD">
        <w:tab/>
      </w:r>
      <w:r w:rsidR="00F266AC" w:rsidRPr="00191FBF">
        <w:tab/>
      </w:r>
      <w:r w:rsidR="00F266AC" w:rsidRPr="00191FBF">
        <w:tab/>
      </w:r>
      <w:r>
        <w:tab/>
        <w:t xml:space="preserve">   </w:t>
      </w:r>
      <w:r w:rsidR="00F266AC" w:rsidRPr="00191FBF">
        <w:t>Article</w:t>
      </w:r>
      <w:r w:rsidR="00191FBF">
        <w:t>s 2,</w:t>
      </w:r>
      <w:r w:rsidR="00F266AC" w:rsidRPr="00191FBF">
        <w:t xml:space="preserve"> 16</w:t>
      </w:r>
      <w:bookmarkEnd w:id="13"/>
      <w:bookmarkEnd w:id="14"/>
    </w:p>
    <w:p w14:paraId="15DCE2BD" w14:textId="77777777" w:rsidR="00191FBF" w:rsidRDefault="00191FBF" w:rsidP="00C7074D">
      <w:pPr>
        <w:autoSpaceDE w:val="0"/>
        <w:autoSpaceDN w:val="0"/>
        <w:adjustRightInd w:val="0"/>
        <w:jc w:val="both"/>
        <w:rPr>
          <w:sz w:val="20"/>
          <w:szCs w:val="20"/>
        </w:rPr>
      </w:pPr>
    </w:p>
    <w:p w14:paraId="6C2A473F" w14:textId="2D737D3B" w:rsidR="00AE5D3A" w:rsidRDefault="00AE5D3A" w:rsidP="00AE5D3A">
      <w:pPr>
        <w:jc w:val="both"/>
        <w:rPr>
          <w:rStyle w:val="normaltextrun"/>
          <w:rFonts w:ascii="Arial" w:eastAsia="Times New Roman" w:hAnsi="Arial" w:cs="Arial"/>
          <w:sz w:val="20"/>
          <w:szCs w:val="20"/>
          <w:lang w:eastAsia="zh-CN"/>
        </w:rPr>
      </w:pPr>
      <w:r w:rsidRPr="00447EC0">
        <w:rPr>
          <w:rStyle w:val="normaltextrun"/>
          <w:rFonts w:ascii="Arial" w:eastAsia="Times New Roman" w:hAnsi="Arial" w:cs="Arial"/>
          <w:sz w:val="20"/>
          <w:szCs w:val="20"/>
          <w:lang w:eastAsia="zh-CN"/>
        </w:rPr>
        <w:t>Despite the constitutional guarantee that “there shall be no discrimination” based on gender, and despite the Committee’s requests that Bahrain implement legislation that specifically prohibits gender-based discrimination and adopts the Convention definition of discrimination, the Family Law continues to rely on an inherently discriminatory framework of “reciprocal” or “complementary” rights unique to each spouse.</w:t>
      </w:r>
      <w:r w:rsidRPr="00C70995">
        <w:rPr>
          <w:rStyle w:val="normaltextrun"/>
          <w:rFonts w:ascii="Arial" w:eastAsia="Times New Roman" w:hAnsi="Arial" w:cs="Arial"/>
          <w:sz w:val="20"/>
          <w:szCs w:val="20"/>
          <w:vertAlign w:val="superscript"/>
          <w:lang w:eastAsia="zh-CN"/>
        </w:rPr>
        <w:footnoteReference w:id="5"/>
      </w:r>
      <w:r w:rsidRPr="00C70995">
        <w:rPr>
          <w:rStyle w:val="normaltextrun"/>
          <w:rFonts w:ascii="Arial" w:eastAsia="Times New Roman" w:hAnsi="Arial" w:cs="Arial"/>
          <w:sz w:val="20"/>
          <w:szCs w:val="20"/>
          <w:vertAlign w:val="superscript"/>
          <w:lang w:eastAsia="zh-CN"/>
        </w:rPr>
        <w:t xml:space="preserve"> </w:t>
      </w:r>
      <w:r w:rsidRPr="00447EC0">
        <w:rPr>
          <w:rStyle w:val="normaltextrun"/>
          <w:rFonts w:ascii="Arial" w:eastAsia="Times New Roman" w:hAnsi="Arial" w:cs="Arial"/>
          <w:sz w:val="20"/>
          <w:szCs w:val="20"/>
          <w:lang w:eastAsia="zh-CN"/>
        </w:rPr>
        <w:t xml:space="preserve">This framework reinforces numerous inequalities throughout the law governing marriage relations. For example, </w:t>
      </w:r>
      <w:r>
        <w:rPr>
          <w:rStyle w:val="normaltextrun"/>
          <w:rFonts w:ascii="Arial" w:eastAsia="Times New Roman" w:hAnsi="Arial" w:cs="Arial"/>
          <w:sz w:val="20"/>
          <w:szCs w:val="20"/>
          <w:lang w:eastAsia="zh-CN"/>
        </w:rPr>
        <w:t>a</w:t>
      </w:r>
      <w:r w:rsidRPr="00447EC0">
        <w:rPr>
          <w:rStyle w:val="normaltextrun"/>
          <w:rFonts w:ascii="Arial" w:eastAsia="Times New Roman" w:hAnsi="Arial" w:cs="Arial"/>
          <w:sz w:val="20"/>
          <w:szCs w:val="20"/>
          <w:lang w:eastAsia="zh-CN"/>
        </w:rPr>
        <w:t xml:space="preserve"> husband is considered the head of the household by virtue of his </w:t>
      </w:r>
      <w:r w:rsidRPr="00447EC0">
        <w:rPr>
          <w:rStyle w:val="normaltextrun"/>
          <w:rFonts w:ascii="Arial" w:eastAsia="Times New Roman" w:hAnsi="Arial" w:cs="Arial"/>
          <w:sz w:val="20"/>
          <w:szCs w:val="20"/>
          <w:lang w:eastAsia="zh-CN"/>
        </w:rPr>
        <w:lastRenderedPageBreak/>
        <w:t>role as the main provider for the family. Under Article 56(b), a woman can risk losing her right to financial maintenance if she is determined to be recalcitrant (</w:t>
      </w:r>
      <w:r w:rsidRPr="00075930">
        <w:rPr>
          <w:rStyle w:val="normaltextrun"/>
          <w:rFonts w:ascii="Arial" w:eastAsia="Times New Roman" w:hAnsi="Arial" w:cs="Arial"/>
          <w:i/>
          <w:sz w:val="20"/>
          <w:szCs w:val="20"/>
          <w:lang w:eastAsia="zh-CN"/>
        </w:rPr>
        <w:t>nashez</w:t>
      </w:r>
      <w:r w:rsidRPr="00447EC0">
        <w:rPr>
          <w:rStyle w:val="normaltextrun"/>
          <w:rFonts w:ascii="Arial" w:eastAsia="Times New Roman" w:hAnsi="Arial" w:cs="Arial"/>
          <w:sz w:val="20"/>
          <w:szCs w:val="20"/>
          <w:lang w:eastAsia="zh-CN"/>
        </w:rPr>
        <w:t>).</w:t>
      </w:r>
      <w:r w:rsidRPr="00C70995">
        <w:rPr>
          <w:rStyle w:val="normaltextrun"/>
          <w:rFonts w:ascii="Arial" w:eastAsia="Times New Roman" w:hAnsi="Arial" w:cs="Arial"/>
          <w:sz w:val="20"/>
          <w:szCs w:val="20"/>
          <w:vertAlign w:val="superscript"/>
          <w:lang w:eastAsia="zh-CN"/>
        </w:rPr>
        <w:footnoteReference w:id="6"/>
      </w:r>
      <w:r w:rsidRPr="00447EC0">
        <w:rPr>
          <w:rStyle w:val="normaltextrun"/>
          <w:rFonts w:ascii="Arial" w:eastAsia="Times New Roman" w:hAnsi="Arial" w:cs="Arial"/>
          <w:sz w:val="20"/>
          <w:szCs w:val="20"/>
          <w:lang w:eastAsia="zh-CN"/>
        </w:rPr>
        <w:t xml:space="preserve"> A woman can be deemed </w:t>
      </w:r>
      <w:r w:rsidRPr="00CB73F8">
        <w:rPr>
          <w:rStyle w:val="normaltextrun"/>
          <w:rFonts w:ascii="Arial" w:eastAsia="Times New Roman" w:hAnsi="Arial" w:cs="Arial"/>
          <w:i/>
          <w:iCs/>
          <w:sz w:val="20"/>
          <w:szCs w:val="20"/>
          <w:lang w:eastAsia="zh-CN"/>
        </w:rPr>
        <w:t>nashez</w:t>
      </w:r>
      <w:r w:rsidRPr="00447EC0">
        <w:rPr>
          <w:rStyle w:val="normaltextrun"/>
          <w:rFonts w:ascii="Arial" w:eastAsia="Times New Roman" w:hAnsi="Arial" w:cs="Arial"/>
          <w:sz w:val="20"/>
          <w:szCs w:val="20"/>
          <w:lang w:eastAsia="zh-CN"/>
        </w:rPr>
        <w:t xml:space="preserve"> for pursuing a career outside of the home without her husband’s permission or for traveling outside of the country without her husband’s permission.</w:t>
      </w:r>
    </w:p>
    <w:p w14:paraId="73DDC690" w14:textId="77777777" w:rsidR="00AE5D3A" w:rsidRDefault="00AE5D3A" w:rsidP="00AE5D3A">
      <w:pPr>
        <w:jc w:val="both"/>
        <w:rPr>
          <w:rStyle w:val="normaltextrun"/>
          <w:rFonts w:ascii="Arial" w:eastAsia="Times New Roman" w:hAnsi="Arial" w:cs="Arial"/>
          <w:sz w:val="20"/>
          <w:szCs w:val="20"/>
          <w:lang w:eastAsia="zh-CN"/>
        </w:rPr>
      </w:pPr>
    </w:p>
    <w:p w14:paraId="2CFC3A5E" w14:textId="409EF442" w:rsidR="00AE5D3A" w:rsidRDefault="00AE5D3A" w:rsidP="00AE5D3A">
      <w:pPr>
        <w:jc w:val="both"/>
        <w:rPr>
          <w:rStyle w:val="normaltextrun"/>
          <w:rFonts w:ascii="Arial" w:eastAsia="Times New Roman" w:hAnsi="Arial" w:cs="Arial"/>
          <w:sz w:val="20"/>
          <w:szCs w:val="20"/>
          <w:lang w:eastAsia="zh-CN"/>
        </w:rPr>
      </w:pPr>
      <w:r w:rsidRPr="00447EC0">
        <w:rPr>
          <w:rStyle w:val="normaltextrun"/>
          <w:rFonts w:ascii="Arial" w:eastAsia="Times New Roman" w:hAnsi="Arial" w:cs="Arial"/>
          <w:sz w:val="20"/>
          <w:szCs w:val="20"/>
          <w:lang w:eastAsia="zh-CN"/>
        </w:rPr>
        <w:t>The operation of the Shari</w:t>
      </w:r>
      <w:r>
        <w:rPr>
          <w:rStyle w:val="normaltextrun"/>
          <w:rFonts w:ascii="Arial" w:eastAsia="Times New Roman" w:hAnsi="Arial" w:cs="Arial"/>
          <w:sz w:val="20"/>
          <w:szCs w:val="20"/>
          <w:lang w:eastAsia="zh-CN"/>
        </w:rPr>
        <w:t>’</w:t>
      </w:r>
      <w:r w:rsidRPr="00447EC0">
        <w:rPr>
          <w:rStyle w:val="normaltextrun"/>
          <w:rFonts w:ascii="Arial" w:eastAsia="Times New Roman" w:hAnsi="Arial" w:cs="Arial"/>
          <w:sz w:val="20"/>
          <w:szCs w:val="20"/>
          <w:lang w:eastAsia="zh-CN"/>
        </w:rPr>
        <w:t>a court system impacts and enables the inequality and discrimination in many of the family-related areas of concern</w:t>
      </w:r>
      <w:r w:rsidR="009A769D">
        <w:rPr>
          <w:rStyle w:val="normaltextrun"/>
          <w:rFonts w:ascii="Arial" w:eastAsia="Times New Roman" w:hAnsi="Arial" w:cs="Arial"/>
          <w:sz w:val="20"/>
          <w:szCs w:val="20"/>
          <w:lang w:eastAsia="zh-CN"/>
        </w:rPr>
        <w:t xml:space="preserve">. </w:t>
      </w:r>
      <w:r w:rsidRPr="00447EC0">
        <w:rPr>
          <w:rStyle w:val="normaltextrun"/>
          <w:rFonts w:ascii="Arial" w:eastAsia="Times New Roman" w:hAnsi="Arial" w:cs="Arial"/>
          <w:sz w:val="20"/>
          <w:szCs w:val="20"/>
          <w:lang w:eastAsia="zh-CN"/>
        </w:rPr>
        <w:t>The Family Law provides Shari’a court judges with wide discretion to issue case-by-case rulings on family affairs according to their own interpretation and application of either Shia or Sunni jurisprudence.</w:t>
      </w:r>
      <w:r w:rsidRPr="00C70995">
        <w:rPr>
          <w:rStyle w:val="normaltextrun"/>
          <w:rFonts w:ascii="Arial" w:eastAsia="Times New Roman" w:hAnsi="Arial" w:cs="Arial"/>
          <w:sz w:val="20"/>
          <w:szCs w:val="20"/>
          <w:vertAlign w:val="superscript"/>
          <w:lang w:eastAsia="zh-CN"/>
        </w:rPr>
        <w:footnoteReference w:id="7"/>
      </w:r>
    </w:p>
    <w:p w14:paraId="03C398A3" w14:textId="77777777" w:rsidR="00AE5D3A" w:rsidRPr="00447EC0" w:rsidRDefault="00AE5D3A" w:rsidP="00AE5D3A">
      <w:pPr>
        <w:jc w:val="both"/>
        <w:rPr>
          <w:rStyle w:val="normaltextrun"/>
          <w:rFonts w:ascii="Arial" w:eastAsia="Times New Roman" w:hAnsi="Arial" w:cs="Arial"/>
          <w:sz w:val="20"/>
          <w:szCs w:val="20"/>
          <w:lang w:eastAsia="zh-CN"/>
        </w:rPr>
      </w:pPr>
    </w:p>
    <w:p w14:paraId="585F8AD1" w14:textId="5442CF07" w:rsidR="00256EFE" w:rsidRDefault="00AE5D3A" w:rsidP="00BF5C3F">
      <w:pPr>
        <w:autoSpaceDE w:val="0"/>
        <w:autoSpaceDN w:val="0"/>
        <w:adjustRightInd w:val="0"/>
        <w:jc w:val="both"/>
        <w:rPr>
          <w:sz w:val="20"/>
          <w:szCs w:val="20"/>
        </w:rPr>
      </w:pPr>
      <w:r w:rsidRPr="00447EC0">
        <w:rPr>
          <w:rStyle w:val="normaltextrun"/>
          <w:rFonts w:ascii="Arial" w:eastAsia="Times New Roman" w:hAnsi="Arial" w:cs="Arial"/>
          <w:sz w:val="20"/>
          <w:szCs w:val="20"/>
          <w:lang w:eastAsia="zh-CN"/>
        </w:rPr>
        <w:t xml:space="preserve">In addition, because the Family Law includes sect-specific provisions that apply exclusively to Sunni or Shia courts, </w:t>
      </w:r>
      <w:r w:rsidR="00BF5C3F">
        <w:rPr>
          <w:rStyle w:val="normaltextrun"/>
          <w:rFonts w:ascii="Arial" w:eastAsia="Times New Roman" w:hAnsi="Arial" w:cs="Arial"/>
          <w:sz w:val="20"/>
          <w:szCs w:val="20"/>
          <w:lang w:eastAsia="zh-CN"/>
        </w:rPr>
        <w:t xml:space="preserve">so </w:t>
      </w:r>
      <w:r w:rsidRPr="00447EC0">
        <w:rPr>
          <w:rStyle w:val="normaltextrun"/>
          <w:rFonts w:ascii="Arial" w:eastAsia="Times New Roman" w:hAnsi="Arial" w:cs="Arial"/>
          <w:sz w:val="20"/>
          <w:szCs w:val="20"/>
          <w:lang w:eastAsia="zh-CN"/>
        </w:rPr>
        <w:t>the rights and guarantees afforded to a woman often significantly differ depending on whether her family is Sunni or Shia.</w:t>
      </w:r>
    </w:p>
    <w:p w14:paraId="6C4BF50D" w14:textId="3904E829" w:rsidR="00256EFE" w:rsidRDefault="00256EFE" w:rsidP="0033252E">
      <w:pPr>
        <w:autoSpaceDE w:val="0"/>
        <w:autoSpaceDN w:val="0"/>
        <w:adjustRightInd w:val="0"/>
        <w:jc w:val="both"/>
        <w:rPr>
          <w:sz w:val="20"/>
          <w:szCs w:val="20"/>
        </w:rPr>
      </w:pPr>
    </w:p>
    <w:p w14:paraId="259D2B63" w14:textId="199635C8" w:rsidR="0033252E" w:rsidRDefault="0033252E" w:rsidP="0033252E">
      <w:pPr>
        <w:jc w:val="both"/>
        <w:rPr>
          <w:sz w:val="20"/>
          <w:szCs w:val="20"/>
        </w:rPr>
      </w:pPr>
    </w:p>
    <w:p w14:paraId="3299F1B4" w14:textId="563C6645" w:rsidR="0033252E" w:rsidRDefault="0033252E" w:rsidP="0033252E">
      <w:pPr>
        <w:jc w:val="center"/>
        <w:rPr>
          <w:sz w:val="20"/>
          <w:szCs w:val="20"/>
        </w:rPr>
      </w:pPr>
      <w:r>
        <w:rPr>
          <w:rFonts w:ascii="Arial" w:hAnsi="Arial" w:cs="Arial"/>
          <w:noProof/>
          <w:color w:val="000000" w:themeColor="text1"/>
          <w:sz w:val="20"/>
          <w:szCs w:val="20"/>
        </w:rPr>
        <w:drawing>
          <wp:inline distT="0" distB="0" distL="0" distR="0" wp14:anchorId="11E711E7" wp14:editId="27C98034">
            <wp:extent cx="4348130" cy="3797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92568" cy="3923441"/>
                    </a:xfrm>
                    <a:prstGeom prst="rect">
                      <a:avLst/>
                    </a:prstGeom>
                  </pic:spPr>
                </pic:pic>
              </a:graphicData>
            </a:graphic>
          </wp:inline>
        </w:drawing>
      </w:r>
    </w:p>
    <w:p w14:paraId="662C5070" w14:textId="4D16BDB1" w:rsidR="007C55CD" w:rsidRDefault="007C55CD" w:rsidP="0033252E">
      <w:pPr>
        <w:jc w:val="center"/>
        <w:rPr>
          <w:sz w:val="20"/>
          <w:szCs w:val="20"/>
        </w:rPr>
      </w:pPr>
    </w:p>
    <w:p w14:paraId="7C780371" w14:textId="4077D9DD" w:rsidR="007C55CD" w:rsidRPr="000B3F10" w:rsidRDefault="007C55CD" w:rsidP="00D164DD">
      <w:pPr>
        <w:jc w:val="center"/>
        <w:rPr>
          <w:sz w:val="20"/>
          <w:szCs w:val="20"/>
        </w:rPr>
      </w:pPr>
    </w:p>
    <w:p w14:paraId="775AC152" w14:textId="054CA667" w:rsidR="0033252E" w:rsidRDefault="002B4EEA" w:rsidP="00CA7C43">
      <w:pPr>
        <w:autoSpaceDE w:val="0"/>
        <w:autoSpaceDN w:val="0"/>
        <w:adjustRightInd w:val="0"/>
        <w:jc w:val="both"/>
        <w:rPr>
          <w:sz w:val="20"/>
          <w:szCs w:val="20"/>
        </w:rPr>
      </w:pPr>
      <w:r w:rsidRPr="007E1BD3">
        <w:rPr>
          <w:noProof/>
        </w:rPr>
        <w:lastRenderedPageBreak/>
        <w:drawing>
          <wp:inline distT="0" distB="0" distL="0" distR="0" wp14:anchorId="376D34C4" wp14:editId="5AC56BB0">
            <wp:extent cx="5656573" cy="37212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4396" b="2862"/>
                    <a:stretch/>
                  </pic:blipFill>
                  <pic:spPr bwMode="auto">
                    <a:xfrm>
                      <a:off x="0" y="0"/>
                      <a:ext cx="5671768" cy="3731206"/>
                    </a:xfrm>
                    <a:prstGeom prst="rect">
                      <a:avLst/>
                    </a:prstGeom>
                    <a:ln>
                      <a:noFill/>
                    </a:ln>
                    <a:extLst>
                      <a:ext uri="{53640926-AAD7-44D8-BBD7-CCE9431645EC}">
                        <a14:shadowObscured xmlns:a14="http://schemas.microsoft.com/office/drawing/2010/main"/>
                      </a:ext>
                    </a:extLst>
                  </pic:spPr>
                </pic:pic>
              </a:graphicData>
            </a:graphic>
          </wp:inline>
        </w:drawing>
      </w:r>
    </w:p>
    <w:p w14:paraId="4AEC02FD" w14:textId="77777777" w:rsidR="008415EB" w:rsidRDefault="008415EB" w:rsidP="00E26F24"/>
    <w:p w14:paraId="36C9DD20" w14:textId="511106F2" w:rsidR="00E26F24" w:rsidRPr="00892FA5" w:rsidRDefault="00E44263" w:rsidP="00892FA5">
      <w:pPr>
        <w:pStyle w:val="Heading2"/>
      </w:pPr>
      <w:bookmarkStart w:id="15" w:name="_Toc103472506"/>
      <w:bookmarkStart w:id="16" w:name="_Toc124203705"/>
      <w:r>
        <w:t xml:space="preserve">Early and </w:t>
      </w:r>
      <w:r w:rsidR="00B3395C" w:rsidRPr="00892FA5">
        <w:t>Child Marriage</w:t>
      </w:r>
      <w:r w:rsidR="00B3395C" w:rsidRPr="00892FA5">
        <w:tab/>
      </w:r>
      <w:r w:rsidR="00B3395C" w:rsidRPr="00892FA5">
        <w:tab/>
      </w:r>
      <w:r w:rsidR="00E26F24" w:rsidRPr="00892FA5">
        <w:tab/>
      </w:r>
      <w:r w:rsidR="00F266AC" w:rsidRPr="00892FA5">
        <w:tab/>
      </w:r>
      <w:r w:rsidR="00F266AC" w:rsidRPr="00892FA5">
        <w:tab/>
      </w:r>
      <w:r w:rsidR="00F266AC" w:rsidRPr="00892FA5">
        <w:tab/>
      </w:r>
      <w:r>
        <w:t xml:space="preserve">          </w:t>
      </w:r>
      <w:r w:rsidR="00F266AC" w:rsidRPr="00892FA5">
        <w:t>Article 16</w:t>
      </w:r>
      <w:bookmarkEnd w:id="15"/>
      <w:bookmarkEnd w:id="16"/>
    </w:p>
    <w:p w14:paraId="1886521A" w14:textId="3264FB21" w:rsidR="00B3395C" w:rsidRDefault="00B3395C" w:rsidP="00B3395C">
      <w:pPr>
        <w:rPr>
          <w:b/>
        </w:rPr>
      </w:pPr>
    </w:p>
    <w:p w14:paraId="3200F95F" w14:textId="46AE4652" w:rsidR="00E44263" w:rsidRDefault="00E44263" w:rsidP="00E44263">
      <w:pPr>
        <w:jc w:val="both"/>
        <w:rPr>
          <w:rStyle w:val="normaltextrun"/>
          <w:rFonts w:ascii="Arial" w:eastAsia="Times New Roman" w:hAnsi="Arial" w:cs="Arial"/>
          <w:sz w:val="20"/>
          <w:szCs w:val="20"/>
          <w:lang w:eastAsia="zh-CN"/>
        </w:rPr>
      </w:pPr>
      <w:r w:rsidRPr="00C70995">
        <w:rPr>
          <w:rStyle w:val="normaltextrun"/>
          <w:rFonts w:ascii="Arial" w:eastAsia="Times New Roman" w:hAnsi="Arial" w:cs="Arial"/>
          <w:sz w:val="20"/>
          <w:szCs w:val="20"/>
          <w:lang w:eastAsia="zh-CN"/>
        </w:rPr>
        <w:t>The Family Law of Bahrain permits parents to “marry off” girls under 16 years of age with permission of the Shari</w:t>
      </w:r>
      <w:r>
        <w:rPr>
          <w:rStyle w:val="normaltextrun"/>
          <w:rFonts w:ascii="Arial" w:eastAsia="Times New Roman" w:hAnsi="Arial" w:cs="Arial"/>
          <w:sz w:val="20"/>
          <w:szCs w:val="20"/>
          <w:lang w:eastAsia="zh-CN"/>
        </w:rPr>
        <w:t>’</w:t>
      </w:r>
      <w:r w:rsidRPr="00C70995">
        <w:rPr>
          <w:rStyle w:val="normaltextrun"/>
          <w:rFonts w:ascii="Arial" w:eastAsia="Times New Roman" w:hAnsi="Arial" w:cs="Arial"/>
          <w:sz w:val="20"/>
          <w:szCs w:val="20"/>
          <w:lang w:eastAsia="zh-CN"/>
        </w:rPr>
        <w:t>a court and after “verifying the appropriateness of marriage.”</w:t>
      </w:r>
      <w:r w:rsidRPr="00C70995">
        <w:rPr>
          <w:rStyle w:val="normaltextrun"/>
          <w:rFonts w:ascii="Arial" w:eastAsia="Times New Roman" w:hAnsi="Arial" w:cs="Arial"/>
          <w:sz w:val="20"/>
          <w:szCs w:val="20"/>
          <w:vertAlign w:val="superscript"/>
          <w:lang w:eastAsia="zh-CN"/>
        </w:rPr>
        <w:footnoteReference w:id="8"/>
      </w:r>
      <w:r w:rsidRPr="00C70995">
        <w:rPr>
          <w:rStyle w:val="normaltextrun"/>
          <w:rFonts w:ascii="Arial" w:eastAsia="Times New Roman" w:hAnsi="Arial" w:cs="Arial"/>
          <w:sz w:val="20"/>
          <w:szCs w:val="20"/>
          <w:lang w:eastAsia="zh-CN"/>
        </w:rPr>
        <w:t xml:space="preserve"> There is no absolute legal minimum age for marriage in Bahrain. This stands in stark contrast to Bahrain’s own Child Law, which defines a child as any person below 18 years of age.</w:t>
      </w:r>
      <w:r w:rsidRPr="00C70995">
        <w:rPr>
          <w:rStyle w:val="normaltextrun"/>
          <w:rFonts w:ascii="Arial" w:eastAsia="Times New Roman" w:hAnsi="Arial" w:cs="Arial"/>
          <w:sz w:val="20"/>
          <w:szCs w:val="20"/>
          <w:vertAlign w:val="superscript"/>
          <w:lang w:eastAsia="zh-CN"/>
        </w:rPr>
        <w:footnoteReference w:id="9"/>
      </w:r>
    </w:p>
    <w:p w14:paraId="39D6987D" w14:textId="77777777" w:rsidR="00E44263" w:rsidRDefault="00E44263" w:rsidP="00E44263">
      <w:pPr>
        <w:jc w:val="both"/>
        <w:rPr>
          <w:rStyle w:val="normaltextrun"/>
          <w:rFonts w:ascii="Arial" w:eastAsia="Times New Roman" w:hAnsi="Arial" w:cs="Arial"/>
          <w:sz w:val="20"/>
          <w:szCs w:val="20"/>
          <w:lang w:eastAsia="zh-CN"/>
        </w:rPr>
      </w:pPr>
    </w:p>
    <w:p w14:paraId="4E7C05E9" w14:textId="4297FBED" w:rsidR="007C55CD" w:rsidRPr="00E97DBF" w:rsidRDefault="00E44263" w:rsidP="00E97DBF">
      <w:pPr>
        <w:jc w:val="both"/>
        <w:rPr>
          <w:rFonts w:ascii="Arial" w:eastAsia="Times New Roman" w:hAnsi="Arial" w:cs="Arial"/>
          <w:sz w:val="20"/>
          <w:szCs w:val="20"/>
          <w:lang w:eastAsia="zh-CN"/>
        </w:rPr>
      </w:pPr>
      <w:r w:rsidRPr="00E44263">
        <w:rPr>
          <w:rStyle w:val="normaltextrun"/>
          <w:rFonts w:ascii="Arial" w:eastAsia="Times New Roman" w:hAnsi="Arial" w:cs="Arial"/>
          <w:sz w:val="20"/>
          <w:szCs w:val="20"/>
          <w:lang w:eastAsia="zh-CN"/>
        </w:rPr>
        <w:t xml:space="preserve">Young girls, in particular, are vulnerable to exploitation and child marriage. </w:t>
      </w:r>
      <w:r w:rsidRPr="00C70995">
        <w:rPr>
          <w:rStyle w:val="normaltextrun"/>
          <w:rFonts w:ascii="Arial" w:eastAsia="Times New Roman" w:hAnsi="Arial" w:cs="Arial"/>
          <w:sz w:val="20"/>
          <w:szCs w:val="20"/>
          <w:lang w:eastAsia="zh-CN"/>
        </w:rPr>
        <w:t>According to statistics published by the Bahraini Ministry of Justice and Islamic Affairs, over 11% of marriages contracted in Bahrain in 2020 involved young girls between 15-19 years old.</w:t>
      </w:r>
      <w:r w:rsidRPr="00C70995">
        <w:rPr>
          <w:rStyle w:val="normaltextrun"/>
          <w:rFonts w:ascii="Arial" w:eastAsia="Times New Roman" w:hAnsi="Arial" w:cs="Arial"/>
          <w:sz w:val="20"/>
          <w:szCs w:val="20"/>
          <w:vertAlign w:val="superscript"/>
          <w:lang w:eastAsia="zh-CN"/>
        </w:rPr>
        <w:footnoteReference w:id="10"/>
      </w:r>
      <w:r w:rsidRPr="00C70995">
        <w:rPr>
          <w:rStyle w:val="normaltextrun"/>
          <w:rFonts w:ascii="Arial" w:eastAsia="Times New Roman" w:hAnsi="Arial" w:cs="Arial"/>
          <w:sz w:val="20"/>
          <w:szCs w:val="20"/>
          <w:lang w:eastAsia="zh-CN"/>
        </w:rPr>
        <w:t xml:space="preserve"> Some of these young girls were married off to men as old as 50 years or more.</w:t>
      </w:r>
      <w:r w:rsidRPr="00C70995">
        <w:rPr>
          <w:rStyle w:val="normaltextrun"/>
          <w:rFonts w:ascii="Arial" w:eastAsia="Times New Roman" w:hAnsi="Arial" w:cs="Arial"/>
          <w:sz w:val="20"/>
          <w:szCs w:val="20"/>
          <w:vertAlign w:val="superscript"/>
          <w:lang w:eastAsia="zh-CN"/>
        </w:rPr>
        <w:footnoteReference w:id="11"/>
      </w:r>
      <w:r w:rsidRPr="00C70995">
        <w:rPr>
          <w:rStyle w:val="normaltextrun"/>
          <w:rFonts w:ascii="Arial" w:eastAsia="Times New Roman" w:hAnsi="Arial" w:cs="Arial"/>
          <w:sz w:val="20"/>
          <w:szCs w:val="20"/>
          <w:vertAlign w:val="superscript"/>
          <w:lang w:eastAsia="zh-CN"/>
        </w:rPr>
        <w:t xml:space="preserve"> </w:t>
      </w:r>
      <w:r w:rsidRPr="00C70995">
        <w:rPr>
          <w:rStyle w:val="normaltextrun"/>
          <w:rFonts w:ascii="Arial" w:eastAsia="Times New Roman" w:hAnsi="Arial" w:cs="Arial"/>
          <w:sz w:val="20"/>
          <w:szCs w:val="20"/>
          <w:lang w:eastAsia="zh-CN"/>
        </w:rPr>
        <w:t>According to official numbers, there ha</w:t>
      </w:r>
      <w:r>
        <w:rPr>
          <w:rStyle w:val="normaltextrun"/>
          <w:rFonts w:ascii="Arial" w:eastAsia="Times New Roman" w:hAnsi="Arial" w:cs="Arial"/>
          <w:sz w:val="20"/>
          <w:szCs w:val="20"/>
          <w:lang w:eastAsia="zh-CN"/>
        </w:rPr>
        <w:t>ve</w:t>
      </w:r>
      <w:r w:rsidRPr="00C70995">
        <w:rPr>
          <w:rStyle w:val="normaltextrun"/>
          <w:rFonts w:ascii="Arial" w:eastAsia="Times New Roman" w:hAnsi="Arial" w:cs="Arial"/>
          <w:sz w:val="20"/>
          <w:szCs w:val="20"/>
          <w:lang w:eastAsia="zh-CN"/>
        </w:rPr>
        <w:t xml:space="preserve"> also been a number of cases where marriage of</w:t>
      </w:r>
      <w:r>
        <w:rPr>
          <w:rStyle w:val="normaltextrun"/>
          <w:rFonts w:ascii="Arial" w:eastAsia="Times New Roman" w:hAnsi="Arial" w:cs="Arial"/>
          <w:sz w:val="20"/>
          <w:szCs w:val="20"/>
          <w:lang w:eastAsia="zh-CN"/>
        </w:rPr>
        <w:t xml:space="preserve"> a child</w:t>
      </w:r>
      <w:r w:rsidRPr="00C70995">
        <w:rPr>
          <w:rStyle w:val="normaltextrun"/>
          <w:rFonts w:ascii="Arial" w:eastAsia="Times New Roman" w:hAnsi="Arial" w:cs="Arial"/>
          <w:sz w:val="20"/>
          <w:szCs w:val="20"/>
          <w:lang w:eastAsia="zh-CN"/>
        </w:rPr>
        <w:t xml:space="preserve"> below 15 years old </w:t>
      </w:r>
      <w:r>
        <w:rPr>
          <w:rStyle w:val="normaltextrun"/>
          <w:rFonts w:ascii="Arial" w:eastAsia="Times New Roman" w:hAnsi="Arial" w:cs="Arial"/>
          <w:sz w:val="20"/>
          <w:szCs w:val="20"/>
          <w:lang w:eastAsia="zh-CN"/>
        </w:rPr>
        <w:t>was</w:t>
      </w:r>
      <w:r w:rsidRPr="00C70995">
        <w:rPr>
          <w:rStyle w:val="normaltextrun"/>
          <w:rFonts w:ascii="Arial" w:eastAsia="Times New Roman" w:hAnsi="Arial" w:cs="Arial"/>
          <w:sz w:val="20"/>
          <w:szCs w:val="20"/>
          <w:lang w:eastAsia="zh-CN"/>
        </w:rPr>
        <w:t xml:space="preserve"> recorded </w:t>
      </w:r>
      <w:r>
        <w:rPr>
          <w:rStyle w:val="normaltextrun"/>
          <w:rFonts w:ascii="Arial" w:eastAsia="Times New Roman" w:hAnsi="Arial" w:cs="Arial"/>
          <w:sz w:val="20"/>
          <w:szCs w:val="20"/>
          <w:lang w:eastAsia="zh-CN"/>
        </w:rPr>
        <w:t>in 2019 and 2018</w:t>
      </w:r>
      <w:r w:rsidRPr="00C70995">
        <w:rPr>
          <w:rStyle w:val="normaltextrun"/>
          <w:rFonts w:ascii="Arial" w:eastAsia="Times New Roman" w:hAnsi="Arial" w:cs="Arial"/>
          <w:sz w:val="20"/>
          <w:szCs w:val="20"/>
          <w:lang w:eastAsia="zh-CN"/>
        </w:rPr>
        <w:t>.</w:t>
      </w:r>
      <w:r w:rsidRPr="00C70995">
        <w:rPr>
          <w:rStyle w:val="normaltextrun"/>
          <w:rFonts w:ascii="Arial" w:eastAsia="Times New Roman" w:hAnsi="Arial" w:cs="Arial"/>
          <w:sz w:val="20"/>
          <w:szCs w:val="20"/>
          <w:vertAlign w:val="superscript"/>
          <w:lang w:eastAsia="zh-CN"/>
        </w:rPr>
        <w:footnoteReference w:id="12"/>
      </w:r>
    </w:p>
    <w:p w14:paraId="33E1A6A0" w14:textId="72C205B7" w:rsidR="007C55CD" w:rsidRDefault="007C55CD" w:rsidP="00654938">
      <w:pPr>
        <w:jc w:val="both"/>
        <w:rPr>
          <w:sz w:val="20"/>
          <w:szCs w:val="20"/>
        </w:rPr>
      </w:pPr>
    </w:p>
    <w:p w14:paraId="1C24D25B" w14:textId="07693E9D" w:rsidR="007C55CD" w:rsidRDefault="007C55CD" w:rsidP="0028588C">
      <w:pPr>
        <w:rPr>
          <w:sz w:val="20"/>
          <w:szCs w:val="20"/>
        </w:rPr>
      </w:pPr>
      <w:r>
        <w:rPr>
          <w:rFonts w:ascii="Arial" w:hAnsi="Arial" w:cs="Arial"/>
          <w:noProof/>
          <w:color w:val="000000"/>
          <w:sz w:val="20"/>
          <w:szCs w:val="20"/>
        </w:rPr>
        <w:lastRenderedPageBreak/>
        <w:drawing>
          <wp:inline distT="0" distB="0" distL="0" distR="0" wp14:anchorId="75B6A0D9" wp14:editId="6A79E8F1">
            <wp:extent cx="5645160" cy="320040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6">
                      <a:extLst>
                        <a:ext uri="{28A0092B-C50C-407E-A947-70E740481C1C}">
                          <a14:useLocalDpi xmlns:a14="http://schemas.microsoft.com/office/drawing/2010/main" val="0"/>
                        </a:ext>
                      </a:extLst>
                    </a:blip>
                    <a:stretch>
                      <a:fillRect/>
                    </a:stretch>
                  </pic:blipFill>
                  <pic:spPr>
                    <a:xfrm>
                      <a:off x="0" y="0"/>
                      <a:ext cx="5689583" cy="3225585"/>
                    </a:xfrm>
                    <a:prstGeom prst="rect">
                      <a:avLst/>
                    </a:prstGeom>
                  </pic:spPr>
                </pic:pic>
              </a:graphicData>
            </a:graphic>
          </wp:inline>
        </w:drawing>
      </w:r>
    </w:p>
    <w:p w14:paraId="6B93D411" w14:textId="77777777" w:rsidR="0028588C" w:rsidRDefault="0028588C" w:rsidP="0028588C">
      <w:pPr>
        <w:rPr>
          <w:sz w:val="20"/>
          <w:szCs w:val="20"/>
        </w:rPr>
      </w:pPr>
    </w:p>
    <w:p w14:paraId="12FC5B43" w14:textId="1723A456" w:rsidR="007C55CD" w:rsidRPr="007C55CD" w:rsidRDefault="0028588C" w:rsidP="0028588C">
      <w:pPr>
        <w:jc w:val="center"/>
        <w:rPr>
          <w:sz w:val="20"/>
          <w:szCs w:val="20"/>
        </w:rPr>
      </w:pPr>
      <w:r w:rsidRPr="003E6EAD">
        <w:rPr>
          <w:rFonts w:ascii="Arial" w:hAnsi="Arial" w:cs="Arial"/>
          <w:color w:val="000000"/>
          <w:sz w:val="22"/>
          <w:szCs w:val="22"/>
          <w:bdr w:val="none" w:sz="0" w:space="0" w:color="auto" w:frame="1"/>
          <w:lang w:eastAsia="en-GB"/>
        </w:rPr>
        <w:fldChar w:fldCharType="begin"/>
      </w:r>
      <w:r w:rsidRPr="003E6EAD">
        <w:rPr>
          <w:rFonts w:ascii="Arial" w:hAnsi="Arial" w:cs="Arial"/>
          <w:color w:val="000000"/>
          <w:sz w:val="22"/>
          <w:szCs w:val="22"/>
          <w:bdr w:val="none" w:sz="0" w:space="0" w:color="auto" w:frame="1"/>
          <w:lang w:eastAsia="en-GB"/>
        </w:rPr>
        <w:instrText xml:space="preserve"> INCLUDEPICTURE "https://lh5.googleusercontent.com/OU61bUHKjC49YCTmdOdh2FrzSmR9MU7mPV4kpbKghKd-XVsPwkkT9F7bNPDCVxO8w8eMBUbiWsytLxul8I-Ou4nlZmAMe2tQFcOIChIMNityXuT4c8z7mgqNQI2S3E1Nh8AcHhx8Iobjmbg-OA" \* MERGEFORMATINET </w:instrText>
      </w:r>
      <w:r w:rsidRPr="003E6EAD">
        <w:rPr>
          <w:rFonts w:ascii="Arial" w:hAnsi="Arial" w:cs="Arial"/>
          <w:color w:val="000000"/>
          <w:sz w:val="22"/>
          <w:szCs w:val="22"/>
          <w:bdr w:val="none" w:sz="0" w:space="0" w:color="auto" w:frame="1"/>
          <w:lang w:eastAsia="en-GB"/>
        </w:rPr>
        <w:fldChar w:fldCharType="separate"/>
      </w:r>
      <w:r w:rsidRPr="003E6EAD">
        <w:rPr>
          <w:rFonts w:ascii="Arial" w:hAnsi="Arial" w:cs="Arial"/>
          <w:noProof/>
          <w:color w:val="000000"/>
          <w:sz w:val="22"/>
          <w:szCs w:val="22"/>
          <w:bdr w:val="none" w:sz="0" w:space="0" w:color="auto" w:frame="1"/>
          <w:lang w:eastAsia="en-GB"/>
        </w:rPr>
        <w:drawing>
          <wp:inline distT="0" distB="0" distL="0" distR="0" wp14:anchorId="4D643655" wp14:editId="3A2DBAEF">
            <wp:extent cx="5666945" cy="32131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a:extLst>
                        <a:ext uri="{28A0092B-C50C-407E-A947-70E740481C1C}">
                          <a14:useLocalDpi xmlns:a14="http://schemas.microsoft.com/office/drawing/2010/main" val="0"/>
                        </a:ext>
                      </a:extLst>
                    </a:blip>
                    <a:srcRect l="1314" t="50189" r="2008" b="1319"/>
                    <a:stretch/>
                  </pic:blipFill>
                  <pic:spPr bwMode="auto">
                    <a:xfrm>
                      <a:off x="0" y="0"/>
                      <a:ext cx="5693504" cy="3228159"/>
                    </a:xfrm>
                    <a:prstGeom prst="rect">
                      <a:avLst/>
                    </a:prstGeom>
                    <a:noFill/>
                    <a:ln>
                      <a:noFill/>
                    </a:ln>
                    <a:extLst>
                      <a:ext uri="{53640926-AAD7-44D8-BBD7-CCE9431645EC}">
                        <a14:shadowObscured xmlns:a14="http://schemas.microsoft.com/office/drawing/2010/main"/>
                      </a:ext>
                    </a:extLst>
                  </pic:spPr>
                </pic:pic>
              </a:graphicData>
            </a:graphic>
          </wp:inline>
        </w:drawing>
      </w:r>
      <w:r w:rsidRPr="003E6EAD">
        <w:rPr>
          <w:rFonts w:ascii="Arial" w:hAnsi="Arial" w:cs="Arial"/>
          <w:color w:val="000000"/>
          <w:sz w:val="22"/>
          <w:szCs w:val="22"/>
          <w:bdr w:val="none" w:sz="0" w:space="0" w:color="auto" w:frame="1"/>
          <w:lang w:eastAsia="en-GB"/>
        </w:rPr>
        <w:fldChar w:fldCharType="end"/>
      </w:r>
    </w:p>
    <w:p w14:paraId="3AB1747D" w14:textId="2EBD6AE8" w:rsidR="007C55CD" w:rsidRDefault="007C55CD" w:rsidP="00B3395C">
      <w:pPr>
        <w:rPr>
          <w:b/>
        </w:rPr>
      </w:pPr>
    </w:p>
    <w:p w14:paraId="2F749A9E" w14:textId="7CAE01AC" w:rsidR="00A1102C" w:rsidRDefault="00CA7C43" w:rsidP="00CA7C43">
      <w:pPr>
        <w:rPr>
          <w:b/>
        </w:rPr>
      </w:pPr>
      <w:r w:rsidRPr="007E1BD3">
        <w:rPr>
          <w:noProof/>
        </w:rPr>
        <w:drawing>
          <wp:inline distT="0" distB="0" distL="0" distR="0" wp14:anchorId="2117EB3D" wp14:editId="504CD54B">
            <wp:extent cx="5660036" cy="1327868"/>
            <wp:effectExtent l="0" t="0" r="444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4254" b="7801"/>
                    <a:stretch/>
                  </pic:blipFill>
                  <pic:spPr bwMode="auto">
                    <a:xfrm>
                      <a:off x="0" y="0"/>
                      <a:ext cx="5694628" cy="1335984"/>
                    </a:xfrm>
                    <a:prstGeom prst="rect">
                      <a:avLst/>
                    </a:prstGeom>
                    <a:ln>
                      <a:noFill/>
                    </a:ln>
                    <a:extLst>
                      <a:ext uri="{53640926-AAD7-44D8-BBD7-CCE9431645EC}">
                        <a14:shadowObscured xmlns:a14="http://schemas.microsoft.com/office/drawing/2010/main"/>
                      </a:ext>
                    </a:extLst>
                  </pic:spPr>
                </pic:pic>
              </a:graphicData>
            </a:graphic>
          </wp:inline>
        </w:drawing>
      </w:r>
    </w:p>
    <w:p w14:paraId="3A8322F0" w14:textId="77777777" w:rsidR="00CA7C43" w:rsidRPr="00CA7C43" w:rsidRDefault="00CA7C43" w:rsidP="00CA7C43">
      <w:pPr>
        <w:rPr>
          <w:b/>
        </w:rPr>
      </w:pPr>
    </w:p>
    <w:p w14:paraId="3016898C" w14:textId="7FEBD477" w:rsidR="00473D28" w:rsidRPr="00DD0113" w:rsidRDefault="00E44263" w:rsidP="00892FA5">
      <w:pPr>
        <w:pStyle w:val="Heading2"/>
      </w:pPr>
      <w:bookmarkStart w:id="17" w:name="_Toc124203706"/>
      <w:r>
        <w:t>Women’s Legal Capacity to Enter into Marriage</w:t>
      </w:r>
      <w:r w:rsidR="00F266AC">
        <w:t xml:space="preserve">        </w:t>
      </w:r>
      <w:r w:rsidR="007C55CD">
        <w:tab/>
      </w:r>
      <w:r w:rsidR="007C55CD">
        <w:tab/>
        <w:t xml:space="preserve">          </w:t>
      </w:r>
      <w:r w:rsidR="00F266AC" w:rsidRPr="00892321">
        <w:t xml:space="preserve">Article </w:t>
      </w:r>
      <w:r w:rsidR="007C55CD">
        <w:t>16</w:t>
      </w:r>
      <w:bookmarkEnd w:id="17"/>
    </w:p>
    <w:p w14:paraId="104BD49D" w14:textId="77777777" w:rsidR="00E44263" w:rsidRDefault="00E44263" w:rsidP="00E44263">
      <w:pPr>
        <w:textAlignment w:val="baseline"/>
        <w:rPr>
          <w:rFonts w:ascii="Arial" w:hAnsi="Arial" w:cs="Arial"/>
        </w:rPr>
      </w:pPr>
    </w:p>
    <w:p w14:paraId="1D23A860" w14:textId="24DB2168" w:rsidR="00E44263" w:rsidRDefault="00E44263" w:rsidP="00E44263">
      <w:pPr>
        <w:jc w:val="both"/>
        <w:textAlignment w:val="baseline"/>
        <w:rPr>
          <w:rFonts w:eastAsia="Times New Roman"/>
          <w:sz w:val="20"/>
          <w:szCs w:val="20"/>
          <w:lang w:eastAsia="zh-CN"/>
        </w:rPr>
      </w:pPr>
      <w:r w:rsidRPr="00C70995">
        <w:rPr>
          <w:rFonts w:eastAsia="Times New Roman"/>
          <w:sz w:val="20"/>
          <w:szCs w:val="20"/>
          <w:lang w:eastAsia="zh-CN"/>
        </w:rPr>
        <w:t>The Bahraini Family Law of 2017 requires consent of both parties to a marriage.</w:t>
      </w:r>
      <w:r w:rsidRPr="00C70995">
        <w:rPr>
          <w:rFonts w:eastAsia="Times New Roman"/>
          <w:sz w:val="20"/>
          <w:szCs w:val="20"/>
          <w:vertAlign w:val="superscript"/>
          <w:lang w:eastAsia="zh-CN"/>
        </w:rPr>
        <w:footnoteReference w:id="13"/>
      </w:r>
      <w:r w:rsidRPr="00C70995">
        <w:rPr>
          <w:rFonts w:eastAsia="Times New Roman"/>
          <w:sz w:val="20"/>
          <w:szCs w:val="20"/>
          <w:lang w:eastAsia="zh-CN"/>
        </w:rPr>
        <w:t xml:space="preserve"> However, the law also requires that a previously unmarried woman, regardless of her age, obtain</w:t>
      </w:r>
      <w:r>
        <w:rPr>
          <w:rFonts w:eastAsia="Times New Roman"/>
          <w:sz w:val="20"/>
          <w:szCs w:val="20"/>
          <w:lang w:eastAsia="zh-CN"/>
        </w:rPr>
        <w:t xml:space="preserve"> the</w:t>
      </w:r>
      <w:r w:rsidRPr="00C70995">
        <w:rPr>
          <w:rFonts w:eastAsia="Times New Roman"/>
          <w:sz w:val="20"/>
          <w:szCs w:val="20"/>
          <w:lang w:eastAsia="zh-CN"/>
        </w:rPr>
        <w:t xml:space="preserve"> permission of a male guardian (</w:t>
      </w:r>
      <w:r w:rsidRPr="00075930">
        <w:rPr>
          <w:rFonts w:eastAsia="Times New Roman"/>
          <w:i/>
          <w:sz w:val="20"/>
          <w:szCs w:val="20"/>
          <w:lang w:eastAsia="zh-CN"/>
        </w:rPr>
        <w:t>wali</w:t>
      </w:r>
      <w:r w:rsidRPr="00C70995">
        <w:rPr>
          <w:rFonts w:eastAsia="Times New Roman"/>
          <w:sz w:val="20"/>
          <w:szCs w:val="20"/>
          <w:lang w:eastAsia="zh-CN"/>
        </w:rPr>
        <w:t>) in order to enter into marriage.</w:t>
      </w:r>
      <w:r w:rsidRPr="00C70995">
        <w:rPr>
          <w:rFonts w:eastAsia="Times New Roman"/>
          <w:sz w:val="20"/>
          <w:szCs w:val="20"/>
          <w:vertAlign w:val="superscript"/>
          <w:lang w:eastAsia="zh-CN"/>
        </w:rPr>
        <w:footnoteReference w:id="14"/>
      </w:r>
      <w:r w:rsidR="00BF5C3F">
        <w:rPr>
          <w:rFonts w:eastAsia="Times New Roman"/>
          <w:sz w:val="20"/>
          <w:szCs w:val="20"/>
          <w:lang w:eastAsia="zh-CN"/>
        </w:rPr>
        <w:t xml:space="preserve"> </w:t>
      </w:r>
      <w:r w:rsidRPr="00C70995">
        <w:rPr>
          <w:rFonts w:eastAsia="Times New Roman"/>
          <w:sz w:val="20"/>
          <w:szCs w:val="20"/>
          <w:lang w:eastAsia="zh-CN"/>
        </w:rPr>
        <w:t xml:space="preserve">The requirement is somewhat more flexible for </w:t>
      </w:r>
      <w:r w:rsidRPr="00C70995">
        <w:rPr>
          <w:rFonts w:eastAsia="Times New Roman"/>
          <w:sz w:val="20"/>
          <w:szCs w:val="20"/>
          <w:lang w:eastAsia="zh-CN"/>
        </w:rPr>
        <w:lastRenderedPageBreak/>
        <w:t xml:space="preserve">a Shi’a woman, permitting her to contract her own marriage in the case of the absence of a father or paternal grandfather. </w:t>
      </w:r>
    </w:p>
    <w:p w14:paraId="667075D6" w14:textId="77777777" w:rsidR="00E44263" w:rsidRPr="00C70995" w:rsidRDefault="00E44263" w:rsidP="00E44263">
      <w:pPr>
        <w:jc w:val="both"/>
        <w:textAlignment w:val="baseline"/>
        <w:rPr>
          <w:rFonts w:eastAsia="Times New Roman"/>
          <w:sz w:val="20"/>
          <w:szCs w:val="20"/>
          <w:lang w:eastAsia="zh-CN"/>
        </w:rPr>
      </w:pPr>
    </w:p>
    <w:p w14:paraId="7DC4E25F" w14:textId="59D81F77" w:rsidR="0058651B" w:rsidRDefault="00E44263" w:rsidP="00E769BD">
      <w:pPr>
        <w:jc w:val="both"/>
        <w:rPr>
          <w:sz w:val="20"/>
          <w:szCs w:val="20"/>
        </w:rPr>
      </w:pPr>
      <w:r w:rsidRPr="00C70995">
        <w:rPr>
          <w:rFonts w:eastAsia="Times New Roman"/>
          <w:sz w:val="20"/>
          <w:szCs w:val="20"/>
          <w:lang w:eastAsia="zh-CN"/>
        </w:rPr>
        <w:t>In the event the wali opposes the marriage, the prospective bride may seek the authorization of a judge to get married (known as an ‘adl case).</w:t>
      </w:r>
      <w:r w:rsidRPr="00F92244">
        <w:rPr>
          <w:rFonts w:eastAsia="Times New Roman"/>
          <w:sz w:val="20"/>
          <w:szCs w:val="20"/>
          <w:vertAlign w:val="superscript"/>
          <w:lang w:eastAsia="zh-CN"/>
        </w:rPr>
        <w:footnoteReference w:id="15"/>
      </w:r>
      <w:r w:rsidRPr="00F92244">
        <w:rPr>
          <w:rFonts w:eastAsia="Times New Roman"/>
          <w:sz w:val="20"/>
          <w:szCs w:val="20"/>
          <w:vertAlign w:val="superscript"/>
          <w:lang w:eastAsia="zh-CN"/>
        </w:rPr>
        <w:t xml:space="preserve"> </w:t>
      </w:r>
      <w:r w:rsidRPr="00C70995">
        <w:rPr>
          <w:rFonts w:eastAsia="Times New Roman"/>
          <w:sz w:val="20"/>
          <w:szCs w:val="20"/>
          <w:lang w:eastAsia="zh-CN"/>
        </w:rPr>
        <w:t>However, this practice continues to limit a woman’s ability to enter into marriage on her own accord because it is often difficult socially and practically. It is not socially acceptable to get married without the family’s consent.</w:t>
      </w:r>
      <w:r w:rsidRPr="00F92244">
        <w:rPr>
          <w:rFonts w:eastAsia="Times New Roman"/>
          <w:sz w:val="20"/>
          <w:szCs w:val="20"/>
          <w:vertAlign w:val="superscript"/>
          <w:lang w:eastAsia="zh-CN"/>
        </w:rPr>
        <w:footnoteReference w:id="16"/>
      </w:r>
    </w:p>
    <w:p w14:paraId="365EE7EC" w14:textId="77777777" w:rsidR="0058651B" w:rsidRPr="000B3F10" w:rsidRDefault="0058651B" w:rsidP="007C55CD">
      <w:pPr>
        <w:jc w:val="both"/>
        <w:rPr>
          <w:sz w:val="20"/>
          <w:szCs w:val="20"/>
        </w:rPr>
      </w:pPr>
    </w:p>
    <w:p w14:paraId="0E6F0601" w14:textId="570A199A" w:rsidR="007C55CD" w:rsidRDefault="00CA7C43" w:rsidP="007C55CD">
      <w:pPr>
        <w:jc w:val="both"/>
        <w:rPr>
          <w:sz w:val="20"/>
          <w:szCs w:val="20"/>
        </w:rPr>
      </w:pPr>
      <w:r w:rsidRPr="007E1BD3">
        <w:rPr>
          <w:noProof/>
        </w:rPr>
        <w:drawing>
          <wp:inline distT="0" distB="0" distL="0" distR="0" wp14:anchorId="3984FF43" wp14:editId="1CF23115">
            <wp:extent cx="5673897" cy="1351722"/>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4501" b="7416"/>
                    <a:stretch/>
                  </pic:blipFill>
                  <pic:spPr bwMode="auto">
                    <a:xfrm>
                      <a:off x="0" y="0"/>
                      <a:ext cx="5727097" cy="1364396"/>
                    </a:xfrm>
                    <a:prstGeom prst="rect">
                      <a:avLst/>
                    </a:prstGeom>
                    <a:ln>
                      <a:noFill/>
                    </a:ln>
                    <a:extLst>
                      <a:ext uri="{53640926-AAD7-44D8-BBD7-CCE9431645EC}">
                        <a14:shadowObscured xmlns:a14="http://schemas.microsoft.com/office/drawing/2010/main"/>
                      </a:ext>
                    </a:extLst>
                  </pic:spPr>
                </pic:pic>
              </a:graphicData>
            </a:graphic>
          </wp:inline>
        </w:drawing>
      </w:r>
    </w:p>
    <w:p w14:paraId="7BFEFC99" w14:textId="77777777" w:rsidR="003A1200" w:rsidRDefault="003A1200" w:rsidP="003A1200">
      <w:pPr>
        <w:rPr>
          <w:rFonts w:eastAsia="Trebuchet MS"/>
          <w:b/>
          <w:smallCaps/>
          <w:color w:val="FFFFFF" w:themeColor="background1"/>
          <w:sz w:val="20"/>
          <w:szCs w:val="20"/>
        </w:rPr>
      </w:pPr>
    </w:p>
    <w:p w14:paraId="5E37AB6C" w14:textId="6B86FC8A" w:rsidR="00337383" w:rsidRPr="00005B50" w:rsidRDefault="000D1B70" w:rsidP="00892FA5">
      <w:pPr>
        <w:pStyle w:val="Heading2"/>
        <w:rPr>
          <w:bCs/>
          <w:iCs/>
        </w:rPr>
      </w:pPr>
      <w:bookmarkStart w:id="18" w:name="_Toc124203707"/>
      <w:r>
        <w:t>Divorce Rights</w:t>
      </w:r>
      <w:r w:rsidR="00005B50" w:rsidRPr="00005B50">
        <w:tab/>
      </w:r>
      <w:r w:rsidR="00005B50" w:rsidRPr="00005B50">
        <w:tab/>
      </w:r>
      <w:r w:rsidR="00005B50" w:rsidRPr="00005B50">
        <w:tab/>
      </w:r>
      <w:r w:rsidR="00005B50">
        <w:t xml:space="preserve">          </w:t>
      </w:r>
      <w:r w:rsidR="003E7E07">
        <w:tab/>
      </w:r>
      <w:r w:rsidR="003E7E07">
        <w:tab/>
      </w:r>
      <w:r w:rsidR="003E7E07">
        <w:tab/>
      </w:r>
      <w:r w:rsidR="003E7E07">
        <w:tab/>
      </w:r>
      <w:r w:rsidR="003E7E07">
        <w:tab/>
        <w:t xml:space="preserve">         </w:t>
      </w:r>
      <w:r>
        <w:t xml:space="preserve"> </w:t>
      </w:r>
      <w:r w:rsidR="00005B50" w:rsidRPr="00005B50">
        <w:t>Article</w:t>
      </w:r>
      <w:r w:rsidR="009D3E28">
        <w:t xml:space="preserve"> </w:t>
      </w:r>
      <w:r>
        <w:t>16</w:t>
      </w:r>
      <w:bookmarkEnd w:id="18"/>
    </w:p>
    <w:p w14:paraId="4D8B4020" w14:textId="52CAAAE9" w:rsidR="00005B50" w:rsidRDefault="00005B50" w:rsidP="00C83691">
      <w:pPr>
        <w:autoSpaceDE w:val="0"/>
        <w:autoSpaceDN w:val="0"/>
        <w:adjustRightInd w:val="0"/>
        <w:jc w:val="both"/>
        <w:rPr>
          <w:color w:val="000000" w:themeColor="text1"/>
          <w:sz w:val="20"/>
          <w:szCs w:val="20"/>
          <w:lang w:val="en-GB"/>
        </w:rPr>
      </w:pPr>
    </w:p>
    <w:p w14:paraId="5E468298" w14:textId="059D6608" w:rsidR="000D1B70" w:rsidRDefault="000D1B70" w:rsidP="00CA7C43">
      <w:pPr>
        <w:jc w:val="both"/>
        <w:textAlignment w:val="baseline"/>
        <w:rPr>
          <w:rFonts w:eastAsia="Times New Roman"/>
          <w:sz w:val="20"/>
          <w:szCs w:val="20"/>
          <w:lang w:eastAsia="zh-CN"/>
        </w:rPr>
      </w:pPr>
      <w:r w:rsidRPr="00075930">
        <w:rPr>
          <w:rFonts w:eastAsia="Times New Roman"/>
          <w:sz w:val="20"/>
          <w:szCs w:val="20"/>
          <w:lang w:eastAsia="zh-CN"/>
        </w:rPr>
        <w:t>Women do not have equal rights to divorce. The Family Law 2017 grants a man an unrestricted right to divorce his wife unilaterally at any time, and without any reason, simply by uttering a divorce declaration (</w:t>
      </w:r>
      <w:r w:rsidRPr="00075930">
        <w:rPr>
          <w:rFonts w:eastAsia="Times New Roman"/>
          <w:i/>
          <w:sz w:val="20"/>
          <w:szCs w:val="20"/>
          <w:lang w:eastAsia="zh-CN"/>
        </w:rPr>
        <w:t>talaq</w:t>
      </w:r>
      <w:r w:rsidRPr="00075930">
        <w:rPr>
          <w:rFonts w:eastAsia="Times New Roman"/>
          <w:sz w:val="20"/>
          <w:szCs w:val="20"/>
          <w:lang w:eastAsia="zh-CN"/>
        </w:rPr>
        <w:t>),</w:t>
      </w:r>
      <w:r>
        <w:rPr>
          <w:rStyle w:val="FootnoteReference"/>
          <w:rFonts w:eastAsia="Times New Roman"/>
          <w:sz w:val="20"/>
          <w:szCs w:val="20"/>
          <w:lang w:eastAsia="zh-CN"/>
        </w:rPr>
        <w:footnoteReference w:id="17"/>
      </w:r>
      <w:r w:rsidRPr="00075930">
        <w:rPr>
          <w:rFonts w:eastAsia="Times New Roman"/>
          <w:sz w:val="20"/>
          <w:szCs w:val="20"/>
          <w:lang w:eastAsia="zh-CN"/>
        </w:rPr>
        <w:t xml:space="preserve"> whereas a woman may only obtain divorce through courts (</w:t>
      </w:r>
      <w:r w:rsidRPr="00075930">
        <w:rPr>
          <w:rFonts w:eastAsia="Times New Roman"/>
          <w:i/>
          <w:sz w:val="20"/>
          <w:szCs w:val="20"/>
          <w:lang w:eastAsia="zh-CN"/>
        </w:rPr>
        <w:t>tatleeq</w:t>
      </w:r>
      <w:r w:rsidRPr="00075930">
        <w:rPr>
          <w:rFonts w:eastAsia="Times New Roman"/>
          <w:sz w:val="20"/>
          <w:szCs w:val="20"/>
          <w:lang w:eastAsia="zh-CN"/>
        </w:rPr>
        <w:t>) for specific limited grounds enumerated in the law, such as abuse, drug addiction, or extended abandonment</w:t>
      </w:r>
      <w:r>
        <w:rPr>
          <w:rFonts w:eastAsia="Times New Roman"/>
          <w:sz w:val="20"/>
          <w:szCs w:val="20"/>
          <w:lang w:eastAsia="zh-CN"/>
        </w:rPr>
        <w:t xml:space="preserve"> by the husband</w:t>
      </w:r>
      <w:r w:rsidRPr="00075930">
        <w:rPr>
          <w:rFonts w:eastAsia="Times New Roman"/>
          <w:sz w:val="20"/>
          <w:szCs w:val="20"/>
          <w:lang w:eastAsia="zh-CN"/>
        </w:rPr>
        <w:t>.</w:t>
      </w:r>
      <w:r>
        <w:rPr>
          <w:rStyle w:val="FootnoteReference"/>
          <w:rFonts w:eastAsia="Times New Roman"/>
          <w:sz w:val="20"/>
          <w:szCs w:val="20"/>
          <w:lang w:eastAsia="zh-CN"/>
        </w:rPr>
        <w:footnoteReference w:id="18"/>
      </w:r>
      <w:r>
        <w:rPr>
          <w:rFonts w:eastAsia="Times New Roman"/>
          <w:sz w:val="20"/>
          <w:szCs w:val="20"/>
          <w:lang w:eastAsia="zh-CN"/>
        </w:rPr>
        <w:t xml:space="preserve"> </w:t>
      </w:r>
    </w:p>
    <w:p w14:paraId="520CDEF4" w14:textId="77777777" w:rsidR="000D1B70" w:rsidRPr="00075930" w:rsidRDefault="000D1B70" w:rsidP="00CA7C43">
      <w:pPr>
        <w:jc w:val="both"/>
        <w:textAlignment w:val="baseline"/>
        <w:rPr>
          <w:rFonts w:eastAsia="Times New Roman"/>
          <w:sz w:val="20"/>
          <w:szCs w:val="20"/>
          <w:lang w:eastAsia="zh-CN"/>
        </w:rPr>
      </w:pPr>
    </w:p>
    <w:p w14:paraId="52D21965" w14:textId="703BBEFB" w:rsidR="000D1B70" w:rsidRDefault="000D1B70" w:rsidP="00CA7C43">
      <w:pPr>
        <w:jc w:val="both"/>
        <w:textAlignment w:val="baseline"/>
        <w:rPr>
          <w:rFonts w:eastAsia="Times New Roman"/>
          <w:sz w:val="20"/>
          <w:szCs w:val="20"/>
          <w:lang w:eastAsia="zh-CN"/>
        </w:rPr>
      </w:pPr>
      <w:r w:rsidRPr="00075930">
        <w:rPr>
          <w:rFonts w:eastAsia="Times New Roman"/>
          <w:sz w:val="20"/>
          <w:szCs w:val="20"/>
          <w:lang w:eastAsia="zh-CN"/>
        </w:rPr>
        <w:t xml:space="preserve">Alternatively, if a woman elects to initiate a divorce for reasons not enumerated in the </w:t>
      </w:r>
      <w:r w:rsidR="00B738F1">
        <w:rPr>
          <w:rFonts w:eastAsia="Times New Roman"/>
          <w:sz w:val="20"/>
          <w:szCs w:val="20"/>
          <w:lang w:eastAsia="zh-CN"/>
        </w:rPr>
        <w:t>l</w:t>
      </w:r>
      <w:r w:rsidRPr="00075930">
        <w:rPr>
          <w:rFonts w:eastAsia="Times New Roman"/>
          <w:sz w:val="20"/>
          <w:szCs w:val="20"/>
          <w:lang w:eastAsia="zh-CN"/>
        </w:rPr>
        <w:t>aw, she must forfeit her financial rights or pay a sum of money to her husband in exchange for granting her a redemptive divorce (</w:t>
      </w:r>
      <w:r w:rsidRPr="00B738F1">
        <w:rPr>
          <w:rFonts w:eastAsia="Times New Roman"/>
          <w:i/>
          <w:sz w:val="20"/>
          <w:szCs w:val="20"/>
          <w:lang w:eastAsia="zh-CN"/>
        </w:rPr>
        <w:t>khul’</w:t>
      </w:r>
      <w:r w:rsidRPr="00075930">
        <w:rPr>
          <w:rFonts w:eastAsia="Times New Roman"/>
          <w:sz w:val="20"/>
          <w:szCs w:val="20"/>
          <w:lang w:eastAsia="zh-CN"/>
        </w:rPr>
        <w:t>).</w:t>
      </w:r>
      <w:r>
        <w:rPr>
          <w:rStyle w:val="FootnoteReference"/>
          <w:rFonts w:eastAsia="Times New Roman"/>
          <w:sz w:val="20"/>
          <w:szCs w:val="20"/>
          <w:lang w:eastAsia="zh-CN"/>
        </w:rPr>
        <w:footnoteReference w:id="19"/>
      </w:r>
      <w:r w:rsidRPr="00075930">
        <w:rPr>
          <w:rFonts w:eastAsia="Times New Roman"/>
          <w:sz w:val="20"/>
          <w:szCs w:val="20"/>
          <w:lang w:eastAsia="zh-CN"/>
        </w:rPr>
        <w:t xml:space="preserve"> </w:t>
      </w:r>
      <w:r w:rsidR="00B738F1" w:rsidRPr="00B738F1">
        <w:rPr>
          <w:rFonts w:eastAsia="Times New Roman"/>
          <w:i/>
          <w:iCs/>
          <w:sz w:val="20"/>
          <w:szCs w:val="20"/>
          <w:lang w:eastAsia="zh-CN"/>
        </w:rPr>
        <w:t>Khul’</w:t>
      </w:r>
      <w:r w:rsidRPr="00075930">
        <w:rPr>
          <w:rFonts w:eastAsia="Times New Roman"/>
          <w:sz w:val="20"/>
          <w:szCs w:val="20"/>
          <w:lang w:eastAsia="zh-CN"/>
        </w:rPr>
        <w:t xml:space="preserve"> </w:t>
      </w:r>
      <w:r w:rsidR="00B738F1">
        <w:rPr>
          <w:rFonts w:eastAsia="Times New Roman"/>
          <w:sz w:val="20"/>
          <w:szCs w:val="20"/>
          <w:lang w:eastAsia="zh-CN"/>
        </w:rPr>
        <w:t xml:space="preserve">is </w:t>
      </w:r>
      <w:r w:rsidRPr="00075930">
        <w:rPr>
          <w:rFonts w:eastAsia="Times New Roman"/>
          <w:sz w:val="20"/>
          <w:szCs w:val="20"/>
          <w:lang w:eastAsia="zh-CN"/>
        </w:rPr>
        <w:t xml:space="preserve">another area where the Family Law discriminates between Sunni and Shia women. Under the provision of the article applicable to Sunni marriages, both parties may mutually agree to terminate the marriage </w:t>
      </w:r>
      <w:r>
        <w:rPr>
          <w:rFonts w:eastAsia="Times New Roman"/>
          <w:sz w:val="20"/>
          <w:szCs w:val="20"/>
          <w:lang w:eastAsia="zh-CN"/>
        </w:rPr>
        <w:t>and</w:t>
      </w:r>
      <w:r w:rsidRPr="00075930">
        <w:rPr>
          <w:rFonts w:eastAsia="Times New Roman"/>
          <w:sz w:val="20"/>
          <w:szCs w:val="20"/>
          <w:lang w:eastAsia="zh-CN"/>
        </w:rPr>
        <w:t xml:space="preserve"> if the husband refuses, then the judge may grant the dissolution.</w:t>
      </w:r>
      <w:r w:rsidRPr="00075930">
        <w:rPr>
          <w:rFonts w:eastAsia="Times New Roman"/>
          <w:sz w:val="20"/>
          <w:szCs w:val="20"/>
          <w:vertAlign w:val="superscript"/>
          <w:lang w:eastAsia="zh-CN"/>
        </w:rPr>
        <w:footnoteReference w:id="20"/>
      </w:r>
      <w:r w:rsidRPr="00075930">
        <w:rPr>
          <w:rFonts w:eastAsia="Times New Roman"/>
          <w:sz w:val="20"/>
          <w:szCs w:val="20"/>
          <w:lang w:eastAsia="zh-CN"/>
        </w:rPr>
        <w:t xml:space="preserve"> Whereas a Shi’a woman is entitled to request the dissolution of marriage by a payment of consideration and the consent of the husband.</w:t>
      </w:r>
      <w:r w:rsidRPr="00075930">
        <w:rPr>
          <w:rFonts w:eastAsia="Times New Roman"/>
          <w:sz w:val="20"/>
          <w:szCs w:val="20"/>
          <w:vertAlign w:val="superscript"/>
          <w:lang w:eastAsia="zh-CN"/>
        </w:rPr>
        <w:footnoteReference w:id="21"/>
      </w:r>
      <w:r w:rsidRPr="00075930">
        <w:rPr>
          <w:rFonts w:eastAsia="Times New Roman"/>
          <w:sz w:val="20"/>
          <w:szCs w:val="20"/>
          <w:lang w:eastAsia="zh-CN"/>
        </w:rPr>
        <w:t xml:space="preserve"> Shi’a law does not provide recourse for a woman if her husband refuses to consent to the dissolution.</w:t>
      </w:r>
    </w:p>
    <w:p w14:paraId="612520F7" w14:textId="77777777" w:rsidR="000D1B70" w:rsidRPr="00075930" w:rsidRDefault="000D1B70" w:rsidP="00CA7C43">
      <w:pPr>
        <w:ind w:left="360"/>
        <w:jc w:val="both"/>
        <w:textAlignment w:val="baseline"/>
        <w:rPr>
          <w:rFonts w:eastAsia="Times New Roman"/>
          <w:sz w:val="20"/>
          <w:szCs w:val="20"/>
          <w:lang w:eastAsia="zh-CN"/>
        </w:rPr>
      </w:pPr>
    </w:p>
    <w:p w14:paraId="2C195D07" w14:textId="700B7D59" w:rsidR="000D1B70" w:rsidRDefault="000D1B70" w:rsidP="004D5352">
      <w:pPr>
        <w:jc w:val="both"/>
        <w:textAlignment w:val="baseline"/>
        <w:rPr>
          <w:rFonts w:eastAsia="Times New Roman"/>
          <w:sz w:val="20"/>
          <w:szCs w:val="20"/>
          <w:lang w:eastAsia="zh-CN"/>
        </w:rPr>
      </w:pPr>
      <w:r w:rsidRPr="00075930">
        <w:rPr>
          <w:rFonts w:eastAsia="Times New Roman"/>
          <w:sz w:val="20"/>
          <w:szCs w:val="20"/>
          <w:lang w:eastAsia="zh-CN"/>
        </w:rPr>
        <w:t xml:space="preserve">In practice and across the board, while </w:t>
      </w:r>
      <w:r>
        <w:rPr>
          <w:rFonts w:eastAsia="Times New Roman"/>
          <w:sz w:val="20"/>
          <w:szCs w:val="20"/>
          <w:lang w:eastAsia="zh-CN"/>
        </w:rPr>
        <w:t>k</w:t>
      </w:r>
      <w:r w:rsidRPr="00075930">
        <w:rPr>
          <w:rFonts w:eastAsia="Times New Roman"/>
          <w:sz w:val="20"/>
          <w:szCs w:val="20"/>
          <w:lang w:eastAsia="zh-CN"/>
        </w:rPr>
        <w:t>hul</w:t>
      </w:r>
      <w:r w:rsidRPr="00075930" w:rsidDel="002E317E">
        <w:rPr>
          <w:rFonts w:eastAsia="Times New Roman"/>
          <w:sz w:val="20"/>
          <w:szCs w:val="20"/>
          <w:lang w:eastAsia="zh-CN"/>
        </w:rPr>
        <w:t xml:space="preserve">’ </w:t>
      </w:r>
      <w:r w:rsidRPr="00075930">
        <w:rPr>
          <w:rFonts w:eastAsia="Times New Roman"/>
          <w:sz w:val="20"/>
          <w:szCs w:val="20"/>
          <w:lang w:eastAsia="zh-CN"/>
        </w:rPr>
        <w:t>provides a relatively more accessible form of divorce for women, women nevertheless face difficulties in exercising their right to obtaining a khul</w:t>
      </w:r>
      <w:r w:rsidRPr="00075930" w:rsidDel="00A104CF">
        <w:rPr>
          <w:rFonts w:eastAsia="Times New Roman"/>
          <w:sz w:val="20"/>
          <w:szCs w:val="20"/>
          <w:lang w:eastAsia="zh-CN"/>
        </w:rPr>
        <w:t xml:space="preserve">’ </w:t>
      </w:r>
      <w:r w:rsidRPr="00075930">
        <w:rPr>
          <w:rFonts w:eastAsia="Times New Roman"/>
          <w:sz w:val="20"/>
          <w:szCs w:val="20"/>
          <w:lang w:eastAsia="zh-CN"/>
        </w:rPr>
        <w:t>divorce.</w:t>
      </w:r>
      <w:r w:rsidRPr="00075930">
        <w:rPr>
          <w:rFonts w:eastAsia="Times New Roman"/>
          <w:sz w:val="20"/>
          <w:szCs w:val="20"/>
          <w:vertAlign w:val="superscript"/>
          <w:lang w:eastAsia="zh-CN"/>
        </w:rPr>
        <w:footnoteReference w:id="22"/>
      </w:r>
      <w:r w:rsidRPr="00075930">
        <w:rPr>
          <w:rFonts w:eastAsia="Times New Roman"/>
          <w:sz w:val="20"/>
          <w:szCs w:val="20"/>
          <w:vertAlign w:val="superscript"/>
          <w:lang w:eastAsia="zh-CN"/>
        </w:rPr>
        <w:t xml:space="preserve"> </w:t>
      </w:r>
      <w:r w:rsidR="00B738F1">
        <w:rPr>
          <w:rFonts w:eastAsia="Times New Roman"/>
          <w:sz w:val="20"/>
          <w:szCs w:val="20"/>
          <w:lang w:eastAsia="zh-CN"/>
        </w:rPr>
        <w:t>It</w:t>
      </w:r>
      <w:r w:rsidRPr="00075930">
        <w:rPr>
          <w:rFonts w:eastAsia="Times New Roman"/>
          <w:sz w:val="20"/>
          <w:szCs w:val="20"/>
          <w:lang w:eastAsia="zh-CN"/>
        </w:rPr>
        <w:t xml:space="preserve"> is common for some men to abuse the unrestricted powers granted to them by the law </w:t>
      </w:r>
      <w:r>
        <w:rPr>
          <w:rFonts w:eastAsia="Times New Roman"/>
          <w:sz w:val="20"/>
          <w:szCs w:val="20"/>
          <w:lang w:eastAsia="zh-CN"/>
        </w:rPr>
        <w:t xml:space="preserve">and </w:t>
      </w:r>
      <w:r w:rsidRPr="00075930">
        <w:rPr>
          <w:rFonts w:eastAsia="Times New Roman"/>
          <w:sz w:val="20"/>
          <w:szCs w:val="20"/>
          <w:lang w:eastAsia="zh-CN"/>
        </w:rPr>
        <w:t>to</w:t>
      </w:r>
      <w:r>
        <w:rPr>
          <w:rFonts w:eastAsia="Times New Roman"/>
          <w:sz w:val="20"/>
          <w:szCs w:val="20"/>
          <w:lang w:eastAsia="zh-CN"/>
        </w:rPr>
        <w:t xml:space="preserve"> pressure</w:t>
      </w:r>
      <w:r w:rsidRPr="00075930">
        <w:rPr>
          <w:rFonts w:eastAsia="Times New Roman"/>
          <w:sz w:val="20"/>
          <w:szCs w:val="20"/>
          <w:lang w:eastAsia="zh-CN"/>
        </w:rPr>
        <w:t xml:space="preserve"> women to pay large sums of money in exchange for granting them their “freedom.”</w:t>
      </w:r>
      <w:r w:rsidRPr="00075930">
        <w:rPr>
          <w:rFonts w:eastAsia="Times New Roman"/>
          <w:sz w:val="20"/>
          <w:szCs w:val="20"/>
          <w:vertAlign w:val="superscript"/>
          <w:lang w:eastAsia="zh-CN"/>
        </w:rPr>
        <w:footnoteReference w:id="23"/>
      </w:r>
      <w:r w:rsidRPr="00075930">
        <w:rPr>
          <w:rFonts w:eastAsia="Times New Roman"/>
          <w:sz w:val="20"/>
          <w:szCs w:val="20"/>
          <w:lang w:eastAsia="zh-CN"/>
        </w:rPr>
        <w:t xml:space="preserve"> Many women often find themselves forced to forfeit their financial rights in order to avoid lengthy disputes or delays in obtaining a divorce.</w:t>
      </w:r>
      <w:r w:rsidRPr="00075930">
        <w:rPr>
          <w:rFonts w:eastAsia="Times New Roman"/>
          <w:sz w:val="20"/>
          <w:szCs w:val="20"/>
          <w:vertAlign w:val="superscript"/>
          <w:lang w:eastAsia="zh-CN"/>
        </w:rPr>
        <w:footnoteReference w:id="24"/>
      </w:r>
    </w:p>
    <w:p w14:paraId="6412A4E4" w14:textId="77777777" w:rsidR="000D1B70" w:rsidRPr="00075930" w:rsidRDefault="000D1B70" w:rsidP="00CA7C43">
      <w:pPr>
        <w:ind w:left="360"/>
        <w:jc w:val="both"/>
        <w:textAlignment w:val="baseline"/>
        <w:rPr>
          <w:rFonts w:eastAsia="Times New Roman"/>
          <w:sz w:val="20"/>
          <w:szCs w:val="20"/>
          <w:lang w:eastAsia="zh-CN"/>
        </w:rPr>
      </w:pPr>
    </w:p>
    <w:p w14:paraId="3A4CA661" w14:textId="77777777" w:rsidR="000D1B70" w:rsidRPr="00075930" w:rsidRDefault="000D1B70" w:rsidP="00CA7C43">
      <w:pPr>
        <w:pStyle w:val="Normal1"/>
        <w:widowControl w:val="0"/>
        <w:spacing w:after="240" w:line="240" w:lineRule="auto"/>
        <w:jc w:val="both"/>
        <w:rPr>
          <w:rFonts w:ascii="Arial" w:eastAsia="Arial" w:hAnsi="Arial" w:cs="Arial"/>
          <w:b/>
          <w:i/>
          <w:noProof/>
          <w:sz w:val="20"/>
          <w:szCs w:val="20"/>
          <w:lang w:val="en-GB"/>
        </w:rPr>
      </w:pPr>
      <w:r w:rsidRPr="00075930">
        <w:rPr>
          <w:rFonts w:ascii="Arial" w:eastAsia="Arial" w:hAnsi="Arial" w:cs="Arial"/>
          <w:b/>
          <w:i/>
          <w:noProof/>
          <w:sz w:val="20"/>
          <w:szCs w:val="20"/>
          <w:lang w:val="en-GB"/>
        </w:rPr>
        <w:t>Financial rights after a divorce</w:t>
      </w:r>
    </w:p>
    <w:p w14:paraId="0E228502" w14:textId="061AAC87" w:rsidR="003E7E07" w:rsidRPr="004D5352" w:rsidRDefault="000D1B70" w:rsidP="004D5352">
      <w:pPr>
        <w:jc w:val="both"/>
        <w:textAlignment w:val="baseline"/>
        <w:rPr>
          <w:rFonts w:eastAsia="Times New Roman"/>
          <w:sz w:val="20"/>
          <w:szCs w:val="20"/>
          <w:lang w:eastAsia="zh-CN"/>
        </w:rPr>
      </w:pPr>
      <w:r w:rsidRPr="00075930">
        <w:rPr>
          <w:rFonts w:eastAsia="Times New Roman"/>
          <w:sz w:val="20"/>
          <w:szCs w:val="20"/>
          <w:lang w:eastAsia="zh-CN"/>
        </w:rPr>
        <w:t xml:space="preserve">There is no concept of shared matrimonial assets under Bahraini law. Following a divorce, a woman is entitled to limited financial rights, and these financial rights differ for Sunni and Shi’a women. </w:t>
      </w:r>
      <w:r w:rsidR="004D5352">
        <w:rPr>
          <w:rFonts w:eastAsia="Times New Roman"/>
          <w:sz w:val="20"/>
          <w:szCs w:val="20"/>
          <w:lang w:eastAsia="zh-CN"/>
        </w:rPr>
        <w:t xml:space="preserve">For both, the </w:t>
      </w:r>
      <w:r w:rsidRPr="00075930">
        <w:rPr>
          <w:rFonts w:eastAsia="Times New Roman"/>
          <w:sz w:val="20"/>
          <w:szCs w:val="20"/>
          <w:lang w:eastAsia="zh-CN"/>
        </w:rPr>
        <w:t>limited post-divorce financial maintenance in the law does not justly account for a woman’s contribution to the marriage and the household and often leaves women with no means of subsistence following a divorce.</w:t>
      </w:r>
    </w:p>
    <w:p w14:paraId="2B80DBEE" w14:textId="0981F63B" w:rsidR="003E7E07" w:rsidRDefault="003E7E07" w:rsidP="00C83691">
      <w:pPr>
        <w:autoSpaceDE w:val="0"/>
        <w:autoSpaceDN w:val="0"/>
        <w:adjustRightInd w:val="0"/>
        <w:jc w:val="both"/>
        <w:rPr>
          <w:color w:val="000000" w:themeColor="text1"/>
          <w:sz w:val="20"/>
          <w:szCs w:val="20"/>
          <w:lang w:val="en-GB"/>
        </w:rPr>
      </w:pPr>
    </w:p>
    <w:p w14:paraId="1CB4E861" w14:textId="53FB3E7A" w:rsidR="00CA7C43" w:rsidRDefault="000D1B70" w:rsidP="00CA7C43">
      <w:pPr>
        <w:autoSpaceDE w:val="0"/>
        <w:autoSpaceDN w:val="0"/>
        <w:adjustRightInd w:val="0"/>
        <w:jc w:val="center"/>
        <w:rPr>
          <w:color w:val="000000" w:themeColor="text1"/>
          <w:sz w:val="20"/>
          <w:szCs w:val="20"/>
          <w:lang w:val="en-GB"/>
        </w:rPr>
      </w:pPr>
      <w:r>
        <w:rPr>
          <w:rFonts w:ascii="Arial" w:hAnsi="Arial" w:cs="Arial"/>
          <w:noProof/>
          <w:color w:val="0D0D0D"/>
          <w:sz w:val="20"/>
          <w:szCs w:val="20"/>
          <w:lang w:val="en-GB"/>
        </w:rPr>
        <w:lastRenderedPageBreak/>
        <w:drawing>
          <wp:inline distT="0" distB="0" distL="0" distR="0" wp14:anchorId="799003B7" wp14:editId="24EB8110">
            <wp:extent cx="4527395" cy="3948134"/>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27395" cy="3948134"/>
                    </a:xfrm>
                    <a:prstGeom prst="rect">
                      <a:avLst/>
                    </a:prstGeom>
                  </pic:spPr>
                </pic:pic>
              </a:graphicData>
            </a:graphic>
          </wp:inline>
        </w:drawing>
      </w:r>
    </w:p>
    <w:p w14:paraId="6898B20C" w14:textId="77777777" w:rsidR="00CA7C43" w:rsidRPr="000D1B70" w:rsidRDefault="00CA7C43" w:rsidP="00CA7C43">
      <w:pPr>
        <w:autoSpaceDE w:val="0"/>
        <w:autoSpaceDN w:val="0"/>
        <w:adjustRightInd w:val="0"/>
        <w:jc w:val="center"/>
        <w:rPr>
          <w:color w:val="000000" w:themeColor="text1"/>
          <w:sz w:val="20"/>
          <w:szCs w:val="20"/>
          <w:lang w:val="en-GB"/>
        </w:rPr>
      </w:pPr>
    </w:p>
    <w:p w14:paraId="5F66677C" w14:textId="7A2BA3D9" w:rsidR="00E26F24" w:rsidRDefault="00CA7C43" w:rsidP="00CA7C43">
      <w:pPr>
        <w:rPr>
          <w:sz w:val="20"/>
          <w:szCs w:val="20"/>
          <w:highlight w:val="white"/>
        </w:rPr>
      </w:pPr>
      <w:r w:rsidRPr="007E1BD3">
        <w:rPr>
          <w:noProof/>
        </w:rPr>
        <w:drawing>
          <wp:inline distT="0" distB="0" distL="0" distR="0" wp14:anchorId="73F11000" wp14:editId="70E9538F">
            <wp:extent cx="5690661" cy="311691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r="4394" b="3520"/>
                    <a:stretch/>
                  </pic:blipFill>
                  <pic:spPr bwMode="auto">
                    <a:xfrm>
                      <a:off x="0" y="0"/>
                      <a:ext cx="5716927" cy="3131299"/>
                    </a:xfrm>
                    <a:prstGeom prst="rect">
                      <a:avLst/>
                    </a:prstGeom>
                    <a:ln>
                      <a:noFill/>
                    </a:ln>
                    <a:extLst>
                      <a:ext uri="{53640926-AAD7-44D8-BBD7-CCE9431645EC}">
                        <a14:shadowObscured xmlns:a14="http://schemas.microsoft.com/office/drawing/2010/main"/>
                      </a:ext>
                    </a:extLst>
                  </pic:spPr>
                </pic:pic>
              </a:graphicData>
            </a:graphic>
          </wp:inline>
        </w:drawing>
      </w:r>
      <w:bookmarkEnd w:id="12"/>
    </w:p>
    <w:p w14:paraId="7739B6A3" w14:textId="77777777" w:rsidR="00BF5C3F" w:rsidRPr="00CA7C43" w:rsidRDefault="00BF5C3F" w:rsidP="00CA7C43">
      <w:pPr>
        <w:rPr>
          <w:sz w:val="20"/>
          <w:szCs w:val="20"/>
          <w:highlight w:val="white"/>
        </w:rPr>
      </w:pPr>
    </w:p>
    <w:p w14:paraId="65CD9BD0" w14:textId="3009D4DA" w:rsidR="001526E7" w:rsidRPr="00005B50" w:rsidRDefault="00901E5F" w:rsidP="001526E7">
      <w:pPr>
        <w:pStyle w:val="Heading2"/>
        <w:rPr>
          <w:bCs/>
          <w:iCs/>
        </w:rPr>
      </w:pPr>
      <w:bookmarkStart w:id="19" w:name="_Toc124203708"/>
      <w:r>
        <w:t>Custody and Guardianship of Children</w:t>
      </w:r>
      <w:r w:rsidR="001526E7">
        <w:tab/>
      </w:r>
      <w:r w:rsidR="001526E7">
        <w:tab/>
      </w:r>
      <w:r w:rsidR="001526E7">
        <w:tab/>
      </w:r>
      <w:r w:rsidR="001526E7">
        <w:tab/>
      </w:r>
      <w:r>
        <w:t xml:space="preserve">          </w:t>
      </w:r>
      <w:r w:rsidR="001526E7" w:rsidRPr="00005B50">
        <w:t>Article</w:t>
      </w:r>
      <w:r w:rsidR="001526E7">
        <w:t xml:space="preserve"> 16</w:t>
      </w:r>
      <w:bookmarkEnd w:id="19"/>
    </w:p>
    <w:p w14:paraId="33CD4B46" w14:textId="2D6CB4BD" w:rsidR="001526E7" w:rsidRDefault="001526E7" w:rsidP="006F4ED2">
      <w:pPr>
        <w:jc w:val="both"/>
      </w:pPr>
    </w:p>
    <w:p w14:paraId="7AFFC968" w14:textId="77777777" w:rsidR="00901E5F" w:rsidRPr="001A14FA" w:rsidRDefault="00901E5F" w:rsidP="00901E5F">
      <w:pPr>
        <w:jc w:val="both"/>
        <w:textAlignment w:val="baseline"/>
        <w:rPr>
          <w:rFonts w:eastAsia="Times New Roman"/>
          <w:sz w:val="20"/>
          <w:szCs w:val="20"/>
          <w:lang w:eastAsia="zh-CN"/>
        </w:rPr>
      </w:pPr>
      <w:r w:rsidRPr="001A14FA">
        <w:rPr>
          <w:rFonts w:eastAsia="Times New Roman"/>
          <w:sz w:val="20"/>
          <w:szCs w:val="20"/>
          <w:lang w:eastAsia="zh-CN"/>
        </w:rPr>
        <w:t xml:space="preserve">Women are not entitled to equal custody and guardianship of their children. As a general rule, a mother has priority </w:t>
      </w:r>
      <w:r>
        <w:rPr>
          <w:rFonts w:eastAsia="Times New Roman"/>
          <w:sz w:val="20"/>
          <w:szCs w:val="20"/>
          <w:lang w:eastAsia="zh-CN"/>
        </w:rPr>
        <w:t>in the</w:t>
      </w:r>
      <w:r w:rsidRPr="001A14FA">
        <w:rPr>
          <w:rFonts w:eastAsia="Times New Roman"/>
          <w:sz w:val="20"/>
          <w:szCs w:val="20"/>
          <w:lang w:eastAsia="zh-CN"/>
        </w:rPr>
        <w:t xml:space="preserve"> custody of her children until a child reaches a certain age, after which custody is transferred to the father. A woman’s custody rights are limited and conditional, and both legal and financial guardianship of the children remain the exclusive right of a father (or his male heirs) regardless of custody arrangements.</w:t>
      </w:r>
    </w:p>
    <w:p w14:paraId="41DEA3AD" w14:textId="77777777" w:rsidR="00901E5F" w:rsidRPr="001A14FA" w:rsidRDefault="00901E5F" w:rsidP="00901E5F">
      <w:pPr>
        <w:pStyle w:val="Normal1"/>
        <w:widowControl w:val="0"/>
        <w:spacing w:after="240" w:line="240" w:lineRule="auto"/>
        <w:jc w:val="both"/>
        <w:rPr>
          <w:rFonts w:ascii="Arial" w:eastAsia="Arial" w:hAnsi="Arial" w:cs="Arial"/>
          <w:b/>
          <w:i/>
          <w:noProof/>
          <w:sz w:val="20"/>
          <w:szCs w:val="20"/>
          <w:lang w:val="en-GB"/>
        </w:rPr>
      </w:pPr>
      <w:r w:rsidRPr="001A14FA">
        <w:rPr>
          <w:rFonts w:ascii="Arial" w:eastAsia="Arial" w:hAnsi="Arial" w:cs="Arial"/>
          <w:b/>
          <w:i/>
          <w:noProof/>
          <w:sz w:val="20"/>
          <w:szCs w:val="20"/>
          <w:lang w:val="en-GB"/>
        </w:rPr>
        <w:t>Custody of Children</w:t>
      </w:r>
    </w:p>
    <w:p w14:paraId="1539F84B" w14:textId="0E60DB82" w:rsidR="00901E5F" w:rsidRDefault="00901E5F" w:rsidP="00901E5F">
      <w:pPr>
        <w:jc w:val="both"/>
        <w:textAlignment w:val="baseline"/>
        <w:rPr>
          <w:rFonts w:eastAsia="Times New Roman"/>
          <w:sz w:val="20"/>
          <w:szCs w:val="20"/>
          <w:lang w:eastAsia="zh-CN"/>
        </w:rPr>
      </w:pPr>
      <w:r w:rsidRPr="001A14FA">
        <w:rPr>
          <w:rFonts w:eastAsia="Times New Roman"/>
          <w:sz w:val="20"/>
          <w:szCs w:val="20"/>
          <w:lang w:eastAsia="zh-CN"/>
        </w:rPr>
        <w:t>A mother’s custody of her children is considered temporary, is subject to strict conditions of moral character and fitness and is restricted to physical care of the children. A Sunni woman loses custody of her sons when they turn fifteen (15) years old and her daughters at the time of the daughter</w:t>
      </w:r>
      <w:r>
        <w:rPr>
          <w:rFonts w:eastAsia="Times New Roman"/>
          <w:sz w:val="20"/>
          <w:szCs w:val="20"/>
          <w:lang w:eastAsia="zh-CN"/>
        </w:rPr>
        <w:t>’s</w:t>
      </w:r>
      <w:r w:rsidRPr="001A14FA">
        <w:rPr>
          <w:rFonts w:eastAsia="Times New Roman"/>
          <w:sz w:val="20"/>
          <w:szCs w:val="20"/>
          <w:lang w:eastAsia="zh-CN"/>
        </w:rPr>
        <w:t xml:space="preserve"> </w:t>
      </w:r>
      <w:r w:rsidRPr="001A14FA">
        <w:rPr>
          <w:rFonts w:eastAsia="Times New Roman"/>
          <w:sz w:val="20"/>
          <w:szCs w:val="20"/>
          <w:lang w:eastAsia="zh-CN"/>
        </w:rPr>
        <w:lastRenderedPageBreak/>
        <w:t>marriage.</w:t>
      </w:r>
      <w:r w:rsidRPr="001A14FA">
        <w:rPr>
          <w:rFonts w:eastAsia="Times New Roman"/>
          <w:sz w:val="20"/>
          <w:szCs w:val="20"/>
          <w:vertAlign w:val="superscript"/>
          <w:lang w:eastAsia="zh-CN"/>
        </w:rPr>
        <w:footnoteReference w:id="25"/>
      </w:r>
      <w:r w:rsidRPr="001A14FA">
        <w:rPr>
          <w:rFonts w:eastAsia="Times New Roman"/>
          <w:sz w:val="20"/>
          <w:szCs w:val="20"/>
          <w:lang w:eastAsia="zh-CN"/>
        </w:rPr>
        <w:t xml:space="preserve"> However, Shi’a women lose custody of their children much earlier</w:t>
      </w:r>
      <w:r w:rsidR="00BF5C3F">
        <w:rPr>
          <w:rFonts w:eastAsia="Times New Roman"/>
          <w:sz w:val="20"/>
          <w:szCs w:val="20"/>
          <w:lang w:eastAsia="zh-CN"/>
        </w:rPr>
        <w:t>,</w:t>
      </w:r>
      <w:r w:rsidRPr="001A14FA">
        <w:rPr>
          <w:rFonts w:eastAsia="Times New Roman"/>
          <w:sz w:val="20"/>
          <w:szCs w:val="20"/>
          <w:lang w:eastAsia="zh-CN"/>
        </w:rPr>
        <w:t xml:space="preserve"> at the age of seven for both sons and daughters.</w:t>
      </w:r>
      <w:r w:rsidRPr="001A14FA">
        <w:rPr>
          <w:rFonts w:eastAsia="Times New Roman"/>
          <w:sz w:val="20"/>
          <w:szCs w:val="20"/>
          <w:vertAlign w:val="superscript"/>
          <w:lang w:eastAsia="zh-CN"/>
        </w:rPr>
        <w:footnoteReference w:id="26"/>
      </w:r>
      <w:r w:rsidRPr="001A14FA">
        <w:rPr>
          <w:rFonts w:eastAsia="Times New Roman"/>
          <w:sz w:val="20"/>
          <w:szCs w:val="20"/>
          <w:lang w:eastAsia="zh-CN"/>
        </w:rPr>
        <w:t xml:space="preserve"> Both Sunni and Shi’a mothers automatically lose custody of their children if they remarry – unless a court determines otherwise – whereas a father does not lose custody if he remarries.</w:t>
      </w:r>
      <w:r w:rsidRPr="001A14FA">
        <w:rPr>
          <w:rFonts w:eastAsia="Times New Roman"/>
          <w:sz w:val="20"/>
          <w:szCs w:val="20"/>
          <w:vertAlign w:val="superscript"/>
          <w:lang w:eastAsia="zh-CN"/>
        </w:rPr>
        <w:footnoteReference w:id="27"/>
      </w:r>
      <w:r w:rsidRPr="001A14FA">
        <w:rPr>
          <w:rFonts w:eastAsia="Times New Roman"/>
          <w:sz w:val="20"/>
          <w:szCs w:val="20"/>
          <w:lang w:eastAsia="zh-CN"/>
        </w:rPr>
        <w:t xml:space="preserve"> The custodia</w:t>
      </w:r>
      <w:r>
        <w:rPr>
          <w:rFonts w:eastAsia="Times New Roman"/>
          <w:sz w:val="20"/>
          <w:szCs w:val="20"/>
          <w:lang w:eastAsia="zh-CN"/>
        </w:rPr>
        <w:t>l</w:t>
      </w:r>
      <w:r w:rsidRPr="001A14FA">
        <w:rPr>
          <w:rFonts w:eastAsia="Times New Roman"/>
          <w:sz w:val="20"/>
          <w:szCs w:val="20"/>
          <w:lang w:eastAsia="zh-CN"/>
        </w:rPr>
        <w:t xml:space="preserve"> rights of a mother are extremely limited</w:t>
      </w:r>
      <w:r>
        <w:rPr>
          <w:rFonts w:eastAsia="Times New Roman"/>
          <w:sz w:val="20"/>
          <w:szCs w:val="20"/>
          <w:lang w:eastAsia="zh-CN"/>
        </w:rPr>
        <w:t>;</w:t>
      </w:r>
      <w:r w:rsidRPr="001A14FA">
        <w:rPr>
          <w:rFonts w:eastAsia="Times New Roman"/>
          <w:sz w:val="20"/>
          <w:szCs w:val="20"/>
          <w:lang w:eastAsia="zh-CN"/>
        </w:rPr>
        <w:t xml:space="preserve"> for example</w:t>
      </w:r>
      <w:r>
        <w:rPr>
          <w:rFonts w:eastAsia="Times New Roman"/>
          <w:sz w:val="20"/>
          <w:szCs w:val="20"/>
          <w:lang w:eastAsia="zh-CN"/>
        </w:rPr>
        <w:t>,</w:t>
      </w:r>
      <w:r w:rsidRPr="001A14FA">
        <w:rPr>
          <w:rFonts w:eastAsia="Times New Roman"/>
          <w:sz w:val="20"/>
          <w:szCs w:val="20"/>
          <w:lang w:eastAsia="zh-CN"/>
        </w:rPr>
        <w:t xml:space="preserve"> she may not move the child outside of Bahrain without the explicit permission of the child’s guardian.</w:t>
      </w:r>
    </w:p>
    <w:p w14:paraId="6BF723EB" w14:textId="77777777" w:rsidR="00901E5F" w:rsidRPr="001A14FA" w:rsidRDefault="00901E5F" w:rsidP="00901E5F">
      <w:pPr>
        <w:jc w:val="both"/>
        <w:textAlignment w:val="baseline"/>
        <w:rPr>
          <w:rFonts w:eastAsia="Times New Roman"/>
          <w:sz w:val="20"/>
          <w:szCs w:val="20"/>
          <w:lang w:eastAsia="zh-CN"/>
        </w:rPr>
      </w:pPr>
    </w:p>
    <w:p w14:paraId="0329E3F0" w14:textId="3D6FE8AF" w:rsidR="00901E5F" w:rsidRPr="001A14FA" w:rsidRDefault="00901E5F" w:rsidP="00901E5F">
      <w:pPr>
        <w:jc w:val="both"/>
        <w:textAlignment w:val="baseline"/>
        <w:rPr>
          <w:rFonts w:eastAsia="Times New Roman"/>
          <w:sz w:val="20"/>
          <w:szCs w:val="20"/>
          <w:lang w:eastAsia="zh-CN"/>
        </w:rPr>
      </w:pPr>
      <w:r w:rsidRPr="001A14FA">
        <w:rPr>
          <w:rFonts w:eastAsia="Times New Roman"/>
          <w:sz w:val="20"/>
          <w:szCs w:val="20"/>
          <w:lang w:eastAsia="zh-CN"/>
        </w:rPr>
        <w:t>The Law provides a judge complete discretion to determine what is in “the best interests of the child” so long as it does not contra</w:t>
      </w:r>
      <w:r>
        <w:rPr>
          <w:rFonts w:eastAsia="Times New Roman"/>
          <w:sz w:val="20"/>
          <w:szCs w:val="20"/>
          <w:lang w:eastAsia="zh-CN"/>
        </w:rPr>
        <w:t>dict</w:t>
      </w:r>
      <w:r w:rsidRPr="001A14FA">
        <w:rPr>
          <w:rFonts w:eastAsia="Times New Roman"/>
          <w:sz w:val="20"/>
          <w:szCs w:val="20"/>
          <w:lang w:eastAsia="zh-CN"/>
        </w:rPr>
        <w:t xml:space="preserve"> the custody provisions articulated.</w:t>
      </w:r>
      <w:r w:rsidRPr="001A14FA">
        <w:rPr>
          <w:rFonts w:eastAsia="Times New Roman"/>
          <w:sz w:val="20"/>
          <w:szCs w:val="20"/>
          <w:vertAlign w:val="superscript"/>
          <w:lang w:eastAsia="zh-CN"/>
        </w:rPr>
        <w:footnoteReference w:id="28"/>
      </w:r>
      <w:r w:rsidRPr="001A14FA">
        <w:rPr>
          <w:rFonts w:eastAsia="Times New Roman"/>
          <w:sz w:val="20"/>
          <w:szCs w:val="20"/>
          <w:lang w:eastAsia="zh-CN"/>
        </w:rPr>
        <w:t xml:space="preserve"> Courts in Bahrain have repeatedly utilized the </w:t>
      </w:r>
      <w:r>
        <w:rPr>
          <w:rFonts w:eastAsia="Times New Roman"/>
          <w:sz w:val="20"/>
          <w:szCs w:val="20"/>
          <w:lang w:eastAsia="zh-CN"/>
        </w:rPr>
        <w:t>“</w:t>
      </w:r>
      <w:r w:rsidRPr="001A14FA">
        <w:rPr>
          <w:rFonts w:eastAsia="Times New Roman"/>
          <w:sz w:val="20"/>
          <w:szCs w:val="20"/>
          <w:lang w:eastAsia="zh-CN"/>
        </w:rPr>
        <w:t>best interests” analysis to deprive a mother of her custody rights</w:t>
      </w:r>
      <w:r w:rsidRPr="005D28ED">
        <w:rPr>
          <w:rFonts w:eastAsia="Times New Roman"/>
          <w:sz w:val="20"/>
          <w:szCs w:val="20"/>
          <w:lang w:eastAsia="zh-CN"/>
        </w:rPr>
        <w:t>. For instance, a Cassation Court ruling in 2019 held that a 15-year-old boy could not remain with his mother, even though that was his personal choice,</w:t>
      </w:r>
      <w:r w:rsidRPr="005D28ED">
        <w:rPr>
          <w:rFonts w:eastAsia="Times New Roman"/>
          <w:sz w:val="20"/>
          <w:szCs w:val="20"/>
          <w:vertAlign w:val="superscript"/>
          <w:lang w:eastAsia="zh-CN"/>
        </w:rPr>
        <w:footnoteReference w:id="29"/>
      </w:r>
      <w:r w:rsidRPr="005D28ED">
        <w:rPr>
          <w:rFonts w:eastAsia="Times New Roman"/>
          <w:sz w:val="20"/>
          <w:szCs w:val="20"/>
          <w:lang w:eastAsia="zh-CN"/>
        </w:rPr>
        <w:t xml:space="preserve"> because it was in the “best interests” of a boy his age to learn the moral of men from his father since he had outgrown the need of the service of women.</w:t>
      </w:r>
      <w:r w:rsidRPr="005D28ED">
        <w:rPr>
          <w:rFonts w:eastAsia="Times New Roman"/>
          <w:sz w:val="20"/>
          <w:szCs w:val="20"/>
          <w:vertAlign w:val="superscript"/>
          <w:lang w:eastAsia="zh-CN"/>
        </w:rPr>
        <w:footnoteReference w:id="30"/>
      </w:r>
    </w:p>
    <w:p w14:paraId="791A2183" w14:textId="77777777" w:rsidR="00901E5F" w:rsidRPr="001A14FA" w:rsidRDefault="00901E5F" w:rsidP="00901E5F">
      <w:pPr>
        <w:pStyle w:val="Normal1"/>
        <w:widowControl w:val="0"/>
        <w:spacing w:after="240" w:line="240" w:lineRule="auto"/>
        <w:jc w:val="both"/>
        <w:rPr>
          <w:rFonts w:ascii="Arial" w:eastAsia="Arial" w:hAnsi="Arial" w:cs="Arial"/>
          <w:b/>
          <w:i/>
          <w:noProof/>
          <w:sz w:val="20"/>
          <w:szCs w:val="20"/>
          <w:lang w:val="en-GB"/>
        </w:rPr>
      </w:pPr>
      <w:r w:rsidRPr="001A14FA">
        <w:rPr>
          <w:rFonts w:ascii="Arial" w:eastAsia="Arial" w:hAnsi="Arial" w:cs="Arial"/>
          <w:b/>
          <w:i/>
          <w:noProof/>
          <w:sz w:val="20"/>
          <w:szCs w:val="20"/>
          <w:lang w:val="en-GB"/>
        </w:rPr>
        <w:t>Guardianship of Children</w:t>
      </w:r>
    </w:p>
    <w:p w14:paraId="7A8488B0" w14:textId="77777777" w:rsidR="00901E5F" w:rsidRDefault="00901E5F" w:rsidP="00901E5F">
      <w:pPr>
        <w:jc w:val="both"/>
        <w:textAlignment w:val="baseline"/>
        <w:rPr>
          <w:rFonts w:eastAsia="Times New Roman"/>
          <w:sz w:val="20"/>
          <w:szCs w:val="20"/>
          <w:lang w:eastAsia="zh-CN"/>
        </w:rPr>
      </w:pPr>
      <w:r w:rsidRPr="001A14FA">
        <w:rPr>
          <w:rFonts w:eastAsia="Times New Roman"/>
          <w:sz w:val="20"/>
          <w:szCs w:val="20"/>
          <w:lang w:eastAsia="zh-CN"/>
        </w:rPr>
        <w:t>A woman cannot be guardian of her children under Bahraini law. A father has priority right over the guardianship of the children. In case of the father’s death, guardianship passes to male relatives of the father. A father or gua</w:t>
      </w:r>
      <w:r>
        <w:rPr>
          <w:rFonts w:eastAsia="Times New Roman"/>
          <w:sz w:val="20"/>
          <w:szCs w:val="20"/>
          <w:lang w:eastAsia="zh-CN"/>
        </w:rPr>
        <w:t>r</w:t>
      </w:r>
      <w:r w:rsidRPr="001A14FA">
        <w:rPr>
          <w:rFonts w:eastAsia="Times New Roman"/>
          <w:sz w:val="20"/>
          <w:szCs w:val="20"/>
          <w:lang w:eastAsia="zh-CN"/>
        </w:rPr>
        <w:t xml:space="preserve">dian has exclusive power to make decisions regarding the child’s affairs, upbringing, and education regardless of who maintains custody. Whereas the mother, even </w:t>
      </w:r>
      <w:r>
        <w:rPr>
          <w:rFonts w:eastAsia="Times New Roman"/>
          <w:sz w:val="20"/>
          <w:szCs w:val="20"/>
          <w:lang w:eastAsia="zh-CN"/>
        </w:rPr>
        <w:t>as</w:t>
      </w:r>
      <w:r w:rsidRPr="001A14FA">
        <w:rPr>
          <w:rFonts w:eastAsia="Times New Roman"/>
          <w:sz w:val="20"/>
          <w:szCs w:val="20"/>
          <w:lang w:eastAsia="zh-CN"/>
        </w:rPr>
        <w:t xml:space="preserve"> a custodian</w:t>
      </w:r>
      <w:r>
        <w:rPr>
          <w:rFonts w:eastAsia="Times New Roman"/>
          <w:sz w:val="20"/>
          <w:szCs w:val="20"/>
          <w:lang w:eastAsia="zh-CN"/>
        </w:rPr>
        <w:t>,</w:t>
      </w:r>
      <w:r w:rsidRPr="001A14FA">
        <w:rPr>
          <w:rFonts w:eastAsia="Times New Roman"/>
          <w:sz w:val="20"/>
          <w:szCs w:val="20"/>
          <w:lang w:eastAsia="zh-CN"/>
        </w:rPr>
        <w:t xml:space="preserve"> cannot make even the simplest </w:t>
      </w:r>
      <w:r>
        <w:rPr>
          <w:rFonts w:eastAsia="Times New Roman"/>
          <w:sz w:val="20"/>
          <w:szCs w:val="20"/>
          <w:lang w:eastAsia="zh-CN"/>
        </w:rPr>
        <w:t xml:space="preserve">of </w:t>
      </w:r>
      <w:r w:rsidRPr="001A14FA">
        <w:rPr>
          <w:rFonts w:eastAsia="Times New Roman"/>
          <w:sz w:val="20"/>
          <w:szCs w:val="20"/>
          <w:lang w:eastAsia="zh-CN"/>
        </w:rPr>
        <w:t>decisions for the child without the guardian’s assent. For example, medical decisions, place of residence, schooling, and anything else related to caring for the child are the sole decisions of the guardian.</w:t>
      </w:r>
    </w:p>
    <w:p w14:paraId="497CC0A6" w14:textId="77777777" w:rsidR="00901E5F" w:rsidRPr="001A14FA" w:rsidRDefault="00901E5F" w:rsidP="00901E5F">
      <w:pPr>
        <w:jc w:val="both"/>
        <w:textAlignment w:val="baseline"/>
        <w:rPr>
          <w:rFonts w:eastAsia="Times New Roman"/>
          <w:sz w:val="20"/>
          <w:szCs w:val="20"/>
          <w:lang w:eastAsia="zh-CN"/>
        </w:rPr>
      </w:pPr>
    </w:p>
    <w:p w14:paraId="0C5EF969" w14:textId="40570A24" w:rsidR="006F4ED2" w:rsidRDefault="00901E5F" w:rsidP="00901E5F">
      <w:pPr>
        <w:jc w:val="both"/>
        <w:rPr>
          <w:rFonts w:eastAsia="Times New Roman"/>
          <w:sz w:val="20"/>
          <w:szCs w:val="20"/>
          <w:lang w:eastAsia="zh-CN"/>
        </w:rPr>
      </w:pPr>
      <w:r w:rsidRPr="001A14FA">
        <w:rPr>
          <w:rFonts w:eastAsia="Times New Roman"/>
          <w:sz w:val="20"/>
          <w:szCs w:val="20"/>
          <w:lang w:eastAsia="zh-CN"/>
        </w:rPr>
        <w:t>Bahrain’s Financial Guardianship Law governs guardianship over a minor’s financial assets and property.</w:t>
      </w:r>
      <w:r w:rsidRPr="001A14FA">
        <w:rPr>
          <w:rFonts w:eastAsia="Times New Roman"/>
          <w:sz w:val="20"/>
          <w:szCs w:val="20"/>
          <w:vertAlign w:val="superscript"/>
          <w:lang w:eastAsia="zh-CN"/>
        </w:rPr>
        <w:footnoteReference w:id="31"/>
      </w:r>
      <w:r w:rsidRPr="001A14FA">
        <w:rPr>
          <w:rFonts w:eastAsia="Times New Roman"/>
          <w:sz w:val="20"/>
          <w:szCs w:val="20"/>
          <w:vertAlign w:val="superscript"/>
          <w:lang w:eastAsia="zh-CN"/>
        </w:rPr>
        <w:t xml:space="preserve"> </w:t>
      </w:r>
      <w:r w:rsidRPr="001A14FA">
        <w:rPr>
          <w:rFonts w:eastAsia="Times New Roman"/>
          <w:sz w:val="20"/>
          <w:szCs w:val="20"/>
          <w:lang w:eastAsia="zh-CN"/>
        </w:rPr>
        <w:t>This law states that a guardian must be male, adult, sane, and of the same religion as the child. In theory, a woman can go to court to claim guardianship of her children but to</w:t>
      </w:r>
      <w:r w:rsidRPr="001A14FA" w:rsidDel="644746B3">
        <w:rPr>
          <w:rFonts w:eastAsia="Times New Roman"/>
          <w:sz w:val="20"/>
          <w:szCs w:val="20"/>
          <w:lang w:eastAsia="zh-CN"/>
        </w:rPr>
        <w:t xml:space="preserve"> </w:t>
      </w:r>
      <w:r w:rsidRPr="001A14FA">
        <w:rPr>
          <w:rFonts w:eastAsia="Times New Roman"/>
          <w:sz w:val="20"/>
          <w:szCs w:val="20"/>
          <w:lang w:eastAsia="zh-CN"/>
        </w:rPr>
        <w:t>date, there are no court cases where the guardianship of the child, either under the Family Law or the Financial Guardianship Law, was awarded to a woman.</w:t>
      </w:r>
    </w:p>
    <w:p w14:paraId="166CFF18" w14:textId="278490A6" w:rsidR="00654938" w:rsidRDefault="00654938" w:rsidP="003A2EDE"/>
    <w:p w14:paraId="4E006DC5" w14:textId="145EF2D4" w:rsidR="006F4ED2" w:rsidRDefault="00CA7C43" w:rsidP="00AA30D0">
      <w:r w:rsidRPr="007E1BD3">
        <w:rPr>
          <w:noProof/>
        </w:rPr>
        <w:drawing>
          <wp:inline distT="0" distB="0" distL="0" distR="0" wp14:anchorId="199674C7" wp14:editId="0CE67055">
            <wp:extent cx="5677231" cy="261769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r="4396" b="4055"/>
                    <a:stretch/>
                  </pic:blipFill>
                  <pic:spPr bwMode="auto">
                    <a:xfrm>
                      <a:off x="0" y="0"/>
                      <a:ext cx="5697055" cy="2626837"/>
                    </a:xfrm>
                    <a:prstGeom prst="rect">
                      <a:avLst/>
                    </a:prstGeom>
                    <a:ln>
                      <a:noFill/>
                    </a:ln>
                    <a:extLst>
                      <a:ext uri="{53640926-AAD7-44D8-BBD7-CCE9431645EC}">
                        <a14:shadowObscured xmlns:a14="http://schemas.microsoft.com/office/drawing/2010/main"/>
                      </a:ext>
                    </a:extLst>
                  </pic:spPr>
                </pic:pic>
              </a:graphicData>
            </a:graphic>
          </wp:inline>
        </w:drawing>
      </w:r>
    </w:p>
    <w:p w14:paraId="7595A5A1" w14:textId="23ADE654" w:rsidR="00AA30D0" w:rsidRDefault="00AA30D0" w:rsidP="00AA30D0"/>
    <w:p w14:paraId="6169FCEE" w14:textId="3A191D30" w:rsidR="003A2EDE" w:rsidRDefault="003A2EDE" w:rsidP="00AA30D0"/>
    <w:p w14:paraId="70819566" w14:textId="77777777" w:rsidR="003A2EDE" w:rsidRDefault="003A2EDE" w:rsidP="00AA30D0"/>
    <w:p w14:paraId="2C41274A" w14:textId="6C1F8E17" w:rsidR="00901E5F" w:rsidRPr="00005B50" w:rsidRDefault="00901E5F" w:rsidP="00901E5F">
      <w:pPr>
        <w:pStyle w:val="Heading2"/>
        <w:rPr>
          <w:bCs/>
          <w:iCs/>
        </w:rPr>
      </w:pPr>
      <w:bookmarkStart w:id="20" w:name="_Toc124203709"/>
      <w:r>
        <w:t>Violence Against Women</w:t>
      </w:r>
      <w:r>
        <w:tab/>
      </w:r>
      <w:r>
        <w:tab/>
      </w:r>
      <w:r>
        <w:tab/>
      </w:r>
      <w:r>
        <w:tab/>
      </w:r>
      <w:r>
        <w:tab/>
      </w:r>
      <w:r>
        <w:tab/>
        <w:t xml:space="preserve">          </w:t>
      </w:r>
      <w:r w:rsidRPr="00005B50">
        <w:t>Article</w:t>
      </w:r>
      <w:r>
        <w:t xml:space="preserve"> 16</w:t>
      </w:r>
      <w:bookmarkEnd w:id="20"/>
    </w:p>
    <w:p w14:paraId="1AE529AA" w14:textId="77777777" w:rsidR="00901E5F" w:rsidRPr="001A14FA" w:rsidRDefault="00901E5F" w:rsidP="00852327">
      <w:pPr>
        <w:jc w:val="both"/>
        <w:textAlignment w:val="baseline"/>
        <w:rPr>
          <w:rFonts w:eastAsia="Times New Roman"/>
          <w:sz w:val="20"/>
          <w:szCs w:val="20"/>
          <w:lang w:eastAsia="zh-CN"/>
        </w:rPr>
      </w:pPr>
    </w:p>
    <w:p w14:paraId="7BB4A8C8" w14:textId="2A9A200C" w:rsidR="00901E5F" w:rsidRPr="001A14FA" w:rsidRDefault="00901E5F" w:rsidP="00073BC8">
      <w:pPr>
        <w:jc w:val="both"/>
        <w:textAlignment w:val="baseline"/>
        <w:rPr>
          <w:rFonts w:eastAsia="Times New Roman"/>
          <w:sz w:val="20"/>
          <w:szCs w:val="20"/>
          <w:lang w:eastAsia="zh-CN"/>
        </w:rPr>
      </w:pPr>
      <w:r w:rsidRPr="001A14FA">
        <w:rPr>
          <w:rFonts w:eastAsia="Times New Roman"/>
          <w:sz w:val="20"/>
          <w:szCs w:val="20"/>
          <w:lang w:eastAsia="zh-CN"/>
        </w:rPr>
        <w:t xml:space="preserve">In 2015, the Kingdom of Bahrain passed </w:t>
      </w:r>
      <w:r w:rsidRPr="003A2EDE">
        <w:rPr>
          <w:rFonts w:eastAsia="Times New Roman"/>
          <w:sz w:val="20"/>
          <w:szCs w:val="20"/>
          <w:lang w:eastAsia="zh-CN"/>
        </w:rPr>
        <w:t>a Domestic Violence Act</w:t>
      </w:r>
      <w:r w:rsidRPr="001A14FA">
        <w:rPr>
          <w:rFonts w:eastAsia="Times New Roman"/>
          <w:sz w:val="20"/>
          <w:szCs w:val="20"/>
          <w:vertAlign w:val="superscript"/>
          <w:lang w:eastAsia="zh-CN"/>
        </w:rPr>
        <w:footnoteReference w:id="32"/>
      </w:r>
      <w:r w:rsidRPr="001A14FA">
        <w:rPr>
          <w:rFonts w:eastAsia="Times New Roman"/>
          <w:sz w:val="20"/>
          <w:szCs w:val="20"/>
          <w:lang w:eastAsia="zh-CN"/>
        </w:rPr>
        <w:t xml:space="preserve"> aimed at providing protection against various types of violence within the family and establishing protective and preventive measures </w:t>
      </w:r>
      <w:r w:rsidRPr="001A14FA">
        <w:rPr>
          <w:rFonts w:eastAsia="Times New Roman"/>
          <w:sz w:val="20"/>
          <w:szCs w:val="20"/>
          <w:lang w:eastAsia="zh-CN"/>
        </w:rPr>
        <w:lastRenderedPageBreak/>
        <w:t>for victims of domestic violence.</w:t>
      </w:r>
      <w:r w:rsidRPr="001A14FA">
        <w:rPr>
          <w:rFonts w:eastAsia="Times New Roman"/>
          <w:sz w:val="20"/>
          <w:szCs w:val="20"/>
          <w:vertAlign w:val="superscript"/>
          <w:lang w:eastAsia="zh-CN"/>
        </w:rPr>
        <w:footnoteReference w:id="33"/>
      </w:r>
      <w:r w:rsidRPr="001A14FA">
        <w:rPr>
          <w:rFonts w:eastAsia="Times New Roman"/>
          <w:sz w:val="20"/>
          <w:szCs w:val="20"/>
          <w:lang w:eastAsia="zh-CN"/>
        </w:rPr>
        <w:t xml:space="preserve"> The Act </w:t>
      </w:r>
      <w:r w:rsidR="00073BC8">
        <w:rPr>
          <w:rFonts w:eastAsia="Times New Roman"/>
          <w:sz w:val="20"/>
          <w:szCs w:val="20"/>
          <w:lang w:eastAsia="zh-CN"/>
        </w:rPr>
        <w:t>includes</w:t>
      </w:r>
      <w:r w:rsidRPr="001A14FA">
        <w:rPr>
          <w:rFonts w:eastAsia="Times New Roman"/>
          <w:sz w:val="20"/>
          <w:szCs w:val="20"/>
          <w:lang w:eastAsia="zh-CN"/>
        </w:rPr>
        <w:t xml:space="preserve"> physical abuse, psychological abuse, sexual abuse, and “economic” abuse</w:t>
      </w:r>
      <w:r w:rsidR="00BF0A17">
        <w:rPr>
          <w:rFonts w:eastAsia="Times New Roman"/>
          <w:sz w:val="20"/>
          <w:szCs w:val="20"/>
          <w:lang w:eastAsia="zh-CN"/>
        </w:rPr>
        <w:t>,</w:t>
      </w:r>
      <w:r w:rsidRPr="001A14FA">
        <w:rPr>
          <w:rFonts w:eastAsia="Times New Roman"/>
          <w:sz w:val="20"/>
          <w:szCs w:val="20"/>
          <w:vertAlign w:val="superscript"/>
          <w:lang w:eastAsia="zh-CN"/>
        </w:rPr>
        <w:footnoteReference w:id="34"/>
      </w:r>
      <w:r w:rsidRPr="001A14FA">
        <w:rPr>
          <w:rFonts w:eastAsia="Times New Roman"/>
          <w:sz w:val="20"/>
          <w:szCs w:val="20"/>
          <w:lang w:eastAsia="zh-CN"/>
        </w:rPr>
        <w:t xml:space="preserve"> </w:t>
      </w:r>
      <w:r w:rsidR="00BF0A17">
        <w:rPr>
          <w:rFonts w:eastAsia="Times New Roman"/>
          <w:sz w:val="20"/>
          <w:szCs w:val="20"/>
          <w:lang w:eastAsia="zh-CN"/>
        </w:rPr>
        <w:t xml:space="preserve">and </w:t>
      </w:r>
      <w:r w:rsidRPr="001A14FA">
        <w:rPr>
          <w:rFonts w:eastAsia="Times New Roman"/>
          <w:sz w:val="20"/>
          <w:szCs w:val="20"/>
          <w:lang w:eastAsia="zh-CN"/>
        </w:rPr>
        <w:t>provides that victims have a right to request a protection order.</w:t>
      </w:r>
      <w:r w:rsidRPr="001A14FA">
        <w:rPr>
          <w:rFonts w:eastAsia="Times New Roman"/>
          <w:sz w:val="20"/>
          <w:szCs w:val="20"/>
          <w:vertAlign w:val="superscript"/>
          <w:lang w:eastAsia="zh-CN"/>
        </w:rPr>
        <w:footnoteReference w:id="35"/>
      </w:r>
      <w:r w:rsidR="00073BC8">
        <w:rPr>
          <w:rFonts w:eastAsia="Times New Roman"/>
          <w:sz w:val="20"/>
          <w:szCs w:val="20"/>
          <w:lang w:eastAsia="zh-CN"/>
        </w:rPr>
        <w:t xml:space="preserve"> It </w:t>
      </w:r>
      <w:r w:rsidRPr="001A14FA">
        <w:rPr>
          <w:rFonts w:eastAsia="Times New Roman"/>
          <w:sz w:val="20"/>
          <w:szCs w:val="20"/>
          <w:lang w:eastAsia="zh-CN"/>
        </w:rPr>
        <w:t xml:space="preserve">also states that the </w:t>
      </w:r>
      <w:r w:rsidR="00073BC8">
        <w:rPr>
          <w:rFonts w:eastAsia="Times New Roman"/>
          <w:sz w:val="20"/>
          <w:szCs w:val="20"/>
          <w:lang w:eastAsia="zh-CN"/>
        </w:rPr>
        <w:t>relevant Ministry shall</w:t>
      </w:r>
      <w:r w:rsidRPr="001A14FA">
        <w:rPr>
          <w:rFonts w:eastAsia="Times New Roman"/>
          <w:sz w:val="20"/>
          <w:szCs w:val="20"/>
          <w:lang w:eastAsia="zh-CN"/>
        </w:rPr>
        <w:t xml:space="preserve"> provide shelters </w:t>
      </w:r>
      <w:r w:rsidR="00BF0A17">
        <w:rPr>
          <w:rFonts w:eastAsia="Times New Roman"/>
          <w:sz w:val="20"/>
          <w:szCs w:val="20"/>
          <w:lang w:eastAsia="zh-CN"/>
        </w:rPr>
        <w:t xml:space="preserve">for </w:t>
      </w:r>
      <w:r w:rsidRPr="001A14FA">
        <w:rPr>
          <w:rFonts w:eastAsia="Times New Roman"/>
          <w:sz w:val="20"/>
          <w:szCs w:val="20"/>
          <w:lang w:eastAsia="zh-CN"/>
        </w:rPr>
        <w:t>victims, specializ</w:t>
      </w:r>
      <w:r>
        <w:rPr>
          <w:rFonts w:eastAsia="Times New Roman"/>
          <w:sz w:val="20"/>
          <w:szCs w:val="20"/>
          <w:lang w:eastAsia="zh-CN"/>
        </w:rPr>
        <w:t>ed</w:t>
      </w:r>
      <w:r w:rsidRPr="001A14FA">
        <w:rPr>
          <w:rFonts w:eastAsia="Times New Roman"/>
          <w:sz w:val="20"/>
          <w:szCs w:val="20"/>
          <w:lang w:eastAsia="zh-CN"/>
        </w:rPr>
        <w:t xml:space="preserve"> training</w:t>
      </w:r>
      <w:r w:rsidR="00073BC8">
        <w:rPr>
          <w:rFonts w:eastAsia="Times New Roman"/>
          <w:sz w:val="20"/>
          <w:szCs w:val="20"/>
          <w:lang w:eastAsia="zh-CN"/>
        </w:rPr>
        <w:t xml:space="preserve">s </w:t>
      </w:r>
      <w:r w:rsidR="00BF0A17">
        <w:rPr>
          <w:rFonts w:eastAsia="Times New Roman"/>
          <w:sz w:val="20"/>
          <w:szCs w:val="20"/>
          <w:lang w:eastAsia="zh-CN"/>
        </w:rPr>
        <w:t xml:space="preserve">for </w:t>
      </w:r>
      <w:r w:rsidRPr="001A14FA">
        <w:rPr>
          <w:rFonts w:eastAsia="Times New Roman"/>
          <w:sz w:val="20"/>
          <w:szCs w:val="20"/>
          <w:lang w:eastAsia="zh-CN"/>
        </w:rPr>
        <w:t>law enforcement officers, judges, and prosecutors, and mechanisms to monitor incidents of domestic violence.</w:t>
      </w:r>
      <w:r w:rsidRPr="001A14FA">
        <w:rPr>
          <w:rFonts w:eastAsia="Times New Roman"/>
          <w:sz w:val="20"/>
          <w:szCs w:val="20"/>
          <w:vertAlign w:val="superscript"/>
          <w:lang w:eastAsia="zh-CN"/>
        </w:rPr>
        <w:footnoteReference w:id="36"/>
      </w:r>
      <w:r w:rsidRPr="001A14FA">
        <w:rPr>
          <w:rFonts w:eastAsia="Times New Roman"/>
          <w:sz w:val="20"/>
          <w:szCs w:val="20"/>
          <w:vertAlign w:val="superscript"/>
          <w:lang w:eastAsia="zh-CN"/>
        </w:rPr>
        <w:t xml:space="preserve"> </w:t>
      </w:r>
      <w:r w:rsidRPr="001A14FA">
        <w:rPr>
          <w:rFonts w:eastAsia="Times New Roman"/>
          <w:sz w:val="20"/>
          <w:szCs w:val="20"/>
          <w:lang w:eastAsia="zh-CN"/>
        </w:rPr>
        <w:t xml:space="preserve"> </w:t>
      </w:r>
    </w:p>
    <w:p w14:paraId="33CA460C" w14:textId="77777777" w:rsidR="00901E5F" w:rsidRPr="001A14FA" w:rsidRDefault="00901E5F" w:rsidP="00852327">
      <w:pPr>
        <w:jc w:val="both"/>
        <w:textAlignment w:val="baseline"/>
        <w:rPr>
          <w:rFonts w:eastAsia="Times New Roman"/>
          <w:sz w:val="20"/>
          <w:szCs w:val="20"/>
          <w:lang w:eastAsia="zh-CN"/>
        </w:rPr>
      </w:pPr>
    </w:p>
    <w:p w14:paraId="6A1F8ED9" w14:textId="5E2B28C3" w:rsidR="00901E5F" w:rsidRPr="001A14FA" w:rsidRDefault="00901E5F" w:rsidP="00073BC8">
      <w:pPr>
        <w:jc w:val="both"/>
        <w:textAlignment w:val="baseline"/>
        <w:rPr>
          <w:rFonts w:eastAsia="Times New Roman"/>
          <w:sz w:val="20"/>
          <w:szCs w:val="20"/>
          <w:lang w:eastAsia="zh-CN"/>
        </w:rPr>
      </w:pPr>
      <w:r w:rsidRPr="001A14FA">
        <w:rPr>
          <w:rFonts w:eastAsia="Times New Roman"/>
          <w:sz w:val="20"/>
          <w:szCs w:val="20"/>
          <w:lang w:eastAsia="zh-CN"/>
        </w:rPr>
        <w:t xml:space="preserve">While passing </w:t>
      </w:r>
      <w:r w:rsidR="00BF0A17">
        <w:rPr>
          <w:rFonts w:eastAsia="Times New Roman"/>
          <w:sz w:val="20"/>
          <w:szCs w:val="20"/>
          <w:lang w:eastAsia="zh-CN"/>
        </w:rPr>
        <w:t xml:space="preserve">this </w:t>
      </w:r>
      <w:r w:rsidRPr="001A14FA">
        <w:rPr>
          <w:rFonts w:eastAsia="Times New Roman"/>
          <w:sz w:val="20"/>
          <w:szCs w:val="20"/>
          <w:lang w:eastAsia="zh-CN"/>
        </w:rPr>
        <w:t>Act was a significant step forward</w:t>
      </w:r>
      <w:r w:rsidR="00073BC8">
        <w:rPr>
          <w:rFonts w:eastAsia="Times New Roman"/>
          <w:sz w:val="20"/>
          <w:szCs w:val="20"/>
          <w:lang w:eastAsia="zh-CN"/>
        </w:rPr>
        <w:t xml:space="preserve">, </w:t>
      </w:r>
      <w:r w:rsidRPr="001A14FA">
        <w:rPr>
          <w:rFonts w:eastAsia="Times New Roman"/>
          <w:sz w:val="20"/>
          <w:szCs w:val="20"/>
          <w:lang w:eastAsia="zh-CN"/>
        </w:rPr>
        <w:t>according to local activists in Bahrain, domestic violence remains preval</w:t>
      </w:r>
      <w:r w:rsidR="00747629">
        <w:rPr>
          <w:rFonts w:eastAsia="Times New Roman"/>
          <w:sz w:val="20"/>
          <w:szCs w:val="20"/>
          <w:lang w:eastAsia="zh-CN"/>
        </w:rPr>
        <w:t>ent</w:t>
      </w:r>
      <w:r w:rsidRPr="001A14FA">
        <w:rPr>
          <w:rFonts w:eastAsia="Times New Roman"/>
          <w:sz w:val="20"/>
          <w:szCs w:val="20"/>
          <w:lang w:eastAsia="zh-CN"/>
        </w:rPr>
        <w:t>.</w:t>
      </w:r>
      <w:r w:rsidRPr="001A14FA">
        <w:rPr>
          <w:rFonts w:eastAsia="Times New Roman"/>
          <w:sz w:val="20"/>
          <w:szCs w:val="20"/>
          <w:vertAlign w:val="superscript"/>
          <w:lang w:eastAsia="zh-CN"/>
        </w:rPr>
        <w:footnoteReference w:id="37"/>
      </w:r>
      <w:r w:rsidRPr="001A14FA">
        <w:rPr>
          <w:rFonts w:eastAsia="Times New Roman"/>
          <w:sz w:val="20"/>
          <w:szCs w:val="20"/>
          <w:vertAlign w:val="superscript"/>
          <w:lang w:eastAsia="zh-CN"/>
        </w:rPr>
        <w:t xml:space="preserve"> </w:t>
      </w:r>
      <w:r w:rsidRPr="001A14FA">
        <w:rPr>
          <w:rFonts w:eastAsia="Times New Roman"/>
          <w:sz w:val="20"/>
          <w:szCs w:val="20"/>
          <w:lang w:eastAsia="zh-CN"/>
        </w:rPr>
        <w:t>The Act’s provisions defining domestic violence have not been cited by family courts when is</w:t>
      </w:r>
      <w:r>
        <w:rPr>
          <w:rFonts w:eastAsia="Times New Roman"/>
          <w:sz w:val="20"/>
          <w:szCs w:val="20"/>
          <w:lang w:eastAsia="zh-CN"/>
        </w:rPr>
        <w:t>s</w:t>
      </w:r>
      <w:r w:rsidRPr="001A14FA">
        <w:rPr>
          <w:rFonts w:eastAsia="Times New Roman"/>
          <w:sz w:val="20"/>
          <w:szCs w:val="20"/>
          <w:lang w:eastAsia="zh-CN"/>
        </w:rPr>
        <w:t>uing verdicts, according to a local activist, and it also has not been robustly enforced in practice.</w:t>
      </w:r>
      <w:r w:rsidRPr="001A14FA">
        <w:rPr>
          <w:rFonts w:eastAsia="Times New Roman"/>
          <w:sz w:val="20"/>
          <w:szCs w:val="20"/>
          <w:vertAlign w:val="superscript"/>
          <w:lang w:eastAsia="zh-CN"/>
        </w:rPr>
        <w:footnoteReference w:id="38"/>
      </w:r>
      <w:r w:rsidRPr="001A14FA">
        <w:rPr>
          <w:rFonts w:eastAsia="Times New Roman"/>
          <w:sz w:val="20"/>
          <w:szCs w:val="20"/>
          <w:vertAlign w:val="superscript"/>
          <w:lang w:eastAsia="zh-CN"/>
        </w:rPr>
        <w:t xml:space="preserve"> </w:t>
      </w:r>
      <w:r w:rsidRPr="001A14FA">
        <w:rPr>
          <w:rFonts w:eastAsia="Times New Roman"/>
          <w:sz w:val="20"/>
          <w:szCs w:val="20"/>
          <w:lang w:eastAsia="zh-CN"/>
        </w:rPr>
        <w:t>According to the U.S. State Department as of 2019, although the Act provides that police should be contacted about incidents of domestic violence and that the public prosecutor can investigate information it receives from police, in practice, victims of domestic violence “reported difficulty knowing whom to contact or how to proceed when filing a complaint.”</w:t>
      </w:r>
      <w:r w:rsidRPr="001A14FA">
        <w:rPr>
          <w:rFonts w:eastAsia="Times New Roman"/>
          <w:sz w:val="20"/>
          <w:szCs w:val="20"/>
          <w:vertAlign w:val="superscript"/>
          <w:lang w:eastAsia="zh-CN"/>
        </w:rPr>
        <w:footnoteReference w:id="39"/>
      </w:r>
    </w:p>
    <w:p w14:paraId="57B81DA8" w14:textId="77777777" w:rsidR="00901E5F" w:rsidRDefault="00901E5F" w:rsidP="00852327">
      <w:pPr>
        <w:jc w:val="both"/>
        <w:rPr>
          <w:rFonts w:ascii="Arial" w:eastAsia="Arial" w:hAnsi="Arial" w:cs="Arial"/>
          <w:noProof/>
          <w:sz w:val="20"/>
          <w:szCs w:val="20"/>
          <w:lang w:val="en-GB"/>
        </w:rPr>
      </w:pPr>
    </w:p>
    <w:p w14:paraId="4D56956A" w14:textId="77777777" w:rsidR="00901E5F" w:rsidRPr="001A14FA" w:rsidRDefault="00901E5F" w:rsidP="00852327">
      <w:pPr>
        <w:pStyle w:val="Normal1"/>
        <w:widowControl w:val="0"/>
        <w:spacing w:after="240" w:line="240" w:lineRule="auto"/>
        <w:jc w:val="both"/>
        <w:rPr>
          <w:rFonts w:ascii="Arial" w:eastAsia="Arial" w:hAnsi="Arial" w:cs="Arial"/>
          <w:b/>
          <w:i/>
          <w:noProof/>
          <w:sz w:val="20"/>
          <w:szCs w:val="20"/>
          <w:lang w:val="en-GB"/>
        </w:rPr>
      </w:pPr>
      <w:r w:rsidRPr="001A14FA">
        <w:rPr>
          <w:rFonts w:ascii="Arial" w:eastAsia="Arial" w:hAnsi="Arial" w:cs="Arial"/>
          <w:b/>
          <w:i/>
          <w:noProof/>
          <w:sz w:val="20"/>
          <w:szCs w:val="20"/>
          <w:lang w:val="en-GB"/>
        </w:rPr>
        <w:t>“Marry your Rapist” Provision in the Penal Code</w:t>
      </w:r>
    </w:p>
    <w:p w14:paraId="09BEC1E0" w14:textId="1B8C34B2" w:rsidR="00901E5F" w:rsidRPr="001A14FA" w:rsidRDefault="00901E5F" w:rsidP="00073BC8">
      <w:pPr>
        <w:jc w:val="both"/>
        <w:textAlignment w:val="baseline"/>
        <w:rPr>
          <w:rFonts w:eastAsia="Times New Roman"/>
          <w:sz w:val="20"/>
          <w:szCs w:val="20"/>
          <w:lang w:eastAsia="zh-CN"/>
        </w:rPr>
      </w:pPr>
      <w:r w:rsidRPr="001A14FA">
        <w:rPr>
          <w:rFonts w:eastAsia="Times New Roman"/>
          <w:sz w:val="20"/>
          <w:szCs w:val="20"/>
          <w:lang w:eastAsia="zh-CN"/>
        </w:rPr>
        <w:t>The 1976 Penal Code criminalizes rape and sexual assault and sets forth applicable penalties.</w:t>
      </w:r>
      <w:r w:rsidR="00073BC8">
        <w:rPr>
          <w:rFonts w:eastAsia="Times New Roman"/>
          <w:sz w:val="20"/>
          <w:szCs w:val="20"/>
          <w:lang w:eastAsia="zh-CN"/>
        </w:rPr>
        <w:t xml:space="preserve"> </w:t>
      </w:r>
      <w:r w:rsidRPr="001A14FA">
        <w:rPr>
          <w:rFonts w:eastAsia="Times New Roman"/>
          <w:sz w:val="20"/>
          <w:szCs w:val="20"/>
          <w:lang w:eastAsia="zh-CN"/>
        </w:rPr>
        <w:t>However, under Article 353 of the Penal Code, an offender is exempted from criminal prosecution for crimes of rape or sexual assault if he subsequently marries the victim, a legal reality that Bahrain does not dispute.</w:t>
      </w:r>
      <w:r w:rsidRPr="00814230">
        <w:rPr>
          <w:rFonts w:eastAsia="Times New Roman"/>
          <w:vertAlign w:val="superscript"/>
          <w:lang w:eastAsia="zh-CN"/>
        </w:rPr>
        <w:footnoteReference w:id="40"/>
      </w:r>
      <w:r w:rsidRPr="00814230">
        <w:rPr>
          <w:rFonts w:eastAsia="Times New Roman"/>
          <w:sz w:val="20"/>
          <w:szCs w:val="20"/>
          <w:vertAlign w:val="superscript"/>
          <w:lang w:eastAsia="zh-CN"/>
        </w:rPr>
        <w:t xml:space="preserve"> </w:t>
      </w:r>
      <w:r w:rsidRPr="001A14FA">
        <w:rPr>
          <w:rFonts w:eastAsia="Times New Roman"/>
          <w:sz w:val="20"/>
          <w:szCs w:val="20"/>
          <w:lang w:eastAsia="zh-CN"/>
        </w:rPr>
        <w:t>Moreover, the Penal Code does not specifically criminalize marital rape.</w:t>
      </w:r>
      <w:r w:rsidRPr="00814230">
        <w:rPr>
          <w:rFonts w:eastAsia="Times New Roman"/>
          <w:vertAlign w:val="superscript"/>
          <w:lang w:eastAsia="zh-CN"/>
        </w:rPr>
        <w:footnoteReference w:id="41"/>
      </w:r>
    </w:p>
    <w:p w14:paraId="2191DFA2" w14:textId="77777777" w:rsidR="00901E5F" w:rsidRDefault="00901E5F" w:rsidP="00852327">
      <w:pPr>
        <w:jc w:val="both"/>
        <w:textAlignment w:val="baseline"/>
        <w:rPr>
          <w:rFonts w:eastAsia="Times New Roman"/>
          <w:sz w:val="20"/>
          <w:szCs w:val="20"/>
          <w:lang w:eastAsia="zh-CN"/>
        </w:rPr>
      </w:pPr>
    </w:p>
    <w:p w14:paraId="762071F5" w14:textId="684B087F" w:rsidR="00901E5F" w:rsidRDefault="00901E5F" w:rsidP="00852327">
      <w:pPr>
        <w:jc w:val="both"/>
        <w:textAlignment w:val="baseline"/>
        <w:rPr>
          <w:rFonts w:eastAsia="Times New Roman"/>
          <w:sz w:val="20"/>
          <w:szCs w:val="20"/>
          <w:lang w:eastAsia="zh-CN"/>
        </w:rPr>
      </w:pPr>
      <w:r w:rsidRPr="001A14FA">
        <w:rPr>
          <w:rFonts w:eastAsia="Times New Roman"/>
          <w:sz w:val="20"/>
          <w:szCs w:val="20"/>
          <w:lang w:eastAsia="zh-CN"/>
        </w:rPr>
        <w:t>Although Bahrain has informed the Committee that a bill that would repeal Article 353 has been proposed, Bahrain has declined the Committee’s request to provide a detailed update on the status of that bill and ongoing efforts to repeal Article 353.</w:t>
      </w:r>
      <w:r w:rsidRPr="00814230">
        <w:rPr>
          <w:rFonts w:eastAsia="Times New Roman"/>
          <w:vertAlign w:val="superscript"/>
          <w:lang w:eastAsia="zh-CN"/>
        </w:rPr>
        <w:footnoteReference w:id="42"/>
      </w:r>
    </w:p>
    <w:p w14:paraId="55C0BE10" w14:textId="77777777" w:rsidR="00901E5F" w:rsidRPr="00930EAC" w:rsidRDefault="00901E5F" w:rsidP="00852327">
      <w:pPr>
        <w:jc w:val="both"/>
        <w:textAlignment w:val="baseline"/>
        <w:rPr>
          <w:rFonts w:eastAsia="Times New Roman"/>
          <w:sz w:val="20"/>
          <w:szCs w:val="20"/>
          <w:lang w:eastAsia="zh-CN"/>
        </w:rPr>
      </w:pPr>
    </w:p>
    <w:p w14:paraId="5E48419B" w14:textId="77777777" w:rsidR="00901E5F" w:rsidRPr="00930EAC" w:rsidRDefault="00901E5F" w:rsidP="00852327">
      <w:pPr>
        <w:pStyle w:val="Normal1"/>
        <w:widowControl w:val="0"/>
        <w:spacing w:after="240" w:line="240" w:lineRule="auto"/>
        <w:jc w:val="both"/>
        <w:rPr>
          <w:rFonts w:ascii="Arial" w:eastAsia="Arial" w:hAnsi="Arial" w:cs="Arial"/>
          <w:b/>
          <w:i/>
          <w:noProof/>
          <w:sz w:val="20"/>
          <w:szCs w:val="20"/>
          <w:lang w:val="en-GB"/>
        </w:rPr>
      </w:pPr>
      <w:r w:rsidRPr="00930EAC">
        <w:rPr>
          <w:rFonts w:ascii="Arial" w:eastAsia="Arial" w:hAnsi="Arial" w:cs="Arial"/>
          <w:b/>
          <w:i/>
          <w:noProof/>
          <w:sz w:val="20"/>
          <w:szCs w:val="20"/>
          <w:lang w:val="en-GB"/>
        </w:rPr>
        <w:t>Honor crimes in the Penal Code</w:t>
      </w:r>
    </w:p>
    <w:p w14:paraId="1509B054" w14:textId="77777777" w:rsidR="00901E5F" w:rsidRDefault="00901E5F" w:rsidP="00852327">
      <w:pPr>
        <w:jc w:val="both"/>
        <w:textAlignment w:val="baseline"/>
        <w:rPr>
          <w:rFonts w:eastAsia="Times New Roman"/>
          <w:sz w:val="20"/>
          <w:szCs w:val="20"/>
          <w:lang w:eastAsia="zh-CN"/>
        </w:rPr>
      </w:pPr>
      <w:r w:rsidRPr="00814230">
        <w:rPr>
          <w:rFonts w:eastAsia="Times New Roman"/>
          <w:sz w:val="20"/>
          <w:szCs w:val="20"/>
          <w:lang w:eastAsia="zh-CN"/>
        </w:rPr>
        <w:t>Although Bahrain insisted to the Committee that “there is no such thing as honour crimes in Bahrain,”</w:t>
      </w:r>
      <w:r w:rsidRPr="00814230">
        <w:rPr>
          <w:rFonts w:eastAsia="Times New Roman"/>
          <w:vertAlign w:val="superscript"/>
          <w:lang w:eastAsia="zh-CN"/>
        </w:rPr>
        <w:footnoteReference w:id="43"/>
      </w:r>
      <w:r w:rsidRPr="00814230">
        <w:rPr>
          <w:rFonts w:eastAsia="Times New Roman"/>
          <w:sz w:val="20"/>
          <w:szCs w:val="20"/>
          <w:lang w:eastAsia="zh-CN"/>
        </w:rPr>
        <w:t xml:space="preserve"> Penal Code Article 334 nevertheless permits mitigated penalties for any person who, upon discovering his or her spouse in the act of adultery, fatally assaults his or her spouse or the spouse’s partner.</w:t>
      </w:r>
      <w:r w:rsidRPr="00814230">
        <w:rPr>
          <w:rFonts w:eastAsia="Times New Roman"/>
          <w:vertAlign w:val="superscript"/>
          <w:lang w:eastAsia="zh-CN"/>
        </w:rPr>
        <w:footnoteReference w:id="44"/>
      </w:r>
      <w:r w:rsidRPr="00814230">
        <w:rPr>
          <w:rFonts w:eastAsia="Times New Roman"/>
          <w:sz w:val="20"/>
          <w:szCs w:val="20"/>
          <w:vertAlign w:val="superscript"/>
          <w:lang w:eastAsia="zh-CN"/>
        </w:rPr>
        <w:t xml:space="preserve"> </w:t>
      </w:r>
      <w:r w:rsidRPr="00814230">
        <w:rPr>
          <w:rFonts w:eastAsia="Times New Roman"/>
          <w:sz w:val="20"/>
          <w:szCs w:val="20"/>
          <w:lang w:eastAsia="zh-CN"/>
        </w:rPr>
        <w:t>Meanwhile, under Article 16, “[n]othing is an offence which is done in exercise of a right justified by law or custom.”</w:t>
      </w:r>
      <w:r w:rsidRPr="00814230">
        <w:rPr>
          <w:rFonts w:eastAsia="Times New Roman"/>
          <w:sz w:val="20"/>
          <w:szCs w:val="20"/>
          <w:vertAlign w:val="superscript"/>
          <w:lang w:eastAsia="zh-CN"/>
        </w:rPr>
        <w:footnoteReference w:id="45"/>
      </w:r>
    </w:p>
    <w:p w14:paraId="2FBE31E7" w14:textId="77777777" w:rsidR="00901E5F" w:rsidRPr="00814230" w:rsidRDefault="00901E5F" w:rsidP="00852327">
      <w:pPr>
        <w:jc w:val="both"/>
        <w:textAlignment w:val="baseline"/>
        <w:rPr>
          <w:rFonts w:eastAsia="Times New Roman"/>
          <w:sz w:val="20"/>
          <w:szCs w:val="20"/>
          <w:lang w:eastAsia="zh-CN"/>
        </w:rPr>
      </w:pPr>
    </w:p>
    <w:p w14:paraId="722491BD" w14:textId="289D6A65" w:rsidR="00901E5F" w:rsidRDefault="00901E5F" w:rsidP="00852327">
      <w:pPr>
        <w:jc w:val="both"/>
        <w:rPr>
          <w:rFonts w:eastAsia="Times New Roman"/>
          <w:sz w:val="20"/>
          <w:szCs w:val="20"/>
          <w:lang w:eastAsia="zh-CN"/>
        </w:rPr>
      </w:pPr>
      <w:r w:rsidRPr="00814230">
        <w:rPr>
          <w:rFonts w:eastAsia="Times New Roman"/>
          <w:sz w:val="20"/>
          <w:szCs w:val="20"/>
          <w:lang w:eastAsia="zh-CN"/>
        </w:rPr>
        <w:t xml:space="preserve">Bahrain noted in its 2018 </w:t>
      </w:r>
      <w:r>
        <w:rPr>
          <w:rFonts w:eastAsia="Times New Roman"/>
          <w:sz w:val="20"/>
          <w:szCs w:val="20"/>
          <w:lang w:eastAsia="zh-CN"/>
        </w:rPr>
        <w:t>S</w:t>
      </w:r>
      <w:r w:rsidRPr="00814230">
        <w:rPr>
          <w:rFonts w:eastAsia="Times New Roman"/>
          <w:sz w:val="20"/>
          <w:szCs w:val="20"/>
          <w:lang w:eastAsia="zh-CN"/>
        </w:rPr>
        <w:t xml:space="preserve">tate </w:t>
      </w:r>
      <w:r>
        <w:rPr>
          <w:rFonts w:eastAsia="Times New Roman"/>
          <w:sz w:val="20"/>
          <w:szCs w:val="20"/>
          <w:lang w:eastAsia="zh-CN"/>
        </w:rPr>
        <w:t>P</w:t>
      </w:r>
      <w:r w:rsidRPr="00814230">
        <w:rPr>
          <w:rFonts w:eastAsia="Times New Roman"/>
          <w:sz w:val="20"/>
          <w:szCs w:val="20"/>
          <w:lang w:eastAsia="zh-CN"/>
        </w:rPr>
        <w:t>arty report that a bill that would amend Articles 16 and 334 had been proposed. However, it did not address the Committee’s request for an update on the status of that bill in its response.</w:t>
      </w:r>
      <w:r w:rsidRPr="00814230">
        <w:rPr>
          <w:rFonts w:eastAsia="Times New Roman"/>
          <w:vertAlign w:val="superscript"/>
          <w:lang w:eastAsia="zh-CN"/>
        </w:rPr>
        <w:footnoteReference w:id="46"/>
      </w:r>
    </w:p>
    <w:p w14:paraId="254C72AC" w14:textId="00D7EB4F" w:rsidR="00CA7C43" w:rsidRDefault="00CA7C43" w:rsidP="00852327">
      <w:pPr>
        <w:jc w:val="both"/>
        <w:rPr>
          <w:rFonts w:eastAsia="Times New Roman"/>
          <w:sz w:val="20"/>
          <w:szCs w:val="20"/>
          <w:lang w:eastAsia="zh-CN"/>
        </w:rPr>
      </w:pPr>
    </w:p>
    <w:p w14:paraId="71736C79" w14:textId="2F673FC4" w:rsidR="00852327" w:rsidRPr="00CA7C43" w:rsidRDefault="00CA7C43" w:rsidP="00CA7C43">
      <w:pPr>
        <w:jc w:val="both"/>
        <w:rPr>
          <w:rFonts w:eastAsia="Times New Roman"/>
          <w:sz w:val="20"/>
          <w:szCs w:val="20"/>
          <w:lang w:eastAsia="zh-CN"/>
        </w:rPr>
      </w:pPr>
      <w:r w:rsidRPr="007E1BD3">
        <w:rPr>
          <w:noProof/>
        </w:rPr>
        <w:lastRenderedPageBreak/>
        <w:drawing>
          <wp:inline distT="0" distB="0" distL="0" distR="0" wp14:anchorId="33759EE4" wp14:editId="2EA29CD4">
            <wp:extent cx="5677231" cy="501030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r="4396" b="2265"/>
                    <a:stretch/>
                  </pic:blipFill>
                  <pic:spPr bwMode="auto">
                    <a:xfrm>
                      <a:off x="0" y="0"/>
                      <a:ext cx="5685570" cy="5017662"/>
                    </a:xfrm>
                    <a:prstGeom prst="rect">
                      <a:avLst/>
                    </a:prstGeom>
                    <a:ln>
                      <a:noFill/>
                    </a:ln>
                    <a:extLst>
                      <a:ext uri="{53640926-AAD7-44D8-BBD7-CCE9431645EC}">
                        <a14:shadowObscured xmlns:a14="http://schemas.microsoft.com/office/drawing/2010/main"/>
                      </a:ext>
                    </a:extLst>
                  </pic:spPr>
                </pic:pic>
              </a:graphicData>
            </a:graphic>
          </wp:inline>
        </w:drawing>
      </w:r>
    </w:p>
    <w:p w14:paraId="1E6173C8" w14:textId="1BA3850B" w:rsidR="00084E61" w:rsidRDefault="00084E61" w:rsidP="00852327">
      <w:pPr>
        <w:jc w:val="both"/>
      </w:pPr>
    </w:p>
    <w:p w14:paraId="49810CA5" w14:textId="0FC2A977" w:rsidR="00084E61" w:rsidRPr="00005B50" w:rsidRDefault="00084E61" w:rsidP="00084E61">
      <w:pPr>
        <w:pStyle w:val="Heading2"/>
        <w:rPr>
          <w:bCs/>
          <w:iCs/>
        </w:rPr>
      </w:pPr>
      <w:bookmarkStart w:id="21" w:name="_Toc124203710"/>
      <w:r>
        <w:t>Nationality</w:t>
      </w:r>
      <w:r>
        <w:tab/>
      </w:r>
      <w:r>
        <w:tab/>
      </w:r>
      <w:r>
        <w:tab/>
      </w:r>
      <w:r>
        <w:tab/>
      </w:r>
      <w:r>
        <w:tab/>
      </w:r>
      <w:r>
        <w:tab/>
      </w:r>
      <w:r>
        <w:tab/>
      </w:r>
      <w:r>
        <w:tab/>
        <w:t xml:space="preserve">            </w:t>
      </w:r>
      <w:r w:rsidRPr="00005B50">
        <w:t>Article</w:t>
      </w:r>
      <w:r>
        <w:t xml:space="preserve"> 9</w:t>
      </w:r>
      <w:bookmarkEnd w:id="21"/>
    </w:p>
    <w:p w14:paraId="6B33B21D" w14:textId="06BAF59A" w:rsidR="00084E61" w:rsidRDefault="00084E61" w:rsidP="00852327">
      <w:pPr>
        <w:jc w:val="both"/>
      </w:pPr>
    </w:p>
    <w:p w14:paraId="5695F89F" w14:textId="77777777" w:rsidR="001E0AE4" w:rsidRDefault="001E0AE4" w:rsidP="00CA7C43">
      <w:pPr>
        <w:jc w:val="both"/>
        <w:textAlignment w:val="baseline"/>
        <w:rPr>
          <w:rFonts w:eastAsia="Times New Roman"/>
          <w:sz w:val="20"/>
          <w:szCs w:val="20"/>
          <w:lang w:eastAsia="zh-CN"/>
        </w:rPr>
      </w:pPr>
      <w:r w:rsidRPr="00814230">
        <w:rPr>
          <w:rFonts w:eastAsia="Times New Roman"/>
          <w:sz w:val="20"/>
          <w:szCs w:val="20"/>
          <w:lang w:eastAsia="zh-CN"/>
        </w:rPr>
        <w:t>According to statistics published by the Bahraini Ministry of Justice and Islamic Affairs, 5% of the 5,091 Bahraini women who were married in 2020 wed a foreign spouse.</w:t>
      </w:r>
      <w:r w:rsidRPr="00814230">
        <w:rPr>
          <w:rFonts w:eastAsia="Times New Roman"/>
          <w:sz w:val="20"/>
          <w:szCs w:val="20"/>
          <w:vertAlign w:val="superscript"/>
          <w:lang w:eastAsia="zh-CN"/>
        </w:rPr>
        <w:footnoteReference w:id="47"/>
      </w:r>
    </w:p>
    <w:p w14:paraId="526FDC27" w14:textId="77777777" w:rsidR="001E0AE4" w:rsidRPr="00814230" w:rsidRDefault="001E0AE4" w:rsidP="00CA7C43">
      <w:pPr>
        <w:jc w:val="both"/>
        <w:textAlignment w:val="baseline"/>
        <w:rPr>
          <w:rFonts w:eastAsia="Times New Roman"/>
          <w:sz w:val="20"/>
          <w:szCs w:val="20"/>
          <w:lang w:eastAsia="zh-CN"/>
        </w:rPr>
      </w:pPr>
    </w:p>
    <w:p w14:paraId="285DAFB1" w14:textId="77777777" w:rsidR="001E0AE4" w:rsidRDefault="001E0AE4" w:rsidP="00CA7C43">
      <w:pPr>
        <w:jc w:val="both"/>
        <w:textAlignment w:val="baseline"/>
        <w:rPr>
          <w:rFonts w:eastAsia="Times New Roman"/>
          <w:sz w:val="20"/>
          <w:szCs w:val="20"/>
          <w:lang w:eastAsia="zh-CN"/>
        </w:rPr>
      </w:pPr>
      <w:r w:rsidRPr="00814230">
        <w:rPr>
          <w:rFonts w:eastAsia="Times New Roman"/>
          <w:sz w:val="20"/>
          <w:szCs w:val="20"/>
          <w:lang w:eastAsia="zh-CN"/>
        </w:rPr>
        <w:t>Bahrain</w:t>
      </w:r>
      <w:r>
        <w:rPr>
          <w:rFonts w:eastAsia="Times New Roman"/>
          <w:sz w:val="20"/>
          <w:szCs w:val="20"/>
          <w:lang w:eastAsia="zh-CN"/>
        </w:rPr>
        <w:t>’s</w:t>
      </w:r>
      <w:r w:rsidRPr="00814230">
        <w:rPr>
          <w:rFonts w:eastAsia="Times New Roman"/>
          <w:sz w:val="20"/>
          <w:szCs w:val="20"/>
          <w:lang w:eastAsia="zh-CN"/>
        </w:rPr>
        <w:t xml:space="preserve"> </w:t>
      </w:r>
      <w:r>
        <w:rPr>
          <w:rFonts w:eastAsia="Times New Roman"/>
          <w:sz w:val="20"/>
          <w:szCs w:val="20"/>
          <w:lang w:eastAsia="zh-CN"/>
        </w:rPr>
        <w:t>N</w:t>
      </w:r>
      <w:r w:rsidRPr="00814230">
        <w:rPr>
          <w:rFonts w:eastAsia="Times New Roman"/>
          <w:sz w:val="20"/>
          <w:szCs w:val="20"/>
          <w:lang w:eastAsia="zh-CN"/>
        </w:rPr>
        <w:t xml:space="preserve">ationality </w:t>
      </w:r>
      <w:r>
        <w:rPr>
          <w:rFonts w:eastAsia="Times New Roman"/>
          <w:sz w:val="20"/>
          <w:szCs w:val="20"/>
          <w:lang w:eastAsia="zh-CN"/>
        </w:rPr>
        <w:t>L</w:t>
      </w:r>
      <w:r w:rsidRPr="00814230">
        <w:rPr>
          <w:rFonts w:eastAsia="Times New Roman"/>
          <w:sz w:val="20"/>
          <w:szCs w:val="20"/>
          <w:lang w:eastAsia="zh-CN"/>
        </w:rPr>
        <w:t>aw</w:t>
      </w:r>
      <w:r>
        <w:rPr>
          <w:rFonts w:eastAsia="Times New Roman"/>
          <w:sz w:val="20"/>
          <w:szCs w:val="20"/>
          <w:lang w:eastAsia="zh-CN"/>
        </w:rPr>
        <w:t xml:space="preserve"> </w:t>
      </w:r>
      <w:r w:rsidRPr="00814230">
        <w:rPr>
          <w:rFonts w:eastAsia="Times New Roman"/>
          <w:sz w:val="20"/>
          <w:szCs w:val="20"/>
          <w:lang w:eastAsia="zh-CN"/>
        </w:rPr>
        <w:t xml:space="preserve">of 1963 imposes significant restrictions and additional conditions that limit Bahraini women’s ability to pass citizenship onto their children or onto their foreign spouses; Bahraini men are not subject to the same limitations. </w:t>
      </w:r>
    </w:p>
    <w:p w14:paraId="2D29E5E1" w14:textId="77777777" w:rsidR="001E0AE4" w:rsidRPr="00814230" w:rsidRDefault="001E0AE4" w:rsidP="00CA7C43">
      <w:pPr>
        <w:jc w:val="both"/>
        <w:textAlignment w:val="baseline"/>
        <w:rPr>
          <w:rFonts w:eastAsia="Times New Roman"/>
          <w:sz w:val="20"/>
          <w:szCs w:val="20"/>
          <w:lang w:eastAsia="zh-CN"/>
        </w:rPr>
      </w:pPr>
    </w:p>
    <w:p w14:paraId="3B64B4A4" w14:textId="093E5119" w:rsidR="001E0AE4" w:rsidRPr="00814230" w:rsidRDefault="001E0AE4" w:rsidP="00CA7C43">
      <w:pPr>
        <w:jc w:val="both"/>
        <w:textAlignment w:val="baseline"/>
        <w:rPr>
          <w:rFonts w:eastAsia="Times New Roman"/>
          <w:sz w:val="20"/>
          <w:szCs w:val="20"/>
          <w:lang w:eastAsia="zh-CN"/>
        </w:rPr>
      </w:pPr>
      <w:r w:rsidRPr="00814230">
        <w:rPr>
          <w:rFonts w:eastAsia="Times New Roman"/>
          <w:sz w:val="20"/>
          <w:szCs w:val="20"/>
          <w:lang w:eastAsia="zh-CN"/>
        </w:rPr>
        <w:t>The Nationality Act of 1963 provides that a child born to a Bahraini father automatically gains Bahraini citizenship at birth, regardless of birthplace, and regardless of the citizenship status of the mother.</w:t>
      </w:r>
      <w:r w:rsidRPr="00814230">
        <w:rPr>
          <w:rFonts w:eastAsia="Times New Roman"/>
          <w:sz w:val="20"/>
          <w:szCs w:val="20"/>
          <w:vertAlign w:val="superscript"/>
          <w:lang w:eastAsia="zh-CN"/>
        </w:rPr>
        <w:footnoteReference w:id="48"/>
      </w:r>
      <w:r w:rsidRPr="00814230">
        <w:rPr>
          <w:rFonts w:eastAsia="Times New Roman"/>
          <w:sz w:val="20"/>
          <w:szCs w:val="20"/>
          <w:vertAlign w:val="superscript"/>
          <w:lang w:eastAsia="zh-CN"/>
        </w:rPr>
        <w:t xml:space="preserve"> </w:t>
      </w:r>
      <w:r w:rsidRPr="00814230">
        <w:rPr>
          <w:rFonts w:eastAsia="Times New Roman"/>
          <w:sz w:val="20"/>
          <w:szCs w:val="20"/>
          <w:lang w:eastAsia="zh-CN"/>
        </w:rPr>
        <w:t>However, if a child is born to a Bahraini mother and a non-Bahraini father, the child is a Bahraini citizen at birth only if the identity of the father is unknown or paternity has not been legally established.</w:t>
      </w:r>
      <w:r w:rsidRPr="00814230">
        <w:rPr>
          <w:rFonts w:eastAsia="Times New Roman"/>
          <w:sz w:val="20"/>
          <w:szCs w:val="20"/>
          <w:vertAlign w:val="superscript"/>
          <w:lang w:eastAsia="zh-CN"/>
        </w:rPr>
        <w:footnoteReference w:id="49"/>
      </w:r>
      <w:r w:rsidRPr="00814230">
        <w:rPr>
          <w:rFonts w:eastAsia="Times New Roman"/>
          <w:sz w:val="20"/>
          <w:szCs w:val="20"/>
          <w:lang w:eastAsia="zh-CN"/>
        </w:rPr>
        <w:t xml:space="preserve"> In effect, this leaves children of Bahraini women married to foreign spouses at heightened risk of statelessness and deportation. In addition, the Nationality Act provides that a Bahraini man may confer Bahraini citizenship to his foreign wife upon request to the Bahraini government, whereas the Act does not specifically provide any parallel means through which a Bahraini woman may confer Bahraini citizenship to her foreign husband.</w:t>
      </w:r>
      <w:r w:rsidRPr="00814230">
        <w:rPr>
          <w:rFonts w:eastAsia="Times New Roman"/>
          <w:sz w:val="20"/>
          <w:szCs w:val="20"/>
          <w:vertAlign w:val="superscript"/>
          <w:lang w:eastAsia="zh-CN"/>
        </w:rPr>
        <w:footnoteReference w:id="50"/>
      </w:r>
    </w:p>
    <w:p w14:paraId="2172D17F" w14:textId="77777777" w:rsidR="001E0AE4" w:rsidRPr="00814230" w:rsidRDefault="001E0AE4" w:rsidP="00CA7C43">
      <w:pPr>
        <w:jc w:val="both"/>
        <w:textAlignment w:val="baseline"/>
        <w:rPr>
          <w:rFonts w:eastAsia="Times New Roman"/>
          <w:sz w:val="20"/>
          <w:szCs w:val="20"/>
          <w:lang w:eastAsia="zh-CN"/>
        </w:rPr>
      </w:pPr>
    </w:p>
    <w:p w14:paraId="4CDBA76A" w14:textId="7707E88C" w:rsidR="001E0AE4" w:rsidRDefault="001E0AE4" w:rsidP="00CA7C43">
      <w:pPr>
        <w:jc w:val="both"/>
        <w:textAlignment w:val="baseline"/>
        <w:rPr>
          <w:rFonts w:eastAsia="Times New Roman"/>
          <w:sz w:val="20"/>
          <w:szCs w:val="20"/>
          <w:lang w:eastAsia="zh-CN"/>
        </w:rPr>
      </w:pPr>
      <w:r w:rsidRPr="00814230">
        <w:rPr>
          <w:rFonts w:eastAsia="Times New Roman"/>
          <w:sz w:val="20"/>
          <w:szCs w:val="20"/>
          <w:lang w:eastAsia="zh-CN"/>
        </w:rPr>
        <w:t xml:space="preserve">Bahrain has taken some positive steps to alleviate </w:t>
      </w:r>
      <w:r w:rsidR="00BB6289">
        <w:rPr>
          <w:rFonts w:eastAsia="Times New Roman"/>
          <w:sz w:val="20"/>
          <w:szCs w:val="20"/>
          <w:lang w:eastAsia="zh-CN"/>
        </w:rPr>
        <w:t>this</w:t>
      </w:r>
      <w:r w:rsidRPr="00814230">
        <w:rPr>
          <w:rFonts w:eastAsia="Times New Roman"/>
          <w:sz w:val="20"/>
          <w:szCs w:val="20"/>
          <w:lang w:eastAsia="zh-CN"/>
        </w:rPr>
        <w:t xml:space="preserve"> suffering and unequal treatment. For example, under Act. No. 35 of 2009, the children of Bahraini women married to foreigners are subject to the same exemptions as Bahraini nationals from certain fees for government health and educational services and for residency.</w:t>
      </w:r>
      <w:r w:rsidRPr="00814230">
        <w:rPr>
          <w:rFonts w:eastAsia="Times New Roman"/>
          <w:sz w:val="20"/>
          <w:szCs w:val="20"/>
          <w:vertAlign w:val="superscript"/>
          <w:lang w:eastAsia="zh-CN"/>
        </w:rPr>
        <w:footnoteReference w:id="51"/>
      </w:r>
      <w:r w:rsidRPr="00814230">
        <w:rPr>
          <w:rFonts w:eastAsia="Times New Roman"/>
          <w:sz w:val="20"/>
          <w:szCs w:val="20"/>
          <w:vertAlign w:val="superscript"/>
          <w:lang w:eastAsia="zh-CN"/>
        </w:rPr>
        <w:t xml:space="preserve"> </w:t>
      </w:r>
      <w:r w:rsidRPr="00814230">
        <w:rPr>
          <w:rFonts w:eastAsia="Times New Roman"/>
          <w:sz w:val="20"/>
          <w:szCs w:val="20"/>
          <w:lang w:eastAsia="zh-CN"/>
        </w:rPr>
        <w:t xml:space="preserve">However, Bahrain has acknowledged that these measures are </w:t>
      </w:r>
      <w:r w:rsidRPr="00814230">
        <w:rPr>
          <w:rFonts w:eastAsia="Times New Roman"/>
          <w:sz w:val="20"/>
          <w:szCs w:val="20"/>
          <w:lang w:eastAsia="zh-CN"/>
        </w:rPr>
        <w:lastRenderedPageBreak/>
        <w:t>“temporary” pending a comprehensive amendment of the Nationality Act that grants legal equality to Bahraini women married to foreigners.</w:t>
      </w:r>
      <w:r w:rsidRPr="00814230">
        <w:rPr>
          <w:rFonts w:eastAsia="Times New Roman"/>
          <w:sz w:val="20"/>
          <w:szCs w:val="20"/>
          <w:vertAlign w:val="superscript"/>
          <w:lang w:eastAsia="zh-CN"/>
        </w:rPr>
        <w:footnoteReference w:id="52"/>
      </w:r>
    </w:p>
    <w:p w14:paraId="21B262C7" w14:textId="77777777" w:rsidR="001E0AE4" w:rsidRPr="00814230" w:rsidRDefault="001E0AE4" w:rsidP="00CA7C43">
      <w:pPr>
        <w:jc w:val="both"/>
        <w:textAlignment w:val="baseline"/>
        <w:rPr>
          <w:rFonts w:eastAsia="Times New Roman"/>
          <w:sz w:val="20"/>
          <w:szCs w:val="20"/>
          <w:lang w:eastAsia="zh-CN"/>
        </w:rPr>
      </w:pPr>
    </w:p>
    <w:p w14:paraId="72AF26A9" w14:textId="446B0D37" w:rsidR="00CA7C43" w:rsidRDefault="00CA7C43" w:rsidP="00CA7C43">
      <w:pPr>
        <w:jc w:val="both"/>
        <w:textAlignment w:val="baseline"/>
        <w:rPr>
          <w:rFonts w:eastAsia="Times New Roman"/>
          <w:sz w:val="20"/>
          <w:szCs w:val="20"/>
          <w:lang w:eastAsia="zh-CN"/>
        </w:rPr>
      </w:pPr>
      <w:r w:rsidRPr="007E1BD3">
        <w:rPr>
          <w:noProof/>
        </w:rPr>
        <w:drawing>
          <wp:inline distT="0" distB="0" distL="0" distR="0" wp14:anchorId="59E6DF81" wp14:editId="6B11345B">
            <wp:extent cx="5669280" cy="197011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r="4243" b="5609"/>
                    <a:stretch/>
                  </pic:blipFill>
                  <pic:spPr bwMode="auto">
                    <a:xfrm>
                      <a:off x="0" y="0"/>
                      <a:ext cx="5682747" cy="1974797"/>
                    </a:xfrm>
                    <a:prstGeom prst="rect">
                      <a:avLst/>
                    </a:prstGeom>
                    <a:ln>
                      <a:noFill/>
                    </a:ln>
                    <a:extLst>
                      <a:ext uri="{53640926-AAD7-44D8-BBD7-CCE9431645EC}">
                        <a14:shadowObscured xmlns:a14="http://schemas.microsoft.com/office/drawing/2010/main"/>
                      </a:ext>
                    </a:extLst>
                  </pic:spPr>
                </pic:pic>
              </a:graphicData>
            </a:graphic>
          </wp:inline>
        </w:drawing>
      </w:r>
    </w:p>
    <w:p w14:paraId="7FFD81F4" w14:textId="77777777" w:rsidR="001E0AE4" w:rsidRPr="001E0AE4" w:rsidRDefault="001E0AE4" w:rsidP="001E0AE4">
      <w:pPr>
        <w:textAlignment w:val="baseline"/>
        <w:rPr>
          <w:rFonts w:eastAsia="Times New Roman"/>
          <w:sz w:val="20"/>
          <w:szCs w:val="20"/>
          <w:lang w:eastAsia="zh-CN"/>
        </w:rPr>
      </w:pPr>
    </w:p>
    <w:sectPr w:rsidR="001E0AE4" w:rsidRPr="001E0AE4" w:rsidSect="008077FA">
      <w:pgSz w:w="11900" w:h="16820"/>
      <w:pgMar w:top="1170" w:right="1454" w:bottom="540" w:left="1526" w:header="360" w:footer="3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75B92" w14:textId="77777777" w:rsidR="00E3655A" w:rsidRDefault="00E3655A" w:rsidP="00E26F24">
      <w:r>
        <w:separator/>
      </w:r>
    </w:p>
  </w:endnote>
  <w:endnote w:type="continuationSeparator" w:id="0">
    <w:p w14:paraId="5AECAA75" w14:textId="77777777" w:rsidR="00E3655A" w:rsidRDefault="00E3655A" w:rsidP="00E26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BAB84" w14:textId="77777777" w:rsidR="00A1637D" w:rsidRDefault="00A1637D">
    <w:pPr>
      <w:pStyle w:val="Normal1"/>
      <w:spacing w:before="0" w:after="0" w:line="240" w:lineRule="auto"/>
      <w:jc w:val="right"/>
    </w:pPr>
    <w:r>
      <w:fldChar w:fldCharType="begin"/>
    </w:r>
    <w:r>
      <w:instrText>PAGE</w:instrText>
    </w:r>
    <w:r>
      <w:fldChar w:fldCharType="separate"/>
    </w:r>
    <w:r>
      <w:rPr>
        <w:noProof/>
      </w:rPr>
      <w:t>3</w:t>
    </w:r>
    <w:r>
      <w:fldChar w:fldCharType="end"/>
    </w:r>
  </w:p>
  <w:p w14:paraId="559FCFED" w14:textId="77777777" w:rsidR="00A1637D" w:rsidRDefault="00A1637D">
    <w:pPr>
      <w:pStyle w:val="Normal1"/>
      <w:spacing w:before="0" w:after="720" w:line="240" w:lineRule="auto"/>
      <w:ind w:right="360"/>
    </w:pPr>
  </w:p>
  <w:p w14:paraId="6EF8A35E" w14:textId="77777777" w:rsidR="00A1637D" w:rsidRDefault="00A1637D">
    <w:pPr>
      <w:pStyle w:val="Normal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94A6A" w14:textId="77777777" w:rsidR="00A1637D" w:rsidRDefault="00A1637D" w:rsidP="00C70E87">
    <w:pPr>
      <w:pStyle w:val="Normal1"/>
      <w:spacing w:before="0" w:after="0" w:line="240" w:lineRule="auto"/>
    </w:pPr>
  </w:p>
  <w:p w14:paraId="1368A22C" w14:textId="77777777" w:rsidR="00A1637D" w:rsidRPr="00034A52" w:rsidRDefault="00A1637D" w:rsidP="0008058B">
    <w:pPr>
      <w:pStyle w:val="Normal1"/>
      <w:spacing w:before="0" w:after="0" w:line="240" w:lineRule="auto"/>
      <w:jc w:val="right"/>
      <w:rPr>
        <w:rFonts w:ascii="Arial" w:eastAsia="Arial" w:hAnsi="Arial" w:cs="Arial"/>
        <w:sz w:val="18"/>
        <w:szCs w:val="18"/>
      </w:rPr>
    </w:pPr>
    <w:r w:rsidRPr="00034A52">
      <w:rPr>
        <w:rFonts w:ascii="Arial" w:eastAsia="Arial" w:hAnsi="Arial" w:cs="Arial"/>
        <w:sz w:val="18"/>
        <w:szCs w:val="18"/>
      </w:rPr>
      <w:fldChar w:fldCharType="begin"/>
    </w:r>
    <w:r w:rsidRPr="00034A52">
      <w:rPr>
        <w:rFonts w:ascii="Arial" w:eastAsia="Arial" w:hAnsi="Arial" w:cs="Arial"/>
        <w:sz w:val="18"/>
        <w:szCs w:val="18"/>
      </w:rPr>
      <w:instrText>PAGE</w:instrText>
    </w:r>
    <w:r w:rsidRPr="00034A52">
      <w:rPr>
        <w:rFonts w:ascii="Arial" w:eastAsia="Arial" w:hAnsi="Arial" w:cs="Arial"/>
        <w:sz w:val="18"/>
        <w:szCs w:val="18"/>
      </w:rPr>
      <w:fldChar w:fldCharType="separate"/>
    </w:r>
    <w:r>
      <w:rPr>
        <w:rFonts w:ascii="Arial" w:eastAsia="Arial" w:hAnsi="Arial" w:cs="Arial"/>
        <w:noProof/>
        <w:sz w:val="18"/>
        <w:szCs w:val="18"/>
      </w:rPr>
      <w:t>12</w:t>
    </w:r>
    <w:r w:rsidRPr="00034A52">
      <w:rPr>
        <w:rFonts w:ascii="Arial" w:eastAsia="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4ACD2" w14:textId="77777777" w:rsidR="00E26F24" w:rsidRDefault="00E26F24">
    <w:pPr>
      <w:pStyle w:val="Normal1"/>
      <w:spacing w:before="0" w:after="0" w:line="240" w:lineRule="auto"/>
      <w:jc w:val="right"/>
    </w:pPr>
    <w:r>
      <w:fldChar w:fldCharType="begin"/>
    </w:r>
    <w:r>
      <w:instrText>PAGE</w:instrText>
    </w:r>
    <w:r>
      <w:fldChar w:fldCharType="separate"/>
    </w:r>
    <w:r>
      <w:rPr>
        <w:noProof/>
      </w:rPr>
      <w:t>3</w:t>
    </w:r>
    <w:r>
      <w:fldChar w:fldCharType="end"/>
    </w:r>
  </w:p>
  <w:p w14:paraId="1586B15C" w14:textId="77777777" w:rsidR="00E26F24" w:rsidRDefault="00E26F24">
    <w:pPr>
      <w:pStyle w:val="Normal1"/>
      <w:spacing w:before="0" w:after="720" w:line="240" w:lineRule="auto"/>
      <w:ind w:right="360"/>
    </w:pPr>
  </w:p>
  <w:p w14:paraId="6B4ECB52" w14:textId="77777777" w:rsidR="00E26F24" w:rsidRDefault="00E26F24">
    <w:pPr>
      <w:pStyle w:val="Normal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3BC76" w14:textId="77777777" w:rsidR="00E26F24" w:rsidRDefault="00E26F24" w:rsidP="00C70E87">
    <w:pPr>
      <w:pStyle w:val="Normal1"/>
      <w:spacing w:before="0" w:after="0" w:line="240" w:lineRule="auto"/>
    </w:pPr>
  </w:p>
  <w:p w14:paraId="6BB1B0D0" w14:textId="77777777" w:rsidR="00E26F24" w:rsidRPr="00034A52" w:rsidRDefault="00E26F24" w:rsidP="0008058B">
    <w:pPr>
      <w:pStyle w:val="Normal1"/>
      <w:spacing w:before="0" w:after="0" w:line="240" w:lineRule="auto"/>
      <w:jc w:val="right"/>
      <w:rPr>
        <w:rFonts w:ascii="Arial" w:eastAsia="Arial" w:hAnsi="Arial" w:cs="Arial"/>
        <w:sz w:val="18"/>
        <w:szCs w:val="18"/>
      </w:rPr>
    </w:pPr>
    <w:r w:rsidRPr="00034A52">
      <w:rPr>
        <w:rFonts w:ascii="Arial" w:eastAsia="Arial" w:hAnsi="Arial" w:cs="Arial"/>
        <w:sz w:val="18"/>
        <w:szCs w:val="18"/>
      </w:rPr>
      <w:fldChar w:fldCharType="begin"/>
    </w:r>
    <w:r w:rsidRPr="00034A52">
      <w:rPr>
        <w:rFonts w:ascii="Arial" w:eastAsia="Arial" w:hAnsi="Arial" w:cs="Arial"/>
        <w:sz w:val="18"/>
        <w:szCs w:val="18"/>
      </w:rPr>
      <w:instrText>PAGE</w:instrText>
    </w:r>
    <w:r w:rsidRPr="00034A52">
      <w:rPr>
        <w:rFonts w:ascii="Arial" w:eastAsia="Arial" w:hAnsi="Arial" w:cs="Arial"/>
        <w:sz w:val="18"/>
        <w:szCs w:val="18"/>
      </w:rPr>
      <w:fldChar w:fldCharType="separate"/>
    </w:r>
    <w:r w:rsidR="00A72ABB">
      <w:rPr>
        <w:rFonts w:ascii="Arial" w:eastAsia="Arial" w:hAnsi="Arial" w:cs="Arial"/>
        <w:noProof/>
        <w:sz w:val="18"/>
        <w:szCs w:val="18"/>
      </w:rPr>
      <w:t>10</w:t>
    </w:r>
    <w:r w:rsidRPr="00034A52">
      <w:rPr>
        <w:rFonts w:ascii="Arial" w:eastAsia="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E1619" w14:textId="77777777" w:rsidR="00E3655A" w:rsidRDefault="00E3655A" w:rsidP="00E26F24">
      <w:r>
        <w:separator/>
      </w:r>
    </w:p>
  </w:footnote>
  <w:footnote w:type="continuationSeparator" w:id="0">
    <w:p w14:paraId="1F2A2088" w14:textId="77777777" w:rsidR="00E3655A" w:rsidRDefault="00E3655A" w:rsidP="00E26F24">
      <w:r>
        <w:continuationSeparator/>
      </w:r>
    </w:p>
  </w:footnote>
  <w:footnote w:id="1">
    <w:p w14:paraId="29AAC426" w14:textId="0827D4EA" w:rsidR="0005015F" w:rsidRPr="00142512" w:rsidRDefault="0005015F">
      <w:pPr>
        <w:pStyle w:val="FootnoteText"/>
      </w:pPr>
      <w:r w:rsidRPr="00142512">
        <w:rPr>
          <w:rStyle w:val="FootnoteReference"/>
        </w:rPr>
        <w:footnoteRef/>
      </w:r>
      <w:r w:rsidRPr="00142512">
        <w:t xml:space="preserve"> </w:t>
      </w:r>
      <w:r w:rsidRPr="00142512">
        <w:rPr>
          <w:rFonts w:eastAsia="Arial"/>
          <w:i/>
          <w:iCs/>
          <w:color w:val="000000"/>
        </w:rPr>
        <w:t>See</w:t>
      </w:r>
      <w:r w:rsidRPr="00142512">
        <w:rPr>
          <w:rFonts w:eastAsia="Arial"/>
          <w:color w:val="000000"/>
        </w:rPr>
        <w:t xml:space="preserve"> Sandy Russell Jones, </w:t>
      </w:r>
      <w:r w:rsidRPr="00142512">
        <w:rPr>
          <w:rFonts w:eastAsia="Arial"/>
          <w:i/>
          <w:iCs/>
          <w:color w:val="000000"/>
        </w:rPr>
        <w:t>The Battle Over Family Law in Bahrain</w:t>
      </w:r>
      <w:r w:rsidRPr="00142512">
        <w:rPr>
          <w:rFonts w:eastAsia="Arial"/>
          <w:color w:val="000000"/>
        </w:rPr>
        <w:t xml:space="preserve">, </w:t>
      </w:r>
      <w:r w:rsidRPr="00142512">
        <w:rPr>
          <w:rFonts w:eastAsia="Arial"/>
          <w:i/>
          <w:iCs/>
          <w:color w:val="000000"/>
        </w:rPr>
        <w:t>in</w:t>
      </w:r>
      <w:r w:rsidRPr="00142512">
        <w:rPr>
          <w:rFonts w:eastAsia="Arial"/>
          <w:color w:val="000000"/>
        </w:rPr>
        <w:t xml:space="preserve"> The Arab Revolts (David McMurray &amp; Amanda Ufheil-Somers eds., 2013), 222</w:t>
      </w:r>
    </w:p>
  </w:footnote>
  <w:footnote w:id="2">
    <w:p w14:paraId="32A86403" w14:textId="4F97DE0C" w:rsidR="0005015F" w:rsidRPr="00142512" w:rsidRDefault="0005015F">
      <w:pPr>
        <w:pStyle w:val="FootnoteText"/>
      </w:pPr>
      <w:r w:rsidRPr="00142512">
        <w:rPr>
          <w:rStyle w:val="FootnoteReference"/>
        </w:rPr>
        <w:footnoteRef/>
      </w:r>
      <w:r w:rsidRPr="00142512">
        <w:t xml:space="preserve"> </w:t>
      </w:r>
      <w:r w:rsidRPr="00142512">
        <w:rPr>
          <w:rFonts w:eastAsia="Arial"/>
          <w:color w:val="000000"/>
        </w:rPr>
        <w:t>Law No. 19 of 2017 Promulgating the Family Law, Arts. 5, 38-49.</w:t>
      </w:r>
    </w:p>
  </w:footnote>
  <w:footnote w:id="3">
    <w:p w14:paraId="3A94CE48" w14:textId="1AC16723" w:rsidR="00AE5D3A" w:rsidRPr="00142512" w:rsidRDefault="00AE5D3A" w:rsidP="00AE5D3A">
      <w:pPr>
        <w:pStyle w:val="FootnoteText"/>
      </w:pPr>
      <w:r w:rsidRPr="00142512">
        <w:rPr>
          <w:rStyle w:val="FootnoteReference"/>
        </w:rPr>
        <w:footnoteRef/>
      </w:r>
      <w:r w:rsidRPr="00142512">
        <w:t xml:space="preserve"> Domestic Violence Act No. 17 of 2015</w:t>
      </w:r>
      <w:r w:rsidR="00D305E8" w:rsidRPr="00142512">
        <w:t xml:space="preserve">, </w:t>
      </w:r>
      <w:r w:rsidRPr="00142512">
        <w:t>Art. 1.</w:t>
      </w:r>
    </w:p>
  </w:footnote>
  <w:footnote w:id="4">
    <w:p w14:paraId="79BA71D3" w14:textId="77777777" w:rsidR="00AE5D3A" w:rsidRPr="00142512" w:rsidRDefault="00AE5D3A" w:rsidP="00AE5D3A">
      <w:pPr>
        <w:pStyle w:val="FootnoteText"/>
      </w:pPr>
      <w:r w:rsidRPr="00142512">
        <w:rPr>
          <w:rStyle w:val="FootnoteReference"/>
        </w:rPr>
        <w:footnoteRef/>
      </w:r>
      <w:r w:rsidRPr="00142512">
        <w:t xml:space="preserve"> </w:t>
      </w:r>
      <w:r w:rsidRPr="00142512">
        <w:rPr>
          <w:color w:val="000000"/>
        </w:rPr>
        <w:t>The Penal Code (1976), Arts. 321-322.</w:t>
      </w:r>
    </w:p>
  </w:footnote>
  <w:footnote w:id="5">
    <w:p w14:paraId="40123273" w14:textId="501B88FB" w:rsidR="00AE5D3A" w:rsidRPr="00142512" w:rsidRDefault="00AE5D3A" w:rsidP="00AE5D3A">
      <w:pPr>
        <w:pStyle w:val="FootnoteText"/>
      </w:pPr>
      <w:r w:rsidRPr="00142512">
        <w:rPr>
          <w:rStyle w:val="FootnoteReference"/>
        </w:rPr>
        <w:footnoteRef/>
      </w:r>
      <w:r w:rsidRPr="00142512">
        <w:t xml:space="preserve"> The Family Law (2017), Arts. 5, 38-40</w:t>
      </w:r>
      <w:r w:rsidR="00747629" w:rsidRPr="00142512">
        <w:t>.</w:t>
      </w:r>
    </w:p>
  </w:footnote>
  <w:footnote w:id="6">
    <w:p w14:paraId="15262B63" w14:textId="77777777" w:rsidR="00AE5D3A" w:rsidRPr="00142512" w:rsidRDefault="00AE5D3A" w:rsidP="00AE5D3A">
      <w:pPr>
        <w:pStyle w:val="FootnoteText"/>
      </w:pPr>
      <w:r w:rsidRPr="00142512">
        <w:rPr>
          <w:rStyle w:val="FootnoteReference"/>
        </w:rPr>
        <w:footnoteRef/>
      </w:r>
      <w:r w:rsidRPr="00142512">
        <w:t xml:space="preserve"> </w:t>
      </w:r>
      <w:r w:rsidRPr="00142512">
        <w:rPr>
          <w:i/>
        </w:rPr>
        <w:t>Id.</w:t>
      </w:r>
      <w:r w:rsidRPr="00142512">
        <w:rPr>
          <w:iCs/>
        </w:rPr>
        <w:t xml:space="preserve"> at</w:t>
      </w:r>
      <w:r w:rsidRPr="00142512">
        <w:t xml:space="preserve"> Art. 65(b).</w:t>
      </w:r>
    </w:p>
  </w:footnote>
  <w:footnote w:id="7">
    <w:p w14:paraId="745B44FC" w14:textId="77777777" w:rsidR="00AE5D3A" w:rsidRPr="00142512" w:rsidRDefault="00AE5D3A" w:rsidP="00AE5D3A">
      <w:pPr>
        <w:pStyle w:val="FootnoteText"/>
      </w:pPr>
      <w:r w:rsidRPr="00142512">
        <w:rPr>
          <w:rStyle w:val="FootnoteReference"/>
        </w:rPr>
        <w:footnoteRef/>
      </w:r>
      <w:r w:rsidRPr="00142512">
        <w:t xml:space="preserve"> </w:t>
      </w:r>
      <w:r w:rsidRPr="00142512">
        <w:rPr>
          <w:i/>
          <w:iCs/>
        </w:rPr>
        <w:t>Id.</w:t>
      </w:r>
      <w:r w:rsidRPr="00142512">
        <w:t xml:space="preserve"> at Art. 3.</w:t>
      </w:r>
    </w:p>
  </w:footnote>
  <w:footnote w:id="8">
    <w:p w14:paraId="44956736" w14:textId="77777777" w:rsidR="00E44263" w:rsidRPr="00142512" w:rsidRDefault="00E44263" w:rsidP="00E44263">
      <w:pPr>
        <w:pStyle w:val="FootnoteText"/>
      </w:pPr>
      <w:r w:rsidRPr="00142512">
        <w:rPr>
          <w:rStyle w:val="FootnoteReference"/>
        </w:rPr>
        <w:footnoteRef/>
      </w:r>
      <w:r w:rsidRPr="00142512">
        <w:t xml:space="preserve"> </w:t>
      </w:r>
      <w:r w:rsidRPr="00142512">
        <w:rPr>
          <w:i/>
          <w:iCs/>
        </w:rPr>
        <w:t>Id.</w:t>
      </w:r>
      <w:r w:rsidRPr="00142512">
        <w:t xml:space="preserve"> at Art. 20.</w:t>
      </w:r>
    </w:p>
  </w:footnote>
  <w:footnote w:id="9">
    <w:p w14:paraId="32A559AF" w14:textId="77777777" w:rsidR="00E44263" w:rsidRPr="00142512" w:rsidRDefault="00E44263" w:rsidP="00E44263">
      <w:pPr>
        <w:pStyle w:val="FootnoteText"/>
      </w:pPr>
      <w:r w:rsidRPr="00142512">
        <w:rPr>
          <w:rStyle w:val="FootnoteReference"/>
        </w:rPr>
        <w:footnoteRef/>
      </w:r>
      <w:r w:rsidRPr="00142512">
        <w:t xml:space="preserve"> Bahrain Child Law No. 37 of 2012, Art. 4. </w:t>
      </w:r>
    </w:p>
  </w:footnote>
  <w:footnote w:id="10">
    <w:p w14:paraId="0C6E6AF7" w14:textId="77777777" w:rsidR="00E44263" w:rsidRPr="00142512" w:rsidRDefault="00E44263" w:rsidP="00E44263">
      <w:pPr>
        <w:pStyle w:val="FootnoteText"/>
      </w:pPr>
      <w:r w:rsidRPr="00142512">
        <w:rPr>
          <w:rStyle w:val="FootnoteReference"/>
        </w:rPr>
        <w:footnoteRef/>
      </w:r>
      <w:r w:rsidRPr="00142512">
        <w:t xml:space="preserve"> Bahrain Information &amp; eGovernment Authority, </w:t>
      </w:r>
      <w:r w:rsidRPr="00142512">
        <w:rPr>
          <w:i/>
          <w:iCs/>
        </w:rPr>
        <w:t>Marriage &amp; Divorce 2020</w:t>
      </w:r>
      <w:r w:rsidRPr="00142512">
        <w:t xml:space="preserve">, Bahrain Open Data Portal (Feb. 23, 2021), </w:t>
      </w:r>
      <w:hyperlink r:id="rId1" w:history="1">
        <w:r w:rsidRPr="00142512">
          <w:rPr>
            <w:rStyle w:val="Hyperlink"/>
            <w:shd w:val="clear" w:color="auto" w:fill="FFFFFF"/>
          </w:rPr>
          <w:t>https://www.data.gov.bh/en/ResourceCenter/DownloadFile?id=3556</w:t>
        </w:r>
      </w:hyperlink>
      <w:r w:rsidRPr="00142512">
        <w:rPr>
          <w:rStyle w:val="Hyperlink"/>
          <w:shd w:val="clear" w:color="auto" w:fill="FFFFFF"/>
        </w:rPr>
        <w:t xml:space="preserve"> </w:t>
      </w:r>
      <w:r w:rsidRPr="00142512">
        <w:t xml:space="preserve"> (hereinafter </w:t>
      </w:r>
      <w:r w:rsidRPr="00142512">
        <w:rPr>
          <w:i/>
          <w:iCs/>
        </w:rPr>
        <w:t>Marriage &amp; Divorce 2020</w:t>
      </w:r>
      <w:r w:rsidRPr="00142512">
        <w:t>)</w:t>
      </w:r>
      <w:r w:rsidRPr="00142512">
        <w:rPr>
          <w:shd w:val="clear" w:color="auto" w:fill="FFFFFF"/>
        </w:rPr>
        <w:t>, at Table 6.06.</w:t>
      </w:r>
    </w:p>
  </w:footnote>
  <w:footnote w:id="11">
    <w:p w14:paraId="3A0ADA62" w14:textId="77777777" w:rsidR="00E44263" w:rsidRPr="00142512" w:rsidRDefault="00E44263" w:rsidP="00E44263">
      <w:pPr>
        <w:pStyle w:val="FootnoteText"/>
      </w:pPr>
      <w:r w:rsidRPr="00142512">
        <w:rPr>
          <w:rStyle w:val="FootnoteReference"/>
        </w:rPr>
        <w:footnoteRef/>
      </w:r>
      <w:r w:rsidRPr="00142512">
        <w:t xml:space="preserve"> </w:t>
      </w:r>
      <w:r w:rsidRPr="00142512">
        <w:rPr>
          <w:i/>
          <w:iCs/>
        </w:rPr>
        <w:t>Marriage &amp; Divorce 2020</w:t>
      </w:r>
      <w:r w:rsidRPr="00142512">
        <w:t xml:space="preserve">, at Table 6.06; </w:t>
      </w:r>
      <w:r w:rsidRPr="00142512">
        <w:rPr>
          <w:i/>
          <w:iCs/>
        </w:rPr>
        <w:t>Marriage &amp; Divorce 2019</w:t>
      </w:r>
      <w:r w:rsidRPr="00142512">
        <w:t>, at</w:t>
      </w:r>
      <w:r w:rsidRPr="00142512">
        <w:rPr>
          <w:i/>
          <w:iCs/>
        </w:rPr>
        <w:t xml:space="preserve"> </w:t>
      </w:r>
      <w:r w:rsidRPr="00142512">
        <w:t>Table 6.06.</w:t>
      </w:r>
    </w:p>
  </w:footnote>
  <w:footnote w:id="12">
    <w:p w14:paraId="4D68BC91" w14:textId="305F337B" w:rsidR="00E44263" w:rsidRPr="00142512" w:rsidRDefault="00E44263" w:rsidP="00E44263">
      <w:pPr>
        <w:pStyle w:val="FootnoteText"/>
      </w:pPr>
      <w:r w:rsidRPr="00142512">
        <w:rPr>
          <w:rStyle w:val="FootnoteReference"/>
        </w:rPr>
        <w:footnoteRef/>
      </w:r>
      <w:r w:rsidRPr="00142512">
        <w:t xml:space="preserve"> </w:t>
      </w:r>
      <w:r w:rsidRPr="00142512">
        <w:rPr>
          <w:i/>
          <w:iCs/>
        </w:rPr>
        <w:t>Marriage &amp; Divorce 2020</w:t>
      </w:r>
      <w:r w:rsidRPr="00142512">
        <w:t xml:space="preserve">, at Tables 6.05, 6.06; </w:t>
      </w:r>
      <w:r w:rsidRPr="00142512">
        <w:rPr>
          <w:i/>
          <w:iCs/>
        </w:rPr>
        <w:t>Marriage &amp; Divorce 2019,</w:t>
      </w:r>
      <w:r w:rsidRPr="00142512">
        <w:t xml:space="preserve"> at Tables 6.05, 6.06; Bahrain Information &amp; eGovernment Authority, </w:t>
      </w:r>
      <w:r w:rsidRPr="00142512">
        <w:rPr>
          <w:i/>
          <w:iCs/>
        </w:rPr>
        <w:t>Marriage &amp; Divorce 2018</w:t>
      </w:r>
      <w:r w:rsidRPr="00142512">
        <w:t xml:space="preserve">, Bahrain Open Data Portal (Feb. 21, 2019), </w:t>
      </w:r>
      <w:hyperlink r:id="rId2" w:history="1">
        <w:r w:rsidRPr="00142512">
          <w:rPr>
            <w:rStyle w:val="Hyperlink"/>
          </w:rPr>
          <w:t>https://www.data.gov.bh/en/ResourceCenter/DownloadFile?id=2982</w:t>
        </w:r>
      </w:hyperlink>
      <w:r w:rsidRPr="00142512">
        <w:t>.</w:t>
      </w:r>
    </w:p>
  </w:footnote>
  <w:footnote w:id="13">
    <w:p w14:paraId="074FFC72" w14:textId="77777777" w:rsidR="00E44263" w:rsidRPr="00142512" w:rsidRDefault="00E44263" w:rsidP="00E44263">
      <w:pPr>
        <w:pStyle w:val="FootnoteText"/>
      </w:pPr>
      <w:r w:rsidRPr="00142512">
        <w:rPr>
          <w:rStyle w:val="FootnoteReference"/>
        </w:rPr>
        <w:footnoteRef/>
      </w:r>
      <w:r w:rsidRPr="00142512">
        <w:t xml:space="preserve"> The Family Law (2017), Art. 25.</w:t>
      </w:r>
    </w:p>
  </w:footnote>
  <w:footnote w:id="14">
    <w:p w14:paraId="22945963" w14:textId="77777777" w:rsidR="00E44263" w:rsidRPr="00142512" w:rsidRDefault="00E44263" w:rsidP="00E44263">
      <w:pPr>
        <w:pStyle w:val="FootnoteText"/>
      </w:pPr>
      <w:r w:rsidRPr="00142512">
        <w:rPr>
          <w:rStyle w:val="FootnoteReference"/>
        </w:rPr>
        <w:footnoteRef/>
      </w:r>
      <w:r w:rsidRPr="00142512">
        <w:t xml:space="preserve"> </w:t>
      </w:r>
      <w:r w:rsidRPr="00142512">
        <w:rPr>
          <w:i/>
          <w:iCs/>
        </w:rPr>
        <w:t>Id.</w:t>
      </w:r>
      <w:r w:rsidRPr="00142512">
        <w:t xml:space="preserve"> at Arts. 15, 28.</w:t>
      </w:r>
    </w:p>
  </w:footnote>
  <w:footnote w:id="15">
    <w:p w14:paraId="3035F8BE" w14:textId="77777777" w:rsidR="00E44263" w:rsidRPr="00142512" w:rsidRDefault="00E44263" w:rsidP="00E44263">
      <w:pPr>
        <w:pStyle w:val="FootnoteText"/>
      </w:pPr>
      <w:r w:rsidRPr="00142512">
        <w:rPr>
          <w:rStyle w:val="FootnoteReference"/>
        </w:rPr>
        <w:footnoteRef/>
      </w:r>
      <w:r w:rsidRPr="00142512">
        <w:t xml:space="preserve"> </w:t>
      </w:r>
      <w:r w:rsidRPr="00142512">
        <w:rPr>
          <w:i/>
          <w:iCs/>
        </w:rPr>
        <w:t>Id.</w:t>
      </w:r>
      <w:r w:rsidRPr="00142512">
        <w:t xml:space="preserve"> at Art. 15(1)(d).</w:t>
      </w:r>
    </w:p>
  </w:footnote>
  <w:footnote w:id="16">
    <w:p w14:paraId="21945955" w14:textId="77777777" w:rsidR="00E44263" w:rsidRPr="00142512" w:rsidRDefault="00E44263" w:rsidP="00E44263">
      <w:pPr>
        <w:pStyle w:val="FootnoteText"/>
      </w:pPr>
      <w:r w:rsidRPr="00142512">
        <w:rPr>
          <w:rStyle w:val="FootnoteReference"/>
        </w:rPr>
        <w:footnoteRef/>
      </w:r>
      <w:r w:rsidRPr="00142512">
        <w:t xml:space="preserve"> Dr. Dunya Ahmed, </w:t>
      </w:r>
      <w:r w:rsidRPr="00142512">
        <w:rPr>
          <w:i/>
          <w:iCs/>
        </w:rPr>
        <w:t xml:space="preserve">Women’s Rights in the Middle East and North Africa 2009 – Bahrain </w:t>
      </w:r>
      <w:r w:rsidRPr="00142512">
        <w:t>(Feb. 11, 2009).</w:t>
      </w:r>
    </w:p>
  </w:footnote>
  <w:footnote w:id="17">
    <w:p w14:paraId="3A23B3D5" w14:textId="77777777" w:rsidR="000D1B70" w:rsidRPr="00142512" w:rsidRDefault="000D1B70" w:rsidP="000D1B70">
      <w:pPr>
        <w:pStyle w:val="FootnoteText"/>
      </w:pPr>
      <w:r w:rsidRPr="00142512">
        <w:rPr>
          <w:rStyle w:val="FootnoteReference"/>
        </w:rPr>
        <w:footnoteRef/>
      </w:r>
      <w:r w:rsidRPr="00142512">
        <w:t xml:space="preserve"> The Family Law (2017), Arts. 81-82.</w:t>
      </w:r>
    </w:p>
  </w:footnote>
  <w:footnote w:id="18">
    <w:p w14:paraId="06B6B332" w14:textId="77777777" w:rsidR="000D1B70" w:rsidRPr="00142512" w:rsidRDefault="000D1B70" w:rsidP="000D1B70">
      <w:pPr>
        <w:pStyle w:val="FootnoteText"/>
      </w:pPr>
      <w:r w:rsidRPr="00142512">
        <w:rPr>
          <w:rStyle w:val="FootnoteReference"/>
        </w:rPr>
        <w:footnoteRef/>
      </w:r>
      <w:r w:rsidRPr="00142512">
        <w:t xml:space="preserve"> </w:t>
      </w:r>
      <w:r w:rsidRPr="00142512">
        <w:rPr>
          <w:i/>
        </w:rPr>
        <w:t xml:space="preserve">Id. </w:t>
      </w:r>
      <w:r w:rsidRPr="00142512">
        <w:t>at Arts. 97-112.</w:t>
      </w:r>
    </w:p>
  </w:footnote>
  <w:footnote w:id="19">
    <w:p w14:paraId="2A053D36" w14:textId="77777777" w:rsidR="000D1B70" w:rsidRPr="00142512" w:rsidRDefault="000D1B70" w:rsidP="000D1B70">
      <w:pPr>
        <w:pStyle w:val="FootnoteText"/>
      </w:pPr>
      <w:r w:rsidRPr="00142512">
        <w:rPr>
          <w:rStyle w:val="FootnoteReference"/>
        </w:rPr>
        <w:footnoteRef/>
      </w:r>
      <w:r w:rsidRPr="00142512">
        <w:t xml:space="preserve"> </w:t>
      </w:r>
      <w:r w:rsidRPr="00142512">
        <w:rPr>
          <w:i/>
          <w:iCs/>
        </w:rPr>
        <w:t>Id.</w:t>
      </w:r>
      <w:r w:rsidRPr="00142512">
        <w:t xml:space="preserve"> at Arts. 95-96.</w:t>
      </w:r>
    </w:p>
  </w:footnote>
  <w:footnote w:id="20">
    <w:p w14:paraId="260A155D" w14:textId="77777777" w:rsidR="000D1B70" w:rsidRPr="00142512" w:rsidRDefault="000D1B70" w:rsidP="000D1B70">
      <w:pPr>
        <w:pStyle w:val="FootnoteText"/>
      </w:pPr>
      <w:r w:rsidRPr="00142512">
        <w:rPr>
          <w:rStyle w:val="FootnoteReference"/>
        </w:rPr>
        <w:footnoteRef/>
      </w:r>
      <w:r w:rsidRPr="00142512">
        <w:t xml:space="preserve"> </w:t>
      </w:r>
      <w:r w:rsidRPr="00142512">
        <w:rPr>
          <w:i/>
          <w:iCs/>
        </w:rPr>
        <w:t xml:space="preserve">See </w:t>
      </w:r>
      <w:r w:rsidRPr="00142512">
        <w:t>The Family Law (2017), Art. 95(1)(a).</w:t>
      </w:r>
    </w:p>
  </w:footnote>
  <w:footnote w:id="21">
    <w:p w14:paraId="6BE254F8" w14:textId="77777777" w:rsidR="000D1B70" w:rsidRPr="00142512" w:rsidRDefault="000D1B70" w:rsidP="000D1B70">
      <w:pPr>
        <w:pStyle w:val="FootnoteText"/>
      </w:pPr>
      <w:r w:rsidRPr="00142512">
        <w:rPr>
          <w:rStyle w:val="FootnoteReference"/>
        </w:rPr>
        <w:footnoteRef/>
      </w:r>
      <w:r w:rsidRPr="00142512">
        <w:t xml:space="preserve"> </w:t>
      </w:r>
      <w:r w:rsidRPr="00142512">
        <w:rPr>
          <w:i/>
          <w:iCs/>
        </w:rPr>
        <w:t>See id.</w:t>
      </w:r>
      <w:r w:rsidRPr="00142512">
        <w:t xml:space="preserve"> at Art. 95(2)(a).</w:t>
      </w:r>
    </w:p>
  </w:footnote>
  <w:footnote w:id="22">
    <w:p w14:paraId="64E2932C" w14:textId="77777777" w:rsidR="000D1B70" w:rsidRPr="00142512" w:rsidRDefault="000D1B70" w:rsidP="000D1B70">
      <w:pPr>
        <w:pStyle w:val="FootnoteText"/>
        <w:rPr>
          <w:rStyle w:val="FootnoteReference"/>
          <w:highlight w:val="yellow"/>
        </w:rPr>
      </w:pPr>
      <w:r w:rsidRPr="00142512">
        <w:rPr>
          <w:rStyle w:val="FootnoteReference"/>
        </w:rPr>
        <w:footnoteRef/>
      </w:r>
      <w:r w:rsidRPr="00142512">
        <w:t xml:space="preserve"> For instance, 2019 data indicates that about 25% of divorces in Bahrain were </w:t>
      </w:r>
      <w:r w:rsidRPr="00142512">
        <w:rPr>
          <w:i/>
          <w:iCs/>
        </w:rPr>
        <w:t xml:space="preserve">khul’ </w:t>
      </w:r>
      <w:r w:rsidRPr="00142512">
        <w:t>divorces specifically.</w:t>
      </w:r>
    </w:p>
  </w:footnote>
  <w:footnote w:id="23">
    <w:p w14:paraId="6334DA2C" w14:textId="77777777" w:rsidR="000D1B70" w:rsidRPr="00142512" w:rsidRDefault="000D1B70" w:rsidP="000D1B70">
      <w:pPr>
        <w:pStyle w:val="FootnoteText"/>
      </w:pPr>
      <w:r w:rsidRPr="00142512">
        <w:rPr>
          <w:rStyle w:val="FootnoteReference"/>
        </w:rPr>
        <w:footnoteRef/>
      </w:r>
      <w:r w:rsidRPr="00142512">
        <w:t xml:space="preserve"> </w:t>
      </w:r>
      <w:r w:rsidRPr="00142512">
        <w:rPr>
          <w:i/>
          <w:iCs/>
        </w:rPr>
        <w:t xml:space="preserve">See </w:t>
      </w:r>
      <w:r w:rsidRPr="00142512">
        <w:t xml:space="preserve">Rania F. Al-Rabadi &amp; Anas N. Al-Rabadi, </w:t>
      </w:r>
      <w:r w:rsidRPr="00142512">
        <w:rPr>
          <w:i/>
          <w:iCs/>
        </w:rPr>
        <w:t>Oriental Family Laws: Case Study Within a Gendered -Citizenship/Inequality Perspective: From Concept to Analytical Status</w:t>
      </w:r>
      <w:r w:rsidRPr="00142512">
        <w:t xml:space="preserve">, </w:t>
      </w:r>
      <w:r w:rsidRPr="00142512">
        <w:rPr>
          <w:smallCaps/>
        </w:rPr>
        <w:t>17 J. Int’l Women’s Stds.</w:t>
      </w:r>
      <w:r w:rsidRPr="00142512">
        <w:t xml:space="preserve"> 245, 252 (2016).</w:t>
      </w:r>
    </w:p>
  </w:footnote>
  <w:footnote w:id="24">
    <w:p w14:paraId="7DA2A5FE" w14:textId="77777777" w:rsidR="000D1B70" w:rsidRPr="00142512" w:rsidRDefault="000D1B70" w:rsidP="000D1B70">
      <w:pPr>
        <w:pStyle w:val="FootnoteText"/>
      </w:pPr>
      <w:r w:rsidRPr="00142512">
        <w:rPr>
          <w:rStyle w:val="FootnoteReference"/>
        </w:rPr>
        <w:footnoteRef/>
      </w:r>
      <w:r w:rsidRPr="00142512">
        <w:t xml:space="preserve"> Harvard International Human Rights Clinic, Interview with anonymous Bahraini women’s rights advocate (Feb. 24, 2021).</w:t>
      </w:r>
    </w:p>
  </w:footnote>
  <w:footnote w:id="25">
    <w:p w14:paraId="1BEDC7F2" w14:textId="77777777" w:rsidR="00901E5F" w:rsidRPr="00142512" w:rsidRDefault="00901E5F" w:rsidP="00901E5F">
      <w:pPr>
        <w:pStyle w:val="FootnoteText"/>
      </w:pPr>
      <w:r w:rsidRPr="00142512">
        <w:rPr>
          <w:rStyle w:val="FootnoteReference"/>
        </w:rPr>
        <w:footnoteRef/>
      </w:r>
      <w:r w:rsidRPr="00142512">
        <w:t xml:space="preserve"> The Family Law (2017), Art. 124.</w:t>
      </w:r>
    </w:p>
  </w:footnote>
  <w:footnote w:id="26">
    <w:p w14:paraId="0C1C59EC" w14:textId="77777777" w:rsidR="00901E5F" w:rsidRPr="00142512" w:rsidRDefault="00901E5F" w:rsidP="00901E5F">
      <w:pPr>
        <w:pStyle w:val="FootnoteText"/>
      </w:pPr>
      <w:r w:rsidRPr="00142512">
        <w:rPr>
          <w:rStyle w:val="FootnoteReference"/>
        </w:rPr>
        <w:footnoteRef/>
      </w:r>
      <w:r w:rsidRPr="00142512">
        <w:t xml:space="preserve"> </w:t>
      </w:r>
      <w:r w:rsidRPr="00142512">
        <w:rPr>
          <w:i/>
          <w:iCs/>
        </w:rPr>
        <w:t>Id.</w:t>
      </w:r>
    </w:p>
  </w:footnote>
  <w:footnote w:id="27">
    <w:p w14:paraId="36B25F64" w14:textId="77777777" w:rsidR="00901E5F" w:rsidRPr="00142512" w:rsidRDefault="00901E5F" w:rsidP="00901E5F">
      <w:pPr>
        <w:pStyle w:val="FootnoteText"/>
      </w:pPr>
      <w:r w:rsidRPr="00142512">
        <w:rPr>
          <w:rStyle w:val="FootnoteReference"/>
        </w:rPr>
        <w:footnoteRef/>
      </w:r>
      <w:r w:rsidRPr="00142512">
        <w:t xml:space="preserve"> </w:t>
      </w:r>
      <w:r w:rsidRPr="00142512">
        <w:rPr>
          <w:i/>
          <w:iCs/>
        </w:rPr>
        <w:t>Id.</w:t>
      </w:r>
      <w:r w:rsidRPr="00142512">
        <w:t xml:space="preserve"> at Art. 127.</w:t>
      </w:r>
    </w:p>
  </w:footnote>
  <w:footnote w:id="28">
    <w:p w14:paraId="1A9F0739" w14:textId="77777777" w:rsidR="00901E5F" w:rsidRPr="00142512" w:rsidRDefault="00901E5F" w:rsidP="00901E5F">
      <w:pPr>
        <w:pStyle w:val="FootnoteText"/>
      </w:pPr>
      <w:r w:rsidRPr="00142512">
        <w:rPr>
          <w:rStyle w:val="FootnoteReference"/>
        </w:rPr>
        <w:footnoteRef/>
      </w:r>
      <w:r w:rsidRPr="00142512">
        <w:t xml:space="preserve"> </w:t>
      </w:r>
      <w:r w:rsidRPr="00142512">
        <w:rPr>
          <w:i/>
          <w:iCs/>
        </w:rPr>
        <w:t>Id.</w:t>
      </w:r>
      <w:r w:rsidRPr="00142512">
        <w:t xml:space="preserve"> at Art. 129-130.</w:t>
      </w:r>
    </w:p>
  </w:footnote>
  <w:footnote w:id="29">
    <w:p w14:paraId="527B484B" w14:textId="67C9E1E1" w:rsidR="00901E5F" w:rsidRPr="00142512" w:rsidRDefault="00901E5F" w:rsidP="00901E5F">
      <w:pPr>
        <w:pStyle w:val="FootnoteText"/>
      </w:pPr>
      <w:r w:rsidRPr="00142512">
        <w:rPr>
          <w:rStyle w:val="FootnoteReference"/>
        </w:rPr>
        <w:footnoteRef/>
      </w:r>
      <w:r w:rsidRPr="00142512">
        <w:t xml:space="preserve"> Article 125(1)</w:t>
      </w:r>
      <w:r w:rsidR="004D5352" w:rsidRPr="00142512">
        <w:t xml:space="preserve">, </w:t>
      </w:r>
      <w:r w:rsidRPr="00142512">
        <w:t>Bahrain Family Law</w:t>
      </w:r>
    </w:p>
  </w:footnote>
  <w:footnote w:id="30">
    <w:p w14:paraId="5E9135DE" w14:textId="77777777" w:rsidR="00901E5F" w:rsidRPr="00142512" w:rsidRDefault="00901E5F" w:rsidP="00901E5F">
      <w:pPr>
        <w:pStyle w:val="FootnoteText"/>
      </w:pPr>
      <w:r w:rsidRPr="00142512">
        <w:rPr>
          <w:rStyle w:val="FootnoteReference"/>
        </w:rPr>
        <w:footnoteRef/>
      </w:r>
      <w:r w:rsidRPr="00142512">
        <w:t xml:space="preserve"> Cassation Court ruling, Cassation Court (Civil) Case No. 102 of Judicial Year 2018 (Holding: February 20, 2019).</w:t>
      </w:r>
    </w:p>
  </w:footnote>
  <w:footnote w:id="31">
    <w:p w14:paraId="03CC7093" w14:textId="77777777" w:rsidR="00901E5F" w:rsidRPr="00142512" w:rsidRDefault="00901E5F" w:rsidP="00901E5F">
      <w:pPr>
        <w:pStyle w:val="FootnoteText"/>
      </w:pPr>
      <w:r w:rsidRPr="00142512">
        <w:rPr>
          <w:rStyle w:val="FootnoteReference"/>
        </w:rPr>
        <w:footnoteRef/>
      </w:r>
      <w:r w:rsidRPr="00142512">
        <w:t xml:space="preserve"> Bahrain’s Financial Guardianship Law No. 7 of 1986.</w:t>
      </w:r>
    </w:p>
  </w:footnote>
  <w:footnote w:id="32">
    <w:p w14:paraId="00BA0160" w14:textId="77777777" w:rsidR="00901E5F" w:rsidRPr="00142512" w:rsidRDefault="00901E5F" w:rsidP="00901E5F">
      <w:pPr>
        <w:pStyle w:val="FootnoteText"/>
      </w:pPr>
      <w:r w:rsidRPr="00142512">
        <w:rPr>
          <w:rStyle w:val="FootnoteReference"/>
        </w:rPr>
        <w:footnoteRef/>
      </w:r>
      <w:r w:rsidRPr="00142512">
        <w:t xml:space="preserve"> Domestic Violence Act (2015).</w:t>
      </w:r>
    </w:p>
  </w:footnote>
  <w:footnote w:id="33">
    <w:p w14:paraId="7AD35D8B" w14:textId="77777777" w:rsidR="00901E5F" w:rsidRPr="00142512" w:rsidRDefault="00901E5F" w:rsidP="00901E5F">
      <w:pPr>
        <w:pStyle w:val="FootnoteText"/>
      </w:pPr>
      <w:r w:rsidRPr="00142512">
        <w:rPr>
          <w:rStyle w:val="FootnoteReference"/>
        </w:rPr>
        <w:footnoteRef/>
      </w:r>
      <w:r w:rsidRPr="00142512">
        <w:t xml:space="preserve"> </w:t>
      </w:r>
      <w:r w:rsidRPr="00142512">
        <w:rPr>
          <w:i/>
          <w:iCs/>
        </w:rPr>
        <w:t xml:space="preserve">See </w:t>
      </w:r>
      <w:r w:rsidRPr="00142512">
        <w:t xml:space="preserve">UNDP, </w:t>
      </w:r>
      <w:r w:rsidRPr="00142512">
        <w:rPr>
          <w:bCs/>
          <w:i/>
          <w:iCs/>
        </w:rPr>
        <w:t>Bahrain: Gender Justice &amp; The Law</w:t>
      </w:r>
      <w:r w:rsidRPr="00142512">
        <w:rPr>
          <w:bCs/>
        </w:rPr>
        <w:t xml:space="preserve"> (2018),</w:t>
      </w:r>
      <w:r w:rsidRPr="00142512">
        <w:t xml:space="preserve"> p. 11; Bahrain State Party Report (2018), ¶¶ 94-100.</w:t>
      </w:r>
    </w:p>
  </w:footnote>
  <w:footnote w:id="34">
    <w:p w14:paraId="19B89B01" w14:textId="77777777" w:rsidR="00901E5F" w:rsidRPr="00142512" w:rsidRDefault="00901E5F" w:rsidP="00901E5F">
      <w:pPr>
        <w:pStyle w:val="FootnoteText"/>
      </w:pPr>
      <w:r w:rsidRPr="00142512">
        <w:rPr>
          <w:rStyle w:val="FootnoteReference"/>
        </w:rPr>
        <w:footnoteRef/>
      </w:r>
      <w:r w:rsidRPr="00142512">
        <w:t xml:space="preserve"> Domestic Violence Act (2015), Art. 1.</w:t>
      </w:r>
    </w:p>
  </w:footnote>
  <w:footnote w:id="35">
    <w:p w14:paraId="5A1F3DF8" w14:textId="5904E28A" w:rsidR="00901E5F" w:rsidRPr="00142512" w:rsidRDefault="00901E5F" w:rsidP="00901E5F">
      <w:pPr>
        <w:pStyle w:val="FootnoteText"/>
      </w:pPr>
      <w:r w:rsidRPr="00142512">
        <w:rPr>
          <w:rStyle w:val="FootnoteReference"/>
        </w:rPr>
        <w:footnoteRef/>
      </w:r>
      <w:r w:rsidRPr="00142512">
        <w:t xml:space="preserve"> Bahrain State Party Report (2018), ¶¶ 95-96; UNDP, </w:t>
      </w:r>
      <w:r w:rsidRPr="00142512">
        <w:rPr>
          <w:bCs/>
          <w:i/>
          <w:iCs/>
        </w:rPr>
        <w:t xml:space="preserve">Bahrain: Gender Justice &amp; The Law </w:t>
      </w:r>
      <w:r w:rsidRPr="00142512">
        <w:rPr>
          <w:bCs/>
        </w:rPr>
        <w:t>(2018</w:t>
      </w:r>
      <w:r w:rsidRPr="00142512">
        <w:t>), 15</w:t>
      </w:r>
      <w:r w:rsidR="00BF0A17" w:rsidRPr="00142512">
        <w:t>.</w:t>
      </w:r>
    </w:p>
  </w:footnote>
  <w:footnote w:id="36">
    <w:p w14:paraId="7B992D4E" w14:textId="77777777" w:rsidR="00901E5F" w:rsidRPr="00142512" w:rsidRDefault="00901E5F" w:rsidP="00901E5F">
      <w:pPr>
        <w:pStyle w:val="FootnoteText"/>
      </w:pPr>
      <w:r w:rsidRPr="00142512">
        <w:rPr>
          <w:rStyle w:val="FootnoteReference"/>
        </w:rPr>
        <w:footnoteRef/>
      </w:r>
      <w:r w:rsidRPr="00142512">
        <w:t xml:space="preserve"> </w:t>
      </w:r>
      <w:r w:rsidRPr="00142512">
        <w:rPr>
          <w:i/>
          <w:iCs/>
        </w:rPr>
        <w:t xml:space="preserve">See </w:t>
      </w:r>
      <w:r w:rsidRPr="00142512">
        <w:t>Bahrain State Party Report (2018), ¶ 95.</w:t>
      </w:r>
    </w:p>
  </w:footnote>
  <w:footnote w:id="37">
    <w:p w14:paraId="3640C58E" w14:textId="5A60B424" w:rsidR="00901E5F" w:rsidRPr="00142512" w:rsidRDefault="00901E5F" w:rsidP="00901E5F">
      <w:pPr>
        <w:pStyle w:val="FootnoteText"/>
        <w:rPr>
          <w:color w:val="000000"/>
        </w:rPr>
      </w:pPr>
      <w:r w:rsidRPr="00142512">
        <w:rPr>
          <w:rStyle w:val="FootnoteReference"/>
        </w:rPr>
        <w:footnoteRef/>
      </w:r>
      <w:r w:rsidRPr="00142512">
        <w:t xml:space="preserve"> U.S. Department of State, </w:t>
      </w:r>
      <w:r w:rsidRPr="00142512">
        <w:rPr>
          <w:i/>
          <w:iCs/>
        </w:rPr>
        <w:t xml:space="preserve">2019 Country Reports on Human Rights Practices: Bahrain </w:t>
      </w:r>
      <w:r w:rsidRPr="00142512">
        <w:t>(hereinafter 2019 State Department Report), p. 26</w:t>
      </w:r>
      <w:r w:rsidRPr="00142512">
        <w:rPr>
          <w:color w:val="000000"/>
        </w:rPr>
        <w:t>.</w:t>
      </w:r>
    </w:p>
  </w:footnote>
  <w:footnote w:id="38">
    <w:p w14:paraId="6DE7B100" w14:textId="77777777" w:rsidR="00901E5F" w:rsidRPr="00142512" w:rsidRDefault="00901E5F" w:rsidP="00901E5F">
      <w:pPr>
        <w:pStyle w:val="FootnoteText"/>
      </w:pPr>
      <w:r w:rsidRPr="00142512">
        <w:rPr>
          <w:rStyle w:val="FootnoteReference"/>
        </w:rPr>
        <w:footnoteRef/>
      </w:r>
      <w:r w:rsidRPr="00142512">
        <w:t xml:space="preserve"> Harvard International Human Rights Clinic, Interview with anonymous Bahraini women’s rights advocate (Feb. 24, 2021).</w:t>
      </w:r>
    </w:p>
  </w:footnote>
  <w:footnote w:id="39">
    <w:p w14:paraId="6C7E33B9" w14:textId="77777777" w:rsidR="00901E5F" w:rsidRPr="00142512" w:rsidRDefault="00901E5F" w:rsidP="00901E5F">
      <w:pPr>
        <w:pStyle w:val="FootnoteText"/>
      </w:pPr>
      <w:r w:rsidRPr="00142512">
        <w:rPr>
          <w:rStyle w:val="FootnoteReference"/>
        </w:rPr>
        <w:footnoteRef/>
      </w:r>
      <w:r w:rsidRPr="00142512">
        <w:t xml:space="preserve"> 2019 State Department Report, p. 26.</w:t>
      </w:r>
    </w:p>
  </w:footnote>
  <w:footnote w:id="40">
    <w:p w14:paraId="6C48CBD2" w14:textId="13FA3B65" w:rsidR="00901E5F" w:rsidRPr="00142512" w:rsidRDefault="00901E5F" w:rsidP="00901E5F">
      <w:pPr>
        <w:pStyle w:val="FootnoteText"/>
      </w:pPr>
      <w:r w:rsidRPr="00142512">
        <w:rPr>
          <w:rStyle w:val="FootnoteReference"/>
        </w:rPr>
        <w:footnoteRef/>
      </w:r>
      <w:r w:rsidRPr="00142512">
        <w:t xml:space="preserve"> </w:t>
      </w:r>
      <w:r w:rsidRPr="00142512">
        <w:rPr>
          <w:i/>
          <w:iCs/>
        </w:rPr>
        <w:t xml:space="preserve">See </w:t>
      </w:r>
      <w:r w:rsidRPr="00142512">
        <w:rPr>
          <w:i/>
        </w:rPr>
        <w:t>Replies of Bahrain to the List of Issues and Questions in Relation to its Fourth Periodic Report</w:t>
      </w:r>
      <w:r w:rsidRPr="00142512">
        <w:rPr>
          <w:iCs/>
        </w:rPr>
        <w:t>,</w:t>
      </w:r>
      <w:r w:rsidRPr="00142512">
        <w:t xml:space="preserve"> </w:t>
      </w:r>
      <w:r w:rsidRPr="00142512">
        <w:rPr>
          <w:lang w:val="en-GB"/>
        </w:rPr>
        <w:t>CEDAW/C/BHR/RQ/4, p. 9</w:t>
      </w:r>
      <w:r w:rsidR="00073BC8" w:rsidRPr="00142512">
        <w:rPr>
          <w:lang w:val="en-GB"/>
        </w:rPr>
        <w:t>.</w:t>
      </w:r>
    </w:p>
  </w:footnote>
  <w:footnote w:id="41">
    <w:p w14:paraId="3FC02270" w14:textId="36E2F7E6" w:rsidR="00901E5F" w:rsidRPr="00142512" w:rsidRDefault="00901E5F" w:rsidP="00901E5F">
      <w:pPr>
        <w:pStyle w:val="FootnoteText"/>
      </w:pPr>
      <w:r w:rsidRPr="00142512">
        <w:rPr>
          <w:rStyle w:val="FootnoteReference"/>
        </w:rPr>
        <w:footnoteRef/>
      </w:r>
      <w:r w:rsidRPr="00142512">
        <w:t xml:space="preserve"> </w:t>
      </w:r>
      <w:r w:rsidRPr="00142512">
        <w:rPr>
          <w:i/>
          <w:iCs/>
        </w:rPr>
        <w:t xml:space="preserve">See </w:t>
      </w:r>
      <w:r w:rsidRPr="00142512">
        <w:t xml:space="preserve">Penal Code (1976), Arts. 344-353; UNDP, </w:t>
      </w:r>
      <w:r w:rsidRPr="00142512">
        <w:rPr>
          <w:bCs/>
          <w:i/>
          <w:iCs/>
        </w:rPr>
        <w:t>Bahrain: Gender Justice &amp; The Law</w:t>
      </w:r>
      <w:r w:rsidRPr="00142512">
        <w:rPr>
          <w:bCs/>
        </w:rPr>
        <w:t xml:space="preserve"> (2018)</w:t>
      </w:r>
      <w:r w:rsidRPr="00142512">
        <w:t>, p. 9</w:t>
      </w:r>
      <w:r w:rsidR="00BF0A17" w:rsidRPr="00142512">
        <w:t>.</w:t>
      </w:r>
    </w:p>
  </w:footnote>
  <w:footnote w:id="42">
    <w:p w14:paraId="48F5F2EF" w14:textId="67C036D4" w:rsidR="00901E5F" w:rsidRPr="00142512" w:rsidRDefault="00901E5F" w:rsidP="00901E5F">
      <w:pPr>
        <w:pStyle w:val="FootnoteText"/>
      </w:pPr>
      <w:r w:rsidRPr="00142512">
        <w:rPr>
          <w:rStyle w:val="FootnoteReference"/>
        </w:rPr>
        <w:footnoteRef/>
      </w:r>
      <w:r w:rsidRPr="00142512">
        <w:t xml:space="preserve"> </w:t>
      </w:r>
      <w:r w:rsidRPr="00142512">
        <w:rPr>
          <w:i/>
          <w:iCs/>
        </w:rPr>
        <w:t xml:space="preserve">See </w:t>
      </w:r>
      <w:r w:rsidRPr="00142512">
        <w:t>Response to LOI, page 9</w:t>
      </w:r>
      <w:r w:rsidR="00073BC8" w:rsidRPr="00142512">
        <w:t>.</w:t>
      </w:r>
    </w:p>
  </w:footnote>
  <w:footnote w:id="43">
    <w:p w14:paraId="1E75A945" w14:textId="77777777" w:rsidR="00901E5F" w:rsidRPr="00142512" w:rsidRDefault="00901E5F" w:rsidP="00901E5F">
      <w:pPr>
        <w:pStyle w:val="FootnoteText"/>
      </w:pPr>
      <w:r w:rsidRPr="00142512">
        <w:rPr>
          <w:rStyle w:val="FootnoteReference"/>
        </w:rPr>
        <w:footnoteRef/>
      </w:r>
      <w:r w:rsidRPr="00142512">
        <w:t xml:space="preserve"> </w:t>
      </w:r>
      <w:r w:rsidRPr="00142512">
        <w:rPr>
          <w:i/>
        </w:rPr>
        <w:t>Replies of Bahrain to the List of Issues and Questions in Relation to its Fourth Periodic Report</w:t>
      </w:r>
      <w:r w:rsidRPr="00142512">
        <w:rPr>
          <w:iCs/>
        </w:rPr>
        <w:t xml:space="preserve">, </w:t>
      </w:r>
      <w:r w:rsidRPr="00142512">
        <w:rPr>
          <w:lang w:val="en-GB"/>
        </w:rPr>
        <w:t xml:space="preserve">CEDAW/C/BHR/RQ/4, </w:t>
      </w:r>
      <w:r w:rsidRPr="00142512">
        <w:rPr>
          <w:iCs/>
        </w:rPr>
        <w:t>p. 9</w:t>
      </w:r>
      <w:r w:rsidRPr="00142512">
        <w:t xml:space="preserve">; </w:t>
      </w:r>
      <w:r w:rsidRPr="00142512">
        <w:rPr>
          <w:i/>
          <w:iCs/>
        </w:rPr>
        <w:t xml:space="preserve">see also </w:t>
      </w:r>
      <w:r w:rsidRPr="00142512">
        <w:t>Bahrain State Party Report (2018), ¶ 101.</w:t>
      </w:r>
    </w:p>
  </w:footnote>
  <w:footnote w:id="44">
    <w:p w14:paraId="22EB8BDE" w14:textId="77777777" w:rsidR="00901E5F" w:rsidRPr="00142512" w:rsidRDefault="00901E5F" w:rsidP="00901E5F">
      <w:pPr>
        <w:pStyle w:val="FootnoteText"/>
      </w:pPr>
      <w:r w:rsidRPr="00142512">
        <w:rPr>
          <w:rStyle w:val="FootnoteReference"/>
        </w:rPr>
        <w:footnoteRef/>
      </w:r>
      <w:r w:rsidRPr="00142512">
        <w:t xml:space="preserve"> Penal Code (1976), Art. 334.</w:t>
      </w:r>
    </w:p>
  </w:footnote>
  <w:footnote w:id="45">
    <w:p w14:paraId="41618848" w14:textId="77777777" w:rsidR="00901E5F" w:rsidRPr="00142512" w:rsidRDefault="00901E5F" w:rsidP="00901E5F">
      <w:pPr>
        <w:pStyle w:val="FootnoteText"/>
      </w:pPr>
      <w:r w:rsidRPr="00142512">
        <w:rPr>
          <w:rStyle w:val="FootnoteReference"/>
        </w:rPr>
        <w:footnoteRef/>
      </w:r>
      <w:r w:rsidRPr="00142512">
        <w:t xml:space="preserve"> </w:t>
      </w:r>
      <w:r w:rsidRPr="00142512">
        <w:rPr>
          <w:i/>
          <w:iCs/>
        </w:rPr>
        <w:t>Id.</w:t>
      </w:r>
      <w:r w:rsidRPr="00142512">
        <w:t xml:space="preserve"> at Art. 16.</w:t>
      </w:r>
    </w:p>
  </w:footnote>
  <w:footnote w:id="46">
    <w:p w14:paraId="55B61AAE" w14:textId="77777777" w:rsidR="00901E5F" w:rsidRPr="00142512" w:rsidRDefault="00901E5F" w:rsidP="00901E5F">
      <w:pPr>
        <w:pStyle w:val="FootnoteText"/>
      </w:pPr>
      <w:r w:rsidRPr="00142512">
        <w:rPr>
          <w:rStyle w:val="FootnoteReference"/>
        </w:rPr>
        <w:footnoteRef/>
      </w:r>
      <w:r w:rsidRPr="00142512">
        <w:t xml:space="preserve"> </w:t>
      </w:r>
      <w:r w:rsidRPr="00142512">
        <w:rPr>
          <w:i/>
        </w:rPr>
        <w:t>Replies of Bahrain to the List of Issues and Questions in Relation to its Fourth Periodic Report</w:t>
      </w:r>
      <w:r w:rsidRPr="00142512">
        <w:rPr>
          <w:iCs/>
        </w:rPr>
        <w:t>,</w:t>
      </w:r>
      <w:r w:rsidRPr="00142512">
        <w:t xml:space="preserve"> </w:t>
      </w:r>
      <w:r w:rsidRPr="00142512">
        <w:rPr>
          <w:lang w:val="en-GB"/>
        </w:rPr>
        <w:t>CEDAW/C/BHR/RQ/4, p. 9</w:t>
      </w:r>
      <w:r w:rsidRPr="00142512">
        <w:t xml:space="preserve">; </w:t>
      </w:r>
      <w:r w:rsidRPr="00142512">
        <w:rPr>
          <w:i/>
          <w:iCs/>
        </w:rPr>
        <w:t>see also List of Issues and Questions in Relation to the Fourth Periodic Report of Bahrain</w:t>
      </w:r>
      <w:r w:rsidRPr="00142512">
        <w:t xml:space="preserve">, </w:t>
      </w:r>
      <w:r w:rsidRPr="00142512">
        <w:rPr>
          <w:lang w:val="en-GB"/>
        </w:rPr>
        <w:t xml:space="preserve">CEDAW/C/BHR/Q/4, </w:t>
      </w:r>
      <w:r w:rsidRPr="00142512">
        <w:t>¶ 10.</w:t>
      </w:r>
    </w:p>
  </w:footnote>
  <w:footnote w:id="47">
    <w:p w14:paraId="12D42B6D" w14:textId="77777777" w:rsidR="001E0AE4" w:rsidRPr="00142512" w:rsidRDefault="001E0AE4" w:rsidP="001E0AE4">
      <w:pPr>
        <w:pStyle w:val="FootnoteText"/>
      </w:pPr>
      <w:r w:rsidRPr="00142512">
        <w:rPr>
          <w:rStyle w:val="FootnoteReference"/>
        </w:rPr>
        <w:footnoteRef/>
      </w:r>
      <w:r w:rsidRPr="00142512">
        <w:t xml:space="preserve"> </w:t>
      </w:r>
      <w:r w:rsidRPr="00142512">
        <w:rPr>
          <w:i/>
          <w:iCs/>
        </w:rPr>
        <w:t>Marriage &amp; Divorce 2020</w:t>
      </w:r>
      <w:r w:rsidRPr="00142512">
        <w:t>, at Table 6.04.</w:t>
      </w:r>
    </w:p>
  </w:footnote>
  <w:footnote w:id="48">
    <w:p w14:paraId="560C98DF" w14:textId="1AB22256" w:rsidR="001E0AE4" w:rsidRPr="00142512" w:rsidRDefault="001E0AE4" w:rsidP="00073BC8">
      <w:pPr>
        <w:autoSpaceDE w:val="0"/>
        <w:autoSpaceDN w:val="0"/>
        <w:adjustRightInd w:val="0"/>
        <w:rPr>
          <w:i/>
          <w:iCs/>
        </w:rPr>
      </w:pPr>
      <w:r w:rsidRPr="00142512">
        <w:rPr>
          <w:rStyle w:val="FootnoteReference"/>
        </w:rPr>
        <w:footnoteRef/>
      </w:r>
      <w:r w:rsidRPr="00142512">
        <w:t xml:space="preserve"> Decree Law. No 12 amending the 1963 Nationality Act, Article (4</w:t>
      </w:r>
      <w:r w:rsidR="00073BC8" w:rsidRPr="00142512">
        <w:t>).</w:t>
      </w:r>
    </w:p>
  </w:footnote>
  <w:footnote w:id="49">
    <w:p w14:paraId="3C5179C7" w14:textId="77777777" w:rsidR="001E0AE4" w:rsidRPr="00142512" w:rsidRDefault="001E0AE4" w:rsidP="001E0AE4">
      <w:pPr>
        <w:pStyle w:val="FootnoteText"/>
      </w:pPr>
      <w:r w:rsidRPr="00142512">
        <w:rPr>
          <w:rStyle w:val="FootnoteReference"/>
        </w:rPr>
        <w:footnoteRef/>
      </w:r>
      <w:r w:rsidRPr="00142512">
        <w:t xml:space="preserve"> </w:t>
      </w:r>
      <w:r w:rsidRPr="00142512">
        <w:rPr>
          <w:i/>
          <w:iCs/>
        </w:rPr>
        <w:t>Id.;</w:t>
      </w:r>
      <w:r w:rsidRPr="00142512">
        <w:t xml:space="preserve"> </w:t>
      </w:r>
      <w:r w:rsidRPr="00142512">
        <w:rPr>
          <w:i/>
          <w:iCs/>
        </w:rPr>
        <w:t xml:space="preserve">see also </w:t>
      </w:r>
      <w:r w:rsidRPr="00142512">
        <w:t xml:space="preserve">UNDP, </w:t>
      </w:r>
      <w:r w:rsidRPr="00142512">
        <w:rPr>
          <w:bCs/>
          <w:i/>
          <w:iCs/>
        </w:rPr>
        <w:t>Bahrain: Gender Justice &amp; The Law</w:t>
      </w:r>
      <w:r w:rsidRPr="00142512">
        <w:rPr>
          <w:bCs/>
        </w:rPr>
        <w:t xml:space="preserve"> (2018), p. </w:t>
      </w:r>
      <w:r w:rsidRPr="00142512">
        <w:t>18.</w:t>
      </w:r>
    </w:p>
  </w:footnote>
  <w:footnote w:id="50">
    <w:p w14:paraId="1CB9AE2C" w14:textId="77777777" w:rsidR="001E0AE4" w:rsidRPr="00142512" w:rsidRDefault="001E0AE4" w:rsidP="001E0AE4">
      <w:pPr>
        <w:pStyle w:val="FootnoteText"/>
      </w:pPr>
      <w:r w:rsidRPr="00142512">
        <w:rPr>
          <w:rStyle w:val="FootnoteReference"/>
        </w:rPr>
        <w:footnoteRef/>
      </w:r>
      <w:r w:rsidRPr="00142512">
        <w:t xml:space="preserve"> Nationality Act (1963),</w:t>
      </w:r>
      <w:r w:rsidRPr="00142512">
        <w:rPr>
          <w:i/>
          <w:iCs/>
        </w:rPr>
        <w:t xml:space="preserve"> </w:t>
      </w:r>
      <w:r w:rsidRPr="00142512">
        <w:t>Art. 7.</w:t>
      </w:r>
    </w:p>
  </w:footnote>
  <w:footnote w:id="51">
    <w:p w14:paraId="1A5B9086" w14:textId="77777777" w:rsidR="001E0AE4" w:rsidRPr="00142512" w:rsidRDefault="001E0AE4" w:rsidP="001E0AE4">
      <w:pPr>
        <w:pStyle w:val="FootnoteText"/>
      </w:pPr>
      <w:r w:rsidRPr="00142512">
        <w:rPr>
          <w:rStyle w:val="FootnoteReference"/>
        </w:rPr>
        <w:footnoteRef/>
      </w:r>
      <w:r w:rsidRPr="00142512">
        <w:t xml:space="preserve"> </w:t>
      </w:r>
      <w:r w:rsidRPr="00142512">
        <w:rPr>
          <w:i/>
          <w:iCs/>
        </w:rPr>
        <w:t xml:space="preserve">See </w:t>
      </w:r>
      <w:r w:rsidRPr="00142512">
        <w:t xml:space="preserve">Bahrain State Report (2018), ¶ 159; </w:t>
      </w:r>
      <w:r w:rsidRPr="00142512">
        <w:rPr>
          <w:i/>
          <w:iCs/>
        </w:rPr>
        <w:t xml:space="preserve">see also </w:t>
      </w:r>
      <w:r w:rsidRPr="00142512">
        <w:t xml:space="preserve">UNDP, </w:t>
      </w:r>
      <w:r w:rsidRPr="00142512">
        <w:rPr>
          <w:bCs/>
          <w:i/>
          <w:iCs/>
        </w:rPr>
        <w:t>Bahrain: Gender Justice &amp; The Law</w:t>
      </w:r>
      <w:r w:rsidRPr="00142512">
        <w:rPr>
          <w:bCs/>
        </w:rPr>
        <w:t xml:space="preserve"> (2018), p. 18.</w:t>
      </w:r>
    </w:p>
  </w:footnote>
  <w:footnote w:id="52">
    <w:p w14:paraId="45C4238B" w14:textId="77777777" w:rsidR="001E0AE4" w:rsidRPr="00142512" w:rsidRDefault="001E0AE4" w:rsidP="001E0AE4">
      <w:pPr>
        <w:pStyle w:val="FootnoteText"/>
      </w:pPr>
      <w:r w:rsidRPr="00142512">
        <w:rPr>
          <w:rStyle w:val="FootnoteReference"/>
        </w:rPr>
        <w:footnoteRef/>
      </w:r>
      <w:r w:rsidRPr="00142512">
        <w:t xml:space="preserve"> Bahrain State Report (2018), ¶ 160.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0157A"/>
    <w:multiLevelType w:val="multilevel"/>
    <w:tmpl w:val="38B2947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58E5903"/>
    <w:multiLevelType w:val="multilevel"/>
    <w:tmpl w:val="1842F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B94F5A"/>
    <w:multiLevelType w:val="hybridMultilevel"/>
    <w:tmpl w:val="FA60BA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890073"/>
    <w:multiLevelType w:val="multilevel"/>
    <w:tmpl w:val="F7922DC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16C5284E"/>
    <w:multiLevelType w:val="hybridMultilevel"/>
    <w:tmpl w:val="CD9EA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2242D3"/>
    <w:multiLevelType w:val="hybridMultilevel"/>
    <w:tmpl w:val="BEDCB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DD6D89"/>
    <w:multiLevelType w:val="hybridMultilevel"/>
    <w:tmpl w:val="C88E73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13390A"/>
    <w:multiLevelType w:val="multilevel"/>
    <w:tmpl w:val="E87225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DA8512A"/>
    <w:multiLevelType w:val="multilevel"/>
    <w:tmpl w:val="0F603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1D26FC8"/>
    <w:multiLevelType w:val="hybridMultilevel"/>
    <w:tmpl w:val="5094ADD4"/>
    <w:lvl w:ilvl="0" w:tplc="04090017">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994221"/>
    <w:multiLevelType w:val="hybridMultilevel"/>
    <w:tmpl w:val="65CA7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C01596"/>
    <w:multiLevelType w:val="hybridMultilevel"/>
    <w:tmpl w:val="4F12E08C"/>
    <w:lvl w:ilvl="0" w:tplc="498CF6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4A72DCC"/>
    <w:multiLevelType w:val="multilevel"/>
    <w:tmpl w:val="3BC4576E"/>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5193F8A"/>
    <w:multiLevelType w:val="hybridMultilevel"/>
    <w:tmpl w:val="26666A78"/>
    <w:lvl w:ilvl="0" w:tplc="57BC5B04">
      <w:start w:val="1"/>
      <w:numFmt w:val="bullet"/>
      <w:lvlText w:val=""/>
      <w:lvlJc w:val="left"/>
      <w:pPr>
        <w:ind w:left="720" w:hanging="360"/>
      </w:pPr>
      <w:rPr>
        <w:rFonts w:ascii="Symbol" w:hAnsi="Symbol" w:hint="default"/>
      </w:rPr>
    </w:lvl>
    <w:lvl w:ilvl="1" w:tplc="29923B50">
      <w:start w:val="1"/>
      <w:numFmt w:val="bullet"/>
      <w:lvlText w:val="o"/>
      <w:lvlJc w:val="left"/>
      <w:pPr>
        <w:ind w:left="1440" w:hanging="360"/>
      </w:pPr>
      <w:rPr>
        <w:rFonts w:ascii="Courier New" w:hAnsi="Courier New" w:hint="default"/>
      </w:rPr>
    </w:lvl>
    <w:lvl w:ilvl="2" w:tplc="B9EC1034">
      <w:start w:val="1"/>
      <w:numFmt w:val="bullet"/>
      <w:lvlText w:val=""/>
      <w:lvlJc w:val="left"/>
      <w:pPr>
        <w:ind w:left="2160" w:hanging="360"/>
      </w:pPr>
      <w:rPr>
        <w:rFonts w:ascii="Wingdings" w:hAnsi="Wingdings" w:hint="default"/>
      </w:rPr>
    </w:lvl>
    <w:lvl w:ilvl="3" w:tplc="DB027EC8">
      <w:start w:val="1"/>
      <w:numFmt w:val="bullet"/>
      <w:lvlText w:val=""/>
      <w:lvlJc w:val="left"/>
      <w:pPr>
        <w:ind w:left="2880" w:hanging="360"/>
      </w:pPr>
      <w:rPr>
        <w:rFonts w:ascii="Symbol" w:hAnsi="Symbol" w:hint="default"/>
      </w:rPr>
    </w:lvl>
    <w:lvl w:ilvl="4" w:tplc="462446AE">
      <w:start w:val="1"/>
      <w:numFmt w:val="bullet"/>
      <w:lvlText w:val="o"/>
      <w:lvlJc w:val="left"/>
      <w:pPr>
        <w:ind w:left="3600" w:hanging="360"/>
      </w:pPr>
      <w:rPr>
        <w:rFonts w:ascii="Courier New" w:hAnsi="Courier New" w:hint="default"/>
      </w:rPr>
    </w:lvl>
    <w:lvl w:ilvl="5" w:tplc="F39E7E96">
      <w:start w:val="1"/>
      <w:numFmt w:val="bullet"/>
      <w:lvlText w:val=""/>
      <w:lvlJc w:val="left"/>
      <w:pPr>
        <w:ind w:left="4320" w:hanging="360"/>
      </w:pPr>
      <w:rPr>
        <w:rFonts w:ascii="Wingdings" w:hAnsi="Wingdings" w:hint="default"/>
      </w:rPr>
    </w:lvl>
    <w:lvl w:ilvl="6" w:tplc="B128D0E8">
      <w:start w:val="1"/>
      <w:numFmt w:val="bullet"/>
      <w:lvlText w:val=""/>
      <w:lvlJc w:val="left"/>
      <w:pPr>
        <w:ind w:left="5040" w:hanging="360"/>
      </w:pPr>
      <w:rPr>
        <w:rFonts w:ascii="Symbol" w:hAnsi="Symbol" w:hint="default"/>
      </w:rPr>
    </w:lvl>
    <w:lvl w:ilvl="7" w:tplc="EBB2D18A">
      <w:start w:val="1"/>
      <w:numFmt w:val="bullet"/>
      <w:lvlText w:val="o"/>
      <w:lvlJc w:val="left"/>
      <w:pPr>
        <w:ind w:left="5760" w:hanging="360"/>
      </w:pPr>
      <w:rPr>
        <w:rFonts w:ascii="Courier New" w:hAnsi="Courier New" w:hint="default"/>
      </w:rPr>
    </w:lvl>
    <w:lvl w:ilvl="8" w:tplc="4E5816B8">
      <w:start w:val="1"/>
      <w:numFmt w:val="bullet"/>
      <w:lvlText w:val=""/>
      <w:lvlJc w:val="left"/>
      <w:pPr>
        <w:ind w:left="6480" w:hanging="360"/>
      </w:pPr>
      <w:rPr>
        <w:rFonts w:ascii="Wingdings" w:hAnsi="Wingdings" w:hint="default"/>
      </w:rPr>
    </w:lvl>
  </w:abstractNum>
  <w:abstractNum w:abstractNumId="14" w15:restartNumberingAfterBreak="0">
    <w:nsid w:val="483610A0"/>
    <w:multiLevelType w:val="hybridMultilevel"/>
    <w:tmpl w:val="5EBE2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FF62F1"/>
    <w:multiLevelType w:val="hybridMultilevel"/>
    <w:tmpl w:val="3C9C7E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B03D2D"/>
    <w:multiLevelType w:val="hybridMultilevel"/>
    <w:tmpl w:val="66320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F73068"/>
    <w:multiLevelType w:val="hybridMultilevel"/>
    <w:tmpl w:val="5DAE59B2"/>
    <w:lvl w:ilvl="0" w:tplc="DB943F86">
      <w:start w:val="1"/>
      <w:numFmt w:val="bullet"/>
      <w:pStyle w:val="NoSpacing"/>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A1249E"/>
    <w:multiLevelType w:val="hybridMultilevel"/>
    <w:tmpl w:val="D49270D0"/>
    <w:lvl w:ilvl="0" w:tplc="51BC01CA">
      <w:start w:val="1"/>
      <w:numFmt w:val="bullet"/>
      <w:lvlText w:val=""/>
      <w:lvlJc w:val="left"/>
      <w:pPr>
        <w:ind w:left="720" w:hanging="360"/>
      </w:pPr>
      <w:rPr>
        <w:rFonts w:ascii="Symbol" w:hAnsi="Symbol" w:hint="default"/>
      </w:rPr>
    </w:lvl>
    <w:lvl w:ilvl="1" w:tplc="22A45F1E">
      <w:start w:val="1"/>
      <w:numFmt w:val="bullet"/>
      <w:lvlText w:val="o"/>
      <w:lvlJc w:val="left"/>
      <w:pPr>
        <w:ind w:left="1440" w:hanging="360"/>
      </w:pPr>
      <w:rPr>
        <w:rFonts w:ascii="Courier New" w:hAnsi="Courier New" w:hint="default"/>
      </w:rPr>
    </w:lvl>
    <w:lvl w:ilvl="2" w:tplc="9822EFC4">
      <w:start w:val="1"/>
      <w:numFmt w:val="bullet"/>
      <w:lvlText w:val=""/>
      <w:lvlJc w:val="left"/>
      <w:pPr>
        <w:ind w:left="2160" w:hanging="360"/>
      </w:pPr>
      <w:rPr>
        <w:rFonts w:ascii="Wingdings" w:hAnsi="Wingdings" w:hint="default"/>
      </w:rPr>
    </w:lvl>
    <w:lvl w:ilvl="3" w:tplc="B9883A50">
      <w:start w:val="1"/>
      <w:numFmt w:val="bullet"/>
      <w:lvlText w:val=""/>
      <w:lvlJc w:val="left"/>
      <w:pPr>
        <w:ind w:left="2880" w:hanging="360"/>
      </w:pPr>
      <w:rPr>
        <w:rFonts w:ascii="Symbol" w:hAnsi="Symbol" w:hint="default"/>
      </w:rPr>
    </w:lvl>
    <w:lvl w:ilvl="4" w:tplc="85F0E15C">
      <w:start w:val="1"/>
      <w:numFmt w:val="bullet"/>
      <w:lvlText w:val="o"/>
      <w:lvlJc w:val="left"/>
      <w:pPr>
        <w:ind w:left="3600" w:hanging="360"/>
      </w:pPr>
      <w:rPr>
        <w:rFonts w:ascii="Courier New" w:hAnsi="Courier New" w:hint="default"/>
      </w:rPr>
    </w:lvl>
    <w:lvl w:ilvl="5" w:tplc="453A405C">
      <w:start w:val="1"/>
      <w:numFmt w:val="bullet"/>
      <w:lvlText w:val=""/>
      <w:lvlJc w:val="left"/>
      <w:pPr>
        <w:ind w:left="4320" w:hanging="360"/>
      </w:pPr>
      <w:rPr>
        <w:rFonts w:ascii="Wingdings" w:hAnsi="Wingdings" w:hint="default"/>
      </w:rPr>
    </w:lvl>
    <w:lvl w:ilvl="6" w:tplc="8466DC00">
      <w:start w:val="1"/>
      <w:numFmt w:val="bullet"/>
      <w:lvlText w:val=""/>
      <w:lvlJc w:val="left"/>
      <w:pPr>
        <w:ind w:left="5040" w:hanging="360"/>
      </w:pPr>
      <w:rPr>
        <w:rFonts w:ascii="Symbol" w:hAnsi="Symbol" w:hint="default"/>
      </w:rPr>
    </w:lvl>
    <w:lvl w:ilvl="7" w:tplc="6F2A35F2">
      <w:start w:val="1"/>
      <w:numFmt w:val="bullet"/>
      <w:lvlText w:val="o"/>
      <w:lvlJc w:val="left"/>
      <w:pPr>
        <w:ind w:left="5760" w:hanging="360"/>
      </w:pPr>
      <w:rPr>
        <w:rFonts w:ascii="Courier New" w:hAnsi="Courier New" w:hint="default"/>
      </w:rPr>
    </w:lvl>
    <w:lvl w:ilvl="8" w:tplc="0D780596">
      <w:start w:val="1"/>
      <w:numFmt w:val="bullet"/>
      <w:lvlText w:val=""/>
      <w:lvlJc w:val="left"/>
      <w:pPr>
        <w:ind w:left="6480" w:hanging="360"/>
      </w:pPr>
      <w:rPr>
        <w:rFonts w:ascii="Wingdings" w:hAnsi="Wingdings" w:hint="default"/>
      </w:rPr>
    </w:lvl>
  </w:abstractNum>
  <w:abstractNum w:abstractNumId="19" w15:restartNumberingAfterBreak="0">
    <w:nsid w:val="5E3B4A90"/>
    <w:multiLevelType w:val="hybridMultilevel"/>
    <w:tmpl w:val="765AEE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25516CD"/>
    <w:multiLevelType w:val="hybridMultilevel"/>
    <w:tmpl w:val="9438C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8341A0"/>
    <w:multiLevelType w:val="multilevel"/>
    <w:tmpl w:val="115425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698A1DA5"/>
    <w:multiLevelType w:val="multilevel"/>
    <w:tmpl w:val="0CD0E9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9954662"/>
    <w:multiLevelType w:val="multilevel"/>
    <w:tmpl w:val="ACCEFC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A871A37"/>
    <w:multiLevelType w:val="multilevel"/>
    <w:tmpl w:val="A6C694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6D80291D"/>
    <w:multiLevelType w:val="multilevel"/>
    <w:tmpl w:val="115425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6E2E36E0"/>
    <w:multiLevelType w:val="hybridMultilevel"/>
    <w:tmpl w:val="567AFA60"/>
    <w:lvl w:ilvl="0" w:tplc="DC5AEEEC">
      <w:start w:val="1"/>
      <w:numFmt w:val="decimal"/>
      <w:pStyle w:val="Heading2"/>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7E22EB"/>
    <w:multiLevelType w:val="hybridMultilevel"/>
    <w:tmpl w:val="A2A62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9D66D6"/>
    <w:multiLevelType w:val="multilevel"/>
    <w:tmpl w:val="F1862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840149A"/>
    <w:multiLevelType w:val="hybridMultilevel"/>
    <w:tmpl w:val="00AE5B00"/>
    <w:lvl w:ilvl="0" w:tplc="7BF26A46">
      <w:start w:val="1"/>
      <w:numFmt w:val="bullet"/>
      <w:lvlText w:val=""/>
      <w:lvlJc w:val="left"/>
      <w:pPr>
        <w:ind w:left="720" w:hanging="360"/>
      </w:pPr>
      <w:rPr>
        <w:rFonts w:ascii="Symbol" w:hAnsi="Symbol" w:hint="default"/>
      </w:rPr>
    </w:lvl>
    <w:lvl w:ilvl="1" w:tplc="7F7ACE56">
      <w:start w:val="1"/>
      <w:numFmt w:val="bullet"/>
      <w:lvlText w:val="o"/>
      <w:lvlJc w:val="left"/>
      <w:pPr>
        <w:ind w:left="1440" w:hanging="360"/>
      </w:pPr>
      <w:rPr>
        <w:rFonts w:ascii="Courier New" w:hAnsi="Courier New" w:hint="default"/>
      </w:rPr>
    </w:lvl>
    <w:lvl w:ilvl="2" w:tplc="406A8BC8">
      <w:start w:val="1"/>
      <w:numFmt w:val="bullet"/>
      <w:lvlText w:val=""/>
      <w:lvlJc w:val="left"/>
      <w:pPr>
        <w:ind w:left="2160" w:hanging="360"/>
      </w:pPr>
      <w:rPr>
        <w:rFonts w:ascii="Wingdings" w:hAnsi="Wingdings" w:hint="default"/>
      </w:rPr>
    </w:lvl>
    <w:lvl w:ilvl="3" w:tplc="D8946284">
      <w:start w:val="1"/>
      <w:numFmt w:val="bullet"/>
      <w:lvlText w:val=""/>
      <w:lvlJc w:val="left"/>
      <w:pPr>
        <w:ind w:left="2880" w:hanging="360"/>
      </w:pPr>
      <w:rPr>
        <w:rFonts w:ascii="Symbol" w:hAnsi="Symbol" w:hint="default"/>
      </w:rPr>
    </w:lvl>
    <w:lvl w:ilvl="4" w:tplc="DD5CC71A">
      <w:start w:val="1"/>
      <w:numFmt w:val="bullet"/>
      <w:lvlText w:val="o"/>
      <w:lvlJc w:val="left"/>
      <w:pPr>
        <w:ind w:left="3600" w:hanging="360"/>
      </w:pPr>
      <w:rPr>
        <w:rFonts w:ascii="Courier New" w:hAnsi="Courier New" w:hint="default"/>
      </w:rPr>
    </w:lvl>
    <w:lvl w:ilvl="5" w:tplc="D69EF90A">
      <w:start w:val="1"/>
      <w:numFmt w:val="bullet"/>
      <w:lvlText w:val=""/>
      <w:lvlJc w:val="left"/>
      <w:pPr>
        <w:ind w:left="4320" w:hanging="360"/>
      </w:pPr>
      <w:rPr>
        <w:rFonts w:ascii="Wingdings" w:hAnsi="Wingdings" w:hint="default"/>
      </w:rPr>
    </w:lvl>
    <w:lvl w:ilvl="6" w:tplc="B046ECEE">
      <w:start w:val="1"/>
      <w:numFmt w:val="bullet"/>
      <w:lvlText w:val=""/>
      <w:lvlJc w:val="left"/>
      <w:pPr>
        <w:ind w:left="5040" w:hanging="360"/>
      </w:pPr>
      <w:rPr>
        <w:rFonts w:ascii="Symbol" w:hAnsi="Symbol" w:hint="default"/>
      </w:rPr>
    </w:lvl>
    <w:lvl w:ilvl="7" w:tplc="117AE57A">
      <w:start w:val="1"/>
      <w:numFmt w:val="bullet"/>
      <w:lvlText w:val="o"/>
      <w:lvlJc w:val="left"/>
      <w:pPr>
        <w:ind w:left="5760" w:hanging="360"/>
      </w:pPr>
      <w:rPr>
        <w:rFonts w:ascii="Courier New" w:hAnsi="Courier New" w:hint="default"/>
      </w:rPr>
    </w:lvl>
    <w:lvl w:ilvl="8" w:tplc="F56CBFDA">
      <w:start w:val="1"/>
      <w:numFmt w:val="bullet"/>
      <w:lvlText w:val=""/>
      <w:lvlJc w:val="left"/>
      <w:pPr>
        <w:ind w:left="6480" w:hanging="360"/>
      </w:pPr>
      <w:rPr>
        <w:rFonts w:ascii="Wingdings" w:hAnsi="Wingdings" w:hint="default"/>
      </w:rPr>
    </w:lvl>
  </w:abstractNum>
  <w:num w:numId="1" w16cid:durableId="456873098">
    <w:abstractNumId w:val="3"/>
  </w:num>
  <w:num w:numId="2" w16cid:durableId="1531912007">
    <w:abstractNumId w:val="23"/>
  </w:num>
  <w:num w:numId="3" w16cid:durableId="1036589105">
    <w:abstractNumId w:val="17"/>
  </w:num>
  <w:num w:numId="4" w16cid:durableId="1578516257">
    <w:abstractNumId w:val="16"/>
  </w:num>
  <w:num w:numId="5" w16cid:durableId="1990163538">
    <w:abstractNumId w:val="11"/>
  </w:num>
  <w:num w:numId="6" w16cid:durableId="2096782699">
    <w:abstractNumId w:val="12"/>
  </w:num>
  <w:num w:numId="7" w16cid:durableId="1009988494">
    <w:abstractNumId w:val="5"/>
  </w:num>
  <w:num w:numId="8" w16cid:durableId="1971402682">
    <w:abstractNumId w:val="14"/>
  </w:num>
  <w:num w:numId="9" w16cid:durableId="2023587601">
    <w:abstractNumId w:val="19"/>
  </w:num>
  <w:num w:numId="10" w16cid:durableId="1348285267">
    <w:abstractNumId w:val="18"/>
  </w:num>
  <w:num w:numId="11" w16cid:durableId="607084748">
    <w:abstractNumId w:val="1"/>
  </w:num>
  <w:num w:numId="12" w16cid:durableId="949094840">
    <w:abstractNumId w:val="8"/>
  </w:num>
  <w:num w:numId="13" w16cid:durableId="1133668238">
    <w:abstractNumId w:val="25"/>
  </w:num>
  <w:num w:numId="14" w16cid:durableId="2112579204">
    <w:abstractNumId w:val="21"/>
  </w:num>
  <w:num w:numId="15" w16cid:durableId="1909606980">
    <w:abstractNumId w:val="20"/>
  </w:num>
  <w:num w:numId="16" w16cid:durableId="1193768299">
    <w:abstractNumId w:val="28"/>
  </w:num>
  <w:num w:numId="17" w16cid:durableId="1533419184">
    <w:abstractNumId w:val="0"/>
  </w:num>
  <w:num w:numId="18" w16cid:durableId="112674867">
    <w:abstractNumId w:val="24"/>
  </w:num>
  <w:num w:numId="19" w16cid:durableId="235551738">
    <w:abstractNumId w:val="22"/>
  </w:num>
  <w:num w:numId="20" w16cid:durableId="170922590">
    <w:abstractNumId w:val="7"/>
  </w:num>
  <w:num w:numId="21" w16cid:durableId="1398432017">
    <w:abstractNumId w:val="26"/>
  </w:num>
  <w:num w:numId="22" w16cid:durableId="1720745236">
    <w:abstractNumId w:val="13"/>
  </w:num>
  <w:num w:numId="23" w16cid:durableId="1897814778">
    <w:abstractNumId w:val="2"/>
  </w:num>
  <w:num w:numId="24" w16cid:durableId="1418331210">
    <w:abstractNumId w:val="9"/>
  </w:num>
  <w:num w:numId="25" w16cid:durableId="1781219398">
    <w:abstractNumId w:val="15"/>
  </w:num>
  <w:num w:numId="26" w16cid:durableId="1713455765">
    <w:abstractNumId w:val="4"/>
  </w:num>
  <w:num w:numId="27" w16cid:durableId="484666529">
    <w:abstractNumId w:val="6"/>
  </w:num>
  <w:num w:numId="28" w16cid:durableId="1760173204">
    <w:abstractNumId w:val="27"/>
  </w:num>
  <w:num w:numId="29" w16cid:durableId="1712462471">
    <w:abstractNumId w:val="29"/>
  </w:num>
  <w:num w:numId="30" w16cid:durableId="2230342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F24"/>
    <w:rsid w:val="00005B50"/>
    <w:rsid w:val="00005E9E"/>
    <w:rsid w:val="00006434"/>
    <w:rsid w:val="000104A3"/>
    <w:rsid w:val="000243BB"/>
    <w:rsid w:val="00043451"/>
    <w:rsid w:val="000437A2"/>
    <w:rsid w:val="00045DC0"/>
    <w:rsid w:val="0005015F"/>
    <w:rsid w:val="00053017"/>
    <w:rsid w:val="00054EF2"/>
    <w:rsid w:val="00067E21"/>
    <w:rsid w:val="00073BC8"/>
    <w:rsid w:val="00081A06"/>
    <w:rsid w:val="00084E61"/>
    <w:rsid w:val="00097A36"/>
    <w:rsid w:val="000B22C1"/>
    <w:rsid w:val="000C295A"/>
    <w:rsid w:val="000C6DA6"/>
    <w:rsid w:val="000D1B70"/>
    <w:rsid w:val="000D5C07"/>
    <w:rsid w:val="000D723C"/>
    <w:rsid w:val="000E0833"/>
    <w:rsid w:val="000E3F20"/>
    <w:rsid w:val="000E7C84"/>
    <w:rsid w:val="001061A5"/>
    <w:rsid w:val="001136EB"/>
    <w:rsid w:val="00121CB2"/>
    <w:rsid w:val="0012209F"/>
    <w:rsid w:val="00125749"/>
    <w:rsid w:val="001350D8"/>
    <w:rsid w:val="001367A5"/>
    <w:rsid w:val="00142512"/>
    <w:rsid w:val="00144BA4"/>
    <w:rsid w:val="001526E7"/>
    <w:rsid w:val="001540D2"/>
    <w:rsid w:val="001543C3"/>
    <w:rsid w:val="00177C52"/>
    <w:rsid w:val="00177C89"/>
    <w:rsid w:val="001828C4"/>
    <w:rsid w:val="00186119"/>
    <w:rsid w:val="00191FBF"/>
    <w:rsid w:val="001A6111"/>
    <w:rsid w:val="001B454B"/>
    <w:rsid w:val="001B6FD2"/>
    <w:rsid w:val="001C34B1"/>
    <w:rsid w:val="001C7290"/>
    <w:rsid w:val="001C7C97"/>
    <w:rsid w:val="001D3B78"/>
    <w:rsid w:val="001E0AE4"/>
    <w:rsid w:val="001E4B69"/>
    <w:rsid w:val="002022FF"/>
    <w:rsid w:val="002134CD"/>
    <w:rsid w:val="00224E11"/>
    <w:rsid w:val="00226610"/>
    <w:rsid w:val="0023316A"/>
    <w:rsid w:val="00233AE3"/>
    <w:rsid w:val="0024631A"/>
    <w:rsid w:val="00253B8F"/>
    <w:rsid w:val="00255633"/>
    <w:rsid w:val="00256E2F"/>
    <w:rsid w:val="00256EFE"/>
    <w:rsid w:val="00260B49"/>
    <w:rsid w:val="00265C04"/>
    <w:rsid w:val="0026611E"/>
    <w:rsid w:val="00270BF9"/>
    <w:rsid w:val="00271D57"/>
    <w:rsid w:val="00283DEA"/>
    <w:rsid w:val="0028588C"/>
    <w:rsid w:val="00292461"/>
    <w:rsid w:val="0029689C"/>
    <w:rsid w:val="002A08FB"/>
    <w:rsid w:val="002A10D0"/>
    <w:rsid w:val="002A4504"/>
    <w:rsid w:val="002B4EEA"/>
    <w:rsid w:val="002B4F37"/>
    <w:rsid w:val="002B5B46"/>
    <w:rsid w:val="002C5AF5"/>
    <w:rsid w:val="002E20EC"/>
    <w:rsid w:val="002F0A52"/>
    <w:rsid w:val="002F2FB3"/>
    <w:rsid w:val="002F7FF2"/>
    <w:rsid w:val="00321059"/>
    <w:rsid w:val="0033252E"/>
    <w:rsid w:val="00337383"/>
    <w:rsid w:val="00337A25"/>
    <w:rsid w:val="003452C1"/>
    <w:rsid w:val="003620D4"/>
    <w:rsid w:val="00363DFE"/>
    <w:rsid w:val="0037506C"/>
    <w:rsid w:val="00381267"/>
    <w:rsid w:val="00387191"/>
    <w:rsid w:val="00397C34"/>
    <w:rsid w:val="003A0AC6"/>
    <w:rsid w:val="003A1200"/>
    <w:rsid w:val="003A2EDE"/>
    <w:rsid w:val="003C59ED"/>
    <w:rsid w:val="003D66DE"/>
    <w:rsid w:val="003E6D76"/>
    <w:rsid w:val="003E6EAD"/>
    <w:rsid w:val="003E7E07"/>
    <w:rsid w:val="003E7F80"/>
    <w:rsid w:val="003E7FC6"/>
    <w:rsid w:val="003F019A"/>
    <w:rsid w:val="003F0D56"/>
    <w:rsid w:val="00423589"/>
    <w:rsid w:val="004368B9"/>
    <w:rsid w:val="00447676"/>
    <w:rsid w:val="0046167A"/>
    <w:rsid w:val="00466146"/>
    <w:rsid w:val="00471C44"/>
    <w:rsid w:val="00473D28"/>
    <w:rsid w:val="00484C23"/>
    <w:rsid w:val="004940AF"/>
    <w:rsid w:val="004A56E1"/>
    <w:rsid w:val="004B0CF1"/>
    <w:rsid w:val="004B10C3"/>
    <w:rsid w:val="004C1479"/>
    <w:rsid w:val="004D5352"/>
    <w:rsid w:val="004D74F2"/>
    <w:rsid w:val="004E2D1C"/>
    <w:rsid w:val="004E5DB4"/>
    <w:rsid w:val="004E64A5"/>
    <w:rsid w:val="004F4C50"/>
    <w:rsid w:val="004F604B"/>
    <w:rsid w:val="00507C6E"/>
    <w:rsid w:val="00513047"/>
    <w:rsid w:val="005161B2"/>
    <w:rsid w:val="00537F93"/>
    <w:rsid w:val="00540BB6"/>
    <w:rsid w:val="0054418F"/>
    <w:rsid w:val="00546880"/>
    <w:rsid w:val="00552C87"/>
    <w:rsid w:val="00583953"/>
    <w:rsid w:val="00583C2F"/>
    <w:rsid w:val="0058651B"/>
    <w:rsid w:val="0059014E"/>
    <w:rsid w:val="00593C5C"/>
    <w:rsid w:val="005A4B73"/>
    <w:rsid w:val="005D28ED"/>
    <w:rsid w:val="005D7B9F"/>
    <w:rsid w:val="005F2651"/>
    <w:rsid w:val="00603348"/>
    <w:rsid w:val="00612FDF"/>
    <w:rsid w:val="0062020E"/>
    <w:rsid w:val="0062139E"/>
    <w:rsid w:val="00630600"/>
    <w:rsid w:val="00636E60"/>
    <w:rsid w:val="00654938"/>
    <w:rsid w:val="00664FCA"/>
    <w:rsid w:val="00677221"/>
    <w:rsid w:val="00691AF3"/>
    <w:rsid w:val="006A5535"/>
    <w:rsid w:val="006B5CCF"/>
    <w:rsid w:val="006D2BCB"/>
    <w:rsid w:val="006F0A32"/>
    <w:rsid w:val="006F3136"/>
    <w:rsid w:val="006F4ED2"/>
    <w:rsid w:val="0070527F"/>
    <w:rsid w:val="0070627E"/>
    <w:rsid w:val="00715E11"/>
    <w:rsid w:val="007237F8"/>
    <w:rsid w:val="0073020D"/>
    <w:rsid w:val="00741D99"/>
    <w:rsid w:val="0074711C"/>
    <w:rsid w:val="00747629"/>
    <w:rsid w:val="00764F65"/>
    <w:rsid w:val="00771FFC"/>
    <w:rsid w:val="00780BCE"/>
    <w:rsid w:val="00782803"/>
    <w:rsid w:val="00787593"/>
    <w:rsid w:val="007C55CD"/>
    <w:rsid w:val="007C5807"/>
    <w:rsid w:val="007C60B8"/>
    <w:rsid w:val="007D41ED"/>
    <w:rsid w:val="007D7D36"/>
    <w:rsid w:val="007F3CD4"/>
    <w:rsid w:val="0082090E"/>
    <w:rsid w:val="0082124A"/>
    <w:rsid w:val="00827ECA"/>
    <w:rsid w:val="008415EB"/>
    <w:rsid w:val="00843BD1"/>
    <w:rsid w:val="00852327"/>
    <w:rsid w:val="00852829"/>
    <w:rsid w:val="008559EF"/>
    <w:rsid w:val="008813B4"/>
    <w:rsid w:val="00882D6D"/>
    <w:rsid w:val="00890480"/>
    <w:rsid w:val="00892321"/>
    <w:rsid w:val="00892FA5"/>
    <w:rsid w:val="00893354"/>
    <w:rsid w:val="008A4A52"/>
    <w:rsid w:val="008B687E"/>
    <w:rsid w:val="008C7591"/>
    <w:rsid w:val="008D1C3B"/>
    <w:rsid w:val="008F638E"/>
    <w:rsid w:val="00901E5F"/>
    <w:rsid w:val="00905973"/>
    <w:rsid w:val="00911F2C"/>
    <w:rsid w:val="0091437E"/>
    <w:rsid w:val="00927038"/>
    <w:rsid w:val="0093160E"/>
    <w:rsid w:val="00943641"/>
    <w:rsid w:val="00954AA7"/>
    <w:rsid w:val="00965FC9"/>
    <w:rsid w:val="00994D36"/>
    <w:rsid w:val="009A769D"/>
    <w:rsid w:val="009B03E0"/>
    <w:rsid w:val="009C3146"/>
    <w:rsid w:val="009C36BC"/>
    <w:rsid w:val="009C514A"/>
    <w:rsid w:val="009D3E28"/>
    <w:rsid w:val="009E090E"/>
    <w:rsid w:val="009E1C67"/>
    <w:rsid w:val="009E23DA"/>
    <w:rsid w:val="009E240A"/>
    <w:rsid w:val="00A06C3A"/>
    <w:rsid w:val="00A1102C"/>
    <w:rsid w:val="00A14DC4"/>
    <w:rsid w:val="00A1637D"/>
    <w:rsid w:val="00A16DCD"/>
    <w:rsid w:val="00A2135B"/>
    <w:rsid w:val="00A265C8"/>
    <w:rsid w:val="00A26F80"/>
    <w:rsid w:val="00A368F7"/>
    <w:rsid w:val="00A436FC"/>
    <w:rsid w:val="00A45B48"/>
    <w:rsid w:val="00A5436C"/>
    <w:rsid w:val="00A657CA"/>
    <w:rsid w:val="00A72ABB"/>
    <w:rsid w:val="00A76CD2"/>
    <w:rsid w:val="00A91045"/>
    <w:rsid w:val="00AA003F"/>
    <w:rsid w:val="00AA2DD4"/>
    <w:rsid w:val="00AA30D0"/>
    <w:rsid w:val="00AD1CFC"/>
    <w:rsid w:val="00AD75BA"/>
    <w:rsid w:val="00AE2D53"/>
    <w:rsid w:val="00AE5B3E"/>
    <w:rsid w:val="00AE5D3A"/>
    <w:rsid w:val="00AF08D2"/>
    <w:rsid w:val="00B03BB8"/>
    <w:rsid w:val="00B20ADD"/>
    <w:rsid w:val="00B3395C"/>
    <w:rsid w:val="00B42C0D"/>
    <w:rsid w:val="00B65891"/>
    <w:rsid w:val="00B727D8"/>
    <w:rsid w:val="00B738F1"/>
    <w:rsid w:val="00B75A23"/>
    <w:rsid w:val="00B76BEA"/>
    <w:rsid w:val="00B80DEE"/>
    <w:rsid w:val="00B84EEB"/>
    <w:rsid w:val="00B90FF8"/>
    <w:rsid w:val="00B92469"/>
    <w:rsid w:val="00BA4C2B"/>
    <w:rsid w:val="00BA6281"/>
    <w:rsid w:val="00BB6289"/>
    <w:rsid w:val="00BC09A3"/>
    <w:rsid w:val="00BF0A17"/>
    <w:rsid w:val="00BF587E"/>
    <w:rsid w:val="00BF5C3F"/>
    <w:rsid w:val="00C02A70"/>
    <w:rsid w:val="00C05CE1"/>
    <w:rsid w:val="00C07E9A"/>
    <w:rsid w:val="00C1230E"/>
    <w:rsid w:val="00C26009"/>
    <w:rsid w:val="00C267F7"/>
    <w:rsid w:val="00C57A20"/>
    <w:rsid w:val="00C62C67"/>
    <w:rsid w:val="00C66F37"/>
    <w:rsid w:val="00C705B5"/>
    <w:rsid w:val="00C7074D"/>
    <w:rsid w:val="00C71BD7"/>
    <w:rsid w:val="00C748A7"/>
    <w:rsid w:val="00C77BFC"/>
    <w:rsid w:val="00C83691"/>
    <w:rsid w:val="00CA62C7"/>
    <w:rsid w:val="00CA7C43"/>
    <w:rsid w:val="00CF1FC1"/>
    <w:rsid w:val="00CF61FC"/>
    <w:rsid w:val="00D018E4"/>
    <w:rsid w:val="00D02072"/>
    <w:rsid w:val="00D04A07"/>
    <w:rsid w:val="00D1046C"/>
    <w:rsid w:val="00D1213B"/>
    <w:rsid w:val="00D128A6"/>
    <w:rsid w:val="00D15DDA"/>
    <w:rsid w:val="00D164DD"/>
    <w:rsid w:val="00D27CFF"/>
    <w:rsid w:val="00D305E8"/>
    <w:rsid w:val="00D326D7"/>
    <w:rsid w:val="00D428F3"/>
    <w:rsid w:val="00D43C94"/>
    <w:rsid w:val="00D46770"/>
    <w:rsid w:val="00D52545"/>
    <w:rsid w:val="00D62A4D"/>
    <w:rsid w:val="00D63C74"/>
    <w:rsid w:val="00D751A2"/>
    <w:rsid w:val="00D813B1"/>
    <w:rsid w:val="00D96007"/>
    <w:rsid w:val="00DB0729"/>
    <w:rsid w:val="00DB44A4"/>
    <w:rsid w:val="00DB78B1"/>
    <w:rsid w:val="00DC58C2"/>
    <w:rsid w:val="00DE14FE"/>
    <w:rsid w:val="00E00A41"/>
    <w:rsid w:val="00E00C6F"/>
    <w:rsid w:val="00E12411"/>
    <w:rsid w:val="00E26F24"/>
    <w:rsid w:val="00E30CB3"/>
    <w:rsid w:val="00E3655A"/>
    <w:rsid w:val="00E44263"/>
    <w:rsid w:val="00E45B1D"/>
    <w:rsid w:val="00E47EA6"/>
    <w:rsid w:val="00E533AA"/>
    <w:rsid w:val="00E538E6"/>
    <w:rsid w:val="00E769BD"/>
    <w:rsid w:val="00E87476"/>
    <w:rsid w:val="00E91344"/>
    <w:rsid w:val="00E97DBF"/>
    <w:rsid w:val="00EA4E45"/>
    <w:rsid w:val="00EA51DC"/>
    <w:rsid w:val="00EB53C2"/>
    <w:rsid w:val="00ED384D"/>
    <w:rsid w:val="00EE0D95"/>
    <w:rsid w:val="00EE39D6"/>
    <w:rsid w:val="00F24D9C"/>
    <w:rsid w:val="00F266AC"/>
    <w:rsid w:val="00F27650"/>
    <w:rsid w:val="00F27F1A"/>
    <w:rsid w:val="00F31A60"/>
    <w:rsid w:val="00F32434"/>
    <w:rsid w:val="00F423CA"/>
    <w:rsid w:val="00F47F80"/>
    <w:rsid w:val="00F564A5"/>
    <w:rsid w:val="00F574C1"/>
    <w:rsid w:val="00F823DD"/>
    <w:rsid w:val="00F85017"/>
    <w:rsid w:val="00F96336"/>
    <w:rsid w:val="00FA12D7"/>
    <w:rsid w:val="00FC475C"/>
    <w:rsid w:val="00FE2A45"/>
    <w:rsid w:val="00FE49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05FB4"/>
  <w15:chartTrackingRefBased/>
  <w15:docId w15:val="{FA783450-CCE9-7942-B9C1-A2E26E58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Bidi" w:eastAsiaTheme="minorHAnsi" w:hAnsiTheme="minorBidi" w:cstheme="minorBidi"/>
        <w:sz w:val="18"/>
        <w:szCs w:val="18"/>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290"/>
  </w:style>
  <w:style w:type="paragraph" w:styleId="Heading1">
    <w:name w:val="heading 1"/>
    <w:basedOn w:val="Normal1"/>
    <w:next w:val="Normal1"/>
    <w:link w:val="Heading1Char"/>
    <w:rsid w:val="00892FA5"/>
    <w:pPr>
      <w:shd w:val="clear" w:color="auto" w:fill="BD0014"/>
      <w:tabs>
        <w:tab w:val="left" w:pos="270"/>
        <w:tab w:val="left" w:pos="630"/>
      </w:tabs>
      <w:spacing w:after="0" w:line="240" w:lineRule="auto"/>
      <w:ind w:left="540" w:hanging="540"/>
      <w:outlineLvl w:val="0"/>
    </w:pPr>
    <w:rPr>
      <w:rFonts w:asciiTheme="minorBidi" w:eastAsia="Arial" w:hAnsiTheme="minorBidi" w:cstheme="minorBidi"/>
      <w:b/>
      <w:smallCaps/>
      <w:color w:val="FFFFFF"/>
      <w:sz w:val="28"/>
      <w:szCs w:val="28"/>
    </w:rPr>
  </w:style>
  <w:style w:type="paragraph" w:styleId="Heading2">
    <w:name w:val="heading 2"/>
    <w:basedOn w:val="Normal1"/>
    <w:next w:val="Normal1"/>
    <w:link w:val="Heading2Char"/>
    <w:rsid w:val="00892FA5"/>
    <w:pPr>
      <w:numPr>
        <w:numId w:val="21"/>
      </w:numPr>
      <w:shd w:val="clear" w:color="auto" w:fill="FCB040"/>
      <w:spacing w:before="40" w:after="40" w:line="240" w:lineRule="auto"/>
      <w:ind w:left="270" w:hanging="270"/>
      <w:outlineLvl w:val="1"/>
    </w:pPr>
    <w:rPr>
      <w:rFonts w:asciiTheme="minorBidi" w:eastAsia="Arial" w:hAnsiTheme="minorBidi" w:cstheme="minorBidi"/>
      <w:b/>
      <w:smallCaps/>
      <w:sz w:val="24"/>
      <w:szCs w:val="24"/>
    </w:rPr>
  </w:style>
  <w:style w:type="paragraph" w:styleId="Heading3">
    <w:name w:val="heading 3"/>
    <w:basedOn w:val="Normal1"/>
    <w:next w:val="Normal1"/>
    <w:link w:val="Heading3Char"/>
    <w:rsid w:val="00E26F24"/>
    <w:pPr>
      <w:spacing w:line="240" w:lineRule="auto"/>
      <w:outlineLvl w:val="2"/>
    </w:pPr>
    <w:rPr>
      <w:rFonts w:ascii="Arial" w:eastAsia="Arial" w:hAnsi="Arial" w:cs="Arial"/>
      <w:b/>
    </w:rPr>
  </w:style>
  <w:style w:type="paragraph" w:styleId="Heading4">
    <w:name w:val="heading 4"/>
    <w:basedOn w:val="Normal1"/>
    <w:next w:val="Normal1"/>
    <w:link w:val="Heading4Char"/>
    <w:rsid w:val="00E26F24"/>
    <w:pPr>
      <w:pBdr>
        <w:top w:val="dotted" w:sz="6" w:space="2" w:color="099BDD"/>
      </w:pBdr>
      <w:spacing w:before="200" w:after="0"/>
      <w:outlineLvl w:val="3"/>
    </w:pPr>
    <w:rPr>
      <w:smallCaps/>
      <w:color w:val="0673A5"/>
    </w:rPr>
  </w:style>
  <w:style w:type="paragraph" w:styleId="Heading5">
    <w:name w:val="heading 5"/>
    <w:basedOn w:val="Normal1"/>
    <w:next w:val="Normal1"/>
    <w:link w:val="Heading5Char"/>
    <w:rsid w:val="00E26F24"/>
    <w:pPr>
      <w:pBdr>
        <w:bottom w:val="single" w:sz="6" w:space="1" w:color="099BDD"/>
      </w:pBdr>
      <w:spacing w:before="200" w:after="0"/>
      <w:outlineLvl w:val="4"/>
    </w:pPr>
    <w:rPr>
      <w:smallCaps/>
      <w:color w:val="0673A5"/>
    </w:rPr>
  </w:style>
  <w:style w:type="paragraph" w:styleId="Heading6">
    <w:name w:val="heading 6"/>
    <w:basedOn w:val="Normal1"/>
    <w:next w:val="Normal1"/>
    <w:link w:val="Heading6Char"/>
    <w:rsid w:val="00E26F24"/>
    <w:pPr>
      <w:pBdr>
        <w:bottom w:val="dotted" w:sz="6" w:space="1" w:color="099BDD"/>
      </w:pBdr>
      <w:spacing w:before="200" w:after="0"/>
      <w:outlineLvl w:val="5"/>
    </w:pPr>
    <w:rPr>
      <w:smallCaps/>
      <w:color w:val="0673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92FA5"/>
    <w:rPr>
      <w:rFonts w:asciiTheme="minorBidi" w:eastAsia="Arial" w:hAnsiTheme="minorBidi"/>
      <w:b/>
      <w:smallCaps/>
      <w:color w:val="FFFFFF"/>
      <w:sz w:val="28"/>
      <w:szCs w:val="28"/>
      <w:shd w:val="clear" w:color="auto" w:fill="BD0014"/>
    </w:rPr>
  </w:style>
  <w:style w:type="character" w:customStyle="1" w:styleId="Heading2Char">
    <w:name w:val="Heading 2 Char"/>
    <w:basedOn w:val="DefaultParagraphFont"/>
    <w:link w:val="Heading2"/>
    <w:rsid w:val="00892FA5"/>
    <w:rPr>
      <w:rFonts w:asciiTheme="minorBidi" w:eastAsia="Arial" w:hAnsiTheme="minorBidi"/>
      <w:b/>
      <w:smallCaps/>
      <w:color w:val="000000"/>
      <w:shd w:val="clear" w:color="auto" w:fill="FCB040"/>
    </w:rPr>
  </w:style>
  <w:style w:type="character" w:customStyle="1" w:styleId="Heading3Char">
    <w:name w:val="Heading 3 Char"/>
    <w:basedOn w:val="DefaultParagraphFont"/>
    <w:link w:val="Heading3"/>
    <w:rsid w:val="00E26F24"/>
    <w:rPr>
      <w:rFonts w:ascii="Arial" w:eastAsia="Arial" w:hAnsi="Arial" w:cs="Arial"/>
      <w:b/>
      <w:color w:val="000000"/>
      <w:sz w:val="22"/>
      <w:szCs w:val="22"/>
    </w:rPr>
  </w:style>
  <w:style w:type="character" w:customStyle="1" w:styleId="Heading4Char">
    <w:name w:val="Heading 4 Char"/>
    <w:basedOn w:val="DefaultParagraphFont"/>
    <w:link w:val="Heading4"/>
    <w:rsid w:val="00E26F24"/>
    <w:rPr>
      <w:rFonts w:ascii="Corbel" w:eastAsia="Corbel" w:hAnsi="Corbel" w:cs="Corbel"/>
      <w:smallCaps/>
      <w:color w:val="0673A5"/>
      <w:sz w:val="22"/>
      <w:szCs w:val="22"/>
    </w:rPr>
  </w:style>
  <w:style w:type="character" w:customStyle="1" w:styleId="Heading5Char">
    <w:name w:val="Heading 5 Char"/>
    <w:basedOn w:val="DefaultParagraphFont"/>
    <w:link w:val="Heading5"/>
    <w:rsid w:val="00E26F24"/>
    <w:rPr>
      <w:rFonts w:ascii="Corbel" w:eastAsia="Corbel" w:hAnsi="Corbel" w:cs="Corbel"/>
      <w:smallCaps/>
      <w:color w:val="0673A5"/>
      <w:sz w:val="22"/>
      <w:szCs w:val="22"/>
    </w:rPr>
  </w:style>
  <w:style w:type="character" w:customStyle="1" w:styleId="Heading6Char">
    <w:name w:val="Heading 6 Char"/>
    <w:basedOn w:val="DefaultParagraphFont"/>
    <w:link w:val="Heading6"/>
    <w:rsid w:val="00E26F24"/>
    <w:rPr>
      <w:rFonts w:ascii="Corbel" w:eastAsia="Corbel" w:hAnsi="Corbel" w:cs="Corbel"/>
      <w:smallCaps/>
      <w:color w:val="0673A5"/>
      <w:sz w:val="22"/>
      <w:szCs w:val="22"/>
    </w:rPr>
  </w:style>
  <w:style w:type="paragraph" w:customStyle="1" w:styleId="Normal1">
    <w:name w:val="Normal1"/>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paragraph" w:styleId="Title">
    <w:name w:val="Title"/>
    <w:basedOn w:val="Normal1"/>
    <w:next w:val="Normal1"/>
    <w:link w:val="TitleChar"/>
    <w:rsid w:val="00E26F24"/>
    <w:pPr>
      <w:spacing w:before="0" w:after="0"/>
    </w:pPr>
    <w:rPr>
      <w:smallCaps/>
      <w:color w:val="0673A5"/>
      <w:sz w:val="52"/>
      <w:szCs w:val="52"/>
    </w:rPr>
  </w:style>
  <w:style w:type="character" w:customStyle="1" w:styleId="TitleChar">
    <w:name w:val="Title Char"/>
    <w:basedOn w:val="DefaultParagraphFont"/>
    <w:link w:val="Title"/>
    <w:rsid w:val="00E26F24"/>
    <w:rPr>
      <w:rFonts w:ascii="Corbel" w:eastAsia="Corbel" w:hAnsi="Corbel" w:cs="Corbel"/>
      <w:smallCaps/>
      <w:color w:val="0673A5"/>
      <w:sz w:val="52"/>
      <w:szCs w:val="52"/>
    </w:rPr>
  </w:style>
  <w:style w:type="paragraph" w:styleId="Subtitle">
    <w:name w:val="Subtitle"/>
    <w:basedOn w:val="Normal1"/>
    <w:next w:val="Normal1"/>
    <w:link w:val="SubtitleChar"/>
    <w:rsid w:val="00E26F24"/>
    <w:pPr>
      <w:spacing w:after="160"/>
    </w:pPr>
    <w:rPr>
      <w:color w:val="404040"/>
    </w:rPr>
  </w:style>
  <w:style w:type="character" w:customStyle="1" w:styleId="SubtitleChar">
    <w:name w:val="Subtitle Char"/>
    <w:basedOn w:val="DefaultParagraphFont"/>
    <w:link w:val="Subtitle"/>
    <w:rsid w:val="00E26F24"/>
    <w:rPr>
      <w:rFonts w:ascii="Corbel" w:eastAsia="Corbel" w:hAnsi="Corbel" w:cs="Corbel"/>
      <w:color w:val="404040"/>
      <w:sz w:val="22"/>
      <w:szCs w:val="22"/>
    </w:rPr>
  </w:style>
  <w:style w:type="paragraph" w:styleId="CommentText">
    <w:name w:val="annotation text"/>
    <w:basedOn w:val="Normal"/>
    <w:link w:val="CommentTextChar"/>
    <w:uiPriority w:val="99"/>
    <w:unhideWhenUsed/>
    <w:rsid w:val="00E26F24"/>
  </w:style>
  <w:style w:type="character" w:customStyle="1" w:styleId="CommentTextChar">
    <w:name w:val="Comment Text Char"/>
    <w:basedOn w:val="DefaultParagraphFont"/>
    <w:link w:val="CommentText"/>
    <w:uiPriority w:val="99"/>
    <w:rsid w:val="00E26F24"/>
    <w:rPr>
      <w:rFonts w:ascii="Times New Roman" w:eastAsia="Times New Roman" w:hAnsi="Times New Roman" w:cs="Times New Roman"/>
      <w:lang w:eastAsia="zh-CN"/>
    </w:rPr>
  </w:style>
  <w:style w:type="character" w:styleId="CommentReference">
    <w:name w:val="annotation reference"/>
    <w:basedOn w:val="DefaultParagraphFont"/>
    <w:uiPriority w:val="99"/>
    <w:semiHidden/>
    <w:unhideWhenUsed/>
    <w:rsid w:val="00E26F24"/>
    <w:rPr>
      <w:sz w:val="18"/>
      <w:szCs w:val="18"/>
    </w:rPr>
  </w:style>
  <w:style w:type="paragraph" w:styleId="BalloonText">
    <w:name w:val="Balloon Text"/>
    <w:basedOn w:val="Normal"/>
    <w:link w:val="BalloonTextChar"/>
    <w:uiPriority w:val="99"/>
    <w:semiHidden/>
    <w:unhideWhenUsed/>
    <w:rsid w:val="00E26F24"/>
    <w:rPr>
      <w:rFonts w:ascii="Lucida Grande" w:hAnsi="Lucida Grande" w:cs="Lucida Grande"/>
    </w:rPr>
  </w:style>
  <w:style w:type="character" w:customStyle="1" w:styleId="BalloonTextChar">
    <w:name w:val="Balloon Text Char"/>
    <w:basedOn w:val="DefaultParagraphFont"/>
    <w:link w:val="BalloonText"/>
    <w:uiPriority w:val="99"/>
    <w:semiHidden/>
    <w:rsid w:val="00E26F24"/>
    <w:rPr>
      <w:rFonts w:ascii="Lucida Grande" w:eastAsia="Times New Roman" w:hAnsi="Lucida Grande" w:cs="Lucida Grande"/>
      <w:sz w:val="18"/>
      <w:szCs w:val="18"/>
      <w:lang w:eastAsia="zh-CN"/>
    </w:rPr>
  </w:style>
  <w:style w:type="paragraph" w:styleId="DocumentMap">
    <w:name w:val="Document Map"/>
    <w:basedOn w:val="Normal"/>
    <w:link w:val="DocumentMapChar"/>
    <w:uiPriority w:val="99"/>
    <w:semiHidden/>
    <w:unhideWhenUsed/>
    <w:rsid w:val="00E26F24"/>
    <w:rPr>
      <w:rFonts w:ascii="Lucida Grande" w:hAnsi="Lucida Grande" w:cs="Lucida Grande"/>
    </w:rPr>
  </w:style>
  <w:style w:type="character" w:customStyle="1" w:styleId="DocumentMapChar">
    <w:name w:val="Document Map Char"/>
    <w:basedOn w:val="DefaultParagraphFont"/>
    <w:link w:val="DocumentMap"/>
    <w:uiPriority w:val="99"/>
    <w:semiHidden/>
    <w:rsid w:val="00E26F24"/>
    <w:rPr>
      <w:rFonts w:ascii="Lucida Grande" w:eastAsia="Times New Roman" w:hAnsi="Lucida Grande" w:cs="Lucida Grande"/>
      <w:lang w:eastAsia="zh-CN"/>
    </w:rPr>
  </w:style>
  <w:style w:type="paragraph" w:styleId="Header">
    <w:name w:val="header"/>
    <w:basedOn w:val="Normal"/>
    <w:link w:val="HeaderChar"/>
    <w:uiPriority w:val="99"/>
    <w:unhideWhenUsed/>
    <w:rsid w:val="00E26F24"/>
    <w:pPr>
      <w:tabs>
        <w:tab w:val="center" w:pos="4320"/>
        <w:tab w:val="right" w:pos="8640"/>
      </w:tabs>
    </w:pPr>
  </w:style>
  <w:style w:type="character" w:customStyle="1" w:styleId="HeaderChar">
    <w:name w:val="Header Char"/>
    <w:basedOn w:val="DefaultParagraphFont"/>
    <w:link w:val="Header"/>
    <w:uiPriority w:val="99"/>
    <w:rsid w:val="00E26F24"/>
    <w:rPr>
      <w:rFonts w:ascii="Times New Roman" w:eastAsia="Times New Roman" w:hAnsi="Times New Roman" w:cs="Times New Roman"/>
      <w:lang w:eastAsia="zh-CN"/>
    </w:rPr>
  </w:style>
  <w:style w:type="paragraph" w:styleId="Footer">
    <w:name w:val="footer"/>
    <w:basedOn w:val="Normal"/>
    <w:link w:val="FooterChar"/>
    <w:uiPriority w:val="99"/>
    <w:unhideWhenUsed/>
    <w:rsid w:val="00E26F24"/>
    <w:pPr>
      <w:tabs>
        <w:tab w:val="center" w:pos="4320"/>
        <w:tab w:val="right" w:pos="8640"/>
      </w:tabs>
    </w:pPr>
  </w:style>
  <w:style w:type="character" w:customStyle="1" w:styleId="FooterChar">
    <w:name w:val="Footer Char"/>
    <w:basedOn w:val="DefaultParagraphFont"/>
    <w:link w:val="Footer"/>
    <w:uiPriority w:val="99"/>
    <w:rsid w:val="00E26F24"/>
    <w:rPr>
      <w:rFonts w:ascii="Times New Roman" w:eastAsia="Times New Roman" w:hAnsi="Times New Roman" w:cs="Times New Roman"/>
      <w:lang w:eastAsia="zh-CN"/>
    </w:rPr>
  </w:style>
  <w:style w:type="paragraph" w:styleId="NoSpacing">
    <w:name w:val="No Spacing"/>
    <w:uiPriority w:val="1"/>
    <w:qFormat/>
    <w:rsid w:val="00E26F24"/>
    <w:pPr>
      <w:numPr>
        <w:numId w:val="3"/>
      </w:numPr>
      <w:pBdr>
        <w:top w:val="nil"/>
        <w:left w:val="nil"/>
        <w:bottom w:val="nil"/>
        <w:right w:val="nil"/>
        <w:between w:val="nil"/>
      </w:pBdr>
    </w:pPr>
    <w:rPr>
      <w:rFonts w:ascii="Arial" w:eastAsia="Corbel" w:hAnsi="Arial" w:cs="Corbel"/>
      <w:color w:val="000000"/>
      <w:sz w:val="20"/>
      <w:szCs w:val="20"/>
    </w:rPr>
  </w:style>
  <w:style w:type="paragraph" w:styleId="TOCHeading">
    <w:name w:val="TOC Heading"/>
    <w:basedOn w:val="Heading1"/>
    <w:next w:val="Normal"/>
    <w:uiPriority w:val="39"/>
    <w:unhideWhenUsed/>
    <w:qFormat/>
    <w:rsid w:val="00E26F24"/>
    <w:pPr>
      <w:keepNext/>
      <w:keepLines/>
      <w:pBdr>
        <w:top w:val="none" w:sz="0" w:space="0" w:color="auto"/>
        <w:left w:val="none" w:sz="0" w:space="0" w:color="auto"/>
        <w:bottom w:val="none" w:sz="0" w:space="0" w:color="auto"/>
        <w:right w:val="none" w:sz="0" w:space="0" w:color="auto"/>
        <w:between w:val="none" w:sz="0" w:space="0" w:color="auto"/>
      </w:pBdr>
      <w:shd w:val="clear" w:color="auto" w:fill="auto"/>
      <w:tabs>
        <w:tab w:val="clear" w:pos="270"/>
        <w:tab w:val="clear" w:pos="630"/>
      </w:tabs>
      <w:spacing w:before="480" w:line="276" w:lineRule="auto"/>
      <w:ind w:left="0" w:firstLine="0"/>
      <w:outlineLvl w:val="9"/>
    </w:pPr>
    <w:rPr>
      <w:rFonts w:asciiTheme="majorHAnsi" w:eastAsiaTheme="majorEastAsia" w:hAnsiTheme="majorHAnsi" w:cstheme="majorBidi"/>
      <w:bCs/>
      <w:smallCaps w:val="0"/>
      <w:color w:val="2F5496" w:themeColor="accent1" w:themeShade="BF"/>
    </w:rPr>
  </w:style>
  <w:style w:type="paragraph" w:styleId="TOC1">
    <w:name w:val="toc 1"/>
    <w:basedOn w:val="Normal"/>
    <w:next w:val="Normal"/>
    <w:autoRedefine/>
    <w:uiPriority w:val="39"/>
    <w:unhideWhenUsed/>
    <w:rsid w:val="00E26F24"/>
    <w:pPr>
      <w:spacing w:before="120"/>
    </w:pPr>
    <w:rPr>
      <w:rFonts w:asciiTheme="minorHAnsi" w:hAnsiTheme="minorHAnsi" w:cstheme="minorHAnsi"/>
      <w:b/>
      <w:bCs/>
      <w:i/>
      <w:iCs/>
      <w:szCs w:val="28"/>
    </w:rPr>
  </w:style>
  <w:style w:type="paragraph" w:styleId="TOC2">
    <w:name w:val="toc 2"/>
    <w:basedOn w:val="Normal"/>
    <w:next w:val="Normal"/>
    <w:autoRedefine/>
    <w:uiPriority w:val="39"/>
    <w:unhideWhenUsed/>
    <w:rsid w:val="00E26F24"/>
    <w:pPr>
      <w:spacing w:before="120"/>
      <w:ind w:left="240"/>
    </w:pPr>
    <w:rPr>
      <w:rFonts w:asciiTheme="minorHAnsi" w:hAnsiTheme="minorHAnsi" w:cstheme="minorHAnsi"/>
      <w:b/>
      <w:bCs/>
      <w:sz w:val="22"/>
      <w:szCs w:val="26"/>
    </w:rPr>
  </w:style>
  <w:style w:type="paragraph" w:styleId="TOC3">
    <w:name w:val="toc 3"/>
    <w:basedOn w:val="Normal"/>
    <w:next w:val="Normal"/>
    <w:autoRedefine/>
    <w:uiPriority w:val="39"/>
    <w:semiHidden/>
    <w:unhideWhenUsed/>
    <w:rsid w:val="00E26F24"/>
    <w:pPr>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E26F24"/>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E26F24"/>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E26F24"/>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E26F24"/>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E26F24"/>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E26F24"/>
    <w:pPr>
      <w:ind w:left="1920"/>
    </w:pPr>
    <w:rPr>
      <w:rFonts w:asciiTheme="minorHAnsi" w:hAnsiTheme="minorHAnsi" w:cstheme="minorHAnsi"/>
      <w:sz w:val="20"/>
    </w:rPr>
  </w:style>
  <w:style w:type="paragraph" w:styleId="FootnoteText">
    <w:name w:val="footnote text"/>
    <w:basedOn w:val="Normal"/>
    <w:link w:val="FootnoteTextChar"/>
    <w:uiPriority w:val="99"/>
    <w:unhideWhenUsed/>
    <w:rsid w:val="00E26F24"/>
  </w:style>
  <w:style w:type="character" w:customStyle="1" w:styleId="FootnoteTextChar">
    <w:name w:val="Footnote Text Char"/>
    <w:basedOn w:val="DefaultParagraphFont"/>
    <w:link w:val="FootnoteText"/>
    <w:uiPriority w:val="99"/>
    <w:rsid w:val="00E26F24"/>
    <w:rPr>
      <w:rFonts w:ascii="Times New Roman" w:eastAsia="Times New Roman" w:hAnsi="Times New Roman" w:cs="Times New Roman"/>
      <w:lang w:eastAsia="zh-CN"/>
    </w:rPr>
  </w:style>
  <w:style w:type="character" w:styleId="FootnoteReference">
    <w:name w:val="footnote reference"/>
    <w:basedOn w:val="DefaultParagraphFont"/>
    <w:uiPriority w:val="99"/>
    <w:unhideWhenUsed/>
    <w:rsid w:val="00E26F24"/>
    <w:rPr>
      <w:vertAlign w:val="superscript"/>
    </w:rPr>
  </w:style>
  <w:style w:type="paragraph" w:customStyle="1" w:styleId="Normal2">
    <w:name w:val="Normal2"/>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paragraph" w:styleId="CommentSubject">
    <w:name w:val="annotation subject"/>
    <w:basedOn w:val="CommentText"/>
    <w:next w:val="CommentText"/>
    <w:link w:val="CommentSubjectChar"/>
    <w:uiPriority w:val="99"/>
    <w:semiHidden/>
    <w:unhideWhenUsed/>
    <w:rsid w:val="00E26F24"/>
    <w:rPr>
      <w:b/>
      <w:bCs/>
      <w:sz w:val="20"/>
      <w:szCs w:val="20"/>
    </w:rPr>
  </w:style>
  <w:style w:type="character" w:customStyle="1" w:styleId="CommentSubjectChar">
    <w:name w:val="Comment Subject Char"/>
    <w:basedOn w:val="CommentTextChar"/>
    <w:link w:val="CommentSubject"/>
    <w:uiPriority w:val="99"/>
    <w:semiHidden/>
    <w:rsid w:val="00E26F24"/>
    <w:rPr>
      <w:rFonts w:ascii="Times New Roman" w:eastAsia="Times New Roman" w:hAnsi="Times New Roman" w:cs="Times New Roman"/>
      <w:b/>
      <w:bCs/>
      <w:sz w:val="20"/>
      <w:szCs w:val="20"/>
      <w:lang w:eastAsia="zh-CN"/>
    </w:rPr>
  </w:style>
  <w:style w:type="character" w:styleId="Hyperlink">
    <w:name w:val="Hyperlink"/>
    <w:basedOn w:val="DefaultParagraphFont"/>
    <w:uiPriority w:val="99"/>
    <w:unhideWhenUsed/>
    <w:rsid w:val="00E26F24"/>
    <w:rPr>
      <w:color w:val="0563C1" w:themeColor="hyperlink"/>
      <w:u w:val="single"/>
    </w:rPr>
  </w:style>
  <w:style w:type="paragraph" w:customStyle="1" w:styleId="paragraph">
    <w:name w:val="paragraph"/>
    <w:basedOn w:val="Normal"/>
    <w:rsid w:val="00E26F24"/>
    <w:pPr>
      <w:spacing w:before="100" w:beforeAutospacing="1" w:after="100" w:afterAutospacing="1"/>
    </w:pPr>
  </w:style>
  <w:style w:type="character" w:customStyle="1" w:styleId="normaltextrun">
    <w:name w:val="normaltextrun"/>
    <w:basedOn w:val="DefaultParagraphFont"/>
    <w:rsid w:val="00E26F24"/>
  </w:style>
  <w:style w:type="character" w:customStyle="1" w:styleId="apple-converted-space">
    <w:name w:val="apple-converted-space"/>
    <w:basedOn w:val="DefaultParagraphFont"/>
    <w:rsid w:val="00E26F24"/>
  </w:style>
  <w:style w:type="character" w:customStyle="1" w:styleId="eop">
    <w:name w:val="eop"/>
    <w:basedOn w:val="DefaultParagraphFont"/>
    <w:rsid w:val="00E26F24"/>
  </w:style>
  <w:style w:type="character" w:customStyle="1" w:styleId="scxw150688746">
    <w:name w:val="scxw150688746"/>
    <w:basedOn w:val="DefaultParagraphFont"/>
    <w:rsid w:val="00E26F24"/>
  </w:style>
  <w:style w:type="character" w:customStyle="1" w:styleId="spellingerror">
    <w:name w:val="spellingerror"/>
    <w:basedOn w:val="DefaultParagraphFont"/>
    <w:rsid w:val="00E26F24"/>
  </w:style>
  <w:style w:type="character" w:customStyle="1" w:styleId="scxw52846940">
    <w:name w:val="scxw52846940"/>
    <w:basedOn w:val="DefaultParagraphFont"/>
    <w:rsid w:val="00E26F24"/>
  </w:style>
  <w:style w:type="character" w:customStyle="1" w:styleId="scxw49425527">
    <w:name w:val="scxw49425527"/>
    <w:basedOn w:val="DefaultParagraphFont"/>
    <w:rsid w:val="00E26F24"/>
  </w:style>
  <w:style w:type="character" w:customStyle="1" w:styleId="scxw244817963">
    <w:name w:val="scxw244817963"/>
    <w:basedOn w:val="DefaultParagraphFont"/>
    <w:rsid w:val="00E26F24"/>
  </w:style>
  <w:style w:type="character" w:customStyle="1" w:styleId="scxw73071516">
    <w:name w:val="scxw73071516"/>
    <w:basedOn w:val="DefaultParagraphFont"/>
    <w:rsid w:val="00E26F24"/>
  </w:style>
  <w:style w:type="character" w:customStyle="1" w:styleId="scxw53269209">
    <w:name w:val="scxw53269209"/>
    <w:basedOn w:val="DefaultParagraphFont"/>
    <w:rsid w:val="00E26F24"/>
  </w:style>
  <w:style w:type="character" w:customStyle="1" w:styleId="scxw204070412">
    <w:name w:val="scxw204070412"/>
    <w:basedOn w:val="DefaultParagraphFont"/>
    <w:rsid w:val="00E26F24"/>
  </w:style>
  <w:style w:type="character" w:customStyle="1" w:styleId="scxw132778717">
    <w:name w:val="scxw132778717"/>
    <w:basedOn w:val="DefaultParagraphFont"/>
    <w:rsid w:val="00E26F24"/>
  </w:style>
  <w:style w:type="character" w:customStyle="1" w:styleId="scxw125445437">
    <w:name w:val="scxw125445437"/>
    <w:basedOn w:val="DefaultParagraphFont"/>
    <w:rsid w:val="00E26F24"/>
  </w:style>
  <w:style w:type="paragraph" w:styleId="NormalWeb">
    <w:name w:val="Normal (Web)"/>
    <w:basedOn w:val="Normal"/>
    <w:uiPriority w:val="99"/>
    <w:unhideWhenUsed/>
    <w:rsid w:val="00E26F24"/>
  </w:style>
  <w:style w:type="character" w:customStyle="1" w:styleId="UnresolvedMention1">
    <w:name w:val="Unresolved Mention1"/>
    <w:basedOn w:val="DefaultParagraphFont"/>
    <w:uiPriority w:val="99"/>
    <w:semiHidden/>
    <w:unhideWhenUsed/>
    <w:rsid w:val="00E26F24"/>
    <w:rPr>
      <w:color w:val="605E5C"/>
      <w:shd w:val="clear" w:color="auto" w:fill="E1DFDD"/>
    </w:rPr>
  </w:style>
  <w:style w:type="paragraph" w:styleId="EndnoteText">
    <w:name w:val="endnote text"/>
    <w:basedOn w:val="Normal"/>
    <w:link w:val="EndnoteTextChar"/>
    <w:uiPriority w:val="99"/>
    <w:semiHidden/>
    <w:unhideWhenUsed/>
    <w:rsid w:val="00E26F24"/>
    <w:rPr>
      <w:sz w:val="20"/>
      <w:szCs w:val="20"/>
    </w:rPr>
  </w:style>
  <w:style w:type="character" w:customStyle="1" w:styleId="EndnoteTextChar">
    <w:name w:val="Endnote Text Char"/>
    <w:basedOn w:val="DefaultParagraphFont"/>
    <w:link w:val="EndnoteText"/>
    <w:uiPriority w:val="99"/>
    <w:semiHidden/>
    <w:rsid w:val="00E26F24"/>
    <w:rPr>
      <w:rFonts w:ascii="Times New Roman" w:eastAsia="Times New Roman" w:hAnsi="Times New Roman" w:cs="Times New Roman"/>
      <w:sz w:val="20"/>
      <w:szCs w:val="20"/>
      <w:lang w:eastAsia="zh-CN"/>
    </w:rPr>
  </w:style>
  <w:style w:type="character" w:styleId="EndnoteReference">
    <w:name w:val="endnote reference"/>
    <w:basedOn w:val="DefaultParagraphFont"/>
    <w:uiPriority w:val="99"/>
    <w:semiHidden/>
    <w:unhideWhenUsed/>
    <w:rsid w:val="00E26F24"/>
    <w:rPr>
      <w:vertAlign w:val="superscript"/>
    </w:rPr>
  </w:style>
  <w:style w:type="character" w:customStyle="1" w:styleId="scxw10823761">
    <w:name w:val="scxw10823761"/>
    <w:basedOn w:val="DefaultParagraphFont"/>
    <w:rsid w:val="00E26F24"/>
  </w:style>
  <w:style w:type="paragraph" w:styleId="ListParagraph">
    <w:name w:val="List Paragraph"/>
    <w:basedOn w:val="Normal"/>
    <w:link w:val="ListParagraphChar"/>
    <w:uiPriority w:val="34"/>
    <w:qFormat/>
    <w:rsid w:val="00E26F24"/>
    <w:pPr>
      <w:ind w:left="720"/>
      <w:contextualSpacing/>
    </w:pPr>
  </w:style>
  <w:style w:type="character" w:customStyle="1" w:styleId="UnresolvedMention2">
    <w:name w:val="Unresolved Mention2"/>
    <w:basedOn w:val="DefaultParagraphFont"/>
    <w:uiPriority w:val="99"/>
    <w:semiHidden/>
    <w:unhideWhenUsed/>
    <w:rsid w:val="00E26F24"/>
    <w:rPr>
      <w:color w:val="605E5C"/>
      <w:shd w:val="clear" w:color="auto" w:fill="E1DFDD"/>
    </w:rPr>
  </w:style>
  <w:style w:type="character" w:styleId="FollowedHyperlink">
    <w:name w:val="FollowedHyperlink"/>
    <w:basedOn w:val="DefaultParagraphFont"/>
    <w:uiPriority w:val="99"/>
    <w:semiHidden/>
    <w:unhideWhenUsed/>
    <w:rsid w:val="00E26F24"/>
    <w:rPr>
      <w:color w:val="954F72" w:themeColor="followedHyperlink"/>
      <w:u w:val="single"/>
    </w:rPr>
  </w:style>
  <w:style w:type="character" w:customStyle="1" w:styleId="UnresolvedMention3">
    <w:name w:val="Unresolved Mention3"/>
    <w:basedOn w:val="DefaultParagraphFont"/>
    <w:uiPriority w:val="99"/>
    <w:semiHidden/>
    <w:unhideWhenUsed/>
    <w:rsid w:val="00E26F24"/>
    <w:rPr>
      <w:color w:val="605E5C"/>
      <w:shd w:val="clear" w:color="auto" w:fill="E1DFDD"/>
    </w:rPr>
  </w:style>
  <w:style w:type="paragraph" w:styleId="Revision">
    <w:name w:val="Revision"/>
    <w:hidden/>
    <w:uiPriority w:val="99"/>
    <w:semiHidden/>
    <w:rsid w:val="00E26F24"/>
    <w:rPr>
      <w:rFonts w:ascii="Corbel" w:eastAsia="Corbel" w:hAnsi="Corbel" w:cs="Corbel"/>
      <w:color w:val="000000"/>
      <w:sz w:val="22"/>
      <w:szCs w:val="22"/>
    </w:rPr>
  </w:style>
  <w:style w:type="character" w:customStyle="1" w:styleId="UnresolvedMention4">
    <w:name w:val="Unresolved Mention4"/>
    <w:basedOn w:val="DefaultParagraphFont"/>
    <w:uiPriority w:val="99"/>
    <w:semiHidden/>
    <w:unhideWhenUsed/>
    <w:rsid w:val="00E26F24"/>
    <w:rPr>
      <w:color w:val="605E5C"/>
      <w:shd w:val="clear" w:color="auto" w:fill="E1DFDD"/>
    </w:rPr>
  </w:style>
  <w:style w:type="character" w:customStyle="1" w:styleId="ListParagraphChar">
    <w:name w:val="List Paragraph Char"/>
    <w:basedOn w:val="DefaultParagraphFont"/>
    <w:link w:val="ListParagraph"/>
    <w:uiPriority w:val="34"/>
    <w:locked/>
    <w:rsid w:val="00E26F24"/>
    <w:rPr>
      <w:rFonts w:ascii="Times New Roman" w:eastAsia="Times New Roman" w:hAnsi="Times New Roman" w:cs="Times New Roman"/>
      <w:lang w:eastAsia="zh-CN"/>
    </w:rPr>
  </w:style>
  <w:style w:type="character" w:customStyle="1" w:styleId="UnresolvedMention5">
    <w:name w:val="Unresolved Mention5"/>
    <w:basedOn w:val="DefaultParagraphFont"/>
    <w:uiPriority w:val="99"/>
    <w:semiHidden/>
    <w:unhideWhenUsed/>
    <w:rsid w:val="00E26F24"/>
    <w:rPr>
      <w:color w:val="605E5C"/>
      <w:shd w:val="clear" w:color="auto" w:fill="E1DFDD"/>
    </w:rPr>
  </w:style>
  <w:style w:type="character" w:styleId="Strong">
    <w:name w:val="Strong"/>
    <w:basedOn w:val="DefaultParagraphFont"/>
    <w:uiPriority w:val="22"/>
    <w:qFormat/>
    <w:rsid w:val="00E26F24"/>
    <w:rPr>
      <w:b/>
      <w:bCs/>
    </w:rPr>
  </w:style>
  <w:style w:type="character" w:customStyle="1" w:styleId="quran1">
    <w:name w:val="quran1"/>
    <w:basedOn w:val="DefaultParagraphFont"/>
    <w:rsid w:val="00473D28"/>
    <w:rPr>
      <w:b/>
      <w:bCs/>
      <w:color w:val="000033"/>
    </w:rPr>
  </w:style>
  <w:style w:type="character" w:styleId="Emphasis">
    <w:name w:val="Emphasis"/>
    <w:basedOn w:val="DefaultParagraphFont"/>
    <w:uiPriority w:val="20"/>
    <w:qFormat/>
    <w:rsid w:val="00D018E4"/>
    <w:rPr>
      <w:i/>
      <w:iCs/>
    </w:rPr>
  </w:style>
  <w:style w:type="character" w:customStyle="1" w:styleId="UnresolvedMention6">
    <w:name w:val="Unresolved Mention6"/>
    <w:basedOn w:val="DefaultParagraphFont"/>
    <w:uiPriority w:val="99"/>
    <w:semiHidden/>
    <w:unhideWhenUsed/>
    <w:rsid w:val="00D46770"/>
    <w:rPr>
      <w:color w:val="605E5C"/>
      <w:shd w:val="clear" w:color="auto" w:fill="E1DFDD"/>
    </w:rPr>
  </w:style>
  <w:style w:type="character" w:styleId="UnresolvedMention">
    <w:name w:val="Unresolved Mention"/>
    <w:basedOn w:val="DefaultParagraphFont"/>
    <w:uiPriority w:val="99"/>
    <w:semiHidden/>
    <w:unhideWhenUsed/>
    <w:rsid w:val="00006434"/>
    <w:rPr>
      <w:color w:val="605E5C"/>
      <w:shd w:val="clear" w:color="auto" w:fill="E1DFDD"/>
    </w:rPr>
  </w:style>
  <w:style w:type="paragraph" w:customStyle="1" w:styleId="Default">
    <w:name w:val="Default"/>
    <w:rsid w:val="007C55CD"/>
    <w:pPr>
      <w:autoSpaceDE w:val="0"/>
      <w:autoSpaceDN w:val="0"/>
      <w:adjustRightInd w:val="0"/>
    </w:pPr>
    <w:rPr>
      <w:rFonts w:ascii="Arial" w:eastAsia="Arial" w:hAnsi="Arial" w:cs="Arial"/>
      <w:color w:val="00000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569716">
      <w:bodyDiv w:val="1"/>
      <w:marLeft w:val="0"/>
      <w:marRight w:val="0"/>
      <w:marTop w:val="0"/>
      <w:marBottom w:val="0"/>
      <w:divBdr>
        <w:top w:val="none" w:sz="0" w:space="0" w:color="auto"/>
        <w:left w:val="none" w:sz="0" w:space="0" w:color="auto"/>
        <w:bottom w:val="none" w:sz="0" w:space="0" w:color="auto"/>
        <w:right w:val="none" w:sz="0" w:space="0" w:color="auto"/>
      </w:divBdr>
    </w:div>
    <w:div w:id="428353717">
      <w:bodyDiv w:val="1"/>
      <w:marLeft w:val="0"/>
      <w:marRight w:val="0"/>
      <w:marTop w:val="0"/>
      <w:marBottom w:val="0"/>
      <w:divBdr>
        <w:top w:val="none" w:sz="0" w:space="0" w:color="auto"/>
        <w:left w:val="none" w:sz="0" w:space="0" w:color="auto"/>
        <w:bottom w:val="none" w:sz="0" w:space="0" w:color="auto"/>
        <w:right w:val="none" w:sz="0" w:space="0" w:color="auto"/>
      </w:divBdr>
    </w:div>
    <w:div w:id="440337879">
      <w:bodyDiv w:val="1"/>
      <w:marLeft w:val="0"/>
      <w:marRight w:val="0"/>
      <w:marTop w:val="0"/>
      <w:marBottom w:val="0"/>
      <w:divBdr>
        <w:top w:val="none" w:sz="0" w:space="0" w:color="auto"/>
        <w:left w:val="none" w:sz="0" w:space="0" w:color="auto"/>
        <w:bottom w:val="none" w:sz="0" w:space="0" w:color="auto"/>
        <w:right w:val="none" w:sz="0" w:space="0" w:color="auto"/>
      </w:divBdr>
    </w:div>
    <w:div w:id="474104380">
      <w:bodyDiv w:val="1"/>
      <w:marLeft w:val="0"/>
      <w:marRight w:val="0"/>
      <w:marTop w:val="0"/>
      <w:marBottom w:val="0"/>
      <w:divBdr>
        <w:top w:val="none" w:sz="0" w:space="0" w:color="auto"/>
        <w:left w:val="none" w:sz="0" w:space="0" w:color="auto"/>
        <w:bottom w:val="none" w:sz="0" w:space="0" w:color="auto"/>
        <w:right w:val="none" w:sz="0" w:space="0" w:color="auto"/>
      </w:divBdr>
    </w:div>
    <w:div w:id="524490607">
      <w:bodyDiv w:val="1"/>
      <w:marLeft w:val="0"/>
      <w:marRight w:val="0"/>
      <w:marTop w:val="0"/>
      <w:marBottom w:val="0"/>
      <w:divBdr>
        <w:top w:val="none" w:sz="0" w:space="0" w:color="auto"/>
        <w:left w:val="none" w:sz="0" w:space="0" w:color="auto"/>
        <w:bottom w:val="none" w:sz="0" w:space="0" w:color="auto"/>
        <w:right w:val="none" w:sz="0" w:space="0" w:color="auto"/>
      </w:divBdr>
    </w:div>
    <w:div w:id="534854659">
      <w:bodyDiv w:val="1"/>
      <w:marLeft w:val="0"/>
      <w:marRight w:val="0"/>
      <w:marTop w:val="0"/>
      <w:marBottom w:val="0"/>
      <w:divBdr>
        <w:top w:val="none" w:sz="0" w:space="0" w:color="auto"/>
        <w:left w:val="none" w:sz="0" w:space="0" w:color="auto"/>
        <w:bottom w:val="none" w:sz="0" w:space="0" w:color="auto"/>
        <w:right w:val="none" w:sz="0" w:space="0" w:color="auto"/>
      </w:divBdr>
    </w:div>
    <w:div w:id="1126656971">
      <w:bodyDiv w:val="1"/>
      <w:marLeft w:val="0"/>
      <w:marRight w:val="0"/>
      <w:marTop w:val="0"/>
      <w:marBottom w:val="0"/>
      <w:divBdr>
        <w:top w:val="none" w:sz="0" w:space="0" w:color="auto"/>
        <w:left w:val="none" w:sz="0" w:space="0" w:color="auto"/>
        <w:bottom w:val="none" w:sz="0" w:space="0" w:color="auto"/>
        <w:right w:val="none" w:sz="0" w:space="0" w:color="auto"/>
      </w:divBdr>
    </w:div>
    <w:div w:id="1177966497">
      <w:bodyDiv w:val="1"/>
      <w:marLeft w:val="0"/>
      <w:marRight w:val="0"/>
      <w:marTop w:val="0"/>
      <w:marBottom w:val="0"/>
      <w:divBdr>
        <w:top w:val="none" w:sz="0" w:space="0" w:color="auto"/>
        <w:left w:val="none" w:sz="0" w:space="0" w:color="auto"/>
        <w:bottom w:val="none" w:sz="0" w:space="0" w:color="auto"/>
        <w:right w:val="none" w:sz="0" w:space="0" w:color="auto"/>
      </w:divBdr>
    </w:div>
    <w:div w:id="1180505597">
      <w:bodyDiv w:val="1"/>
      <w:marLeft w:val="0"/>
      <w:marRight w:val="0"/>
      <w:marTop w:val="0"/>
      <w:marBottom w:val="0"/>
      <w:divBdr>
        <w:top w:val="none" w:sz="0" w:space="0" w:color="auto"/>
        <w:left w:val="none" w:sz="0" w:space="0" w:color="auto"/>
        <w:bottom w:val="none" w:sz="0" w:space="0" w:color="auto"/>
        <w:right w:val="none" w:sz="0" w:space="0" w:color="auto"/>
      </w:divBdr>
    </w:div>
    <w:div w:id="1338657868">
      <w:bodyDiv w:val="1"/>
      <w:marLeft w:val="0"/>
      <w:marRight w:val="0"/>
      <w:marTop w:val="0"/>
      <w:marBottom w:val="0"/>
      <w:divBdr>
        <w:top w:val="none" w:sz="0" w:space="0" w:color="auto"/>
        <w:left w:val="none" w:sz="0" w:space="0" w:color="auto"/>
        <w:bottom w:val="none" w:sz="0" w:space="0" w:color="auto"/>
        <w:right w:val="none" w:sz="0" w:space="0" w:color="auto"/>
      </w:divBdr>
    </w:div>
    <w:div w:id="1516535032">
      <w:bodyDiv w:val="1"/>
      <w:marLeft w:val="0"/>
      <w:marRight w:val="0"/>
      <w:marTop w:val="0"/>
      <w:marBottom w:val="0"/>
      <w:divBdr>
        <w:top w:val="none" w:sz="0" w:space="0" w:color="auto"/>
        <w:left w:val="none" w:sz="0" w:space="0" w:color="auto"/>
        <w:bottom w:val="none" w:sz="0" w:space="0" w:color="auto"/>
        <w:right w:val="none" w:sz="0" w:space="0" w:color="auto"/>
      </w:divBdr>
    </w:div>
    <w:div w:id="1523981637">
      <w:bodyDiv w:val="1"/>
      <w:marLeft w:val="0"/>
      <w:marRight w:val="0"/>
      <w:marTop w:val="0"/>
      <w:marBottom w:val="0"/>
      <w:divBdr>
        <w:top w:val="none" w:sz="0" w:space="0" w:color="auto"/>
        <w:left w:val="none" w:sz="0" w:space="0" w:color="auto"/>
        <w:bottom w:val="none" w:sz="0" w:space="0" w:color="auto"/>
        <w:right w:val="none" w:sz="0" w:space="0" w:color="auto"/>
      </w:divBdr>
    </w:div>
    <w:div w:id="1558584641">
      <w:bodyDiv w:val="1"/>
      <w:marLeft w:val="0"/>
      <w:marRight w:val="0"/>
      <w:marTop w:val="0"/>
      <w:marBottom w:val="0"/>
      <w:divBdr>
        <w:top w:val="none" w:sz="0" w:space="0" w:color="auto"/>
        <w:left w:val="none" w:sz="0" w:space="0" w:color="auto"/>
        <w:bottom w:val="none" w:sz="0" w:space="0" w:color="auto"/>
        <w:right w:val="none" w:sz="0" w:space="0" w:color="auto"/>
      </w:divBdr>
    </w:div>
    <w:div w:id="1582830773">
      <w:bodyDiv w:val="1"/>
      <w:marLeft w:val="0"/>
      <w:marRight w:val="0"/>
      <w:marTop w:val="0"/>
      <w:marBottom w:val="0"/>
      <w:divBdr>
        <w:top w:val="none" w:sz="0" w:space="0" w:color="auto"/>
        <w:left w:val="none" w:sz="0" w:space="0" w:color="auto"/>
        <w:bottom w:val="none" w:sz="0" w:space="0" w:color="auto"/>
        <w:right w:val="none" w:sz="0" w:space="0" w:color="auto"/>
      </w:divBdr>
    </w:div>
    <w:div w:id="1612972737">
      <w:bodyDiv w:val="1"/>
      <w:marLeft w:val="0"/>
      <w:marRight w:val="0"/>
      <w:marTop w:val="0"/>
      <w:marBottom w:val="0"/>
      <w:divBdr>
        <w:top w:val="none" w:sz="0" w:space="0" w:color="auto"/>
        <w:left w:val="none" w:sz="0" w:space="0" w:color="auto"/>
        <w:bottom w:val="none" w:sz="0" w:space="0" w:color="auto"/>
        <w:right w:val="none" w:sz="0" w:space="0" w:color="auto"/>
      </w:divBdr>
    </w:div>
    <w:div w:id="1668941081">
      <w:bodyDiv w:val="1"/>
      <w:marLeft w:val="0"/>
      <w:marRight w:val="0"/>
      <w:marTop w:val="0"/>
      <w:marBottom w:val="0"/>
      <w:divBdr>
        <w:top w:val="none" w:sz="0" w:space="0" w:color="auto"/>
        <w:left w:val="none" w:sz="0" w:space="0" w:color="auto"/>
        <w:bottom w:val="none" w:sz="0" w:space="0" w:color="auto"/>
        <w:right w:val="none" w:sz="0" w:space="0" w:color="auto"/>
      </w:divBdr>
      <w:divsChild>
        <w:div w:id="1707409561">
          <w:marLeft w:val="0"/>
          <w:marRight w:val="0"/>
          <w:marTop w:val="0"/>
          <w:marBottom w:val="0"/>
          <w:divBdr>
            <w:top w:val="none" w:sz="0" w:space="0" w:color="auto"/>
            <w:left w:val="none" w:sz="0" w:space="0" w:color="auto"/>
            <w:bottom w:val="none" w:sz="0" w:space="0" w:color="auto"/>
            <w:right w:val="none" w:sz="0" w:space="0" w:color="auto"/>
          </w:divBdr>
        </w:div>
      </w:divsChild>
    </w:div>
    <w:div w:id="1670479340">
      <w:bodyDiv w:val="1"/>
      <w:marLeft w:val="0"/>
      <w:marRight w:val="0"/>
      <w:marTop w:val="0"/>
      <w:marBottom w:val="0"/>
      <w:divBdr>
        <w:top w:val="none" w:sz="0" w:space="0" w:color="auto"/>
        <w:left w:val="none" w:sz="0" w:space="0" w:color="auto"/>
        <w:bottom w:val="none" w:sz="0" w:space="0" w:color="auto"/>
        <w:right w:val="none" w:sz="0" w:space="0" w:color="auto"/>
      </w:divBdr>
    </w:div>
    <w:div w:id="1728529241">
      <w:bodyDiv w:val="1"/>
      <w:marLeft w:val="0"/>
      <w:marRight w:val="0"/>
      <w:marTop w:val="0"/>
      <w:marBottom w:val="0"/>
      <w:divBdr>
        <w:top w:val="none" w:sz="0" w:space="0" w:color="auto"/>
        <w:left w:val="none" w:sz="0" w:space="0" w:color="auto"/>
        <w:bottom w:val="none" w:sz="0" w:space="0" w:color="auto"/>
        <w:right w:val="none" w:sz="0" w:space="0" w:color="auto"/>
      </w:divBdr>
    </w:div>
    <w:div w:id="1932078615">
      <w:bodyDiv w:val="1"/>
      <w:marLeft w:val="0"/>
      <w:marRight w:val="0"/>
      <w:marTop w:val="0"/>
      <w:marBottom w:val="0"/>
      <w:divBdr>
        <w:top w:val="none" w:sz="0" w:space="0" w:color="auto"/>
        <w:left w:val="none" w:sz="0" w:space="0" w:color="auto"/>
        <w:bottom w:val="none" w:sz="0" w:space="0" w:color="auto"/>
        <w:right w:val="none" w:sz="0" w:space="0" w:color="auto"/>
      </w:divBdr>
      <w:divsChild>
        <w:div w:id="7874048">
          <w:marLeft w:val="0"/>
          <w:marRight w:val="0"/>
          <w:marTop w:val="0"/>
          <w:marBottom w:val="0"/>
          <w:divBdr>
            <w:top w:val="none" w:sz="0" w:space="0" w:color="auto"/>
            <w:left w:val="none" w:sz="0" w:space="0" w:color="auto"/>
            <w:bottom w:val="none" w:sz="0" w:space="0" w:color="auto"/>
            <w:right w:val="none" w:sz="0" w:space="0" w:color="auto"/>
          </w:divBdr>
        </w:div>
      </w:divsChild>
    </w:div>
    <w:div w:id="1942224999">
      <w:bodyDiv w:val="1"/>
      <w:marLeft w:val="0"/>
      <w:marRight w:val="0"/>
      <w:marTop w:val="0"/>
      <w:marBottom w:val="0"/>
      <w:divBdr>
        <w:top w:val="none" w:sz="0" w:space="0" w:color="auto"/>
        <w:left w:val="none" w:sz="0" w:space="0" w:color="auto"/>
        <w:bottom w:val="none" w:sz="0" w:space="0" w:color="auto"/>
        <w:right w:val="none" w:sz="0" w:space="0" w:color="auto"/>
      </w:divBdr>
    </w:div>
    <w:div w:id="1957251764">
      <w:bodyDiv w:val="1"/>
      <w:marLeft w:val="0"/>
      <w:marRight w:val="0"/>
      <w:marTop w:val="0"/>
      <w:marBottom w:val="0"/>
      <w:divBdr>
        <w:top w:val="none" w:sz="0" w:space="0" w:color="auto"/>
        <w:left w:val="none" w:sz="0" w:space="0" w:color="auto"/>
        <w:bottom w:val="none" w:sz="0" w:space="0" w:color="auto"/>
        <w:right w:val="none" w:sz="0" w:space="0" w:color="auto"/>
      </w:divBdr>
    </w:div>
    <w:div w:id="201241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4.xml"/><Relationship Id="rId18" Type="http://schemas.openxmlformats.org/officeDocument/2006/relationships/image" Target="media/image7.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emf"/><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3.emf"/><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12.emf"/><Relationship Id="rId10" Type="http://schemas.openxmlformats.org/officeDocument/2006/relationships/footer" Target="footer1.xml"/><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3.jpeg"/><Relationship Id="rId22" Type="http://schemas.openxmlformats.org/officeDocument/2006/relationships/image" Target="media/image11.emf"/></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8ED74-2DA7-43EA-B9DA-737CBF90C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1255</TotalTime>
  <Pages>12</Pages>
  <Words>2837</Words>
  <Characters>15099</Characters>
  <Application>Microsoft Office Word</Application>
  <DocSecurity>0</DocSecurity>
  <Lines>290</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Waheedi, Salma</dc:creator>
  <cp:keywords/>
  <dc:description/>
  <cp:lastModifiedBy>Ansari, Fer Ghanaa-HLSCLINICS</cp:lastModifiedBy>
  <cp:revision>71</cp:revision>
  <dcterms:created xsi:type="dcterms:W3CDTF">2022-09-05T20:13:00Z</dcterms:created>
  <dcterms:modified xsi:type="dcterms:W3CDTF">2023-01-09T19:56:00Z</dcterms:modified>
</cp:coreProperties>
</file>