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DA3" w:rsidRDefault="00FC43F4" w:rsidP="00EB1724">
      <w:pPr>
        <w:spacing w:before="120" w:after="120" w:line="240" w:lineRule="auto"/>
        <w:jc w:val="center"/>
        <w:rPr>
          <w:b/>
          <w:sz w:val="24"/>
          <w:szCs w:val="24"/>
        </w:rPr>
      </w:pPr>
      <w:bookmarkStart w:id="0" w:name="_GoBack"/>
      <w:bookmarkEnd w:id="0"/>
      <w:r>
        <w:rPr>
          <w:noProof/>
          <w:lang w:val="fr-CH"/>
        </w:rPr>
        <w:drawing>
          <wp:anchor distT="0" distB="0" distL="114300" distR="114300" simplePos="0" relativeHeight="251658240" behindDoc="0" locked="0" layoutInCell="1" allowOverlap="1">
            <wp:simplePos x="0" y="0"/>
            <wp:positionH relativeFrom="column">
              <wp:posOffset>2705100</wp:posOffset>
            </wp:positionH>
            <wp:positionV relativeFrom="paragraph">
              <wp:posOffset>-175260</wp:posOffset>
            </wp:positionV>
            <wp:extent cx="2308860" cy="281207"/>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8">
                      <a:extLst>
                        <a:ext uri="{28A0092B-C50C-407E-A947-70E740481C1C}">
                          <a14:useLocalDpi xmlns:a14="http://schemas.microsoft.com/office/drawing/2010/main" val="0"/>
                        </a:ext>
                      </a:extLst>
                    </a:blip>
                    <a:stretch>
                      <a:fillRect/>
                    </a:stretch>
                  </pic:blipFill>
                  <pic:spPr>
                    <a:xfrm>
                      <a:off x="0" y="0"/>
                      <a:ext cx="2308860" cy="281207"/>
                    </a:xfrm>
                    <a:prstGeom prst="rect">
                      <a:avLst/>
                    </a:prstGeom>
                  </pic:spPr>
                </pic:pic>
              </a:graphicData>
            </a:graphic>
            <wp14:sizeRelH relativeFrom="page">
              <wp14:pctWidth>0</wp14:pctWidth>
            </wp14:sizeRelH>
            <wp14:sizeRelV relativeFrom="page">
              <wp14:pctHeight>0</wp14:pctHeight>
            </wp14:sizeRelV>
          </wp:anchor>
        </w:drawing>
      </w:r>
      <w:r>
        <w:rPr>
          <w:noProof/>
          <w:lang w:val="fr-CH"/>
        </w:rPr>
        <w:drawing>
          <wp:anchor distT="0" distB="0" distL="114300" distR="114300" simplePos="0" relativeHeight="251659264" behindDoc="0" locked="0" layoutInCell="1" allowOverlap="1">
            <wp:simplePos x="0" y="0"/>
            <wp:positionH relativeFrom="column">
              <wp:posOffset>1043940</wp:posOffset>
            </wp:positionH>
            <wp:positionV relativeFrom="paragraph">
              <wp:posOffset>-450215</wp:posOffset>
            </wp:positionV>
            <wp:extent cx="1203960" cy="761787"/>
            <wp:effectExtent l="0" t="0" r="0" b="635"/>
            <wp:wrapNone/>
            <wp:docPr id="1" name="Image 23" descr="logo-wafrica-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descr="logo-wafrica-2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3960" cy="761787"/>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gjdgxs" w:colFirst="0" w:colLast="0"/>
      <w:bookmarkEnd w:id="1"/>
    </w:p>
    <w:p w:rsidR="00FC43F4" w:rsidRDefault="00FC43F4">
      <w:pPr>
        <w:spacing w:before="120" w:after="120" w:line="240" w:lineRule="auto"/>
        <w:jc w:val="center"/>
        <w:rPr>
          <w:b/>
          <w:sz w:val="24"/>
          <w:szCs w:val="24"/>
        </w:rPr>
      </w:pPr>
    </w:p>
    <w:p w:rsidR="0068254F" w:rsidRDefault="00D47CD3">
      <w:pPr>
        <w:spacing w:before="120" w:after="120" w:line="240" w:lineRule="auto"/>
        <w:jc w:val="center"/>
        <w:rPr>
          <w:b/>
          <w:sz w:val="24"/>
          <w:szCs w:val="24"/>
        </w:rPr>
      </w:pPr>
      <w:r>
        <w:rPr>
          <w:b/>
          <w:sz w:val="24"/>
          <w:szCs w:val="24"/>
        </w:rPr>
        <w:t>Examen du 1</w:t>
      </w:r>
      <w:r>
        <w:rPr>
          <w:b/>
          <w:sz w:val="24"/>
          <w:szCs w:val="24"/>
          <w:vertAlign w:val="superscript"/>
        </w:rPr>
        <w:t>er</w:t>
      </w:r>
      <w:r>
        <w:rPr>
          <w:b/>
          <w:sz w:val="24"/>
          <w:szCs w:val="24"/>
        </w:rPr>
        <w:t xml:space="preserve"> rapport périodique de la Guinée par le Comité Le Comité des droits économiques, sociaux et culturels (CDESC)</w:t>
      </w:r>
    </w:p>
    <w:p w:rsidR="0068254F" w:rsidRDefault="00D47CD3" w:rsidP="0077241F">
      <w:pPr>
        <w:spacing w:before="120" w:after="120" w:line="240" w:lineRule="auto"/>
        <w:jc w:val="center"/>
        <w:rPr>
          <w:b/>
          <w:i/>
          <w:sz w:val="24"/>
          <w:szCs w:val="24"/>
        </w:rPr>
      </w:pPr>
      <w:r>
        <w:rPr>
          <w:b/>
          <w:i/>
          <w:sz w:val="24"/>
          <w:szCs w:val="24"/>
        </w:rPr>
        <w:t>Rapport alternatif conjoint – Janvier 2020</w:t>
      </w:r>
    </w:p>
    <w:p w:rsidR="00E51DEA" w:rsidRDefault="00E51DEA" w:rsidP="0077241F">
      <w:pPr>
        <w:spacing w:before="120" w:after="120" w:line="240" w:lineRule="auto"/>
        <w:jc w:val="center"/>
        <w:rPr>
          <w:b/>
          <w:i/>
          <w:sz w:val="24"/>
          <w:szCs w:val="24"/>
        </w:rPr>
      </w:pPr>
    </w:p>
    <w:p w:rsidR="00E51DEA" w:rsidRDefault="00E51DEA" w:rsidP="0077241F">
      <w:pPr>
        <w:spacing w:before="120" w:after="120" w:line="240" w:lineRule="auto"/>
        <w:jc w:val="center"/>
        <w:rPr>
          <w:b/>
          <w:i/>
          <w:sz w:val="24"/>
          <w:szCs w:val="24"/>
        </w:rPr>
      </w:pPr>
    </w:p>
    <w:p w:rsidR="0068254F" w:rsidRDefault="00D47CD3">
      <w:pPr>
        <w:pStyle w:val="Heading1"/>
        <w:numPr>
          <w:ilvl w:val="0"/>
          <w:numId w:val="3"/>
        </w:numPr>
        <w:spacing w:before="120" w:after="120" w:line="240" w:lineRule="auto"/>
        <w:rPr>
          <w:rFonts w:ascii="Calibri" w:eastAsia="Calibri" w:hAnsi="Calibri" w:cs="Calibri"/>
          <w:b/>
          <w:color w:val="000000"/>
          <w:sz w:val="22"/>
          <w:szCs w:val="22"/>
        </w:rPr>
      </w:pPr>
      <w:bookmarkStart w:id="2" w:name="_30j0zll" w:colFirst="0" w:colLast="0"/>
      <w:bookmarkEnd w:id="2"/>
      <w:r>
        <w:rPr>
          <w:rFonts w:ascii="Calibri" w:eastAsia="Calibri" w:hAnsi="Calibri" w:cs="Calibri"/>
          <w:b/>
          <w:color w:val="000000"/>
          <w:sz w:val="22"/>
          <w:szCs w:val="22"/>
        </w:rPr>
        <w:t>Auteurs du rapport</w:t>
      </w:r>
    </w:p>
    <w:p w:rsidR="0068254F" w:rsidRDefault="00D47CD3">
      <w:pPr>
        <w:spacing w:before="120" w:after="120" w:line="240" w:lineRule="auto"/>
        <w:jc w:val="both"/>
      </w:pPr>
      <w:r>
        <w:t>Ce rapport a été préparée par le Collectif des ONGs pour des textes respectueux des droits humains en Guinée, avec le soutien du Service international pour les droits de l’Homme (</w:t>
      </w:r>
      <w:hyperlink r:id="rId10">
        <w:r>
          <w:rPr>
            <w:color w:val="0070C0"/>
            <w:u w:val="single"/>
          </w:rPr>
          <w:t>www.ishr.ch</w:t>
        </w:r>
      </w:hyperlink>
      <w:r>
        <w:t>).</w:t>
      </w:r>
    </w:p>
    <w:p w:rsidR="0068254F" w:rsidRDefault="0068254F">
      <w:pPr>
        <w:spacing w:before="120" w:after="120" w:line="240" w:lineRule="auto"/>
        <w:ind w:left="720" w:hanging="360"/>
        <w:jc w:val="both"/>
        <w:sectPr w:rsidR="0068254F">
          <w:headerReference w:type="default" r:id="rId11"/>
          <w:footerReference w:type="default" r:id="rId12"/>
          <w:pgSz w:w="11906" w:h="16838"/>
          <w:pgMar w:top="1440" w:right="1440" w:bottom="1440" w:left="1440" w:header="708" w:footer="708" w:gutter="0"/>
          <w:pgNumType w:start="1"/>
          <w:cols w:space="720" w:equalWidth="0">
            <w:col w:w="9406"/>
          </w:cols>
        </w:sectPr>
      </w:pPr>
    </w:p>
    <w:p w:rsidR="0068254F" w:rsidRDefault="00D47CD3">
      <w:pPr>
        <w:numPr>
          <w:ilvl w:val="0"/>
          <w:numId w:val="4"/>
        </w:numPr>
        <w:spacing w:before="120" w:after="120" w:line="240" w:lineRule="auto"/>
        <w:jc w:val="both"/>
      </w:pPr>
      <w:r>
        <w:t>ABLOGUI</w:t>
      </w:r>
    </w:p>
    <w:p w:rsidR="0068254F" w:rsidRDefault="00D47CD3">
      <w:pPr>
        <w:numPr>
          <w:ilvl w:val="0"/>
          <w:numId w:val="4"/>
        </w:numPr>
        <w:spacing w:before="120" w:after="120" w:line="240" w:lineRule="auto"/>
        <w:jc w:val="both"/>
      </w:pPr>
      <w:r>
        <w:t>ACORD</w:t>
      </w:r>
    </w:p>
    <w:p w:rsidR="0068254F" w:rsidRDefault="00D47CD3">
      <w:pPr>
        <w:numPr>
          <w:ilvl w:val="0"/>
          <w:numId w:val="4"/>
        </w:numPr>
        <w:spacing w:before="120" w:after="120" w:line="240" w:lineRule="auto"/>
        <w:jc w:val="both"/>
      </w:pPr>
      <w:r>
        <w:t>AMDH</w:t>
      </w:r>
    </w:p>
    <w:p w:rsidR="0068254F" w:rsidRDefault="00D47CD3">
      <w:pPr>
        <w:numPr>
          <w:ilvl w:val="0"/>
          <w:numId w:val="4"/>
        </w:numPr>
        <w:spacing w:before="120" w:after="120" w:line="240" w:lineRule="auto"/>
        <w:jc w:val="both"/>
      </w:pPr>
      <w:r>
        <w:t>ASF</w:t>
      </w:r>
    </w:p>
    <w:p w:rsidR="0068254F" w:rsidRDefault="00D47CD3">
      <w:pPr>
        <w:numPr>
          <w:ilvl w:val="0"/>
          <w:numId w:val="4"/>
        </w:numPr>
        <w:spacing w:before="120" w:after="120" w:line="240" w:lineRule="auto"/>
        <w:jc w:val="both"/>
      </w:pPr>
      <w:r>
        <w:t>AVIPA</w:t>
      </w:r>
    </w:p>
    <w:p w:rsidR="0068254F" w:rsidRDefault="00D47CD3">
      <w:pPr>
        <w:numPr>
          <w:ilvl w:val="0"/>
          <w:numId w:val="4"/>
        </w:numPr>
        <w:spacing w:before="120" w:after="120" w:line="240" w:lineRule="auto"/>
        <w:jc w:val="both"/>
      </w:pPr>
      <w:r>
        <w:t>CAFIDHE</w:t>
      </w:r>
    </w:p>
    <w:p w:rsidR="0068254F" w:rsidRDefault="00D47CD3">
      <w:pPr>
        <w:numPr>
          <w:ilvl w:val="0"/>
          <w:numId w:val="4"/>
        </w:numPr>
        <w:spacing w:before="120" w:after="120" w:line="240" w:lineRule="auto"/>
        <w:jc w:val="both"/>
      </w:pPr>
      <w:r>
        <w:t>CANEG</w:t>
      </w:r>
    </w:p>
    <w:p w:rsidR="0068254F" w:rsidRDefault="00D47CD3">
      <w:pPr>
        <w:numPr>
          <w:ilvl w:val="0"/>
          <w:numId w:val="4"/>
        </w:numPr>
        <w:spacing w:before="120" w:after="120" w:line="240" w:lineRule="auto"/>
        <w:jc w:val="both"/>
      </w:pPr>
      <w:r>
        <w:t xml:space="preserve">CNOSCG </w:t>
      </w:r>
    </w:p>
    <w:p w:rsidR="0068254F" w:rsidRDefault="00D47CD3">
      <w:pPr>
        <w:numPr>
          <w:ilvl w:val="0"/>
          <w:numId w:val="4"/>
        </w:numPr>
        <w:spacing w:before="120" w:after="120" w:line="240" w:lineRule="auto"/>
        <w:jc w:val="both"/>
      </w:pPr>
      <w:r>
        <w:t>COJEDEV</w:t>
      </w:r>
    </w:p>
    <w:p w:rsidR="0068254F" w:rsidRDefault="00D47CD3">
      <w:pPr>
        <w:numPr>
          <w:ilvl w:val="0"/>
          <w:numId w:val="4"/>
        </w:numPr>
        <w:spacing w:before="120" w:after="120" w:line="240" w:lineRule="auto"/>
        <w:jc w:val="both"/>
      </w:pPr>
      <w:r>
        <w:t>CODDH</w:t>
      </w:r>
    </w:p>
    <w:p w:rsidR="0068254F" w:rsidRDefault="00D47CD3">
      <w:pPr>
        <w:numPr>
          <w:ilvl w:val="0"/>
          <w:numId w:val="4"/>
        </w:numPr>
        <w:spacing w:before="120" w:after="120" w:line="240" w:lineRule="auto"/>
        <w:jc w:val="both"/>
      </w:pPr>
      <w:r>
        <w:t>CPDH</w:t>
      </w:r>
    </w:p>
    <w:p w:rsidR="0068254F" w:rsidRDefault="00D47CD3">
      <w:pPr>
        <w:numPr>
          <w:ilvl w:val="0"/>
          <w:numId w:val="4"/>
        </w:numPr>
        <w:spacing w:before="120" w:after="120" w:line="240" w:lineRule="auto"/>
        <w:jc w:val="both"/>
      </w:pPr>
      <w:r>
        <w:t>Destin en main</w:t>
      </w:r>
    </w:p>
    <w:p w:rsidR="0068254F" w:rsidRDefault="00D47CD3">
      <w:pPr>
        <w:numPr>
          <w:ilvl w:val="0"/>
          <w:numId w:val="4"/>
        </w:numPr>
        <w:spacing w:before="120" w:after="120" w:line="240" w:lineRule="auto"/>
        <w:jc w:val="both"/>
      </w:pPr>
      <w:r>
        <w:t>FITIMA</w:t>
      </w:r>
    </w:p>
    <w:p w:rsidR="0068254F" w:rsidRDefault="00D47CD3">
      <w:pPr>
        <w:numPr>
          <w:ilvl w:val="0"/>
          <w:numId w:val="4"/>
        </w:numPr>
        <w:spacing w:before="120" w:after="120" w:line="240" w:lineRule="auto"/>
        <w:jc w:val="both"/>
      </w:pPr>
      <w:r>
        <w:t>FONGDD</w:t>
      </w:r>
    </w:p>
    <w:p w:rsidR="0068254F" w:rsidRDefault="00D47CD3">
      <w:pPr>
        <w:numPr>
          <w:ilvl w:val="0"/>
          <w:numId w:val="4"/>
        </w:numPr>
        <w:spacing w:before="120" w:after="120" w:line="240" w:lineRule="auto"/>
        <w:jc w:val="both"/>
      </w:pPr>
      <w:r>
        <w:t>LIGUIDHO</w:t>
      </w:r>
    </w:p>
    <w:p w:rsidR="0068254F" w:rsidRDefault="00D47CD3">
      <w:pPr>
        <w:numPr>
          <w:ilvl w:val="0"/>
          <w:numId w:val="4"/>
        </w:numPr>
        <w:spacing w:before="120" w:after="120" w:line="240" w:lineRule="auto"/>
        <w:jc w:val="both"/>
      </w:pPr>
      <w:r>
        <w:t>PDH</w:t>
      </w:r>
    </w:p>
    <w:p w:rsidR="0068254F" w:rsidRDefault="00D47CD3">
      <w:pPr>
        <w:numPr>
          <w:ilvl w:val="0"/>
          <w:numId w:val="4"/>
        </w:numPr>
        <w:spacing w:before="120" w:after="120" w:line="240" w:lineRule="auto"/>
        <w:jc w:val="both"/>
      </w:pPr>
      <w:r>
        <w:t>ROPACID-PH</w:t>
      </w:r>
    </w:p>
    <w:p w:rsidR="0068254F" w:rsidRDefault="00D47CD3">
      <w:pPr>
        <w:numPr>
          <w:ilvl w:val="0"/>
          <w:numId w:val="4"/>
        </w:numPr>
        <w:spacing w:before="120" w:after="120" w:line="240" w:lineRule="auto"/>
        <w:jc w:val="both"/>
      </w:pPr>
      <w:r>
        <w:t>Sabou Guinée</w:t>
      </w:r>
    </w:p>
    <w:p w:rsidR="0068254F" w:rsidRDefault="00D47CD3">
      <w:pPr>
        <w:numPr>
          <w:ilvl w:val="0"/>
          <w:numId w:val="4"/>
        </w:numPr>
        <w:spacing w:before="120" w:after="120" w:line="240" w:lineRule="auto"/>
        <w:jc w:val="both"/>
      </w:pPr>
      <w:r>
        <w:t>WAFRICA Guinée</w:t>
      </w:r>
    </w:p>
    <w:p w:rsidR="0068254F" w:rsidRDefault="0068254F">
      <w:pPr>
        <w:spacing w:before="120" w:after="120" w:line="240" w:lineRule="auto"/>
        <w:jc w:val="both"/>
        <w:sectPr w:rsidR="0068254F">
          <w:type w:val="continuous"/>
          <w:pgSz w:w="11906" w:h="16838"/>
          <w:pgMar w:top="1440" w:right="1440" w:bottom="1440" w:left="1440" w:header="708" w:footer="708" w:gutter="0"/>
          <w:cols w:num="2" w:space="720" w:equalWidth="0">
            <w:col w:w="4159" w:space="708"/>
            <w:col w:w="4159" w:space="0"/>
          </w:cols>
        </w:sectPr>
      </w:pPr>
    </w:p>
    <w:p w:rsidR="0068254F" w:rsidRDefault="0068254F">
      <w:pPr>
        <w:spacing w:before="120" w:after="120" w:line="240" w:lineRule="auto"/>
        <w:jc w:val="both"/>
      </w:pPr>
    </w:p>
    <w:p w:rsidR="0068254F" w:rsidRDefault="00D47CD3" w:rsidP="0077241F">
      <w:pPr>
        <w:numPr>
          <w:ilvl w:val="0"/>
          <w:numId w:val="5"/>
        </w:numPr>
        <w:pBdr>
          <w:top w:val="nil"/>
          <w:left w:val="nil"/>
          <w:bottom w:val="nil"/>
          <w:right w:val="nil"/>
          <w:between w:val="nil"/>
        </w:pBdr>
        <w:spacing w:before="120" w:after="120" w:line="240" w:lineRule="auto"/>
        <w:jc w:val="both"/>
        <w:rPr>
          <w:color w:val="000000"/>
        </w:rPr>
      </w:pPr>
      <w:r>
        <w:rPr>
          <w:color w:val="000000"/>
        </w:rPr>
        <w:t>Le Collectif des ONGs pour des textes respectueux des droits humains en Guinée regroupe une trentaine d’organisations de la société civile exerçant dans le domaine des droits humains.</w:t>
      </w:r>
      <w:r>
        <w:t xml:space="preserve"> Le collectif est </w:t>
      </w:r>
      <w:r w:rsidR="00492E3A">
        <w:t xml:space="preserve">une </w:t>
      </w:r>
      <w:r>
        <w:t xml:space="preserve">plateforme de la société civile qui </w:t>
      </w:r>
      <w:r w:rsidR="00492E3A">
        <w:t>mène un lobbying et</w:t>
      </w:r>
      <w:r>
        <w:t xml:space="preserve"> </w:t>
      </w:r>
      <w:r w:rsidR="00492E3A">
        <w:t>un</w:t>
      </w:r>
      <w:r>
        <w:t xml:space="preserve"> plaidoyer auprès du gouvernement, </w:t>
      </w:r>
      <w:r w:rsidR="00492E3A">
        <w:t>du</w:t>
      </w:r>
      <w:r>
        <w:t xml:space="preserve"> parlement et les partenaires de la Guinée pour la prise en compte de l'aspect </w:t>
      </w:r>
      <w:r w:rsidR="00492E3A">
        <w:t xml:space="preserve">droit international et les </w:t>
      </w:r>
      <w:r>
        <w:t xml:space="preserve">droits </w:t>
      </w:r>
      <w:r w:rsidR="00492E3A">
        <w:t>humains</w:t>
      </w:r>
      <w:r>
        <w:t xml:space="preserve"> dans le</w:t>
      </w:r>
      <w:r w:rsidR="00492E3A">
        <w:t>s</w:t>
      </w:r>
      <w:r>
        <w:t xml:space="preserve"> processus </w:t>
      </w:r>
      <w:r w:rsidR="00492E3A">
        <w:t>d</w:t>
      </w:r>
      <w:r>
        <w:t xml:space="preserve">'adoption des lois. Il apporte également une assistance technique dans l'analyse et </w:t>
      </w:r>
      <w:r w:rsidR="00492E3A">
        <w:t>élaboration de l</w:t>
      </w:r>
      <w:r>
        <w:t xml:space="preserve">a formulation </w:t>
      </w:r>
      <w:r w:rsidR="00492E3A">
        <w:t>de recommandations sur les</w:t>
      </w:r>
      <w:r>
        <w:t xml:space="preserve"> lois en cours d'adoption par le parlement.</w:t>
      </w:r>
      <w:r w:rsidR="00492E3A">
        <w:t xml:space="preserve"> Aussi, le Collectif mène des actions de sensibilisation, des campagnes de vulgarisation et d’appui à l’appropriation des lois adoptées.</w:t>
      </w:r>
    </w:p>
    <w:p w:rsidR="0068254F" w:rsidRDefault="00D47CD3" w:rsidP="0077241F">
      <w:pPr>
        <w:numPr>
          <w:ilvl w:val="0"/>
          <w:numId w:val="5"/>
        </w:numPr>
        <w:pBdr>
          <w:top w:val="nil"/>
          <w:left w:val="nil"/>
          <w:bottom w:val="nil"/>
          <w:right w:val="nil"/>
          <w:between w:val="nil"/>
        </w:pBdr>
        <w:spacing w:before="120" w:after="120" w:line="240" w:lineRule="auto"/>
        <w:jc w:val="both"/>
        <w:rPr>
          <w:color w:val="000000"/>
        </w:rPr>
      </w:pPr>
      <w:r>
        <w:rPr>
          <w:color w:val="000000"/>
        </w:rPr>
        <w:t xml:space="preserve">ISHR est une ONG internationale basée à Genève et ayant des bureaux à New York et Abidjan, qui travaille pour la reconnaissance et la protection des défenseurs et défenseures des droits humains, par le renforcement de capacités, du plaidoyer et du contentieux auprès des organismes internationaux de protection des droits humains. </w:t>
      </w:r>
    </w:p>
    <w:p w:rsidR="0068254F" w:rsidRDefault="0068254F" w:rsidP="0077241F">
      <w:pPr>
        <w:pBdr>
          <w:top w:val="nil"/>
          <w:left w:val="nil"/>
          <w:bottom w:val="nil"/>
          <w:right w:val="nil"/>
          <w:between w:val="nil"/>
        </w:pBdr>
        <w:spacing w:before="120" w:after="120" w:line="240" w:lineRule="auto"/>
        <w:ind w:left="720" w:hanging="720"/>
        <w:jc w:val="both"/>
        <w:rPr>
          <w:color w:val="000000"/>
        </w:rPr>
      </w:pPr>
    </w:p>
    <w:p w:rsidR="0068254F" w:rsidRDefault="00D47CD3">
      <w:pPr>
        <w:spacing w:before="120" w:after="120" w:line="240" w:lineRule="auto"/>
        <w:jc w:val="both"/>
      </w:pPr>
      <w:r>
        <w:t>Contacts :</w:t>
      </w:r>
    </w:p>
    <w:tbl>
      <w:tblPr>
        <w:tblStyle w:val="a0"/>
        <w:tblW w:w="8815" w:type="dxa"/>
        <w:tblLayout w:type="fixed"/>
        <w:tblLook w:val="0400" w:firstRow="0" w:lastRow="0" w:firstColumn="0" w:lastColumn="0" w:noHBand="0" w:noVBand="1"/>
      </w:tblPr>
      <w:tblGrid>
        <w:gridCol w:w="4395"/>
        <w:gridCol w:w="4420"/>
      </w:tblGrid>
      <w:tr w:rsidR="0068254F">
        <w:trPr>
          <w:trHeight w:val="280"/>
        </w:trPr>
        <w:tc>
          <w:tcPr>
            <w:tcW w:w="4395" w:type="dxa"/>
          </w:tcPr>
          <w:p w:rsidR="0068254F" w:rsidRPr="00492E3A" w:rsidRDefault="00492E3A">
            <w:pPr>
              <w:spacing w:before="120" w:after="120" w:line="240" w:lineRule="auto"/>
            </w:pPr>
            <w:r>
              <w:rPr>
                <w:b/>
              </w:rPr>
              <w:t>WAFRICA</w:t>
            </w:r>
            <w:r w:rsidR="00D47CD3" w:rsidRPr="00492E3A">
              <w:rPr>
                <w:b/>
              </w:rPr>
              <w:br/>
            </w:r>
            <w:r>
              <w:rPr>
                <w:b/>
              </w:rPr>
              <w:t>Fatou Souaré HANN</w:t>
            </w:r>
          </w:p>
          <w:p w:rsidR="0068254F" w:rsidRDefault="00492E3A">
            <w:pPr>
              <w:spacing w:before="120" w:after="120" w:line="240" w:lineRule="auto"/>
            </w:pPr>
            <w:r w:rsidRPr="00492E3A">
              <w:t>M</w:t>
            </w:r>
            <w:r w:rsidR="00D47CD3" w:rsidRPr="00492E3A">
              <w:t>ail</w:t>
            </w:r>
            <w:r>
              <w:t xml:space="preserve"> : </w:t>
            </w:r>
            <w:hyperlink r:id="rId13" w:history="1">
              <w:r w:rsidRPr="00847365">
                <w:rPr>
                  <w:rStyle w:val="Hyperlink"/>
                </w:rPr>
                <w:t>fatou.hann@gmail.com</w:t>
              </w:r>
            </w:hyperlink>
            <w:r>
              <w:t xml:space="preserve"> /</w:t>
            </w:r>
          </w:p>
          <w:p w:rsidR="00E84173" w:rsidRPr="00492E3A" w:rsidRDefault="00771525">
            <w:pPr>
              <w:spacing w:before="120" w:after="120" w:line="240" w:lineRule="auto"/>
            </w:pPr>
            <w:hyperlink r:id="rId14" w:history="1">
              <w:r w:rsidR="00E84173" w:rsidRPr="00847365">
                <w:rPr>
                  <w:rStyle w:val="Hyperlink"/>
                </w:rPr>
                <w:t>sowmamou@gmail.com</w:t>
              </w:r>
            </w:hyperlink>
            <w:r w:rsidR="00E84173">
              <w:t xml:space="preserve"> </w:t>
            </w:r>
          </w:p>
          <w:p w:rsidR="0068254F" w:rsidRPr="00492E3A" w:rsidRDefault="00D47CD3">
            <w:pPr>
              <w:spacing w:before="120" w:after="120" w:line="240" w:lineRule="auto"/>
            </w:pPr>
            <w:r w:rsidRPr="00492E3A">
              <w:t xml:space="preserve">Tél : </w:t>
            </w:r>
            <w:r w:rsidR="00E84173">
              <w:t>(+224) 621 35 60 64 / 622 21 50 42</w:t>
            </w:r>
          </w:p>
          <w:p w:rsidR="0068254F" w:rsidRPr="00492E3A" w:rsidRDefault="0068254F">
            <w:pPr>
              <w:spacing w:before="120" w:after="120" w:line="240" w:lineRule="auto"/>
            </w:pPr>
          </w:p>
        </w:tc>
        <w:tc>
          <w:tcPr>
            <w:tcW w:w="4420" w:type="dxa"/>
          </w:tcPr>
          <w:p w:rsidR="0068254F" w:rsidRDefault="00D47CD3">
            <w:pPr>
              <w:spacing w:before="120" w:after="120" w:line="240" w:lineRule="auto"/>
              <w:rPr>
                <w:b/>
              </w:rPr>
            </w:pPr>
            <w:r>
              <w:rPr>
                <w:b/>
              </w:rPr>
              <w:lastRenderedPageBreak/>
              <w:t>ISHR</w:t>
            </w:r>
          </w:p>
          <w:p w:rsidR="0068254F" w:rsidRDefault="00D47CD3">
            <w:pPr>
              <w:spacing w:before="120" w:after="120" w:line="240" w:lineRule="auto"/>
            </w:pPr>
            <w:r>
              <w:t>Adélaïde Etong Kame</w:t>
            </w:r>
            <w:r>
              <w:rPr>
                <w:b/>
              </w:rPr>
              <w:br/>
            </w:r>
            <w:hyperlink r:id="rId15">
              <w:r>
                <w:rPr>
                  <w:color w:val="0070C0"/>
                  <w:u w:val="single"/>
                </w:rPr>
                <w:t>a.etong@ishr.ch</w:t>
              </w:r>
            </w:hyperlink>
            <w:r>
              <w:t xml:space="preserve"> </w:t>
            </w:r>
          </w:p>
          <w:p w:rsidR="0068254F" w:rsidRDefault="00D47CD3">
            <w:pPr>
              <w:spacing w:before="120" w:after="120" w:line="240" w:lineRule="auto"/>
            </w:pPr>
            <w:r>
              <w:lastRenderedPageBreak/>
              <w:t>Tel: (41) 22919217</w:t>
            </w:r>
          </w:p>
        </w:tc>
      </w:tr>
    </w:tbl>
    <w:p w:rsidR="0068254F" w:rsidRDefault="0068254F" w:rsidP="0077241F">
      <w:pPr>
        <w:spacing w:before="120" w:after="120" w:line="240" w:lineRule="auto"/>
      </w:pPr>
    </w:p>
    <w:p w:rsidR="0068254F" w:rsidRDefault="00D47CD3" w:rsidP="0077241F">
      <w:pPr>
        <w:spacing w:before="120" w:after="120" w:line="240" w:lineRule="auto"/>
        <w:jc w:val="both"/>
        <w:rPr>
          <w:b/>
          <w:u w:val="single"/>
        </w:rPr>
      </w:pPr>
      <w:r>
        <w:rPr>
          <w:b/>
          <w:u w:val="single"/>
        </w:rPr>
        <w:t>Contexte et mise en œuvre du CESCR en Guinée</w:t>
      </w:r>
    </w:p>
    <w:p w:rsidR="0068254F" w:rsidRPr="0077241F" w:rsidRDefault="00D47CD3" w:rsidP="0077241F">
      <w:pPr>
        <w:spacing w:before="120" w:after="120" w:line="240" w:lineRule="auto"/>
        <w:jc w:val="both"/>
        <w:rPr>
          <w:i/>
        </w:rPr>
      </w:pPr>
      <w:r w:rsidRPr="0077241F">
        <w:rPr>
          <w:i/>
        </w:rPr>
        <w:t>Article premier</w:t>
      </w:r>
    </w:p>
    <w:p w:rsidR="0068254F" w:rsidRDefault="00D47CD3" w:rsidP="0077241F">
      <w:pPr>
        <w:spacing w:before="120" w:after="120" w:line="240" w:lineRule="auto"/>
        <w:jc w:val="both"/>
        <w:rPr>
          <w:i/>
        </w:rPr>
      </w:pPr>
      <w:r>
        <w:rPr>
          <w:i/>
        </w:rPr>
        <w:t>Para 2. 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p>
    <w:p w:rsidR="0068254F" w:rsidRDefault="00D47CD3" w:rsidP="0077241F">
      <w:pPr>
        <w:spacing w:before="120" w:after="120" w:line="240" w:lineRule="auto"/>
        <w:jc w:val="both"/>
      </w:pPr>
      <w:r>
        <w:t>La Guinée est un Etat pourvu de nombreuses ressources, notamment l’or, la bauxite</w:t>
      </w:r>
      <w:r w:rsidR="00E84173">
        <w:t>, le fer</w:t>
      </w:r>
      <w:r>
        <w:t xml:space="preserve"> et les diamants. En Septembre 2017, le gouvernement a signé un contrat s’élevant à 20 milliards de dollars avec le gouvernement chinois pour la construction d’infrastructure</w:t>
      </w:r>
      <w:r w:rsidR="00181DA3">
        <w:t>s</w:t>
      </w:r>
      <w:r>
        <w:t xml:space="preserve"> leur permettant l’exploitation de la bauxite. Néanmoins, depuis </w:t>
      </w:r>
      <w:r w:rsidRPr="00DC6D1D">
        <w:t>lors</w:t>
      </w:r>
      <w:r>
        <w:t xml:space="preserve"> les impacts nocifs de</w:t>
      </w:r>
      <w:r w:rsidR="00E84173">
        <w:t xml:space="preserve">s activités liées aux extractions </w:t>
      </w:r>
      <w:r>
        <w:t>minière</w:t>
      </w:r>
      <w:r w:rsidR="00E84173">
        <w:t>s</w:t>
      </w:r>
      <w:r>
        <w:t xml:space="preserve"> </w:t>
      </w:r>
      <w:r w:rsidR="00E84173">
        <w:t xml:space="preserve">notamment </w:t>
      </w:r>
      <w:r>
        <w:t xml:space="preserve">dans le secteur de la bauxite sur l’environnement et les droits humains ont été constatés. Des milliers d’agriculteurs ont perdus leurs terres au profit de compensation minimes et l’accès à l’eau dans certains villages est devenu difficile de par les dommages causés aux sources d’eau par les routes empruntées par les engins miniers.   </w:t>
      </w:r>
      <w:r w:rsidR="000A27FD">
        <w:t>S</w:t>
      </w:r>
    </w:p>
    <w:p w:rsidR="0068254F" w:rsidRDefault="00D47CD3" w:rsidP="0077241F">
      <w:pPr>
        <w:spacing w:before="120" w:after="120" w:line="240" w:lineRule="auto"/>
        <w:jc w:val="both"/>
      </w:pPr>
      <w:r>
        <w:t>La situation actuelle de la région de Boke est très illustrative de la description faite ci-dessus, car la pluviométrie à fortement baiss</w:t>
      </w:r>
      <w:r w:rsidR="000A27FD">
        <w:t>é</w:t>
      </w:r>
      <w:r>
        <w:t xml:space="preserve"> ; la température a atteint plus de 35° à l'ombre en saison hivernale </w:t>
      </w:r>
      <w:r w:rsidR="00DC6D1D">
        <w:t>et</w:t>
      </w:r>
      <w:r>
        <w:t xml:space="preserve"> les cours d'eaux </w:t>
      </w:r>
      <w:r w:rsidR="00DC6D1D">
        <w:t>tarissent</w:t>
      </w:r>
      <w:r>
        <w:t xml:space="preserve"> complètement en saison sèche. Conséquence, la production agricole a chuté </w:t>
      </w:r>
      <w:r w:rsidR="00DC6D1D">
        <w:t>et</w:t>
      </w:r>
      <w:r>
        <w:t xml:space="preserve"> le couvert </w:t>
      </w:r>
      <w:r w:rsidR="00DC6D1D">
        <w:t>végétal</w:t>
      </w:r>
      <w:r>
        <w:t xml:space="preserve"> est complètement détruit.</w:t>
      </w:r>
      <w:r w:rsidR="003F3818">
        <w:t xml:space="preserve"> A titre d’e</w:t>
      </w:r>
      <w:r>
        <w:t>xemple</w:t>
      </w:r>
      <w:r w:rsidR="003F3818">
        <w:t>,</w:t>
      </w:r>
      <w:r>
        <w:t xml:space="preserve"> les populations de Korera et de Katougouma sont sevrées d'eau potable du fait de la pollution de leurs sources d'eaux.</w:t>
      </w:r>
    </w:p>
    <w:p w:rsidR="00A120E4" w:rsidRDefault="00D47CD3" w:rsidP="0077241F">
      <w:pPr>
        <w:spacing w:before="120" w:after="120" w:line="240" w:lineRule="auto"/>
        <w:jc w:val="both"/>
      </w:pPr>
      <w:r>
        <w:t>Malgré cette situation inquiétante, les entreprises exploitantes</w:t>
      </w:r>
      <w:r w:rsidR="000A27FD">
        <w:t>, notamment a Société minière de Boké (SMB), un consortium franco-sino-singapourien</w:t>
      </w:r>
      <w:r w:rsidR="000A27FD">
        <w:rPr>
          <w:rStyle w:val="FootnoteReference"/>
        </w:rPr>
        <w:footnoteReference w:id="1"/>
      </w:r>
      <w:r w:rsidR="000A27FD">
        <w:t>,</w:t>
      </w:r>
      <w:r>
        <w:t xml:space="preserve"> ne font pas assez d'effort</w:t>
      </w:r>
      <w:r w:rsidR="000A27FD">
        <w:t>s</w:t>
      </w:r>
      <w:r>
        <w:t xml:space="preserve"> pour élaborer et adopter une politique de restauration des zones exploitées</w:t>
      </w:r>
      <w:r w:rsidR="00504B96">
        <w:t xml:space="preserve">, et compenser les communautés déplacées. </w:t>
      </w:r>
    </w:p>
    <w:p w:rsidR="0068254F" w:rsidRDefault="0068254F" w:rsidP="0077241F">
      <w:pPr>
        <w:spacing w:before="120" w:after="120" w:line="240" w:lineRule="auto"/>
        <w:jc w:val="both"/>
      </w:pPr>
    </w:p>
    <w:p w:rsidR="0068254F" w:rsidRDefault="00D47CD3" w:rsidP="0077241F">
      <w:pPr>
        <w:spacing w:before="120" w:after="120" w:line="240" w:lineRule="auto"/>
        <w:jc w:val="both"/>
        <w:rPr>
          <w:i/>
        </w:rPr>
      </w:pPr>
      <w:r>
        <w:rPr>
          <w:i/>
        </w:rPr>
        <w:t>Article 2</w:t>
      </w:r>
    </w:p>
    <w:p w:rsidR="0068254F" w:rsidRDefault="00D47CD3" w:rsidP="0077241F">
      <w:pPr>
        <w:spacing w:before="120" w:after="120" w:line="240" w:lineRule="auto"/>
        <w:jc w:val="both"/>
      </w:pPr>
      <w:r>
        <w:rPr>
          <w:i/>
        </w:rPr>
        <w:t>Para 1. Chacun des Etats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w:t>
      </w:r>
    </w:p>
    <w:p w:rsidR="0068254F" w:rsidRDefault="00536D1A" w:rsidP="0077241F">
      <w:pPr>
        <w:spacing w:before="120" w:after="120" w:line="240" w:lineRule="auto"/>
        <w:jc w:val="both"/>
      </w:pPr>
      <w:r>
        <w:t>I</w:t>
      </w:r>
      <w:r w:rsidR="009D7880">
        <w:t xml:space="preserve">l est nécessaire de </w:t>
      </w:r>
      <w:r w:rsidR="00D47CD3">
        <w:t>pallier à l'inexistence d'une loi qui protège les défenseur</w:t>
      </w:r>
      <w:r w:rsidR="00817DE1">
        <w:t>.e</w:t>
      </w:r>
      <w:r w:rsidR="00D47CD3">
        <w:t xml:space="preserve">s des droits </w:t>
      </w:r>
      <w:r w:rsidR="00817DE1">
        <w:t>humains</w:t>
      </w:r>
      <w:r w:rsidR="00D47CD3">
        <w:t>, car la Guinée est l'un des pays d</w:t>
      </w:r>
      <w:r w:rsidR="00E31376">
        <w:t>e</w:t>
      </w:r>
      <w:r w:rsidR="00D47CD3">
        <w:t xml:space="preserve"> la </w:t>
      </w:r>
      <w:r w:rsidR="00DC6D1D">
        <w:t>sous-région</w:t>
      </w:r>
      <w:r w:rsidR="00D47CD3">
        <w:t xml:space="preserve"> qui ne dispose pas d'une telle loi. La société civile guinéenne a décidé de prendre les choses</w:t>
      </w:r>
      <w:r w:rsidR="00E31376" w:rsidRPr="00E31376">
        <w:t xml:space="preserve"> </w:t>
      </w:r>
      <w:r w:rsidR="00E31376">
        <w:t>en main</w:t>
      </w:r>
      <w:r w:rsidR="00D47CD3">
        <w:t xml:space="preserve"> pour doter le pays d'un tel instrument juridique au niveau national.</w:t>
      </w:r>
    </w:p>
    <w:p w:rsidR="0068254F" w:rsidRDefault="00D47CD3" w:rsidP="0077241F">
      <w:pPr>
        <w:spacing w:before="120" w:after="120" w:line="240" w:lineRule="auto"/>
        <w:jc w:val="both"/>
      </w:pPr>
      <w:r>
        <w:t>C'est pourquoi, en mai 2017, une coalition de 27 organisations de la société civile guinéenne ont mené à bien un atelier relatif au projet de loi de protection des défenseurs DH, au cours duquel le texte initialement développé par le Ministère de l’Unité Nationale en 2016 a été enrichi. L’avant-projet de loi en résultant a été présenté à l’exécutif national, ainsi qu’à des parlementaires.</w:t>
      </w:r>
    </w:p>
    <w:p w:rsidR="0068254F" w:rsidRDefault="00D47CD3">
      <w:pPr>
        <w:pBdr>
          <w:top w:val="nil"/>
          <w:left w:val="nil"/>
          <w:bottom w:val="nil"/>
          <w:right w:val="nil"/>
          <w:between w:val="nil"/>
        </w:pBdr>
        <w:spacing w:before="120" w:after="120" w:line="240" w:lineRule="auto"/>
        <w:jc w:val="both"/>
        <w:rPr>
          <w:color w:val="000000"/>
        </w:rPr>
      </w:pPr>
      <w:r>
        <w:rPr>
          <w:color w:val="000000"/>
        </w:rPr>
        <w:lastRenderedPageBreak/>
        <w:t>Au cours d’un second</w:t>
      </w:r>
      <w:r w:rsidR="00A01C73">
        <w:rPr>
          <w:color w:val="000000"/>
        </w:rPr>
        <w:t xml:space="preserve"> </w:t>
      </w:r>
      <w:r>
        <w:rPr>
          <w:color w:val="000000"/>
        </w:rPr>
        <w:t>atelier en septembre 2018 organisé par le Collectif en collaboration avec ISHR à Conakry, l’avant-projet de loi a été finalisé, et présenté à l’exécutif</w:t>
      </w:r>
      <w:r w:rsidR="00012FA0">
        <w:rPr>
          <w:rStyle w:val="FootnoteReference"/>
          <w:color w:val="000000"/>
        </w:rPr>
        <w:footnoteReference w:id="2"/>
      </w:r>
      <w:r>
        <w:rPr>
          <w:color w:val="000000"/>
        </w:rPr>
        <w:t>.</w:t>
      </w:r>
    </w:p>
    <w:p w:rsidR="0068254F" w:rsidRDefault="00D47CD3">
      <w:pPr>
        <w:pBdr>
          <w:top w:val="nil"/>
          <w:left w:val="nil"/>
          <w:bottom w:val="nil"/>
          <w:right w:val="nil"/>
          <w:between w:val="nil"/>
        </w:pBdr>
        <w:spacing w:before="120" w:after="120" w:line="240" w:lineRule="auto"/>
        <w:jc w:val="both"/>
        <w:rPr>
          <w:color w:val="000000"/>
        </w:rPr>
      </w:pPr>
      <w:r>
        <w:t>Au regard de</w:t>
      </w:r>
      <w:r w:rsidR="00E31376">
        <w:t>s</w:t>
      </w:r>
      <w:r>
        <w:t xml:space="preserve"> </w:t>
      </w:r>
      <w:r w:rsidR="00E31376">
        <w:t>nombreuses</w:t>
      </w:r>
      <w:r>
        <w:t xml:space="preserve"> menaces qui pèsent </w:t>
      </w:r>
      <w:r w:rsidR="00E31376">
        <w:t>à l’encontre des</w:t>
      </w:r>
      <w:r>
        <w:t xml:space="preserve"> défenseurs des droits de l'homme qui</w:t>
      </w:r>
      <w:r w:rsidR="001762CF">
        <w:t>,</w:t>
      </w:r>
      <w:r w:rsidR="00E31376">
        <w:t xml:space="preserve"> notamment tentent de protéger les droits des personnes vivant dans des zones exploitées par les industries extractives</w:t>
      </w:r>
      <w:r>
        <w:t>, il</w:t>
      </w:r>
      <w:r>
        <w:rPr>
          <w:color w:val="000000"/>
        </w:rPr>
        <w:t xml:space="preserve"> est impératif que cet avant-projet de loi, qui a reçu les contributions et l’assentiment des défenseurs, premiers concernés, soit examiné et adopté par le corps législatif</w:t>
      </w:r>
      <w:r w:rsidR="004827B6">
        <w:rPr>
          <w:color w:val="000000"/>
        </w:rPr>
        <w:t>, comme l’a recommandé le Comité des Droits de l’Homme dans ses observations finales de 2018 (</w:t>
      </w:r>
      <w:r w:rsidR="004827B6" w:rsidRPr="004827B6">
        <w:rPr>
          <w:color w:val="000000"/>
        </w:rPr>
        <w:t>CCPR/C/GIN/CO/3</w:t>
      </w:r>
      <w:r w:rsidR="00A772CC">
        <w:rPr>
          <w:color w:val="000000"/>
        </w:rPr>
        <w:t> ; para. 44)</w:t>
      </w:r>
      <w:r w:rsidR="004827B6">
        <w:rPr>
          <w:color w:val="000000"/>
        </w:rPr>
        <w:t>)</w:t>
      </w:r>
      <w:r>
        <w:rPr>
          <w:color w:val="000000"/>
        </w:rPr>
        <w:t>. Il est impératif que le Ministre de l’unité nationale, M. Mamadou Taran Diallo, priorise le dossier de l’avant-projet de loi et contribue à l’adoption d’une version de la loi qui retienne l’assentiment des organisations de défense des droits humains, et contribue à améliorer la protection des défenseurs et de leurs organisations, plutôt que de restreindre leur travail.</w:t>
      </w:r>
    </w:p>
    <w:p w:rsidR="0049233E" w:rsidRDefault="0049233E">
      <w:pPr>
        <w:pBdr>
          <w:top w:val="nil"/>
          <w:left w:val="nil"/>
          <w:bottom w:val="nil"/>
          <w:right w:val="nil"/>
          <w:between w:val="nil"/>
        </w:pBdr>
        <w:spacing w:before="120" w:after="120" w:line="240" w:lineRule="auto"/>
        <w:jc w:val="both"/>
        <w:rPr>
          <w:color w:val="000000"/>
        </w:rPr>
      </w:pPr>
    </w:p>
    <w:p w:rsidR="0068254F" w:rsidRDefault="00D47CD3" w:rsidP="0077241F">
      <w:pPr>
        <w:spacing w:before="120" w:after="120" w:line="240" w:lineRule="auto"/>
        <w:jc w:val="both"/>
        <w:rPr>
          <w:i/>
        </w:rPr>
      </w:pPr>
      <w:r>
        <w:rPr>
          <w:i/>
        </w:rPr>
        <w:t>Article 4</w:t>
      </w:r>
    </w:p>
    <w:p w:rsidR="0068254F" w:rsidRDefault="00D47CD3" w:rsidP="0077241F">
      <w:pPr>
        <w:spacing w:before="120" w:after="120" w:line="240" w:lineRule="auto"/>
        <w:jc w:val="both"/>
        <w:rPr>
          <w:i/>
        </w:rPr>
      </w:pPr>
      <w:r>
        <w:rPr>
          <w:i/>
        </w:rPr>
        <w:t>Les Etats parties au présent Pacte reconnaissent que, dans la jouissance des droits assurés par l'Etat conformément au présent Pacte, l'Etat ne peut soumettre ces droits qu'aux limitations établies par la loi, dans la seule mesure compatible avec la nature de ces droits et exclusivement en vue de favoriser le bien-être général dans une société démocratique.</w:t>
      </w:r>
    </w:p>
    <w:p w:rsidR="0068254F" w:rsidRDefault="00D47CD3" w:rsidP="0077241F">
      <w:pPr>
        <w:spacing w:before="120" w:after="120" w:line="240" w:lineRule="auto"/>
        <w:jc w:val="both"/>
      </w:pPr>
      <w:r>
        <w:t xml:space="preserve">Le gouvernement guinéen a pris des mesures visant à restreindre la </w:t>
      </w:r>
      <w:r w:rsidR="00682524">
        <w:t>jouissance des libertés</w:t>
      </w:r>
      <w:r>
        <w:t xml:space="preserve"> de</w:t>
      </w:r>
      <w:r w:rsidR="00682524">
        <w:t xml:space="preserve"> réunion,</w:t>
      </w:r>
      <w:r>
        <w:t xml:space="preserve"> d'expression</w:t>
      </w:r>
      <w:r w:rsidR="00682524">
        <w:t xml:space="preserve"> et </w:t>
      </w:r>
      <w:r>
        <w:t>d'association dans le seul but d'empêcher les défenseurs des droits de l'homme à mieux faire leur travail.</w:t>
      </w:r>
    </w:p>
    <w:p w:rsidR="0068254F" w:rsidRDefault="00D47CD3" w:rsidP="0077241F">
      <w:pPr>
        <w:spacing w:before="120" w:after="120" w:line="240" w:lineRule="auto"/>
        <w:jc w:val="both"/>
      </w:pPr>
      <w:r>
        <w:t xml:space="preserve">Le Ministère de l'administration et du territoire est en phase d'élaborer un </w:t>
      </w:r>
      <w:r w:rsidR="00682524">
        <w:t>avant-projet</w:t>
      </w:r>
      <w:r>
        <w:t xml:space="preserve"> de loi visant à modifier la Loi L/013 de 2005 relative aux associations. A cela, s'ajoute le refus dudit ministère de délivrer des agréments aux associations et aux partis politiques</w:t>
      </w:r>
      <w:r w:rsidR="00E84173">
        <w:t xml:space="preserve"> depuis </w:t>
      </w:r>
      <w:r w:rsidR="008D794D">
        <w:t>plusieurs</w:t>
      </w:r>
      <w:r w:rsidR="00E84173">
        <w:t xml:space="preserve"> années</w:t>
      </w:r>
      <w:r>
        <w:t>.</w:t>
      </w:r>
      <w:r w:rsidR="00E84173">
        <w:t xml:space="preserve"> L’avant-projet de loi révisant l</w:t>
      </w:r>
      <w:r w:rsidR="00230A03">
        <w:t>a loi</w:t>
      </w:r>
      <w:r w:rsidR="00E84173">
        <w:t xml:space="preserve"> L</w:t>
      </w:r>
      <w:r w:rsidR="00230A03">
        <w:t>/0</w:t>
      </w:r>
      <w:r w:rsidR="00E84173">
        <w:t>13 de 2005 contient des disposit</w:t>
      </w:r>
      <w:r w:rsidR="00230A03">
        <w:t>ions</w:t>
      </w:r>
      <w:r w:rsidR="00E84173">
        <w:t xml:space="preserve"> très inquiétant</w:t>
      </w:r>
      <w:r w:rsidR="00230A03">
        <w:t>e</w:t>
      </w:r>
      <w:r w:rsidR="00E84173">
        <w:t>s pour les associations. Le Collectif a dans ce cadre organisé plusieurs ateliers régionaux</w:t>
      </w:r>
      <w:r w:rsidR="005769B8">
        <w:t xml:space="preserve"> pour analyser le projet et </w:t>
      </w:r>
      <w:r w:rsidR="00230A03">
        <w:t>prévoit de</w:t>
      </w:r>
      <w:r w:rsidR="005769B8">
        <w:t xml:space="preserve"> soumettre les conclusions et recommandations issues de ces travaux. Le Collectif appel les </w:t>
      </w:r>
      <w:r w:rsidR="00230A03">
        <w:t>partenaires techniques et financiers à</w:t>
      </w:r>
      <w:r w:rsidR="005769B8">
        <w:t xml:space="preserve"> s’impliquer activement pour que ces recommandations soient prises en compte par le gouvernement</w:t>
      </w:r>
      <w:r w:rsidR="00C1474E">
        <w:t>,</w:t>
      </w:r>
      <w:r w:rsidR="005769B8">
        <w:t xml:space="preserve"> dans le souci que la Guinée se conforme aux </w:t>
      </w:r>
      <w:r w:rsidR="00C1474E">
        <w:t>standards internationaux</w:t>
      </w:r>
      <w:r w:rsidR="005769B8">
        <w:t xml:space="preserve"> </w:t>
      </w:r>
      <w:r w:rsidR="00C1474E">
        <w:t xml:space="preserve">relatifs à la liberté </w:t>
      </w:r>
      <w:r w:rsidR="005769B8">
        <w:t>d’association</w:t>
      </w:r>
      <w:r w:rsidR="00C1474E">
        <w:t>.</w:t>
      </w:r>
    </w:p>
    <w:p w:rsidR="00EB1724" w:rsidRDefault="00EB1724" w:rsidP="0077241F">
      <w:pPr>
        <w:spacing w:before="120" w:after="120" w:line="240" w:lineRule="auto"/>
        <w:jc w:val="both"/>
      </w:pPr>
    </w:p>
    <w:p w:rsidR="0068254F" w:rsidRDefault="00D47CD3" w:rsidP="0077241F">
      <w:pPr>
        <w:spacing w:before="120" w:after="120" w:line="240" w:lineRule="auto"/>
        <w:jc w:val="both"/>
        <w:rPr>
          <w:i/>
        </w:rPr>
      </w:pPr>
      <w:r>
        <w:rPr>
          <w:i/>
        </w:rPr>
        <w:t>Article 7</w:t>
      </w:r>
    </w:p>
    <w:p w:rsidR="0068254F" w:rsidRDefault="00D47CD3" w:rsidP="0077241F">
      <w:pPr>
        <w:spacing w:before="120" w:after="120" w:line="240" w:lineRule="auto"/>
        <w:jc w:val="both"/>
        <w:rPr>
          <w:i/>
        </w:rPr>
      </w:pPr>
      <w:r>
        <w:rPr>
          <w:i/>
        </w:rPr>
        <w:t>Les Etats parties au présent Pacte reconnaissent le droit qu'a toute personne de jouir de conditions de travail justes et favorables, qui assurent notamment :</w:t>
      </w:r>
    </w:p>
    <w:p w:rsidR="0068254F" w:rsidRDefault="00D47CD3" w:rsidP="0077241F">
      <w:pPr>
        <w:spacing w:before="120" w:after="120" w:line="240" w:lineRule="auto"/>
        <w:jc w:val="both"/>
        <w:rPr>
          <w:i/>
        </w:rPr>
      </w:pPr>
      <w:r>
        <w:rPr>
          <w:i/>
        </w:rPr>
        <w:t>a) La rémunération qui procure, au minimum, à tous les travailleurs :</w:t>
      </w:r>
    </w:p>
    <w:p w:rsidR="0068254F" w:rsidRDefault="00D47CD3" w:rsidP="0077241F">
      <w:pPr>
        <w:spacing w:before="120" w:after="120" w:line="240" w:lineRule="auto"/>
        <w:ind w:firstLine="720"/>
        <w:jc w:val="both"/>
        <w:rPr>
          <w:i/>
        </w:rPr>
      </w:pPr>
      <w:r>
        <w:rPr>
          <w:i/>
        </w:rPr>
        <w:t>i) Un salaire équitable et une rémunération égale pour un travail de valeur égale sans distinction aucune ; en particulier, les femmes doivent avoir la garantie que les conditions de travail qui leur sont accordées ne sont pas inférieures à celles dont bénéficient les hommes et recevoir la même rémunération qu'eux pour un même travail ;</w:t>
      </w:r>
    </w:p>
    <w:p w:rsidR="0068254F" w:rsidRDefault="00D47CD3" w:rsidP="0077241F">
      <w:pPr>
        <w:spacing w:before="120" w:after="120" w:line="240" w:lineRule="auto"/>
        <w:ind w:firstLine="720"/>
        <w:jc w:val="both"/>
        <w:rPr>
          <w:i/>
        </w:rPr>
      </w:pPr>
      <w:r>
        <w:rPr>
          <w:i/>
        </w:rPr>
        <w:t>ii) Une existence décente pour eux et leur famille conformément aux dispositions du présent Pacte ;</w:t>
      </w:r>
    </w:p>
    <w:p w:rsidR="0068254F" w:rsidRDefault="00D47CD3" w:rsidP="0077241F">
      <w:pPr>
        <w:spacing w:before="120" w:after="120" w:line="240" w:lineRule="auto"/>
        <w:jc w:val="both"/>
        <w:rPr>
          <w:i/>
        </w:rPr>
      </w:pPr>
      <w:r>
        <w:rPr>
          <w:i/>
        </w:rPr>
        <w:t>d) Le repos, les loisirs, la limitation raisonnable de la durée du travail et les congés payés périodiques, ainsi que la rémunération des jours fériés.</w:t>
      </w:r>
    </w:p>
    <w:p w:rsidR="0068254F" w:rsidRDefault="00D47CD3" w:rsidP="0077241F">
      <w:pPr>
        <w:spacing w:before="120" w:after="120" w:line="240" w:lineRule="auto"/>
        <w:jc w:val="both"/>
      </w:pPr>
      <w:r>
        <w:lastRenderedPageBreak/>
        <w:t xml:space="preserve">En Guinée l'emploi des jeunes se fait de plus en plus rare, </w:t>
      </w:r>
      <w:r w:rsidR="00372020">
        <w:t>de plus</w:t>
      </w:r>
      <w:r>
        <w:t xml:space="preserve"> l'environnement du travail ne </w:t>
      </w:r>
      <w:r w:rsidR="00372020">
        <w:t>respecte</w:t>
      </w:r>
      <w:r>
        <w:t xml:space="preserve"> pas les normes édictées dans le Code du Travail et les conventions internationales relatives aux garanties liées à un salaire décent et à la liberté syndicale.</w:t>
      </w:r>
    </w:p>
    <w:p w:rsidR="00372020" w:rsidRDefault="00D47CD3" w:rsidP="0077241F">
      <w:pPr>
        <w:spacing w:before="120" w:after="120" w:line="240" w:lineRule="auto"/>
        <w:jc w:val="both"/>
      </w:pPr>
      <w:r>
        <w:t>Dans l'administra</w:t>
      </w:r>
      <w:r w:rsidR="005769B8">
        <w:t>t</w:t>
      </w:r>
      <w:r>
        <w:t xml:space="preserve">ion publique et dans les entreprises privées en république de Guinée, les fonctionnaires ont un salaire de base de 45€ et les salariés du secteur privé ont un salaire de base de 80€, ce qui est nettement </w:t>
      </w:r>
      <w:r w:rsidR="00372020">
        <w:t>inférieur</w:t>
      </w:r>
      <w:r>
        <w:t xml:space="preserve"> au </w:t>
      </w:r>
      <w:r w:rsidR="005769B8">
        <w:t>standard</w:t>
      </w:r>
      <w:r>
        <w:t xml:space="preserve"> international</w:t>
      </w:r>
      <w:r w:rsidR="00372020">
        <w:t>. De</w:t>
      </w:r>
      <w:r>
        <w:t xml:space="preserve"> ce qui fait</w:t>
      </w:r>
      <w:r w:rsidR="00372020">
        <w:t>,</w:t>
      </w:r>
      <w:r>
        <w:t xml:space="preserve"> la plupart des guinéens ont un double emploi </w:t>
      </w:r>
      <w:r w:rsidR="00372020">
        <w:t xml:space="preserve">dans le but </w:t>
      </w:r>
      <w:r>
        <w:t xml:space="preserve">de combler </w:t>
      </w:r>
      <w:r w:rsidR="00372020">
        <w:t xml:space="preserve">les écarts </w:t>
      </w:r>
      <w:r>
        <w:t xml:space="preserve">à la fin du mois, car un seul salaire ne </w:t>
      </w:r>
      <w:r w:rsidR="00372020">
        <w:t xml:space="preserve">leur permet </w:t>
      </w:r>
      <w:r>
        <w:t xml:space="preserve">pas </w:t>
      </w:r>
      <w:r w:rsidR="00372020">
        <w:t xml:space="preserve">de </w:t>
      </w:r>
      <w:r>
        <w:t xml:space="preserve">vivre </w:t>
      </w:r>
      <w:r w:rsidR="00372020">
        <w:t xml:space="preserve">décemment </w:t>
      </w:r>
      <w:r>
        <w:t xml:space="preserve">en Guinée. </w:t>
      </w:r>
    </w:p>
    <w:p w:rsidR="0068254F" w:rsidRDefault="00D47CD3" w:rsidP="0077241F">
      <w:pPr>
        <w:spacing w:before="120" w:after="120" w:line="240" w:lineRule="auto"/>
        <w:jc w:val="both"/>
      </w:pPr>
      <w:r>
        <w:t xml:space="preserve">A cela, il </w:t>
      </w:r>
      <w:r w:rsidR="005769B8">
        <w:t xml:space="preserve">faut </w:t>
      </w:r>
      <w:r>
        <w:t xml:space="preserve">ajouter les nombreuses restrictions </w:t>
      </w:r>
      <w:r w:rsidR="00372020">
        <w:t>à</w:t>
      </w:r>
      <w:r>
        <w:t xml:space="preserve"> la liberté syndicale</w:t>
      </w:r>
      <w:r w:rsidR="005769B8">
        <w:t>.</w:t>
      </w:r>
      <w:r>
        <w:t xml:space="preserve"> </w:t>
      </w:r>
      <w:r w:rsidR="005769B8">
        <w:t>L</w:t>
      </w:r>
      <w:r>
        <w:t>es syndica</w:t>
      </w:r>
      <w:r w:rsidR="00372020">
        <w:t>listes</w:t>
      </w:r>
      <w:r>
        <w:t xml:space="preserve"> du secteur public et privé sont </w:t>
      </w:r>
      <w:r w:rsidR="00372020">
        <w:t>constamment</w:t>
      </w:r>
      <w:r>
        <w:t xml:space="preserve"> menacés, arrêtés et condamnés à travers des jugements </w:t>
      </w:r>
      <w:r w:rsidR="00372020">
        <w:t>expéditifs</w:t>
      </w:r>
      <w:r>
        <w:t>.</w:t>
      </w:r>
    </w:p>
    <w:p w:rsidR="0068254F" w:rsidRDefault="00372020" w:rsidP="0077241F">
      <w:pPr>
        <w:spacing w:before="120" w:after="120" w:line="240" w:lineRule="auto"/>
        <w:jc w:val="both"/>
      </w:pPr>
      <w:r>
        <w:t>A titre d’e</w:t>
      </w:r>
      <w:r w:rsidR="00D47CD3">
        <w:t>xemple</w:t>
      </w:r>
      <w:r>
        <w:t xml:space="preserve">, </w:t>
      </w:r>
      <w:r w:rsidR="00D47CD3">
        <w:t xml:space="preserve">le leader syndical </w:t>
      </w:r>
      <w:r>
        <w:t xml:space="preserve">de l'UGT </w:t>
      </w:r>
      <w:r w:rsidR="00E20F75">
        <w:t>(Union Générale des Travailleurs)</w:t>
      </w:r>
      <w:r>
        <w:t xml:space="preserve">, </w:t>
      </w:r>
      <w:r w:rsidR="00D47CD3">
        <w:t>Aboubacar Sidiki Mara</w:t>
      </w:r>
      <w:r>
        <w:t>,</w:t>
      </w:r>
      <w:r w:rsidR="00D47CD3">
        <w:t xml:space="preserve"> a été arrêté à Boke et transféré à Conakry pour être jugé</w:t>
      </w:r>
      <w:r>
        <w:t>. Il a ensuite été</w:t>
      </w:r>
      <w:r w:rsidR="00D47CD3">
        <w:t xml:space="preserve"> condamné à 6 mois de prison ferme et au payement d'une amende d'un million de franc guinéen par le tribunal de première instance de Dixinn le 21 Juin 2018. Poursuivi pour incitation à la révolte, manifestation illicite et attroupement dans les extensions d’une société minière ou portuaire</w:t>
      </w:r>
      <w:r w:rsidR="005769B8">
        <w:t>.</w:t>
      </w:r>
      <w:r w:rsidR="00D47CD3">
        <w:t xml:space="preserve"> </w:t>
      </w:r>
      <w:r w:rsidR="005769B8">
        <w:t>L</w:t>
      </w:r>
      <w:r w:rsidR="00D47CD3">
        <w:t>e syndicaliste a plaidé non coupable</w:t>
      </w:r>
      <w:r w:rsidR="005769B8">
        <w:t xml:space="preserve"> et d</w:t>
      </w:r>
      <w:r w:rsidR="00E20F75">
        <w:t>éclaré</w:t>
      </w:r>
      <w:r w:rsidR="00D47CD3">
        <w:t xml:space="preserve"> qu'il était en train d'organiser les travailleurs des sociétés minières qui ont officiellement adhéré à sa centrale syndicale.</w:t>
      </w:r>
    </w:p>
    <w:p w:rsidR="0068254F" w:rsidRDefault="00D47CD3" w:rsidP="0077241F">
      <w:pPr>
        <w:spacing w:before="120" w:after="120" w:line="240" w:lineRule="auto"/>
        <w:jc w:val="both"/>
      </w:pPr>
      <w:r>
        <w:t>Dans le secteur public, le Syndicat Libre des Enseignants Chercheurs de Guinée (SLE</w:t>
      </w:r>
      <w:r w:rsidR="005769B8">
        <w:t>C</w:t>
      </w:r>
      <w:r>
        <w:t xml:space="preserve">G) est traqué depuis plus de trois (3) ans par le gouvernement qui menace, arrête et séquestre ses leaders </w:t>
      </w:r>
      <w:r w:rsidR="00E20F75">
        <w:t>pour avoir</w:t>
      </w:r>
      <w:r>
        <w:t xml:space="preserve"> exig</w:t>
      </w:r>
      <w:r w:rsidR="00E20F75">
        <w:t>é</w:t>
      </w:r>
      <w:r>
        <w:t xml:space="preserve"> des conditions de vie et de travail décentes. Actuellement, plusieurs syndicalistes </w:t>
      </w:r>
      <w:r w:rsidR="00E20F75">
        <w:t xml:space="preserve">attendent leur verdict </w:t>
      </w:r>
      <w:r>
        <w:t xml:space="preserve">devant le tribunal de Mafanco. Bien qu'ils soient victimes de violences et de corruption de la part du gouvernement, ils risquent </w:t>
      </w:r>
      <w:r w:rsidR="00E20F75">
        <w:t>d’être condamné à plusieurs</w:t>
      </w:r>
      <w:r>
        <w:t xml:space="preserve"> mois de prison ferme.</w:t>
      </w:r>
    </w:p>
    <w:p w:rsidR="000A59F3" w:rsidRDefault="000A59F3" w:rsidP="0077241F">
      <w:pPr>
        <w:spacing w:before="120" w:after="120" w:line="240" w:lineRule="auto"/>
        <w:jc w:val="both"/>
      </w:pPr>
    </w:p>
    <w:p w:rsidR="0068254F" w:rsidRDefault="00D47CD3" w:rsidP="0077241F">
      <w:pPr>
        <w:spacing w:before="120" w:after="120" w:line="240" w:lineRule="auto"/>
        <w:jc w:val="both"/>
        <w:rPr>
          <w:i/>
        </w:rPr>
      </w:pPr>
      <w:r>
        <w:rPr>
          <w:i/>
        </w:rPr>
        <w:t>Article 8</w:t>
      </w:r>
    </w:p>
    <w:p w:rsidR="0068254F" w:rsidRDefault="00D47CD3" w:rsidP="0077241F">
      <w:pPr>
        <w:numPr>
          <w:ilvl w:val="0"/>
          <w:numId w:val="1"/>
        </w:numPr>
        <w:pBdr>
          <w:top w:val="nil"/>
          <w:left w:val="nil"/>
          <w:bottom w:val="nil"/>
          <w:right w:val="nil"/>
          <w:between w:val="nil"/>
        </w:pBdr>
        <w:spacing w:before="120" w:after="120" w:line="240" w:lineRule="auto"/>
        <w:jc w:val="both"/>
        <w:rPr>
          <w:i/>
          <w:color w:val="000000"/>
        </w:rPr>
      </w:pPr>
      <w:r>
        <w:rPr>
          <w:i/>
          <w:color w:val="000000"/>
        </w:rPr>
        <w:t>Les Etats parties au présent Pacte s'engagent à assurer :</w:t>
      </w:r>
    </w:p>
    <w:p w:rsidR="0068254F" w:rsidRDefault="00D47CD3" w:rsidP="0077241F">
      <w:pPr>
        <w:spacing w:before="120" w:after="120" w:line="240" w:lineRule="auto"/>
        <w:jc w:val="both"/>
      </w:pPr>
      <w:r>
        <w:rPr>
          <w:i/>
        </w:rPr>
        <w:t>c) Le droit qu'ont les syndicats d'exercer librement leur activité, sans limitations autres que celles qui sont prévues par la loi et qui constituent des mesures nécessaires, dans une société démocratique, dans l'intérêt de la sécurité nationale ou de l'ordre public, ou pour protéger les droits et les libertés d'autrui.</w:t>
      </w:r>
    </w:p>
    <w:p w:rsidR="0068254F" w:rsidRDefault="007B48E3" w:rsidP="0077241F">
      <w:pPr>
        <w:spacing w:before="120" w:after="120" w:line="240" w:lineRule="auto"/>
        <w:jc w:val="both"/>
      </w:pPr>
      <w:r>
        <w:t>La jouissance du droit de l</w:t>
      </w:r>
      <w:r w:rsidR="00D47CD3">
        <w:t>iberté d’association</w:t>
      </w:r>
      <w:r>
        <w:t xml:space="preserve"> </w:t>
      </w:r>
      <w:r w:rsidR="00D47CD3">
        <w:t xml:space="preserve">en matière syndicale est </w:t>
      </w:r>
      <w:r>
        <w:t xml:space="preserve">restreinte </w:t>
      </w:r>
      <w:r w:rsidR="00D47CD3">
        <w:t xml:space="preserve">par le gouvernement qui use de tous les moyens pour empêcher les travailleurs à mieux s'organiser pour revendiquer leurs droits consacrés par la loi. Du fait de la corruption, l'État guinéen a </w:t>
      </w:r>
      <w:r w:rsidR="00846DCF">
        <w:t>réussi</w:t>
      </w:r>
      <w:r w:rsidR="00D47CD3">
        <w:t xml:space="preserve"> à diviser toutes les grandes centrales syndicales dans le seul et unique but de les affaiblir.</w:t>
      </w:r>
    </w:p>
    <w:p w:rsidR="0068254F" w:rsidRDefault="00846DCF" w:rsidP="0077241F">
      <w:pPr>
        <w:spacing w:before="120" w:after="120" w:line="240" w:lineRule="auto"/>
        <w:jc w:val="both"/>
      </w:pPr>
      <w:r>
        <w:t xml:space="preserve">On comptabilise </w:t>
      </w:r>
      <w:r w:rsidR="00D47CD3">
        <w:t>deux SLE</w:t>
      </w:r>
      <w:r w:rsidR="005769B8">
        <w:t>C</w:t>
      </w:r>
      <w:r w:rsidR="00D47CD3">
        <w:t xml:space="preserve">G et deux USTG </w:t>
      </w:r>
      <w:r w:rsidR="00C60CB0">
        <w:t xml:space="preserve">(Union Syndicale des Travailleurs de Guinée) à ce </w:t>
      </w:r>
      <w:r w:rsidR="00D47CD3">
        <w:t>jour en Guinée</w:t>
      </w:r>
      <w:r w:rsidR="00C60CB0">
        <w:t>.</w:t>
      </w:r>
      <w:r w:rsidR="00D47CD3">
        <w:t xml:space="preserve"> </w:t>
      </w:r>
      <w:r w:rsidR="00C60CB0">
        <w:t>Ils</w:t>
      </w:r>
      <w:r w:rsidR="00D47CD3">
        <w:t xml:space="preserve"> revendiquent les mêmes travailleurs syndiqués</w:t>
      </w:r>
      <w:r w:rsidR="00C60CB0">
        <w:t xml:space="preserve"> créant des tensions et un manque de coordination entre les deux syndicats. Il arrive</w:t>
      </w:r>
      <w:r w:rsidR="00D47CD3">
        <w:t xml:space="preserve"> </w:t>
      </w:r>
      <w:r w:rsidR="00C60CB0">
        <w:t xml:space="preserve">que lorsque </w:t>
      </w:r>
      <w:r w:rsidR="00D47CD3">
        <w:t xml:space="preserve">l'un appelle à une grève, l'autre </w:t>
      </w:r>
      <w:r w:rsidR="00C60CB0">
        <w:t>encourage</w:t>
      </w:r>
      <w:r w:rsidR="00D47CD3">
        <w:t xml:space="preserve"> les travailleurs à se désolidariser. Il y a également des structures syndicales créés par l'État notamment dans le secteur de l'enseignement toujours dans l'optique d'empêcher les syndicalistes de s'unir.</w:t>
      </w:r>
    </w:p>
    <w:p w:rsidR="000A59F3" w:rsidRDefault="000A59F3" w:rsidP="0077241F">
      <w:pPr>
        <w:spacing w:before="120" w:after="120" w:line="240" w:lineRule="auto"/>
        <w:jc w:val="both"/>
      </w:pPr>
    </w:p>
    <w:p w:rsidR="0068254F" w:rsidRPr="00E708A8" w:rsidRDefault="00D47CD3" w:rsidP="0077241F">
      <w:pPr>
        <w:spacing w:before="120" w:after="120" w:line="240" w:lineRule="auto"/>
        <w:jc w:val="both"/>
      </w:pPr>
      <w:r w:rsidRPr="00E708A8">
        <w:rPr>
          <w:b/>
          <w:u w:val="single"/>
        </w:rPr>
        <w:t>Recommandations</w:t>
      </w:r>
      <w:r w:rsidRPr="00E708A8">
        <w:t xml:space="preserve"> : </w:t>
      </w:r>
    </w:p>
    <w:p w:rsidR="0068254F" w:rsidRPr="00E708A8" w:rsidRDefault="00D47CD3" w:rsidP="0077241F">
      <w:pPr>
        <w:spacing w:before="120" w:after="120" w:line="240" w:lineRule="auto"/>
        <w:jc w:val="both"/>
      </w:pPr>
      <w:r w:rsidRPr="00E708A8">
        <w:t xml:space="preserve">C'est pourquoi, le Collectif des ONG </w:t>
      </w:r>
      <w:r w:rsidR="00E708A8">
        <w:t xml:space="preserve">et ISHR </w:t>
      </w:r>
      <w:r w:rsidRPr="00E708A8">
        <w:t>recommande</w:t>
      </w:r>
      <w:r w:rsidR="00E708A8">
        <w:t>nt à l’Etat de Guinée de</w:t>
      </w:r>
      <w:r w:rsidRPr="00E708A8">
        <w:t xml:space="preserve"> : </w:t>
      </w:r>
    </w:p>
    <w:p w:rsidR="005F239E" w:rsidRDefault="00D47CD3" w:rsidP="0077241F">
      <w:pPr>
        <w:pStyle w:val="ListParagraph"/>
        <w:numPr>
          <w:ilvl w:val="0"/>
          <w:numId w:val="6"/>
        </w:numPr>
        <w:spacing w:before="120" w:after="120" w:line="240" w:lineRule="auto"/>
        <w:jc w:val="both"/>
      </w:pPr>
      <w:r w:rsidRPr="00E708A8">
        <w:t xml:space="preserve">Adopter une </w:t>
      </w:r>
      <w:r w:rsidR="005769B8" w:rsidRPr="00E708A8">
        <w:t>l</w:t>
      </w:r>
      <w:r w:rsidRPr="00E708A8">
        <w:t xml:space="preserve">oi organique relative à la promotion et à la protection des </w:t>
      </w:r>
      <w:r w:rsidR="0031563C" w:rsidRPr="00E708A8">
        <w:t>défenseurs</w:t>
      </w:r>
      <w:r w:rsidRPr="00E708A8">
        <w:t xml:space="preserve"> des droits de l'homme </w:t>
      </w:r>
      <w:r w:rsidR="005769B8" w:rsidRPr="00E708A8">
        <w:t>qui tient compte des recommandations de la société civile</w:t>
      </w:r>
      <w:r w:rsidR="005F239E">
        <w:t xml:space="preserve">, notamment à travers la garantie d’un environnement de travail sain et sur pour les défenseurs de l’environnement </w:t>
      </w:r>
      <w:r w:rsidRPr="00E708A8">
        <w:t xml:space="preserve">; </w:t>
      </w:r>
    </w:p>
    <w:p w:rsidR="005F239E" w:rsidRDefault="00D47CD3" w:rsidP="0077241F">
      <w:pPr>
        <w:pStyle w:val="ListParagraph"/>
        <w:numPr>
          <w:ilvl w:val="0"/>
          <w:numId w:val="6"/>
        </w:numPr>
        <w:spacing w:before="120" w:after="120" w:line="240" w:lineRule="auto"/>
        <w:jc w:val="both"/>
      </w:pPr>
      <w:r w:rsidRPr="00E708A8">
        <w:t xml:space="preserve">Permettre aux défenseurs des droits de l'homme d'accéder aux informations publiques dans le cadre de leurs enquêtes </w:t>
      </w:r>
      <w:r w:rsidR="005F239E">
        <w:t>relatives aux contrats signés par l’Etat avec des industries extractives ;</w:t>
      </w:r>
    </w:p>
    <w:p w:rsidR="005F239E" w:rsidRDefault="00D47CD3" w:rsidP="0077241F">
      <w:pPr>
        <w:pStyle w:val="ListParagraph"/>
        <w:numPr>
          <w:ilvl w:val="0"/>
          <w:numId w:val="6"/>
        </w:numPr>
        <w:spacing w:before="120" w:after="120" w:line="240" w:lineRule="auto"/>
        <w:jc w:val="both"/>
      </w:pPr>
      <w:r w:rsidRPr="00E708A8">
        <w:lastRenderedPageBreak/>
        <w:t xml:space="preserve">Amender la loi L/2005 de 2005 relative aux droits des associations en vue d'améliorer un </w:t>
      </w:r>
      <w:r w:rsidR="005F239E">
        <w:t>l’</w:t>
      </w:r>
      <w:r w:rsidRPr="00E708A8">
        <w:t xml:space="preserve">environnement de travail </w:t>
      </w:r>
      <w:r w:rsidR="005F239E">
        <w:t xml:space="preserve">des défenseurs </w:t>
      </w:r>
      <w:r w:rsidRPr="00E708A8">
        <w:t>;</w:t>
      </w:r>
    </w:p>
    <w:p w:rsidR="005F239E" w:rsidRDefault="00D47CD3" w:rsidP="0077241F">
      <w:pPr>
        <w:pStyle w:val="ListParagraph"/>
        <w:numPr>
          <w:ilvl w:val="0"/>
          <w:numId w:val="6"/>
        </w:numPr>
        <w:spacing w:before="120" w:after="120" w:line="240" w:lineRule="auto"/>
        <w:jc w:val="both"/>
      </w:pPr>
      <w:r w:rsidRPr="00E708A8">
        <w:t xml:space="preserve">Veiller au respect des clauses environnementales contenues dans les conventions minières signées entre l'État guinéen et les entreprises minières ; </w:t>
      </w:r>
    </w:p>
    <w:p w:rsidR="005F239E" w:rsidRDefault="00D47CD3" w:rsidP="0077241F">
      <w:pPr>
        <w:pStyle w:val="ListParagraph"/>
        <w:numPr>
          <w:ilvl w:val="0"/>
          <w:numId w:val="6"/>
        </w:numPr>
        <w:spacing w:before="120" w:after="120" w:line="240" w:lineRule="auto"/>
        <w:jc w:val="both"/>
      </w:pPr>
      <w:r w:rsidRPr="00E708A8">
        <w:t>Adopter une loi spécifique obligeant les entreprises minières/</w:t>
      </w:r>
      <w:r w:rsidR="00FE6996" w:rsidRPr="00E708A8">
        <w:t>hydroélectriques</w:t>
      </w:r>
      <w:r w:rsidRPr="00E708A8">
        <w:t xml:space="preserve"> à fournir une indemnisation juste et équitable aux communautés impactés ; </w:t>
      </w:r>
    </w:p>
    <w:p w:rsidR="005F239E" w:rsidRDefault="00D47CD3" w:rsidP="0077241F">
      <w:pPr>
        <w:pStyle w:val="ListParagraph"/>
        <w:numPr>
          <w:ilvl w:val="0"/>
          <w:numId w:val="6"/>
        </w:numPr>
        <w:spacing w:before="120" w:after="120" w:line="240" w:lineRule="auto"/>
        <w:jc w:val="both"/>
      </w:pPr>
      <w:r w:rsidRPr="00E708A8">
        <w:t xml:space="preserve">Permettre l'accès des communautés impactés et les organisations de la société civile aux processus d'évaluation de l'impact environnemental et social ; </w:t>
      </w:r>
    </w:p>
    <w:p w:rsidR="005F239E" w:rsidRDefault="00D47CD3" w:rsidP="0077241F">
      <w:pPr>
        <w:pStyle w:val="ListParagraph"/>
        <w:numPr>
          <w:ilvl w:val="0"/>
          <w:numId w:val="6"/>
        </w:numPr>
        <w:spacing w:before="120" w:after="120" w:line="240" w:lineRule="auto"/>
        <w:jc w:val="both"/>
      </w:pPr>
      <w:r w:rsidRPr="00E708A8">
        <w:t xml:space="preserve">Garantir le respect de la liberté syndicale par l'adoption des lois </w:t>
      </w:r>
      <w:r w:rsidR="00FE6996" w:rsidRPr="00E708A8">
        <w:t>spécifiques</w:t>
      </w:r>
      <w:r w:rsidRPr="00E708A8">
        <w:t xml:space="preserve"> en faveurs des travailleurs syndiqués ; </w:t>
      </w:r>
    </w:p>
    <w:p w:rsidR="005F239E" w:rsidRDefault="00D47CD3" w:rsidP="0077241F">
      <w:pPr>
        <w:pStyle w:val="ListParagraph"/>
        <w:numPr>
          <w:ilvl w:val="0"/>
          <w:numId w:val="6"/>
        </w:numPr>
        <w:spacing w:before="120" w:after="120" w:line="240" w:lineRule="auto"/>
        <w:jc w:val="both"/>
      </w:pPr>
      <w:r w:rsidRPr="00E708A8">
        <w:t xml:space="preserve">Améliorer les conditions de vie et de travail des travailleurs par l'augmentation du salaire de base à partir de 2020 ; </w:t>
      </w:r>
    </w:p>
    <w:p w:rsidR="0068254F" w:rsidRPr="00FE6996" w:rsidRDefault="00D47CD3" w:rsidP="0077241F">
      <w:pPr>
        <w:pStyle w:val="ListParagraph"/>
        <w:numPr>
          <w:ilvl w:val="0"/>
          <w:numId w:val="6"/>
        </w:numPr>
        <w:spacing w:before="120" w:after="120" w:line="240" w:lineRule="auto"/>
        <w:jc w:val="both"/>
      </w:pPr>
      <w:r w:rsidRPr="00E708A8">
        <w:t xml:space="preserve">Accorder une protection juridique et judiciaire aux leaders syndicaux </w:t>
      </w:r>
      <w:r w:rsidR="00150CA3" w:rsidRPr="00E708A8">
        <w:t xml:space="preserve">et </w:t>
      </w:r>
      <w:r w:rsidR="00FE6996" w:rsidRPr="00E708A8">
        <w:t>défenseurs</w:t>
      </w:r>
      <w:r w:rsidR="00150CA3" w:rsidRPr="00E708A8">
        <w:t xml:space="preserve"> des droits humains </w:t>
      </w:r>
      <w:r w:rsidRPr="00E708A8">
        <w:t>dans l'exercice de leur</w:t>
      </w:r>
      <w:r w:rsidR="00FE6996">
        <w:t>s</w:t>
      </w:r>
      <w:r w:rsidRPr="00E708A8">
        <w:t xml:space="preserve"> </w:t>
      </w:r>
      <w:r w:rsidR="00150CA3" w:rsidRPr="00E708A8">
        <w:t>activités comme c’est le cas pour les journaliste</w:t>
      </w:r>
      <w:r w:rsidR="00FE6996">
        <w:t>s</w:t>
      </w:r>
      <w:r w:rsidRPr="00E708A8">
        <w:t>.</w:t>
      </w:r>
    </w:p>
    <w:sectPr w:rsidR="0068254F" w:rsidRPr="00FE6996">
      <w:type w:val="continuous"/>
      <w:pgSz w:w="11906" w:h="16838"/>
      <w:pgMar w:top="1440" w:right="1440" w:bottom="1440" w:left="1440" w:header="708" w:footer="708" w:gutter="0"/>
      <w:cols w:space="720" w:equalWidth="0">
        <w:col w:w="940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8B2" w:rsidRDefault="00AA08B2">
      <w:pPr>
        <w:spacing w:after="0" w:line="240" w:lineRule="auto"/>
      </w:pPr>
      <w:r>
        <w:separator/>
      </w:r>
    </w:p>
  </w:endnote>
  <w:endnote w:type="continuationSeparator" w:id="0">
    <w:p w:rsidR="00AA08B2" w:rsidRDefault="00AA0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779687"/>
      <w:docPartObj>
        <w:docPartGallery w:val="Page Numbers (Bottom of Page)"/>
        <w:docPartUnique/>
      </w:docPartObj>
    </w:sdtPr>
    <w:sdtEndPr/>
    <w:sdtContent>
      <w:sdt>
        <w:sdtPr>
          <w:id w:val="-1769616900"/>
          <w:docPartObj>
            <w:docPartGallery w:val="Page Numbers (Top of Page)"/>
            <w:docPartUnique/>
          </w:docPartObj>
        </w:sdtPr>
        <w:sdtEndPr/>
        <w:sdtContent>
          <w:p w:rsidR="00D9409E" w:rsidRPr="00D9409E" w:rsidRDefault="00D9409E">
            <w:pPr>
              <w:pStyle w:val="Footer"/>
              <w:jc w:val="right"/>
            </w:pPr>
            <w:r w:rsidRPr="0077241F">
              <w:rPr>
                <w:bCs/>
                <w:sz w:val="24"/>
                <w:szCs w:val="24"/>
              </w:rPr>
              <w:fldChar w:fldCharType="begin"/>
            </w:r>
            <w:r w:rsidRPr="0077241F">
              <w:rPr>
                <w:bCs/>
              </w:rPr>
              <w:instrText xml:space="preserve"> PAGE </w:instrText>
            </w:r>
            <w:r w:rsidRPr="0077241F">
              <w:rPr>
                <w:bCs/>
                <w:sz w:val="24"/>
                <w:szCs w:val="24"/>
              </w:rPr>
              <w:fldChar w:fldCharType="separate"/>
            </w:r>
            <w:r w:rsidR="0077241F">
              <w:rPr>
                <w:bCs/>
                <w:noProof/>
              </w:rPr>
              <w:t>1</w:t>
            </w:r>
            <w:r w:rsidRPr="0077241F">
              <w:rPr>
                <w:bCs/>
                <w:sz w:val="24"/>
                <w:szCs w:val="24"/>
              </w:rPr>
              <w:fldChar w:fldCharType="end"/>
            </w:r>
            <w:r w:rsidRPr="00D9409E">
              <w:t xml:space="preserve"> / </w:t>
            </w:r>
            <w:r w:rsidRPr="0077241F">
              <w:rPr>
                <w:bCs/>
                <w:sz w:val="24"/>
                <w:szCs w:val="24"/>
              </w:rPr>
              <w:fldChar w:fldCharType="begin"/>
            </w:r>
            <w:r w:rsidRPr="0077241F">
              <w:rPr>
                <w:bCs/>
              </w:rPr>
              <w:instrText xml:space="preserve"> NUMPAGES  </w:instrText>
            </w:r>
            <w:r w:rsidRPr="0077241F">
              <w:rPr>
                <w:bCs/>
                <w:sz w:val="24"/>
                <w:szCs w:val="24"/>
              </w:rPr>
              <w:fldChar w:fldCharType="separate"/>
            </w:r>
            <w:r w:rsidR="0077241F">
              <w:rPr>
                <w:bCs/>
                <w:noProof/>
              </w:rPr>
              <w:t>5</w:t>
            </w:r>
            <w:r w:rsidRPr="0077241F">
              <w:rPr>
                <w:bCs/>
                <w:sz w:val="24"/>
                <w:szCs w:val="24"/>
              </w:rPr>
              <w:fldChar w:fldCharType="end"/>
            </w:r>
          </w:p>
        </w:sdtContent>
      </w:sdt>
    </w:sdtContent>
  </w:sdt>
  <w:p w:rsidR="00D9409E" w:rsidRPr="00D9409E" w:rsidRDefault="00D94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8B2" w:rsidRDefault="00AA08B2">
      <w:pPr>
        <w:spacing w:after="0" w:line="240" w:lineRule="auto"/>
      </w:pPr>
      <w:r>
        <w:separator/>
      </w:r>
    </w:p>
  </w:footnote>
  <w:footnote w:type="continuationSeparator" w:id="0">
    <w:p w:rsidR="00AA08B2" w:rsidRDefault="00AA08B2">
      <w:pPr>
        <w:spacing w:after="0" w:line="240" w:lineRule="auto"/>
      </w:pPr>
      <w:r>
        <w:continuationSeparator/>
      </w:r>
    </w:p>
  </w:footnote>
  <w:footnote w:id="1">
    <w:p w:rsidR="000A27FD" w:rsidRPr="0077241F" w:rsidRDefault="000A27FD">
      <w:pPr>
        <w:pStyle w:val="FootnoteText"/>
        <w:rPr>
          <w:lang w:val="fr-CH"/>
        </w:rPr>
      </w:pPr>
      <w:r>
        <w:rPr>
          <w:rStyle w:val="FootnoteReference"/>
        </w:rPr>
        <w:footnoteRef/>
      </w:r>
      <w:r>
        <w:t xml:space="preserve"> </w:t>
      </w:r>
      <w:hyperlink r:id="rId1" w:history="1">
        <w:r w:rsidRPr="001E1A78">
          <w:rPr>
            <w:rStyle w:val="Hyperlink"/>
          </w:rPr>
          <w:t>https://www.lemonde.fr/afrique/article/2019/04/04/en-guinee-le-boom-de-la-bauxite-laisse-un-gout-amer-aux-paysans_5445817_3212.html</w:t>
        </w:r>
      </w:hyperlink>
      <w:r>
        <w:t xml:space="preserve"> </w:t>
      </w:r>
    </w:p>
  </w:footnote>
  <w:footnote w:id="2">
    <w:p w:rsidR="00012FA0" w:rsidRPr="0077241F" w:rsidRDefault="00012FA0">
      <w:pPr>
        <w:pStyle w:val="FootnoteText"/>
        <w:rPr>
          <w:lang w:val="fr-CH"/>
        </w:rPr>
      </w:pPr>
      <w:r>
        <w:rPr>
          <w:rStyle w:val="FootnoteReference"/>
        </w:rPr>
        <w:footnoteRef/>
      </w:r>
      <w:r>
        <w:t xml:space="preserve"> </w:t>
      </w:r>
      <w:hyperlink r:id="rId2" w:history="1">
        <w:r w:rsidRPr="001E1A78">
          <w:rPr>
            <w:rStyle w:val="Hyperlink"/>
          </w:rPr>
          <w:t>http://www.ishr.ch/news/guinea-first-step-towards-legal-recognition-and-protection-defenders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CD3" w:rsidRDefault="00C51FF3">
    <w:pPr>
      <w:pBdr>
        <w:top w:val="nil"/>
        <w:left w:val="nil"/>
        <w:bottom w:val="nil"/>
        <w:right w:val="nil"/>
        <w:between w:val="nil"/>
      </w:pBdr>
      <w:tabs>
        <w:tab w:val="center" w:pos="4513"/>
        <w:tab w:val="right" w:pos="9026"/>
      </w:tabs>
      <w:spacing w:after="0" w:line="240" w:lineRule="auto"/>
      <w:rPr>
        <w:color w:val="000000"/>
      </w:rPr>
    </w:pPr>
    <w:r>
      <w:rPr>
        <w:noProof/>
        <w:lang w:eastAsia="fr-FR"/>
      </w:rPr>
      <w:t xml:space="preserve">         </w:t>
    </w:r>
    <w:r>
      <w:rPr>
        <w:color w:val="000000"/>
      </w:rPr>
      <w:t xml:space="preserve"> </w:t>
    </w:r>
    <w:r>
      <w:rPr>
        <w:noProof/>
        <w:lang w:eastAsia="fr-F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94E29"/>
    <w:multiLevelType w:val="multilevel"/>
    <w:tmpl w:val="7B32B412"/>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3B7BCB"/>
    <w:multiLevelType w:val="multilevel"/>
    <w:tmpl w:val="BF768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653088"/>
    <w:multiLevelType w:val="multilevel"/>
    <w:tmpl w:val="41560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AF6488"/>
    <w:multiLevelType w:val="multilevel"/>
    <w:tmpl w:val="076C38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A2D6FE8"/>
    <w:multiLevelType w:val="hybridMultilevel"/>
    <w:tmpl w:val="D84E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9E24B2"/>
    <w:multiLevelType w:val="multilevel"/>
    <w:tmpl w:val="CD942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54F"/>
    <w:rsid w:val="00012FA0"/>
    <w:rsid w:val="000A27FD"/>
    <w:rsid w:val="000A59F3"/>
    <w:rsid w:val="00150CA3"/>
    <w:rsid w:val="00162D4B"/>
    <w:rsid w:val="001762CF"/>
    <w:rsid w:val="00181DA3"/>
    <w:rsid w:val="002038FD"/>
    <w:rsid w:val="00230A03"/>
    <w:rsid w:val="0031563C"/>
    <w:rsid w:val="00372020"/>
    <w:rsid w:val="003F3818"/>
    <w:rsid w:val="004827B6"/>
    <w:rsid w:val="0049233E"/>
    <w:rsid w:val="00492E3A"/>
    <w:rsid w:val="004E56A0"/>
    <w:rsid w:val="00504B96"/>
    <w:rsid w:val="00536D1A"/>
    <w:rsid w:val="005769B8"/>
    <w:rsid w:val="005F239E"/>
    <w:rsid w:val="00617FA9"/>
    <w:rsid w:val="00682524"/>
    <w:rsid w:val="0068254F"/>
    <w:rsid w:val="006B62CC"/>
    <w:rsid w:val="00771525"/>
    <w:rsid w:val="0077241F"/>
    <w:rsid w:val="007B48E3"/>
    <w:rsid w:val="00817DE1"/>
    <w:rsid w:val="00846DCF"/>
    <w:rsid w:val="008D794D"/>
    <w:rsid w:val="009D7880"/>
    <w:rsid w:val="00A01C73"/>
    <w:rsid w:val="00A120E4"/>
    <w:rsid w:val="00A772CC"/>
    <w:rsid w:val="00AA08B2"/>
    <w:rsid w:val="00C1474E"/>
    <w:rsid w:val="00C51FF3"/>
    <w:rsid w:val="00C60CB0"/>
    <w:rsid w:val="00D47CD3"/>
    <w:rsid w:val="00D9409E"/>
    <w:rsid w:val="00DC6D1D"/>
    <w:rsid w:val="00E20F75"/>
    <w:rsid w:val="00E31376"/>
    <w:rsid w:val="00E51DEA"/>
    <w:rsid w:val="00E708A8"/>
    <w:rsid w:val="00E84173"/>
    <w:rsid w:val="00EB1724"/>
    <w:rsid w:val="00FC43F4"/>
    <w:rsid w:val="00FE4619"/>
    <w:rsid w:val="00FE69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CE3AFD-B5D1-4D10-8EFB-791D0E8D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fr-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18B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fr-CH"/>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ListParagraph">
    <w:name w:val="List Paragraph"/>
    <w:aliases w:val="References,Liste couleur - Accent 11,List Paragraph (numbered (a)),Paragraphe de liste1"/>
    <w:basedOn w:val="Normal"/>
    <w:link w:val="ListParagraphChar"/>
    <w:uiPriority w:val="34"/>
    <w:qFormat/>
    <w:rsid w:val="001F1E31"/>
    <w:pPr>
      <w:ind w:left="720"/>
      <w:contextualSpacing/>
    </w:pPr>
  </w:style>
  <w:style w:type="paragraph" w:styleId="Header">
    <w:name w:val="header"/>
    <w:basedOn w:val="Normal"/>
    <w:link w:val="HeaderChar"/>
    <w:uiPriority w:val="99"/>
    <w:unhideWhenUsed/>
    <w:rsid w:val="00E51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80B"/>
  </w:style>
  <w:style w:type="paragraph" w:styleId="Footer">
    <w:name w:val="footer"/>
    <w:basedOn w:val="Normal"/>
    <w:link w:val="FooterChar"/>
    <w:uiPriority w:val="99"/>
    <w:unhideWhenUsed/>
    <w:rsid w:val="00E51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80B"/>
  </w:style>
  <w:style w:type="character" w:customStyle="1" w:styleId="Heading1Char">
    <w:name w:val="Heading 1 Char"/>
    <w:basedOn w:val="DefaultParagraphFont"/>
    <w:link w:val="Heading1"/>
    <w:uiPriority w:val="9"/>
    <w:rsid w:val="00A618B9"/>
    <w:rPr>
      <w:rFonts w:asciiTheme="majorHAnsi" w:eastAsiaTheme="majorEastAsia" w:hAnsiTheme="majorHAnsi" w:cstheme="majorBidi"/>
      <w:color w:val="2F5496" w:themeColor="accent1" w:themeShade="BF"/>
      <w:sz w:val="32"/>
      <w:szCs w:val="32"/>
      <w:lang w:val="fr-CH"/>
    </w:rPr>
  </w:style>
  <w:style w:type="character" w:styleId="Hyperlink">
    <w:name w:val="Hyperlink"/>
    <w:basedOn w:val="DefaultParagraphFont"/>
    <w:uiPriority w:val="99"/>
    <w:unhideWhenUsed/>
    <w:rsid w:val="00A618B9"/>
    <w:rPr>
      <w:color w:val="0070C0"/>
      <w:u w:val="single"/>
    </w:rPr>
  </w:style>
  <w:style w:type="character" w:customStyle="1" w:styleId="ListParagraphChar">
    <w:name w:val="List Paragraph Char"/>
    <w:aliases w:val="References Char,Liste couleur - Accent 11 Char,List Paragraph (numbered (a)) Char,Paragraphe de liste1 Char"/>
    <w:link w:val="ListParagraph"/>
    <w:uiPriority w:val="34"/>
    <w:locked/>
    <w:rsid w:val="00A618B9"/>
  </w:style>
  <w:style w:type="paragraph" w:customStyle="1" w:styleId="Default">
    <w:name w:val="Default"/>
    <w:rsid w:val="00AE5821"/>
    <w:pPr>
      <w:autoSpaceDE w:val="0"/>
      <w:autoSpaceDN w:val="0"/>
      <w:adjustRightInd w:val="0"/>
      <w:spacing w:after="0" w:line="240" w:lineRule="auto"/>
    </w:pPr>
    <w:rPr>
      <w:rFonts w:ascii="Times New Roman" w:hAnsi="Times New Roman" w:cs="Times New Roman"/>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492E3A"/>
    <w:rPr>
      <w:color w:val="605E5C"/>
      <w:shd w:val="clear" w:color="auto" w:fill="E1DFDD"/>
    </w:rPr>
  </w:style>
  <w:style w:type="paragraph" w:styleId="BalloonText">
    <w:name w:val="Balloon Text"/>
    <w:basedOn w:val="Normal"/>
    <w:link w:val="BalloonTextChar"/>
    <w:uiPriority w:val="99"/>
    <w:semiHidden/>
    <w:unhideWhenUsed/>
    <w:rsid w:val="00C51F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FF3"/>
    <w:rPr>
      <w:rFonts w:ascii="Segoe UI" w:hAnsi="Segoe UI" w:cs="Segoe UI"/>
      <w:sz w:val="18"/>
      <w:szCs w:val="18"/>
    </w:rPr>
  </w:style>
  <w:style w:type="paragraph" w:styleId="FootnoteText">
    <w:name w:val="footnote text"/>
    <w:basedOn w:val="Normal"/>
    <w:link w:val="FootnoteTextChar"/>
    <w:uiPriority w:val="99"/>
    <w:semiHidden/>
    <w:unhideWhenUsed/>
    <w:rsid w:val="000A2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27FD"/>
    <w:rPr>
      <w:sz w:val="20"/>
      <w:szCs w:val="20"/>
    </w:rPr>
  </w:style>
  <w:style w:type="character" w:styleId="FootnoteReference">
    <w:name w:val="footnote reference"/>
    <w:basedOn w:val="DefaultParagraphFont"/>
    <w:uiPriority w:val="99"/>
    <w:semiHidden/>
    <w:unhideWhenUsed/>
    <w:rsid w:val="000A27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fatou.hann@gmail.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a.etong@ishr.ch" TargetMode="External"/><Relationship Id="rId10" Type="http://schemas.openxmlformats.org/officeDocument/2006/relationships/hyperlink" Target="http://www.ishr.ch"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owmamou@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shr.ch/news/guinea-first-step-towards-legal-recognition-and-protection-defenders" TargetMode="External"/><Relationship Id="rId1" Type="http://schemas.openxmlformats.org/officeDocument/2006/relationships/hyperlink" Target="https://www.lemonde.fr/afrique/article/2019/04/04/en-guinee-le-boom-de-la-bauxite-laisse-un-gout-amer-aux-paysans_5445817_32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3593E-310D-43D9-8954-0A1DAF735CF0}">
  <ds:schemaRefs>
    <ds:schemaRef ds:uri="http://schemas.openxmlformats.org/officeDocument/2006/bibliography"/>
  </ds:schemaRefs>
</ds:datastoreItem>
</file>

<file path=customXml/itemProps2.xml><?xml version="1.0" encoding="utf-8"?>
<ds:datastoreItem xmlns:ds="http://schemas.openxmlformats.org/officeDocument/2006/customXml" ds:itemID="{94975710-9C7E-4D37-8660-87BDECED5204}"/>
</file>

<file path=customXml/itemProps3.xml><?xml version="1.0" encoding="utf-8"?>
<ds:datastoreItem xmlns:ds="http://schemas.openxmlformats.org/officeDocument/2006/customXml" ds:itemID="{C2FA8CB9-4CF5-4CA1-AA10-7A79A04B4D53}"/>
</file>

<file path=customXml/itemProps4.xml><?xml version="1.0" encoding="utf-8"?>
<ds:datastoreItem xmlns:ds="http://schemas.openxmlformats.org/officeDocument/2006/customXml" ds:itemID="{C9DB760E-5EA4-4C2D-937C-37F753C5A427}"/>
</file>

<file path=docProps/app.xml><?xml version="1.0" encoding="utf-8"?>
<Properties xmlns="http://schemas.openxmlformats.org/officeDocument/2006/extended-properties" xmlns:vt="http://schemas.openxmlformats.org/officeDocument/2006/docPropsVTypes">
  <Template>Normal.dotm</Template>
  <TotalTime>59</TotalTime>
  <Pages>5</Pages>
  <Words>2059</Words>
  <Characters>11328</Characters>
  <Application>Microsoft Office Word</Application>
  <DocSecurity>0</DocSecurity>
  <Lines>94</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Adelaide Etong</dc:creator>
  <cp:lastModifiedBy>Vincent Ploton</cp:lastModifiedBy>
  <cp:revision>21</cp:revision>
  <dcterms:created xsi:type="dcterms:W3CDTF">2020-01-24T14:47:00Z</dcterms:created>
  <dcterms:modified xsi:type="dcterms:W3CDTF">2020-01-27T08:54:00Z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