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3104" w14:textId="0F98B763" w:rsidR="00A82D1B" w:rsidRPr="00A82D1B" w:rsidRDefault="00A82D1B" w:rsidP="00A82D1B">
      <w:pPr>
        <w:pStyle w:val="BFrontcovermaintitle"/>
        <w:rPr>
          <w:bCs/>
          <w:sz w:val="72"/>
          <w:szCs w:val="72"/>
          <w:shd w:val="clear" w:color="auto" w:fill="FFFF00"/>
        </w:rPr>
      </w:pPr>
      <w:r w:rsidRPr="00A82D1B">
        <w:rPr>
          <w:bCs/>
          <w:sz w:val="72"/>
          <w:szCs w:val="72"/>
          <w:shd w:val="clear" w:color="auto" w:fill="FFFF00"/>
        </w:rPr>
        <w:t>PARAGUAY</w:t>
      </w:r>
    </w:p>
    <w:p w14:paraId="6E20BB51" w14:textId="68BBF67E" w:rsidR="00A82D1B" w:rsidRPr="00A82D1B" w:rsidRDefault="00A82D1B" w:rsidP="001E38A6">
      <w:pPr>
        <w:pStyle w:val="BSubtitle"/>
        <w:spacing w:line="240" w:lineRule="auto"/>
        <w:rPr>
          <w:bCs w:val="0"/>
        </w:rPr>
      </w:pPr>
      <w:r w:rsidRPr="00A82D1B">
        <w:rPr>
          <w:bCs w:val="0"/>
        </w:rPr>
        <w:t xml:space="preserve">INFORME AL COMITÉ </w:t>
      </w:r>
      <w:r w:rsidR="00524F2F" w:rsidRPr="00524F2F">
        <w:rPr>
          <w:bCs w:val="0"/>
        </w:rPr>
        <w:t>para la Eliminación de la Discriminación contra la Mujer</w:t>
      </w:r>
      <w:r w:rsidR="003E4FBC">
        <w:rPr>
          <w:bCs w:val="0"/>
        </w:rPr>
        <w:t xml:space="preserve"> DE LA ONU</w:t>
      </w:r>
    </w:p>
    <w:p w14:paraId="78BF0357" w14:textId="3F33DC84" w:rsidR="00A82D1B" w:rsidRPr="00B04447" w:rsidRDefault="00A82D1B" w:rsidP="001E38A6">
      <w:pPr>
        <w:pStyle w:val="BSubtitle"/>
        <w:spacing w:line="240" w:lineRule="auto"/>
        <w:rPr>
          <w:bCs w:val="0"/>
        </w:rPr>
      </w:pPr>
      <w:r w:rsidRPr="00B04447">
        <w:rPr>
          <w:bCs w:val="0"/>
        </w:rPr>
        <w:t>9</w:t>
      </w:r>
      <w:r w:rsidR="008A7D12" w:rsidRPr="00B04447">
        <w:rPr>
          <w:bCs w:val="0"/>
        </w:rPr>
        <w:t>3</w:t>
      </w:r>
      <w:r w:rsidR="008A7D12" w:rsidRPr="00B04447">
        <w:rPr>
          <w:bCs w:val="0"/>
          <w:vertAlign w:val="superscript"/>
        </w:rPr>
        <w:t>o</w:t>
      </w:r>
      <w:r w:rsidR="008A7D12" w:rsidRPr="00B04447">
        <w:rPr>
          <w:bCs w:val="0"/>
        </w:rPr>
        <w:t xml:space="preserve"> Grupo de trabajo </w:t>
      </w:r>
      <w:r w:rsidR="00B470B6" w:rsidRPr="00B470B6">
        <w:rPr>
          <w:bCs w:val="0"/>
        </w:rPr>
        <w:t>anterior al período de sesiones</w:t>
      </w:r>
      <w:r w:rsidR="004E6E35">
        <w:rPr>
          <w:bCs w:val="0"/>
        </w:rPr>
        <w:t>, LISTA DE CUESTIONES</w:t>
      </w:r>
    </w:p>
    <w:p w14:paraId="564E22A2" w14:textId="77777777" w:rsidR="00026682" w:rsidRPr="00B04447" w:rsidRDefault="00026682" w:rsidP="008F20A9">
      <w:pPr>
        <w:pStyle w:val="BSubtitle"/>
      </w:pPr>
    </w:p>
    <w:p w14:paraId="459641EC" w14:textId="77777777" w:rsidR="00065FFC" w:rsidRPr="00B04447" w:rsidRDefault="00065FFC" w:rsidP="00B0223B"/>
    <w:p w14:paraId="306BCFC7" w14:textId="58CED987" w:rsidR="00065FFC" w:rsidRPr="00B04447" w:rsidRDefault="00663DF1" w:rsidP="00B0223B">
      <w:r w:rsidRPr="0009139D">
        <w:rPr>
          <w:rStyle w:val="FootnoteTextChar"/>
          <w:noProof/>
          <w:sz w:val="36"/>
          <w:szCs w:val="36"/>
        </w:rPr>
        <w:drawing>
          <wp:anchor distT="0" distB="144145" distL="114300" distR="114300" simplePos="0" relativeHeight="251658249" behindDoc="1" locked="1" layoutInCell="1" allowOverlap="1" wp14:anchorId="127BE40A" wp14:editId="6A408779">
            <wp:simplePos x="0" y="0"/>
            <wp:positionH relativeFrom="margin">
              <wp:align>center</wp:align>
            </wp:positionH>
            <wp:positionV relativeFrom="margin">
              <wp:align>center</wp:align>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svg="http://schemas.microsoft.com/office/drawing/2016/SVG/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Pr="00524F2F" w:rsidRDefault="00065FFC" w:rsidP="00065FFC">
      <w:pPr>
        <w:pStyle w:val="BContentsheading"/>
        <w:rPr>
          <w:lang w:val="en-US"/>
        </w:rPr>
      </w:pPr>
      <w:r w:rsidRPr="00524F2F">
        <w:rPr>
          <w:lang w:val="en-US"/>
        </w:rPr>
        <w:lastRenderedPageBreak/>
        <w:t>Índice</w:t>
      </w:r>
    </w:p>
    <w:sdt>
      <w:sdtPr>
        <w:rPr>
          <w:rFonts w:ascii="Amnesty Trade Gothic Light" w:eastAsiaTheme="minorEastAsia"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1B92C838" w:rsidR="00EE5B8A" w:rsidRDefault="00EE5B8A">
          <w:pPr>
            <w:pStyle w:val="TOCHeading"/>
          </w:pPr>
        </w:p>
        <w:p w14:paraId="209F50B8" w14:textId="396F7781" w:rsidR="00A100C7" w:rsidRDefault="00EE5B8A">
          <w:pPr>
            <w:pStyle w:val="TOC1"/>
            <w:rPr>
              <w:rFonts w:asciiTheme="minorHAnsi" w:eastAsiaTheme="minorEastAsia" w:hAnsiTheme="minorHAnsi" w:cstheme="minorBidi"/>
              <w:b w:val="0"/>
              <w:bCs w:val="0"/>
              <w:caps w:val="0"/>
              <w:color w:val="auto"/>
              <w:kern w:val="2"/>
              <w:sz w:val="24"/>
              <w:szCs w:val="24"/>
              <w:u w:val="none"/>
              <w:lang w:val="es-PY" w:eastAsia="es-PY"/>
              <w14:ligatures w14:val="standardContextual"/>
            </w:rPr>
          </w:pPr>
          <w:r>
            <w:fldChar w:fldCharType="begin"/>
          </w:r>
          <w:r>
            <w:instrText xml:space="preserve"> TOC \o "1-3" \h \z \u </w:instrText>
          </w:r>
          <w:r>
            <w:fldChar w:fldCharType="separate"/>
          </w:r>
          <w:hyperlink w:anchor="_Toc198130192" w:history="1">
            <w:r w:rsidR="00A100C7" w:rsidRPr="007E7C1A">
              <w:rPr>
                <w:rStyle w:val="Hyperlink"/>
              </w:rPr>
              <w:t>1.</w:t>
            </w:r>
            <w:r w:rsidR="00A100C7">
              <w:rPr>
                <w:rFonts w:asciiTheme="minorHAnsi" w:eastAsiaTheme="minorEastAsia" w:hAnsiTheme="minorHAnsi" w:cstheme="minorBidi"/>
                <w:b w:val="0"/>
                <w:bCs w:val="0"/>
                <w:caps w:val="0"/>
                <w:color w:val="auto"/>
                <w:kern w:val="2"/>
                <w:sz w:val="24"/>
                <w:szCs w:val="24"/>
                <w:u w:val="none"/>
                <w:lang w:val="es-PY" w:eastAsia="es-PY"/>
                <w14:ligatures w14:val="standardContextual"/>
              </w:rPr>
              <w:tab/>
            </w:r>
            <w:r w:rsidR="00A100C7" w:rsidRPr="007E7C1A">
              <w:rPr>
                <w:rStyle w:val="Hyperlink"/>
              </w:rPr>
              <w:t>SALUD Y EMBARAZO DE NIÑAS Y ADOLESCENTES (ARTíCuLos 10 y 12)</w:t>
            </w:r>
            <w:r w:rsidR="00A100C7">
              <w:rPr>
                <w:webHidden/>
              </w:rPr>
              <w:tab/>
            </w:r>
            <w:r w:rsidR="00A100C7">
              <w:rPr>
                <w:webHidden/>
              </w:rPr>
              <w:fldChar w:fldCharType="begin"/>
            </w:r>
            <w:r w:rsidR="00A100C7">
              <w:rPr>
                <w:webHidden/>
              </w:rPr>
              <w:instrText xml:space="preserve"> PAGEREF _Toc198130192 \h </w:instrText>
            </w:r>
            <w:r w:rsidR="00A100C7">
              <w:rPr>
                <w:webHidden/>
              </w:rPr>
            </w:r>
            <w:r w:rsidR="00A100C7">
              <w:rPr>
                <w:webHidden/>
              </w:rPr>
              <w:fldChar w:fldCharType="separate"/>
            </w:r>
            <w:r w:rsidR="00C64274">
              <w:rPr>
                <w:webHidden/>
              </w:rPr>
              <w:t>3</w:t>
            </w:r>
            <w:r w:rsidR="00A100C7">
              <w:rPr>
                <w:webHidden/>
              </w:rPr>
              <w:fldChar w:fldCharType="end"/>
            </w:r>
          </w:hyperlink>
        </w:p>
        <w:p w14:paraId="1AE86DED" w14:textId="5A3F12DD" w:rsidR="00A100C7" w:rsidRDefault="00A100C7">
          <w:pPr>
            <w:pStyle w:val="TOC1"/>
            <w:rPr>
              <w:rFonts w:asciiTheme="minorHAnsi" w:eastAsiaTheme="minorEastAsia" w:hAnsiTheme="minorHAnsi" w:cstheme="minorBidi"/>
              <w:b w:val="0"/>
              <w:bCs w:val="0"/>
              <w:caps w:val="0"/>
              <w:color w:val="auto"/>
              <w:kern w:val="2"/>
              <w:sz w:val="24"/>
              <w:szCs w:val="24"/>
              <w:u w:val="none"/>
              <w:lang w:val="es-PY" w:eastAsia="es-PY"/>
              <w14:ligatures w14:val="standardContextual"/>
            </w:rPr>
          </w:pPr>
          <w:hyperlink w:anchor="_Toc198130193" w:history="1">
            <w:r w:rsidRPr="007E7C1A">
              <w:rPr>
                <w:rStyle w:val="Hyperlink"/>
              </w:rPr>
              <w:t>2.</w:t>
            </w:r>
            <w:r>
              <w:rPr>
                <w:rFonts w:asciiTheme="minorHAnsi" w:eastAsiaTheme="minorEastAsia" w:hAnsiTheme="minorHAnsi" w:cstheme="minorBidi"/>
                <w:b w:val="0"/>
                <w:bCs w:val="0"/>
                <w:caps w:val="0"/>
                <w:color w:val="auto"/>
                <w:kern w:val="2"/>
                <w:sz w:val="24"/>
                <w:szCs w:val="24"/>
                <w:u w:val="none"/>
                <w:lang w:val="es-PY" w:eastAsia="es-PY"/>
                <w14:ligatures w14:val="standardContextual"/>
              </w:rPr>
              <w:tab/>
            </w:r>
            <w:r w:rsidRPr="007E7C1A">
              <w:rPr>
                <w:rStyle w:val="Hyperlink"/>
              </w:rPr>
              <w:t>Atención primaria de la salud (APS) (ARTíCuLOs 12, 14 y recomendación general n° 39)</w:t>
            </w:r>
            <w:r>
              <w:rPr>
                <w:webHidden/>
              </w:rPr>
              <w:tab/>
            </w:r>
            <w:r>
              <w:rPr>
                <w:webHidden/>
              </w:rPr>
              <w:fldChar w:fldCharType="begin"/>
            </w:r>
            <w:r>
              <w:rPr>
                <w:webHidden/>
              </w:rPr>
              <w:instrText xml:space="preserve"> PAGEREF _Toc198130193 \h </w:instrText>
            </w:r>
            <w:r>
              <w:rPr>
                <w:webHidden/>
              </w:rPr>
            </w:r>
            <w:r>
              <w:rPr>
                <w:webHidden/>
              </w:rPr>
              <w:fldChar w:fldCharType="separate"/>
            </w:r>
            <w:r w:rsidR="00C64274">
              <w:rPr>
                <w:webHidden/>
              </w:rPr>
              <w:t>4</w:t>
            </w:r>
            <w:r>
              <w:rPr>
                <w:webHidden/>
              </w:rPr>
              <w:fldChar w:fldCharType="end"/>
            </w:r>
          </w:hyperlink>
        </w:p>
        <w:p w14:paraId="61CDD0B9" w14:textId="29C81BC1" w:rsidR="00A100C7" w:rsidRDefault="00A100C7">
          <w:pPr>
            <w:pStyle w:val="TOC1"/>
            <w:rPr>
              <w:rFonts w:asciiTheme="minorHAnsi" w:eastAsiaTheme="minorEastAsia" w:hAnsiTheme="minorHAnsi" w:cstheme="minorBidi"/>
              <w:b w:val="0"/>
              <w:bCs w:val="0"/>
              <w:caps w:val="0"/>
              <w:color w:val="auto"/>
              <w:kern w:val="2"/>
              <w:sz w:val="24"/>
              <w:szCs w:val="24"/>
              <w:u w:val="none"/>
              <w:lang w:val="es-PY" w:eastAsia="es-PY"/>
              <w14:ligatures w14:val="standardContextual"/>
            </w:rPr>
          </w:pPr>
          <w:hyperlink w:anchor="_Toc198130194" w:history="1">
            <w:r w:rsidRPr="007E7C1A">
              <w:rPr>
                <w:rStyle w:val="Hyperlink"/>
              </w:rPr>
              <w:t>3.</w:t>
            </w:r>
            <w:r>
              <w:rPr>
                <w:rFonts w:asciiTheme="minorHAnsi" w:eastAsiaTheme="minorEastAsia" w:hAnsiTheme="minorHAnsi" w:cstheme="minorBidi"/>
                <w:b w:val="0"/>
                <w:bCs w:val="0"/>
                <w:caps w:val="0"/>
                <w:color w:val="auto"/>
                <w:kern w:val="2"/>
                <w:sz w:val="24"/>
                <w:szCs w:val="24"/>
                <w:u w:val="none"/>
                <w:lang w:val="es-PY" w:eastAsia="es-PY"/>
                <w14:ligatures w14:val="standardContextual"/>
              </w:rPr>
              <w:tab/>
            </w:r>
            <w:r w:rsidRPr="007E7C1A">
              <w:rPr>
                <w:rStyle w:val="Hyperlink"/>
              </w:rPr>
              <w:t>Violencia basada en género contra las mujeres (artículos 1, 2 y RECOMENDACIÓn general n° 35)</w:t>
            </w:r>
            <w:r>
              <w:rPr>
                <w:webHidden/>
              </w:rPr>
              <w:tab/>
            </w:r>
            <w:r>
              <w:rPr>
                <w:webHidden/>
              </w:rPr>
              <w:fldChar w:fldCharType="begin"/>
            </w:r>
            <w:r>
              <w:rPr>
                <w:webHidden/>
              </w:rPr>
              <w:instrText xml:space="preserve"> PAGEREF _Toc198130194 \h </w:instrText>
            </w:r>
            <w:r>
              <w:rPr>
                <w:webHidden/>
              </w:rPr>
            </w:r>
            <w:r>
              <w:rPr>
                <w:webHidden/>
              </w:rPr>
              <w:fldChar w:fldCharType="separate"/>
            </w:r>
            <w:r w:rsidR="00C64274">
              <w:rPr>
                <w:webHidden/>
              </w:rPr>
              <w:t>6</w:t>
            </w:r>
            <w:r>
              <w:rPr>
                <w:webHidden/>
              </w:rPr>
              <w:fldChar w:fldCharType="end"/>
            </w:r>
          </w:hyperlink>
        </w:p>
        <w:p w14:paraId="202B7A34" w14:textId="43C4C6AC" w:rsidR="00EE5B8A" w:rsidRDefault="00EE5B8A">
          <w:r>
            <w:rPr>
              <w:b/>
              <w:bCs/>
            </w:rPr>
            <w:fldChar w:fldCharType="end"/>
          </w:r>
        </w:p>
      </w:sdtContent>
    </w:sdt>
    <w:p w14:paraId="10F6EAF3" w14:textId="6E5D4EEC" w:rsidR="00015532" w:rsidRDefault="005C0476" w:rsidP="001153D5">
      <w:pPr>
        <w:pStyle w:val="BBodyText"/>
        <w:sectPr w:rsidR="00015532" w:rsidSect="005755FD">
          <w:footerReference w:type="default" r:id="rId9"/>
          <w:footerReference w:type="first" r:id="rId10"/>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58240" behindDoc="0" locked="1" layoutInCell="1" allowOverlap="0" wp14:anchorId="0CA99CDD" wp14:editId="73C092CD">
                <wp:simplePos x="0" y="0"/>
                <wp:positionH relativeFrom="margin">
                  <wp:posOffset>2625090</wp:posOffset>
                </wp:positionH>
                <wp:positionV relativeFrom="page">
                  <wp:posOffset>6511290</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6A32DAAA" w14:textId="0EC3EBAD" w:rsidR="00D8218F" w:rsidRPr="00D8218F" w:rsidRDefault="00416FE7" w:rsidP="00B04447">
                            <w:pPr>
                              <w:pStyle w:val="Babstract"/>
                              <w:rPr>
                                <w:bCs/>
                              </w:rPr>
                            </w:pPr>
                            <w:r w:rsidRPr="00A82D1B">
                              <w:t xml:space="preserve">Amnistía Internacional remite a la atención del Comité </w:t>
                            </w:r>
                            <w:r w:rsidR="008A5C22">
                              <w:t>este</w:t>
                            </w:r>
                            <w:r w:rsidRPr="00A82D1B">
                              <w:t xml:space="preserve"> informe</w:t>
                            </w:r>
                            <w:r>
                              <w:t xml:space="preserve"> para su examen por el </w:t>
                            </w:r>
                            <w:r w:rsidR="00A74FC5" w:rsidRPr="00A74FC5">
                              <w:t>grupo de trabajo anterior al período de sesiones</w:t>
                            </w:r>
                            <w:r w:rsidR="00A74FC5">
                              <w:t xml:space="preserve"> </w:t>
                            </w:r>
                            <w:r>
                              <w:t>(93 PSWG)</w:t>
                            </w:r>
                            <w:r w:rsidRPr="00A82D1B">
                              <w:t>, en el marco de</w:t>
                            </w:r>
                            <w:r w:rsidR="00683031">
                              <w:t xml:space="preserve"> </w:t>
                            </w:r>
                            <w:r w:rsidRPr="00A82D1B">
                              <w:t>l</w:t>
                            </w:r>
                            <w:r w:rsidR="00683031">
                              <w:t>a adopción de la lista de cuestiones para el</w:t>
                            </w:r>
                            <w:r w:rsidRPr="00A82D1B">
                              <w:t xml:space="preserve"> examen de</w:t>
                            </w:r>
                            <w:r>
                              <w:t>l octavo</w:t>
                            </w:r>
                            <w:r w:rsidRPr="00A82D1B">
                              <w:t xml:space="preserve"> informe periódico</w:t>
                            </w:r>
                            <w:r w:rsidR="00683031">
                              <w:t>.</w:t>
                            </w:r>
                          </w:p>
                          <w:p w14:paraId="65CFC249" w14:textId="755F817F" w:rsidR="005C0476" w:rsidRPr="00D8218F" w:rsidRDefault="005C0476" w:rsidP="005C0476">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99CDD" id="_x0000_t202" coordsize="21600,21600" o:spt="202" path="m,l,21600r21600,l21600,xe">
                <v:stroke joinstyle="miter"/>
                <v:path gradientshapeok="t" o:connecttype="rect"/>
              </v:shapetype>
              <v:shape id="Text Box 7" o:spid="_x0000_s1026" type="#_x0000_t202" style="position:absolute;margin-left:206.7pt;margin-top:512.7pt;width:240.85pt;height:22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" o:allowoverlap="f" fillcolor="window" stroked="f" strokeweight=".5pt">
                <o:lock v:ext="edit" aspectratio="t"/>
                <v:textbox>
                  <w:txbxContent>
                    <w:p w14:paraId="6A32DAAA" w14:textId="0EC3EBAD" w:rsidR="00D8218F" w:rsidRPr="00D8218F" w:rsidRDefault="00416FE7" w:rsidP="00B04447">
                      <w:pPr>
                        <w:pStyle w:val="Babstract"/>
                        <w:rPr>
                          <w:bCs/>
                        </w:rPr>
                      </w:pPr>
                      <w:r w:rsidRPr="00A82D1B">
                        <w:t xml:space="preserve">Amnistía Internacional remite a la atención del Comité </w:t>
                      </w:r>
                      <w:r w:rsidR="008A5C22">
                        <w:t>este</w:t>
                      </w:r>
                      <w:r w:rsidRPr="00A82D1B">
                        <w:t xml:space="preserve"> informe</w:t>
                      </w:r>
                      <w:r>
                        <w:t xml:space="preserve"> para su examen por el </w:t>
                      </w:r>
                      <w:r w:rsidR="00A74FC5" w:rsidRPr="00A74FC5">
                        <w:t>grupo de trabajo anterior al período de sesiones</w:t>
                      </w:r>
                      <w:r w:rsidR="00A74FC5">
                        <w:t xml:space="preserve"> </w:t>
                      </w:r>
                      <w:r>
                        <w:t>(93 PSWG)</w:t>
                      </w:r>
                      <w:r w:rsidRPr="00A82D1B">
                        <w:t>, en el marco de</w:t>
                      </w:r>
                      <w:r w:rsidR="00683031">
                        <w:t xml:space="preserve"> </w:t>
                      </w:r>
                      <w:r w:rsidRPr="00A82D1B">
                        <w:t>l</w:t>
                      </w:r>
                      <w:r w:rsidR="00683031">
                        <w:t>a adopción de la lista de cuestiones para el</w:t>
                      </w:r>
                      <w:r w:rsidRPr="00A82D1B">
                        <w:t xml:space="preserve"> examen de</w:t>
                      </w:r>
                      <w:r>
                        <w:t>l octavo</w:t>
                      </w:r>
                      <w:r w:rsidRPr="00A82D1B">
                        <w:t xml:space="preserve"> informe periódico</w:t>
                      </w:r>
                      <w:r w:rsidR="00683031">
                        <w:t>.</w:t>
                      </w:r>
                    </w:p>
                    <w:p w14:paraId="65CFC249" w14:textId="755F817F" w:rsidR="005C0476" w:rsidRPr="00D8218F" w:rsidRDefault="005C0476" w:rsidP="005C0476">
                      <w:pPr>
                        <w:pStyle w:val="Babstract"/>
                      </w:pPr>
                    </w:p>
                  </w:txbxContent>
                </v:textbox>
                <w10:wrap anchorx="margin" anchory="page"/>
                <w10:anchorlock/>
              </v:shape>
            </w:pict>
          </mc:Fallback>
        </mc:AlternateContent>
      </w:r>
    </w:p>
    <w:p w14:paraId="39D4C320" w14:textId="77F49937" w:rsidR="00A82D1B" w:rsidRDefault="00A82D1B" w:rsidP="009A2897">
      <w:pPr>
        <w:pStyle w:val="BNumberedHeading"/>
      </w:pPr>
      <w:bookmarkStart w:id="0" w:name="_Toc198130192"/>
      <w:r w:rsidRPr="00A82D1B">
        <w:lastRenderedPageBreak/>
        <w:t>SALUD Y EMBARAZO DE NIÑAS Y ADOLESCENTES</w:t>
      </w:r>
      <w:r w:rsidR="00291F50">
        <w:t xml:space="preserve"> (ART</w:t>
      </w:r>
      <w:r w:rsidR="00B04447">
        <w:t>í</w:t>
      </w:r>
      <w:r w:rsidR="00291F50">
        <w:t>C</w:t>
      </w:r>
      <w:r w:rsidR="00B04447">
        <w:t>u</w:t>
      </w:r>
      <w:r w:rsidR="00291F50">
        <w:t>L</w:t>
      </w:r>
      <w:r w:rsidR="00B04447">
        <w:t>os</w:t>
      </w:r>
      <w:r w:rsidR="00291F50">
        <w:t xml:space="preserve"> </w:t>
      </w:r>
      <w:r w:rsidR="00AC7CCF">
        <w:t xml:space="preserve">10 </w:t>
      </w:r>
      <w:r w:rsidR="00B04447">
        <w:t xml:space="preserve">y </w:t>
      </w:r>
      <w:r w:rsidR="00291F50">
        <w:t>12)</w:t>
      </w:r>
      <w:bookmarkEnd w:id="0"/>
    </w:p>
    <w:p w14:paraId="3F2F8E65" w14:textId="77777777" w:rsidR="001E38A6" w:rsidRPr="001E38A6" w:rsidRDefault="001E38A6" w:rsidP="001E38A6">
      <w:pPr>
        <w:pStyle w:val="BBodyText"/>
        <w:rPr>
          <w:lang w:eastAsia="en-GB"/>
        </w:rPr>
      </w:pPr>
    </w:p>
    <w:p w14:paraId="7188C5AB" w14:textId="1CF92B47" w:rsidR="00DE1829" w:rsidRDefault="005730DC" w:rsidP="005730DC">
      <w:pPr>
        <w:pStyle w:val="BBodyText"/>
      </w:pPr>
      <w:r>
        <w:t xml:space="preserve">Continúa siendo motivo de preocupación la </w:t>
      </w:r>
      <w:r w:rsidRPr="003C7C55">
        <w:t>elevada tasa de embarazos</w:t>
      </w:r>
      <w:r>
        <w:t xml:space="preserve"> infantiles y adolescentes, la </w:t>
      </w:r>
      <w:r w:rsidRPr="003C7C55">
        <w:t>violencia sexual</w:t>
      </w:r>
      <w:r>
        <w:t xml:space="preserve"> y </w:t>
      </w:r>
      <w:r w:rsidRPr="003C7C55">
        <w:t>los embarazos precoces forzosos</w:t>
      </w:r>
      <w:r w:rsidR="00C1439C">
        <w:rPr>
          <w:rStyle w:val="FootnoteReference"/>
        </w:rPr>
        <w:footnoteReference w:id="2"/>
      </w:r>
      <w:r w:rsidR="00C1439C">
        <w:t xml:space="preserve">. </w:t>
      </w:r>
      <w:r w:rsidR="001A0AF4" w:rsidRPr="001A0AF4">
        <w:t>En 2024, se registró en promedio alrededor de un nacimiento al día de niñas gestantes de entre 10 a 14 años</w:t>
      </w:r>
      <w:r w:rsidR="00A100C7">
        <w:t xml:space="preserve"> (ver Tabla 1)</w:t>
      </w:r>
      <w:r w:rsidR="00C1439C" w:rsidRPr="00A82D1B">
        <w:t>.</w:t>
      </w:r>
      <w:r w:rsidR="00C1439C">
        <w:t xml:space="preserve"> </w:t>
      </w:r>
      <w:r w:rsidR="00DE1829">
        <w:t>Sólo en los últimos tres años, más de 32 mil niñas y adolescentes</w:t>
      </w:r>
      <w:r w:rsidR="00D74EE8">
        <w:t xml:space="preserve"> de</w:t>
      </w:r>
      <w:r w:rsidR="00201B98">
        <w:t xml:space="preserve"> 10 a</w:t>
      </w:r>
      <w:r w:rsidR="00D74EE8">
        <w:t xml:space="preserve"> 19 años</w:t>
      </w:r>
      <w:r w:rsidR="00DE1829">
        <w:t xml:space="preserve"> han dado a luz (ver Tabla 1), tras sufrir </w:t>
      </w:r>
      <w:r w:rsidR="00E20006">
        <w:t xml:space="preserve">violación o </w:t>
      </w:r>
      <w:r w:rsidR="00DE1829" w:rsidRPr="00A82D1B">
        <w:t>violencia sexual o</w:t>
      </w:r>
      <w:r w:rsidR="00A100C7">
        <w:t>,</w:t>
      </w:r>
      <w:r w:rsidR="00DE1829" w:rsidRPr="00A82D1B">
        <w:t xml:space="preserve"> en el caso de relaciones sexuales consentidas mantenidas la mayoría de las veces entre pares, </w:t>
      </w:r>
      <w:r w:rsidR="00F06745">
        <w:t>si</w:t>
      </w:r>
      <w:r w:rsidR="00EB0E2D">
        <w:t>n</w:t>
      </w:r>
      <w:r w:rsidR="00F06745">
        <w:t xml:space="preserve"> haber</w:t>
      </w:r>
      <w:r w:rsidR="00DE1829" w:rsidRPr="00A82D1B">
        <w:t xml:space="preserve"> tenido acceso a la Educación Integral de la Sexualidad (EIS) o acceso a información y servicios de salud sexual y reproductiva amigables y adaptados para jóvenes y adolescentes</w:t>
      </w:r>
      <w:r w:rsidR="001A0AF4" w:rsidRPr="00A82D1B">
        <w:rPr>
          <w:vertAlign w:val="superscript"/>
        </w:rPr>
        <w:footnoteReference w:id="3"/>
      </w:r>
      <w:r w:rsidR="00DE1829" w:rsidRPr="00A82D1B">
        <w:t>.</w:t>
      </w:r>
      <w:r w:rsidR="00DE1829">
        <w:t xml:space="preserve"> </w:t>
      </w:r>
      <w:r w:rsidR="00C33223">
        <w:t>A</w:t>
      </w:r>
      <w:r w:rsidR="00C33223" w:rsidRPr="354DC7B2">
        <w:rPr>
          <w:lang w:val="es-PY"/>
        </w:rPr>
        <w:t>demás,</w:t>
      </w:r>
      <w:r w:rsidR="002F41BF" w:rsidRPr="354DC7B2">
        <w:rPr>
          <w:lang w:val="es-PY"/>
        </w:rPr>
        <w:t xml:space="preserve"> niñas sobrevivientes de violación sigu</w:t>
      </w:r>
      <w:r w:rsidR="00C33223" w:rsidRPr="354DC7B2">
        <w:rPr>
          <w:lang w:val="es-PY"/>
        </w:rPr>
        <w:t>en</w:t>
      </w:r>
      <w:r w:rsidR="002F41BF" w:rsidRPr="354DC7B2">
        <w:rPr>
          <w:lang w:val="es-PY"/>
        </w:rPr>
        <w:t xml:space="preserve"> siendo obligadas a llevar a término sus embarazos debido a la prohibición casi total del aborto</w:t>
      </w:r>
      <w:r w:rsidR="00A100C7">
        <w:rPr>
          <w:rStyle w:val="FootnoteReference"/>
          <w:lang w:val="es-PY"/>
        </w:rPr>
        <w:footnoteReference w:id="4"/>
      </w:r>
      <w:r w:rsidR="002F41BF" w:rsidRPr="354DC7B2">
        <w:rPr>
          <w:lang w:val="es-PY"/>
        </w:rPr>
        <w:t xml:space="preserve">. </w:t>
      </w:r>
      <w:r w:rsidR="00DE1829">
        <w:t>O</w:t>
      </w:r>
      <w:r w:rsidR="00DE1829" w:rsidRPr="00A82D1B">
        <w:t xml:space="preserve">bligar a </w:t>
      </w:r>
      <w:r w:rsidR="008B42D5">
        <w:t xml:space="preserve">estas </w:t>
      </w:r>
      <w:r w:rsidR="00DE1829" w:rsidRPr="00A82D1B">
        <w:t xml:space="preserve">niñas o adolescentes </w:t>
      </w:r>
      <w:r w:rsidR="00DE1829" w:rsidRPr="009C051A">
        <w:t>a llevar a término un embarazo es una forma de violencia que puede constituir tortura y otros malos tratos</w:t>
      </w:r>
      <w:r w:rsidR="00DE1829" w:rsidRPr="00A82D1B">
        <w:rPr>
          <w:vertAlign w:val="superscript"/>
        </w:rPr>
        <w:footnoteReference w:id="5"/>
      </w:r>
      <w:r w:rsidR="00DE1829" w:rsidRPr="00A82D1B">
        <w:t>.</w:t>
      </w:r>
    </w:p>
    <w:p w14:paraId="76AC4555" w14:textId="235BAAE9" w:rsidR="00C1439C" w:rsidRPr="00C1439C" w:rsidRDefault="00C1439C" w:rsidP="00C1439C">
      <w:pPr>
        <w:rPr>
          <w:b/>
          <w:color w:val="auto"/>
          <w:sz w:val="21"/>
          <w:szCs w:val="24"/>
        </w:rPr>
      </w:pPr>
      <w:r w:rsidRPr="00C1439C">
        <w:rPr>
          <w:b/>
          <w:color w:val="auto"/>
          <w:sz w:val="21"/>
          <w:szCs w:val="24"/>
        </w:rPr>
        <w:t>Tabla 1. Número de nacidos vivos discriminados por años, grupos de edad, número de hijos nacidos vivos (incluidos el presente) y si pertenece o no a una comunidad indígena. Años 2022-2024</w:t>
      </w:r>
    </w:p>
    <w:tbl>
      <w:tblPr>
        <w:tblW w:w="9630" w:type="dxa"/>
        <w:tblLayout w:type="fixed"/>
        <w:tblCellMar>
          <w:left w:w="70" w:type="dxa"/>
          <w:right w:w="70" w:type="dxa"/>
        </w:tblCellMar>
        <w:tblLook w:val="0400" w:firstRow="0" w:lastRow="0" w:firstColumn="0" w:lastColumn="0" w:noHBand="0" w:noVBand="1"/>
      </w:tblPr>
      <w:tblGrid>
        <w:gridCol w:w="1199"/>
        <w:gridCol w:w="1199"/>
        <w:gridCol w:w="1086"/>
        <w:gridCol w:w="1086"/>
        <w:gridCol w:w="1237"/>
        <w:gridCol w:w="834"/>
        <w:gridCol w:w="834"/>
        <w:gridCol w:w="947"/>
        <w:gridCol w:w="8"/>
        <w:gridCol w:w="1192"/>
        <w:gridCol w:w="8"/>
      </w:tblGrid>
      <w:tr w:rsidR="00C1439C" w:rsidRPr="00C1439C" w14:paraId="6A643ECB" w14:textId="77777777" w:rsidTr="00473993">
        <w:trPr>
          <w:trHeight w:val="300"/>
        </w:trPr>
        <w:tc>
          <w:tcPr>
            <w:tcW w:w="1199"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49ECBC53" w14:textId="77777777" w:rsidR="00C1439C" w:rsidRPr="00C1439C" w:rsidRDefault="00C1439C" w:rsidP="00473993">
            <w:pPr>
              <w:jc w:val="center"/>
              <w:rPr>
                <w:b/>
                <w:color w:val="auto"/>
                <w:sz w:val="21"/>
                <w:szCs w:val="24"/>
              </w:rPr>
            </w:pPr>
            <w:r w:rsidRPr="00C1439C">
              <w:rPr>
                <w:b/>
                <w:color w:val="auto"/>
                <w:sz w:val="21"/>
                <w:szCs w:val="24"/>
              </w:rPr>
              <w:t>Años</w:t>
            </w:r>
          </w:p>
        </w:tc>
        <w:tc>
          <w:tcPr>
            <w:tcW w:w="1199"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1A018C1A" w14:textId="77777777" w:rsidR="00C1439C" w:rsidRPr="00C1439C" w:rsidRDefault="00C1439C" w:rsidP="00473993">
            <w:pPr>
              <w:jc w:val="center"/>
              <w:rPr>
                <w:b/>
                <w:color w:val="auto"/>
                <w:sz w:val="21"/>
                <w:szCs w:val="24"/>
              </w:rPr>
            </w:pPr>
            <w:r w:rsidRPr="00C1439C">
              <w:rPr>
                <w:b/>
                <w:color w:val="auto"/>
                <w:sz w:val="21"/>
                <w:szCs w:val="24"/>
              </w:rPr>
              <w:t>Grupos de edad</w:t>
            </w:r>
          </w:p>
        </w:tc>
        <w:tc>
          <w:tcPr>
            <w:tcW w:w="6032" w:type="dxa"/>
            <w:gridSpan w:val="7"/>
            <w:tcBorders>
              <w:top w:val="single" w:sz="4" w:space="0" w:color="000000"/>
              <w:left w:val="nil"/>
              <w:bottom w:val="single" w:sz="4" w:space="0" w:color="000000"/>
              <w:right w:val="single" w:sz="4" w:space="0" w:color="000000"/>
            </w:tcBorders>
            <w:shd w:val="clear" w:color="auto" w:fill="DBDBDB"/>
            <w:vAlign w:val="center"/>
          </w:tcPr>
          <w:p w14:paraId="48689404" w14:textId="77777777" w:rsidR="00C1439C" w:rsidRPr="00C1439C" w:rsidRDefault="00C1439C" w:rsidP="00473993">
            <w:pPr>
              <w:jc w:val="center"/>
              <w:rPr>
                <w:b/>
                <w:color w:val="auto"/>
                <w:sz w:val="21"/>
                <w:szCs w:val="24"/>
              </w:rPr>
            </w:pPr>
            <w:r w:rsidRPr="00C1439C">
              <w:rPr>
                <w:b/>
                <w:color w:val="auto"/>
                <w:sz w:val="21"/>
                <w:szCs w:val="24"/>
              </w:rPr>
              <w:t xml:space="preserve">Pertenece a una comunidad indígena / </w:t>
            </w:r>
            <w:proofErr w:type="spellStart"/>
            <w:r w:rsidRPr="00C1439C">
              <w:rPr>
                <w:b/>
                <w:color w:val="auto"/>
                <w:sz w:val="21"/>
                <w:szCs w:val="24"/>
              </w:rPr>
              <w:t>N°</w:t>
            </w:r>
            <w:proofErr w:type="spellEnd"/>
            <w:r w:rsidRPr="00C1439C">
              <w:rPr>
                <w:b/>
                <w:color w:val="auto"/>
                <w:sz w:val="21"/>
                <w:szCs w:val="24"/>
              </w:rPr>
              <w:t xml:space="preserve"> de hijos nacidos vivos (incluido el presente)</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tcPr>
          <w:p w14:paraId="6F033DBC" w14:textId="77777777" w:rsidR="00C1439C" w:rsidRPr="00C1439C" w:rsidRDefault="00C1439C" w:rsidP="00473993">
            <w:pPr>
              <w:jc w:val="center"/>
              <w:rPr>
                <w:b/>
                <w:color w:val="auto"/>
                <w:sz w:val="21"/>
                <w:szCs w:val="24"/>
              </w:rPr>
            </w:pPr>
            <w:r w:rsidRPr="00C1439C">
              <w:rPr>
                <w:b/>
                <w:color w:val="auto"/>
                <w:sz w:val="21"/>
                <w:szCs w:val="24"/>
              </w:rPr>
              <w:t>TOTAL</w:t>
            </w:r>
          </w:p>
        </w:tc>
      </w:tr>
      <w:tr w:rsidR="00C1439C" w:rsidRPr="00C1439C" w14:paraId="5307F305" w14:textId="77777777" w:rsidTr="00473993">
        <w:trPr>
          <w:gridAfter w:val="1"/>
          <w:wAfter w:w="8" w:type="dxa"/>
          <w:trHeight w:val="300"/>
        </w:trPr>
        <w:tc>
          <w:tcPr>
            <w:tcW w:w="1199" w:type="dxa"/>
            <w:vMerge/>
            <w:tcBorders>
              <w:top w:val="single" w:sz="4" w:space="0" w:color="000000"/>
              <w:left w:val="single" w:sz="4" w:space="0" w:color="000000"/>
              <w:bottom w:val="single" w:sz="4" w:space="0" w:color="000000"/>
              <w:right w:val="single" w:sz="4" w:space="0" w:color="000000"/>
            </w:tcBorders>
            <w:shd w:val="clear" w:color="auto" w:fill="DBDBDB"/>
            <w:vAlign w:val="center"/>
          </w:tcPr>
          <w:p w14:paraId="22C9E85C"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1199" w:type="dxa"/>
            <w:vMerge/>
            <w:tcBorders>
              <w:top w:val="single" w:sz="4" w:space="0" w:color="000000"/>
              <w:left w:val="single" w:sz="4" w:space="0" w:color="000000"/>
              <w:bottom w:val="single" w:sz="4" w:space="0" w:color="000000"/>
              <w:right w:val="single" w:sz="4" w:space="0" w:color="000000"/>
            </w:tcBorders>
            <w:shd w:val="clear" w:color="auto" w:fill="DBDBDB"/>
            <w:vAlign w:val="center"/>
          </w:tcPr>
          <w:p w14:paraId="36E3D981"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3409" w:type="dxa"/>
            <w:gridSpan w:val="3"/>
            <w:tcBorders>
              <w:top w:val="single" w:sz="4" w:space="0" w:color="000000"/>
              <w:left w:val="nil"/>
              <w:bottom w:val="single" w:sz="4" w:space="0" w:color="000000"/>
              <w:right w:val="single" w:sz="4" w:space="0" w:color="000000"/>
            </w:tcBorders>
            <w:shd w:val="clear" w:color="auto" w:fill="DBDBDB"/>
            <w:vAlign w:val="center"/>
          </w:tcPr>
          <w:p w14:paraId="5E1BF9A9" w14:textId="77777777" w:rsidR="00C1439C" w:rsidRPr="00C1439C" w:rsidRDefault="00C1439C" w:rsidP="00473993">
            <w:pPr>
              <w:jc w:val="center"/>
              <w:rPr>
                <w:b/>
                <w:color w:val="auto"/>
                <w:sz w:val="21"/>
                <w:szCs w:val="24"/>
              </w:rPr>
            </w:pPr>
            <w:r w:rsidRPr="00C1439C">
              <w:rPr>
                <w:b/>
                <w:color w:val="auto"/>
                <w:sz w:val="21"/>
                <w:szCs w:val="24"/>
              </w:rPr>
              <w:t>No</w:t>
            </w:r>
          </w:p>
        </w:tc>
        <w:tc>
          <w:tcPr>
            <w:tcW w:w="2615" w:type="dxa"/>
            <w:gridSpan w:val="3"/>
            <w:tcBorders>
              <w:top w:val="single" w:sz="4" w:space="0" w:color="000000"/>
              <w:left w:val="nil"/>
              <w:bottom w:val="single" w:sz="4" w:space="0" w:color="000000"/>
              <w:right w:val="single" w:sz="4" w:space="0" w:color="000000"/>
            </w:tcBorders>
            <w:shd w:val="clear" w:color="auto" w:fill="DBDBDB"/>
            <w:vAlign w:val="center"/>
          </w:tcPr>
          <w:p w14:paraId="7245B364" w14:textId="77777777" w:rsidR="00C1439C" w:rsidRPr="00C1439C" w:rsidRDefault="00C1439C" w:rsidP="00473993">
            <w:pPr>
              <w:jc w:val="center"/>
              <w:rPr>
                <w:b/>
                <w:color w:val="auto"/>
                <w:sz w:val="21"/>
                <w:szCs w:val="24"/>
              </w:rPr>
            </w:pPr>
            <w:r w:rsidRPr="00C1439C">
              <w:rPr>
                <w:b/>
                <w:color w:val="auto"/>
                <w:sz w:val="21"/>
                <w:szCs w:val="24"/>
              </w:rPr>
              <w:t>Si</w:t>
            </w:r>
          </w:p>
        </w:tc>
        <w:tc>
          <w:tcPr>
            <w:tcW w:w="120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76FFEBDA" w14:textId="77777777" w:rsidR="00C1439C" w:rsidRPr="00C1439C" w:rsidRDefault="00C1439C" w:rsidP="00473993">
            <w:pPr>
              <w:rPr>
                <w:bCs/>
                <w:color w:val="auto"/>
                <w:sz w:val="21"/>
                <w:szCs w:val="24"/>
              </w:rPr>
            </w:pPr>
          </w:p>
        </w:tc>
      </w:tr>
      <w:tr w:rsidR="00C1439C" w:rsidRPr="00C1439C" w14:paraId="4E90081E" w14:textId="77777777" w:rsidTr="00473993">
        <w:trPr>
          <w:gridAfter w:val="1"/>
          <w:wAfter w:w="8" w:type="dxa"/>
          <w:trHeight w:val="300"/>
        </w:trPr>
        <w:tc>
          <w:tcPr>
            <w:tcW w:w="1199" w:type="dxa"/>
            <w:vMerge/>
            <w:tcBorders>
              <w:top w:val="single" w:sz="4" w:space="0" w:color="000000"/>
              <w:left w:val="single" w:sz="4" w:space="0" w:color="000000"/>
              <w:bottom w:val="single" w:sz="4" w:space="0" w:color="000000"/>
              <w:right w:val="single" w:sz="4" w:space="0" w:color="000000"/>
            </w:tcBorders>
            <w:shd w:val="clear" w:color="auto" w:fill="DBDBDB"/>
            <w:vAlign w:val="center"/>
          </w:tcPr>
          <w:p w14:paraId="7302E526"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1199" w:type="dxa"/>
            <w:vMerge/>
            <w:tcBorders>
              <w:top w:val="single" w:sz="4" w:space="0" w:color="000000"/>
              <w:left w:val="single" w:sz="4" w:space="0" w:color="000000"/>
              <w:bottom w:val="single" w:sz="4" w:space="0" w:color="000000"/>
              <w:right w:val="single" w:sz="4" w:space="0" w:color="000000"/>
            </w:tcBorders>
            <w:shd w:val="clear" w:color="auto" w:fill="DBDBDB"/>
            <w:vAlign w:val="center"/>
          </w:tcPr>
          <w:p w14:paraId="511DD6F1"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1086" w:type="dxa"/>
            <w:tcBorders>
              <w:top w:val="nil"/>
              <w:left w:val="nil"/>
              <w:bottom w:val="single" w:sz="4" w:space="0" w:color="000000"/>
              <w:right w:val="single" w:sz="4" w:space="0" w:color="000000"/>
            </w:tcBorders>
            <w:shd w:val="clear" w:color="auto" w:fill="DBDBDB"/>
            <w:vAlign w:val="center"/>
          </w:tcPr>
          <w:p w14:paraId="00CBCA60" w14:textId="77777777" w:rsidR="00C1439C" w:rsidRPr="00DE1829" w:rsidRDefault="00C1439C" w:rsidP="00473993">
            <w:pPr>
              <w:jc w:val="center"/>
              <w:rPr>
                <w:b/>
                <w:color w:val="auto"/>
                <w:sz w:val="21"/>
                <w:szCs w:val="24"/>
              </w:rPr>
            </w:pPr>
            <w:r w:rsidRPr="00DE1829">
              <w:rPr>
                <w:b/>
                <w:color w:val="auto"/>
                <w:sz w:val="21"/>
                <w:szCs w:val="24"/>
              </w:rPr>
              <w:t>1</w:t>
            </w:r>
          </w:p>
        </w:tc>
        <w:tc>
          <w:tcPr>
            <w:tcW w:w="1086" w:type="dxa"/>
            <w:tcBorders>
              <w:top w:val="nil"/>
              <w:left w:val="nil"/>
              <w:bottom w:val="single" w:sz="4" w:space="0" w:color="000000"/>
              <w:right w:val="single" w:sz="4" w:space="0" w:color="000000"/>
            </w:tcBorders>
            <w:shd w:val="clear" w:color="auto" w:fill="DBDBDB"/>
            <w:vAlign w:val="center"/>
          </w:tcPr>
          <w:p w14:paraId="251F6ACA" w14:textId="77777777" w:rsidR="00C1439C" w:rsidRPr="00C1439C" w:rsidRDefault="00C1439C" w:rsidP="00473993">
            <w:pPr>
              <w:jc w:val="center"/>
              <w:rPr>
                <w:b/>
                <w:color w:val="auto"/>
                <w:sz w:val="21"/>
                <w:szCs w:val="24"/>
              </w:rPr>
            </w:pPr>
            <w:r w:rsidRPr="00C1439C">
              <w:rPr>
                <w:b/>
                <w:color w:val="auto"/>
                <w:sz w:val="21"/>
                <w:szCs w:val="24"/>
              </w:rPr>
              <w:t>2</w:t>
            </w:r>
          </w:p>
        </w:tc>
        <w:tc>
          <w:tcPr>
            <w:tcW w:w="1237" w:type="dxa"/>
            <w:tcBorders>
              <w:top w:val="nil"/>
              <w:left w:val="nil"/>
              <w:bottom w:val="single" w:sz="4" w:space="0" w:color="000000"/>
              <w:right w:val="single" w:sz="4" w:space="0" w:color="000000"/>
            </w:tcBorders>
            <w:shd w:val="clear" w:color="auto" w:fill="DBDBDB"/>
            <w:vAlign w:val="center"/>
          </w:tcPr>
          <w:p w14:paraId="41509DC7" w14:textId="77777777" w:rsidR="00C1439C" w:rsidRPr="00C1439C" w:rsidRDefault="00C1439C" w:rsidP="00473993">
            <w:pPr>
              <w:jc w:val="center"/>
              <w:rPr>
                <w:b/>
                <w:color w:val="auto"/>
                <w:sz w:val="21"/>
                <w:szCs w:val="24"/>
              </w:rPr>
            </w:pPr>
            <w:r w:rsidRPr="00C1439C">
              <w:rPr>
                <w:b/>
                <w:color w:val="auto"/>
                <w:sz w:val="21"/>
                <w:szCs w:val="24"/>
              </w:rPr>
              <w:t>3 y más</w:t>
            </w:r>
          </w:p>
        </w:tc>
        <w:tc>
          <w:tcPr>
            <w:tcW w:w="834" w:type="dxa"/>
            <w:tcBorders>
              <w:top w:val="nil"/>
              <w:left w:val="nil"/>
              <w:bottom w:val="single" w:sz="4" w:space="0" w:color="000000"/>
              <w:right w:val="single" w:sz="4" w:space="0" w:color="000000"/>
            </w:tcBorders>
            <w:shd w:val="clear" w:color="auto" w:fill="DBDBDB"/>
            <w:vAlign w:val="center"/>
          </w:tcPr>
          <w:p w14:paraId="4CC1AAD4" w14:textId="77777777" w:rsidR="00C1439C" w:rsidRPr="00C1439C" w:rsidRDefault="00C1439C" w:rsidP="00473993">
            <w:pPr>
              <w:jc w:val="center"/>
              <w:rPr>
                <w:b/>
                <w:color w:val="auto"/>
                <w:sz w:val="21"/>
                <w:szCs w:val="24"/>
              </w:rPr>
            </w:pPr>
            <w:r w:rsidRPr="00C1439C">
              <w:rPr>
                <w:b/>
                <w:color w:val="auto"/>
                <w:sz w:val="21"/>
                <w:szCs w:val="24"/>
              </w:rPr>
              <w:t>1</w:t>
            </w:r>
          </w:p>
        </w:tc>
        <w:tc>
          <w:tcPr>
            <w:tcW w:w="834" w:type="dxa"/>
            <w:tcBorders>
              <w:top w:val="nil"/>
              <w:left w:val="nil"/>
              <w:bottom w:val="single" w:sz="4" w:space="0" w:color="000000"/>
              <w:right w:val="single" w:sz="4" w:space="0" w:color="000000"/>
            </w:tcBorders>
            <w:shd w:val="clear" w:color="auto" w:fill="DBDBDB"/>
            <w:vAlign w:val="center"/>
          </w:tcPr>
          <w:p w14:paraId="3CC36CC5" w14:textId="77777777" w:rsidR="00C1439C" w:rsidRPr="00C1439C" w:rsidRDefault="00C1439C" w:rsidP="00473993">
            <w:pPr>
              <w:jc w:val="center"/>
              <w:rPr>
                <w:b/>
                <w:color w:val="auto"/>
                <w:sz w:val="21"/>
                <w:szCs w:val="24"/>
              </w:rPr>
            </w:pPr>
            <w:r w:rsidRPr="00C1439C">
              <w:rPr>
                <w:b/>
                <w:color w:val="auto"/>
                <w:sz w:val="21"/>
                <w:szCs w:val="24"/>
              </w:rPr>
              <w:t>2</w:t>
            </w:r>
          </w:p>
        </w:tc>
        <w:tc>
          <w:tcPr>
            <w:tcW w:w="947" w:type="dxa"/>
            <w:tcBorders>
              <w:top w:val="nil"/>
              <w:left w:val="nil"/>
              <w:bottom w:val="single" w:sz="4" w:space="0" w:color="000000"/>
              <w:right w:val="single" w:sz="4" w:space="0" w:color="000000"/>
            </w:tcBorders>
            <w:shd w:val="clear" w:color="auto" w:fill="DBDBDB"/>
            <w:vAlign w:val="center"/>
          </w:tcPr>
          <w:p w14:paraId="30308EAB" w14:textId="77777777" w:rsidR="00C1439C" w:rsidRPr="00C1439C" w:rsidRDefault="00C1439C" w:rsidP="00473993">
            <w:pPr>
              <w:jc w:val="center"/>
              <w:rPr>
                <w:b/>
                <w:color w:val="auto"/>
                <w:sz w:val="21"/>
                <w:szCs w:val="24"/>
              </w:rPr>
            </w:pPr>
            <w:r w:rsidRPr="00C1439C">
              <w:rPr>
                <w:b/>
                <w:color w:val="auto"/>
                <w:sz w:val="21"/>
                <w:szCs w:val="24"/>
              </w:rPr>
              <w:t>3 y más</w:t>
            </w:r>
          </w:p>
        </w:tc>
        <w:tc>
          <w:tcPr>
            <w:tcW w:w="1200" w:type="dxa"/>
            <w:gridSpan w:val="2"/>
            <w:vMerge/>
            <w:tcBorders>
              <w:top w:val="single" w:sz="4" w:space="0" w:color="000000"/>
              <w:left w:val="single" w:sz="4" w:space="0" w:color="000000"/>
              <w:bottom w:val="single" w:sz="4" w:space="0" w:color="000000"/>
              <w:right w:val="single" w:sz="4" w:space="0" w:color="000000"/>
            </w:tcBorders>
            <w:vAlign w:val="center"/>
          </w:tcPr>
          <w:p w14:paraId="51DE0C70"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r>
      <w:tr w:rsidR="00C1439C" w:rsidRPr="00C1439C" w14:paraId="65220872" w14:textId="77777777" w:rsidTr="00473993">
        <w:trPr>
          <w:gridAfter w:val="1"/>
          <w:wAfter w:w="8" w:type="dxa"/>
          <w:trHeight w:val="300"/>
        </w:trPr>
        <w:tc>
          <w:tcPr>
            <w:tcW w:w="1199" w:type="dxa"/>
            <w:vMerge w:val="restart"/>
            <w:tcBorders>
              <w:top w:val="single" w:sz="4" w:space="0" w:color="000000"/>
              <w:left w:val="single" w:sz="4" w:space="0" w:color="000000"/>
              <w:bottom w:val="single" w:sz="4" w:space="0" w:color="000000"/>
              <w:right w:val="nil"/>
            </w:tcBorders>
            <w:shd w:val="clear" w:color="auto" w:fill="D9D9D9"/>
            <w:vAlign w:val="center"/>
          </w:tcPr>
          <w:p w14:paraId="0694422A" w14:textId="77777777" w:rsidR="00C1439C" w:rsidRPr="00C1439C" w:rsidRDefault="00C1439C" w:rsidP="00473993">
            <w:pPr>
              <w:jc w:val="center"/>
              <w:rPr>
                <w:b/>
                <w:color w:val="auto"/>
                <w:sz w:val="21"/>
                <w:szCs w:val="24"/>
              </w:rPr>
            </w:pPr>
            <w:r w:rsidRPr="00C1439C">
              <w:rPr>
                <w:b/>
                <w:color w:val="auto"/>
                <w:sz w:val="21"/>
                <w:szCs w:val="24"/>
              </w:rPr>
              <w:t>2022</w:t>
            </w:r>
          </w:p>
        </w:tc>
        <w:tc>
          <w:tcPr>
            <w:tcW w:w="1199" w:type="dxa"/>
            <w:tcBorders>
              <w:top w:val="nil"/>
              <w:left w:val="single" w:sz="4" w:space="0" w:color="000000"/>
              <w:bottom w:val="single" w:sz="4" w:space="0" w:color="000000"/>
              <w:right w:val="nil"/>
            </w:tcBorders>
            <w:shd w:val="clear" w:color="auto" w:fill="FFFFFF"/>
            <w:vAlign w:val="center"/>
          </w:tcPr>
          <w:p w14:paraId="00BB01E1" w14:textId="77777777" w:rsidR="00C1439C" w:rsidRPr="00C1439C" w:rsidRDefault="00C1439C" w:rsidP="00473993">
            <w:pPr>
              <w:jc w:val="center"/>
              <w:rPr>
                <w:bCs/>
                <w:color w:val="auto"/>
                <w:sz w:val="21"/>
                <w:szCs w:val="24"/>
              </w:rPr>
            </w:pPr>
            <w:r w:rsidRPr="00C1439C">
              <w:rPr>
                <w:bCs/>
                <w:color w:val="auto"/>
                <w:sz w:val="21"/>
                <w:szCs w:val="24"/>
              </w:rPr>
              <w:t>10 a 14</w:t>
            </w:r>
          </w:p>
        </w:tc>
        <w:tc>
          <w:tcPr>
            <w:tcW w:w="1086" w:type="dxa"/>
            <w:tcBorders>
              <w:top w:val="nil"/>
              <w:left w:val="single" w:sz="4" w:space="0" w:color="000000"/>
              <w:bottom w:val="single" w:sz="4" w:space="0" w:color="000000"/>
              <w:right w:val="single" w:sz="4" w:space="0" w:color="000000"/>
            </w:tcBorders>
            <w:shd w:val="clear" w:color="auto" w:fill="auto"/>
            <w:vAlign w:val="center"/>
          </w:tcPr>
          <w:p w14:paraId="2143C631" w14:textId="77777777" w:rsidR="00C1439C" w:rsidRPr="00C1439C" w:rsidRDefault="00C1439C" w:rsidP="00473993">
            <w:pPr>
              <w:jc w:val="center"/>
              <w:rPr>
                <w:bCs/>
                <w:color w:val="auto"/>
                <w:sz w:val="21"/>
                <w:szCs w:val="24"/>
              </w:rPr>
            </w:pPr>
            <w:r w:rsidRPr="00C1439C">
              <w:rPr>
                <w:bCs/>
                <w:color w:val="auto"/>
                <w:sz w:val="21"/>
                <w:szCs w:val="24"/>
              </w:rPr>
              <w:t>357</w:t>
            </w:r>
          </w:p>
        </w:tc>
        <w:tc>
          <w:tcPr>
            <w:tcW w:w="1086" w:type="dxa"/>
            <w:tcBorders>
              <w:top w:val="nil"/>
              <w:left w:val="nil"/>
              <w:bottom w:val="single" w:sz="4" w:space="0" w:color="000000"/>
              <w:right w:val="single" w:sz="4" w:space="0" w:color="000000"/>
            </w:tcBorders>
            <w:shd w:val="clear" w:color="auto" w:fill="auto"/>
            <w:vAlign w:val="center"/>
          </w:tcPr>
          <w:p w14:paraId="40171B25" w14:textId="77777777" w:rsidR="00C1439C" w:rsidRPr="00C1439C" w:rsidRDefault="00C1439C" w:rsidP="00473993">
            <w:pPr>
              <w:jc w:val="center"/>
              <w:rPr>
                <w:bCs/>
                <w:color w:val="auto"/>
                <w:sz w:val="21"/>
                <w:szCs w:val="24"/>
              </w:rPr>
            </w:pPr>
            <w:r w:rsidRPr="00C1439C">
              <w:rPr>
                <w:bCs/>
                <w:color w:val="auto"/>
                <w:sz w:val="21"/>
                <w:szCs w:val="24"/>
              </w:rPr>
              <w:t>7</w:t>
            </w:r>
          </w:p>
        </w:tc>
        <w:tc>
          <w:tcPr>
            <w:tcW w:w="1237" w:type="dxa"/>
            <w:tcBorders>
              <w:top w:val="nil"/>
              <w:left w:val="nil"/>
              <w:bottom w:val="single" w:sz="4" w:space="0" w:color="000000"/>
              <w:right w:val="single" w:sz="4" w:space="0" w:color="000000"/>
            </w:tcBorders>
            <w:shd w:val="clear" w:color="auto" w:fill="auto"/>
            <w:vAlign w:val="center"/>
          </w:tcPr>
          <w:p w14:paraId="51793B83" w14:textId="77777777" w:rsidR="00C1439C" w:rsidRPr="00C1439C" w:rsidRDefault="00C1439C" w:rsidP="00473993">
            <w:pPr>
              <w:jc w:val="center"/>
              <w:rPr>
                <w:bCs/>
                <w:color w:val="auto"/>
                <w:sz w:val="21"/>
                <w:szCs w:val="24"/>
              </w:rPr>
            </w:pPr>
            <w:r w:rsidRPr="00C1439C">
              <w:rPr>
                <w:bCs/>
                <w:color w:val="auto"/>
                <w:sz w:val="21"/>
                <w:szCs w:val="24"/>
              </w:rPr>
              <w:t>0</w:t>
            </w:r>
          </w:p>
        </w:tc>
        <w:tc>
          <w:tcPr>
            <w:tcW w:w="834" w:type="dxa"/>
            <w:tcBorders>
              <w:top w:val="nil"/>
              <w:left w:val="nil"/>
              <w:bottom w:val="single" w:sz="4" w:space="0" w:color="000000"/>
              <w:right w:val="single" w:sz="4" w:space="0" w:color="000000"/>
            </w:tcBorders>
            <w:shd w:val="clear" w:color="auto" w:fill="auto"/>
            <w:vAlign w:val="center"/>
          </w:tcPr>
          <w:p w14:paraId="32ECE350" w14:textId="77777777" w:rsidR="00C1439C" w:rsidRPr="00C1439C" w:rsidRDefault="00C1439C" w:rsidP="00473993">
            <w:pPr>
              <w:jc w:val="center"/>
              <w:rPr>
                <w:bCs/>
                <w:color w:val="auto"/>
                <w:sz w:val="21"/>
                <w:szCs w:val="24"/>
              </w:rPr>
            </w:pPr>
            <w:r w:rsidRPr="00C1439C">
              <w:rPr>
                <w:bCs/>
                <w:color w:val="auto"/>
                <w:sz w:val="21"/>
                <w:szCs w:val="24"/>
              </w:rPr>
              <w:t>103</w:t>
            </w:r>
          </w:p>
        </w:tc>
        <w:tc>
          <w:tcPr>
            <w:tcW w:w="834" w:type="dxa"/>
            <w:tcBorders>
              <w:top w:val="nil"/>
              <w:left w:val="nil"/>
              <w:bottom w:val="single" w:sz="4" w:space="0" w:color="000000"/>
              <w:right w:val="single" w:sz="4" w:space="0" w:color="000000"/>
            </w:tcBorders>
            <w:shd w:val="clear" w:color="auto" w:fill="auto"/>
            <w:vAlign w:val="center"/>
          </w:tcPr>
          <w:p w14:paraId="44D93BEB" w14:textId="77777777" w:rsidR="00C1439C" w:rsidRPr="00C1439C" w:rsidRDefault="00C1439C" w:rsidP="00473993">
            <w:pPr>
              <w:jc w:val="center"/>
              <w:rPr>
                <w:bCs/>
                <w:color w:val="auto"/>
                <w:sz w:val="21"/>
                <w:szCs w:val="24"/>
              </w:rPr>
            </w:pPr>
            <w:r w:rsidRPr="00C1439C">
              <w:rPr>
                <w:bCs/>
                <w:color w:val="auto"/>
                <w:sz w:val="21"/>
                <w:szCs w:val="24"/>
              </w:rPr>
              <w:t>3</w:t>
            </w:r>
          </w:p>
        </w:tc>
        <w:tc>
          <w:tcPr>
            <w:tcW w:w="947" w:type="dxa"/>
            <w:tcBorders>
              <w:top w:val="nil"/>
              <w:left w:val="nil"/>
              <w:bottom w:val="single" w:sz="4" w:space="0" w:color="000000"/>
              <w:right w:val="single" w:sz="4" w:space="0" w:color="000000"/>
            </w:tcBorders>
            <w:shd w:val="clear" w:color="auto" w:fill="auto"/>
            <w:vAlign w:val="center"/>
          </w:tcPr>
          <w:p w14:paraId="5CDC87A0" w14:textId="77777777" w:rsidR="00C1439C" w:rsidRPr="00C1439C" w:rsidRDefault="00C1439C" w:rsidP="00473993">
            <w:pPr>
              <w:jc w:val="center"/>
              <w:rPr>
                <w:bCs/>
                <w:color w:val="auto"/>
                <w:sz w:val="21"/>
                <w:szCs w:val="24"/>
              </w:rPr>
            </w:pPr>
            <w:r w:rsidRPr="00C1439C">
              <w:rPr>
                <w:bCs/>
                <w:color w:val="auto"/>
                <w:sz w:val="21"/>
                <w:szCs w:val="24"/>
              </w:rPr>
              <w:t>0</w:t>
            </w:r>
          </w:p>
        </w:tc>
        <w:tc>
          <w:tcPr>
            <w:tcW w:w="1200" w:type="dxa"/>
            <w:gridSpan w:val="2"/>
            <w:tcBorders>
              <w:top w:val="nil"/>
              <w:left w:val="nil"/>
              <w:bottom w:val="single" w:sz="4" w:space="0" w:color="000000"/>
              <w:right w:val="single" w:sz="4" w:space="0" w:color="000000"/>
            </w:tcBorders>
            <w:shd w:val="clear" w:color="auto" w:fill="D9D9D9"/>
            <w:vAlign w:val="center"/>
          </w:tcPr>
          <w:p w14:paraId="134BFC7D" w14:textId="77777777" w:rsidR="00C1439C" w:rsidRPr="00C1439C" w:rsidRDefault="00C1439C" w:rsidP="00473993">
            <w:pPr>
              <w:jc w:val="center"/>
              <w:rPr>
                <w:bCs/>
                <w:color w:val="auto"/>
                <w:sz w:val="21"/>
                <w:szCs w:val="24"/>
              </w:rPr>
            </w:pPr>
            <w:r w:rsidRPr="00C1439C">
              <w:rPr>
                <w:bCs/>
                <w:color w:val="auto"/>
                <w:sz w:val="21"/>
                <w:szCs w:val="24"/>
              </w:rPr>
              <w:t>470</w:t>
            </w:r>
          </w:p>
        </w:tc>
      </w:tr>
      <w:tr w:rsidR="00C1439C" w:rsidRPr="00C1439C" w14:paraId="0BCEA48F" w14:textId="77777777" w:rsidTr="00473993">
        <w:trPr>
          <w:gridAfter w:val="1"/>
          <w:wAfter w:w="8" w:type="dxa"/>
          <w:trHeight w:val="300"/>
        </w:trPr>
        <w:tc>
          <w:tcPr>
            <w:tcW w:w="1199" w:type="dxa"/>
            <w:vMerge/>
            <w:tcBorders>
              <w:top w:val="single" w:sz="4" w:space="0" w:color="000000"/>
              <w:left w:val="single" w:sz="4" w:space="0" w:color="000000"/>
              <w:bottom w:val="single" w:sz="4" w:space="0" w:color="000000"/>
              <w:right w:val="nil"/>
            </w:tcBorders>
            <w:shd w:val="clear" w:color="auto" w:fill="D9D9D9"/>
            <w:vAlign w:val="center"/>
          </w:tcPr>
          <w:p w14:paraId="65AAF0BA"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1199" w:type="dxa"/>
            <w:tcBorders>
              <w:top w:val="nil"/>
              <w:left w:val="single" w:sz="4" w:space="0" w:color="000000"/>
              <w:bottom w:val="single" w:sz="4" w:space="0" w:color="000000"/>
              <w:right w:val="nil"/>
            </w:tcBorders>
            <w:shd w:val="clear" w:color="auto" w:fill="FFFFFF"/>
            <w:vAlign w:val="center"/>
          </w:tcPr>
          <w:p w14:paraId="69E1FE50" w14:textId="77777777" w:rsidR="00C1439C" w:rsidRPr="00C1439C" w:rsidRDefault="00C1439C" w:rsidP="00473993">
            <w:pPr>
              <w:jc w:val="center"/>
              <w:rPr>
                <w:bCs/>
                <w:color w:val="auto"/>
                <w:sz w:val="21"/>
                <w:szCs w:val="24"/>
              </w:rPr>
            </w:pPr>
            <w:r w:rsidRPr="00C1439C">
              <w:rPr>
                <w:bCs/>
                <w:color w:val="auto"/>
                <w:sz w:val="21"/>
                <w:szCs w:val="24"/>
              </w:rPr>
              <w:t>15 a 19</w:t>
            </w:r>
          </w:p>
        </w:tc>
        <w:tc>
          <w:tcPr>
            <w:tcW w:w="1086" w:type="dxa"/>
            <w:tcBorders>
              <w:top w:val="nil"/>
              <w:left w:val="single" w:sz="4" w:space="0" w:color="000000"/>
              <w:bottom w:val="single" w:sz="4" w:space="0" w:color="000000"/>
              <w:right w:val="single" w:sz="4" w:space="0" w:color="000000"/>
            </w:tcBorders>
            <w:shd w:val="clear" w:color="auto" w:fill="auto"/>
            <w:vAlign w:val="center"/>
          </w:tcPr>
          <w:p w14:paraId="1DE62EBD" w14:textId="77777777" w:rsidR="00C1439C" w:rsidRPr="00C1439C" w:rsidRDefault="00C1439C" w:rsidP="00473993">
            <w:pPr>
              <w:jc w:val="center"/>
              <w:rPr>
                <w:bCs/>
                <w:color w:val="auto"/>
                <w:sz w:val="21"/>
                <w:szCs w:val="24"/>
              </w:rPr>
            </w:pPr>
            <w:r w:rsidRPr="00C1439C">
              <w:rPr>
                <w:bCs/>
                <w:color w:val="auto"/>
                <w:sz w:val="21"/>
                <w:szCs w:val="24"/>
              </w:rPr>
              <w:t>9.217</w:t>
            </w:r>
          </w:p>
        </w:tc>
        <w:tc>
          <w:tcPr>
            <w:tcW w:w="1086" w:type="dxa"/>
            <w:tcBorders>
              <w:top w:val="nil"/>
              <w:left w:val="nil"/>
              <w:bottom w:val="single" w:sz="4" w:space="0" w:color="000000"/>
              <w:right w:val="single" w:sz="4" w:space="0" w:color="000000"/>
            </w:tcBorders>
            <w:shd w:val="clear" w:color="auto" w:fill="auto"/>
            <w:vAlign w:val="center"/>
          </w:tcPr>
          <w:p w14:paraId="229BBCD0" w14:textId="77777777" w:rsidR="00C1439C" w:rsidRPr="00C1439C" w:rsidRDefault="00C1439C" w:rsidP="00473993">
            <w:pPr>
              <w:jc w:val="center"/>
              <w:rPr>
                <w:bCs/>
                <w:color w:val="auto"/>
                <w:sz w:val="21"/>
                <w:szCs w:val="24"/>
              </w:rPr>
            </w:pPr>
            <w:r w:rsidRPr="00C1439C">
              <w:rPr>
                <w:bCs/>
                <w:color w:val="auto"/>
                <w:sz w:val="21"/>
                <w:szCs w:val="24"/>
              </w:rPr>
              <w:t>1.732</w:t>
            </w:r>
          </w:p>
        </w:tc>
        <w:tc>
          <w:tcPr>
            <w:tcW w:w="1237" w:type="dxa"/>
            <w:tcBorders>
              <w:top w:val="nil"/>
              <w:left w:val="nil"/>
              <w:bottom w:val="single" w:sz="4" w:space="0" w:color="000000"/>
              <w:right w:val="single" w:sz="4" w:space="0" w:color="000000"/>
            </w:tcBorders>
            <w:shd w:val="clear" w:color="auto" w:fill="auto"/>
            <w:vAlign w:val="center"/>
          </w:tcPr>
          <w:p w14:paraId="4BA73B39" w14:textId="77777777" w:rsidR="00C1439C" w:rsidRPr="00C1439C" w:rsidRDefault="00C1439C" w:rsidP="00473993">
            <w:pPr>
              <w:jc w:val="center"/>
              <w:rPr>
                <w:bCs/>
                <w:color w:val="auto"/>
                <w:sz w:val="21"/>
                <w:szCs w:val="24"/>
              </w:rPr>
            </w:pPr>
            <w:r w:rsidRPr="00C1439C">
              <w:rPr>
                <w:bCs/>
                <w:color w:val="auto"/>
                <w:sz w:val="21"/>
                <w:szCs w:val="24"/>
              </w:rPr>
              <w:t>190</w:t>
            </w:r>
          </w:p>
        </w:tc>
        <w:tc>
          <w:tcPr>
            <w:tcW w:w="834" w:type="dxa"/>
            <w:tcBorders>
              <w:top w:val="nil"/>
              <w:left w:val="nil"/>
              <w:bottom w:val="single" w:sz="4" w:space="0" w:color="000000"/>
              <w:right w:val="single" w:sz="4" w:space="0" w:color="000000"/>
            </w:tcBorders>
            <w:shd w:val="clear" w:color="auto" w:fill="auto"/>
            <w:vAlign w:val="center"/>
          </w:tcPr>
          <w:p w14:paraId="6997D45E" w14:textId="77777777" w:rsidR="00C1439C" w:rsidRPr="00C1439C" w:rsidRDefault="00C1439C" w:rsidP="00473993">
            <w:pPr>
              <w:jc w:val="center"/>
              <w:rPr>
                <w:bCs/>
                <w:color w:val="auto"/>
                <w:sz w:val="21"/>
                <w:szCs w:val="24"/>
              </w:rPr>
            </w:pPr>
            <w:r w:rsidRPr="00C1439C">
              <w:rPr>
                <w:bCs/>
                <w:color w:val="auto"/>
                <w:sz w:val="21"/>
                <w:szCs w:val="24"/>
              </w:rPr>
              <w:t>499</w:t>
            </w:r>
          </w:p>
        </w:tc>
        <w:tc>
          <w:tcPr>
            <w:tcW w:w="834" w:type="dxa"/>
            <w:tcBorders>
              <w:top w:val="nil"/>
              <w:left w:val="nil"/>
              <w:bottom w:val="single" w:sz="4" w:space="0" w:color="000000"/>
              <w:right w:val="single" w:sz="4" w:space="0" w:color="000000"/>
            </w:tcBorders>
            <w:shd w:val="clear" w:color="auto" w:fill="auto"/>
            <w:vAlign w:val="center"/>
          </w:tcPr>
          <w:p w14:paraId="00BB121D" w14:textId="77777777" w:rsidR="00C1439C" w:rsidRPr="00C1439C" w:rsidRDefault="00C1439C" w:rsidP="00473993">
            <w:pPr>
              <w:jc w:val="center"/>
              <w:rPr>
                <w:bCs/>
                <w:color w:val="auto"/>
                <w:sz w:val="21"/>
                <w:szCs w:val="24"/>
              </w:rPr>
            </w:pPr>
            <w:r w:rsidRPr="00C1439C">
              <w:rPr>
                <w:bCs/>
                <w:color w:val="auto"/>
                <w:sz w:val="21"/>
                <w:szCs w:val="24"/>
              </w:rPr>
              <w:t>200</w:t>
            </w:r>
          </w:p>
        </w:tc>
        <w:tc>
          <w:tcPr>
            <w:tcW w:w="947" w:type="dxa"/>
            <w:tcBorders>
              <w:top w:val="nil"/>
              <w:left w:val="nil"/>
              <w:bottom w:val="single" w:sz="4" w:space="0" w:color="000000"/>
              <w:right w:val="single" w:sz="4" w:space="0" w:color="000000"/>
            </w:tcBorders>
            <w:shd w:val="clear" w:color="auto" w:fill="auto"/>
            <w:vAlign w:val="center"/>
          </w:tcPr>
          <w:p w14:paraId="23B28E98" w14:textId="77777777" w:rsidR="00C1439C" w:rsidRPr="00C1439C" w:rsidRDefault="00C1439C" w:rsidP="00473993">
            <w:pPr>
              <w:jc w:val="center"/>
              <w:rPr>
                <w:bCs/>
                <w:color w:val="auto"/>
                <w:sz w:val="21"/>
                <w:szCs w:val="24"/>
              </w:rPr>
            </w:pPr>
            <w:r w:rsidRPr="00C1439C">
              <w:rPr>
                <w:bCs/>
                <w:color w:val="auto"/>
                <w:sz w:val="21"/>
                <w:szCs w:val="24"/>
              </w:rPr>
              <w:t>44</w:t>
            </w:r>
          </w:p>
        </w:tc>
        <w:tc>
          <w:tcPr>
            <w:tcW w:w="1200" w:type="dxa"/>
            <w:gridSpan w:val="2"/>
            <w:tcBorders>
              <w:top w:val="nil"/>
              <w:left w:val="nil"/>
              <w:bottom w:val="single" w:sz="4" w:space="0" w:color="000000"/>
              <w:right w:val="single" w:sz="4" w:space="0" w:color="000000"/>
            </w:tcBorders>
            <w:shd w:val="clear" w:color="auto" w:fill="D9D9D9"/>
            <w:vAlign w:val="center"/>
          </w:tcPr>
          <w:p w14:paraId="14152F92" w14:textId="77777777" w:rsidR="00C1439C" w:rsidRPr="00C1439C" w:rsidRDefault="00C1439C" w:rsidP="00473993">
            <w:pPr>
              <w:jc w:val="center"/>
              <w:rPr>
                <w:bCs/>
                <w:color w:val="auto"/>
                <w:sz w:val="21"/>
                <w:szCs w:val="24"/>
              </w:rPr>
            </w:pPr>
            <w:r w:rsidRPr="00C1439C">
              <w:rPr>
                <w:bCs/>
                <w:color w:val="auto"/>
                <w:sz w:val="21"/>
                <w:szCs w:val="24"/>
              </w:rPr>
              <w:t>11.882</w:t>
            </w:r>
          </w:p>
        </w:tc>
      </w:tr>
      <w:tr w:rsidR="00C1439C" w:rsidRPr="00C1439C" w14:paraId="678747AE" w14:textId="77777777" w:rsidTr="00473993">
        <w:trPr>
          <w:gridAfter w:val="1"/>
          <w:wAfter w:w="8" w:type="dxa"/>
          <w:trHeight w:val="300"/>
        </w:trPr>
        <w:tc>
          <w:tcPr>
            <w:tcW w:w="1199" w:type="dxa"/>
            <w:vMerge w:val="restart"/>
            <w:tcBorders>
              <w:top w:val="single" w:sz="4" w:space="0" w:color="000000"/>
              <w:left w:val="single" w:sz="4" w:space="0" w:color="000000"/>
              <w:bottom w:val="single" w:sz="4" w:space="0" w:color="000000"/>
              <w:right w:val="nil"/>
            </w:tcBorders>
            <w:shd w:val="clear" w:color="auto" w:fill="D9D9D9"/>
            <w:vAlign w:val="center"/>
          </w:tcPr>
          <w:p w14:paraId="118BB9BD" w14:textId="77777777" w:rsidR="00C1439C" w:rsidRPr="00C1439C" w:rsidRDefault="00C1439C" w:rsidP="00473993">
            <w:pPr>
              <w:jc w:val="center"/>
              <w:rPr>
                <w:b/>
                <w:color w:val="auto"/>
                <w:sz w:val="21"/>
                <w:szCs w:val="24"/>
              </w:rPr>
            </w:pPr>
            <w:r w:rsidRPr="00C1439C">
              <w:rPr>
                <w:b/>
                <w:color w:val="auto"/>
                <w:sz w:val="21"/>
                <w:szCs w:val="24"/>
              </w:rPr>
              <w:t>2023</w:t>
            </w:r>
          </w:p>
        </w:tc>
        <w:tc>
          <w:tcPr>
            <w:tcW w:w="1199" w:type="dxa"/>
            <w:tcBorders>
              <w:top w:val="nil"/>
              <w:left w:val="single" w:sz="4" w:space="0" w:color="000000"/>
              <w:bottom w:val="single" w:sz="4" w:space="0" w:color="000000"/>
              <w:right w:val="nil"/>
            </w:tcBorders>
            <w:shd w:val="clear" w:color="auto" w:fill="FFFFFF"/>
            <w:vAlign w:val="center"/>
          </w:tcPr>
          <w:p w14:paraId="386130D6" w14:textId="77777777" w:rsidR="00C1439C" w:rsidRPr="00C1439C" w:rsidRDefault="00C1439C" w:rsidP="00473993">
            <w:pPr>
              <w:jc w:val="center"/>
              <w:rPr>
                <w:bCs/>
                <w:color w:val="auto"/>
                <w:sz w:val="21"/>
                <w:szCs w:val="24"/>
              </w:rPr>
            </w:pPr>
            <w:r w:rsidRPr="00C1439C">
              <w:rPr>
                <w:bCs/>
                <w:color w:val="auto"/>
                <w:sz w:val="21"/>
                <w:szCs w:val="24"/>
              </w:rPr>
              <w:t>10 a 14</w:t>
            </w:r>
          </w:p>
        </w:tc>
        <w:tc>
          <w:tcPr>
            <w:tcW w:w="1086" w:type="dxa"/>
            <w:tcBorders>
              <w:top w:val="nil"/>
              <w:left w:val="single" w:sz="4" w:space="0" w:color="000000"/>
              <w:bottom w:val="single" w:sz="4" w:space="0" w:color="000000"/>
              <w:right w:val="single" w:sz="4" w:space="0" w:color="000000"/>
            </w:tcBorders>
            <w:shd w:val="clear" w:color="auto" w:fill="auto"/>
            <w:vAlign w:val="center"/>
          </w:tcPr>
          <w:p w14:paraId="039B412C" w14:textId="77777777" w:rsidR="00C1439C" w:rsidRPr="00C1439C" w:rsidRDefault="00C1439C" w:rsidP="00473993">
            <w:pPr>
              <w:jc w:val="center"/>
              <w:rPr>
                <w:bCs/>
                <w:color w:val="auto"/>
                <w:sz w:val="21"/>
                <w:szCs w:val="24"/>
              </w:rPr>
            </w:pPr>
            <w:r w:rsidRPr="00C1439C">
              <w:rPr>
                <w:bCs/>
                <w:color w:val="auto"/>
                <w:sz w:val="21"/>
                <w:szCs w:val="24"/>
              </w:rPr>
              <w:t>283</w:t>
            </w:r>
          </w:p>
        </w:tc>
        <w:tc>
          <w:tcPr>
            <w:tcW w:w="1086" w:type="dxa"/>
            <w:tcBorders>
              <w:top w:val="nil"/>
              <w:left w:val="nil"/>
              <w:bottom w:val="single" w:sz="4" w:space="0" w:color="000000"/>
              <w:right w:val="single" w:sz="4" w:space="0" w:color="000000"/>
            </w:tcBorders>
            <w:shd w:val="clear" w:color="auto" w:fill="auto"/>
            <w:vAlign w:val="center"/>
          </w:tcPr>
          <w:p w14:paraId="761FF26C" w14:textId="77777777" w:rsidR="00C1439C" w:rsidRPr="00C1439C" w:rsidRDefault="00C1439C" w:rsidP="00473993">
            <w:pPr>
              <w:jc w:val="center"/>
              <w:rPr>
                <w:bCs/>
                <w:color w:val="auto"/>
                <w:sz w:val="21"/>
                <w:szCs w:val="24"/>
              </w:rPr>
            </w:pPr>
            <w:r w:rsidRPr="00C1439C">
              <w:rPr>
                <w:bCs/>
                <w:color w:val="auto"/>
                <w:sz w:val="21"/>
                <w:szCs w:val="24"/>
              </w:rPr>
              <w:t>10</w:t>
            </w:r>
          </w:p>
        </w:tc>
        <w:tc>
          <w:tcPr>
            <w:tcW w:w="1237" w:type="dxa"/>
            <w:tcBorders>
              <w:top w:val="nil"/>
              <w:left w:val="nil"/>
              <w:bottom w:val="single" w:sz="4" w:space="0" w:color="000000"/>
              <w:right w:val="single" w:sz="4" w:space="0" w:color="000000"/>
            </w:tcBorders>
            <w:shd w:val="clear" w:color="auto" w:fill="auto"/>
            <w:vAlign w:val="center"/>
          </w:tcPr>
          <w:p w14:paraId="42A41757" w14:textId="77777777" w:rsidR="00C1439C" w:rsidRPr="00C1439C" w:rsidRDefault="00C1439C" w:rsidP="00473993">
            <w:pPr>
              <w:jc w:val="center"/>
              <w:rPr>
                <w:bCs/>
                <w:color w:val="auto"/>
                <w:sz w:val="21"/>
                <w:szCs w:val="24"/>
              </w:rPr>
            </w:pPr>
            <w:r w:rsidRPr="00C1439C">
              <w:rPr>
                <w:bCs/>
                <w:color w:val="auto"/>
                <w:sz w:val="21"/>
                <w:szCs w:val="24"/>
              </w:rPr>
              <w:t>1</w:t>
            </w:r>
          </w:p>
        </w:tc>
        <w:tc>
          <w:tcPr>
            <w:tcW w:w="834" w:type="dxa"/>
            <w:tcBorders>
              <w:top w:val="nil"/>
              <w:left w:val="nil"/>
              <w:bottom w:val="single" w:sz="4" w:space="0" w:color="000000"/>
              <w:right w:val="single" w:sz="4" w:space="0" w:color="000000"/>
            </w:tcBorders>
            <w:shd w:val="clear" w:color="auto" w:fill="auto"/>
            <w:vAlign w:val="center"/>
          </w:tcPr>
          <w:p w14:paraId="2C20330F" w14:textId="77777777" w:rsidR="00C1439C" w:rsidRPr="00C1439C" w:rsidRDefault="00C1439C" w:rsidP="00473993">
            <w:pPr>
              <w:jc w:val="center"/>
              <w:rPr>
                <w:bCs/>
                <w:color w:val="auto"/>
                <w:sz w:val="21"/>
                <w:szCs w:val="24"/>
              </w:rPr>
            </w:pPr>
            <w:r w:rsidRPr="00C1439C">
              <w:rPr>
                <w:bCs/>
                <w:color w:val="auto"/>
                <w:sz w:val="21"/>
                <w:szCs w:val="24"/>
              </w:rPr>
              <w:t>110</w:t>
            </w:r>
          </w:p>
        </w:tc>
        <w:tc>
          <w:tcPr>
            <w:tcW w:w="834" w:type="dxa"/>
            <w:tcBorders>
              <w:top w:val="nil"/>
              <w:left w:val="nil"/>
              <w:bottom w:val="single" w:sz="4" w:space="0" w:color="000000"/>
              <w:right w:val="single" w:sz="4" w:space="0" w:color="000000"/>
            </w:tcBorders>
            <w:shd w:val="clear" w:color="auto" w:fill="auto"/>
            <w:vAlign w:val="center"/>
          </w:tcPr>
          <w:p w14:paraId="6A5380BE" w14:textId="77777777" w:rsidR="00C1439C" w:rsidRPr="00C1439C" w:rsidRDefault="00C1439C" w:rsidP="00473993">
            <w:pPr>
              <w:jc w:val="center"/>
              <w:rPr>
                <w:bCs/>
                <w:color w:val="auto"/>
                <w:sz w:val="21"/>
                <w:szCs w:val="24"/>
              </w:rPr>
            </w:pPr>
            <w:r w:rsidRPr="00C1439C">
              <w:rPr>
                <w:bCs/>
                <w:color w:val="auto"/>
                <w:sz w:val="21"/>
                <w:szCs w:val="24"/>
              </w:rPr>
              <w:t>4</w:t>
            </w:r>
          </w:p>
        </w:tc>
        <w:tc>
          <w:tcPr>
            <w:tcW w:w="947" w:type="dxa"/>
            <w:tcBorders>
              <w:top w:val="nil"/>
              <w:left w:val="nil"/>
              <w:bottom w:val="single" w:sz="4" w:space="0" w:color="000000"/>
              <w:right w:val="single" w:sz="4" w:space="0" w:color="000000"/>
            </w:tcBorders>
            <w:shd w:val="clear" w:color="auto" w:fill="auto"/>
            <w:vAlign w:val="center"/>
          </w:tcPr>
          <w:p w14:paraId="207EDF01" w14:textId="77777777" w:rsidR="00C1439C" w:rsidRPr="00C1439C" w:rsidRDefault="00C1439C" w:rsidP="00473993">
            <w:pPr>
              <w:jc w:val="center"/>
              <w:rPr>
                <w:bCs/>
                <w:color w:val="auto"/>
                <w:sz w:val="21"/>
                <w:szCs w:val="24"/>
              </w:rPr>
            </w:pPr>
            <w:r w:rsidRPr="00C1439C">
              <w:rPr>
                <w:bCs/>
                <w:color w:val="auto"/>
                <w:sz w:val="21"/>
                <w:szCs w:val="24"/>
              </w:rPr>
              <w:t>0</w:t>
            </w:r>
          </w:p>
        </w:tc>
        <w:tc>
          <w:tcPr>
            <w:tcW w:w="1200" w:type="dxa"/>
            <w:gridSpan w:val="2"/>
            <w:tcBorders>
              <w:top w:val="nil"/>
              <w:left w:val="nil"/>
              <w:bottom w:val="single" w:sz="4" w:space="0" w:color="000000"/>
              <w:right w:val="single" w:sz="4" w:space="0" w:color="000000"/>
            </w:tcBorders>
            <w:shd w:val="clear" w:color="auto" w:fill="D9D9D9"/>
            <w:vAlign w:val="center"/>
          </w:tcPr>
          <w:p w14:paraId="3E3DE502" w14:textId="77777777" w:rsidR="00C1439C" w:rsidRPr="00C1439C" w:rsidRDefault="00C1439C" w:rsidP="00473993">
            <w:pPr>
              <w:jc w:val="center"/>
              <w:rPr>
                <w:bCs/>
                <w:color w:val="auto"/>
                <w:sz w:val="21"/>
                <w:szCs w:val="24"/>
              </w:rPr>
            </w:pPr>
            <w:r w:rsidRPr="00C1439C">
              <w:rPr>
                <w:bCs/>
                <w:color w:val="auto"/>
                <w:sz w:val="21"/>
                <w:szCs w:val="24"/>
              </w:rPr>
              <w:t>408</w:t>
            </w:r>
          </w:p>
        </w:tc>
      </w:tr>
      <w:tr w:rsidR="00C1439C" w:rsidRPr="00C1439C" w14:paraId="0A6AE1C5" w14:textId="77777777" w:rsidTr="00473993">
        <w:trPr>
          <w:gridAfter w:val="1"/>
          <w:wAfter w:w="8" w:type="dxa"/>
          <w:trHeight w:val="300"/>
        </w:trPr>
        <w:tc>
          <w:tcPr>
            <w:tcW w:w="1199" w:type="dxa"/>
            <w:vMerge/>
            <w:tcBorders>
              <w:top w:val="single" w:sz="4" w:space="0" w:color="000000"/>
              <w:left w:val="single" w:sz="4" w:space="0" w:color="000000"/>
              <w:bottom w:val="single" w:sz="4" w:space="0" w:color="000000"/>
              <w:right w:val="nil"/>
            </w:tcBorders>
            <w:shd w:val="clear" w:color="auto" w:fill="D9D9D9"/>
            <w:vAlign w:val="center"/>
          </w:tcPr>
          <w:p w14:paraId="4BD5C2C4"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1199" w:type="dxa"/>
            <w:tcBorders>
              <w:top w:val="nil"/>
              <w:left w:val="single" w:sz="4" w:space="0" w:color="000000"/>
              <w:bottom w:val="single" w:sz="4" w:space="0" w:color="auto"/>
              <w:right w:val="nil"/>
            </w:tcBorders>
            <w:shd w:val="clear" w:color="auto" w:fill="FFFFFF"/>
            <w:vAlign w:val="center"/>
          </w:tcPr>
          <w:p w14:paraId="629DA9E6" w14:textId="77777777" w:rsidR="00C1439C" w:rsidRPr="00C1439C" w:rsidRDefault="00C1439C" w:rsidP="00473993">
            <w:pPr>
              <w:jc w:val="center"/>
              <w:rPr>
                <w:bCs/>
                <w:color w:val="auto"/>
                <w:sz w:val="21"/>
                <w:szCs w:val="24"/>
              </w:rPr>
            </w:pPr>
            <w:r w:rsidRPr="00C1439C">
              <w:rPr>
                <w:bCs/>
                <w:color w:val="auto"/>
                <w:sz w:val="21"/>
                <w:szCs w:val="24"/>
              </w:rPr>
              <w:t>15 a 19</w:t>
            </w:r>
          </w:p>
        </w:tc>
        <w:tc>
          <w:tcPr>
            <w:tcW w:w="1086" w:type="dxa"/>
            <w:tcBorders>
              <w:top w:val="nil"/>
              <w:left w:val="single" w:sz="4" w:space="0" w:color="000000"/>
              <w:bottom w:val="single" w:sz="4" w:space="0" w:color="auto"/>
              <w:right w:val="single" w:sz="4" w:space="0" w:color="000000"/>
            </w:tcBorders>
            <w:shd w:val="clear" w:color="auto" w:fill="auto"/>
            <w:vAlign w:val="center"/>
          </w:tcPr>
          <w:p w14:paraId="558BCE72" w14:textId="77777777" w:rsidR="00C1439C" w:rsidRPr="00C1439C" w:rsidRDefault="00C1439C" w:rsidP="00473993">
            <w:pPr>
              <w:jc w:val="center"/>
              <w:rPr>
                <w:bCs/>
                <w:color w:val="auto"/>
                <w:sz w:val="21"/>
                <w:szCs w:val="24"/>
              </w:rPr>
            </w:pPr>
            <w:r w:rsidRPr="00C1439C">
              <w:rPr>
                <w:bCs/>
                <w:color w:val="auto"/>
                <w:sz w:val="21"/>
                <w:szCs w:val="24"/>
              </w:rPr>
              <w:t>8.297</w:t>
            </w:r>
          </w:p>
        </w:tc>
        <w:tc>
          <w:tcPr>
            <w:tcW w:w="1086" w:type="dxa"/>
            <w:tcBorders>
              <w:top w:val="nil"/>
              <w:left w:val="nil"/>
              <w:bottom w:val="single" w:sz="4" w:space="0" w:color="auto"/>
              <w:right w:val="single" w:sz="4" w:space="0" w:color="000000"/>
            </w:tcBorders>
            <w:shd w:val="clear" w:color="auto" w:fill="auto"/>
            <w:vAlign w:val="center"/>
          </w:tcPr>
          <w:p w14:paraId="6F7BC8D9" w14:textId="77777777" w:rsidR="00C1439C" w:rsidRPr="00C1439C" w:rsidRDefault="00C1439C" w:rsidP="00473993">
            <w:pPr>
              <w:jc w:val="center"/>
              <w:rPr>
                <w:bCs/>
                <w:color w:val="auto"/>
                <w:sz w:val="21"/>
                <w:szCs w:val="24"/>
              </w:rPr>
            </w:pPr>
            <w:r w:rsidRPr="00C1439C">
              <w:rPr>
                <w:bCs/>
                <w:color w:val="auto"/>
                <w:sz w:val="21"/>
                <w:szCs w:val="24"/>
              </w:rPr>
              <w:t>1.583</w:t>
            </w:r>
          </w:p>
        </w:tc>
        <w:tc>
          <w:tcPr>
            <w:tcW w:w="1237" w:type="dxa"/>
            <w:tcBorders>
              <w:top w:val="nil"/>
              <w:left w:val="nil"/>
              <w:bottom w:val="single" w:sz="4" w:space="0" w:color="auto"/>
              <w:right w:val="single" w:sz="4" w:space="0" w:color="000000"/>
            </w:tcBorders>
            <w:shd w:val="clear" w:color="auto" w:fill="auto"/>
            <w:vAlign w:val="center"/>
          </w:tcPr>
          <w:p w14:paraId="7AD51A13" w14:textId="77777777" w:rsidR="00C1439C" w:rsidRPr="00C1439C" w:rsidRDefault="00C1439C" w:rsidP="00473993">
            <w:pPr>
              <w:jc w:val="center"/>
              <w:rPr>
                <w:bCs/>
                <w:color w:val="auto"/>
                <w:sz w:val="21"/>
                <w:szCs w:val="24"/>
              </w:rPr>
            </w:pPr>
            <w:r w:rsidRPr="00C1439C">
              <w:rPr>
                <w:bCs/>
                <w:color w:val="auto"/>
                <w:sz w:val="21"/>
                <w:szCs w:val="24"/>
              </w:rPr>
              <w:t>189</w:t>
            </w:r>
          </w:p>
        </w:tc>
        <w:tc>
          <w:tcPr>
            <w:tcW w:w="834" w:type="dxa"/>
            <w:tcBorders>
              <w:top w:val="nil"/>
              <w:left w:val="nil"/>
              <w:bottom w:val="single" w:sz="4" w:space="0" w:color="auto"/>
              <w:right w:val="single" w:sz="4" w:space="0" w:color="000000"/>
            </w:tcBorders>
            <w:shd w:val="clear" w:color="auto" w:fill="auto"/>
            <w:vAlign w:val="center"/>
          </w:tcPr>
          <w:p w14:paraId="5C5644CF" w14:textId="77777777" w:rsidR="00C1439C" w:rsidRPr="00C1439C" w:rsidRDefault="00C1439C" w:rsidP="00473993">
            <w:pPr>
              <w:jc w:val="center"/>
              <w:rPr>
                <w:bCs/>
                <w:color w:val="auto"/>
                <w:sz w:val="21"/>
                <w:szCs w:val="24"/>
              </w:rPr>
            </w:pPr>
            <w:r w:rsidRPr="00C1439C">
              <w:rPr>
                <w:bCs/>
                <w:color w:val="auto"/>
                <w:sz w:val="21"/>
                <w:szCs w:val="24"/>
              </w:rPr>
              <w:t>484</w:t>
            </w:r>
          </w:p>
        </w:tc>
        <w:tc>
          <w:tcPr>
            <w:tcW w:w="834" w:type="dxa"/>
            <w:tcBorders>
              <w:top w:val="nil"/>
              <w:left w:val="nil"/>
              <w:bottom w:val="single" w:sz="4" w:space="0" w:color="auto"/>
              <w:right w:val="single" w:sz="4" w:space="0" w:color="000000"/>
            </w:tcBorders>
            <w:shd w:val="clear" w:color="auto" w:fill="auto"/>
            <w:vAlign w:val="center"/>
          </w:tcPr>
          <w:p w14:paraId="749AA76A" w14:textId="77777777" w:rsidR="00C1439C" w:rsidRPr="00C1439C" w:rsidRDefault="00C1439C" w:rsidP="00473993">
            <w:pPr>
              <w:jc w:val="center"/>
              <w:rPr>
                <w:bCs/>
                <w:color w:val="auto"/>
                <w:sz w:val="21"/>
                <w:szCs w:val="24"/>
              </w:rPr>
            </w:pPr>
            <w:r w:rsidRPr="00C1439C">
              <w:rPr>
                <w:bCs/>
                <w:color w:val="auto"/>
                <w:sz w:val="21"/>
                <w:szCs w:val="24"/>
              </w:rPr>
              <w:t>235</w:t>
            </w:r>
          </w:p>
        </w:tc>
        <w:tc>
          <w:tcPr>
            <w:tcW w:w="947" w:type="dxa"/>
            <w:tcBorders>
              <w:top w:val="nil"/>
              <w:left w:val="nil"/>
              <w:bottom w:val="single" w:sz="4" w:space="0" w:color="auto"/>
              <w:right w:val="single" w:sz="4" w:space="0" w:color="000000"/>
            </w:tcBorders>
            <w:shd w:val="clear" w:color="auto" w:fill="auto"/>
            <w:vAlign w:val="center"/>
          </w:tcPr>
          <w:p w14:paraId="6C159520" w14:textId="77777777" w:rsidR="00C1439C" w:rsidRPr="00C1439C" w:rsidRDefault="00C1439C" w:rsidP="00473993">
            <w:pPr>
              <w:jc w:val="center"/>
              <w:rPr>
                <w:bCs/>
                <w:color w:val="auto"/>
                <w:sz w:val="21"/>
                <w:szCs w:val="24"/>
              </w:rPr>
            </w:pPr>
            <w:r w:rsidRPr="00C1439C">
              <w:rPr>
                <w:bCs/>
                <w:color w:val="auto"/>
                <w:sz w:val="21"/>
                <w:szCs w:val="24"/>
              </w:rPr>
              <w:t>35</w:t>
            </w:r>
          </w:p>
        </w:tc>
        <w:tc>
          <w:tcPr>
            <w:tcW w:w="1200" w:type="dxa"/>
            <w:gridSpan w:val="2"/>
            <w:tcBorders>
              <w:top w:val="nil"/>
              <w:left w:val="nil"/>
              <w:bottom w:val="single" w:sz="4" w:space="0" w:color="auto"/>
              <w:right w:val="single" w:sz="4" w:space="0" w:color="000000"/>
            </w:tcBorders>
            <w:shd w:val="clear" w:color="auto" w:fill="D9D9D9"/>
            <w:vAlign w:val="center"/>
          </w:tcPr>
          <w:p w14:paraId="1306E424" w14:textId="77777777" w:rsidR="00C1439C" w:rsidRPr="00C1439C" w:rsidRDefault="00C1439C" w:rsidP="00473993">
            <w:pPr>
              <w:jc w:val="center"/>
              <w:rPr>
                <w:bCs/>
                <w:color w:val="auto"/>
                <w:sz w:val="21"/>
                <w:szCs w:val="24"/>
              </w:rPr>
            </w:pPr>
            <w:r w:rsidRPr="00C1439C">
              <w:rPr>
                <w:bCs/>
                <w:color w:val="auto"/>
                <w:sz w:val="21"/>
                <w:szCs w:val="24"/>
              </w:rPr>
              <w:t>10.823</w:t>
            </w:r>
          </w:p>
        </w:tc>
      </w:tr>
      <w:tr w:rsidR="00C1439C" w:rsidRPr="00C1439C" w14:paraId="0A79EA25" w14:textId="77777777" w:rsidTr="00473993">
        <w:trPr>
          <w:gridAfter w:val="1"/>
          <w:wAfter w:w="8" w:type="dxa"/>
          <w:trHeight w:val="300"/>
        </w:trPr>
        <w:tc>
          <w:tcPr>
            <w:tcW w:w="1199" w:type="dxa"/>
            <w:vMerge w:val="restart"/>
            <w:tcBorders>
              <w:top w:val="single" w:sz="4" w:space="0" w:color="000000"/>
              <w:left w:val="single" w:sz="4" w:space="0" w:color="000000"/>
              <w:right w:val="single" w:sz="4" w:space="0" w:color="auto"/>
            </w:tcBorders>
            <w:shd w:val="clear" w:color="auto" w:fill="D9D9D9"/>
            <w:vAlign w:val="center"/>
          </w:tcPr>
          <w:p w14:paraId="4163E7E2" w14:textId="77777777" w:rsidR="00C1439C" w:rsidRPr="00C1439C" w:rsidRDefault="00C1439C" w:rsidP="00473993">
            <w:pPr>
              <w:pBdr>
                <w:top w:val="nil"/>
                <w:left w:val="nil"/>
                <w:bottom w:val="nil"/>
                <w:right w:val="nil"/>
                <w:between w:val="nil"/>
              </w:pBdr>
              <w:jc w:val="center"/>
              <w:rPr>
                <w:b/>
                <w:color w:val="auto"/>
                <w:sz w:val="21"/>
                <w:szCs w:val="24"/>
              </w:rPr>
            </w:pPr>
            <w:r w:rsidRPr="00C1439C">
              <w:rPr>
                <w:b/>
                <w:color w:val="auto"/>
                <w:sz w:val="21"/>
                <w:szCs w:val="24"/>
              </w:rPr>
              <w:t>2024(*)</w:t>
            </w:r>
          </w:p>
        </w:tc>
        <w:tc>
          <w:tcPr>
            <w:tcW w:w="1199" w:type="dxa"/>
            <w:tcBorders>
              <w:top w:val="single" w:sz="4" w:space="0" w:color="auto"/>
              <w:left w:val="single" w:sz="4" w:space="0" w:color="auto"/>
              <w:bottom w:val="single" w:sz="4" w:space="0" w:color="auto"/>
              <w:right w:val="single" w:sz="4" w:space="0" w:color="auto"/>
            </w:tcBorders>
            <w:shd w:val="clear" w:color="auto" w:fill="FFFFFF"/>
            <w:vAlign w:val="center"/>
          </w:tcPr>
          <w:p w14:paraId="30C38E1D" w14:textId="77777777" w:rsidR="00C1439C" w:rsidRPr="00C1439C" w:rsidRDefault="00C1439C" w:rsidP="00473993">
            <w:pPr>
              <w:jc w:val="center"/>
              <w:rPr>
                <w:bCs/>
                <w:color w:val="auto"/>
                <w:sz w:val="21"/>
                <w:szCs w:val="24"/>
              </w:rPr>
            </w:pPr>
            <w:r w:rsidRPr="00C1439C">
              <w:rPr>
                <w:bCs/>
                <w:color w:val="auto"/>
                <w:sz w:val="21"/>
                <w:szCs w:val="24"/>
              </w:rPr>
              <w:t>10 a 14</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92FAD2D" w14:textId="77777777" w:rsidR="00C1439C" w:rsidRPr="00C1439C" w:rsidRDefault="00C1439C" w:rsidP="00473993">
            <w:pPr>
              <w:jc w:val="center"/>
              <w:rPr>
                <w:bCs/>
                <w:color w:val="auto"/>
                <w:sz w:val="21"/>
                <w:szCs w:val="24"/>
              </w:rPr>
            </w:pPr>
            <w:r w:rsidRPr="00C1439C">
              <w:rPr>
                <w:bCs/>
                <w:color w:val="auto"/>
                <w:sz w:val="21"/>
                <w:szCs w:val="24"/>
              </w:rPr>
              <w:t>251</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5136B7F" w14:textId="77777777" w:rsidR="00C1439C" w:rsidRPr="00C1439C" w:rsidRDefault="00C1439C" w:rsidP="00473993">
            <w:pPr>
              <w:jc w:val="center"/>
              <w:rPr>
                <w:bCs/>
                <w:color w:val="auto"/>
                <w:sz w:val="21"/>
                <w:szCs w:val="24"/>
              </w:rPr>
            </w:pPr>
            <w:r w:rsidRPr="00C1439C">
              <w:rPr>
                <w:bCs/>
                <w:color w:val="auto"/>
                <w:sz w:val="21"/>
                <w:szCs w:val="24"/>
              </w:rPr>
              <w:t>5</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50F99F1" w14:textId="77777777" w:rsidR="00C1439C" w:rsidRPr="00C1439C" w:rsidRDefault="00C1439C" w:rsidP="00473993">
            <w:pPr>
              <w:jc w:val="center"/>
              <w:rPr>
                <w:bCs/>
                <w:color w:val="auto"/>
                <w:sz w:val="21"/>
                <w:szCs w:val="24"/>
              </w:rPr>
            </w:pPr>
            <w:r w:rsidRPr="00C1439C">
              <w:rPr>
                <w:bCs/>
                <w:color w:val="auto"/>
                <w:sz w:val="21"/>
                <w:szCs w:val="24"/>
              </w:rPr>
              <w:t>1</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2916BDF" w14:textId="77777777" w:rsidR="00C1439C" w:rsidRPr="00C1439C" w:rsidRDefault="00C1439C" w:rsidP="00473993">
            <w:pPr>
              <w:jc w:val="center"/>
              <w:rPr>
                <w:bCs/>
                <w:color w:val="auto"/>
                <w:sz w:val="21"/>
                <w:szCs w:val="24"/>
              </w:rPr>
            </w:pPr>
            <w:r w:rsidRPr="00C1439C">
              <w:rPr>
                <w:bCs/>
                <w:color w:val="auto"/>
                <w:sz w:val="21"/>
                <w:szCs w:val="24"/>
              </w:rPr>
              <w:t>80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FE42220" w14:textId="77777777" w:rsidR="00C1439C" w:rsidRPr="00C1439C" w:rsidRDefault="00C1439C" w:rsidP="00473993">
            <w:pPr>
              <w:jc w:val="center"/>
              <w:rPr>
                <w:bCs/>
                <w:color w:val="auto"/>
                <w:sz w:val="21"/>
                <w:szCs w:val="24"/>
              </w:rPr>
            </w:pPr>
            <w:r w:rsidRPr="00C1439C">
              <w:rPr>
                <w:bCs/>
                <w:color w:val="auto"/>
                <w:sz w:val="21"/>
                <w:szCs w:val="24"/>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FE16D7" w14:textId="77777777" w:rsidR="00C1439C" w:rsidRPr="00C1439C" w:rsidRDefault="00C1439C" w:rsidP="00473993">
            <w:pPr>
              <w:jc w:val="center"/>
              <w:rPr>
                <w:bCs/>
                <w:color w:val="auto"/>
                <w:sz w:val="21"/>
                <w:szCs w:val="24"/>
              </w:rPr>
            </w:pPr>
            <w:r w:rsidRPr="00C1439C">
              <w:rPr>
                <w:bCs/>
                <w:color w:val="auto"/>
                <w:sz w:val="21"/>
                <w:szCs w:val="24"/>
              </w:rPr>
              <w:t>0</w:t>
            </w:r>
          </w:p>
        </w:tc>
        <w:tc>
          <w:tcPr>
            <w:tcW w:w="120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BF21A1" w14:textId="77777777" w:rsidR="00C1439C" w:rsidRPr="00C1439C" w:rsidRDefault="00C1439C" w:rsidP="00473993">
            <w:pPr>
              <w:jc w:val="center"/>
              <w:rPr>
                <w:bCs/>
                <w:color w:val="auto"/>
                <w:sz w:val="21"/>
                <w:szCs w:val="24"/>
              </w:rPr>
            </w:pPr>
            <w:r w:rsidRPr="00C1439C">
              <w:rPr>
                <w:bCs/>
                <w:color w:val="auto"/>
                <w:sz w:val="21"/>
                <w:szCs w:val="24"/>
              </w:rPr>
              <w:t>339</w:t>
            </w:r>
          </w:p>
        </w:tc>
      </w:tr>
      <w:tr w:rsidR="00C1439C" w:rsidRPr="00C1439C" w14:paraId="75F876C7" w14:textId="77777777" w:rsidTr="00473993">
        <w:trPr>
          <w:gridAfter w:val="1"/>
          <w:wAfter w:w="8" w:type="dxa"/>
          <w:trHeight w:val="300"/>
        </w:trPr>
        <w:tc>
          <w:tcPr>
            <w:tcW w:w="1199" w:type="dxa"/>
            <w:vMerge/>
            <w:tcBorders>
              <w:left w:val="single" w:sz="4" w:space="0" w:color="000000"/>
              <w:bottom w:val="single" w:sz="4" w:space="0" w:color="000000"/>
              <w:right w:val="single" w:sz="4" w:space="0" w:color="auto"/>
            </w:tcBorders>
            <w:shd w:val="clear" w:color="auto" w:fill="D9D9D9"/>
            <w:vAlign w:val="center"/>
          </w:tcPr>
          <w:p w14:paraId="021839F4" w14:textId="77777777" w:rsidR="00C1439C" w:rsidRPr="00C1439C" w:rsidRDefault="00C1439C" w:rsidP="00473993">
            <w:pPr>
              <w:widowControl w:val="0"/>
              <w:pBdr>
                <w:top w:val="nil"/>
                <w:left w:val="nil"/>
                <w:bottom w:val="nil"/>
                <w:right w:val="nil"/>
                <w:between w:val="nil"/>
              </w:pBdr>
              <w:spacing w:line="276" w:lineRule="auto"/>
              <w:rPr>
                <w:bCs/>
                <w:color w:val="auto"/>
                <w:sz w:val="21"/>
                <w:szCs w:val="24"/>
              </w:rPr>
            </w:pPr>
          </w:p>
        </w:tc>
        <w:tc>
          <w:tcPr>
            <w:tcW w:w="1199" w:type="dxa"/>
            <w:tcBorders>
              <w:top w:val="single" w:sz="4" w:space="0" w:color="auto"/>
              <w:left w:val="single" w:sz="4" w:space="0" w:color="auto"/>
              <w:bottom w:val="single" w:sz="4" w:space="0" w:color="auto"/>
              <w:right w:val="single" w:sz="4" w:space="0" w:color="auto"/>
            </w:tcBorders>
            <w:shd w:val="clear" w:color="auto" w:fill="FFFFFF"/>
            <w:vAlign w:val="center"/>
          </w:tcPr>
          <w:p w14:paraId="7673F511" w14:textId="77777777" w:rsidR="00C1439C" w:rsidRPr="00C1439C" w:rsidRDefault="00C1439C" w:rsidP="00473993">
            <w:pPr>
              <w:jc w:val="center"/>
              <w:rPr>
                <w:bCs/>
                <w:color w:val="auto"/>
                <w:sz w:val="21"/>
                <w:szCs w:val="24"/>
              </w:rPr>
            </w:pPr>
            <w:r w:rsidRPr="00C1439C">
              <w:rPr>
                <w:bCs/>
                <w:color w:val="auto"/>
                <w:sz w:val="21"/>
                <w:szCs w:val="24"/>
              </w:rPr>
              <w:t>15 a 19</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98D8C8E" w14:textId="77777777" w:rsidR="00C1439C" w:rsidRPr="00C1439C" w:rsidRDefault="00C1439C" w:rsidP="00473993">
            <w:pPr>
              <w:jc w:val="center"/>
              <w:rPr>
                <w:bCs/>
                <w:color w:val="auto"/>
                <w:sz w:val="21"/>
                <w:szCs w:val="24"/>
              </w:rPr>
            </w:pPr>
            <w:r w:rsidRPr="00C1439C">
              <w:rPr>
                <w:bCs/>
                <w:color w:val="auto"/>
                <w:sz w:val="21"/>
                <w:szCs w:val="24"/>
              </w:rPr>
              <w:t>6.747</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6560C6A" w14:textId="77777777" w:rsidR="00C1439C" w:rsidRPr="00C1439C" w:rsidRDefault="00C1439C" w:rsidP="00473993">
            <w:pPr>
              <w:jc w:val="center"/>
              <w:rPr>
                <w:bCs/>
                <w:color w:val="auto"/>
                <w:sz w:val="21"/>
                <w:szCs w:val="24"/>
              </w:rPr>
            </w:pPr>
            <w:r w:rsidRPr="00C1439C">
              <w:rPr>
                <w:bCs/>
                <w:color w:val="auto"/>
                <w:sz w:val="21"/>
                <w:szCs w:val="24"/>
              </w:rPr>
              <w:t>1.124</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E26F667" w14:textId="77777777" w:rsidR="00C1439C" w:rsidRPr="00C1439C" w:rsidRDefault="00C1439C" w:rsidP="00473993">
            <w:pPr>
              <w:jc w:val="center"/>
              <w:rPr>
                <w:bCs/>
                <w:color w:val="auto"/>
                <w:sz w:val="21"/>
                <w:szCs w:val="24"/>
              </w:rPr>
            </w:pPr>
            <w:r w:rsidRPr="00C1439C">
              <w:rPr>
                <w:bCs/>
                <w:color w:val="auto"/>
                <w:sz w:val="21"/>
                <w:szCs w:val="24"/>
              </w:rPr>
              <w:t>105</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7C7BA97" w14:textId="77777777" w:rsidR="00C1439C" w:rsidRPr="00C1439C" w:rsidRDefault="00C1439C" w:rsidP="00473993">
            <w:pPr>
              <w:jc w:val="center"/>
              <w:rPr>
                <w:bCs/>
                <w:color w:val="auto"/>
                <w:sz w:val="21"/>
                <w:szCs w:val="24"/>
              </w:rPr>
            </w:pPr>
            <w:r w:rsidRPr="00C1439C">
              <w:rPr>
                <w:bCs/>
                <w:color w:val="auto"/>
                <w:sz w:val="21"/>
                <w:szCs w:val="24"/>
              </w:rPr>
              <w:t>437</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44DFF48" w14:textId="77777777" w:rsidR="00C1439C" w:rsidRPr="00C1439C" w:rsidRDefault="00C1439C" w:rsidP="00473993">
            <w:pPr>
              <w:jc w:val="center"/>
              <w:rPr>
                <w:bCs/>
                <w:color w:val="auto"/>
                <w:sz w:val="21"/>
                <w:szCs w:val="24"/>
              </w:rPr>
            </w:pPr>
            <w:r w:rsidRPr="00C1439C">
              <w:rPr>
                <w:bCs/>
                <w:color w:val="auto"/>
                <w:sz w:val="21"/>
                <w:szCs w:val="24"/>
              </w:rPr>
              <w:t>145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47517C" w14:textId="77777777" w:rsidR="00C1439C" w:rsidRPr="00C1439C" w:rsidRDefault="00C1439C" w:rsidP="00473993">
            <w:pPr>
              <w:jc w:val="center"/>
              <w:rPr>
                <w:bCs/>
                <w:color w:val="auto"/>
                <w:sz w:val="21"/>
                <w:szCs w:val="24"/>
              </w:rPr>
            </w:pPr>
            <w:r w:rsidRPr="00C1439C">
              <w:rPr>
                <w:bCs/>
                <w:color w:val="auto"/>
                <w:sz w:val="21"/>
                <w:szCs w:val="24"/>
              </w:rPr>
              <w:t>20</w:t>
            </w:r>
          </w:p>
        </w:tc>
        <w:tc>
          <w:tcPr>
            <w:tcW w:w="120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0DE433" w14:textId="77777777" w:rsidR="00C1439C" w:rsidRPr="00C1439C" w:rsidRDefault="00C1439C" w:rsidP="00473993">
            <w:pPr>
              <w:jc w:val="center"/>
              <w:rPr>
                <w:bCs/>
                <w:color w:val="auto"/>
                <w:sz w:val="21"/>
                <w:szCs w:val="24"/>
              </w:rPr>
            </w:pPr>
            <w:r w:rsidRPr="00C1439C">
              <w:rPr>
                <w:bCs/>
                <w:color w:val="auto"/>
                <w:sz w:val="21"/>
                <w:szCs w:val="24"/>
              </w:rPr>
              <w:t>8.578</w:t>
            </w:r>
          </w:p>
        </w:tc>
      </w:tr>
    </w:tbl>
    <w:p w14:paraId="57F1B30B" w14:textId="574C75EB" w:rsidR="00C1439C" w:rsidRPr="00C1439C" w:rsidRDefault="00C1439C" w:rsidP="00C1439C">
      <w:pPr>
        <w:pStyle w:val="C6BodyText"/>
        <w:rPr>
          <w:rFonts w:ascii="Amnesty Trade Gothic Light" w:eastAsiaTheme="minorHAnsi" w:hAnsi="Amnesty Trade Gothic Light" w:cs="Arial"/>
          <w:bCs/>
          <w:color w:val="auto"/>
          <w:sz w:val="21"/>
          <w:lang w:val="es-ES"/>
        </w:rPr>
      </w:pPr>
      <w:r w:rsidRPr="00C1439C">
        <w:rPr>
          <w:rFonts w:ascii="Amnesty Trade Gothic Light" w:eastAsiaTheme="minorHAnsi" w:hAnsi="Amnesty Trade Gothic Light" w:cs="Arial"/>
          <w:bCs/>
          <w:color w:val="auto"/>
          <w:sz w:val="21"/>
          <w:lang w:val="es-ES"/>
        </w:rPr>
        <w:t>Fuente: MSPBS/DIGIES/DES. Subsistema de Información de Estadísticas Vitales (SSIEV)</w:t>
      </w:r>
      <w:r w:rsidR="00DE1829">
        <w:rPr>
          <w:rStyle w:val="FootnoteReference"/>
        </w:rPr>
        <w:footnoteReference w:id="6"/>
      </w:r>
      <w:r w:rsidRPr="00C1439C">
        <w:rPr>
          <w:rFonts w:ascii="Amnesty Trade Gothic Light" w:eastAsiaTheme="minorHAnsi" w:hAnsi="Amnesty Trade Gothic Light" w:cs="Arial"/>
          <w:bCs/>
          <w:color w:val="auto"/>
          <w:sz w:val="21"/>
          <w:lang w:val="es-ES"/>
        </w:rPr>
        <w:t>.</w:t>
      </w:r>
    </w:p>
    <w:p w14:paraId="6E6E857C" w14:textId="77777777" w:rsidR="00C1439C" w:rsidRPr="00C1439C" w:rsidRDefault="00C1439C" w:rsidP="00C1439C">
      <w:pPr>
        <w:pStyle w:val="C6BodyText"/>
        <w:rPr>
          <w:rFonts w:ascii="Amnesty Trade Gothic Light" w:eastAsiaTheme="minorHAnsi" w:hAnsi="Amnesty Trade Gothic Light" w:cs="Arial"/>
          <w:bCs/>
          <w:color w:val="auto"/>
          <w:sz w:val="21"/>
          <w:lang w:val="es-ES"/>
        </w:rPr>
      </w:pPr>
      <w:r w:rsidRPr="00C1439C">
        <w:rPr>
          <w:rFonts w:ascii="Amnesty Trade Gothic Light" w:eastAsiaTheme="minorHAnsi" w:hAnsi="Amnesty Trade Gothic Light" w:cs="Arial"/>
          <w:bCs/>
          <w:color w:val="auto"/>
          <w:sz w:val="21"/>
          <w:lang w:val="es-ES"/>
        </w:rPr>
        <w:t>(*) Datos provisorios. Fecha de elaboración: 6 de enero de 2025.</w:t>
      </w:r>
    </w:p>
    <w:p w14:paraId="30420F71" w14:textId="69DE9386" w:rsidR="00C1439C" w:rsidRPr="00C1439C" w:rsidRDefault="00796F7C" w:rsidP="00A82D1B">
      <w:pPr>
        <w:pStyle w:val="BBodyText"/>
        <w:rPr>
          <w:lang w:val="es-PY"/>
        </w:rPr>
      </w:pPr>
      <w:r>
        <w:rPr>
          <w:lang w:val="es-PY"/>
        </w:rPr>
        <w:t xml:space="preserve">Motivos de preocupación </w:t>
      </w:r>
      <w:r w:rsidR="00181F0E">
        <w:rPr>
          <w:lang w:val="es-PY"/>
        </w:rPr>
        <w:t>de</w:t>
      </w:r>
      <w:r>
        <w:rPr>
          <w:lang w:val="es-PY"/>
        </w:rPr>
        <w:t xml:space="preserve"> Amnistía Internacional</w:t>
      </w:r>
      <w:r w:rsidR="00181F0E">
        <w:rPr>
          <w:lang w:val="es-PY"/>
        </w:rPr>
        <w:t xml:space="preserve"> para la </w:t>
      </w:r>
      <w:r w:rsidR="004E6E35">
        <w:rPr>
          <w:lang w:val="es-PY"/>
        </w:rPr>
        <w:t>lista de cuestiones</w:t>
      </w:r>
      <w:r w:rsidR="005730DC">
        <w:rPr>
          <w:lang w:val="es-PY"/>
        </w:rPr>
        <w:t>:</w:t>
      </w:r>
    </w:p>
    <w:p w14:paraId="344AF979" w14:textId="364E2BD4" w:rsidR="00A82D1B" w:rsidRPr="00A82D1B" w:rsidRDefault="00796F7C" w:rsidP="00220A1B">
      <w:pPr>
        <w:pStyle w:val="BBodyText"/>
        <w:numPr>
          <w:ilvl w:val="0"/>
          <w:numId w:val="34"/>
        </w:numPr>
      </w:pPr>
      <w:r>
        <w:t>La</w:t>
      </w:r>
      <w:r w:rsidR="00A82D1B" w:rsidRPr="00A82D1B">
        <w:t xml:space="preserve"> prohibición casi total del aborto (art. 109 del Código Penal)</w:t>
      </w:r>
      <w:r>
        <w:t>, que n</w:t>
      </w:r>
      <w:r w:rsidR="00A82D1B" w:rsidRPr="00A82D1B">
        <w:t xml:space="preserve">o está permitido aun cuando el embarazo es consecuencia de una violación, </w:t>
      </w:r>
      <w:r>
        <w:t>con</w:t>
      </w:r>
      <w:r w:rsidR="00A82D1B" w:rsidRPr="00A82D1B">
        <w:t xml:space="preserve"> la única excepción cuando la vida de la niña, adolescente o mujer embarazada corre peligro</w:t>
      </w:r>
      <w:r w:rsidR="00A82D1B" w:rsidRPr="00A82D1B">
        <w:rPr>
          <w:vertAlign w:val="superscript"/>
        </w:rPr>
        <w:footnoteReference w:id="7"/>
      </w:r>
      <w:r w:rsidR="00F06745">
        <w:t>, a pesar de las recomendaciones previas del Comité</w:t>
      </w:r>
      <w:r w:rsidR="00F06745">
        <w:rPr>
          <w:rStyle w:val="FootnoteReference"/>
        </w:rPr>
        <w:footnoteReference w:id="8"/>
      </w:r>
      <w:r w:rsidR="00F06745">
        <w:t>.</w:t>
      </w:r>
    </w:p>
    <w:p w14:paraId="4C17D225" w14:textId="2DDF7321" w:rsidR="00933FB2" w:rsidRDefault="00933FB2" w:rsidP="00220A1B">
      <w:pPr>
        <w:pStyle w:val="BBodyText"/>
        <w:numPr>
          <w:ilvl w:val="0"/>
          <w:numId w:val="34"/>
        </w:numPr>
      </w:pPr>
      <w:r>
        <w:t>La</w:t>
      </w:r>
      <w:r w:rsidR="00181F0E">
        <w:t xml:space="preserve"> falta de medidas adoptadas para dejar sin efecto la </w:t>
      </w:r>
      <w:hyperlink r:id="rId11">
        <w:r w:rsidR="00181F0E" w:rsidRPr="00A82D1B">
          <w:rPr>
            <w:rStyle w:val="Hyperlink"/>
          </w:rPr>
          <w:t>Resolución Núm. 29.664</w:t>
        </w:r>
      </w:hyperlink>
      <w:r w:rsidR="00181F0E" w:rsidRPr="00A82D1B">
        <w:rPr>
          <w:u w:val="single"/>
          <w:vertAlign w:val="superscript"/>
        </w:rPr>
        <w:footnoteReference w:id="9"/>
      </w:r>
      <w:r>
        <w:t xml:space="preserve"> </w:t>
      </w:r>
      <w:r w:rsidR="00181F0E">
        <w:t xml:space="preserve">que impone la </w:t>
      </w:r>
      <w:r w:rsidRPr="00A82D1B">
        <w:t>prohibición general de “la difusión y utilización de materiales [...] referentes a la teoría y/o ideología de género, en instituciones educativas”</w:t>
      </w:r>
      <w:r>
        <w:t>, incumpliendo recomendaciones anteriores del Comité</w:t>
      </w:r>
      <w:r>
        <w:rPr>
          <w:rStyle w:val="FootnoteReference"/>
        </w:rPr>
        <w:footnoteReference w:id="10"/>
      </w:r>
      <w:r>
        <w:t xml:space="preserve">, </w:t>
      </w:r>
      <w:r w:rsidRPr="00A82D1B">
        <w:t>a pesar de que la evidencia demuestra que la educación integral de la sexualidad es una herramienta fundamental para la prevención de la</w:t>
      </w:r>
      <w:r w:rsidR="00E20006">
        <w:t xml:space="preserve"> violación, la</w:t>
      </w:r>
      <w:r w:rsidRPr="00A82D1B">
        <w:t xml:space="preserve"> violencia sexual</w:t>
      </w:r>
      <w:r w:rsidR="00E20006">
        <w:t xml:space="preserve"> y los embarazos de niñas y adolescentes, así como</w:t>
      </w:r>
      <w:r w:rsidRPr="00A82D1B">
        <w:t xml:space="preserve"> la promoción de la igualdad de género.</w:t>
      </w:r>
    </w:p>
    <w:p w14:paraId="7342367D" w14:textId="40FECAD5" w:rsidR="00933FB2" w:rsidRPr="00A82D1B" w:rsidRDefault="00933FB2" w:rsidP="00220A1B">
      <w:pPr>
        <w:pStyle w:val="BBodyText"/>
        <w:numPr>
          <w:ilvl w:val="0"/>
          <w:numId w:val="34"/>
        </w:numPr>
      </w:pPr>
      <w:r>
        <w:t>La presentación, e</w:t>
      </w:r>
      <w:r w:rsidRPr="00A82D1B">
        <w:t xml:space="preserve">n julio de 2023, </w:t>
      </w:r>
      <w:r>
        <w:t>de</w:t>
      </w:r>
      <w:r w:rsidRPr="00A82D1B">
        <w:t xml:space="preserve"> un </w:t>
      </w:r>
      <w:hyperlink r:id="rId12" w:history="1">
        <w:r w:rsidRPr="00A82D1B">
          <w:rPr>
            <w:rStyle w:val="Hyperlink"/>
          </w:rPr>
          <w:t>proyecto de ley</w:t>
        </w:r>
      </w:hyperlink>
      <w:r w:rsidRPr="00A82D1B">
        <w:t xml:space="preserve"> que plantea la prohibición de la promoción, fomento o enseñanza de lo que denomina la «ideología de género»</w:t>
      </w:r>
      <w:r>
        <w:t xml:space="preserve"> en la educación y en las políticas públicas</w:t>
      </w:r>
      <w:r w:rsidRPr="00A82D1B">
        <w:t>. Amnistía Internacional instó al Poder Legislativo a rechazar este proyecto de ley, así como reiteró la necesidad de promover un debate amplio, diverso, inclusivo y tolerante, extendido a todos los sectores de la sociedad, para discutir la importancia de garantizar una educación integral de la sexualidad con perspectiva de género</w:t>
      </w:r>
      <w:r w:rsidRPr="00A82D1B">
        <w:rPr>
          <w:vertAlign w:val="superscript"/>
        </w:rPr>
        <w:footnoteReference w:id="11"/>
      </w:r>
      <w:r w:rsidRPr="00A82D1B">
        <w:t>.</w:t>
      </w:r>
    </w:p>
    <w:p w14:paraId="2477A05F" w14:textId="094338A2" w:rsidR="007D1915" w:rsidRDefault="007D1915" w:rsidP="00220A1B">
      <w:pPr>
        <w:pStyle w:val="BBodyText"/>
        <w:numPr>
          <w:ilvl w:val="0"/>
          <w:numId w:val="34"/>
        </w:numPr>
        <w:rPr>
          <w:sz w:val="22"/>
        </w:rPr>
      </w:pPr>
      <w:r w:rsidRPr="00E20006">
        <w:rPr>
          <w:szCs w:val="21"/>
        </w:rPr>
        <w:t xml:space="preserve">La resistencia del Estado parte a implementar la educación integral de la sexualidad. </w:t>
      </w:r>
      <w:r w:rsidR="00181F0E" w:rsidRPr="00E20006">
        <w:rPr>
          <w:szCs w:val="21"/>
        </w:rPr>
        <w:t>En cambio</w:t>
      </w:r>
      <w:r w:rsidR="003C32CA" w:rsidRPr="00E20006">
        <w:rPr>
          <w:szCs w:val="21"/>
        </w:rPr>
        <w:t>,</w:t>
      </w:r>
      <w:r w:rsidR="00181F0E" w:rsidRPr="00E20006">
        <w:rPr>
          <w:szCs w:val="21"/>
        </w:rPr>
        <w:t xml:space="preserve"> se han aplicado </w:t>
      </w:r>
      <w:r w:rsidRPr="00E20006">
        <w:rPr>
          <w:szCs w:val="21"/>
        </w:rPr>
        <w:t xml:space="preserve">en la </w:t>
      </w:r>
      <w:r w:rsidRPr="00E20006">
        <w:rPr>
          <w:szCs w:val="21"/>
          <w:lang w:val="es-PY"/>
        </w:rPr>
        <w:t>enseñanza pública unos materiales denominados “12</w:t>
      </w:r>
      <w:r>
        <w:rPr>
          <w:lang w:val="es-PY"/>
        </w:rPr>
        <w:t xml:space="preserve"> ciencias” que han sido </w:t>
      </w:r>
      <w:r w:rsidRPr="00E371C6">
        <w:rPr>
          <w:lang w:val="es-PY"/>
        </w:rPr>
        <w:t>cuestionado</w:t>
      </w:r>
      <w:r>
        <w:rPr>
          <w:lang w:val="es-PY"/>
        </w:rPr>
        <w:t>s</w:t>
      </w:r>
      <w:r w:rsidRPr="00E371C6">
        <w:rPr>
          <w:lang w:val="es-PY"/>
        </w:rPr>
        <w:t xml:space="preserve"> </w:t>
      </w:r>
      <w:r>
        <w:rPr>
          <w:lang w:val="es-PY"/>
        </w:rPr>
        <w:t>por</w:t>
      </w:r>
      <w:r w:rsidR="00E20006">
        <w:rPr>
          <w:lang w:val="es-PY"/>
        </w:rPr>
        <w:t xml:space="preserve"> organizaciones de </w:t>
      </w:r>
      <w:r w:rsidR="001E2411">
        <w:rPr>
          <w:lang w:val="es-PY"/>
        </w:rPr>
        <w:t>derechos humanos</w:t>
      </w:r>
      <w:r w:rsidR="00E20006">
        <w:rPr>
          <w:lang w:val="es-PY"/>
        </w:rPr>
        <w:t xml:space="preserve"> y de padres por</w:t>
      </w:r>
      <w:r>
        <w:rPr>
          <w:lang w:val="es-PY"/>
        </w:rPr>
        <w:t xml:space="preserve"> promover</w:t>
      </w:r>
      <w:r w:rsidRPr="00E371C6">
        <w:rPr>
          <w:lang w:val="es-PY"/>
        </w:rPr>
        <w:t xml:space="preserve"> desinformación, no </w:t>
      </w:r>
      <w:r>
        <w:rPr>
          <w:lang w:val="es-PY"/>
        </w:rPr>
        <w:t>basarse</w:t>
      </w:r>
      <w:r w:rsidRPr="00E371C6">
        <w:rPr>
          <w:lang w:val="es-PY"/>
        </w:rPr>
        <w:t xml:space="preserve"> en conocimiento científico</w:t>
      </w:r>
      <w:r>
        <w:rPr>
          <w:lang w:val="es-PY"/>
        </w:rPr>
        <w:t xml:space="preserve"> y</w:t>
      </w:r>
      <w:r w:rsidRPr="00E371C6">
        <w:rPr>
          <w:lang w:val="es-PY"/>
        </w:rPr>
        <w:t xml:space="preserve"> ref</w:t>
      </w:r>
      <w:r>
        <w:rPr>
          <w:lang w:val="es-PY"/>
        </w:rPr>
        <w:t>o</w:t>
      </w:r>
      <w:r w:rsidRPr="00E371C6">
        <w:rPr>
          <w:lang w:val="es-PY"/>
        </w:rPr>
        <w:t>rza</w:t>
      </w:r>
      <w:r>
        <w:rPr>
          <w:lang w:val="es-PY"/>
        </w:rPr>
        <w:t>r</w:t>
      </w:r>
      <w:r w:rsidRPr="00E371C6">
        <w:rPr>
          <w:lang w:val="es-PY"/>
        </w:rPr>
        <w:t xml:space="preserve"> estereotipos nocivos de género</w:t>
      </w:r>
      <w:r>
        <w:rPr>
          <w:rStyle w:val="FootnoteReference"/>
          <w:lang w:val="es-PY"/>
        </w:rPr>
        <w:footnoteReference w:id="12"/>
      </w:r>
      <w:r>
        <w:rPr>
          <w:lang w:val="es-PY"/>
        </w:rPr>
        <w:t>, situación</w:t>
      </w:r>
      <w:r w:rsidR="00181F0E">
        <w:rPr>
          <w:lang w:val="es-PY"/>
        </w:rPr>
        <w:t xml:space="preserve"> ya</w:t>
      </w:r>
      <w:r>
        <w:rPr>
          <w:lang w:val="es-PY"/>
        </w:rPr>
        <w:t xml:space="preserve"> observada por otro órgano de </w:t>
      </w:r>
      <w:r w:rsidR="004902DE">
        <w:rPr>
          <w:lang w:val="es-PY"/>
        </w:rPr>
        <w:t>t</w:t>
      </w:r>
      <w:r>
        <w:rPr>
          <w:lang w:val="es-PY"/>
        </w:rPr>
        <w:t>ratado</w:t>
      </w:r>
      <w:r>
        <w:rPr>
          <w:rStyle w:val="FootnoteReference"/>
          <w:lang w:val="es-PY"/>
        </w:rPr>
        <w:footnoteReference w:id="13"/>
      </w:r>
      <w:r>
        <w:rPr>
          <w:lang w:val="es-PY"/>
        </w:rPr>
        <w:t>.</w:t>
      </w:r>
      <w:r w:rsidR="004902DE" w:rsidRPr="004902DE">
        <w:t xml:space="preserve"> </w:t>
      </w:r>
    </w:p>
    <w:p w14:paraId="60E25F89" w14:textId="531070E4" w:rsidR="007D1915" w:rsidRDefault="004902DE" w:rsidP="00220A1B">
      <w:pPr>
        <w:pStyle w:val="BBodyText"/>
        <w:numPr>
          <w:ilvl w:val="0"/>
          <w:numId w:val="34"/>
        </w:numPr>
        <w:rPr>
          <w:sz w:val="22"/>
        </w:rPr>
      </w:pPr>
      <w:r w:rsidRPr="00E20006">
        <w:rPr>
          <w:szCs w:val="21"/>
        </w:rPr>
        <w:t>La falta de información</w:t>
      </w:r>
      <w:r w:rsidR="00181F0E" w:rsidRPr="00E20006">
        <w:rPr>
          <w:szCs w:val="21"/>
        </w:rPr>
        <w:t xml:space="preserve"> y evaluación</w:t>
      </w:r>
      <w:r w:rsidRPr="00E20006">
        <w:rPr>
          <w:szCs w:val="21"/>
        </w:rPr>
        <w:t xml:space="preserve"> sobre los resultados del Programa Nacional de Prevención y Atención a Niños, Niñas y Adolescentes víctimas de abuso sexual</w:t>
      </w:r>
      <w:r w:rsidRPr="00A82D1B">
        <w:rPr>
          <w:vertAlign w:val="superscript"/>
        </w:rPr>
        <w:footnoteReference w:id="14"/>
      </w:r>
      <w:r w:rsidRPr="00A82D1B">
        <w:t>, en aplicación de la</w:t>
      </w:r>
      <w:r w:rsidRPr="004902DE">
        <w:t xml:space="preserve"> </w:t>
      </w:r>
      <w:hyperlink r:id="rId13" w:history="1">
        <w:r w:rsidRPr="00A82D1B">
          <w:rPr>
            <w:rStyle w:val="Hyperlink"/>
          </w:rPr>
          <w:t>Ley Núm. 6202/2018</w:t>
        </w:r>
      </w:hyperlink>
      <w:r w:rsidRPr="00A82D1B">
        <w:t xml:space="preserve">, </w:t>
      </w:r>
      <w:r>
        <w:t xml:space="preserve">que empezó a funcionar efectivamente en </w:t>
      </w:r>
      <w:r w:rsidRPr="00A82D1B">
        <w:t>octubre de 2023</w:t>
      </w:r>
      <w:r>
        <w:t xml:space="preserve">. </w:t>
      </w:r>
      <w:r w:rsidRPr="00A82D1B">
        <w:t>Amnistía Internacional ha revelado importantes dificultades estructurales en el acceso a la justicia para las niñas que han sufrido</w:t>
      </w:r>
      <w:r w:rsidR="00E20006">
        <w:t xml:space="preserve"> violación y otras formas de</w:t>
      </w:r>
      <w:r w:rsidRPr="00A82D1B">
        <w:t xml:space="preserve"> violencia sexual</w:t>
      </w:r>
      <w:r>
        <w:t xml:space="preserve">, que incluye </w:t>
      </w:r>
      <w:r w:rsidRPr="00A82D1B">
        <w:t>victimización secundaria</w:t>
      </w:r>
      <w:r>
        <w:t xml:space="preserve"> y ausencia de reparaciones transformadoras, </w:t>
      </w:r>
      <w:r w:rsidRPr="00A82D1B">
        <w:t>apoyo psicológico o médico a largo plazo, ni mecanismos para una reintegración adecuada en el sistema educativo</w:t>
      </w:r>
      <w:r w:rsidRPr="00A82D1B">
        <w:rPr>
          <w:vertAlign w:val="superscript"/>
        </w:rPr>
        <w:footnoteReference w:id="15"/>
      </w:r>
      <w:r>
        <w:t>.</w:t>
      </w:r>
    </w:p>
    <w:p w14:paraId="200F99B5" w14:textId="106DD5D8" w:rsidR="00A82D1B" w:rsidRDefault="004902DE" w:rsidP="009A2897">
      <w:pPr>
        <w:pStyle w:val="BNumberedHeading"/>
      </w:pPr>
      <w:bookmarkStart w:id="1" w:name="_Toc198130193"/>
      <w:r>
        <w:t>Atención primaria de la salud</w:t>
      </w:r>
      <w:r w:rsidR="00181F0E">
        <w:t xml:space="preserve"> (APS)</w:t>
      </w:r>
      <w:r w:rsidR="00756EBD">
        <w:t xml:space="preserve"> (</w:t>
      </w:r>
      <w:r w:rsidR="008114E8">
        <w:t xml:space="preserve">ARTíCuLOs </w:t>
      </w:r>
      <w:r w:rsidR="00550DF8">
        <w:t xml:space="preserve">12, </w:t>
      </w:r>
      <w:r w:rsidR="00756EBD">
        <w:t>1</w:t>
      </w:r>
      <w:r w:rsidR="00B745AF">
        <w:t>4</w:t>
      </w:r>
      <w:r w:rsidR="00550DF8">
        <w:t xml:space="preserve"> </w:t>
      </w:r>
      <w:r w:rsidR="00CD59C8">
        <w:t>y</w:t>
      </w:r>
      <w:r w:rsidR="00550DF8">
        <w:t xml:space="preserve"> recomendaci</w:t>
      </w:r>
      <w:r w:rsidR="00167CC0">
        <w:t>ó</w:t>
      </w:r>
      <w:r w:rsidR="00550DF8">
        <w:t xml:space="preserve">n general </w:t>
      </w:r>
      <w:r w:rsidR="001A0AF4">
        <w:t xml:space="preserve">n° </w:t>
      </w:r>
      <w:r w:rsidR="00167CC0">
        <w:t>39</w:t>
      </w:r>
      <w:r w:rsidR="00756EBD">
        <w:t>)</w:t>
      </w:r>
      <w:bookmarkEnd w:id="1"/>
    </w:p>
    <w:p w14:paraId="46FCD046" w14:textId="77777777" w:rsidR="001E38A6" w:rsidRPr="001E38A6" w:rsidRDefault="001E38A6" w:rsidP="001E38A6">
      <w:pPr>
        <w:pStyle w:val="BBodyText"/>
        <w:rPr>
          <w:lang w:eastAsia="en-GB"/>
        </w:rPr>
      </w:pPr>
    </w:p>
    <w:p w14:paraId="1A9A6732" w14:textId="17739B11" w:rsidR="00A82D1B" w:rsidRDefault="007D04C4" w:rsidP="00A82D1B">
      <w:pPr>
        <w:pStyle w:val="BBodyText"/>
      </w:pPr>
      <w:r>
        <w:t>El Estado parte continúa registrando altas tasas de mortalidad materna</w:t>
      </w:r>
      <w:r w:rsidR="00934E8F">
        <w:t xml:space="preserve">, </w:t>
      </w:r>
      <w:r w:rsidR="00A3414B">
        <w:t xml:space="preserve">con </w:t>
      </w:r>
      <w:r w:rsidR="00FE48E6">
        <w:t xml:space="preserve">mayor </w:t>
      </w:r>
      <w:r w:rsidR="00A3414B">
        <w:t xml:space="preserve">prevalencia entre las mujeres indígenas, </w:t>
      </w:r>
      <w:r w:rsidR="00934E8F">
        <w:t>que se dispararon durante la pandemia del COVID19 (ver tabla 2)</w:t>
      </w:r>
      <w:r w:rsidR="00A21E6D">
        <w:t xml:space="preserve">, así como elevada incidencia del </w:t>
      </w:r>
      <w:r w:rsidR="00A21E6D" w:rsidRPr="003C7C55">
        <w:t>cáncer de mama y cervicouterino</w:t>
      </w:r>
      <w:r w:rsidR="00A21E6D">
        <w:rPr>
          <w:rStyle w:val="FootnoteReference"/>
        </w:rPr>
        <w:footnoteReference w:id="16"/>
      </w:r>
      <w:r w:rsidR="00A21E6D">
        <w:t>.</w:t>
      </w:r>
      <w:r w:rsidR="6425C58F">
        <w:t xml:space="preserve"> La tasa de mortalidad materna en</w:t>
      </w:r>
      <w:r w:rsidR="3D12D571">
        <w:t xml:space="preserve"> mujeres </w:t>
      </w:r>
      <w:r w:rsidR="5C51C038">
        <w:t xml:space="preserve">indígenas es </w:t>
      </w:r>
      <w:r w:rsidR="003D6642">
        <w:t>cinco</w:t>
      </w:r>
      <w:r w:rsidR="5C51C038">
        <w:t xml:space="preserve"> veces mayor a la reportada </w:t>
      </w:r>
      <w:r w:rsidR="43B209C1">
        <w:t>aquellas que no pertenecen a estas comunidades.</w:t>
      </w:r>
    </w:p>
    <w:p w14:paraId="194D5E03" w14:textId="77777777" w:rsidR="00B27583" w:rsidRDefault="00B27583" w:rsidP="354DC7B2">
      <w:pPr>
        <w:rPr>
          <w:bCs/>
          <w:color w:val="auto"/>
          <w:sz w:val="21"/>
          <w:szCs w:val="24"/>
        </w:rPr>
      </w:pPr>
    </w:p>
    <w:p w14:paraId="79A8EBC1" w14:textId="6AC16BB1" w:rsidR="00934E8F" w:rsidRPr="00A3414B" w:rsidRDefault="00934E8F" w:rsidP="354DC7B2">
      <w:pPr>
        <w:rPr>
          <w:b/>
          <w:bCs/>
          <w:color w:val="auto"/>
          <w:sz w:val="21"/>
          <w:szCs w:val="21"/>
        </w:rPr>
      </w:pPr>
      <w:r w:rsidRPr="354DC7B2">
        <w:rPr>
          <w:b/>
          <w:bCs/>
          <w:color w:val="auto"/>
          <w:sz w:val="21"/>
          <w:szCs w:val="21"/>
        </w:rPr>
        <w:t>Tabla 2. Paraguay: Razón de mortalidad materna por 100.000 nacidos vivos. Años 2015-2024</w:t>
      </w:r>
    </w:p>
    <w:tbl>
      <w:tblPr>
        <w:tblW w:w="8791" w:type="dxa"/>
        <w:tblCellMar>
          <w:top w:w="15" w:type="dxa"/>
          <w:left w:w="70" w:type="dxa"/>
          <w:bottom w:w="15" w:type="dxa"/>
          <w:right w:w="70" w:type="dxa"/>
        </w:tblCellMar>
        <w:tblLook w:val="04A0" w:firstRow="1" w:lastRow="0" w:firstColumn="1" w:lastColumn="0" w:noHBand="0" w:noVBand="1"/>
      </w:tblPr>
      <w:tblGrid>
        <w:gridCol w:w="1985"/>
        <w:gridCol w:w="709"/>
        <w:gridCol w:w="666"/>
        <w:gridCol w:w="708"/>
        <w:gridCol w:w="709"/>
        <w:gridCol w:w="709"/>
        <w:gridCol w:w="666"/>
        <w:gridCol w:w="709"/>
        <w:gridCol w:w="654"/>
        <w:gridCol w:w="642"/>
        <w:gridCol w:w="634"/>
      </w:tblGrid>
      <w:tr w:rsidR="00934E8F" w:rsidRPr="00A3414B" w14:paraId="796D9118" w14:textId="1C7BABB9" w:rsidTr="00FE6E6E">
        <w:trPr>
          <w:trHeight w:val="330"/>
        </w:trPr>
        <w:tc>
          <w:tcPr>
            <w:tcW w:w="1985" w:type="dxa"/>
            <w:vMerge w:val="restart"/>
            <w:tcBorders>
              <w:top w:val="nil"/>
              <w:left w:val="nil"/>
              <w:bottom w:val="nil"/>
              <w:right w:val="nil"/>
            </w:tcBorders>
            <w:shd w:val="clear" w:color="7F7F7F" w:fill="595959"/>
            <w:noWrap/>
            <w:vAlign w:val="center"/>
            <w:hideMark/>
          </w:tcPr>
          <w:p w14:paraId="133AA6C4" w14:textId="77777777" w:rsidR="00934E8F" w:rsidRPr="00934E8F" w:rsidRDefault="00934E8F" w:rsidP="00934E8F">
            <w:pPr>
              <w:rPr>
                <w:b/>
                <w:color w:val="FFFFFF" w:themeColor="background1"/>
                <w:sz w:val="21"/>
                <w:szCs w:val="24"/>
              </w:rPr>
            </w:pPr>
            <w:r w:rsidRPr="00934E8F">
              <w:rPr>
                <w:b/>
                <w:color w:val="FFFFFF" w:themeColor="background1"/>
                <w:sz w:val="21"/>
                <w:szCs w:val="24"/>
              </w:rPr>
              <w:t>Desagregaciones</w:t>
            </w:r>
          </w:p>
        </w:tc>
        <w:tc>
          <w:tcPr>
            <w:tcW w:w="6806" w:type="dxa"/>
            <w:gridSpan w:val="10"/>
            <w:tcBorders>
              <w:top w:val="nil"/>
              <w:left w:val="nil"/>
              <w:bottom w:val="single" w:sz="4" w:space="0" w:color="FFFFFF"/>
              <w:right w:val="nil"/>
            </w:tcBorders>
            <w:shd w:val="clear" w:color="7F7F7F" w:fill="595959"/>
            <w:noWrap/>
            <w:vAlign w:val="center"/>
            <w:hideMark/>
          </w:tcPr>
          <w:p w14:paraId="4F77A528" w14:textId="010561E1" w:rsidR="00934E8F" w:rsidRPr="00A3414B" w:rsidRDefault="00934E8F" w:rsidP="00934E8F">
            <w:pPr>
              <w:jc w:val="center"/>
              <w:rPr>
                <w:b/>
                <w:color w:val="FFFFFF" w:themeColor="background1"/>
                <w:sz w:val="21"/>
                <w:szCs w:val="24"/>
              </w:rPr>
            </w:pPr>
            <w:r w:rsidRPr="00934E8F">
              <w:rPr>
                <w:b/>
                <w:color w:val="FFFFFF" w:themeColor="background1"/>
                <w:sz w:val="21"/>
                <w:szCs w:val="24"/>
              </w:rPr>
              <w:t>Año</w:t>
            </w:r>
          </w:p>
        </w:tc>
      </w:tr>
      <w:tr w:rsidR="00934E8F" w:rsidRPr="00A3414B" w14:paraId="4C434804" w14:textId="3C07DE47" w:rsidTr="00FE6E6E">
        <w:trPr>
          <w:trHeight w:val="330"/>
        </w:trPr>
        <w:tc>
          <w:tcPr>
            <w:tcW w:w="1985" w:type="dxa"/>
            <w:vMerge/>
            <w:tcBorders>
              <w:top w:val="nil"/>
              <w:left w:val="nil"/>
              <w:bottom w:val="single" w:sz="4" w:space="0" w:color="auto"/>
              <w:right w:val="nil"/>
            </w:tcBorders>
            <w:vAlign w:val="center"/>
            <w:hideMark/>
          </w:tcPr>
          <w:p w14:paraId="7B6434C2" w14:textId="77777777" w:rsidR="00934E8F" w:rsidRPr="00934E8F" w:rsidRDefault="00934E8F" w:rsidP="00934E8F">
            <w:pPr>
              <w:rPr>
                <w:b/>
                <w:color w:val="FFFFFF" w:themeColor="background1"/>
                <w:sz w:val="21"/>
                <w:szCs w:val="24"/>
              </w:rPr>
            </w:pPr>
          </w:p>
        </w:tc>
        <w:tc>
          <w:tcPr>
            <w:tcW w:w="709" w:type="dxa"/>
            <w:tcBorders>
              <w:top w:val="nil"/>
              <w:left w:val="nil"/>
              <w:bottom w:val="single" w:sz="4" w:space="0" w:color="auto"/>
              <w:right w:val="nil"/>
            </w:tcBorders>
            <w:shd w:val="clear" w:color="7F7F7F" w:fill="595959"/>
            <w:noWrap/>
            <w:vAlign w:val="center"/>
            <w:hideMark/>
          </w:tcPr>
          <w:p w14:paraId="4E48FE2C"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2015</w:t>
            </w:r>
          </w:p>
        </w:tc>
        <w:tc>
          <w:tcPr>
            <w:tcW w:w="666" w:type="dxa"/>
            <w:tcBorders>
              <w:top w:val="nil"/>
              <w:left w:val="nil"/>
              <w:bottom w:val="single" w:sz="4" w:space="0" w:color="auto"/>
              <w:right w:val="nil"/>
            </w:tcBorders>
            <w:shd w:val="clear" w:color="7F7F7F" w:fill="595959"/>
            <w:noWrap/>
            <w:vAlign w:val="center"/>
            <w:hideMark/>
          </w:tcPr>
          <w:p w14:paraId="614BB606"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2016</w:t>
            </w:r>
          </w:p>
        </w:tc>
        <w:tc>
          <w:tcPr>
            <w:tcW w:w="708" w:type="dxa"/>
            <w:tcBorders>
              <w:top w:val="nil"/>
              <w:left w:val="nil"/>
              <w:bottom w:val="single" w:sz="4" w:space="0" w:color="auto"/>
              <w:right w:val="nil"/>
            </w:tcBorders>
            <w:shd w:val="clear" w:color="7F7F7F" w:fill="595959"/>
            <w:noWrap/>
            <w:vAlign w:val="center"/>
            <w:hideMark/>
          </w:tcPr>
          <w:p w14:paraId="3092EE6E"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2017</w:t>
            </w:r>
          </w:p>
        </w:tc>
        <w:tc>
          <w:tcPr>
            <w:tcW w:w="709" w:type="dxa"/>
            <w:tcBorders>
              <w:top w:val="nil"/>
              <w:left w:val="nil"/>
              <w:bottom w:val="single" w:sz="4" w:space="0" w:color="auto"/>
              <w:right w:val="nil"/>
            </w:tcBorders>
            <w:shd w:val="clear" w:color="7F7F7F" w:fill="595959"/>
            <w:noWrap/>
            <w:vAlign w:val="center"/>
            <w:hideMark/>
          </w:tcPr>
          <w:p w14:paraId="0FD1BB2B"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2018</w:t>
            </w:r>
          </w:p>
        </w:tc>
        <w:tc>
          <w:tcPr>
            <w:tcW w:w="709" w:type="dxa"/>
            <w:tcBorders>
              <w:top w:val="nil"/>
              <w:left w:val="nil"/>
              <w:bottom w:val="single" w:sz="4" w:space="0" w:color="auto"/>
              <w:right w:val="nil"/>
            </w:tcBorders>
            <w:shd w:val="clear" w:color="7F7F7F" w:fill="595959"/>
            <w:noWrap/>
            <w:vAlign w:val="center"/>
            <w:hideMark/>
          </w:tcPr>
          <w:p w14:paraId="7C0625DA"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2019</w:t>
            </w:r>
          </w:p>
        </w:tc>
        <w:tc>
          <w:tcPr>
            <w:tcW w:w="666" w:type="dxa"/>
            <w:tcBorders>
              <w:top w:val="nil"/>
              <w:left w:val="nil"/>
              <w:bottom w:val="single" w:sz="4" w:space="0" w:color="auto"/>
              <w:right w:val="nil"/>
            </w:tcBorders>
            <w:shd w:val="clear" w:color="7F7F7F" w:fill="595959"/>
            <w:noWrap/>
            <w:vAlign w:val="center"/>
            <w:hideMark/>
          </w:tcPr>
          <w:p w14:paraId="12E7161B"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2020</w:t>
            </w:r>
          </w:p>
        </w:tc>
        <w:tc>
          <w:tcPr>
            <w:tcW w:w="709" w:type="dxa"/>
            <w:tcBorders>
              <w:top w:val="nil"/>
              <w:left w:val="nil"/>
              <w:bottom w:val="single" w:sz="4" w:space="0" w:color="auto"/>
              <w:right w:val="nil"/>
            </w:tcBorders>
            <w:shd w:val="clear" w:color="7F7F7F" w:fill="595959"/>
            <w:noWrap/>
            <w:vAlign w:val="center"/>
            <w:hideMark/>
          </w:tcPr>
          <w:p w14:paraId="4647D1AA" w14:textId="77777777" w:rsidR="00934E8F" w:rsidRPr="00934E8F" w:rsidRDefault="00934E8F" w:rsidP="00934E8F">
            <w:pPr>
              <w:jc w:val="center"/>
              <w:rPr>
                <w:b/>
                <w:color w:val="FFFFFF" w:themeColor="background1"/>
                <w:sz w:val="21"/>
                <w:szCs w:val="24"/>
              </w:rPr>
            </w:pPr>
            <w:r w:rsidRPr="00934E8F">
              <w:rPr>
                <w:b/>
                <w:color w:val="FFFFFF" w:themeColor="background1"/>
                <w:sz w:val="21"/>
                <w:szCs w:val="24"/>
              </w:rPr>
              <w:t>2021</w:t>
            </w:r>
          </w:p>
        </w:tc>
        <w:tc>
          <w:tcPr>
            <w:tcW w:w="654" w:type="dxa"/>
            <w:tcBorders>
              <w:top w:val="nil"/>
              <w:left w:val="nil"/>
              <w:bottom w:val="single" w:sz="4" w:space="0" w:color="auto"/>
              <w:right w:val="nil"/>
            </w:tcBorders>
            <w:shd w:val="clear" w:color="7F7F7F" w:fill="595959"/>
            <w:vAlign w:val="center"/>
          </w:tcPr>
          <w:p w14:paraId="17BA82AE" w14:textId="69D4D680" w:rsidR="00934E8F" w:rsidRPr="00A3414B" w:rsidRDefault="00934E8F" w:rsidP="00934E8F">
            <w:pPr>
              <w:jc w:val="center"/>
              <w:rPr>
                <w:b/>
                <w:color w:val="FFFFFF" w:themeColor="background1"/>
                <w:sz w:val="21"/>
                <w:szCs w:val="24"/>
              </w:rPr>
            </w:pPr>
            <w:r w:rsidRPr="00A3414B">
              <w:rPr>
                <w:b/>
                <w:color w:val="FFFFFF" w:themeColor="background1"/>
                <w:sz w:val="21"/>
                <w:szCs w:val="24"/>
              </w:rPr>
              <w:t>2022</w:t>
            </w:r>
          </w:p>
        </w:tc>
        <w:tc>
          <w:tcPr>
            <w:tcW w:w="642" w:type="dxa"/>
            <w:tcBorders>
              <w:top w:val="nil"/>
              <w:left w:val="nil"/>
              <w:bottom w:val="single" w:sz="4" w:space="0" w:color="auto"/>
              <w:right w:val="nil"/>
            </w:tcBorders>
            <w:shd w:val="clear" w:color="7F7F7F" w:fill="595959"/>
            <w:vAlign w:val="center"/>
          </w:tcPr>
          <w:p w14:paraId="1821CCC4" w14:textId="017227AC" w:rsidR="00934E8F" w:rsidRPr="00A3414B" w:rsidRDefault="00934E8F" w:rsidP="00934E8F">
            <w:pPr>
              <w:jc w:val="center"/>
              <w:rPr>
                <w:b/>
                <w:color w:val="FFFFFF" w:themeColor="background1"/>
                <w:sz w:val="21"/>
                <w:szCs w:val="24"/>
              </w:rPr>
            </w:pPr>
            <w:r w:rsidRPr="00A3414B">
              <w:rPr>
                <w:b/>
                <w:color w:val="FFFFFF" w:themeColor="background1"/>
                <w:sz w:val="21"/>
                <w:szCs w:val="24"/>
              </w:rPr>
              <w:t>2023</w:t>
            </w:r>
          </w:p>
        </w:tc>
        <w:tc>
          <w:tcPr>
            <w:tcW w:w="634" w:type="dxa"/>
            <w:tcBorders>
              <w:top w:val="nil"/>
              <w:left w:val="nil"/>
              <w:bottom w:val="single" w:sz="4" w:space="0" w:color="auto"/>
              <w:right w:val="nil"/>
            </w:tcBorders>
            <w:shd w:val="clear" w:color="7F7F7F" w:fill="595959"/>
            <w:vAlign w:val="center"/>
          </w:tcPr>
          <w:p w14:paraId="14E70F1B" w14:textId="6599C8F2" w:rsidR="00934E8F" w:rsidRPr="00A3414B" w:rsidRDefault="00934E8F" w:rsidP="00934E8F">
            <w:pPr>
              <w:jc w:val="center"/>
              <w:rPr>
                <w:b/>
                <w:color w:val="FFFFFF" w:themeColor="background1"/>
                <w:sz w:val="21"/>
                <w:szCs w:val="24"/>
              </w:rPr>
            </w:pPr>
            <w:r w:rsidRPr="00A3414B">
              <w:rPr>
                <w:b/>
                <w:color w:val="FFFFFF" w:themeColor="background1"/>
                <w:sz w:val="21"/>
                <w:szCs w:val="24"/>
              </w:rPr>
              <w:t>2024</w:t>
            </w:r>
          </w:p>
        </w:tc>
      </w:tr>
      <w:tr w:rsidR="00934E8F" w:rsidRPr="00A3414B" w14:paraId="01A2CA74" w14:textId="7F3B32F5" w:rsidTr="00FE6E6E">
        <w:trPr>
          <w:trHeight w:val="330"/>
        </w:trPr>
        <w:tc>
          <w:tcPr>
            <w:tcW w:w="1985"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C2E9273" w14:textId="77777777" w:rsidR="00934E8F" w:rsidRPr="00934E8F" w:rsidRDefault="00934E8F" w:rsidP="00934E8F">
            <w:pPr>
              <w:rPr>
                <w:bCs/>
                <w:color w:val="auto"/>
                <w:sz w:val="21"/>
                <w:szCs w:val="24"/>
              </w:rPr>
            </w:pPr>
            <w:proofErr w:type="gramStart"/>
            <w:r w:rsidRPr="00934E8F">
              <w:rPr>
                <w:bCs/>
                <w:color w:val="auto"/>
                <w:sz w:val="21"/>
                <w:szCs w:val="24"/>
              </w:rPr>
              <w:t>Total</w:t>
            </w:r>
            <w:proofErr w:type="gramEnd"/>
            <w:r w:rsidRPr="00934E8F">
              <w:rPr>
                <w:bCs/>
                <w:color w:val="auto"/>
                <w:sz w:val="21"/>
                <w:szCs w:val="24"/>
              </w:rPr>
              <w:t xml:space="preserve"> país</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1B52D2E" w14:textId="77777777" w:rsidR="00934E8F" w:rsidRPr="00934E8F" w:rsidRDefault="00934E8F" w:rsidP="00934E8F">
            <w:pPr>
              <w:jc w:val="center"/>
              <w:rPr>
                <w:bCs/>
                <w:color w:val="auto"/>
                <w:sz w:val="21"/>
                <w:szCs w:val="24"/>
              </w:rPr>
            </w:pPr>
            <w:r w:rsidRPr="00934E8F">
              <w:rPr>
                <w:bCs/>
                <w:color w:val="auto"/>
                <w:sz w:val="21"/>
                <w:szCs w:val="24"/>
              </w:rPr>
              <w:t>81,8</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E930AAA" w14:textId="77777777" w:rsidR="00934E8F" w:rsidRPr="00934E8F" w:rsidRDefault="00934E8F" w:rsidP="00934E8F">
            <w:pPr>
              <w:jc w:val="center"/>
              <w:rPr>
                <w:bCs/>
                <w:color w:val="auto"/>
                <w:sz w:val="21"/>
                <w:szCs w:val="24"/>
              </w:rPr>
            </w:pPr>
            <w:r w:rsidRPr="00934E8F">
              <w:rPr>
                <w:bCs/>
                <w:color w:val="auto"/>
                <w:sz w:val="21"/>
                <w:szCs w:val="24"/>
              </w:rPr>
              <w:t>86,4</w:t>
            </w:r>
          </w:p>
        </w:tc>
        <w:tc>
          <w:tcPr>
            <w:tcW w:w="708"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A0CE424" w14:textId="77777777" w:rsidR="00934E8F" w:rsidRPr="00934E8F" w:rsidRDefault="00934E8F" w:rsidP="00934E8F">
            <w:pPr>
              <w:jc w:val="center"/>
              <w:rPr>
                <w:bCs/>
                <w:color w:val="auto"/>
                <w:sz w:val="21"/>
                <w:szCs w:val="24"/>
              </w:rPr>
            </w:pPr>
            <w:r w:rsidRPr="00934E8F">
              <w:rPr>
                <w:bCs/>
                <w:color w:val="auto"/>
                <w:sz w:val="21"/>
                <w:szCs w:val="24"/>
              </w:rPr>
              <w:t>67,3</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B98FE64" w14:textId="77777777" w:rsidR="00934E8F" w:rsidRPr="00934E8F" w:rsidRDefault="00934E8F" w:rsidP="00934E8F">
            <w:pPr>
              <w:jc w:val="center"/>
              <w:rPr>
                <w:bCs/>
                <w:color w:val="auto"/>
                <w:sz w:val="21"/>
                <w:szCs w:val="24"/>
              </w:rPr>
            </w:pPr>
            <w:r w:rsidRPr="00934E8F">
              <w:rPr>
                <w:bCs/>
                <w:color w:val="auto"/>
                <w:sz w:val="21"/>
                <w:szCs w:val="24"/>
              </w:rPr>
              <w:t>70,8</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763F67A" w14:textId="77777777" w:rsidR="00934E8F" w:rsidRPr="00934E8F" w:rsidRDefault="00934E8F" w:rsidP="00934E8F">
            <w:pPr>
              <w:jc w:val="center"/>
              <w:rPr>
                <w:bCs/>
                <w:color w:val="auto"/>
                <w:sz w:val="21"/>
                <w:szCs w:val="24"/>
              </w:rPr>
            </w:pPr>
            <w:r w:rsidRPr="00934E8F">
              <w:rPr>
                <w:bCs/>
                <w:color w:val="auto"/>
                <w:sz w:val="21"/>
                <w:szCs w:val="24"/>
              </w:rPr>
              <w:t>67,6</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0F39058" w14:textId="77777777" w:rsidR="00934E8F" w:rsidRPr="00934E8F" w:rsidRDefault="00934E8F" w:rsidP="00A3414B">
            <w:pPr>
              <w:jc w:val="center"/>
              <w:rPr>
                <w:bCs/>
                <w:color w:val="auto"/>
                <w:sz w:val="21"/>
                <w:szCs w:val="24"/>
              </w:rPr>
            </w:pPr>
            <w:r w:rsidRPr="00934E8F">
              <w:rPr>
                <w:bCs/>
                <w:color w:val="auto"/>
                <w:sz w:val="21"/>
                <w:szCs w:val="24"/>
              </w:rPr>
              <w:t>78,9</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AF55AA3" w14:textId="77777777" w:rsidR="00934E8F" w:rsidRPr="00934E8F" w:rsidRDefault="00934E8F" w:rsidP="00A3414B">
            <w:pPr>
              <w:jc w:val="center"/>
              <w:rPr>
                <w:bCs/>
                <w:color w:val="auto"/>
                <w:sz w:val="21"/>
                <w:szCs w:val="24"/>
              </w:rPr>
            </w:pPr>
            <w:r w:rsidRPr="00934E8F">
              <w:rPr>
                <w:bCs/>
                <w:color w:val="auto"/>
                <w:sz w:val="21"/>
                <w:szCs w:val="24"/>
              </w:rPr>
              <w:t>160,0</w:t>
            </w:r>
          </w:p>
        </w:tc>
        <w:tc>
          <w:tcPr>
            <w:tcW w:w="654" w:type="dxa"/>
            <w:tcBorders>
              <w:top w:val="single" w:sz="4" w:space="0" w:color="auto"/>
              <w:left w:val="single" w:sz="4" w:space="0" w:color="auto"/>
              <w:bottom w:val="single" w:sz="4" w:space="0" w:color="auto"/>
              <w:right w:val="single" w:sz="4" w:space="0" w:color="auto"/>
            </w:tcBorders>
            <w:shd w:val="clear" w:color="FFFFFF" w:fill="FFFFFF"/>
            <w:vAlign w:val="center"/>
          </w:tcPr>
          <w:p w14:paraId="0A16DC9B" w14:textId="61672DF0" w:rsidR="00934E8F" w:rsidRPr="00A3414B" w:rsidRDefault="00A3414B" w:rsidP="00A3414B">
            <w:pPr>
              <w:jc w:val="center"/>
              <w:rPr>
                <w:bCs/>
                <w:color w:val="auto"/>
                <w:sz w:val="21"/>
                <w:szCs w:val="24"/>
              </w:rPr>
            </w:pPr>
            <w:r w:rsidRPr="00A3414B">
              <w:rPr>
                <w:bCs/>
                <w:color w:val="auto"/>
                <w:sz w:val="21"/>
                <w:szCs w:val="24"/>
              </w:rPr>
              <w:t>89,5</w:t>
            </w:r>
          </w:p>
        </w:tc>
        <w:tc>
          <w:tcPr>
            <w:tcW w:w="642" w:type="dxa"/>
            <w:tcBorders>
              <w:top w:val="single" w:sz="4" w:space="0" w:color="auto"/>
              <w:left w:val="single" w:sz="4" w:space="0" w:color="auto"/>
              <w:bottom w:val="single" w:sz="4" w:space="0" w:color="auto"/>
              <w:right w:val="single" w:sz="4" w:space="0" w:color="auto"/>
            </w:tcBorders>
            <w:shd w:val="clear" w:color="FFFFFF" w:fill="FFFFFF"/>
            <w:vAlign w:val="center"/>
          </w:tcPr>
          <w:p w14:paraId="56514312" w14:textId="3F3DCB9D" w:rsidR="00934E8F" w:rsidRPr="00A3414B" w:rsidRDefault="00A3414B" w:rsidP="00A3414B">
            <w:pPr>
              <w:jc w:val="center"/>
              <w:rPr>
                <w:bCs/>
                <w:color w:val="auto"/>
                <w:sz w:val="21"/>
                <w:szCs w:val="24"/>
              </w:rPr>
            </w:pPr>
            <w:r>
              <w:rPr>
                <w:bCs/>
                <w:color w:val="auto"/>
                <w:sz w:val="21"/>
                <w:szCs w:val="24"/>
              </w:rPr>
              <w:t>80,3</w:t>
            </w:r>
          </w:p>
        </w:tc>
        <w:tc>
          <w:tcPr>
            <w:tcW w:w="634" w:type="dxa"/>
            <w:tcBorders>
              <w:top w:val="single" w:sz="4" w:space="0" w:color="auto"/>
              <w:left w:val="single" w:sz="4" w:space="0" w:color="auto"/>
              <w:bottom w:val="single" w:sz="4" w:space="0" w:color="auto"/>
              <w:right w:val="single" w:sz="4" w:space="0" w:color="auto"/>
            </w:tcBorders>
            <w:shd w:val="clear" w:color="FFFFFF" w:fill="FFFFFF"/>
            <w:vAlign w:val="center"/>
          </w:tcPr>
          <w:p w14:paraId="1D1ECB08" w14:textId="658ABA1B" w:rsidR="00934E8F" w:rsidRPr="00A3414B" w:rsidRDefault="00A3414B" w:rsidP="00A3414B">
            <w:pPr>
              <w:jc w:val="center"/>
              <w:rPr>
                <w:bCs/>
                <w:color w:val="auto"/>
                <w:sz w:val="21"/>
                <w:szCs w:val="24"/>
              </w:rPr>
            </w:pPr>
            <w:r>
              <w:rPr>
                <w:bCs/>
                <w:color w:val="auto"/>
                <w:sz w:val="21"/>
                <w:szCs w:val="24"/>
              </w:rPr>
              <w:t>65,3</w:t>
            </w:r>
          </w:p>
        </w:tc>
      </w:tr>
      <w:tr w:rsidR="00A3414B" w:rsidRPr="00A3414B" w14:paraId="11CE4C42" w14:textId="77777777" w:rsidTr="00FE6E6E">
        <w:trPr>
          <w:trHeight w:val="330"/>
        </w:trPr>
        <w:tc>
          <w:tcPr>
            <w:tcW w:w="8791"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2BEF2E41" w14:textId="10A510AB" w:rsidR="00A3414B" w:rsidRPr="00A3414B" w:rsidRDefault="00A3414B" w:rsidP="00A3414B">
            <w:pPr>
              <w:rPr>
                <w:bCs/>
                <w:color w:val="auto"/>
                <w:sz w:val="21"/>
                <w:szCs w:val="24"/>
              </w:rPr>
            </w:pPr>
            <w:r w:rsidRPr="00A3414B">
              <w:rPr>
                <w:bCs/>
                <w:color w:val="auto"/>
                <w:sz w:val="21"/>
                <w:szCs w:val="24"/>
              </w:rPr>
              <w:t>Por área de residencia</w:t>
            </w:r>
          </w:p>
        </w:tc>
      </w:tr>
      <w:tr w:rsidR="00A3414B" w:rsidRPr="00A3414B" w14:paraId="56C7B445" w14:textId="77777777" w:rsidTr="00FE6E6E">
        <w:trPr>
          <w:trHeight w:val="330"/>
        </w:trPr>
        <w:tc>
          <w:tcPr>
            <w:tcW w:w="1985"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614A650" w14:textId="002E718D" w:rsidR="00A3414B" w:rsidRPr="00A3414B" w:rsidRDefault="00A3414B" w:rsidP="00A3414B">
            <w:pPr>
              <w:rPr>
                <w:bCs/>
                <w:color w:val="auto"/>
                <w:sz w:val="21"/>
                <w:szCs w:val="24"/>
              </w:rPr>
            </w:pPr>
            <w:r w:rsidRPr="00A3414B">
              <w:rPr>
                <w:bCs/>
                <w:color w:val="auto"/>
                <w:sz w:val="21"/>
                <w:szCs w:val="24"/>
              </w:rPr>
              <w:t>Urbano</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13D3F46" w14:textId="5946D82A" w:rsidR="00A3414B" w:rsidRPr="00A3414B" w:rsidRDefault="00A3414B" w:rsidP="00A3414B">
            <w:pPr>
              <w:jc w:val="center"/>
              <w:rPr>
                <w:bCs/>
                <w:color w:val="auto"/>
                <w:sz w:val="21"/>
                <w:szCs w:val="24"/>
              </w:rPr>
            </w:pPr>
            <w:r w:rsidRPr="00A3414B">
              <w:rPr>
                <w:bCs/>
                <w:color w:val="auto"/>
                <w:sz w:val="21"/>
                <w:szCs w:val="24"/>
              </w:rPr>
              <w:t>79,6</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5B15611" w14:textId="0DDFB766" w:rsidR="00A3414B" w:rsidRPr="00A3414B" w:rsidRDefault="00A3414B" w:rsidP="00A3414B">
            <w:pPr>
              <w:jc w:val="center"/>
              <w:rPr>
                <w:bCs/>
                <w:color w:val="auto"/>
                <w:sz w:val="21"/>
                <w:szCs w:val="24"/>
              </w:rPr>
            </w:pPr>
            <w:r w:rsidRPr="00A3414B">
              <w:rPr>
                <w:bCs/>
                <w:color w:val="auto"/>
                <w:sz w:val="21"/>
                <w:szCs w:val="24"/>
              </w:rPr>
              <w:t>92,5</w:t>
            </w:r>
          </w:p>
        </w:tc>
        <w:tc>
          <w:tcPr>
            <w:tcW w:w="708"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F3FAAE9" w14:textId="5A8B8C5C" w:rsidR="00A3414B" w:rsidRPr="00A3414B" w:rsidRDefault="00A3414B" w:rsidP="00A3414B">
            <w:pPr>
              <w:jc w:val="center"/>
              <w:rPr>
                <w:bCs/>
                <w:color w:val="auto"/>
                <w:sz w:val="21"/>
                <w:szCs w:val="24"/>
              </w:rPr>
            </w:pPr>
            <w:r w:rsidRPr="00A3414B">
              <w:rPr>
                <w:bCs/>
                <w:color w:val="auto"/>
                <w:sz w:val="21"/>
                <w:szCs w:val="24"/>
              </w:rPr>
              <w:t>62,1</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88C733B" w14:textId="36948A20" w:rsidR="00A3414B" w:rsidRPr="00A3414B" w:rsidRDefault="00A3414B" w:rsidP="00A3414B">
            <w:pPr>
              <w:jc w:val="center"/>
              <w:rPr>
                <w:bCs/>
                <w:color w:val="auto"/>
                <w:sz w:val="21"/>
                <w:szCs w:val="24"/>
              </w:rPr>
            </w:pPr>
            <w:r w:rsidRPr="00A3414B">
              <w:rPr>
                <w:bCs/>
                <w:color w:val="auto"/>
                <w:sz w:val="21"/>
                <w:szCs w:val="24"/>
              </w:rPr>
              <w:t>82,2</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F2D55F4" w14:textId="7B83CC42" w:rsidR="00A3414B" w:rsidRPr="00A3414B" w:rsidRDefault="00A3414B" w:rsidP="00A3414B">
            <w:pPr>
              <w:jc w:val="center"/>
              <w:rPr>
                <w:bCs/>
                <w:color w:val="auto"/>
                <w:sz w:val="21"/>
                <w:szCs w:val="24"/>
              </w:rPr>
            </w:pPr>
            <w:r w:rsidRPr="00A3414B">
              <w:rPr>
                <w:bCs/>
                <w:color w:val="auto"/>
                <w:sz w:val="21"/>
                <w:szCs w:val="24"/>
              </w:rPr>
              <w:t>80,6</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9476255" w14:textId="0A3FE9A1" w:rsidR="00A3414B" w:rsidRPr="00A3414B" w:rsidRDefault="00A3414B" w:rsidP="00A3414B">
            <w:pPr>
              <w:jc w:val="center"/>
              <w:rPr>
                <w:bCs/>
                <w:color w:val="auto"/>
                <w:sz w:val="21"/>
                <w:szCs w:val="24"/>
              </w:rPr>
            </w:pPr>
            <w:r w:rsidRPr="00A3414B">
              <w:rPr>
                <w:bCs/>
                <w:color w:val="auto"/>
                <w:sz w:val="21"/>
                <w:szCs w:val="24"/>
              </w:rPr>
              <w:t>85,4</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29437E9" w14:textId="50F27D76" w:rsidR="00A3414B" w:rsidRPr="00A3414B" w:rsidRDefault="00A3414B" w:rsidP="00A3414B">
            <w:pPr>
              <w:jc w:val="center"/>
              <w:rPr>
                <w:bCs/>
                <w:color w:val="auto"/>
                <w:sz w:val="21"/>
                <w:szCs w:val="24"/>
              </w:rPr>
            </w:pPr>
            <w:r w:rsidRPr="00A3414B">
              <w:rPr>
                <w:bCs/>
                <w:color w:val="auto"/>
                <w:sz w:val="21"/>
                <w:szCs w:val="24"/>
              </w:rPr>
              <w:t>180,9</w:t>
            </w:r>
          </w:p>
        </w:tc>
        <w:tc>
          <w:tcPr>
            <w:tcW w:w="654" w:type="dxa"/>
            <w:tcBorders>
              <w:top w:val="single" w:sz="4" w:space="0" w:color="auto"/>
              <w:left w:val="single" w:sz="4" w:space="0" w:color="auto"/>
              <w:bottom w:val="single" w:sz="4" w:space="0" w:color="auto"/>
              <w:right w:val="single" w:sz="4" w:space="0" w:color="auto"/>
            </w:tcBorders>
            <w:shd w:val="clear" w:color="FFFFFF" w:fill="FFFFFF"/>
            <w:vAlign w:val="center"/>
          </w:tcPr>
          <w:p w14:paraId="3B31C81A" w14:textId="54EFF1EF" w:rsidR="00A3414B" w:rsidRPr="00A3414B" w:rsidRDefault="00A3414B" w:rsidP="00A3414B">
            <w:pPr>
              <w:jc w:val="center"/>
              <w:rPr>
                <w:bCs/>
                <w:color w:val="auto"/>
                <w:sz w:val="21"/>
                <w:szCs w:val="24"/>
              </w:rPr>
            </w:pPr>
            <w:r w:rsidRPr="00A3414B">
              <w:rPr>
                <w:bCs/>
                <w:color w:val="auto"/>
                <w:sz w:val="21"/>
                <w:szCs w:val="24"/>
              </w:rPr>
              <w:t>s/d</w:t>
            </w:r>
          </w:p>
        </w:tc>
        <w:tc>
          <w:tcPr>
            <w:tcW w:w="642" w:type="dxa"/>
            <w:tcBorders>
              <w:top w:val="single" w:sz="4" w:space="0" w:color="auto"/>
              <w:left w:val="single" w:sz="4" w:space="0" w:color="auto"/>
              <w:bottom w:val="single" w:sz="4" w:space="0" w:color="auto"/>
              <w:right w:val="single" w:sz="4" w:space="0" w:color="auto"/>
            </w:tcBorders>
            <w:shd w:val="clear" w:color="FFFFFF" w:fill="FFFFFF"/>
            <w:vAlign w:val="center"/>
          </w:tcPr>
          <w:p w14:paraId="7FD65AFE" w14:textId="5D12FBE1" w:rsidR="00A3414B" w:rsidRPr="00A3414B" w:rsidRDefault="00A3414B" w:rsidP="00A3414B">
            <w:pPr>
              <w:jc w:val="center"/>
              <w:rPr>
                <w:bCs/>
                <w:color w:val="auto"/>
                <w:sz w:val="21"/>
                <w:szCs w:val="24"/>
              </w:rPr>
            </w:pPr>
            <w:r w:rsidRPr="00A3414B">
              <w:rPr>
                <w:bCs/>
                <w:color w:val="auto"/>
                <w:sz w:val="21"/>
                <w:szCs w:val="24"/>
              </w:rPr>
              <w:t>s/d</w:t>
            </w:r>
          </w:p>
        </w:tc>
        <w:tc>
          <w:tcPr>
            <w:tcW w:w="634" w:type="dxa"/>
            <w:tcBorders>
              <w:top w:val="single" w:sz="4" w:space="0" w:color="auto"/>
              <w:left w:val="single" w:sz="4" w:space="0" w:color="auto"/>
              <w:bottom w:val="single" w:sz="4" w:space="0" w:color="auto"/>
              <w:right w:val="single" w:sz="4" w:space="0" w:color="auto"/>
            </w:tcBorders>
            <w:shd w:val="clear" w:color="FFFFFF" w:fill="FFFFFF"/>
            <w:vAlign w:val="center"/>
          </w:tcPr>
          <w:p w14:paraId="5D6DC266" w14:textId="448134A1" w:rsidR="00A3414B" w:rsidRPr="00A3414B" w:rsidRDefault="00A3414B" w:rsidP="00A3414B">
            <w:pPr>
              <w:jc w:val="center"/>
              <w:rPr>
                <w:bCs/>
                <w:color w:val="auto"/>
                <w:sz w:val="21"/>
                <w:szCs w:val="24"/>
              </w:rPr>
            </w:pPr>
            <w:r w:rsidRPr="00A3414B">
              <w:rPr>
                <w:bCs/>
                <w:color w:val="auto"/>
                <w:sz w:val="21"/>
                <w:szCs w:val="24"/>
              </w:rPr>
              <w:t>s/d</w:t>
            </w:r>
          </w:p>
        </w:tc>
      </w:tr>
      <w:tr w:rsidR="00A3414B" w:rsidRPr="00A3414B" w14:paraId="276C218E" w14:textId="77777777" w:rsidTr="00FE6E6E">
        <w:trPr>
          <w:trHeight w:val="330"/>
        </w:trPr>
        <w:tc>
          <w:tcPr>
            <w:tcW w:w="1985"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96E80CB" w14:textId="34BD9961" w:rsidR="00A3414B" w:rsidRPr="00A3414B" w:rsidRDefault="00A3414B" w:rsidP="00A3414B">
            <w:pPr>
              <w:rPr>
                <w:bCs/>
                <w:color w:val="auto"/>
                <w:sz w:val="21"/>
                <w:szCs w:val="24"/>
              </w:rPr>
            </w:pPr>
            <w:r w:rsidRPr="00A3414B">
              <w:rPr>
                <w:bCs/>
                <w:color w:val="auto"/>
                <w:sz w:val="21"/>
                <w:szCs w:val="24"/>
              </w:rPr>
              <w:t>Rural</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F4FB9C0" w14:textId="01C3E5A6" w:rsidR="00A3414B" w:rsidRPr="00A3414B" w:rsidRDefault="00A3414B" w:rsidP="00A3414B">
            <w:pPr>
              <w:jc w:val="center"/>
              <w:rPr>
                <w:bCs/>
                <w:color w:val="auto"/>
                <w:sz w:val="21"/>
                <w:szCs w:val="24"/>
              </w:rPr>
            </w:pPr>
            <w:r w:rsidRPr="00A3414B">
              <w:rPr>
                <w:bCs/>
                <w:color w:val="auto"/>
                <w:sz w:val="21"/>
                <w:szCs w:val="24"/>
              </w:rPr>
              <w:t>86,5</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095B19A" w14:textId="534DB33F" w:rsidR="00A3414B" w:rsidRPr="00A3414B" w:rsidRDefault="00A3414B" w:rsidP="00A3414B">
            <w:pPr>
              <w:jc w:val="center"/>
              <w:rPr>
                <w:bCs/>
                <w:color w:val="auto"/>
                <w:sz w:val="21"/>
                <w:szCs w:val="24"/>
              </w:rPr>
            </w:pPr>
            <w:r w:rsidRPr="00A3414B">
              <w:rPr>
                <w:bCs/>
                <w:color w:val="auto"/>
                <w:sz w:val="21"/>
                <w:szCs w:val="24"/>
              </w:rPr>
              <w:t>63,7</w:t>
            </w:r>
          </w:p>
        </w:tc>
        <w:tc>
          <w:tcPr>
            <w:tcW w:w="708"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9CB12ED" w14:textId="66E25C97" w:rsidR="00A3414B" w:rsidRPr="00A3414B" w:rsidRDefault="00A3414B" w:rsidP="00A3414B">
            <w:pPr>
              <w:jc w:val="center"/>
              <w:rPr>
                <w:bCs/>
                <w:color w:val="auto"/>
                <w:sz w:val="21"/>
                <w:szCs w:val="24"/>
              </w:rPr>
            </w:pPr>
            <w:r w:rsidRPr="00A3414B">
              <w:rPr>
                <w:bCs/>
                <w:color w:val="auto"/>
                <w:sz w:val="21"/>
                <w:szCs w:val="24"/>
              </w:rPr>
              <w:t>87,2</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EA1C77E" w14:textId="1507027F" w:rsidR="00A3414B" w:rsidRPr="00A3414B" w:rsidRDefault="00A3414B" w:rsidP="00A3414B">
            <w:pPr>
              <w:jc w:val="center"/>
              <w:rPr>
                <w:bCs/>
                <w:color w:val="auto"/>
                <w:sz w:val="21"/>
                <w:szCs w:val="24"/>
              </w:rPr>
            </w:pPr>
            <w:r w:rsidRPr="00A3414B">
              <w:rPr>
                <w:bCs/>
                <w:color w:val="auto"/>
                <w:sz w:val="21"/>
                <w:szCs w:val="24"/>
              </w:rPr>
              <w:t>45,7</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F6F175C" w14:textId="48F77C5B" w:rsidR="00A3414B" w:rsidRPr="00A3414B" w:rsidRDefault="00A3414B" w:rsidP="00A3414B">
            <w:pPr>
              <w:jc w:val="center"/>
              <w:rPr>
                <w:bCs/>
                <w:color w:val="auto"/>
                <w:sz w:val="21"/>
                <w:szCs w:val="24"/>
              </w:rPr>
            </w:pPr>
            <w:r w:rsidRPr="00A3414B">
              <w:rPr>
                <w:bCs/>
                <w:color w:val="auto"/>
                <w:sz w:val="21"/>
                <w:szCs w:val="24"/>
              </w:rPr>
              <w:t>38,9</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3DFF9D7" w14:textId="596A8E11" w:rsidR="00A3414B" w:rsidRPr="00A3414B" w:rsidRDefault="00A3414B" w:rsidP="00A3414B">
            <w:pPr>
              <w:jc w:val="center"/>
              <w:rPr>
                <w:bCs/>
                <w:color w:val="auto"/>
                <w:sz w:val="21"/>
                <w:szCs w:val="24"/>
              </w:rPr>
            </w:pPr>
            <w:r w:rsidRPr="00A3414B">
              <w:rPr>
                <w:bCs/>
                <w:color w:val="auto"/>
                <w:sz w:val="21"/>
                <w:szCs w:val="24"/>
              </w:rPr>
              <w:t>66,1</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28089A4" w14:textId="67D9084D" w:rsidR="00A3414B" w:rsidRPr="00A3414B" w:rsidRDefault="00A3414B" w:rsidP="00A3414B">
            <w:pPr>
              <w:jc w:val="center"/>
              <w:rPr>
                <w:bCs/>
                <w:color w:val="auto"/>
                <w:sz w:val="21"/>
                <w:szCs w:val="24"/>
              </w:rPr>
            </w:pPr>
            <w:r w:rsidRPr="00A3414B">
              <w:rPr>
                <w:bCs/>
                <w:color w:val="auto"/>
                <w:sz w:val="21"/>
                <w:szCs w:val="24"/>
              </w:rPr>
              <w:t>116,1</w:t>
            </w:r>
          </w:p>
        </w:tc>
        <w:tc>
          <w:tcPr>
            <w:tcW w:w="654" w:type="dxa"/>
            <w:tcBorders>
              <w:top w:val="single" w:sz="4" w:space="0" w:color="auto"/>
              <w:left w:val="single" w:sz="4" w:space="0" w:color="auto"/>
              <w:bottom w:val="single" w:sz="4" w:space="0" w:color="auto"/>
              <w:right w:val="single" w:sz="4" w:space="0" w:color="auto"/>
            </w:tcBorders>
            <w:shd w:val="clear" w:color="FFFFFF" w:fill="FFFFFF"/>
            <w:vAlign w:val="center"/>
          </w:tcPr>
          <w:p w14:paraId="282D3EEF" w14:textId="14215051" w:rsidR="00A3414B" w:rsidRPr="00A3414B" w:rsidRDefault="00A3414B" w:rsidP="00A3414B">
            <w:pPr>
              <w:jc w:val="center"/>
              <w:rPr>
                <w:bCs/>
                <w:color w:val="auto"/>
                <w:sz w:val="21"/>
                <w:szCs w:val="24"/>
              </w:rPr>
            </w:pPr>
            <w:r w:rsidRPr="00A3414B">
              <w:rPr>
                <w:bCs/>
                <w:color w:val="auto"/>
                <w:sz w:val="21"/>
                <w:szCs w:val="24"/>
              </w:rPr>
              <w:t>s/d</w:t>
            </w:r>
          </w:p>
        </w:tc>
        <w:tc>
          <w:tcPr>
            <w:tcW w:w="642" w:type="dxa"/>
            <w:tcBorders>
              <w:top w:val="single" w:sz="4" w:space="0" w:color="auto"/>
              <w:left w:val="single" w:sz="4" w:space="0" w:color="auto"/>
              <w:bottom w:val="single" w:sz="4" w:space="0" w:color="auto"/>
              <w:right w:val="single" w:sz="4" w:space="0" w:color="auto"/>
            </w:tcBorders>
            <w:shd w:val="clear" w:color="FFFFFF" w:fill="FFFFFF"/>
            <w:vAlign w:val="center"/>
          </w:tcPr>
          <w:p w14:paraId="6AD40EF1" w14:textId="3C55D961" w:rsidR="00A3414B" w:rsidRPr="00A3414B" w:rsidRDefault="00A3414B" w:rsidP="00A3414B">
            <w:pPr>
              <w:jc w:val="center"/>
              <w:rPr>
                <w:bCs/>
                <w:color w:val="auto"/>
                <w:sz w:val="21"/>
                <w:szCs w:val="24"/>
              </w:rPr>
            </w:pPr>
            <w:r w:rsidRPr="00A3414B">
              <w:rPr>
                <w:bCs/>
                <w:color w:val="auto"/>
                <w:sz w:val="21"/>
                <w:szCs w:val="24"/>
              </w:rPr>
              <w:t>s/d</w:t>
            </w:r>
          </w:p>
        </w:tc>
        <w:tc>
          <w:tcPr>
            <w:tcW w:w="634" w:type="dxa"/>
            <w:tcBorders>
              <w:top w:val="single" w:sz="4" w:space="0" w:color="auto"/>
              <w:left w:val="single" w:sz="4" w:space="0" w:color="auto"/>
              <w:bottom w:val="single" w:sz="4" w:space="0" w:color="auto"/>
              <w:right w:val="single" w:sz="4" w:space="0" w:color="auto"/>
            </w:tcBorders>
            <w:shd w:val="clear" w:color="FFFFFF" w:fill="FFFFFF"/>
            <w:vAlign w:val="center"/>
          </w:tcPr>
          <w:p w14:paraId="644E35A0" w14:textId="2BCCEEE3" w:rsidR="00A3414B" w:rsidRPr="00A3414B" w:rsidRDefault="00A3414B" w:rsidP="00A3414B">
            <w:pPr>
              <w:jc w:val="center"/>
              <w:rPr>
                <w:bCs/>
                <w:color w:val="auto"/>
                <w:sz w:val="21"/>
                <w:szCs w:val="24"/>
              </w:rPr>
            </w:pPr>
            <w:r w:rsidRPr="00A3414B">
              <w:rPr>
                <w:bCs/>
                <w:color w:val="auto"/>
                <w:sz w:val="21"/>
                <w:szCs w:val="24"/>
              </w:rPr>
              <w:t>s/d</w:t>
            </w:r>
          </w:p>
        </w:tc>
      </w:tr>
      <w:tr w:rsidR="00A3414B" w:rsidRPr="00A3414B" w14:paraId="10942F3F" w14:textId="77777777" w:rsidTr="00FE6E6E">
        <w:trPr>
          <w:trHeight w:val="330"/>
        </w:trPr>
        <w:tc>
          <w:tcPr>
            <w:tcW w:w="8791"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437F956C" w14:textId="6B58E6E8" w:rsidR="00A3414B" w:rsidRPr="00A3414B" w:rsidRDefault="00A3414B" w:rsidP="00A3414B">
            <w:pPr>
              <w:rPr>
                <w:bCs/>
                <w:color w:val="auto"/>
                <w:sz w:val="21"/>
                <w:szCs w:val="24"/>
              </w:rPr>
            </w:pPr>
            <w:r w:rsidRPr="00A3414B">
              <w:rPr>
                <w:bCs/>
                <w:color w:val="auto"/>
                <w:sz w:val="21"/>
                <w:szCs w:val="24"/>
              </w:rPr>
              <w:t>Pertenencia a una comunidad indígena</w:t>
            </w:r>
          </w:p>
        </w:tc>
      </w:tr>
      <w:tr w:rsidR="00A3414B" w:rsidRPr="00A3414B" w14:paraId="0DB52ABB" w14:textId="77777777" w:rsidTr="00FE6E6E">
        <w:trPr>
          <w:trHeight w:val="330"/>
        </w:trPr>
        <w:tc>
          <w:tcPr>
            <w:tcW w:w="1985"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57B1DE3" w14:textId="382489E4" w:rsidR="00A3414B" w:rsidRPr="00A3414B" w:rsidRDefault="00A3414B" w:rsidP="00A3414B">
            <w:pPr>
              <w:rPr>
                <w:bCs/>
                <w:color w:val="auto"/>
                <w:sz w:val="21"/>
                <w:szCs w:val="24"/>
              </w:rPr>
            </w:pPr>
            <w:r w:rsidRPr="00A3414B">
              <w:rPr>
                <w:bCs/>
                <w:color w:val="auto"/>
                <w:sz w:val="21"/>
                <w:szCs w:val="24"/>
              </w:rPr>
              <w:t>No</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F365026" w14:textId="4F96043E" w:rsidR="00A3414B" w:rsidRPr="00A3414B" w:rsidRDefault="00A3414B" w:rsidP="00A3414B">
            <w:pPr>
              <w:jc w:val="center"/>
              <w:rPr>
                <w:bCs/>
                <w:color w:val="auto"/>
                <w:sz w:val="21"/>
                <w:szCs w:val="24"/>
              </w:rPr>
            </w:pPr>
            <w:r w:rsidRPr="00A3414B">
              <w:rPr>
                <w:bCs/>
                <w:color w:val="auto"/>
                <w:sz w:val="21"/>
                <w:szCs w:val="24"/>
              </w:rPr>
              <w:t>74,3</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1ADB4F8" w14:textId="492D9C7C" w:rsidR="00A3414B" w:rsidRPr="00A3414B" w:rsidRDefault="00A3414B" w:rsidP="00A3414B">
            <w:pPr>
              <w:jc w:val="center"/>
              <w:rPr>
                <w:bCs/>
                <w:color w:val="auto"/>
                <w:sz w:val="21"/>
                <w:szCs w:val="24"/>
              </w:rPr>
            </w:pPr>
            <w:r w:rsidRPr="00A3414B">
              <w:rPr>
                <w:bCs/>
                <w:color w:val="auto"/>
                <w:sz w:val="21"/>
                <w:szCs w:val="24"/>
              </w:rPr>
              <w:t>79,5</w:t>
            </w:r>
          </w:p>
        </w:tc>
        <w:tc>
          <w:tcPr>
            <w:tcW w:w="708"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0046EF9" w14:textId="75D91257" w:rsidR="00A3414B" w:rsidRPr="00A3414B" w:rsidRDefault="00A3414B" w:rsidP="00A3414B">
            <w:pPr>
              <w:jc w:val="center"/>
              <w:rPr>
                <w:bCs/>
                <w:color w:val="auto"/>
                <w:sz w:val="21"/>
                <w:szCs w:val="24"/>
              </w:rPr>
            </w:pPr>
            <w:r w:rsidRPr="00A3414B">
              <w:rPr>
                <w:bCs/>
                <w:color w:val="auto"/>
                <w:sz w:val="21"/>
                <w:szCs w:val="24"/>
              </w:rPr>
              <w:t>59,7</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5224157" w14:textId="23A196E2" w:rsidR="00A3414B" w:rsidRPr="00A3414B" w:rsidRDefault="00A3414B" w:rsidP="00A3414B">
            <w:pPr>
              <w:jc w:val="center"/>
              <w:rPr>
                <w:bCs/>
                <w:color w:val="auto"/>
                <w:sz w:val="21"/>
                <w:szCs w:val="24"/>
              </w:rPr>
            </w:pPr>
            <w:r w:rsidRPr="00A3414B">
              <w:rPr>
                <w:bCs/>
                <w:color w:val="auto"/>
                <w:sz w:val="21"/>
                <w:szCs w:val="24"/>
              </w:rPr>
              <w:t>63,8</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E317C40" w14:textId="09261893" w:rsidR="00A3414B" w:rsidRPr="00A3414B" w:rsidRDefault="00A3414B" w:rsidP="00A3414B">
            <w:pPr>
              <w:jc w:val="center"/>
              <w:rPr>
                <w:bCs/>
                <w:color w:val="auto"/>
                <w:sz w:val="21"/>
                <w:szCs w:val="24"/>
              </w:rPr>
            </w:pPr>
            <w:r w:rsidRPr="00A3414B">
              <w:rPr>
                <w:bCs/>
                <w:color w:val="auto"/>
                <w:sz w:val="21"/>
                <w:szCs w:val="24"/>
              </w:rPr>
              <w:t>58,7</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3B786E54" w14:textId="158962EC" w:rsidR="00A3414B" w:rsidRPr="00A3414B" w:rsidRDefault="00A3414B" w:rsidP="00A3414B">
            <w:pPr>
              <w:jc w:val="center"/>
              <w:rPr>
                <w:bCs/>
                <w:color w:val="auto"/>
                <w:sz w:val="21"/>
                <w:szCs w:val="24"/>
              </w:rPr>
            </w:pPr>
            <w:r w:rsidRPr="00A3414B">
              <w:rPr>
                <w:bCs/>
                <w:color w:val="auto"/>
                <w:sz w:val="21"/>
                <w:szCs w:val="24"/>
              </w:rPr>
              <w:t>72,6</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62D6682" w14:textId="52A4AEF5" w:rsidR="00A3414B" w:rsidRPr="00A3414B" w:rsidRDefault="00A3414B" w:rsidP="00A3414B">
            <w:pPr>
              <w:jc w:val="center"/>
              <w:rPr>
                <w:bCs/>
                <w:color w:val="auto"/>
                <w:sz w:val="21"/>
                <w:szCs w:val="24"/>
              </w:rPr>
            </w:pPr>
            <w:r w:rsidRPr="00A3414B">
              <w:rPr>
                <w:bCs/>
                <w:color w:val="auto"/>
                <w:sz w:val="21"/>
                <w:szCs w:val="24"/>
              </w:rPr>
              <w:t>145,1</w:t>
            </w:r>
          </w:p>
        </w:tc>
        <w:tc>
          <w:tcPr>
            <w:tcW w:w="654" w:type="dxa"/>
            <w:tcBorders>
              <w:top w:val="single" w:sz="4" w:space="0" w:color="auto"/>
              <w:left w:val="single" w:sz="4" w:space="0" w:color="auto"/>
              <w:bottom w:val="single" w:sz="4" w:space="0" w:color="auto"/>
              <w:right w:val="single" w:sz="4" w:space="0" w:color="auto"/>
            </w:tcBorders>
            <w:shd w:val="clear" w:color="FFFFFF" w:fill="FFFFFF"/>
            <w:vAlign w:val="center"/>
          </w:tcPr>
          <w:p w14:paraId="66C24278" w14:textId="23643EF3" w:rsidR="00A3414B" w:rsidRPr="00A3414B" w:rsidRDefault="00A3414B" w:rsidP="00A3414B">
            <w:pPr>
              <w:jc w:val="center"/>
              <w:rPr>
                <w:bCs/>
                <w:color w:val="auto"/>
                <w:sz w:val="21"/>
                <w:szCs w:val="24"/>
              </w:rPr>
            </w:pPr>
            <w:r w:rsidRPr="00A3414B">
              <w:rPr>
                <w:bCs/>
                <w:color w:val="auto"/>
                <w:sz w:val="21"/>
                <w:szCs w:val="24"/>
              </w:rPr>
              <w:t>s/d</w:t>
            </w:r>
          </w:p>
        </w:tc>
        <w:tc>
          <w:tcPr>
            <w:tcW w:w="642" w:type="dxa"/>
            <w:tcBorders>
              <w:top w:val="single" w:sz="4" w:space="0" w:color="auto"/>
              <w:left w:val="single" w:sz="4" w:space="0" w:color="auto"/>
              <w:bottom w:val="single" w:sz="4" w:space="0" w:color="auto"/>
              <w:right w:val="single" w:sz="4" w:space="0" w:color="auto"/>
            </w:tcBorders>
            <w:shd w:val="clear" w:color="FFFFFF" w:fill="FFFFFF"/>
            <w:vAlign w:val="center"/>
          </w:tcPr>
          <w:p w14:paraId="457CED1B" w14:textId="57114F05" w:rsidR="00A3414B" w:rsidRPr="00A3414B" w:rsidRDefault="00A3414B" w:rsidP="00A3414B">
            <w:pPr>
              <w:jc w:val="center"/>
              <w:rPr>
                <w:bCs/>
                <w:color w:val="auto"/>
                <w:sz w:val="21"/>
                <w:szCs w:val="24"/>
              </w:rPr>
            </w:pPr>
            <w:r w:rsidRPr="00A3414B">
              <w:rPr>
                <w:bCs/>
                <w:color w:val="auto"/>
                <w:sz w:val="21"/>
                <w:szCs w:val="24"/>
              </w:rPr>
              <w:t>s/d</w:t>
            </w:r>
          </w:p>
        </w:tc>
        <w:tc>
          <w:tcPr>
            <w:tcW w:w="634" w:type="dxa"/>
            <w:tcBorders>
              <w:top w:val="single" w:sz="4" w:space="0" w:color="auto"/>
              <w:left w:val="single" w:sz="4" w:space="0" w:color="auto"/>
              <w:bottom w:val="single" w:sz="4" w:space="0" w:color="auto"/>
              <w:right w:val="single" w:sz="4" w:space="0" w:color="auto"/>
            </w:tcBorders>
            <w:shd w:val="clear" w:color="FFFFFF" w:fill="FFFFFF"/>
            <w:vAlign w:val="center"/>
          </w:tcPr>
          <w:p w14:paraId="64A0F3C8" w14:textId="0C48B195" w:rsidR="00A3414B" w:rsidRPr="00A3414B" w:rsidRDefault="00A3414B" w:rsidP="00A3414B">
            <w:pPr>
              <w:jc w:val="center"/>
              <w:rPr>
                <w:bCs/>
                <w:color w:val="auto"/>
                <w:sz w:val="21"/>
                <w:szCs w:val="24"/>
              </w:rPr>
            </w:pPr>
            <w:r w:rsidRPr="00A3414B">
              <w:rPr>
                <w:bCs/>
                <w:color w:val="auto"/>
                <w:sz w:val="21"/>
                <w:szCs w:val="24"/>
              </w:rPr>
              <w:t>s/d</w:t>
            </w:r>
          </w:p>
        </w:tc>
      </w:tr>
      <w:tr w:rsidR="00A3414B" w:rsidRPr="00A3414B" w14:paraId="5ADDD6C3" w14:textId="77777777" w:rsidTr="00FE6E6E">
        <w:trPr>
          <w:trHeight w:val="330"/>
        </w:trPr>
        <w:tc>
          <w:tcPr>
            <w:tcW w:w="1985"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228FDD8" w14:textId="3909896B" w:rsidR="00A3414B" w:rsidRPr="00A3414B" w:rsidRDefault="00A3414B" w:rsidP="00A3414B">
            <w:pPr>
              <w:rPr>
                <w:bCs/>
                <w:color w:val="auto"/>
                <w:sz w:val="21"/>
                <w:szCs w:val="24"/>
              </w:rPr>
            </w:pPr>
            <w:r w:rsidRPr="00A3414B">
              <w:rPr>
                <w:bCs/>
                <w:color w:val="auto"/>
                <w:sz w:val="21"/>
                <w:szCs w:val="24"/>
              </w:rPr>
              <w:t>Sí</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99F401A" w14:textId="12D8C1D3" w:rsidR="00A3414B" w:rsidRPr="00A3414B" w:rsidRDefault="00A3414B" w:rsidP="00A3414B">
            <w:pPr>
              <w:jc w:val="center"/>
              <w:rPr>
                <w:bCs/>
                <w:color w:val="auto"/>
                <w:sz w:val="21"/>
                <w:szCs w:val="24"/>
              </w:rPr>
            </w:pPr>
            <w:r w:rsidRPr="00A3414B">
              <w:rPr>
                <w:bCs/>
                <w:color w:val="auto"/>
                <w:sz w:val="21"/>
                <w:szCs w:val="24"/>
              </w:rPr>
              <w:t>542,3</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D6B1038" w14:textId="209086CF" w:rsidR="00A3414B" w:rsidRPr="00A3414B" w:rsidRDefault="00A3414B" w:rsidP="00A3414B">
            <w:pPr>
              <w:jc w:val="center"/>
              <w:rPr>
                <w:bCs/>
                <w:color w:val="auto"/>
                <w:sz w:val="21"/>
                <w:szCs w:val="24"/>
              </w:rPr>
            </w:pPr>
            <w:r w:rsidRPr="00A3414B">
              <w:rPr>
                <w:bCs/>
                <w:color w:val="auto"/>
                <w:sz w:val="21"/>
                <w:szCs w:val="24"/>
              </w:rPr>
              <w:t>521,7</w:t>
            </w:r>
          </w:p>
        </w:tc>
        <w:tc>
          <w:tcPr>
            <w:tcW w:w="708"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F5A07F7" w14:textId="63906DCB" w:rsidR="00A3414B" w:rsidRPr="00A3414B" w:rsidRDefault="00A3414B" w:rsidP="00A3414B">
            <w:pPr>
              <w:jc w:val="center"/>
              <w:rPr>
                <w:bCs/>
                <w:color w:val="auto"/>
                <w:sz w:val="21"/>
                <w:szCs w:val="24"/>
              </w:rPr>
            </w:pPr>
            <w:r w:rsidRPr="00A3414B">
              <w:rPr>
                <w:bCs/>
                <w:color w:val="auto"/>
                <w:sz w:val="21"/>
                <w:szCs w:val="24"/>
              </w:rPr>
              <w:t>508,4</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BF05D7B" w14:textId="36D0E03C" w:rsidR="00A3414B" w:rsidRPr="00A3414B" w:rsidRDefault="00A3414B" w:rsidP="00A3414B">
            <w:pPr>
              <w:jc w:val="center"/>
              <w:rPr>
                <w:bCs/>
                <w:color w:val="auto"/>
                <w:sz w:val="21"/>
                <w:szCs w:val="24"/>
              </w:rPr>
            </w:pPr>
            <w:r w:rsidRPr="00A3414B">
              <w:rPr>
                <w:bCs/>
                <w:color w:val="auto"/>
                <w:sz w:val="21"/>
                <w:szCs w:val="24"/>
              </w:rPr>
              <w:t>454,5</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F3F0DDA" w14:textId="06372F53" w:rsidR="00A3414B" w:rsidRPr="00A3414B" w:rsidRDefault="00A3414B" w:rsidP="00A3414B">
            <w:pPr>
              <w:jc w:val="center"/>
              <w:rPr>
                <w:bCs/>
                <w:color w:val="auto"/>
                <w:sz w:val="21"/>
                <w:szCs w:val="24"/>
              </w:rPr>
            </w:pPr>
            <w:r w:rsidRPr="00A3414B">
              <w:rPr>
                <w:bCs/>
                <w:color w:val="auto"/>
                <w:sz w:val="21"/>
                <w:szCs w:val="24"/>
              </w:rPr>
              <w:t>495,5</w:t>
            </w:r>
          </w:p>
        </w:tc>
        <w:tc>
          <w:tcPr>
            <w:tcW w:w="66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10339B1" w14:textId="0E1F283F" w:rsidR="00A3414B" w:rsidRPr="00A3414B" w:rsidRDefault="00A3414B" w:rsidP="00A3414B">
            <w:pPr>
              <w:jc w:val="center"/>
              <w:rPr>
                <w:bCs/>
                <w:color w:val="auto"/>
                <w:sz w:val="21"/>
                <w:szCs w:val="24"/>
              </w:rPr>
            </w:pPr>
            <w:r w:rsidRPr="00A3414B">
              <w:rPr>
                <w:bCs/>
                <w:color w:val="auto"/>
                <w:sz w:val="21"/>
                <w:szCs w:val="24"/>
              </w:rPr>
              <w:t>357,8</w:t>
            </w:r>
          </w:p>
        </w:tc>
        <w:tc>
          <w:tcPr>
            <w:tcW w:w="7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3C8F872" w14:textId="5C57A8FD" w:rsidR="00A3414B" w:rsidRPr="00A3414B" w:rsidRDefault="00A3414B" w:rsidP="00A3414B">
            <w:pPr>
              <w:jc w:val="center"/>
              <w:rPr>
                <w:bCs/>
                <w:color w:val="auto"/>
                <w:sz w:val="21"/>
                <w:szCs w:val="24"/>
              </w:rPr>
            </w:pPr>
            <w:r w:rsidRPr="00A3414B">
              <w:rPr>
                <w:bCs/>
                <w:color w:val="auto"/>
                <w:sz w:val="21"/>
                <w:szCs w:val="24"/>
              </w:rPr>
              <w:t>773,6</w:t>
            </w:r>
          </w:p>
        </w:tc>
        <w:tc>
          <w:tcPr>
            <w:tcW w:w="654" w:type="dxa"/>
            <w:tcBorders>
              <w:top w:val="single" w:sz="4" w:space="0" w:color="auto"/>
              <w:left w:val="single" w:sz="4" w:space="0" w:color="auto"/>
              <w:bottom w:val="single" w:sz="4" w:space="0" w:color="auto"/>
              <w:right w:val="single" w:sz="4" w:space="0" w:color="auto"/>
            </w:tcBorders>
            <w:shd w:val="clear" w:color="FFFFFF" w:fill="FFFFFF"/>
            <w:vAlign w:val="center"/>
          </w:tcPr>
          <w:p w14:paraId="1FEFE949" w14:textId="57CFB9A2" w:rsidR="00A3414B" w:rsidRPr="00A3414B" w:rsidRDefault="00A3414B" w:rsidP="00A3414B">
            <w:pPr>
              <w:jc w:val="center"/>
              <w:rPr>
                <w:bCs/>
                <w:color w:val="auto"/>
                <w:sz w:val="21"/>
                <w:szCs w:val="24"/>
              </w:rPr>
            </w:pPr>
            <w:r w:rsidRPr="00A3414B">
              <w:rPr>
                <w:bCs/>
                <w:color w:val="auto"/>
                <w:sz w:val="21"/>
                <w:szCs w:val="24"/>
              </w:rPr>
              <w:t>s/d</w:t>
            </w:r>
          </w:p>
        </w:tc>
        <w:tc>
          <w:tcPr>
            <w:tcW w:w="642" w:type="dxa"/>
            <w:tcBorders>
              <w:top w:val="single" w:sz="4" w:space="0" w:color="auto"/>
              <w:left w:val="single" w:sz="4" w:space="0" w:color="auto"/>
              <w:bottom w:val="single" w:sz="4" w:space="0" w:color="auto"/>
              <w:right w:val="single" w:sz="4" w:space="0" w:color="auto"/>
            </w:tcBorders>
            <w:shd w:val="clear" w:color="FFFFFF" w:fill="FFFFFF"/>
            <w:vAlign w:val="center"/>
          </w:tcPr>
          <w:p w14:paraId="51D54E04" w14:textId="4E11647B" w:rsidR="00A3414B" w:rsidRPr="00A3414B" w:rsidRDefault="00A3414B" w:rsidP="00A3414B">
            <w:pPr>
              <w:jc w:val="center"/>
              <w:rPr>
                <w:bCs/>
                <w:color w:val="auto"/>
                <w:sz w:val="21"/>
                <w:szCs w:val="24"/>
              </w:rPr>
            </w:pPr>
            <w:r w:rsidRPr="00A3414B">
              <w:rPr>
                <w:bCs/>
                <w:color w:val="auto"/>
                <w:sz w:val="21"/>
                <w:szCs w:val="24"/>
              </w:rPr>
              <w:t>s/d</w:t>
            </w:r>
          </w:p>
        </w:tc>
        <w:tc>
          <w:tcPr>
            <w:tcW w:w="634" w:type="dxa"/>
            <w:tcBorders>
              <w:top w:val="single" w:sz="4" w:space="0" w:color="auto"/>
              <w:left w:val="single" w:sz="4" w:space="0" w:color="auto"/>
              <w:bottom w:val="single" w:sz="4" w:space="0" w:color="auto"/>
              <w:right w:val="single" w:sz="4" w:space="0" w:color="auto"/>
            </w:tcBorders>
            <w:shd w:val="clear" w:color="FFFFFF" w:fill="FFFFFF"/>
            <w:vAlign w:val="center"/>
          </w:tcPr>
          <w:p w14:paraId="7F1EC7A4" w14:textId="5BD14E02" w:rsidR="00A3414B" w:rsidRPr="00A3414B" w:rsidRDefault="00A3414B" w:rsidP="00A3414B">
            <w:pPr>
              <w:jc w:val="center"/>
              <w:rPr>
                <w:bCs/>
                <w:color w:val="auto"/>
                <w:sz w:val="21"/>
                <w:szCs w:val="24"/>
              </w:rPr>
            </w:pPr>
            <w:r w:rsidRPr="00A3414B">
              <w:rPr>
                <w:bCs/>
                <w:color w:val="auto"/>
                <w:sz w:val="21"/>
                <w:szCs w:val="24"/>
              </w:rPr>
              <w:t>s/d</w:t>
            </w:r>
          </w:p>
        </w:tc>
      </w:tr>
    </w:tbl>
    <w:p w14:paraId="6E6890D0" w14:textId="1897186C" w:rsidR="00A82D1B" w:rsidRDefault="00FE6E6E" w:rsidP="00A82D1B">
      <w:pPr>
        <w:pStyle w:val="BBodyText"/>
      </w:pPr>
      <w:r>
        <w:t xml:space="preserve">Fuente: </w:t>
      </w:r>
      <w:r w:rsidRPr="00FE6E6E">
        <w:t>MSPBS/DIGIES/DES. Subsistema de Información de Estadísticas Vitales (SSIEV)</w:t>
      </w:r>
      <w:r>
        <w:t>.</w:t>
      </w:r>
      <w:r w:rsidR="00371E85">
        <w:t xml:space="preserve"> Datos de 2024 son provisorios, sujetos al análisis de consistencia</w:t>
      </w:r>
      <w:r w:rsidR="00371E85">
        <w:rPr>
          <w:rStyle w:val="FootnoteReference"/>
        </w:rPr>
        <w:footnoteReference w:id="17"/>
      </w:r>
      <w:r w:rsidR="00371E85">
        <w:t>.</w:t>
      </w:r>
    </w:p>
    <w:p w14:paraId="57B8BBD4" w14:textId="3EF7D796" w:rsidR="00FE48E6" w:rsidRDefault="00FE48E6" w:rsidP="00A82D1B">
      <w:pPr>
        <w:pStyle w:val="BBodyText"/>
      </w:pPr>
      <w:r>
        <w:t xml:space="preserve">El Estado parte invierte </w:t>
      </w:r>
      <w:r w:rsidRPr="00FE48E6">
        <w:t>en salud pública</w:t>
      </w:r>
      <w:r>
        <w:t xml:space="preserve"> </w:t>
      </w:r>
      <w:r w:rsidRPr="00FE48E6">
        <w:t xml:space="preserve">el 4% del PIB, por debajo del 6% mínimo recomendado para </w:t>
      </w:r>
      <w:r w:rsidR="3BAC4EEF" w:rsidRPr="00FE48E6">
        <w:t>financiar una</w:t>
      </w:r>
      <w:r w:rsidRPr="00FE48E6">
        <w:t xml:space="preserve"> cobertura universal por la Organización Panamericana de la Salud (OPS)</w:t>
      </w:r>
      <w:r w:rsidRPr="00FE48E6">
        <w:rPr>
          <w:vertAlign w:val="superscript"/>
        </w:rPr>
        <w:footnoteReference w:id="18"/>
      </w:r>
      <w:r>
        <w:t xml:space="preserve">, lo que </w:t>
      </w:r>
      <w:r w:rsidR="00B27583">
        <w:t>sumado a “</w:t>
      </w:r>
      <w:r w:rsidR="00B27583" w:rsidRPr="00B27583">
        <w:t>las brechas de género y la discriminación estructural que sufren grupos históricamente vulnerables, como la población de pueblos indígenas y la población LGBTI, agravan las desigualdades en el acceso a la salud</w:t>
      </w:r>
      <w:r w:rsidR="00B27583">
        <w:t>”</w:t>
      </w:r>
      <w:r w:rsidR="00B27583">
        <w:rPr>
          <w:rStyle w:val="FootnoteReference"/>
        </w:rPr>
        <w:footnoteReference w:id="19"/>
      </w:r>
      <w:r>
        <w:t>. S</w:t>
      </w:r>
      <w:r w:rsidRPr="00FE48E6">
        <w:t>iete de cada diez personas</w:t>
      </w:r>
      <w:r w:rsidR="362CDBF5" w:rsidRPr="00FE48E6">
        <w:t xml:space="preserve"> no tienen acceso a la salud a través de la seguridad social, y</w:t>
      </w:r>
      <w:r w:rsidRPr="00FE48E6">
        <w:t xml:space="preserve"> </w:t>
      </w:r>
      <w:r w:rsidR="00585932">
        <w:t xml:space="preserve">dependen exclusivamente del </w:t>
      </w:r>
      <w:r w:rsidR="008114E8">
        <w:t>Ministerio de Salud Pública y Bienestar Social (</w:t>
      </w:r>
      <w:r w:rsidR="4B6DD91C">
        <w:t>MSPBS</w:t>
      </w:r>
      <w:r w:rsidR="008114E8">
        <w:t>)</w:t>
      </w:r>
      <w:r w:rsidR="00585932">
        <w:t xml:space="preserve">, ya que </w:t>
      </w:r>
      <w:r w:rsidRPr="00FE48E6">
        <w:t xml:space="preserve">no </w:t>
      </w:r>
      <w:r w:rsidR="00585932">
        <w:t>cuentan con</w:t>
      </w:r>
      <w:r w:rsidRPr="00FE48E6">
        <w:t xml:space="preserve"> seguro de salud</w:t>
      </w:r>
      <w:r w:rsidRPr="00FE48E6">
        <w:rPr>
          <w:vertAlign w:val="superscript"/>
        </w:rPr>
        <w:footnoteReference w:id="20"/>
      </w:r>
      <w:r>
        <w:t xml:space="preserve"> y </w:t>
      </w:r>
      <w:r w:rsidRPr="00FE48E6">
        <w:t>38</w:t>
      </w:r>
      <w:r>
        <w:t>,</w:t>
      </w:r>
      <w:r w:rsidRPr="00FE48E6">
        <w:t>4% del gasto en salud en Paraguay es cubierto con recursos propios de pacientes y sus familias, uno de los gastos de bolsillo en salud más elevados entre los países con niveles de desarrollo similares, lo que convierte al Paraguay e</w:t>
      </w:r>
      <w:r w:rsidR="00705D78">
        <w:t>n</w:t>
      </w:r>
      <w:r w:rsidRPr="00FE48E6">
        <w:t xml:space="preserve"> uno de los lugares más caros del mundo para enfermarse. Esto frecuentemente se sostiene con endeudamiento de las personas y con contribuciones solidarias de redes familiares o comunitarias</w:t>
      </w:r>
      <w:r w:rsidRPr="00FE48E6">
        <w:rPr>
          <w:vertAlign w:val="superscript"/>
        </w:rPr>
        <w:footnoteReference w:id="21"/>
      </w:r>
      <w:r w:rsidRPr="00FE48E6">
        <w:t>.</w:t>
      </w:r>
      <w:r>
        <w:t xml:space="preserve"> El Estado parte invierte menos de la mitad de lo recomendado por la OPS en la </w:t>
      </w:r>
      <w:r w:rsidR="00A100C7">
        <w:t>Atención Primaria de la Salud (</w:t>
      </w:r>
      <w:r w:rsidR="00181F0E">
        <w:t>APS</w:t>
      </w:r>
      <w:r w:rsidR="00A100C7">
        <w:t>)</w:t>
      </w:r>
      <w:r w:rsidRPr="00FE48E6">
        <w:rPr>
          <w:vertAlign w:val="superscript"/>
        </w:rPr>
        <w:footnoteReference w:id="22"/>
      </w:r>
      <w:r>
        <w:t xml:space="preserve">, </w:t>
      </w:r>
      <w:r w:rsidRPr="00FE48E6">
        <w:t xml:space="preserve">una obligación </w:t>
      </w:r>
      <w:r w:rsidRPr="00FE48E6">
        <w:rPr>
          <w:vertAlign w:val="superscript"/>
        </w:rPr>
        <w:footnoteReference w:id="23"/>
      </w:r>
      <w:r>
        <w:t xml:space="preserve"> que es </w:t>
      </w:r>
      <w:r w:rsidRPr="00FE48E6">
        <w:t>clave para la detección temprana de enfermedades</w:t>
      </w:r>
      <w:r>
        <w:t>.</w:t>
      </w:r>
    </w:p>
    <w:p w14:paraId="62E7E599" w14:textId="76EA67BC" w:rsidR="00FE48E6" w:rsidRDefault="00172E7E" w:rsidP="00A82D1B">
      <w:pPr>
        <w:pStyle w:val="BBodyText"/>
      </w:pPr>
      <w:r>
        <w:t>Principales motivos de preocupación de Amnistía Internacional</w:t>
      </w:r>
      <w:r w:rsidR="00181F0E">
        <w:t xml:space="preserve"> para la</w:t>
      </w:r>
      <w:r w:rsidR="00756EBD">
        <w:t xml:space="preserve"> lista de cuestiones</w:t>
      </w:r>
      <w:r>
        <w:t>:</w:t>
      </w:r>
    </w:p>
    <w:p w14:paraId="5586C61F" w14:textId="2EE9C60C" w:rsidR="00172E7E" w:rsidRDefault="00172E7E" w:rsidP="001A0AF4">
      <w:pPr>
        <w:pStyle w:val="BBodyText"/>
        <w:numPr>
          <w:ilvl w:val="0"/>
          <w:numId w:val="35"/>
        </w:numPr>
      </w:pPr>
      <w:r>
        <w:t xml:space="preserve">La falta de medidas encaminadas a utilizar el máximo de los recursos disponibles </w:t>
      </w:r>
      <w:r w:rsidR="00B3066F">
        <w:t xml:space="preserve">para avanzar progresivamente hacia una inversión pública en salud que alcance el mínimo del 6% del PIB, destinando esta inversión en un 30% como mínimo a la estrategia de </w:t>
      </w:r>
      <w:r w:rsidR="00181F0E">
        <w:t>APS</w:t>
      </w:r>
      <w:r w:rsidR="00B3066F">
        <w:t>, aunque el Estado parte dispone de suficiente espacio fiscal para mejorar la recaudación y mejorar la eficiencia de su gasto público en salud</w:t>
      </w:r>
      <w:r w:rsidR="00B3066F">
        <w:rPr>
          <w:rStyle w:val="FootnoteReference"/>
        </w:rPr>
        <w:footnoteReference w:id="24"/>
      </w:r>
      <w:r w:rsidR="00B3066F">
        <w:t>.</w:t>
      </w:r>
    </w:p>
    <w:p w14:paraId="65E95102" w14:textId="35561ADF" w:rsidR="00181F0E" w:rsidRDefault="00181F0E" w:rsidP="001A0AF4">
      <w:pPr>
        <w:pStyle w:val="BBodyText"/>
        <w:numPr>
          <w:ilvl w:val="0"/>
          <w:numId w:val="35"/>
        </w:numPr>
      </w:pPr>
      <w:r>
        <w:t>La falta de medidas para c</w:t>
      </w:r>
      <w:r w:rsidRPr="00181F0E">
        <w:t>ompletar la</w:t>
      </w:r>
      <w:r>
        <w:t>s</w:t>
      </w:r>
      <w:r w:rsidRPr="00181F0E">
        <w:t xml:space="preserve"> brecha</w:t>
      </w:r>
      <w:r>
        <w:t>s territoriales</w:t>
      </w:r>
      <w:r w:rsidRPr="00181F0E">
        <w:t xml:space="preserve"> que existe</w:t>
      </w:r>
      <w:r>
        <w:t>n</w:t>
      </w:r>
      <w:r w:rsidRPr="00181F0E">
        <w:t xml:space="preserve"> en materia de disponibilidad de Unidades de Salud Familiar (USF)</w:t>
      </w:r>
      <w:r>
        <w:t>, que funcionan como la primera línea de la estrategia de APS.</w:t>
      </w:r>
      <w:r w:rsidR="00AD4953">
        <w:t xml:space="preserve"> </w:t>
      </w:r>
      <w:r>
        <w:t xml:space="preserve">Para 2024, existen </w:t>
      </w:r>
      <w:r w:rsidR="00AD4953">
        <w:t xml:space="preserve">947 </w:t>
      </w:r>
      <w:r>
        <w:t>USF</w:t>
      </w:r>
      <w:r w:rsidR="001B5849">
        <w:rPr>
          <w:rStyle w:val="FootnoteReference"/>
        </w:rPr>
        <w:footnoteReference w:id="25"/>
      </w:r>
      <w:r>
        <w:t xml:space="preserve"> de las 1800 </w:t>
      </w:r>
      <w:r w:rsidRPr="00181F0E">
        <w:t>que se necesitan para cubrir a toda la población</w:t>
      </w:r>
      <w:r w:rsidR="00AD4953">
        <w:t>, afectando desproporcionadamente en interseccionalidad a mujeres rurales e indígenas.</w:t>
      </w:r>
    </w:p>
    <w:p w14:paraId="1E1FACF5" w14:textId="29479715" w:rsidR="00F67446" w:rsidRDefault="00F67446" w:rsidP="001A0AF4">
      <w:pPr>
        <w:pStyle w:val="BBodyText"/>
        <w:numPr>
          <w:ilvl w:val="0"/>
          <w:numId w:val="35"/>
        </w:numPr>
      </w:pPr>
      <w:r>
        <w:t>La falta de medidas adecuadas, administrativas y fiscales, para mejorar la disponibilidad y distribución de medicamentos, en particular los oncológicos</w:t>
      </w:r>
      <w:r>
        <w:rPr>
          <w:rStyle w:val="FootnoteReference"/>
        </w:rPr>
        <w:footnoteReference w:id="26"/>
      </w:r>
      <w:r w:rsidR="00B97F1A">
        <w:t>, y reducir el desproporcionado impacto del gasto de bolsillo en salud.</w:t>
      </w:r>
    </w:p>
    <w:p w14:paraId="20630390" w14:textId="3B9AA19F" w:rsidR="009A2897" w:rsidRPr="009A2897" w:rsidRDefault="004902DE" w:rsidP="009A2897">
      <w:pPr>
        <w:pStyle w:val="BNumberedHeading"/>
      </w:pPr>
      <w:bookmarkStart w:id="2" w:name="_Toc198130194"/>
      <w:r>
        <w:t>Violencia basada en género contra la</w:t>
      </w:r>
      <w:r w:rsidR="00A100C7">
        <w:t>s</w:t>
      </w:r>
      <w:r>
        <w:t xml:space="preserve"> mujer</w:t>
      </w:r>
      <w:r w:rsidR="00A100C7">
        <w:t>es</w:t>
      </w:r>
      <w:r w:rsidR="005D5E6A">
        <w:t xml:space="preserve"> (</w:t>
      </w:r>
      <w:r w:rsidR="00CD59C8">
        <w:t xml:space="preserve">artículos 1, 2 y </w:t>
      </w:r>
      <w:r w:rsidR="005D5E6A">
        <w:t>RECOMENDACIÓn general n</w:t>
      </w:r>
      <w:r w:rsidR="00B04447">
        <w:t>°</w:t>
      </w:r>
      <w:r w:rsidR="005D5E6A">
        <w:t xml:space="preserve"> 35)</w:t>
      </w:r>
      <w:bookmarkEnd w:id="2"/>
    </w:p>
    <w:p w14:paraId="67BE5CEB" w14:textId="160B39F6" w:rsidR="00A82D1B" w:rsidRDefault="00A82D1B" w:rsidP="007D1915">
      <w:pPr>
        <w:pStyle w:val="BBodyText"/>
      </w:pPr>
    </w:p>
    <w:p w14:paraId="4D07D99D" w14:textId="5399CCE4" w:rsidR="00414783" w:rsidRDefault="004902DE" w:rsidP="00626463">
      <w:pPr>
        <w:pStyle w:val="BBodyText"/>
      </w:pPr>
      <w:r>
        <w:t>L</w:t>
      </w:r>
      <w:r w:rsidR="00BB793F">
        <w:t xml:space="preserve">a violencia contra las mujeres sigue siendo un motivo de preocupación en el Estado parte. </w:t>
      </w:r>
      <w:r w:rsidR="0026706A">
        <w:t xml:space="preserve">El 78,5% de las mujeres paraguayas </w:t>
      </w:r>
      <w:r w:rsidR="0026706A" w:rsidRPr="0026706A">
        <w:t>experimentaron alguna forma de violencia basada en género a lo largo de su vida, tanto en el ámbito público como en el privado</w:t>
      </w:r>
      <w:r w:rsidR="00D830A3">
        <w:t xml:space="preserve"> y m</w:t>
      </w:r>
      <w:r w:rsidR="0026706A" w:rsidRPr="0026706A">
        <w:t xml:space="preserve">ás de la mitad (57,2%) </w:t>
      </w:r>
      <w:r w:rsidR="0026706A">
        <w:t>reporta</w:t>
      </w:r>
      <w:r w:rsidR="0026706A" w:rsidRPr="0026706A">
        <w:t xml:space="preserve"> haber sido víctima de violencia familiar o perpe</w:t>
      </w:r>
      <w:r w:rsidR="0026706A">
        <w:t>t</w:t>
      </w:r>
      <w:r w:rsidR="0026706A" w:rsidRPr="0026706A">
        <w:t>rada por una pareja/</w:t>
      </w:r>
      <w:r w:rsidR="00CD59C8" w:rsidRPr="0026706A">
        <w:t>expareja</w:t>
      </w:r>
      <w:r w:rsidR="0026706A">
        <w:rPr>
          <w:rStyle w:val="FootnoteReference"/>
        </w:rPr>
        <w:footnoteReference w:id="27"/>
      </w:r>
      <w:r w:rsidR="0026706A">
        <w:t xml:space="preserve">. </w:t>
      </w:r>
      <w:r w:rsidR="00BB793F">
        <w:t>En Paraguay se produce un feminicidio cada nueve días</w:t>
      </w:r>
      <w:r w:rsidR="00D10E7B">
        <w:t xml:space="preserve"> y un intento de feminicidio por semana</w:t>
      </w:r>
      <w:r w:rsidR="00BB793F">
        <w:rPr>
          <w:rStyle w:val="FootnoteReference"/>
        </w:rPr>
        <w:footnoteReference w:id="28"/>
      </w:r>
      <w:r w:rsidR="00BB793F">
        <w:t xml:space="preserve"> (ver Tabla 3).</w:t>
      </w:r>
      <w:r w:rsidR="00D10E7B">
        <w:t xml:space="preserve"> </w:t>
      </w:r>
      <w:r w:rsidR="00240998">
        <w:t xml:space="preserve">En 2024, un </w:t>
      </w:r>
      <w:r w:rsidR="00626463" w:rsidRPr="00626463">
        <w:t>promedio de 103 personas</w:t>
      </w:r>
      <w:r w:rsidR="00291D94" w:rsidRPr="00291D94">
        <w:t xml:space="preserve"> </w:t>
      </w:r>
      <w:r w:rsidR="00291D94">
        <w:t>por día</w:t>
      </w:r>
      <w:r w:rsidR="00626463" w:rsidRPr="00626463">
        <w:t>, en su amplia mayoría mujeres, denunció</w:t>
      </w:r>
      <w:r w:rsidR="00291D94">
        <w:t xml:space="preserve"> el crimen de </w:t>
      </w:r>
      <w:r w:rsidR="00626463" w:rsidRPr="00626463">
        <w:t>violencia familiar</w:t>
      </w:r>
      <w:r w:rsidR="00240998">
        <w:t xml:space="preserve"> </w:t>
      </w:r>
      <w:r w:rsidR="00291D94">
        <w:t xml:space="preserve">(Art. 229 del Código Penal de Paraguay) </w:t>
      </w:r>
      <w:r w:rsidR="00D830A3">
        <w:t>(ver Tabla 4)</w:t>
      </w:r>
      <w:r w:rsidR="00626463" w:rsidRPr="00626463">
        <w:t xml:space="preserve">. </w:t>
      </w:r>
      <w:r w:rsidR="00240998">
        <w:t>Desde el último examen</w:t>
      </w:r>
      <w:r w:rsidR="000C2A17">
        <w:t xml:space="preserve"> </w:t>
      </w:r>
      <w:r w:rsidR="0017284F">
        <w:t>de Paraguay ante el Comité</w:t>
      </w:r>
      <w:r w:rsidR="000C2A17">
        <w:t xml:space="preserve"> (2017)</w:t>
      </w:r>
      <w:r w:rsidR="00240998">
        <w:t>, l</w:t>
      </w:r>
      <w:r w:rsidR="00626463" w:rsidRPr="00626463">
        <w:t xml:space="preserve">as denuncias aumentan con una variación interanual </w:t>
      </w:r>
      <w:r w:rsidR="00725C53">
        <w:t xml:space="preserve">promedio </w:t>
      </w:r>
      <w:r w:rsidR="00626463" w:rsidRPr="00626463">
        <w:t>de 7,9%</w:t>
      </w:r>
      <w:r w:rsidR="00240998">
        <w:t xml:space="preserve">. Sin embargo, </w:t>
      </w:r>
      <w:r w:rsidR="006B15A2">
        <w:t>es grave y generalizada la impunidad de los agresores</w:t>
      </w:r>
      <w:r w:rsidR="00971E5F">
        <w:t>. En los últimos siete años</w:t>
      </w:r>
      <w:r w:rsidR="00616188">
        <w:t>,</w:t>
      </w:r>
      <w:r w:rsidR="00240998">
        <w:t xml:space="preserve"> apenas el 1% de las causas ingresadas como violencia familiar en las oficinas de denuncias del Ministerio Público </w:t>
      </w:r>
      <w:r w:rsidR="006B15A2">
        <w:t xml:space="preserve">terminó </w:t>
      </w:r>
      <w:r w:rsidR="00240998">
        <w:t xml:space="preserve">en una condena </w:t>
      </w:r>
      <w:r w:rsidR="00240998" w:rsidRPr="00626463">
        <w:t xml:space="preserve">(ver </w:t>
      </w:r>
      <w:r w:rsidR="00D830A3">
        <w:t>T</w:t>
      </w:r>
      <w:r w:rsidR="00D830A3" w:rsidRPr="00626463">
        <w:t xml:space="preserve">abla </w:t>
      </w:r>
      <w:r w:rsidR="00240998">
        <w:t>4</w:t>
      </w:r>
      <w:r w:rsidR="00240998" w:rsidRPr="00626463">
        <w:t>)</w:t>
      </w:r>
      <w:r w:rsidR="00271882">
        <w:t>. L</w:t>
      </w:r>
      <w:r w:rsidR="00240998">
        <w:t>as salidas procesales alternativas más frecuentemente aplicadas no responsabilizan al victimario ni conllevan una reparación efectiva para las víctimas</w:t>
      </w:r>
      <w:r w:rsidR="00240998">
        <w:rPr>
          <w:vertAlign w:val="superscript"/>
        </w:rPr>
        <w:footnoteReference w:id="29"/>
      </w:r>
      <w:r w:rsidR="00240998">
        <w:t>.</w:t>
      </w:r>
    </w:p>
    <w:p w14:paraId="75DCAF40" w14:textId="6DF44F97" w:rsidR="00240998" w:rsidRDefault="0068041A" w:rsidP="00626463">
      <w:pPr>
        <w:pStyle w:val="BBodyText"/>
      </w:pPr>
      <w:r>
        <w:t xml:space="preserve">Se ha observado que, a pesar de los avances en marcos legales, persisten obstáculos y deficiencias que </w:t>
      </w:r>
      <w:r w:rsidRPr="0068041A">
        <w:t>afectan la eficacia de las medidas urgentes de protección</w:t>
      </w:r>
      <w:r w:rsidR="006B15A2">
        <w:t xml:space="preserve">. En </w:t>
      </w:r>
      <w:r>
        <w:t>particular</w:t>
      </w:r>
      <w:r w:rsidR="006B15A2">
        <w:t>,</w:t>
      </w:r>
      <w:r>
        <w:t xml:space="preserve"> la falta de </w:t>
      </w:r>
      <w:r w:rsidRPr="0068041A">
        <w:t xml:space="preserve">servicios de apoyo integrales a las víctimas post denuncia </w:t>
      </w:r>
      <w:r w:rsidR="00EC4057">
        <w:t>y de</w:t>
      </w:r>
      <w:r w:rsidR="00EC4057" w:rsidRPr="0068041A">
        <w:t xml:space="preserve"> </w:t>
      </w:r>
      <w:r w:rsidRPr="0068041A">
        <w:t>casas de acogida</w:t>
      </w:r>
      <w:r w:rsidR="006B15A2">
        <w:t xml:space="preserve"> </w:t>
      </w:r>
      <w:r>
        <w:t xml:space="preserve">determina que las </w:t>
      </w:r>
      <w:r w:rsidRPr="0068041A">
        <w:t>situaciones de riesgo se manej</w:t>
      </w:r>
      <w:r>
        <w:t>en</w:t>
      </w:r>
      <w:r w:rsidRPr="0068041A">
        <w:t xml:space="preserve"> </w:t>
      </w:r>
      <w:r>
        <w:t>de manera inapropiada</w:t>
      </w:r>
      <w:r w:rsidR="006B15A2">
        <w:t xml:space="preserve">. Las </w:t>
      </w:r>
      <w:r w:rsidRPr="0068041A">
        <w:t>medidas</w:t>
      </w:r>
      <w:r>
        <w:t xml:space="preserve"> </w:t>
      </w:r>
      <w:r w:rsidR="006B15A2">
        <w:t>judiciales de protección</w:t>
      </w:r>
      <w:r w:rsidRPr="0068041A">
        <w:t xml:space="preserve"> no aseguran la </w:t>
      </w:r>
      <w:r w:rsidRPr="006B15A2">
        <w:t xml:space="preserve">protección en el mediano y largo plazo ni contribuyen a liberar a la </w:t>
      </w:r>
      <w:r w:rsidRPr="0068041A">
        <w:t>víctima del ciclo de la violencia</w:t>
      </w:r>
      <w:r>
        <w:rPr>
          <w:rStyle w:val="FootnoteReference"/>
        </w:rPr>
        <w:footnoteReference w:id="30"/>
      </w:r>
      <w:r w:rsidR="006B15A2">
        <w:t xml:space="preserve">. </w:t>
      </w:r>
      <w:r w:rsidR="00271882">
        <w:t xml:space="preserve">Los juzgados </w:t>
      </w:r>
      <w:r w:rsidR="006B15A2">
        <w:t xml:space="preserve">adoptan </w:t>
      </w:r>
      <w:r>
        <w:t>medidas estandarizadas que no</w:t>
      </w:r>
      <w:r w:rsidR="006B15A2">
        <w:t xml:space="preserve"> están basadas en una evaluación de riesgo</w:t>
      </w:r>
      <w:r>
        <w:t xml:space="preserve"> </w:t>
      </w:r>
      <w:r w:rsidR="006B15A2">
        <w:t>específica</w:t>
      </w:r>
      <w:r>
        <w:t xml:space="preserve"> del caso</w:t>
      </w:r>
      <w:r>
        <w:rPr>
          <w:rStyle w:val="FootnoteReference"/>
        </w:rPr>
        <w:footnoteReference w:id="31"/>
      </w:r>
      <w:r>
        <w:t>.</w:t>
      </w:r>
    </w:p>
    <w:p w14:paraId="7D909359" w14:textId="37B7CE9B" w:rsidR="00123ACC" w:rsidRPr="002852C1" w:rsidRDefault="00123ACC" w:rsidP="00123ACC">
      <w:pPr>
        <w:pBdr>
          <w:top w:val="nil"/>
          <w:left w:val="nil"/>
          <w:bottom w:val="nil"/>
          <w:right w:val="nil"/>
          <w:between w:val="nil"/>
        </w:pBdr>
        <w:rPr>
          <w:b/>
          <w:color w:val="000000"/>
        </w:rPr>
      </w:pPr>
      <w:r w:rsidRPr="002852C1">
        <w:rPr>
          <w:b/>
          <w:color w:val="000000"/>
        </w:rPr>
        <w:t xml:space="preserve">Tabla </w:t>
      </w:r>
      <w:r w:rsidR="00D10E7B">
        <w:rPr>
          <w:b/>
          <w:color w:val="000000"/>
        </w:rPr>
        <w:t>3</w:t>
      </w:r>
      <w:r w:rsidRPr="002852C1">
        <w:rPr>
          <w:b/>
          <w:color w:val="000000"/>
        </w:rPr>
        <w:t xml:space="preserve">. Número de feminicidios registrados </w:t>
      </w:r>
      <w:r>
        <w:rPr>
          <w:b/>
          <w:color w:val="000000"/>
        </w:rPr>
        <w:t>y condenas</w:t>
      </w:r>
    </w:p>
    <w:tbl>
      <w:tblPr>
        <w:tblW w:w="7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709"/>
        <w:gridCol w:w="709"/>
        <w:gridCol w:w="708"/>
        <w:gridCol w:w="709"/>
        <w:gridCol w:w="709"/>
        <w:gridCol w:w="708"/>
        <w:gridCol w:w="709"/>
        <w:gridCol w:w="1162"/>
      </w:tblGrid>
      <w:tr w:rsidR="00123ACC" w:rsidRPr="002852C1" w14:paraId="56E557F3" w14:textId="77777777" w:rsidTr="00473993">
        <w:tc>
          <w:tcPr>
            <w:tcW w:w="1413" w:type="dxa"/>
          </w:tcPr>
          <w:p w14:paraId="2E71A8DB" w14:textId="77777777" w:rsidR="00123ACC" w:rsidRPr="002852C1" w:rsidRDefault="00123ACC" w:rsidP="00473993">
            <w:pPr>
              <w:jc w:val="center"/>
              <w:rPr>
                <w:b/>
              </w:rPr>
            </w:pPr>
          </w:p>
        </w:tc>
        <w:tc>
          <w:tcPr>
            <w:tcW w:w="709" w:type="dxa"/>
          </w:tcPr>
          <w:p w14:paraId="5967A636" w14:textId="77777777" w:rsidR="00123ACC" w:rsidRPr="002852C1" w:rsidRDefault="00123ACC" w:rsidP="00473993">
            <w:pPr>
              <w:jc w:val="center"/>
              <w:rPr>
                <w:b/>
              </w:rPr>
            </w:pPr>
            <w:r w:rsidRPr="002852C1">
              <w:rPr>
                <w:b/>
              </w:rPr>
              <w:t>2018</w:t>
            </w:r>
          </w:p>
        </w:tc>
        <w:tc>
          <w:tcPr>
            <w:tcW w:w="709" w:type="dxa"/>
          </w:tcPr>
          <w:p w14:paraId="7860387C" w14:textId="77777777" w:rsidR="00123ACC" w:rsidRPr="002852C1" w:rsidRDefault="00123ACC" w:rsidP="00473993">
            <w:pPr>
              <w:jc w:val="center"/>
              <w:rPr>
                <w:b/>
              </w:rPr>
            </w:pPr>
            <w:r w:rsidRPr="002852C1">
              <w:rPr>
                <w:b/>
              </w:rPr>
              <w:t>2019</w:t>
            </w:r>
          </w:p>
        </w:tc>
        <w:tc>
          <w:tcPr>
            <w:tcW w:w="708" w:type="dxa"/>
          </w:tcPr>
          <w:p w14:paraId="1E63E935" w14:textId="77777777" w:rsidR="00123ACC" w:rsidRPr="002852C1" w:rsidRDefault="00123ACC" w:rsidP="00473993">
            <w:pPr>
              <w:jc w:val="center"/>
              <w:rPr>
                <w:b/>
              </w:rPr>
            </w:pPr>
            <w:r w:rsidRPr="002852C1">
              <w:rPr>
                <w:b/>
              </w:rPr>
              <w:t>2020</w:t>
            </w:r>
          </w:p>
        </w:tc>
        <w:tc>
          <w:tcPr>
            <w:tcW w:w="709" w:type="dxa"/>
          </w:tcPr>
          <w:p w14:paraId="79F648FA" w14:textId="77777777" w:rsidR="00123ACC" w:rsidRPr="002852C1" w:rsidRDefault="00123ACC" w:rsidP="00473993">
            <w:pPr>
              <w:jc w:val="center"/>
              <w:rPr>
                <w:b/>
              </w:rPr>
            </w:pPr>
            <w:r w:rsidRPr="002852C1">
              <w:rPr>
                <w:b/>
              </w:rPr>
              <w:t>2021</w:t>
            </w:r>
          </w:p>
        </w:tc>
        <w:tc>
          <w:tcPr>
            <w:tcW w:w="709" w:type="dxa"/>
          </w:tcPr>
          <w:p w14:paraId="785A9DE5" w14:textId="77777777" w:rsidR="00123ACC" w:rsidRPr="002852C1" w:rsidRDefault="00123ACC" w:rsidP="00473993">
            <w:pPr>
              <w:jc w:val="center"/>
              <w:rPr>
                <w:b/>
              </w:rPr>
            </w:pPr>
            <w:r w:rsidRPr="002852C1">
              <w:rPr>
                <w:b/>
              </w:rPr>
              <w:t>2022</w:t>
            </w:r>
          </w:p>
        </w:tc>
        <w:tc>
          <w:tcPr>
            <w:tcW w:w="708" w:type="dxa"/>
          </w:tcPr>
          <w:p w14:paraId="47685CCB" w14:textId="77777777" w:rsidR="00123ACC" w:rsidRPr="002852C1" w:rsidRDefault="00123ACC" w:rsidP="00473993">
            <w:pPr>
              <w:jc w:val="center"/>
              <w:rPr>
                <w:b/>
              </w:rPr>
            </w:pPr>
            <w:r w:rsidRPr="002852C1">
              <w:rPr>
                <w:b/>
              </w:rPr>
              <w:t>2023</w:t>
            </w:r>
          </w:p>
        </w:tc>
        <w:tc>
          <w:tcPr>
            <w:tcW w:w="709" w:type="dxa"/>
          </w:tcPr>
          <w:p w14:paraId="09BCA24E" w14:textId="77777777" w:rsidR="00123ACC" w:rsidRPr="002852C1" w:rsidRDefault="00123ACC" w:rsidP="00473993">
            <w:pPr>
              <w:jc w:val="center"/>
              <w:rPr>
                <w:b/>
              </w:rPr>
            </w:pPr>
            <w:r>
              <w:rPr>
                <w:b/>
              </w:rPr>
              <w:t>2024</w:t>
            </w:r>
          </w:p>
        </w:tc>
        <w:tc>
          <w:tcPr>
            <w:tcW w:w="1162" w:type="dxa"/>
          </w:tcPr>
          <w:p w14:paraId="24AB338C" w14:textId="77777777" w:rsidR="00123ACC" w:rsidRPr="002852C1" w:rsidRDefault="00123ACC" w:rsidP="00473993">
            <w:pPr>
              <w:jc w:val="center"/>
              <w:rPr>
                <w:b/>
              </w:rPr>
            </w:pPr>
            <w:r w:rsidRPr="002852C1">
              <w:rPr>
                <w:b/>
              </w:rPr>
              <w:t>Total</w:t>
            </w:r>
          </w:p>
        </w:tc>
      </w:tr>
      <w:tr w:rsidR="00123ACC" w:rsidRPr="002852C1" w14:paraId="76016DF2" w14:textId="77777777" w:rsidTr="00473993">
        <w:tc>
          <w:tcPr>
            <w:tcW w:w="1413" w:type="dxa"/>
          </w:tcPr>
          <w:p w14:paraId="376BFA2B" w14:textId="77777777" w:rsidR="00123ACC" w:rsidRPr="002852C1" w:rsidRDefault="00123ACC" w:rsidP="00473993">
            <w:pPr>
              <w:jc w:val="center"/>
            </w:pPr>
            <w:r>
              <w:t>Feminicidios (consumado)</w:t>
            </w:r>
          </w:p>
        </w:tc>
        <w:tc>
          <w:tcPr>
            <w:tcW w:w="709" w:type="dxa"/>
            <w:vAlign w:val="center"/>
          </w:tcPr>
          <w:p w14:paraId="446904E2" w14:textId="77777777" w:rsidR="00123ACC" w:rsidRPr="002852C1" w:rsidRDefault="00123ACC" w:rsidP="00473993">
            <w:pPr>
              <w:jc w:val="center"/>
            </w:pPr>
            <w:r w:rsidRPr="002852C1">
              <w:t>58</w:t>
            </w:r>
          </w:p>
        </w:tc>
        <w:tc>
          <w:tcPr>
            <w:tcW w:w="709" w:type="dxa"/>
            <w:vAlign w:val="center"/>
          </w:tcPr>
          <w:p w14:paraId="0BED33F6" w14:textId="77777777" w:rsidR="00123ACC" w:rsidRPr="002852C1" w:rsidRDefault="00123ACC" w:rsidP="00473993">
            <w:pPr>
              <w:jc w:val="center"/>
            </w:pPr>
            <w:r w:rsidRPr="002852C1">
              <w:t>37</w:t>
            </w:r>
          </w:p>
        </w:tc>
        <w:tc>
          <w:tcPr>
            <w:tcW w:w="708" w:type="dxa"/>
            <w:vAlign w:val="center"/>
          </w:tcPr>
          <w:p w14:paraId="25EF2063" w14:textId="77777777" w:rsidR="00123ACC" w:rsidRPr="002852C1" w:rsidRDefault="00123ACC" w:rsidP="00473993">
            <w:pPr>
              <w:jc w:val="center"/>
            </w:pPr>
            <w:r w:rsidRPr="002852C1">
              <w:t>35</w:t>
            </w:r>
          </w:p>
        </w:tc>
        <w:tc>
          <w:tcPr>
            <w:tcW w:w="709" w:type="dxa"/>
            <w:vAlign w:val="center"/>
          </w:tcPr>
          <w:p w14:paraId="61BA3C65" w14:textId="77777777" w:rsidR="00123ACC" w:rsidRPr="002852C1" w:rsidRDefault="00123ACC" w:rsidP="00473993">
            <w:pPr>
              <w:jc w:val="center"/>
            </w:pPr>
            <w:r w:rsidRPr="002852C1">
              <w:t>35</w:t>
            </w:r>
          </w:p>
        </w:tc>
        <w:tc>
          <w:tcPr>
            <w:tcW w:w="709" w:type="dxa"/>
            <w:vAlign w:val="center"/>
          </w:tcPr>
          <w:p w14:paraId="40ABE501" w14:textId="77777777" w:rsidR="00123ACC" w:rsidRPr="002852C1" w:rsidRDefault="00123ACC" w:rsidP="00473993">
            <w:pPr>
              <w:jc w:val="center"/>
            </w:pPr>
            <w:r w:rsidRPr="002852C1">
              <w:t>36</w:t>
            </w:r>
          </w:p>
        </w:tc>
        <w:tc>
          <w:tcPr>
            <w:tcW w:w="708" w:type="dxa"/>
            <w:vAlign w:val="center"/>
          </w:tcPr>
          <w:p w14:paraId="1D7D29F0" w14:textId="77777777" w:rsidR="00123ACC" w:rsidRPr="002852C1" w:rsidRDefault="00123ACC" w:rsidP="00473993">
            <w:pPr>
              <w:jc w:val="center"/>
            </w:pPr>
            <w:r w:rsidRPr="002852C1">
              <w:t>45</w:t>
            </w:r>
          </w:p>
        </w:tc>
        <w:tc>
          <w:tcPr>
            <w:tcW w:w="709" w:type="dxa"/>
            <w:vAlign w:val="center"/>
          </w:tcPr>
          <w:p w14:paraId="65BE961B" w14:textId="77777777" w:rsidR="00123ACC" w:rsidRPr="002852C1" w:rsidRDefault="00123ACC" w:rsidP="00473993">
            <w:pPr>
              <w:jc w:val="center"/>
              <w:rPr>
                <w:color w:val="000000"/>
              </w:rPr>
            </w:pPr>
            <w:r>
              <w:rPr>
                <w:color w:val="000000"/>
              </w:rPr>
              <w:t>31</w:t>
            </w:r>
          </w:p>
        </w:tc>
        <w:tc>
          <w:tcPr>
            <w:tcW w:w="1162" w:type="dxa"/>
            <w:vAlign w:val="center"/>
          </w:tcPr>
          <w:p w14:paraId="5B91734E" w14:textId="77777777" w:rsidR="00123ACC" w:rsidRPr="002852C1" w:rsidRDefault="00123ACC" w:rsidP="00473993">
            <w:pPr>
              <w:jc w:val="center"/>
            </w:pPr>
            <w:r>
              <w:t>277</w:t>
            </w:r>
          </w:p>
        </w:tc>
      </w:tr>
      <w:tr w:rsidR="00123ACC" w:rsidRPr="002852C1" w14:paraId="38DDDBF6" w14:textId="77777777" w:rsidTr="00473993">
        <w:tc>
          <w:tcPr>
            <w:tcW w:w="1413" w:type="dxa"/>
          </w:tcPr>
          <w:p w14:paraId="03364AEB" w14:textId="47AB9229" w:rsidR="00123ACC" w:rsidRDefault="00123ACC" w:rsidP="00473993">
            <w:pPr>
              <w:jc w:val="center"/>
            </w:pPr>
            <w:r>
              <w:t>Condenas por feminicidio (consumado)</w:t>
            </w:r>
          </w:p>
        </w:tc>
        <w:tc>
          <w:tcPr>
            <w:tcW w:w="709" w:type="dxa"/>
            <w:vAlign w:val="center"/>
          </w:tcPr>
          <w:p w14:paraId="54E4D22A" w14:textId="1714C273" w:rsidR="00123ACC" w:rsidRPr="002852C1" w:rsidRDefault="00BC11C0" w:rsidP="00473993">
            <w:pPr>
              <w:jc w:val="center"/>
            </w:pPr>
            <w:r>
              <w:t>1</w:t>
            </w:r>
          </w:p>
        </w:tc>
        <w:tc>
          <w:tcPr>
            <w:tcW w:w="709" w:type="dxa"/>
            <w:vAlign w:val="center"/>
          </w:tcPr>
          <w:p w14:paraId="695F8952" w14:textId="12746D9A" w:rsidR="00123ACC" w:rsidRPr="002852C1" w:rsidRDefault="00BC11C0" w:rsidP="00473993">
            <w:pPr>
              <w:jc w:val="center"/>
            </w:pPr>
            <w:r>
              <w:t>9</w:t>
            </w:r>
          </w:p>
        </w:tc>
        <w:tc>
          <w:tcPr>
            <w:tcW w:w="708" w:type="dxa"/>
            <w:vAlign w:val="center"/>
          </w:tcPr>
          <w:p w14:paraId="11240D7F" w14:textId="179D6CC9" w:rsidR="00123ACC" w:rsidRPr="002852C1" w:rsidRDefault="00BC11C0" w:rsidP="00473993">
            <w:pPr>
              <w:jc w:val="center"/>
            </w:pPr>
            <w:r>
              <w:t>5</w:t>
            </w:r>
          </w:p>
        </w:tc>
        <w:tc>
          <w:tcPr>
            <w:tcW w:w="709" w:type="dxa"/>
            <w:vAlign w:val="center"/>
          </w:tcPr>
          <w:p w14:paraId="2F267A88" w14:textId="308B3DA2" w:rsidR="00123ACC" w:rsidRPr="002852C1" w:rsidRDefault="00BC11C0" w:rsidP="00473993">
            <w:pPr>
              <w:jc w:val="center"/>
            </w:pPr>
            <w:r>
              <w:t>11</w:t>
            </w:r>
          </w:p>
        </w:tc>
        <w:tc>
          <w:tcPr>
            <w:tcW w:w="709" w:type="dxa"/>
            <w:vAlign w:val="center"/>
          </w:tcPr>
          <w:p w14:paraId="7237927D" w14:textId="62C64AC1" w:rsidR="00123ACC" w:rsidRPr="002852C1" w:rsidRDefault="00BC11C0" w:rsidP="00473993">
            <w:pPr>
              <w:jc w:val="center"/>
            </w:pPr>
            <w:r>
              <w:t>19</w:t>
            </w:r>
          </w:p>
        </w:tc>
        <w:tc>
          <w:tcPr>
            <w:tcW w:w="708" w:type="dxa"/>
            <w:vAlign w:val="center"/>
          </w:tcPr>
          <w:p w14:paraId="58FBB281" w14:textId="55050C47" w:rsidR="00123ACC" w:rsidRPr="002852C1" w:rsidRDefault="00BC11C0" w:rsidP="00473993">
            <w:pPr>
              <w:jc w:val="center"/>
            </w:pPr>
            <w:r>
              <w:t>20</w:t>
            </w:r>
          </w:p>
        </w:tc>
        <w:tc>
          <w:tcPr>
            <w:tcW w:w="709" w:type="dxa"/>
            <w:vAlign w:val="center"/>
          </w:tcPr>
          <w:p w14:paraId="4AFBEAAF" w14:textId="2CB52D1B" w:rsidR="00123ACC" w:rsidRDefault="00D10E7B" w:rsidP="00473993">
            <w:pPr>
              <w:jc w:val="center"/>
              <w:rPr>
                <w:color w:val="000000"/>
              </w:rPr>
            </w:pPr>
            <w:r>
              <w:rPr>
                <w:color w:val="000000"/>
              </w:rPr>
              <w:t>9</w:t>
            </w:r>
          </w:p>
        </w:tc>
        <w:tc>
          <w:tcPr>
            <w:tcW w:w="1162" w:type="dxa"/>
            <w:vAlign w:val="center"/>
          </w:tcPr>
          <w:p w14:paraId="3D672406" w14:textId="5557B9F8" w:rsidR="00123ACC" w:rsidRDefault="00D10E7B" w:rsidP="00473993">
            <w:pPr>
              <w:jc w:val="center"/>
            </w:pPr>
            <w:r>
              <w:t>74</w:t>
            </w:r>
          </w:p>
        </w:tc>
      </w:tr>
      <w:tr w:rsidR="00123ACC" w:rsidRPr="002852C1" w14:paraId="31380F6A" w14:textId="77777777" w:rsidTr="00473993">
        <w:tc>
          <w:tcPr>
            <w:tcW w:w="1413" w:type="dxa"/>
          </w:tcPr>
          <w:p w14:paraId="4F8ED593" w14:textId="77777777" w:rsidR="00123ACC" w:rsidRDefault="00123ACC" w:rsidP="00473993">
            <w:pPr>
              <w:jc w:val="center"/>
            </w:pPr>
            <w:r>
              <w:t>Feminicidios</w:t>
            </w:r>
          </w:p>
          <w:p w14:paraId="0E07C980" w14:textId="28FCC0F1" w:rsidR="00123ACC" w:rsidRDefault="00123ACC" w:rsidP="00473993">
            <w:pPr>
              <w:jc w:val="center"/>
            </w:pPr>
            <w:r>
              <w:t>(tentativa)</w:t>
            </w:r>
          </w:p>
        </w:tc>
        <w:tc>
          <w:tcPr>
            <w:tcW w:w="709" w:type="dxa"/>
            <w:vAlign w:val="center"/>
          </w:tcPr>
          <w:p w14:paraId="5BC9DA76" w14:textId="25719E9E" w:rsidR="00123ACC" w:rsidRPr="002852C1" w:rsidRDefault="00123ACC" w:rsidP="00473993">
            <w:pPr>
              <w:jc w:val="center"/>
            </w:pPr>
            <w:r>
              <w:t>147</w:t>
            </w:r>
          </w:p>
        </w:tc>
        <w:tc>
          <w:tcPr>
            <w:tcW w:w="709" w:type="dxa"/>
            <w:vAlign w:val="center"/>
          </w:tcPr>
          <w:p w14:paraId="69CECC16" w14:textId="243CA3B3" w:rsidR="00123ACC" w:rsidRPr="002852C1" w:rsidRDefault="00123ACC" w:rsidP="00473993">
            <w:pPr>
              <w:jc w:val="center"/>
            </w:pPr>
            <w:r>
              <w:t>57</w:t>
            </w:r>
          </w:p>
        </w:tc>
        <w:tc>
          <w:tcPr>
            <w:tcW w:w="708" w:type="dxa"/>
            <w:vAlign w:val="center"/>
          </w:tcPr>
          <w:p w14:paraId="3D78656C" w14:textId="149BEF3D" w:rsidR="00123ACC" w:rsidRPr="002852C1" w:rsidRDefault="00BC11C0" w:rsidP="00473993">
            <w:pPr>
              <w:jc w:val="center"/>
            </w:pPr>
            <w:r>
              <w:t>17</w:t>
            </w:r>
          </w:p>
        </w:tc>
        <w:tc>
          <w:tcPr>
            <w:tcW w:w="709" w:type="dxa"/>
            <w:vAlign w:val="center"/>
          </w:tcPr>
          <w:p w14:paraId="4ED7BC9F" w14:textId="51AEA08E" w:rsidR="00123ACC" w:rsidRPr="002852C1" w:rsidRDefault="00BC11C0" w:rsidP="00473993">
            <w:pPr>
              <w:jc w:val="center"/>
            </w:pPr>
            <w:r>
              <w:t>20</w:t>
            </w:r>
          </w:p>
        </w:tc>
        <w:tc>
          <w:tcPr>
            <w:tcW w:w="709" w:type="dxa"/>
            <w:vAlign w:val="center"/>
          </w:tcPr>
          <w:p w14:paraId="456BF82D" w14:textId="33524685" w:rsidR="00123ACC" w:rsidRPr="002852C1" w:rsidRDefault="00BC11C0" w:rsidP="00473993">
            <w:pPr>
              <w:jc w:val="center"/>
            </w:pPr>
            <w:r>
              <w:t>9</w:t>
            </w:r>
          </w:p>
        </w:tc>
        <w:tc>
          <w:tcPr>
            <w:tcW w:w="708" w:type="dxa"/>
            <w:vAlign w:val="center"/>
          </w:tcPr>
          <w:p w14:paraId="5A1CBD13" w14:textId="17BE8506" w:rsidR="00123ACC" w:rsidRPr="002852C1" w:rsidRDefault="00BC11C0" w:rsidP="00473993">
            <w:pPr>
              <w:jc w:val="center"/>
            </w:pPr>
            <w:r>
              <w:t>44</w:t>
            </w:r>
          </w:p>
        </w:tc>
        <w:tc>
          <w:tcPr>
            <w:tcW w:w="709" w:type="dxa"/>
            <w:vAlign w:val="center"/>
          </w:tcPr>
          <w:p w14:paraId="1B8E5CDE" w14:textId="7DAAA8A5" w:rsidR="00123ACC" w:rsidRDefault="00BC11C0" w:rsidP="00473993">
            <w:pPr>
              <w:jc w:val="center"/>
              <w:rPr>
                <w:color w:val="000000"/>
              </w:rPr>
            </w:pPr>
            <w:r>
              <w:rPr>
                <w:color w:val="000000"/>
              </w:rPr>
              <w:t>54</w:t>
            </w:r>
          </w:p>
        </w:tc>
        <w:tc>
          <w:tcPr>
            <w:tcW w:w="1162" w:type="dxa"/>
            <w:vAlign w:val="center"/>
          </w:tcPr>
          <w:p w14:paraId="3F8D77C1" w14:textId="2420CD12" w:rsidR="00123ACC" w:rsidRDefault="00D10E7B" w:rsidP="00473993">
            <w:pPr>
              <w:jc w:val="center"/>
            </w:pPr>
            <w:r>
              <w:t>348</w:t>
            </w:r>
          </w:p>
        </w:tc>
      </w:tr>
      <w:tr w:rsidR="00123ACC" w:rsidRPr="002852C1" w14:paraId="3B3F6F2E" w14:textId="77777777" w:rsidTr="00473993">
        <w:tc>
          <w:tcPr>
            <w:tcW w:w="1413" w:type="dxa"/>
          </w:tcPr>
          <w:p w14:paraId="2FE3CB5C" w14:textId="71D840D8" w:rsidR="00123ACC" w:rsidRDefault="00123ACC" w:rsidP="00473993">
            <w:pPr>
              <w:jc w:val="center"/>
            </w:pPr>
            <w:r>
              <w:t>Condenas por feminicidio (tentativa)</w:t>
            </w:r>
          </w:p>
        </w:tc>
        <w:tc>
          <w:tcPr>
            <w:tcW w:w="709" w:type="dxa"/>
            <w:vAlign w:val="center"/>
          </w:tcPr>
          <w:p w14:paraId="50FD585F" w14:textId="77777777" w:rsidR="00123ACC" w:rsidRPr="002852C1" w:rsidRDefault="00123ACC" w:rsidP="00473993">
            <w:pPr>
              <w:jc w:val="center"/>
            </w:pPr>
            <w:r>
              <w:t>1</w:t>
            </w:r>
          </w:p>
        </w:tc>
        <w:tc>
          <w:tcPr>
            <w:tcW w:w="709" w:type="dxa"/>
            <w:vAlign w:val="center"/>
          </w:tcPr>
          <w:p w14:paraId="22340716" w14:textId="77777777" w:rsidR="00123ACC" w:rsidRPr="002852C1" w:rsidRDefault="00123ACC" w:rsidP="00473993">
            <w:pPr>
              <w:jc w:val="center"/>
            </w:pPr>
            <w:r>
              <w:t>6</w:t>
            </w:r>
          </w:p>
        </w:tc>
        <w:tc>
          <w:tcPr>
            <w:tcW w:w="708" w:type="dxa"/>
            <w:vAlign w:val="center"/>
          </w:tcPr>
          <w:p w14:paraId="410090E9" w14:textId="77777777" w:rsidR="00123ACC" w:rsidRPr="002852C1" w:rsidRDefault="00123ACC" w:rsidP="00473993">
            <w:pPr>
              <w:jc w:val="center"/>
            </w:pPr>
            <w:r>
              <w:t>5</w:t>
            </w:r>
          </w:p>
        </w:tc>
        <w:tc>
          <w:tcPr>
            <w:tcW w:w="709" w:type="dxa"/>
            <w:vAlign w:val="center"/>
          </w:tcPr>
          <w:p w14:paraId="4DC42425" w14:textId="77777777" w:rsidR="00123ACC" w:rsidRPr="002852C1" w:rsidRDefault="00123ACC" w:rsidP="00473993">
            <w:pPr>
              <w:jc w:val="center"/>
            </w:pPr>
            <w:r>
              <w:t>6</w:t>
            </w:r>
          </w:p>
        </w:tc>
        <w:tc>
          <w:tcPr>
            <w:tcW w:w="709" w:type="dxa"/>
            <w:vAlign w:val="center"/>
          </w:tcPr>
          <w:p w14:paraId="78AB6FB0" w14:textId="77777777" w:rsidR="00123ACC" w:rsidRPr="002852C1" w:rsidRDefault="00123ACC" w:rsidP="00473993">
            <w:pPr>
              <w:jc w:val="center"/>
            </w:pPr>
            <w:r>
              <w:t>14</w:t>
            </w:r>
          </w:p>
        </w:tc>
        <w:tc>
          <w:tcPr>
            <w:tcW w:w="708" w:type="dxa"/>
            <w:vAlign w:val="center"/>
          </w:tcPr>
          <w:p w14:paraId="63E8A161" w14:textId="77777777" w:rsidR="00123ACC" w:rsidRPr="002852C1" w:rsidRDefault="00123ACC" w:rsidP="00473993">
            <w:pPr>
              <w:jc w:val="center"/>
            </w:pPr>
            <w:r>
              <w:t>4</w:t>
            </w:r>
          </w:p>
        </w:tc>
        <w:tc>
          <w:tcPr>
            <w:tcW w:w="709" w:type="dxa"/>
            <w:vAlign w:val="center"/>
          </w:tcPr>
          <w:p w14:paraId="6E83FC8C" w14:textId="77777777" w:rsidR="00123ACC" w:rsidRDefault="00123ACC" w:rsidP="00473993">
            <w:pPr>
              <w:jc w:val="center"/>
              <w:rPr>
                <w:color w:val="000000"/>
              </w:rPr>
            </w:pPr>
            <w:r>
              <w:rPr>
                <w:color w:val="000000"/>
              </w:rPr>
              <w:t>8</w:t>
            </w:r>
          </w:p>
        </w:tc>
        <w:tc>
          <w:tcPr>
            <w:tcW w:w="1162" w:type="dxa"/>
            <w:vAlign w:val="center"/>
          </w:tcPr>
          <w:p w14:paraId="587C7FCB" w14:textId="77777777" w:rsidR="00123ACC" w:rsidRPr="002852C1" w:rsidRDefault="00123ACC" w:rsidP="00473993">
            <w:pPr>
              <w:jc w:val="center"/>
              <w:rPr>
                <w:color w:val="000000"/>
              </w:rPr>
            </w:pPr>
            <w:r>
              <w:rPr>
                <w:color w:val="000000"/>
              </w:rPr>
              <w:t>44</w:t>
            </w:r>
          </w:p>
        </w:tc>
      </w:tr>
    </w:tbl>
    <w:p w14:paraId="0B9908C9" w14:textId="42BE7685" w:rsidR="00123ACC" w:rsidRDefault="00123ACC" w:rsidP="00123ACC">
      <w:r w:rsidRPr="002852C1">
        <w:t>Fuente: Ministerio de la Mujer. Observatorio de la Mujer para los seguimientos sobre violencia hacia las mujeres</w:t>
      </w:r>
      <w:r>
        <w:t xml:space="preserve"> (ver </w:t>
      </w:r>
      <w:r w:rsidRPr="00B17B0F">
        <w:rPr>
          <w:i/>
          <w:iCs/>
        </w:rPr>
        <w:t>supra</w:t>
      </w:r>
      <w:r>
        <w:t>, nota 2</w:t>
      </w:r>
      <w:r w:rsidR="0026706A">
        <w:t>7</w:t>
      </w:r>
      <w:r>
        <w:t>)</w:t>
      </w:r>
      <w:r w:rsidRPr="002852C1">
        <w:t>.</w:t>
      </w:r>
      <w:r>
        <w:t xml:space="preserve"> Instituto Nacional de Estadísticas</w:t>
      </w:r>
      <w:r>
        <w:rPr>
          <w:rStyle w:val="FootnoteReference"/>
        </w:rPr>
        <w:footnoteReference w:id="32"/>
      </w:r>
      <w:r>
        <w:t>.</w:t>
      </w:r>
    </w:p>
    <w:p w14:paraId="54FB438B" w14:textId="77777777" w:rsidR="00D10E7B" w:rsidRDefault="00D10E7B" w:rsidP="00123ACC"/>
    <w:p w14:paraId="217DE56F" w14:textId="34885A91" w:rsidR="00D10E7B" w:rsidRPr="002852C1" w:rsidRDefault="00D10E7B" w:rsidP="00D10E7B">
      <w:pPr>
        <w:pBdr>
          <w:top w:val="nil"/>
          <w:left w:val="nil"/>
          <w:bottom w:val="nil"/>
          <w:right w:val="nil"/>
          <w:between w:val="nil"/>
        </w:pBdr>
        <w:rPr>
          <w:b/>
          <w:color w:val="000000"/>
        </w:rPr>
      </w:pPr>
      <w:r w:rsidRPr="002852C1">
        <w:rPr>
          <w:b/>
          <w:color w:val="000000"/>
        </w:rPr>
        <w:t xml:space="preserve">Tabla </w:t>
      </w:r>
      <w:r>
        <w:rPr>
          <w:b/>
          <w:color w:val="000000"/>
        </w:rPr>
        <w:t>4</w:t>
      </w:r>
      <w:r w:rsidRPr="002852C1">
        <w:rPr>
          <w:b/>
          <w:color w:val="000000"/>
        </w:rPr>
        <w:t xml:space="preserve">. </w:t>
      </w:r>
      <w:r>
        <w:rPr>
          <w:b/>
          <w:color w:val="000000"/>
        </w:rPr>
        <w:t>Denuncias registradas por violencia familiar</w:t>
      </w:r>
      <w:r w:rsidR="00291D94">
        <w:rPr>
          <w:b/>
          <w:color w:val="000000"/>
        </w:rPr>
        <w:t xml:space="preserve"> (Art. 229 Código Penal del Paraguay)</w:t>
      </w:r>
      <w:r w:rsidRPr="002852C1">
        <w:rPr>
          <w:b/>
          <w:color w:val="000000"/>
        </w:rPr>
        <w:t xml:space="preserve"> </w:t>
      </w:r>
      <w:r>
        <w:rPr>
          <w:b/>
          <w:color w:val="000000"/>
        </w:rPr>
        <w:t>y condenas</w:t>
      </w:r>
    </w:p>
    <w:tbl>
      <w:tblPr>
        <w:tblW w:w="8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850"/>
        <w:gridCol w:w="851"/>
        <w:gridCol w:w="850"/>
        <w:gridCol w:w="851"/>
        <w:gridCol w:w="850"/>
        <w:gridCol w:w="851"/>
        <w:gridCol w:w="850"/>
        <w:gridCol w:w="1162"/>
      </w:tblGrid>
      <w:tr w:rsidR="00D10E7B" w:rsidRPr="002852C1" w14:paraId="751D61E8" w14:textId="77777777" w:rsidTr="00AB2118">
        <w:tc>
          <w:tcPr>
            <w:tcW w:w="1413" w:type="dxa"/>
          </w:tcPr>
          <w:p w14:paraId="75D784A0" w14:textId="77777777" w:rsidR="00D10E7B" w:rsidRPr="002852C1" w:rsidRDefault="00D10E7B" w:rsidP="00473993">
            <w:pPr>
              <w:jc w:val="center"/>
              <w:rPr>
                <w:b/>
              </w:rPr>
            </w:pPr>
          </w:p>
        </w:tc>
        <w:tc>
          <w:tcPr>
            <w:tcW w:w="850" w:type="dxa"/>
          </w:tcPr>
          <w:p w14:paraId="6807DBE5" w14:textId="77777777" w:rsidR="00D10E7B" w:rsidRPr="002852C1" w:rsidRDefault="00D10E7B" w:rsidP="00473993">
            <w:pPr>
              <w:jc w:val="center"/>
              <w:rPr>
                <w:b/>
              </w:rPr>
            </w:pPr>
            <w:r w:rsidRPr="002852C1">
              <w:rPr>
                <w:b/>
              </w:rPr>
              <w:t>2018</w:t>
            </w:r>
          </w:p>
        </w:tc>
        <w:tc>
          <w:tcPr>
            <w:tcW w:w="851" w:type="dxa"/>
          </w:tcPr>
          <w:p w14:paraId="108BBE14" w14:textId="77777777" w:rsidR="00D10E7B" w:rsidRPr="002852C1" w:rsidRDefault="00D10E7B" w:rsidP="00473993">
            <w:pPr>
              <w:jc w:val="center"/>
              <w:rPr>
                <w:b/>
              </w:rPr>
            </w:pPr>
            <w:r w:rsidRPr="002852C1">
              <w:rPr>
                <w:b/>
              </w:rPr>
              <w:t>2019</w:t>
            </w:r>
          </w:p>
        </w:tc>
        <w:tc>
          <w:tcPr>
            <w:tcW w:w="850" w:type="dxa"/>
          </w:tcPr>
          <w:p w14:paraId="5C07CF98" w14:textId="77777777" w:rsidR="00D10E7B" w:rsidRPr="002852C1" w:rsidRDefault="00D10E7B" w:rsidP="00473993">
            <w:pPr>
              <w:jc w:val="center"/>
              <w:rPr>
                <w:b/>
              </w:rPr>
            </w:pPr>
            <w:r w:rsidRPr="002852C1">
              <w:rPr>
                <w:b/>
              </w:rPr>
              <w:t>2020</w:t>
            </w:r>
          </w:p>
        </w:tc>
        <w:tc>
          <w:tcPr>
            <w:tcW w:w="851" w:type="dxa"/>
          </w:tcPr>
          <w:p w14:paraId="32B3DB41" w14:textId="77777777" w:rsidR="00D10E7B" w:rsidRPr="002852C1" w:rsidRDefault="00D10E7B" w:rsidP="00473993">
            <w:pPr>
              <w:jc w:val="center"/>
              <w:rPr>
                <w:b/>
              </w:rPr>
            </w:pPr>
            <w:r w:rsidRPr="002852C1">
              <w:rPr>
                <w:b/>
              </w:rPr>
              <w:t>2021</w:t>
            </w:r>
          </w:p>
        </w:tc>
        <w:tc>
          <w:tcPr>
            <w:tcW w:w="850" w:type="dxa"/>
          </w:tcPr>
          <w:p w14:paraId="38EF08B5" w14:textId="77777777" w:rsidR="00D10E7B" w:rsidRPr="002852C1" w:rsidRDefault="00D10E7B" w:rsidP="00473993">
            <w:pPr>
              <w:jc w:val="center"/>
              <w:rPr>
                <w:b/>
              </w:rPr>
            </w:pPr>
            <w:r w:rsidRPr="002852C1">
              <w:rPr>
                <w:b/>
              </w:rPr>
              <w:t>2022</w:t>
            </w:r>
          </w:p>
        </w:tc>
        <w:tc>
          <w:tcPr>
            <w:tcW w:w="851" w:type="dxa"/>
          </w:tcPr>
          <w:p w14:paraId="452DD528" w14:textId="77777777" w:rsidR="00D10E7B" w:rsidRPr="002852C1" w:rsidRDefault="00D10E7B" w:rsidP="00473993">
            <w:pPr>
              <w:jc w:val="center"/>
              <w:rPr>
                <w:b/>
              </w:rPr>
            </w:pPr>
            <w:r w:rsidRPr="002852C1">
              <w:rPr>
                <w:b/>
              </w:rPr>
              <w:t>2023</w:t>
            </w:r>
          </w:p>
        </w:tc>
        <w:tc>
          <w:tcPr>
            <w:tcW w:w="850" w:type="dxa"/>
          </w:tcPr>
          <w:p w14:paraId="0A572B5D" w14:textId="77777777" w:rsidR="00D10E7B" w:rsidRPr="002852C1" w:rsidRDefault="00D10E7B" w:rsidP="00473993">
            <w:pPr>
              <w:jc w:val="center"/>
              <w:rPr>
                <w:b/>
              </w:rPr>
            </w:pPr>
            <w:r>
              <w:rPr>
                <w:b/>
              </w:rPr>
              <w:t>2024</w:t>
            </w:r>
          </w:p>
        </w:tc>
        <w:tc>
          <w:tcPr>
            <w:tcW w:w="1162" w:type="dxa"/>
          </w:tcPr>
          <w:p w14:paraId="4D273B5E" w14:textId="77777777" w:rsidR="00D10E7B" w:rsidRPr="002852C1" w:rsidRDefault="00D10E7B" w:rsidP="00473993">
            <w:pPr>
              <w:jc w:val="center"/>
              <w:rPr>
                <w:b/>
              </w:rPr>
            </w:pPr>
            <w:r w:rsidRPr="002852C1">
              <w:rPr>
                <w:b/>
              </w:rPr>
              <w:t>Total</w:t>
            </w:r>
          </w:p>
        </w:tc>
      </w:tr>
      <w:tr w:rsidR="00D10E7B" w:rsidRPr="002852C1" w14:paraId="2169B5F4" w14:textId="77777777" w:rsidTr="00AB2118">
        <w:tc>
          <w:tcPr>
            <w:tcW w:w="1413" w:type="dxa"/>
          </w:tcPr>
          <w:p w14:paraId="0341FC8B" w14:textId="1306B94E" w:rsidR="00D10E7B" w:rsidRPr="002852C1" w:rsidRDefault="00D10E7B" w:rsidP="00473993">
            <w:pPr>
              <w:jc w:val="center"/>
            </w:pPr>
            <w:r>
              <w:t>Denuncias</w:t>
            </w:r>
          </w:p>
        </w:tc>
        <w:tc>
          <w:tcPr>
            <w:tcW w:w="850" w:type="dxa"/>
            <w:vAlign w:val="center"/>
          </w:tcPr>
          <w:p w14:paraId="15820C55" w14:textId="5FA83FB0" w:rsidR="00D10E7B" w:rsidRPr="002852C1" w:rsidRDefault="00AB2118" w:rsidP="00473993">
            <w:pPr>
              <w:jc w:val="center"/>
            </w:pPr>
            <w:r w:rsidRPr="00AB2118">
              <w:t>22.134</w:t>
            </w:r>
          </w:p>
        </w:tc>
        <w:tc>
          <w:tcPr>
            <w:tcW w:w="851" w:type="dxa"/>
            <w:vAlign w:val="center"/>
          </w:tcPr>
          <w:p w14:paraId="391FD653" w14:textId="699DB543" w:rsidR="00D10E7B" w:rsidRPr="002852C1" w:rsidRDefault="00AB2118" w:rsidP="00473993">
            <w:pPr>
              <w:jc w:val="center"/>
            </w:pPr>
            <w:r w:rsidRPr="00626463">
              <w:t>26.039</w:t>
            </w:r>
          </w:p>
        </w:tc>
        <w:tc>
          <w:tcPr>
            <w:tcW w:w="850" w:type="dxa"/>
            <w:vAlign w:val="center"/>
          </w:tcPr>
          <w:p w14:paraId="156DF689" w14:textId="4FFE5A8C" w:rsidR="00D10E7B" w:rsidRPr="002852C1" w:rsidRDefault="00AB2118" w:rsidP="00473993">
            <w:pPr>
              <w:jc w:val="center"/>
            </w:pPr>
            <w:r w:rsidRPr="00626463">
              <w:t>25.953</w:t>
            </w:r>
          </w:p>
        </w:tc>
        <w:tc>
          <w:tcPr>
            <w:tcW w:w="851" w:type="dxa"/>
            <w:vAlign w:val="center"/>
          </w:tcPr>
          <w:p w14:paraId="3697AB14" w14:textId="683AA224" w:rsidR="00D10E7B" w:rsidRPr="002852C1" w:rsidRDefault="00AB2118" w:rsidP="00473993">
            <w:pPr>
              <w:jc w:val="center"/>
            </w:pPr>
            <w:r w:rsidRPr="00626463">
              <w:t>29.887</w:t>
            </w:r>
          </w:p>
        </w:tc>
        <w:tc>
          <w:tcPr>
            <w:tcW w:w="850" w:type="dxa"/>
            <w:vAlign w:val="center"/>
          </w:tcPr>
          <w:p w14:paraId="738AF8C7" w14:textId="22F6F676" w:rsidR="00D10E7B" w:rsidRPr="002852C1" w:rsidRDefault="00AB2118" w:rsidP="00473993">
            <w:pPr>
              <w:jc w:val="center"/>
            </w:pPr>
            <w:r w:rsidRPr="00626463">
              <w:t>31.623</w:t>
            </w:r>
          </w:p>
        </w:tc>
        <w:tc>
          <w:tcPr>
            <w:tcW w:w="851" w:type="dxa"/>
            <w:vAlign w:val="center"/>
          </w:tcPr>
          <w:p w14:paraId="3576D451" w14:textId="6C265D5E" w:rsidR="00D10E7B" w:rsidRPr="002852C1" w:rsidRDefault="00AB2118" w:rsidP="00473993">
            <w:pPr>
              <w:jc w:val="center"/>
            </w:pPr>
            <w:r w:rsidRPr="00626463">
              <w:t>34.890</w:t>
            </w:r>
          </w:p>
        </w:tc>
        <w:tc>
          <w:tcPr>
            <w:tcW w:w="850" w:type="dxa"/>
            <w:vAlign w:val="center"/>
          </w:tcPr>
          <w:p w14:paraId="2ABC022A" w14:textId="3F9785EE" w:rsidR="00D10E7B" w:rsidRPr="00626463" w:rsidRDefault="00AB2118" w:rsidP="00473993">
            <w:pPr>
              <w:jc w:val="center"/>
            </w:pPr>
            <w:r w:rsidRPr="00626463">
              <w:t>37.926</w:t>
            </w:r>
          </w:p>
        </w:tc>
        <w:tc>
          <w:tcPr>
            <w:tcW w:w="1162" w:type="dxa"/>
            <w:vAlign w:val="center"/>
          </w:tcPr>
          <w:p w14:paraId="09ABDDD4" w14:textId="4F069A38" w:rsidR="00D10E7B" w:rsidRPr="002852C1" w:rsidRDefault="00626463" w:rsidP="00473993">
            <w:pPr>
              <w:jc w:val="center"/>
            </w:pPr>
            <w:r>
              <w:t>208.452</w:t>
            </w:r>
          </w:p>
        </w:tc>
      </w:tr>
      <w:tr w:rsidR="00D10E7B" w:rsidRPr="002852C1" w14:paraId="1EAA637F" w14:textId="77777777" w:rsidTr="00AB2118">
        <w:tc>
          <w:tcPr>
            <w:tcW w:w="1413" w:type="dxa"/>
          </w:tcPr>
          <w:p w14:paraId="6F76245C" w14:textId="03FFA5DA" w:rsidR="00D10E7B" w:rsidRDefault="00D10E7B" w:rsidP="00473993">
            <w:pPr>
              <w:jc w:val="center"/>
            </w:pPr>
            <w:r>
              <w:t xml:space="preserve">Condenas </w:t>
            </w:r>
          </w:p>
        </w:tc>
        <w:tc>
          <w:tcPr>
            <w:tcW w:w="850" w:type="dxa"/>
            <w:vAlign w:val="center"/>
          </w:tcPr>
          <w:p w14:paraId="225DCBA5" w14:textId="2E263327" w:rsidR="00D10E7B" w:rsidRPr="002852C1" w:rsidRDefault="00D10E7B" w:rsidP="00473993">
            <w:pPr>
              <w:jc w:val="center"/>
            </w:pPr>
            <w:r>
              <w:t>291</w:t>
            </w:r>
          </w:p>
        </w:tc>
        <w:tc>
          <w:tcPr>
            <w:tcW w:w="851" w:type="dxa"/>
            <w:vAlign w:val="center"/>
          </w:tcPr>
          <w:p w14:paraId="035A33EA" w14:textId="64A284B6" w:rsidR="00D10E7B" w:rsidRPr="002852C1" w:rsidRDefault="00D10E7B" w:rsidP="00473993">
            <w:pPr>
              <w:jc w:val="center"/>
            </w:pPr>
            <w:r>
              <w:t>257</w:t>
            </w:r>
          </w:p>
        </w:tc>
        <w:tc>
          <w:tcPr>
            <w:tcW w:w="850" w:type="dxa"/>
            <w:vAlign w:val="center"/>
          </w:tcPr>
          <w:p w14:paraId="3686499C" w14:textId="4FFAB9C6" w:rsidR="00D10E7B" w:rsidRPr="002852C1" w:rsidRDefault="00D10E7B" w:rsidP="00473993">
            <w:pPr>
              <w:jc w:val="center"/>
            </w:pPr>
            <w:r>
              <w:t>193</w:t>
            </w:r>
          </w:p>
        </w:tc>
        <w:tc>
          <w:tcPr>
            <w:tcW w:w="851" w:type="dxa"/>
            <w:vAlign w:val="center"/>
          </w:tcPr>
          <w:p w14:paraId="58C2C8F3" w14:textId="30B8E02B" w:rsidR="00D10E7B" w:rsidRPr="002852C1" w:rsidRDefault="00D10E7B" w:rsidP="00473993">
            <w:pPr>
              <w:jc w:val="center"/>
            </w:pPr>
            <w:r>
              <w:t>228</w:t>
            </w:r>
          </w:p>
        </w:tc>
        <w:tc>
          <w:tcPr>
            <w:tcW w:w="850" w:type="dxa"/>
            <w:vAlign w:val="center"/>
          </w:tcPr>
          <w:p w14:paraId="43A405F7" w14:textId="62BCD185" w:rsidR="00D10E7B" w:rsidRPr="002852C1" w:rsidRDefault="00D10E7B" w:rsidP="00473993">
            <w:pPr>
              <w:jc w:val="center"/>
            </w:pPr>
            <w:r>
              <w:t>292</w:t>
            </w:r>
          </w:p>
        </w:tc>
        <w:tc>
          <w:tcPr>
            <w:tcW w:w="851" w:type="dxa"/>
            <w:vAlign w:val="center"/>
          </w:tcPr>
          <w:p w14:paraId="0685BFF5" w14:textId="219C266A" w:rsidR="00D10E7B" w:rsidRPr="002852C1" w:rsidRDefault="00AB2118" w:rsidP="00473993">
            <w:pPr>
              <w:jc w:val="center"/>
            </w:pPr>
            <w:r>
              <w:t>560</w:t>
            </w:r>
          </w:p>
        </w:tc>
        <w:tc>
          <w:tcPr>
            <w:tcW w:w="850" w:type="dxa"/>
            <w:vAlign w:val="center"/>
          </w:tcPr>
          <w:p w14:paraId="5421CAB5" w14:textId="22234284" w:rsidR="00D10E7B" w:rsidRDefault="00AB2118" w:rsidP="00473993">
            <w:pPr>
              <w:jc w:val="center"/>
              <w:rPr>
                <w:color w:val="000000"/>
              </w:rPr>
            </w:pPr>
            <w:r>
              <w:rPr>
                <w:color w:val="000000"/>
              </w:rPr>
              <w:t>627</w:t>
            </w:r>
          </w:p>
        </w:tc>
        <w:tc>
          <w:tcPr>
            <w:tcW w:w="1162" w:type="dxa"/>
            <w:vAlign w:val="center"/>
          </w:tcPr>
          <w:p w14:paraId="2F6A5E24" w14:textId="3FA7F457" w:rsidR="00D10E7B" w:rsidRPr="002852C1" w:rsidRDefault="00626463" w:rsidP="00473993">
            <w:pPr>
              <w:jc w:val="center"/>
              <w:rPr>
                <w:color w:val="000000"/>
              </w:rPr>
            </w:pPr>
            <w:r>
              <w:rPr>
                <w:color w:val="000000"/>
              </w:rPr>
              <w:t>2.448</w:t>
            </w:r>
          </w:p>
        </w:tc>
      </w:tr>
    </w:tbl>
    <w:p w14:paraId="09B7BF81" w14:textId="0A73FF1B" w:rsidR="00D10E7B" w:rsidRDefault="00D10E7B" w:rsidP="00D10E7B">
      <w:r w:rsidRPr="002852C1">
        <w:t xml:space="preserve">Fuente: Ministerio </w:t>
      </w:r>
      <w:r>
        <w:t>Público</w:t>
      </w:r>
      <w:r w:rsidRPr="002852C1">
        <w:t>.</w:t>
      </w:r>
      <w:r>
        <w:t xml:space="preserve"> Instituto Nacional de Estadísticas</w:t>
      </w:r>
      <w:r>
        <w:rPr>
          <w:rStyle w:val="FootnoteReference"/>
        </w:rPr>
        <w:footnoteReference w:id="33"/>
      </w:r>
      <w:r>
        <w:t>.</w:t>
      </w:r>
    </w:p>
    <w:p w14:paraId="0F102DF5" w14:textId="12206310" w:rsidR="00BB793F" w:rsidRPr="00BB793F" w:rsidRDefault="00BB793F" w:rsidP="00BB793F">
      <w:pPr>
        <w:pStyle w:val="BBodyText"/>
        <w:rPr>
          <w:lang w:val="es-PY"/>
        </w:rPr>
      </w:pPr>
    </w:p>
    <w:p w14:paraId="0F04FB25" w14:textId="26580827" w:rsidR="0026706A" w:rsidRDefault="0026706A" w:rsidP="0026706A">
      <w:pPr>
        <w:pStyle w:val="BBodyText"/>
      </w:pPr>
      <w:r>
        <w:t>Principales motivos de preocupación de Amnistía Internacional para la</w:t>
      </w:r>
      <w:r w:rsidR="006832A2">
        <w:t xml:space="preserve"> lista de cuestiones</w:t>
      </w:r>
      <w:r>
        <w:t>:</w:t>
      </w:r>
    </w:p>
    <w:p w14:paraId="6823DAAD" w14:textId="47600C5E" w:rsidR="0026706A" w:rsidRDefault="0026706A" w:rsidP="001A0AF4">
      <w:pPr>
        <w:pStyle w:val="BBodyText"/>
        <w:numPr>
          <w:ilvl w:val="0"/>
          <w:numId w:val="36"/>
        </w:numPr>
      </w:pPr>
      <w:r>
        <w:t xml:space="preserve">La falta de medidas adecuadas encaminadas a la plena aplicación de la Ley 5777, en particular </w:t>
      </w:r>
      <w:r w:rsidR="00A97A69">
        <w:t xml:space="preserve">la escasa </w:t>
      </w:r>
      <w:r w:rsidR="00A90557">
        <w:t>disponibilidad</w:t>
      </w:r>
      <w:r w:rsidR="00A97A69">
        <w:t xml:space="preserve"> de </w:t>
      </w:r>
      <w:r w:rsidRPr="0026706A">
        <w:t>Servicios Integrales de Prevención y Atención a Mujeres en Situación de Violencia</w:t>
      </w:r>
      <w:r w:rsidR="00A97A69">
        <w:t xml:space="preserve"> y de </w:t>
      </w:r>
      <w:r w:rsidR="00A97A69" w:rsidRPr="00A97A69">
        <w:t>refugios (Casas de Acogida)</w:t>
      </w:r>
      <w:r w:rsidR="00A97A69">
        <w:t xml:space="preserve"> en la mayor parte del territorio</w:t>
      </w:r>
      <w:r w:rsidR="00C40A83">
        <w:rPr>
          <w:rStyle w:val="FootnoteReference"/>
        </w:rPr>
        <w:footnoteReference w:id="34"/>
      </w:r>
      <w:r w:rsidR="00A97A69">
        <w:t>, afectando de manera desproporcionada a mujeres rurales.</w:t>
      </w:r>
    </w:p>
    <w:p w14:paraId="585568B9" w14:textId="457FD04A" w:rsidR="00A97A69" w:rsidRDefault="00A97A69" w:rsidP="001A0AF4">
      <w:pPr>
        <w:pStyle w:val="BBodyText"/>
        <w:numPr>
          <w:ilvl w:val="0"/>
          <w:numId w:val="36"/>
        </w:numPr>
      </w:pPr>
      <w:r>
        <w:t>Aunque se hayan adoptado protocolos de investigación para la violencia familiar</w:t>
      </w:r>
      <w:r>
        <w:rPr>
          <w:rStyle w:val="FootnoteReference"/>
        </w:rPr>
        <w:footnoteReference w:id="35"/>
      </w:r>
      <w:r>
        <w:t xml:space="preserve"> y el feminicidio</w:t>
      </w:r>
      <w:r>
        <w:rPr>
          <w:rStyle w:val="FootnoteReference"/>
        </w:rPr>
        <w:footnoteReference w:id="36"/>
      </w:r>
      <w:r>
        <w:t xml:space="preserve">, preocupa la falta de </w:t>
      </w:r>
      <w:r w:rsidR="002874D7">
        <w:t>implementación</w:t>
      </w:r>
      <w:r>
        <w:t xml:space="preserve"> eficaz que reduzca significativamente los altos niveles de impunidad que benefician a los perpetradores. </w:t>
      </w:r>
    </w:p>
    <w:p w14:paraId="66D6C325" w14:textId="35192DF4" w:rsidR="001F6B21" w:rsidRDefault="003A2029" w:rsidP="001A0AF4">
      <w:pPr>
        <w:pStyle w:val="BBodyText"/>
        <w:numPr>
          <w:ilvl w:val="0"/>
          <w:numId w:val="36"/>
        </w:numPr>
      </w:pPr>
      <w:r>
        <w:t>La falta de medidas adoptadas para implementar el registro único de violencia contra la mujer, proceso interrumpido en 2012, lo que impide que las instituciones de la ruta crítica de intervención</w:t>
      </w:r>
      <w:r w:rsidR="006C441D">
        <w:t xml:space="preserve"> (</w:t>
      </w:r>
      <w:r w:rsidR="006C441D" w:rsidRPr="006C441D">
        <w:t>Ministerio de la Mujer, Poder Judicial, Ministerio Público, Ministerio de la Defensa Pública, Ministerio de Salud Pública y Bienestar Social y Policía Nacional</w:t>
      </w:r>
      <w:r w:rsidR="006C441D">
        <w:t>)</w:t>
      </w:r>
      <w:r>
        <w:t xml:space="preserve"> produzcan indicadores que permitan conocer con </w:t>
      </w:r>
      <w:r w:rsidRPr="003A2029">
        <w:t>certeza estadística la magnitud del problema</w:t>
      </w:r>
      <w:r>
        <w:t xml:space="preserve">, monitorear casos, así como </w:t>
      </w:r>
      <w:r w:rsidR="00A75D98" w:rsidRPr="003A2029">
        <w:t xml:space="preserve">evaluar </w:t>
      </w:r>
      <w:r w:rsidR="00A75D98">
        <w:t xml:space="preserve">los servicios y </w:t>
      </w:r>
      <w:r w:rsidR="00A75D98" w:rsidRPr="003A2029">
        <w:t>la política de prevención, atención, protección y sanción de la violencia basada en género</w:t>
      </w:r>
      <w:r w:rsidR="00A75D98">
        <w:rPr>
          <w:rStyle w:val="FootnoteReference"/>
        </w:rPr>
        <w:footnoteReference w:id="37"/>
      </w:r>
      <w:r w:rsidR="00A75D98">
        <w:t>.</w:t>
      </w:r>
    </w:p>
    <w:p w14:paraId="32D8D7DC" w14:textId="6437A244" w:rsidR="00C342B1" w:rsidRDefault="00C342B1" w:rsidP="001A0AF4">
      <w:pPr>
        <w:pStyle w:val="BBodyText"/>
        <w:numPr>
          <w:ilvl w:val="0"/>
          <w:numId w:val="36"/>
        </w:numPr>
      </w:pPr>
      <w:r>
        <w:t xml:space="preserve">La falta de información suministrada por el Estado parte relacionada a los recursos asignados y las actividades realizadas en el marco de la </w:t>
      </w:r>
      <w:hyperlink r:id="rId14" w:history="1">
        <w:r w:rsidRPr="00C342B1">
          <w:rPr>
            <w:rStyle w:val="Hyperlink"/>
          </w:rPr>
          <w:t xml:space="preserve">Ley </w:t>
        </w:r>
        <w:r w:rsidR="00271882">
          <w:rPr>
            <w:rStyle w:val="Hyperlink"/>
          </w:rPr>
          <w:t xml:space="preserve">6806 </w:t>
        </w:r>
        <w:r w:rsidRPr="00C342B1">
          <w:rPr>
            <w:rStyle w:val="Hyperlink"/>
          </w:rPr>
          <w:t>que declar</w:t>
        </w:r>
        <w:r w:rsidR="00271882">
          <w:rPr>
            <w:rStyle w:val="Hyperlink"/>
          </w:rPr>
          <w:t>a</w:t>
        </w:r>
        <w:r w:rsidRPr="00C342B1">
          <w:rPr>
            <w:rStyle w:val="Hyperlink"/>
          </w:rPr>
          <w:t xml:space="preserve"> emergencia nacional por feminicidios</w:t>
        </w:r>
      </w:hyperlink>
      <w:r>
        <w:rPr>
          <w:rStyle w:val="FootnoteReference"/>
        </w:rPr>
        <w:footnoteReference w:id="38"/>
      </w:r>
      <w:r>
        <w:t xml:space="preserve">, vigente durante la pandemia del COVID-19, así como la falta de una evaluación de </w:t>
      </w:r>
      <w:r w:rsidR="00A90557">
        <w:t>las políticas públicas implementadas en el marco de dicha ley</w:t>
      </w:r>
      <w:r>
        <w:t>.</w:t>
      </w:r>
    </w:p>
    <w:p w14:paraId="5640B049" w14:textId="584468CE" w:rsidR="00C342B1" w:rsidRDefault="00C342B1" w:rsidP="001A0AF4">
      <w:pPr>
        <w:pStyle w:val="BBodyText"/>
        <w:numPr>
          <w:ilvl w:val="0"/>
          <w:numId w:val="36"/>
        </w:numPr>
      </w:pPr>
      <w:r>
        <w:t xml:space="preserve">La falta de información </w:t>
      </w:r>
      <w:r w:rsidR="00D830A3">
        <w:t>que evalúe los potenciales impactos respecto de los derechos reconocidos por la CEDAW de</w:t>
      </w:r>
      <w:r w:rsidR="007D27AE">
        <w:t>l proyecto de</w:t>
      </w:r>
      <w:r w:rsidR="00D830A3">
        <w:t xml:space="preserve"> </w:t>
      </w:r>
      <w:hyperlink r:id="rId15" w:history="1">
        <w:r w:rsidR="007D27AE">
          <w:rPr>
            <w:rStyle w:val="Hyperlink"/>
          </w:rPr>
          <w:t>l</w:t>
        </w:r>
        <w:r w:rsidR="00D830A3" w:rsidRPr="00D830A3">
          <w:rPr>
            <w:rStyle w:val="Hyperlink"/>
          </w:rPr>
          <w:t>ey</w:t>
        </w:r>
        <w:r w:rsidR="006C441D">
          <w:rPr>
            <w:rStyle w:val="Hyperlink"/>
          </w:rPr>
          <w:t xml:space="preserve"> </w:t>
        </w:r>
        <w:r w:rsidR="00D830A3" w:rsidRPr="00D830A3">
          <w:rPr>
            <w:rStyle w:val="Hyperlink"/>
          </w:rPr>
          <w:t>que crea los juzgados y tribunales especializados “en materia de violencia dentro del grupo familiar”</w:t>
        </w:r>
      </w:hyperlink>
      <w:r w:rsidR="00D830A3">
        <w:t xml:space="preserve">, </w:t>
      </w:r>
      <w:r w:rsidR="006C441D">
        <w:t>sancionad</w:t>
      </w:r>
      <w:r w:rsidR="00D75EA2">
        <w:t>o</w:t>
      </w:r>
      <w:r w:rsidR="006C441D">
        <w:t xml:space="preserve"> por</w:t>
      </w:r>
      <w:r w:rsidR="00D830A3">
        <w:t xml:space="preserve"> el Poder Legislativo</w:t>
      </w:r>
      <w:r w:rsidR="006C441D">
        <w:t xml:space="preserve"> en abril de 2025</w:t>
      </w:r>
      <w:r w:rsidR="00D75EA2">
        <w:rPr>
          <w:rStyle w:val="FootnoteReference"/>
        </w:rPr>
        <w:footnoteReference w:id="39"/>
      </w:r>
      <w:r w:rsidR="00D830A3">
        <w:t>.</w:t>
      </w:r>
    </w:p>
    <w:p w14:paraId="7CEF27D4" w14:textId="022BF7B5" w:rsidR="006453FA" w:rsidRDefault="006453FA" w:rsidP="001A0AF4">
      <w:pPr>
        <w:pStyle w:val="BBodyText"/>
        <w:numPr>
          <w:ilvl w:val="0"/>
          <w:numId w:val="36"/>
        </w:numPr>
      </w:pPr>
      <w:r>
        <w:t xml:space="preserve">La presentación en la Cámara de Senadores, en abril de 2025, de un </w:t>
      </w:r>
      <w:hyperlink r:id="rId16" w:history="1">
        <w:r w:rsidRPr="00C31969">
          <w:rPr>
            <w:rStyle w:val="Hyperlink"/>
          </w:rPr>
          <w:t>proyecto de ley</w:t>
        </w:r>
      </w:hyperlink>
      <w:r>
        <w:t xml:space="preserve"> </w:t>
      </w:r>
      <w:r w:rsidR="00912770">
        <w:t>que suprimiría el Ministerio de la Mujer, para fusionarlo bajo un nuevo Ministerio de la Familia, que debilitaría el mecanismo nacional encargado del adelanto de la mujer y de la aplicación de la CEDAW en el Estado parte</w:t>
      </w:r>
      <w:r w:rsidR="00C31969">
        <w:rPr>
          <w:rStyle w:val="FootnoteReference"/>
        </w:rPr>
        <w:footnoteReference w:id="40"/>
      </w:r>
      <w:r w:rsidR="00912770">
        <w:t xml:space="preserve">. </w:t>
      </w:r>
    </w:p>
    <w:p w14:paraId="3069C034" w14:textId="77777777" w:rsidR="004902DE" w:rsidRPr="00A82D1B" w:rsidRDefault="004902DE" w:rsidP="004902DE">
      <w:pPr>
        <w:pStyle w:val="BBodyText"/>
      </w:pPr>
    </w:p>
    <w:p w14:paraId="507F2A5E" w14:textId="0C54220C" w:rsidR="00A82D1B" w:rsidRDefault="00A82D1B" w:rsidP="005C0476">
      <w:pPr>
        <w:pStyle w:val="BBodyText"/>
        <w:sectPr w:rsidR="00A82D1B" w:rsidSect="00DA7998">
          <w:footerReference w:type="first" r:id="rId17"/>
          <w:pgSz w:w="11906" w:h="16838" w:code="9"/>
          <w:pgMar w:top="1474" w:right="1418" w:bottom="1418" w:left="1418" w:header="709" w:footer="709" w:gutter="0"/>
          <w:cols w:space="708"/>
          <w:titlePg/>
          <w:docGrid w:linePitch="360"/>
        </w:sectPr>
      </w:pPr>
    </w:p>
    <w:p w14:paraId="0690BAE9" w14:textId="45A8E52F" w:rsidR="00EE3C56" w:rsidRPr="00065FFC" w:rsidRDefault="005947CE" w:rsidP="004D2A5B">
      <w:pPr>
        <w:pStyle w:val="BBodyText"/>
      </w:pPr>
      <w:r>
        <w:rPr>
          <w:rFonts w:ascii="Amnesty Trade Gothic" w:hAnsi="Amnesty Trade Gothic"/>
          <w:noProof/>
          <w:color w:val="000000"/>
          <w:lang w:val="en-GB" w:eastAsia="en-GB"/>
        </w:rPr>
        <mc:AlternateContent>
          <mc:Choice Requires="wps">
            <w:drawing>
              <wp:anchor distT="0" distB="0" distL="114300" distR="114300" simplePos="0" relativeHeight="251658248"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7" type="#_x0000_t202" style="position:absolute;margin-left:24.4pt;margin-top:444.8pt;width:177.7pt;height:25.7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EOGg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Pr>
          <w:rFonts w:ascii="Amnesty Trade Gothic Cn" w:hAnsi="Amnesty Trade Gothic Cn"/>
          <w:b/>
          <w:noProof/>
          <w:lang w:val="en-GB" w:eastAsia="en-GB"/>
        </w:rPr>
        <w:drawing>
          <wp:anchor distT="0" distB="0" distL="114300" distR="114300" simplePos="0" relativeHeight="251658247"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lang w:val="en-GB" w:eastAsia="en-GB"/>
        </w:rPr>
        <mc:AlternateContent>
          <mc:Choice Requires="wps">
            <w:drawing>
              <wp:anchor distT="0" distB="0" distL="114300" distR="114300" simplePos="0" relativeHeight="251658245"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Reino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8" type="#_x0000_t202" style="position:absolute;margin-left:136.35pt;margin-top:491.45pt;width:100.15pt;height:13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Reino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6"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2"/>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3" w:history="1">
                              <w:r>
                                <w:rPr>
                                  <w:rStyle w:val="Hyperlink"/>
                                  <w:rFonts w:ascii="Amnesty Trade Gothic Cn" w:hAnsi="Amnesty Trade Gothic Cn"/>
                                  <w:b/>
                                  <w:bCs/>
                                  <w:color w:val="auto"/>
                                  <w:szCs w:val="21"/>
                                </w:rPr>
                                <w:t>info@amnesty.org</w:t>
                              </w:r>
                            </w:hyperlink>
                          </w:p>
                          <w:p w14:paraId="61AA5AD3" w14:textId="0E60EB23" w:rsidR="00EE5B8A" w:rsidRPr="00D4065A" w:rsidRDefault="00EE5B8A" w:rsidP="004E5E19">
                            <w:pPr>
                              <w:pStyle w:val="BBodyText"/>
                              <w:jc w:val="center"/>
                              <w:rPr>
                                <w:rStyle w:val="Hyperlink"/>
                                <w:rFonts w:ascii="Amnesty Trade Gothic Cn" w:hAnsi="Amnesty Trade Gothic Cn"/>
                                <w:color w:val="auto"/>
                              </w:rPr>
                            </w:pPr>
                            <w:hyperlink r:id="rId24" w:history="1">
                              <w:r>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5"/>
                                            <a:stretch>
                                              <a:fillRect/>
                                            </a:stretch>
                                          </pic:blipFill>
                                          <pic:spPr>
                                            <a:xfrm>
                                              <a:off x="0" y="0"/>
                                              <a:ext cx="290598" cy="290598"/>
                                            </a:xfrm>
                                            <a:prstGeom prst="rect">
                                              <a:avLst/>
                                            </a:prstGeom>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6"/>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9" type="#_x0000_t202" style="position:absolute;margin-left:-15.65pt;margin-top:466.85pt;width:133.75pt;height:142.3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A69NuA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2"/>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7" w:history="1">
                        <w:r>
                          <w:rPr>
                            <w:rStyle w:val="Hyperlink"/>
                            <w:rFonts w:ascii="Amnesty Trade Gothic Cn" w:hAnsi="Amnesty Trade Gothic Cn"/>
                            <w:b/>
                            <w:bCs/>
                            <w:color w:val="auto"/>
                            <w:szCs w:val="21"/>
                          </w:rPr>
                          <w:t>info@amnesty.org</w:t>
                        </w:r>
                      </w:hyperlink>
                    </w:p>
                    <w:p w14:paraId="61AA5AD3" w14:textId="0E60EB23" w:rsidR="00EE5B8A" w:rsidRPr="00D4065A" w:rsidRDefault="00EE5B8A" w:rsidP="004E5E19">
                      <w:pPr>
                        <w:pStyle w:val="BBodyText"/>
                        <w:jc w:val="center"/>
                        <w:rPr>
                          <w:rStyle w:val="Hyperlink"/>
                          <w:rFonts w:ascii="Amnesty Trade Gothic Cn" w:hAnsi="Amnesty Trade Gothic Cn"/>
                          <w:color w:val="auto"/>
                        </w:rPr>
                      </w:pPr>
                      <w:hyperlink r:id="rId28" w:history="1">
                        <w:r>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5"/>
                                      <a:stretch>
                                        <a:fillRect/>
                                      </a:stretch>
                                    </pic:blipFill>
                                    <pic:spPr>
                                      <a:xfrm>
                                        <a:off x="0" y="0"/>
                                        <a:ext cx="290598" cy="290598"/>
                                      </a:xfrm>
                                      <a:prstGeom prst="rect">
                                        <a:avLst/>
                                      </a:prstGeom>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6"/>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3"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9"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0" type="#_x0000_t202" style="position:absolute;margin-left:305.35pt;margin-top:445.45pt;width:177pt;height:164.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CCalNz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30" w:history="1">
                        <w:r>
                          <w:rPr>
                            <w:rStyle w:val="Hyperlink"/>
                            <w:sz w:val="16"/>
                            <w:szCs w:val="16"/>
                          </w:rPr>
                          <w:t>Permisos</w:t>
                        </w:r>
                      </w:hyperlink>
                      <w:r>
                        <w:rPr>
                          <w:sz w:val="16"/>
                          <w:szCs w:val="16"/>
                        </w:rPr>
                        <w:t xml:space="preserve"> del sitio web de Amnistía Internacional.</w:t>
                      </w:r>
                    </w:p>
                  </w:txbxContent>
                </v:textbox>
              </v:shape>
            </w:pict>
          </mc:Fallback>
        </mc:AlternateContent>
      </w:r>
      <w:r w:rsidR="00D51847">
        <w:rPr>
          <w:noProof/>
          <w:lang w:val="en-GB" w:eastAsia="en-GB"/>
        </w:rPr>
        <mc:AlternateContent>
          <mc:Choice Requires="wps">
            <w:drawing>
              <wp:anchor distT="0" distB="0" distL="114300" distR="114300" simplePos="0" relativeHeight="251658242" behindDoc="0" locked="0" layoutInCell="1" allowOverlap="1" wp14:anchorId="6E3CB8F7" wp14:editId="030B4AFE">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1" type="#_x0000_t202" style="position:absolute;margin-left:-28.65pt;margin-top:.05pt;width:523.4pt;height:38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ALSXr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4"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2D661419" w:rsidR="00EE5B8A" w:rsidRPr="008817CA" w:rsidRDefault="003E69DD" w:rsidP="0081658E">
                            <w:pPr>
                              <w:pStyle w:val="BCopyrightsmallprint"/>
                              <w:rPr>
                                <w:rStyle w:val="Boldbodycharacter"/>
                                <w:rFonts w:asciiTheme="minorHAnsi" w:hAnsiTheme="minorHAnsi"/>
                                <w:sz w:val="20"/>
                                <w:szCs w:val="20"/>
                                <w:lang w:val="es-PY"/>
                              </w:rPr>
                            </w:pPr>
                            <w:r w:rsidRPr="008817CA">
                              <w:rPr>
                                <w:rFonts w:asciiTheme="minorHAnsi" w:hAnsiTheme="minorHAnsi"/>
                                <w:sz w:val="20"/>
                                <w:szCs w:val="20"/>
                                <w:lang w:val="es-PY"/>
                              </w:rPr>
                              <w:t>Índice:</w:t>
                            </w:r>
                            <w:r w:rsidRPr="008817CA">
                              <w:rPr>
                                <w:rFonts w:asciiTheme="minorHAnsi" w:hAnsiTheme="minorHAnsi"/>
                                <w:b/>
                                <w:sz w:val="20"/>
                                <w:szCs w:val="20"/>
                              </w:rPr>
                              <w:t xml:space="preserve"> </w:t>
                            </w:r>
                            <w:r w:rsidR="00A03DF8" w:rsidRPr="008817CA">
                              <w:rPr>
                                <w:rFonts w:asciiTheme="minorHAnsi" w:hAnsiTheme="minorHAnsi"/>
                                <w:b/>
                                <w:sz w:val="20"/>
                                <w:szCs w:val="20"/>
                              </w:rPr>
                              <w:t>AMR 45/9399/2025</w:t>
                            </w:r>
                            <w:r w:rsidRPr="008817CA">
                              <w:rPr>
                                <w:rStyle w:val="Boldbodycharacter"/>
                                <w:rFonts w:asciiTheme="minorHAnsi" w:hAnsiTheme="minorHAnsi"/>
                                <w:sz w:val="20"/>
                                <w:szCs w:val="20"/>
                                <w:lang w:val="es-PY"/>
                              </w:rPr>
                              <w:t xml:space="preserve"> </w:t>
                            </w:r>
                            <w:r w:rsidR="00EE5B8A" w:rsidRPr="008817CA">
                              <w:rPr>
                                <w:rStyle w:val="Boldbodycharacter"/>
                                <w:rFonts w:asciiTheme="minorHAnsi" w:hAnsiTheme="minorHAnsi"/>
                                <w:sz w:val="20"/>
                                <w:szCs w:val="20"/>
                                <w:lang w:val="es-PY"/>
                              </w:rPr>
                              <w:t>SPANISH</w:t>
                            </w:r>
                          </w:p>
                          <w:p w14:paraId="13BA83E2" w14:textId="44F3C482" w:rsidR="00EE5B8A" w:rsidRPr="008817CA" w:rsidRDefault="00EE5B8A" w:rsidP="0081658E">
                            <w:pPr>
                              <w:pStyle w:val="BCopyrightsmallprint"/>
                              <w:rPr>
                                <w:rFonts w:asciiTheme="minorHAnsi" w:hAnsiTheme="minorHAnsi"/>
                                <w:sz w:val="20"/>
                                <w:szCs w:val="20"/>
                              </w:rPr>
                            </w:pPr>
                            <w:r w:rsidRPr="008817CA">
                              <w:rPr>
                                <w:rFonts w:asciiTheme="minorHAnsi" w:hAnsiTheme="minorHAnsi"/>
                                <w:sz w:val="20"/>
                                <w:szCs w:val="20"/>
                              </w:rPr>
                              <w:t xml:space="preserve">Publicación: </w:t>
                            </w:r>
                            <w:r w:rsidR="008817CA" w:rsidRPr="008817CA">
                              <w:rPr>
                                <w:rFonts w:asciiTheme="minorHAnsi" w:hAnsiTheme="minorHAnsi"/>
                                <w:b/>
                                <w:bCs w:val="0"/>
                                <w:sz w:val="20"/>
                                <w:szCs w:val="20"/>
                              </w:rPr>
                              <w:t>mayo 2025</w:t>
                            </w:r>
                          </w:p>
                          <w:p w14:paraId="75622893" w14:textId="14DAB867" w:rsidR="00EE5B8A" w:rsidRPr="008817CA" w:rsidRDefault="00EE5B8A" w:rsidP="0081658E">
                            <w:pPr>
                              <w:pStyle w:val="BCopyrightsmallprint"/>
                              <w:rPr>
                                <w:rFonts w:asciiTheme="minorHAnsi" w:hAnsiTheme="minorHAnsi"/>
                                <w:sz w:val="20"/>
                                <w:szCs w:val="20"/>
                              </w:rPr>
                            </w:pPr>
                            <w:r w:rsidRPr="008817CA">
                              <w:rPr>
                                <w:rFonts w:asciiTheme="minorHAnsi" w:hAnsiTheme="minorHAnsi"/>
                                <w:sz w:val="20"/>
                                <w:szCs w:val="20"/>
                              </w:rPr>
                              <w:t xml:space="preserve">Idioma original: </w:t>
                            </w:r>
                            <w:r w:rsidR="003D7143" w:rsidRPr="008817CA">
                              <w:rPr>
                                <w:rFonts w:asciiTheme="minorHAnsi" w:hAnsiTheme="minorHAnsi"/>
                                <w:b/>
                                <w:bCs w:val="0"/>
                                <w:sz w:val="20"/>
                                <w:szCs w:val="20"/>
                              </w:rPr>
                              <w:t xml:space="preserve">español </w:t>
                            </w:r>
                          </w:p>
                          <w:p w14:paraId="51BB8770" w14:textId="532CDDFC" w:rsidR="00EE5B8A" w:rsidRPr="008817CA" w:rsidRDefault="00EE5B8A" w:rsidP="00140418">
                            <w:pPr>
                              <w:pStyle w:val="BCopyrightsmallprint"/>
                              <w:rPr>
                                <w:rFonts w:asciiTheme="minorHAnsi" w:hAnsiTheme="minorHAnsi"/>
                                <w:sz w:val="20"/>
                                <w:szCs w:val="20"/>
                              </w:rPr>
                            </w:pPr>
                            <w:r w:rsidRPr="008817CA">
                              <w:rPr>
                                <w:rFonts w:asciiTheme="minorHAnsi" w:hAnsiTheme="minorHAnsi"/>
                                <w:sz w:val="20"/>
                                <w:szCs w:val="20"/>
                              </w:rPr>
                              <w:t>© Amnesty International 20</w:t>
                            </w:r>
                            <w:r w:rsidR="003D7143" w:rsidRPr="008817CA">
                              <w:rPr>
                                <w:rFonts w:asciiTheme="minorHAnsi" w:hAnsiTheme="minorHAnsi"/>
                                <w:sz w:val="20"/>
                                <w:szCs w:val="20"/>
                              </w:rPr>
                              <w:t>2</w:t>
                            </w:r>
                            <w:r w:rsidR="002F2B56" w:rsidRPr="008817CA">
                              <w:rPr>
                                <w:rFonts w:asciiTheme="minorHAnsi" w:hAnsiTheme="minorHAnsi"/>
                                <w:sz w:val="20"/>
                                <w:szCs w:val="20"/>
                              </w:rPr>
                              <w:t>5</w:t>
                            </w:r>
                          </w:p>
                          <w:p w14:paraId="2247AD3B" w14:textId="77777777" w:rsidR="00EE5B8A" w:rsidRPr="003E69DD"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2D661419" w:rsidR="00EE5B8A" w:rsidRPr="008817CA" w:rsidRDefault="003E69DD" w:rsidP="0081658E">
                      <w:pPr>
                        <w:pStyle w:val="BCopyrightsmallprint"/>
                        <w:rPr>
                          <w:rStyle w:val="Boldbodycharacter"/>
                          <w:rFonts w:asciiTheme="minorHAnsi" w:hAnsiTheme="minorHAnsi"/>
                          <w:sz w:val="20"/>
                          <w:szCs w:val="20"/>
                          <w:lang w:val="es-PY"/>
                        </w:rPr>
                      </w:pPr>
                      <w:r w:rsidRPr="008817CA">
                        <w:rPr>
                          <w:rFonts w:asciiTheme="minorHAnsi" w:hAnsiTheme="minorHAnsi"/>
                          <w:sz w:val="20"/>
                          <w:szCs w:val="20"/>
                          <w:lang w:val="es-PY"/>
                        </w:rPr>
                        <w:t>Índice:</w:t>
                      </w:r>
                      <w:r w:rsidRPr="008817CA">
                        <w:rPr>
                          <w:rFonts w:asciiTheme="minorHAnsi" w:hAnsiTheme="minorHAnsi"/>
                          <w:b/>
                          <w:sz w:val="20"/>
                          <w:szCs w:val="20"/>
                        </w:rPr>
                        <w:t xml:space="preserve"> </w:t>
                      </w:r>
                      <w:r w:rsidR="00A03DF8" w:rsidRPr="008817CA">
                        <w:rPr>
                          <w:rFonts w:asciiTheme="minorHAnsi" w:hAnsiTheme="minorHAnsi"/>
                          <w:b/>
                          <w:sz w:val="20"/>
                          <w:szCs w:val="20"/>
                        </w:rPr>
                        <w:t>AMR 45/9399/2025</w:t>
                      </w:r>
                      <w:r w:rsidRPr="008817CA">
                        <w:rPr>
                          <w:rStyle w:val="Boldbodycharacter"/>
                          <w:rFonts w:asciiTheme="minorHAnsi" w:hAnsiTheme="minorHAnsi"/>
                          <w:sz w:val="20"/>
                          <w:szCs w:val="20"/>
                          <w:lang w:val="es-PY"/>
                        </w:rPr>
                        <w:t xml:space="preserve"> </w:t>
                      </w:r>
                      <w:r w:rsidR="00EE5B8A" w:rsidRPr="008817CA">
                        <w:rPr>
                          <w:rStyle w:val="Boldbodycharacter"/>
                          <w:rFonts w:asciiTheme="minorHAnsi" w:hAnsiTheme="minorHAnsi"/>
                          <w:sz w:val="20"/>
                          <w:szCs w:val="20"/>
                          <w:lang w:val="es-PY"/>
                        </w:rPr>
                        <w:t>SPANISH</w:t>
                      </w:r>
                    </w:p>
                    <w:p w14:paraId="13BA83E2" w14:textId="44F3C482" w:rsidR="00EE5B8A" w:rsidRPr="008817CA" w:rsidRDefault="00EE5B8A" w:rsidP="0081658E">
                      <w:pPr>
                        <w:pStyle w:val="BCopyrightsmallprint"/>
                        <w:rPr>
                          <w:rFonts w:asciiTheme="minorHAnsi" w:hAnsiTheme="minorHAnsi"/>
                          <w:sz w:val="20"/>
                          <w:szCs w:val="20"/>
                        </w:rPr>
                      </w:pPr>
                      <w:r w:rsidRPr="008817CA">
                        <w:rPr>
                          <w:rFonts w:asciiTheme="minorHAnsi" w:hAnsiTheme="minorHAnsi"/>
                          <w:sz w:val="20"/>
                          <w:szCs w:val="20"/>
                        </w:rPr>
                        <w:t xml:space="preserve">Publicación: </w:t>
                      </w:r>
                      <w:r w:rsidR="008817CA" w:rsidRPr="008817CA">
                        <w:rPr>
                          <w:rFonts w:asciiTheme="minorHAnsi" w:hAnsiTheme="minorHAnsi"/>
                          <w:b/>
                          <w:bCs w:val="0"/>
                          <w:sz w:val="20"/>
                          <w:szCs w:val="20"/>
                        </w:rPr>
                        <w:t>mayo 2025</w:t>
                      </w:r>
                    </w:p>
                    <w:p w14:paraId="75622893" w14:textId="14DAB867" w:rsidR="00EE5B8A" w:rsidRPr="008817CA" w:rsidRDefault="00EE5B8A" w:rsidP="0081658E">
                      <w:pPr>
                        <w:pStyle w:val="BCopyrightsmallprint"/>
                        <w:rPr>
                          <w:rFonts w:asciiTheme="minorHAnsi" w:hAnsiTheme="minorHAnsi"/>
                          <w:sz w:val="20"/>
                          <w:szCs w:val="20"/>
                        </w:rPr>
                      </w:pPr>
                      <w:r w:rsidRPr="008817CA">
                        <w:rPr>
                          <w:rFonts w:asciiTheme="minorHAnsi" w:hAnsiTheme="minorHAnsi"/>
                          <w:sz w:val="20"/>
                          <w:szCs w:val="20"/>
                        </w:rPr>
                        <w:t xml:space="preserve">Idioma original: </w:t>
                      </w:r>
                      <w:r w:rsidR="003D7143" w:rsidRPr="008817CA">
                        <w:rPr>
                          <w:rFonts w:asciiTheme="minorHAnsi" w:hAnsiTheme="minorHAnsi"/>
                          <w:b/>
                          <w:bCs w:val="0"/>
                          <w:sz w:val="20"/>
                          <w:szCs w:val="20"/>
                        </w:rPr>
                        <w:t xml:space="preserve">español </w:t>
                      </w:r>
                    </w:p>
                    <w:p w14:paraId="51BB8770" w14:textId="532CDDFC" w:rsidR="00EE5B8A" w:rsidRPr="008817CA" w:rsidRDefault="00EE5B8A" w:rsidP="00140418">
                      <w:pPr>
                        <w:pStyle w:val="BCopyrightsmallprint"/>
                        <w:rPr>
                          <w:rFonts w:asciiTheme="minorHAnsi" w:hAnsiTheme="minorHAnsi"/>
                          <w:sz w:val="20"/>
                          <w:szCs w:val="20"/>
                        </w:rPr>
                      </w:pPr>
                      <w:r w:rsidRPr="008817CA">
                        <w:rPr>
                          <w:rFonts w:asciiTheme="minorHAnsi" w:hAnsiTheme="minorHAnsi"/>
                          <w:sz w:val="20"/>
                          <w:szCs w:val="20"/>
                        </w:rPr>
                        <w:t>© Amnesty International 20</w:t>
                      </w:r>
                      <w:r w:rsidR="003D7143" w:rsidRPr="008817CA">
                        <w:rPr>
                          <w:rFonts w:asciiTheme="minorHAnsi" w:hAnsiTheme="minorHAnsi"/>
                          <w:sz w:val="20"/>
                          <w:szCs w:val="20"/>
                        </w:rPr>
                        <w:t>2</w:t>
                      </w:r>
                      <w:r w:rsidR="002F2B56" w:rsidRPr="008817CA">
                        <w:rPr>
                          <w:rFonts w:asciiTheme="minorHAnsi" w:hAnsiTheme="minorHAnsi"/>
                          <w:sz w:val="20"/>
                          <w:szCs w:val="20"/>
                        </w:rPr>
                        <w:t>5</w:t>
                      </w:r>
                    </w:p>
                    <w:p w14:paraId="2247AD3B" w14:textId="77777777" w:rsidR="00EE5B8A" w:rsidRPr="003E69DD" w:rsidRDefault="00EE5B8A"/>
                  </w:txbxContent>
                </v:textbox>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1"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31"/>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88E5A" w14:textId="77777777" w:rsidR="00363AD5" w:rsidRDefault="00363AD5" w:rsidP="003A7195">
      <w:r>
        <w:separator/>
      </w:r>
    </w:p>
  </w:endnote>
  <w:endnote w:type="continuationSeparator" w:id="0">
    <w:p w14:paraId="38BAC7CA" w14:textId="77777777" w:rsidR="00363AD5" w:rsidRDefault="00363AD5" w:rsidP="003A7195">
      <w:r>
        <w:continuationSeparator/>
      </w:r>
    </w:p>
  </w:endnote>
  <w:endnote w:type="continuationNotice" w:id="1">
    <w:p w14:paraId="494F79DA" w14:textId="77777777" w:rsidR="00363AD5" w:rsidRDefault="00363A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0330D" w14:textId="1E747CE1" w:rsidR="001E38A6" w:rsidRPr="001E38A6" w:rsidRDefault="001E38A6" w:rsidP="001E38A6">
    <w:pPr>
      <w:pStyle w:val="BFootertitle"/>
      <w:spacing w:before="160" w:line="240" w:lineRule="auto"/>
      <w:rPr>
        <w:bCs/>
      </w:rPr>
    </w:pPr>
    <w:r w:rsidRPr="001E38A6">
      <w:rPr>
        <w:bCs/>
      </w:rPr>
      <w:t>PARAGUAY</w:t>
    </w:r>
  </w:p>
  <w:p w14:paraId="68282261" w14:textId="0D84E961" w:rsidR="001E38A6" w:rsidRPr="001E38A6" w:rsidRDefault="001E38A6" w:rsidP="001E38A6">
    <w:pPr>
      <w:pStyle w:val="BFooterbriefingsubtitle"/>
      <w:spacing w:line="240" w:lineRule="auto"/>
    </w:pPr>
    <w:r w:rsidRPr="001E38A6">
      <w:t xml:space="preserve">INFORME AL COMITÉ </w:t>
    </w:r>
    <w:r w:rsidR="0066292F" w:rsidRPr="00524F2F">
      <w:t>para la Eliminación de la Discriminación contra la Mujer</w:t>
    </w:r>
    <w:r w:rsidR="00D00E9E">
      <w:t>, lista de cuestiones</w:t>
    </w:r>
  </w:p>
  <w:p w14:paraId="60B4716B" w14:textId="0CA6A748" w:rsidR="004D2C1A" w:rsidRPr="008E24AA" w:rsidRDefault="004D2C1A" w:rsidP="004D2C1A">
    <w:pPr>
      <w:pStyle w:val="BFooterbriefingsubtitle"/>
    </w:pP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0BD8" w14:textId="271E120A" w:rsidR="00EE5B8A" w:rsidRPr="00015532" w:rsidRDefault="00015532" w:rsidP="00015532">
    <w:pPr>
      <w:tabs>
        <w:tab w:val="center" w:pos="4423"/>
        <w:tab w:val="right" w:pos="9923"/>
      </w:tabs>
      <w:rPr>
        <w:rFonts w:ascii="Amnesty Trade Gothic Cn" w:hAnsi="Amnesty Trade Gothic Cn"/>
      </w:rPr>
    </w:pPr>
    <w:r w:rsidRPr="003E2AA1">
      <w:rPr>
        <w:rFonts w:ascii="Amnesty Trade Gothic Cn" w:hAnsi="Amnesty Trade Gothic Cn"/>
      </w:rPr>
      <w:tab/>
    </w:r>
    <w:r w:rsidR="00BD5DF0"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C6617" w14:textId="77777777" w:rsidR="00D00E9E" w:rsidRPr="001E38A6" w:rsidRDefault="00D00E9E" w:rsidP="00D00E9E">
    <w:pPr>
      <w:pStyle w:val="BFootertitle"/>
      <w:spacing w:before="160" w:line="240" w:lineRule="auto"/>
      <w:rPr>
        <w:bCs/>
      </w:rPr>
    </w:pPr>
    <w:r w:rsidRPr="001E38A6">
      <w:rPr>
        <w:bCs/>
      </w:rPr>
      <w:t>PARAGUAY</w:t>
    </w:r>
  </w:p>
  <w:p w14:paraId="604553D3" w14:textId="77777777" w:rsidR="00D00E9E" w:rsidRPr="001E38A6" w:rsidRDefault="00D00E9E" w:rsidP="00D00E9E">
    <w:pPr>
      <w:pStyle w:val="BFooterbriefingsubtitle"/>
      <w:spacing w:line="240" w:lineRule="auto"/>
    </w:pPr>
    <w:r w:rsidRPr="001E38A6">
      <w:t xml:space="preserve">INFORME AL COMITÉ </w:t>
    </w:r>
    <w:r w:rsidRPr="00524F2F">
      <w:t>para la Eliminación de la Discriminación contra la Mujer</w:t>
    </w:r>
    <w:r>
      <w:t>, lista de cuestiones</w:t>
    </w:r>
  </w:p>
  <w:p w14:paraId="62E94687" w14:textId="1C700CCC" w:rsidR="00663DF1" w:rsidRPr="008E24AA" w:rsidRDefault="00663DF1" w:rsidP="003D7143">
    <w:pPr>
      <w:pStyle w:val="BFooterbriefingsubtitle"/>
      <w:spacing w:line="240" w:lineRule="auto"/>
    </w:pPr>
    <w:r w:rsidRPr="008E24AA">
      <w:tab/>
    </w:r>
  </w:p>
  <w:p w14:paraId="2A438C8D" w14:textId="0979C453" w:rsidR="00663DF1" w:rsidRPr="00015532" w:rsidRDefault="00663DF1" w:rsidP="00015532">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556CF" w14:textId="42F8D1A8" w:rsidR="00663DF1" w:rsidRPr="00015532" w:rsidRDefault="00663DF1" w:rsidP="00015532">
    <w:pPr>
      <w:tabs>
        <w:tab w:val="center" w:pos="4423"/>
        <w:tab w:val="right" w:pos="9923"/>
      </w:tabs>
      <w:rPr>
        <w:rFonts w:ascii="Amnesty Trade Gothic Cn" w:hAnsi="Amnesty Trade Gothic Cn"/>
      </w:rPr>
    </w:pPr>
    <w:r w:rsidRPr="00341440">
      <w:rPr>
        <w:noProof/>
        <w:lang w:val="en-GB" w:eastAsia="en-GB"/>
      </w:rPr>
      <w:drawing>
        <wp:anchor distT="0" distB="0" distL="114300" distR="114300" simplePos="0" relativeHeight="251658241" behindDoc="0" locked="0" layoutInCell="1" allowOverlap="1" wp14:anchorId="5E8FEAE1" wp14:editId="1509A4E5">
          <wp:simplePos x="0" y="0"/>
          <wp:positionH relativeFrom="margin">
            <wp:posOffset>4593771</wp:posOffset>
          </wp:positionH>
          <wp:positionV relativeFrom="paragraph">
            <wp:posOffset>-664664</wp:posOffset>
          </wp:positionV>
          <wp:extent cx="1470660" cy="6191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66183" w14:textId="77777777" w:rsidR="00363AD5" w:rsidRDefault="00363AD5" w:rsidP="003A7195">
      <w:r>
        <w:separator/>
      </w:r>
    </w:p>
  </w:footnote>
  <w:footnote w:type="continuationSeparator" w:id="0">
    <w:p w14:paraId="7F3F9157" w14:textId="77777777" w:rsidR="00363AD5" w:rsidRDefault="00363AD5" w:rsidP="003A7195">
      <w:r>
        <w:continuationSeparator/>
      </w:r>
    </w:p>
  </w:footnote>
  <w:footnote w:type="continuationNotice" w:id="1">
    <w:p w14:paraId="58A1E14A" w14:textId="77777777" w:rsidR="00363AD5" w:rsidRDefault="00363AD5"/>
  </w:footnote>
  <w:footnote w:id="2">
    <w:p w14:paraId="54060F77" w14:textId="411A7D01" w:rsidR="00C1439C" w:rsidRPr="00C342B1" w:rsidRDefault="00C1439C">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lang w:val="es-PY"/>
        </w:rPr>
        <w:t xml:space="preserve"> </w:t>
      </w:r>
      <w:r w:rsidRPr="00C342B1">
        <w:rPr>
          <w:rFonts w:asciiTheme="minorHAnsi" w:hAnsiTheme="minorHAnsi"/>
          <w:szCs w:val="14"/>
        </w:rPr>
        <w:t>Comité para la Eliminación de la Discriminación contra la Mujer</w:t>
      </w:r>
      <w:r w:rsidR="00225436">
        <w:rPr>
          <w:rFonts w:asciiTheme="minorHAnsi" w:hAnsiTheme="minorHAnsi"/>
          <w:szCs w:val="14"/>
        </w:rPr>
        <w:t xml:space="preserve"> (CEDAW)</w:t>
      </w:r>
      <w:r w:rsidRPr="00C342B1">
        <w:rPr>
          <w:rFonts w:asciiTheme="minorHAnsi" w:hAnsiTheme="minorHAnsi"/>
          <w:szCs w:val="14"/>
        </w:rPr>
        <w:t>, Observaciones finales sobre el séptimo informe periódico del Paraguay, UN Doc. CEDAW/C/PRY/CO/7, 22 de noviembre de 2017, para. 42.</w:t>
      </w:r>
    </w:p>
  </w:footnote>
  <w:footnote w:id="3">
    <w:p w14:paraId="2E42DD06" w14:textId="5F4BEDB5" w:rsidR="001A0AF4" w:rsidRPr="00C342B1" w:rsidRDefault="001A0AF4" w:rsidP="001A0AF4">
      <w:pPr>
        <w:pStyle w:val="FootnoteText"/>
        <w:rPr>
          <w:rFonts w:asciiTheme="minorHAnsi" w:eastAsia="Yu Mincho" w:hAnsiTheme="minorHAnsi"/>
          <w:szCs w:val="14"/>
          <w:lang w:eastAsia="ja-JP"/>
        </w:rPr>
      </w:pPr>
      <w:r w:rsidRPr="00C342B1">
        <w:rPr>
          <w:rStyle w:val="FootnoteReference"/>
          <w:rFonts w:asciiTheme="minorHAnsi" w:hAnsiTheme="minorHAnsi"/>
          <w:szCs w:val="14"/>
        </w:rPr>
        <w:footnoteRef/>
      </w:r>
      <w:r w:rsidRPr="00C342B1">
        <w:rPr>
          <w:rFonts w:asciiTheme="minorHAnsi" w:hAnsiTheme="minorHAnsi"/>
          <w:szCs w:val="14"/>
        </w:rPr>
        <w:t xml:space="preserve"> Amnistía Internacional, </w:t>
      </w:r>
      <w:r w:rsidRPr="00C342B1">
        <w:rPr>
          <w:rFonts w:asciiTheme="minorHAnsi" w:hAnsiTheme="minorHAnsi"/>
          <w:i/>
          <w:iCs/>
          <w:szCs w:val="14"/>
        </w:rPr>
        <w:t>Son #NiñasNoMadres. Medidas para poner fin a la violencia sexual contra niñas, niños y adolescentes y a la maternidad forzada de niñas en Paraguay</w:t>
      </w:r>
      <w:r w:rsidRPr="00C342B1">
        <w:rPr>
          <w:rFonts w:asciiTheme="minorHAnsi" w:hAnsiTheme="minorHAnsi"/>
          <w:szCs w:val="14"/>
        </w:rPr>
        <w:t xml:space="preserve"> (AMR 45/5031/2021), 1 de diciembre de 2021, </w:t>
      </w:r>
      <w:hyperlink r:id="rId1" w:history="1">
        <w:r w:rsidR="00DF0A59" w:rsidRPr="00EF6644">
          <w:rPr>
            <w:rStyle w:val="Hyperlink"/>
            <w:rFonts w:asciiTheme="minorHAnsi" w:hAnsiTheme="minorHAnsi"/>
            <w:szCs w:val="14"/>
          </w:rPr>
          <w:t>https://www.amnesty.org/es/documents/amr45/5031/2021/es/</w:t>
        </w:r>
      </w:hyperlink>
    </w:p>
  </w:footnote>
  <w:footnote w:id="4">
    <w:p w14:paraId="6BF6C3EC" w14:textId="19EA7AF4" w:rsidR="00A100C7" w:rsidRPr="00A100C7" w:rsidRDefault="00A100C7">
      <w:pPr>
        <w:pStyle w:val="FootnoteText"/>
      </w:pPr>
      <w:r>
        <w:rPr>
          <w:rStyle w:val="FootnoteReference"/>
        </w:rPr>
        <w:footnoteRef/>
      </w:r>
      <w:r>
        <w:t xml:space="preserve"> </w:t>
      </w:r>
      <w:r w:rsidRPr="00C342B1">
        <w:rPr>
          <w:rFonts w:asciiTheme="minorHAnsi" w:hAnsiTheme="minorHAnsi"/>
          <w:szCs w:val="14"/>
        </w:rPr>
        <w:t xml:space="preserve">Amnistía Internacional, </w:t>
      </w:r>
      <w:r w:rsidRPr="00C342B1">
        <w:rPr>
          <w:rFonts w:asciiTheme="minorHAnsi" w:hAnsiTheme="minorHAnsi"/>
          <w:i/>
          <w:iCs/>
          <w:szCs w:val="14"/>
        </w:rPr>
        <w:t>Son #Ni</w:t>
      </w:r>
      <w:r w:rsidRPr="00C342B1">
        <w:rPr>
          <w:rFonts w:asciiTheme="minorHAnsi" w:eastAsia="Yu Mincho" w:hAnsiTheme="minorHAnsi"/>
          <w:i/>
          <w:iCs/>
          <w:szCs w:val="14"/>
          <w:lang w:eastAsia="ja-JP"/>
        </w:rPr>
        <w:t>ñasNoMadres</w:t>
      </w:r>
      <w:r w:rsidR="00737D95">
        <w:rPr>
          <w:rFonts w:asciiTheme="minorHAnsi" w:eastAsia="Yu Mincho" w:hAnsiTheme="minorHAnsi"/>
          <w:i/>
          <w:iCs/>
          <w:szCs w:val="14"/>
          <w:lang w:eastAsia="ja-JP"/>
        </w:rPr>
        <w:t xml:space="preserve"> </w:t>
      </w:r>
      <w:r w:rsidR="00737D95">
        <w:rPr>
          <w:rFonts w:asciiTheme="minorHAnsi" w:eastAsia="Yu Mincho" w:hAnsiTheme="minorHAnsi"/>
          <w:szCs w:val="14"/>
          <w:lang w:eastAsia="ja-JP"/>
        </w:rPr>
        <w:t>(previamente citado)</w:t>
      </w:r>
      <w:r w:rsidR="00DF0A59">
        <w:rPr>
          <w:rFonts w:asciiTheme="minorHAnsi" w:eastAsia="Yu Mincho" w:hAnsiTheme="minorHAnsi"/>
          <w:szCs w:val="14"/>
          <w:lang w:eastAsia="ja-JP"/>
        </w:rPr>
        <w:t>.</w:t>
      </w:r>
      <w:r w:rsidRPr="00C342B1">
        <w:rPr>
          <w:rFonts w:asciiTheme="minorHAnsi" w:eastAsia="Yu Mincho" w:hAnsiTheme="minorHAnsi"/>
          <w:i/>
          <w:iCs/>
          <w:szCs w:val="14"/>
          <w:lang w:eastAsia="ja-JP"/>
        </w:rPr>
        <w:t>…</w:t>
      </w:r>
    </w:p>
  </w:footnote>
  <w:footnote w:id="5">
    <w:p w14:paraId="4D9DE459" w14:textId="3CF21517" w:rsidR="00DE1829" w:rsidRPr="00C342B1" w:rsidRDefault="00DE1829" w:rsidP="00DE1829">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Comité de los Derechos del Niño, Observaciones finales sobre los informes periódicos cuarto a sexto combinados del Paraguay, UN Doc. CRC/C/PRY/CO/4-6, 18 de junio de 2024, para. 26.d.</w:t>
      </w:r>
      <w:r w:rsidR="007D04C4" w:rsidRPr="00C342B1">
        <w:rPr>
          <w:rFonts w:asciiTheme="minorHAnsi" w:hAnsiTheme="minorHAnsi"/>
          <w:szCs w:val="14"/>
        </w:rPr>
        <w:t xml:space="preserve"> Comité para la Eliminación de la Discriminación contra la Mujer Recomendación general 35 sobre la violencia por razón de género contra la mujer, 26 de julio de 2017, </w:t>
      </w:r>
      <w:r w:rsidR="0076076B">
        <w:rPr>
          <w:rFonts w:asciiTheme="minorHAnsi" w:hAnsiTheme="minorHAnsi"/>
          <w:szCs w:val="14"/>
        </w:rPr>
        <w:t xml:space="preserve">UN Doc. </w:t>
      </w:r>
      <w:r w:rsidR="007D04C4" w:rsidRPr="00C342B1">
        <w:rPr>
          <w:rFonts w:asciiTheme="minorHAnsi" w:hAnsiTheme="minorHAnsi"/>
          <w:szCs w:val="14"/>
        </w:rPr>
        <w:t>CEDAW/C/GC/35, para. 18.</w:t>
      </w:r>
    </w:p>
  </w:footnote>
  <w:footnote w:id="6">
    <w:p w14:paraId="41D6EC8A" w14:textId="77777777" w:rsidR="00DE1829" w:rsidRPr="00C342B1" w:rsidRDefault="00DE1829" w:rsidP="00DE1829">
      <w:pPr>
        <w:pStyle w:val="FootnoteText"/>
        <w:rPr>
          <w:rFonts w:asciiTheme="minorHAnsi" w:hAnsiTheme="minorHAnsi" w:cs="Calibri"/>
          <w:szCs w:val="14"/>
          <w:lang w:val="es-MX"/>
        </w:rPr>
      </w:pPr>
      <w:r w:rsidRPr="00C342B1">
        <w:rPr>
          <w:rStyle w:val="FootnoteReference"/>
          <w:rFonts w:asciiTheme="minorHAnsi" w:hAnsiTheme="minorHAnsi" w:cs="Calibri"/>
          <w:szCs w:val="14"/>
        </w:rPr>
        <w:footnoteRef/>
      </w:r>
      <w:r w:rsidRPr="00C342B1">
        <w:rPr>
          <w:rFonts w:asciiTheme="minorHAnsi" w:hAnsiTheme="minorHAnsi" w:cs="Calibri"/>
          <w:szCs w:val="14"/>
          <w:lang w:val="es-PY"/>
        </w:rPr>
        <w:t xml:space="preserve"> Ministerio de Salud Pública y Bienestar Social, “Solicitud # 88.562”, Portal Unificado de Información Pública, </w:t>
      </w:r>
      <w:hyperlink r:id="rId2" w:anchor="!/ciudadano/solicitud/88562" w:history="1">
        <w:r w:rsidRPr="00C342B1">
          <w:rPr>
            <w:rStyle w:val="Hyperlink"/>
            <w:rFonts w:asciiTheme="minorHAnsi" w:hAnsiTheme="minorHAnsi" w:cs="Calibri"/>
            <w:szCs w:val="14"/>
            <w:lang w:val="es-PY"/>
          </w:rPr>
          <w:t>https://informacionpublica.paraguay.gov.py/#!/ciudadano/solicitud/88562</w:t>
        </w:r>
      </w:hyperlink>
      <w:r w:rsidRPr="00C342B1">
        <w:rPr>
          <w:rFonts w:asciiTheme="minorHAnsi" w:hAnsiTheme="minorHAnsi" w:cs="Calibri"/>
          <w:szCs w:val="14"/>
          <w:lang w:val="es-PY"/>
        </w:rPr>
        <w:t xml:space="preserve"> (acceso el 14 de enero de 2025).</w:t>
      </w:r>
    </w:p>
  </w:footnote>
  <w:footnote w:id="7">
    <w:p w14:paraId="2ADB7623" w14:textId="68CB8AC6" w:rsidR="00A82D1B" w:rsidRPr="00C342B1" w:rsidRDefault="00A82D1B" w:rsidP="00A82D1B">
      <w:pPr>
        <w:pStyle w:val="FootnoteText"/>
        <w:rPr>
          <w:rFonts w:asciiTheme="minorHAnsi" w:hAnsiTheme="minorHAnsi"/>
          <w:szCs w:val="14"/>
        </w:rPr>
      </w:pPr>
      <w:r w:rsidRPr="00C342B1">
        <w:rPr>
          <w:rFonts w:asciiTheme="minorHAnsi" w:hAnsiTheme="minorHAnsi"/>
          <w:szCs w:val="14"/>
        </w:rPr>
        <w:footnoteRef/>
      </w:r>
      <w:r w:rsidRPr="00C342B1">
        <w:rPr>
          <w:rFonts w:asciiTheme="minorHAnsi" w:hAnsiTheme="minorHAnsi"/>
          <w:szCs w:val="14"/>
        </w:rPr>
        <w:t xml:space="preserve"> Ley N° 3440/2008 Que modifica varias disposiciones de la Ley N° 1160/97, Código Penal, </w:t>
      </w:r>
      <w:hyperlink r:id="rId3" w:history="1">
        <w:r w:rsidR="00887F4E" w:rsidRPr="009E0FBB">
          <w:rPr>
            <w:rStyle w:val="Hyperlink"/>
            <w:rFonts w:asciiTheme="minorHAnsi" w:hAnsiTheme="minorHAnsi"/>
            <w:szCs w:val="14"/>
          </w:rPr>
          <w:t>http://www.bacn.gov.py/leyes-paraguayas/3497/codigo-penal</w:t>
        </w:r>
      </w:hyperlink>
      <w:r w:rsidR="00887F4E">
        <w:rPr>
          <w:rFonts w:asciiTheme="minorHAnsi" w:hAnsiTheme="minorHAnsi"/>
          <w:szCs w:val="14"/>
        </w:rPr>
        <w:t xml:space="preserve"> </w:t>
      </w:r>
      <w:r w:rsidRPr="00C342B1">
        <w:rPr>
          <w:rFonts w:asciiTheme="minorHAnsi" w:hAnsiTheme="minorHAnsi"/>
          <w:szCs w:val="14"/>
        </w:rPr>
        <w:t xml:space="preserve">  </w:t>
      </w:r>
    </w:p>
  </w:footnote>
  <w:footnote w:id="8">
    <w:p w14:paraId="6FF43F0D" w14:textId="1B57A157" w:rsidR="00F06745" w:rsidRPr="00C342B1" w:rsidRDefault="00F06745">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CEDAW, </w:t>
      </w:r>
      <w:r w:rsidR="00150807" w:rsidRPr="00C342B1">
        <w:rPr>
          <w:rFonts w:asciiTheme="minorHAnsi" w:hAnsiTheme="minorHAnsi"/>
          <w:szCs w:val="14"/>
        </w:rPr>
        <w:t xml:space="preserve">Observaciones finales sobre el séptimo informe periódico del </w:t>
      </w:r>
      <w:proofErr w:type="gramStart"/>
      <w:r w:rsidR="00150807" w:rsidRPr="00C342B1">
        <w:rPr>
          <w:rFonts w:asciiTheme="minorHAnsi" w:hAnsiTheme="minorHAnsi"/>
          <w:szCs w:val="14"/>
        </w:rPr>
        <w:t>Paraguay</w:t>
      </w:r>
      <w:r w:rsidRPr="00C342B1">
        <w:rPr>
          <w:rFonts w:asciiTheme="minorHAnsi" w:hAnsiTheme="minorHAnsi"/>
          <w:szCs w:val="14"/>
        </w:rPr>
        <w:t>(</w:t>
      </w:r>
      <w:proofErr w:type="gramEnd"/>
      <w:r w:rsidRPr="00C342B1">
        <w:rPr>
          <w:rFonts w:asciiTheme="minorHAnsi" w:hAnsiTheme="minorHAnsi"/>
          <w:szCs w:val="14"/>
        </w:rPr>
        <w:t>previamente citado), para. 37.d.</w:t>
      </w:r>
    </w:p>
  </w:footnote>
  <w:footnote w:id="9">
    <w:p w14:paraId="2DC9D799" w14:textId="77777777" w:rsidR="00181F0E" w:rsidRPr="00C342B1" w:rsidRDefault="00181F0E" w:rsidP="00181F0E">
      <w:pPr>
        <w:pStyle w:val="FootnoteText"/>
        <w:rPr>
          <w:rFonts w:asciiTheme="minorHAnsi" w:hAnsiTheme="minorHAnsi"/>
          <w:szCs w:val="14"/>
        </w:rPr>
      </w:pPr>
      <w:r w:rsidRPr="00C342B1">
        <w:rPr>
          <w:rFonts w:asciiTheme="minorHAnsi" w:hAnsiTheme="minorHAnsi"/>
          <w:szCs w:val="14"/>
        </w:rPr>
        <w:footnoteRef/>
      </w:r>
      <w:r w:rsidRPr="00C342B1">
        <w:rPr>
          <w:rFonts w:asciiTheme="minorHAnsi" w:hAnsiTheme="minorHAnsi"/>
          <w:szCs w:val="14"/>
        </w:rPr>
        <w:t xml:space="preserve"> Accesible en: </w:t>
      </w:r>
      <w:hyperlink r:id="rId4" w:history="1">
        <w:r w:rsidRPr="00C342B1">
          <w:rPr>
            <w:rStyle w:val="Hyperlink"/>
            <w:rFonts w:asciiTheme="minorHAnsi" w:hAnsiTheme="minorHAnsi"/>
            <w:szCs w:val="14"/>
          </w:rPr>
          <w:t>https://www.mec.gov.py/cms_v4/documentos/ver_documento/?titulo=29664-2017-RIERA1</w:t>
        </w:r>
      </w:hyperlink>
      <w:r w:rsidRPr="00C342B1">
        <w:rPr>
          <w:rFonts w:asciiTheme="minorHAnsi" w:hAnsiTheme="minorHAnsi"/>
          <w:szCs w:val="14"/>
        </w:rPr>
        <w:t xml:space="preserve"> </w:t>
      </w:r>
    </w:p>
  </w:footnote>
  <w:footnote w:id="10">
    <w:p w14:paraId="758108A0" w14:textId="0BD5550F" w:rsidR="00933FB2" w:rsidRPr="00C342B1" w:rsidRDefault="00933FB2" w:rsidP="00933FB2">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CEDAW, </w:t>
      </w:r>
      <w:r w:rsidR="0077095B" w:rsidRPr="00C342B1">
        <w:rPr>
          <w:rFonts w:asciiTheme="minorHAnsi" w:hAnsiTheme="minorHAnsi"/>
          <w:szCs w:val="14"/>
        </w:rPr>
        <w:t>Observaciones finales sobre el séptimo informe periódico del Paraguay</w:t>
      </w:r>
      <w:r w:rsidRPr="00C342B1">
        <w:rPr>
          <w:rFonts w:asciiTheme="minorHAnsi" w:hAnsiTheme="minorHAnsi"/>
          <w:szCs w:val="14"/>
        </w:rPr>
        <w:t xml:space="preserve"> (previamente citado), para. 9.a.</w:t>
      </w:r>
    </w:p>
  </w:footnote>
  <w:footnote w:id="11">
    <w:p w14:paraId="4E3148FA" w14:textId="77777777" w:rsidR="00933FB2" w:rsidRPr="00C342B1" w:rsidRDefault="00933FB2" w:rsidP="00933FB2">
      <w:pPr>
        <w:pStyle w:val="FootnoteText"/>
        <w:jc w:val="both"/>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Amnistía Internacional, «Paraguay: Preocupaciones de Amnistía Internacional sobre el proyecto de ley “por el cual se prohíbe la promoción, fomento o enseñanza de la Ideología de Género en las instituciones educativas del país”» (</w:t>
      </w:r>
      <w:r w:rsidRPr="00C342B1">
        <w:rPr>
          <w:rFonts w:asciiTheme="minorHAnsi" w:hAnsiTheme="minorHAnsi"/>
          <w:color w:val="000000"/>
          <w:szCs w:val="14"/>
        </w:rPr>
        <w:t>AMR 45/7181/2023),</w:t>
      </w:r>
      <w:r w:rsidRPr="00C342B1">
        <w:rPr>
          <w:rFonts w:asciiTheme="minorHAnsi" w:hAnsiTheme="minorHAnsi"/>
          <w:szCs w:val="14"/>
        </w:rPr>
        <w:t xml:space="preserve"> 20 de septiembre de 2023, </w:t>
      </w:r>
      <w:hyperlink r:id="rId5" w:history="1">
        <w:r w:rsidRPr="00C342B1">
          <w:rPr>
            <w:rStyle w:val="Hyperlink"/>
            <w:rFonts w:asciiTheme="minorHAnsi" w:hAnsiTheme="minorHAnsi"/>
            <w:szCs w:val="14"/>
          </w:rPr>
          <w:t>https://www.amnesty.org/es/documents/amr45/7181/2023/es/</w:t>
        </w:r>
      </w:hyperlink>
      <w:r w:rsidRPr="00C342B1">
        <w:rPr>
          <w:rFonts w:asciiTheme="minorHAnsi" w:hAnsiTheme="minorHAnsi"/>
          <w:szCs w:val="14"/>
        </w:rPr>
        <w:t xml:space="preserve"> </w:t>
      </w:r>
    </w:p>
  </w:footnote>
  <w:footnote w:id="12">
    <w:p w14:paraId="03870E48" w14:textId="2673B2DB" w:rsidR="007D1915" w:rsidRPr="00C342B1" w:rsidRDefault="007D1915">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Pr="00C342B1">
        <w:rPr>
          <w:rFonts w:asciiTheme="minorHAnsi" w:hAnsiTheme="minorHAnsi"/>
          <w:szCs w:val="14"/>
          <w:lang w:val="es-PY"/>
        </w:rPr>
        <w:t xml:space="preserve">Familias por la Educación Integral en Paraguay (FEIPAR) y Coordinadora por los Derechos de la Infancia y la Adolescencia (CDIA), </w:t>
      </w:r>
      <w:r w:rsidRPr="00C342B1">
        <w:rPr>
          <w:rFonts w:asciiTheme="minorHAnsi" w:hAnsiTheme="minorHAnsi"/>
          <w:i/>
          <w:iCs/>
          <w:szCs w:val="14"/>
          <w:lang w:val="es-PY"/>
        </w:rPr>
        <w:t>Análisis de los libros Educación de la Sexualidad y la Afectividad en la Escuela (ESAE) dirigidos al primer, segundo y tercer grado de Educación Escolar Básica (EEB)</w:t>
      </w:r>
      <w:r w:rsidRPr="00C342B1">
        <w:rPr>
          <w:rFonts w:asciiTheme="minorHAnsi" w:hAnsiTheme="minorHAnsi"/>
          <w:szCs w:val="14"/>
          <w:lang w:val="es-PY"/>
        </w:rPr>
        <w:t>, 2024.</w:t>
      </w:r>
    </w:p>
  </w:footnote>
  <w:footnote w:id="13">
    <w:p w14:paraId="67567C96" w14:textId="122CDABF" w:rsidR="007D1915" w:rsidRPr="00C342B1" w:rsidRDefault="007D1915">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00D22D86" w:rsidRPr="00C342B1">
        <w:rPr>
          <w:rFonts w:asciiTheme="minorHAnsi" w:hAnsiTheme="minorHAnsi"/>
          <w:szCs w:val="14"/>
        </w:rPr>
        <w:t>Comité de los Derechos del Niño, Observaciones finales sobre los informes periódicos cuarto a sexto combinados del Paraguay</w:t>
      </w:r>
      <w:r w:rsidRPr="00C342B1">
        <w:rPr>
          <w:rFonts w:asciiTheme="minorHAnsi" w:hAnsiTheme="minorHAnsi"/>
          <w:szCs w:val="14"/>
        </w:rPr>
        <w:t>, Observaciones finales: Paraguay, 2024 (previamente citado), para. 35.a.</w:t>
      </w:r>
    </w:p>
  </w:footnote>
  <w:footnote w:id="14">
    <w:p w14:paraId="7CA17E6B" w14:textId="77777777" w:rsidR="004902DE" w:rsidRPr="00574F67" w:rsidRDefault="004902DE" w:rsidP="004902DE">
      <w:pPr>
        <w:pStyle w:val="FootnoteText"/>
        <w:rPr>
          <w:rFonts w:asciiTheme="minorHAnsi" w:hAnsiTheme="minorHAnsi"/>
          <w:szCs w:val="14"/>
          <w:lang w:val="pt-BR"/>
        </w:rPr>
      </w:pPr>
      <w:r w:rsidRPr="00C342B1">
        <w:rPr>
          <w:rStyle w:val="FootnoteReference"/>
          <w:rFonts w:asciiTheme="minorHAnsi" w:hAnsiTheme="minorHAnsi"/>
          <w:szCs w:val="14"/>
        </w:rPr>
        <w:footnoteRef/>
      </w:r>
      <w:r w:rsidRPr="00574F67">
        <w:rPr>
          <w:rFonts w:asciiTheme="minorHAnsi" w:hAnsiTheme="minorHAnsi"/>
          <w:szCs w:val="14"/>
          <w:lang w:val="pt-BR"/>
        </w:rPr>
        <w:t xml:space="preserve"> Resolución CNNA N° 03/2023.</w:t>
      </w:r>
    </w:p>
  </w:footnote>
  <w:footnote w:id="15">
    <w:p w14:paraId="70D90D51" w14:textId="78BA805E" w:rsidR="004902DE" w:rsidRPr="00C342B1" w:rsidRDefault="004902DE" w:rsidP="004902DE">
      <w:pPr>
        <w:pStyle w:val="FootnoteText"/>
        <w:jc w:val="both"/>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008114E8" w:rsidRPr="00C342B1">
        <w:rPr>
          <w:rFonts w:asciiTheme="minorHAnsi" w:hAnsiTheme="minorHAnsi"/>
          <w:szCs w:val="14"/>
        </w:rPr>
        <w:t xml:space="preserve">Amnistía Internacional, </w:t>
      </w:r>
      <w:r w:rsidR="008114E8" w:rsidRPr="00C342B1">
        <w:rPr>
          <w:rFonts w:asciiTheme="minorHAnsi" w:hAnsiTheme="minorHAnsi"/>
          <w:i/>
          <w:iCs/>
          <w:szCs w:val="14"/>
        </w:rPr>
        <w:t>Son #NiñasNoMadres. Medidas para poner fin a la violencia sexual contra niñas, niños y adolescentes y a la maternidad forzada de niñas en Paraguay</w:t>
      </w:r>
      <w:r w:rsidR="008114E8" w:rsidRPr="008114E8">
        <w:rPr>
          <w:rFonts w:asciiTheme="minorHAnsi" w:eastAsia="Yu Mincho" w:hAnsiTheme="minorHAnsi"/>
          <w:szCs w:val="14"/>
          <w:lang w:eastAsia="ja-JP"/>
        </w:rPr>
        <w:t xml:space="preserve"> (previamente citado)</w:t>
      </w:r>
      <w:r w:rsidR="008114E8">
        <w:rPr>
          <w:rFonts w:asciiTheme="minorHAnsi" w:eastAsia="Yu Mincho" w:hAnsiTheme="minorHAnsi"/>
          <w:szCs w:val="14"/>
          <w:lang w:eastAsia="ja-JP"/>
        </w:rPr>
        <w:t>, pp. 34-42.</w:t>
      </w:r>
    </w:p>
  </w:footnote>
  <w:footnote w:id="16">
    <w:p w14:paraId="1218EAC7" w14:textId="2B1609AF" w:rsidR="00A21E6D" w:rsidRPr="00C342B1" w:rsidRDefault="00A21E6D">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00172E7E" w:rsidRPr="00C342B1">
        <w:rPr>
          <w:rFonts w:asciiTheme="minorHAnsi" w:hAnsiTheme="minorHAnsi"/>
          <w:szCs w:val="14"/>
        </w:rPr>
        <w:t xml:space="preserve">Ministerio de Salud Pública y Bienestar Social, “Tipos de cáncer que causan mayor mortalidad en el país”, 2019, </w:t>
      </w:r>
      <w:hyperlink r:id="rId6" w:history="1">
        <w:r w:rsidR="00BD1714" w:rsidRPr="00BD1714">
          <w:rPr>
            <w:rStyle w:val="Hyperlink"/>
            <w:rFonts w:asciiTheme="minorHAnsi" w:hAnsiTheme="minorHAnsi"/>
            <w:szCs w:val="14"/>
          </w:rPr>
          <w:t>https://dvent.mspbs.gov.py/tipos-de-cancer-que-causan-mayor-mortalidad-en-el-pais/</w:t>
        </w:r>
      </w:hyperlink>
      <w:r w:rsidR="00B23DE1">
        <w:t>;</w:t>
      </w:r>
      <w:r w:rsidR="00172E7E" w:rsidRPr="00C342B1">
        <w:rPr>
          <w:rFonts w:asciiTheme="minorHAnsi" w:hAnsiTheme="minorHAnsi"/>
          <w:szCs w:val="14"/>
        </w:rPr>
        <w:t xml:space="preserve"> </w:t>
      </w:r>
      <w:r w:rsidRPr="00C342B1">
        <w:rPr>
          <w:rFonts w:asciiTheme="minorHAnsi" w:hAnsiTheme="minorHAnsi"/>
          <w:szCs w:val="14"/>
        </w:rPr>
        <w:t xml:space="preserve">CEDAW, </w:t>
      </w:r>
      <w:r w:rsidR="00BD1714" w:rsidRPr="00C342B1">
        <w:rPr>
          <w:rFonts w:asciiTheme="minorHAnsi" w:hAnsiTheme="minorHAnsi"/>
          <w:szCs w:val="14"/>
        </w:rPr>
        <w:t>, Observaciones finales sobre el séptimo informe periódico del Paraguay</w:t>
      </w:r>
      <w:r w:rsidR="00BD1714" w:rsidRPr="00C342B1" w:rsidDel="00BD1714">
        <w:rPr>
          <w:rFonts w:asciiTheme="minorHAnsi" w:hAnsiTheme="minorHAnsi"/>
          <w:szCs w:val="14"/>
        </w:rPr>
        <w:t xml:space="preserve"> </w:t>
      </w:r>
      <w:r w:rsidRPr="00C342B1">
        <w:rPr>
          <w:rFonts w:asciiTheme="minorHAnsi" w:hAnsiTheme="minorHAnsi"/>
          <w:szCs w:val="14"/>
        </w:rPr>
        <w:t>(previamente citado), para. 36.e</w:t>
      </w:r>
      <w:r w:rsidR="00BD1714">
        <w:rPr>
          <w:rFonts w:asciiTheme="minorHAnsi" w:hAnsiTheme="minorHAnsi"/>
          <w:szCs w:val="14"/>
        </w:rPr>
        <w:t>;</w:t>
      </w:r>
      <w:r w:rsidR="00172E7E" w:rsidRPr="00C342B1">
        <w:rPr>
          <w:rFonts w:asciiTheme="minorHAnsi" w:hAnsiTheme="minorHAnsi"/>
          <w:szCs w:val="14"/>
        </w:rPr>
        <w:t xml:space="preserve"> Dirección de Vigilancia de Enfermedades No Transmisibles, </w:t>
      </w:r>
      <w:r w:rsidR="00172E7E" w:rsidRPr="00C342B1">
        <w:rPr>
          <w:rFonts w:asciiTheme="minorHAnsi" w:hAnsiTheme="minorHAnsi"/>
          <w:i/>
          <w:iCs/>
          <w:szCs w:val="14"/>
        </w:rPr>
        <w:t>Boletín de Vigilancia Número 5. Enfermedades No Transmisibles y Factores de Riesgo</w:t>
      </w:r>
      <w:r w:rsidR="00172E7E" w:rsidRPr="00C342B1">
        <w:rPr>
          <w:rFonts w:asciiTheme="minorHAnsi" w:hAnsiTheme="minorHAnsi"/>
          <w:szCs w:val="14"/>
        </w:rPr>
        <w:t>, 2023.</w:t>
      </w:r>
    </w:p>
  </w:footnote>
  <w:footnote w:id="17">
    <w:p w14:paraId="77909C48" w14:textId="7625E548" w:rsidR="00371E85" w:rsidRPr="00C342B1" w:rsidRDefault="00371E85">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Instituto Nacional de Estadísticas (INE), Razón de mortalidad materna por 100.000 nacidos vivos, </w:t>
      </w:r>
      <w:hyperlink r:id="rId7" w:history="1">
        <w:r w:rsidRPr="00C342B1">
          <w:rPr>
            <w:rStyle w:val="Hyperlink"/>
            <w:rFonts w:asciiTheme="minorHAnsi" w:hAnsiTheme="minorHAnsi"/>
            <w:szCs w:val="14"/>
          </w:rPr>
          <w:t>https://ods.ine.gov.py/ine-main/ods/salud-y-bienestar-3/meta-3.1/indicador-35</w:t>
        </w:r>
      </w:hyperlink>
      <w:r w:rsidRPr="00C342B1">
        <w:rPr>
          <w:rFonts w:asciiTheme="minorHAnsi" w:hAnsiTheme="minorHAnsi"/>
          <w:szCs w:val="14"/>
        </w:rPr>
        <w:t xml:space="preserve"> (acceso el 19 de marzo de 2025). Ministerio de Salud Pública y Bienestar Social, </w:t>
      </w:r>
      <w:r w:rsidRPr="00C342B1">
        <w:rPr>
          <w:rFonts w:asciiTheme="minorHAnsi" w:hAnsiTheme="minorHAnsi"/>
          <w:i/>
          <w:iCs/>
          <w:szCs w:val="14"/>
        </w:rPr>
        <w:t>Balance Anual de Gestión Pública</w:t>
      </w:r>
      <w:r w:rsidRPr="00C342B1">
        <w:rPr>
          <w:rFonts w:asciiTheme="minorHAnsi" w:hAnsiTheme="minorHAnsi"/>
          <w:szCs w:val="14"/>
        </w:rPr>
        <w:t>, 2024.</w:t>
      </w:r>
    </w:p>
  </w:footnote>
  <w:footnote w:id="18">
    <w:p w14:paraId="51903B61" w14:textId="1BA1D7D5" w:rsidR="00FE48E6" w:rsidRPr="00C342B1" w:rsidRDefault="00FE48E6" w:rsidP="00B3066F">
      <w:pPr>
        <w:pStyle w:val="C6BodyText"/>
        <w:spacing w:after="60"/>
        <w:rPr>
          <w:rFonts w:asciiTheme="minorHAnsi" w:eastAsiaTheme="minorHAnsi" w:hAnsiTheme="minorHAnsi" w:cs="Arial"/>
          <w:color w:val="000000" w:themeColor="text1"/>
          <w:sz w:val="14"/>
          <w:szCs w:val="14"/>
          <w:lang w:val="es-PY"/>
        </w:rPr>
      </w:pPr>
      <w:r w:rsidRPr="00C342B1">
        <w:rPr>
          <w:rStyle w:val="FootnoteReference"/>
          <w:rFonts w:asciiTheme="minorHAnsi" w:hAnsiTheme="minorHAnsi"/>
          <w:sz w:val="14"/>
          <w:szCs w:val="14"/>
        </w:rPr>
        <w:footnoteRef/>
      </w:r>
      <w:r w:rsidRPr="00C342B1">
        <w:rPr>
          <w:rFonts w:asciiTheme="minorHAnsi" w:hAnsiTheme="minorHAnsi"/>
          <w:sz w:val="14"/>
          <w:szCs w:val="14"/>
          <w:lang w:val="es-PY"/>
        </w:rPr>
        <w:t xml:space="preserve"> </w:t>
      </w:r>
      <w:r w:rsidRPr="00C342B1">
        <w:rPr>
          <w:rFonts w:asciiTheme="minorHAnsi" w:eastAsiaTheme="minorHAnsi" w:hAnsiTheme="minorHAnsi" w:cs="Arial"/>
          <w:color w:val="000000" w:themeColor="text1"/>
          <w:sz w:val="14"/>
          <w:szCs w:val="14"/>
          <w:lang w:val="es-PY"/>
        </w:rPr>
        <w:t xml:space="preserve">Amnistía Internacional, </w:t>
      </w:r>
      <w:r w:rsidRPr="00C342B1">
        <w:rPr>
          <w:rFonts w:asciiTheme="minorHAnsi" w:eastAsiaTheme="minorHAnsi" w:hAnsiTheme="minorHAnsi" w:cs="Arial"/>
          <w:i/>
          <w:iCs/>
          <w:color w:val="000000" w:themeColor="text1"/>
          <w:sz w:val="14"/>
          <w:szCs w:val="14"/>
          <w:lang w:val="es-PY"/>
        </w:rPr>
        <w:t>La Deuda de la Salud</w:t>
      </w:r>
      <w:r w:rsidRPr="00C342B1">
        <w:rPr>
          <w:rFonts w:asciiTheme="minorHAnsi" w:eastAsiaTheme="minorHAnsi" w:hAnsiTheme="minorHAnsi" w:cs="Arial"/>
          <w:color w:val="000000" w:themeColor="text1"/>
          <w:sz w:val="14"/>
          <w:szCs w:val="14"/>
          <w:lang w:val="es-PY"/>
        </w:rPr>
        <w:t xml:space="preserve"> (Índice: AMR 45/7965/2024), 6 de mayo de 2024, pp. 66-67.</w:t>
      </w:r>
    </w:p>
  </w:footnote>
  <w:footnote w:id="19">
    <w:p w14:paraId="3F798F88" w14:textId="14CEEF72" w:rsidR="00B27583" w:rsidRPr="00B27583" w:rsidRDefault="00B27583">
      <w:pPr>
        <w:pStyle w:val="FootnoteText"/>
      </w:pPr>
      <w:r>
        <w:rPr>
          <w:rStyle w:val="FootnoteReference"/>
        </w:rPr>
        <w:footnoteRef/>
      </w:r>
      <w:r>
        <w:t xml:space="preserve"> </w:t>
      </w:r>
      <w:r w:rsidRPr="00C342B1">
        <w:rPr>
          <w:rFonts w:asciiTheme="minorHAnsi" w:hAnsiTheme="minorHAnsi"/>
          <w:szCs w:val="14"/>
          <w:lang w:val="es-PY"/>
        </w:rPr>
        <w:t xml:space="preserve">Amnistía Internacional, </w:t>
      </w:r>
      <w:r w:rsidRPr="00C342B1">
        <w:rPr>
          <w:rFonts w:asciiTheme="minorHAnsi" w:hAnsiTheme="minorHAnsi"/>
          <w:i/>
          <w:iCs/>
          <w:szCs w:val="14"/>
          <w:lang w:val="es-PY"/>
        </w:rPr>
        <w:t>La Deuda de la Salud</w:t>
      </w:r>
      <w:r w:rsidRPr="00C342B1">
        <w:rPr>
          <w:rFonts w:asciiTheme="minorHAnsi" w:hAnsiTheme="minorHAnsi"/>
          <w:szCs w:val="14"/>
          <w:lang w:val="es-PY"/>
        </w:rPr>
        <w:t xml:space="preserve"> (previamente citado), p. </w:t>
      </w:r>
      <w:r>
        <w:rPr>
          <w:rFonts w:asciiTheme="minorHAnsi" w:hAnsiTheme="minorHAnsi"/>
          <w:szCs w:val="14"/>
          <w:lang w:val="es-PY"/>
        </w:rPr>
        <w:t>84</w:t>
      </w:r>
      <w:r w:rsidRPr="00C342B1">
        <w:rPr>
          <w:rFonts w:asciiTheme="minorHAnsi" w:hAnsiTheme="minorHAnsi"/>
          <w:szCs w:val="14"/>
          <w:lang w:val="es-PY"/>
        </w:rPr>
        <w:t>.</w:t>
      </w:r>
    </w:p>
  </w:footnote>
  <w:footnote w:id="20">
    <w:p w14:paraId="74EB5ABC" w14:textId="77777777" w:rsidR="00FE48E6" w:rsidRPr="00C342B1" w:rsidRDefault="00FE48E6" w:rsidP="00FE48E6">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lang w:val="es-PY"/>
        </w:rPr>
        <w:t xml:space="preserve"> Amnistía Internacional, </w:t>
      </w:r>
      <w:r w:rsidRPr="00C342B1">
        <w:rPr>
          <w:rFonts w:asciiTheme="minorHAnsi" w:hAnsiTheme="minorHAnsi"/>
          <w:i/>
          <w:iCs/>
          <w:szCs w:val="14"/>
          <w:lang w:val="es-PY"/>
        </w:rPr>
        <w:t>La Deuda de la Salud</w:t>
      </w:r>
      <w:r w:rsidRPr="00C342B1">
        <w:rPr>
          <w:rFonts w:asciiTheme="minorHAnsi" w:hAnsiTheme="minorHAnsi"/>
          <w:szCs w:val="14"/>
          <w:lang w:val="es-PY"/>
        </w:rPr>
        <w:t xml:space="preserve"> (previamente citado), pp. 25-26.</w:t>
      </w:r>
    </w:p>
  </w:footnote>
  <w:footnote w:id="21">
    <w:p w14:paraId="4079429D" w14:textId="77777777" w:rsidR="00FE48E6" w:rsidRPr="00C342B1" w:rsidRDefault="00FE48E6" w:rsidP="00FE48E6">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lang w:val="es-PY"/>
        </w:rPr>
        <w:t xml:space="preserve"> Amnistía Internacional, </w:t>
      </w:r>
      <w:r w:rsidRPr="00C342B1">
        <w:rPr>
          <w:rFonts w:asciiTheme="minorHAnsi" w:hAnsiTheme="minorHAnsi"/>
          <w:i/>
          <w:iCs/>
          <w:szCs w:val="14"/>
          <w:lang w:val="es-PY"/>
        </w:rPr>
        <w:t>La Deuda de la Salud</w:t>
      </w:r>
      <w:r w:rsidRPr="00C342B1">
        <w:rPr>
          <w:rFonts w:asciiTheme="minorHAnsi" w:hAnsiTheme="minorHAnsi"/>
          <w:szCs w:val="14"/>
          <w:lang w:val="es-PY"/>
        </w:rPr>
        <w:t xml:space="preserve"> (previamente citado), p. 52.</w:t>
      </w:r>
    </w:p>
  </w:footnote>
  <w:footnote w:id="22">
    <w:p w14:paraId="4C473BF5" w14:textId="77777777" w:rsidR="00FE48E6" w:rsidRPr="00C342B1" w:rsidRDefault="00FE48E6" w:rsidP="00FE48E6">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lang w:val="es-PY"/>
        </w:rPr>
        <w:t xml:space="preserve"> Amnistía Internacional, </w:t>
      </w:r>
      <w:r w:rsidRPr="00C342B1">
        <w:rPr>
          <w:rFonts w:asciiTheme="minorHAnsi" w:hAnsiTheme="minorHAnsi"/>
          <w:i/>
          <w:iCs/>
          <w:szCs w:val="14"/>
          <w:lang w:val="es-PY"/>
        </w:rPr>
        <w:t>La Deuda de la Salud</w:t>
      </w:r>
      <w:r w:rsidRPr="00C342B1">
        <w:rPr>
          <w:rFonts w:asciiTheme="minorHAnsi" w:hAnsiTheme="minorHAnsi"/>
          <w:szCs w:val="14"/>
          <w:lang w:val="es-PY"/>
        </w:rPr>
        <w:t xml:space="preserve"> (previamente citado), pp. 71-72.</w:t>
      </w:r>
    </w:p>
  </w:footnote>
  <w:footnote w:id="23">
    <w:p w14:paraId="3FAF3141" w14:textId="0AAECC81" w:rsidR="00FE48E6" w:rsidRPr="00C342B1" w:rsidRDefault="00FE48E6" w:rsidP="00B3066F">
      <w:pPr>
        <w:pStyle w:val="C6BodyText"/>
        <w:spacing w:after="60"/>
        <w:rPr>
          <w:rFonts w:asciiTheme="minorHAnsi" w:eastAsiaTheme="minorHAnsi" w:hAnsiTheme="minorHAnsi" w:cs="Arial"/>
          <w:color w:val="000000" w:themeColor="text1"/>
          <w:sz w:val="14"/>
          <w:szCs w:val="14"/>
          <w:lang w:val="es-PY"/>
        </w:rPr>
      </w:pPr>
      <w:r w:rsidRPr="00C342B1">
        <w:rPr>
          <w:rStyle w:val="FootnoteReference"/>
          <w:rFonts w:asciiTheme="minorHAnsi" w:hAnsiTheme="minorHAnsi"/>
          <w:sz w:val="14"/>
          <w:szCs w:val="14"/>
        </w:rPr>
        <w:footnoteRef/>
      </w:r>
      <w:r w:rsidRPr="00C342B1">
        <w:rPr>
          <w:rFonts w:asciiTheme="minorHAnsi" w:hAnsiTheme="minorHAnsi"/>
          <w:sz w:val="14"/>
          <w:szCs w:val="14"/>
          <w:lang w:val="es-PY"/>
        </w:rPr>
        <w:t xml:space="preserve"> </w:t>
      </w:r>
      <w:r w:rsidRPr="00C342B1">
        <w:rPr>
          <w:rFonts w:asciiTheme="minorHAnsi" w:eastAsiaTheme="minorHAnsi" w:hAnsiTheme="minorHAnsi" w:cs="Arial"/>
          <w:color w:val="000000" w:themeColor="text1"/>
          <w:sz w:val="14"/>
          <w:szCs w:val="14"/>
          <w:lang w:val="es-PY"/>
        </w:rPr>
        <w:t>Comité de Derechos Económicos, Sociales y Culturales de la ONU, Observación General 14. El derecho al disfrute del más alto nivel posible de salud (artículo 12 del Pacto Internacional de Derechos Económicos, Sociales y Culturales), 11 de agosto de 2000, Doc. ONU E/C.12/2000/4, para. 43.</w:t>
      </w:r>
    </w:p>
  </w:footnote>
  <w:footnote w:id="24">
    <w:p w14:paraId="6DF3EE8F" w14:textId="370FE34B" w:rsidR="00B3066F" w:rsidRPr="00C342B1" w:rsidRDefault="00B3066F">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Pr="00C342B1">
        <w:rPr>
          <w:rFonts w:asciiTheme="minorHAnsi" w:hAnsiTheme="minorHAnsi"/>
          <w:szCs w:val="14"/>
          <w:lang w:val="es-PY"/>
        </w:rPr>
        <w:t xml:space="preserve">Amnistía Internacional, </w:t>
      </w:r>
      <w:r w:rsidRPr="00C342B1">
        <w:rPr>
          <w:rFonts w:asciiTheme="minorHAnsi" w:hAnsiTheme="minorHAnsi"/>
          <w:i/>
          <w:iCs/>
          <w:szCs w:val="14"/>
          <w:lang w:val="es-PY"/>
        </w:rPr>
        <w:t>La Deuda de la Salud</w:t>
      </w:r>
      <w:r w:rsidRPr="00C342B1">
        <w:rPr>
          <w:rFonts w:asciiTheme="minorHAnsi" w:hAnsiTheme="minorHAnsi"/>
          <w:szCs w:val="14"/>
          <w:lang w:val="es-PY"/>
        </w:rPr>
        <w:t xml:space="preserve"> (previamente citado).</w:t>
      </w:r>
    </w:p>
  </w:footnote>
  <w:footnote w:id="25">
    <w:p w14:paraId="5135C2A6" w14:textId="660051FC" w:rsidR="001B5849" w:rsidRPr="00C342B1" w:rsidRDefault="001B5849">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Ministerio de Salud Pública y Bienestar Social, </w:t>
      </w:r>
      <w:r w:rsidRPr="00C342B1">
        <w:rPr>
          <w:rFonts w:asciiTheme="minorHAnsi" w:hAnsiTheme="minorHAnsi"/>
          <w:i/>
          <w:iCs/>
          <w:szCs w:val="14"/>
        </w:rPr>
        <w:t>Balance Anual de Gestión Pública</w:t>
      </w:r>
      <w:r w:rsidRPr="00C342B1">
        <w:rPr>
          <w:rFonts w:asciiTheme="minorHAnsi" w:hAnsiTheme="minorHAnsi"/>
          <w:szCs w:val="14"/>
        </w:rPr>
        <w:t>, (previamente citado).</w:t>
      </w:r>
    </w:p>
  </w:footnote>
  <w:footnote w:id="26">
    <w:p w14:paraId="779605DE" w14:textId="7E084C56" w:rsidR="00F67446" w:rsidRPr="00C342B1" w:rsidRDefault="00F67446">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Pr="00C342B1">
        <w:rPr>
          <w:rFonts w:asciiTheme="minorHAnsi" w:hAnsiTheme="minorHAnsi"/>
          <w:szCs w:val="14"/>
          <w:lang w:val="es-PY"/>
        </w:rPr>
        <w:t xml:space="preserve">Amnistía Internacional, </w:t>
      </w:r>
      <w:r w:rsidRPr="00C342B1">
        <w:rPr>
          <w:rFonts w:asciiTheme="minorHAnsi" w:hAnsiTheme="minorHAnsi"/>
          <w:i/>
          <w:iCs/>
          <w:szCs w:val="14"/>
          <w:lang w:val="es-PY"/>
        </w:rPr>
        <w:t>La Deuda de la Salud</w:t>
      </w:r>
      <w:r w:rsidRPr="00C342B1">
        <w:rPr>
          <w:rFonts w:asciiTheme="minorHAnsi" w:hAnsiTheme="minorHAnsi"/>
          <w:szCs w:val="14"/>
          <w:lang w:val="es-PY"/>
        </w:rPr>
        <w:t xml:space="preserve"> (previamente citado), pp. 71-75.</w:t>
      </w:r>
    </w:p>
  </w:footnote>
  <w:footnote w:id="27">
    <w:p w14:paraId="326E1D12" w14:textId="7507FFB3" w:rsidR="0026706A" w:rsidRPr="00C342B1" w:rsidRDefault="0026706A">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Instituto Nacional de Estadísticas, </w:t>
      </w:r>
      <w:r w:rsidRPr="00C342B1">
        <w:rPr>
          <w:rFonts w:asciiTheme="minorHAnsi" w:hAnsiTheme="minorHAnsi"/>
          <w:i/>
          <w:iCs/>
          <w:szCs w:val="14"/>
        </w:rPr>
        <w:t>Informe final. Principales resultados Encuesta Nacional sobre la situación de las mujeres en Paraguay</w:t>
      </w:r>
      <w:r w:rsidRPr="00C342B1">
        <w:rPr>
          <w:rFonts w:asciiTheme="minorHAnsi" w:hAnsiTheme="minorHAnsi"/>
          <w:szCs w:val="14"/>
        </w:rPr>
        <w:t xml:space="preserve">, 2022, </w:t>
      </w:r>
      <w:hyperlink r:id="rId8" w:history="1">
        <w:r w:rsidR="00C0635E" w:rsidRPr="009E0FBB">
          <w:rPr>
            <w:rStyle w:val="Hyperlink"/>
            <w:rFonts w:asciiTheme="minorHAnsi" w:hAnsiTheme="minorHAnsi"/>
            <w:szCs w:val="14"/>
          </w:rPr>
          <w:t>https://www.ine.gov.py/ckfinder/userfiles/files/ENSIMUP%20resultados.pdf</w:t>
        </w:r>
      </w:hyperlink>
      <w:r w:rsidR="00C0635E">
        <w:rPr>
          <w:rFonts w:asciiTheme="minorHAnsi" w:hAnsiTheme="minorHAnsi"/>
          <w:szCs w:val="14"/>
        </w:rPr>
        <w:t xml:space="preserve"> </w:t>
      </w:r>
    </w:p>
  </w:footnote>
  <w:footnote w:id="28">
    <w:p w14:paraId="2484278F" w14:textId="74F33C22" w:rsidR="00BB793F" w:rsidRPr="00C342B1" w:rsidRDefault="00BB793F" w:rsidP="00BB793F">
      <w:pPr>
        <w:pStyle w:val="FootnoteText"/>
        <w:rPr>
          <w:rFonts w:asciiTheme="minorHAnsi" w:hAnsiTheme="minorHAnsi"/>
          <w:szCs w:val="14"/>
          <w:lang w:val="es-MX"/>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Pr="00C342B1">
        <w:rPr>
          <w:rFonts w:asciiTheme="minorHAnsi" w:hAnsiTheme="minorHAnsi"/>
          <w:szCs w:val="14"/>
          <w:lang w:val="es-PY"/>
        </w:rPr>
        <w:t xml:space="preserve">Ministerio de la Mujer, “Observatorio de la Mujer”, </w:t>
      </w:r>
      <w:hyperlink r:id="rId9" w:history="1">
        <w:r w:rsidRPr="00C342B1">
          <w:rPr>
            <w:rStyle w:val="Hyperlink"/>
            <w:rFonts w:asciiTheme="minorHAnsi" w:hAnsiTheme="minorHAnsi"/>
            <w:szCs w:val="14"/>
            <w:lang w:val="es-PY"/>
          </w:rPr>
          <w:t>http://201.217.12.78/datos/</w:t>
        </w:r>
      </w:hyperlink>
      <w:r w:rsidRPr="00C342B1">
        <w:rPr>
          <w:rFonts w:asciiTheme="minorHAnsi" w:hAnsiTheme="minorHAnsi"/>
          <w:szCs w:val="14"/>
          <w:lang w:val="es-PY"/>
        </w:rPr>
        <w:t xml:space="preserve"> (acceso el 27 de marzo de 2025).</w:t>
      </w:r>
    </w:p>
  </w:footnote>
  <w:footnote w:id="29">
    <w:p w14:paraId="010FAB5D" w14:textId="11C23B58" w:rsidR="00240998" w:rsidRPr="00C342B1" w:rsidRDefault="00240998" w:rsidP="00240998">
      <w:pPr>
        <w:pBdr>
          <w:top w:val="nil"/>
          <w:left w:val="nil"/>
          <w:bottom w:val="nil"/>
          <w:right w:val="nil"/>
          <w:between w:val="nil"/>
        </w:pBdr>
        <w:rPr>
          <w:rFonts w:asciiTheme="minorHAnsi" w:hAnsiTheme="minorHAnsi"/>
          <w:sz w:val="14"/>
          <w:szCs w:val="14"/>
          <w:lang w:val="es-PY"/>
        </w:rPr>
      </w:pPr>
      <w:r w:rsidRPr="00C342B1">
        <w:rPr>
          <w:rStyle w:val="FootnoteReference"/>
          <w:rFonts w:asciiTheme="minorHAnsi" w:hAnsiTheme="minorHAnsi"/>
          <w:sz w:val="14"/>
          <w:szCs w:val="14"/>
        </w:rPr>
        <w:footnoteRef/>
      </w:r>
      <w:r w:rsidRPr="00C342B1">
        <w:rPr>
          <w:rFonts w:asciiTheme="minorHAnsi" w:eastAsia="Times New Roman" w:hAnsiTheme="minorHAnsi" w:cs="Times New Roman"/>
          <w:sz w:val="14"/>
          <w:szCs w:val="14"/>
        </w:rPr>
        <w:t xml:space="preserve"> </w:t>
      </w:r>
      <w:r w:rsidRPr="00C342B1">
        <w:rPr>
          <w:rFonts w:asciiTheme="minorHAnsi" w:hAnsiTheme="minorHAnsi"/>
          <w:sz w:val="14"/>
          <w:szCs w:val="14"/>
          <w:lang w:val="es-PY"/>
        </w:rPr>
        <w:t xml:space="preserve">Kuña Róga, </w:t>
      </w:r>
      <w:r w:rsidRPr="00C342B1">
        <w:rPr>
          <w:rFonts w:asciiTheme="minorHAnsi" w:hAnsiTheme="minorHAnsi"/>
          <w:i/>
          <w:iCs/>
          <w:sz w:val="14"/>
          <w:szCs w:val="14"/>
          <w:lang w:val="es-PY"/>
        </w:rPr>
        <w:t>Rompiendo el ciclo. Diagnóstico sobre violencia basada en género en los departamentos del sur de Paraguay</w:t>
      </w:r>
      <w:r w:rsidRPr="00C342B1">
        <w:rPr>
          <w:rFonts w:asciiTheme="minorHAnsi" w:hAnsiTheme="minorHAnsi"/>
          <w:sz w:val="14"/>
          <w:szCs w:val="14"/>
          <w:lang w:val="es-PY"/>
        </w:rPr>
        <w:t>, 2023</w:t>
      </w:r>
      <w:r w:rsidR="00515382">
        <w:rPr>
          <w:rFonts w:asciiTheme="minorHAnsi" w:hAnsiTheme="minorHAnsi"/>
          <w:sz w:val="14"/>
          <w:szCs w:val="14"/>
          <w:lang w:val="es-PY"/>
        </w:rPr>
        <w:t>, p. 54.</w:t>
      </w:r>
    </w:p>
  </w:footnote>
  <w:footnote w:id="30">
    <w:p w14:paraId="4FB3E291" w14:textId="1DB2DB51" w:rsidR="0068041A" w:rsidRPr="00C342B1" w:rsidRDefault="0068041A">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w:t>
      </w:r>
      <w:r w:rsidRPr="00C342B1">
        <w:rPr>
          <w:rFonts w:asciiTheme="minorHAnsi" w:hAnsiTheme="minorHAnsi"/>
          <w:szCs w:val="14"/>
          <w:lang w:val="es-PY"/>
        </w:rPr>
        <w:t xml:space="preserve">Kuña Róga, </w:t>
      </w:r>
      <w:r w:rsidRPr="00C342B1">
        <w:rPr>
          <w:rFonts w:asciiTheme="minorHAnsi" w:hAnsiTheme="minorHAnsi"/>
          <w:i/>
          <w:iCs/>
          <w:szCs w:val="14"/>
          <w:lang w:val="es-PY"/>
        </w:rPr>
        <w:t>Rompiendo el ciclo</w:t>
      </w:r>
      <w:r w:rsidRPr="00C342B1">
        <w:rPr>
          <w:rFonts w:asciiTheme="minorHAnsi" w:hAnsiTheme="minorHAnsi"/>
          <w:szCs w:val="14"/>
          <w:lang w:val="es-PY"/>
        </w:rPr>
        <w:t xml:space="preserve"> (previamente citado).</w:t>
      </w:r>
    </w:p>
  </w:footnote>
  <w:footnote w:id="31">
    <w:p w14:paraId="7BC39565" w14:textId="3D19A051" w:rsidR="0068041A" w:rsidRPr="00C342B1" w:rsidRDefault="0068041A">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Coordinadora de Derechos Humanos del Paraguay</w:t>
      </w:r>
      <w:r w:rsidR="006B15A2">
        <w:rPr>
          <w:rFonts w:asciiTheme="minorHAnsi" w:hAnsiTheme="minorHAnsi"/>
          <w:szCs w:val="14"/>
        </w:rPr>
        <w:t xml:space="preserve"> y Consultorio Jurídico Feminista</w:t>
      </w:r>
      <w:r w:rsidRPr="00C342B1">
        <w:rPr>
          <w:rFonts w:asciiTheme="minorHAnsi" w:hAnsiTheme="minorHAnsi"/>
          <w:szCs w:val="14"/>
        </w:rPr>
        <w:t xml:space="preserve">, </w:t>
      </w:r>
      <w:r w:rsidRPr="00C342B1">
        <w:rPr>
          <w:rFonts w:asciiTheme="minorHAnsi" w:hAnsiTheme="minorHAnsi"/>
          <w:i/>
          <w:iCs/>
          <w:szCs w:val="14"/>
        </w:rPr>
        <w:t>Barreras y nudos críticos en el tratamiento de las denuncias de las mujeres sobre violencia basada en género. Experiencias del Consultorio Jurídico Feminista</w:t>
      </w:r>
      <w:r w:rsidRPr="00C342B1">
        <w:rPr>
          <w:rFonts w:asciiTheme="minorHAnsi" w:hAnsiTheme="minorHAnsi"/>
          <w:szCs w:val="14"/>
        </w:rPr>
        <w:t>, 2023.</w:t>
      </w:r>
    </w:p>
  </w:footnote>
  <w:footnote w:id="32">
    <w:p w14:paraId="08F2CF08" w14:textId="18A4A726" w:rsidR="00123ACC" w:rsidRPr="00C342B1" w:rsidRDefault="00123ACC" w:rsidP="00123ACC">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Instituto Nacional de Estadísticas, “Atlas de Género”, Número de condenas por Sentencia Definitiva por el tipo penal de tentativa de Feminicidio en los Juzgados Penales,</w:t>
      </w:r>
      <w:r w:rsidRPr="00C342B1">
        <w:rPr>
          <w:rFonts w:asciiTheme="minorHAnsi" w:hAnsiTheme="minorHAnsi"/>
          <w:szCs w:val="14"/>
          <w:lang w:val="es-PY"/>
        </w:rPr>
        <w:t xml:space="preserve"> </w:t>
      </w:r>
      <w:hyperlink r:id="rId10" w:history="1">
        <w:r w:rsidR="006B2167" w:rsidRPr="006B2167">
          <w:rPr>
            <w:rStyle w:val="Hyperlink"/>
            <w:rFonts w:asciiTheme="minorHAnsi" w:hAnsiTheme="minorHAnsi"/>
            <w:szCs w:val="14"/>
            <w:lang w:val="es-PY"/>
          </w:rPr>
          <w:t>https://atlasgenero.ine.gov.py/detalle-indicador.php?id=145&amp;year=2021</w:t>
        </w:r>
      </w:hyperlink>
      <w:r w:rsidRPr="00C342B1">
        <w:rPr>
          <w:rFonts w:asciiTheme="minorHAnsi" w:hAnsiTheme="minorHAnsi"/>
          <w:szCs w:val="14"/>
          <w:lang w:val="es-PY"/>
        </w:rPr>
        <w:t xml:space="preserve"> (acceso el 27 de marzo de 2025).</w:t>
      </w:r>
    </w:p>
  </w:footnote>
  <w:footnote w:id="33">
    <w:p w14:paraId="693A6C76" w14:textId="77777777" w:rsidR="00D10E7B" w:rsidRPr="00C342B1" w:rsidRDefault="00D10E7B" w:rsidP="00D10E7B">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Instituto Nacional de Estadísticas, “Atlas de Género”, Número de condenas por Sentencia Definitiva por el tipo penal de tentativa de Feminicidio en los Juzgados Penales,</w:t>
      </w:r>
      <w:r w:rsidRPr="00C342B1">
        <w:rPr>
          <w:rFonts w:asciiTheme="minorHAnsi" w:hAnsiTheme="minorHAnsi"/>
          <w:szCs w:val="14"/>
          <w:lang w:val="es-PY"/>
        </w:rPr>
        <w:t xml:space="preserve"> </w:t>
      </w:r>
      <w:hyperlink r:id="rId11" w:history="1">
        <w:r w:rsidRPr="00C342B1">
          <w:rPr>
            <w:rStyle w:val="Hyperlink"/>
            <w:rFonts w:asciiTheme="minorHAnsi" w:hAnsiTheme="minorHAnsi"/>
            <w:szCs w:val="14"/>
            <w:lang w:val="es-PY"/>
          </w:rPr>
          <w:t>https://atlasgenero.ine.gov.py/detalle-indicador.php?id=145&amp;year=2021</w:t>
        </w:r>
      </w:hyperlink>
      <w:r w:rsidRPr="00C342B1">
        <w:rPr>
          <w:rFonts w:asciiTheme="minorHAnsi" w:hAnsiTheme="minorHAnsi"/>
          <w:szCs w:val="14"/>
          <w:lang w:val="es-PY"/>
        </w:rPr>
        <w:t xml:space="preserve"> (acceso el 27 de marzo de 2025).</w:t>
      </w:r>
    </w:p>
  </w:footnote>
  <w:footnote w:id="34">
    <w:p w14:paraId="7F0F8892" w14:textId="5BCD5E2C" w:rsidR="00C40A83" w:rsidRPr="00C40A83" w:rsidRDefault="00C40A83">
      <w:pPr>
        <w:pStyle w:val="FootnoteText"/>
      </w:pPr>
      <w:r>
        <w:rPr>
          <w:rStyle w:val="FootnoteReference"/>
        </w:rPr>
        <w:footnoteRef/>
      </w:r>
      <w:r>
        <w:t xml:space="preserve"> </w:t>
      </w:r>
      <w:r w:rsidRPr="00C342B1">
        <w:rPr>
          <w:rFonts w:asciiTheme="minorHAnsi" w:hAnsiTheme="minorHAnsi"/>
          <w:szCs w:val="14"/>
          <w:lang w:val="es-PY"/>
        </w:rPr>
        <w:t xml:space="preserve">Kuña Róga, </w:t>
      </w:r>
      <w:r w:rsidRPr="00C342B1">
        <w:rPr>
          <w:rFonts w:asciiTheme="minorHAnsi" w:hAnsiTheme="minorHAnsi"/>
          <w:i/>
          <w:iCs/>
          <w:szCs w:val="14"/>
          <w:lang w:val="es-PY"/>
        </w:rPr>
        <w:t>Rompiendo el ciclo</w:t>
      </w:r>
      <w:r w:rsidRPr="00C342B1">
        <w:rPr>
          <w:rFonts w:asciiTheme="minorHAnsi" w:hAnsiTheme="minorHAnsi"/>
          <w:szCs w:val="14"/>
          <w:lang w:val="es-PY"/>
        </w:rPr>
        <w:t xml:space="preserve"> (previamente citado).</w:t>
      </w:r>
    </w:p>
  </w:footnote>
  <w:footnote w:id="35">
    <w:p w14:paraId="3BE94DC5" w14:textId="36BFFA3B" w:rsidR="00A97A69" w:rsidRPr="00C342B1" w:rsidRDefault="00A97A69">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Ministerio Público, </w:t>
      </w:r>
      <w:r w:rsidRPr="00C342B1">
        <w:rPr>
          <w:rFonts w:asciiTheme="minorHAnsi" w:hAnsiTheme="minorHAnsi"/>
          <w:i/>
          <w:iCs/>
          <w:szCs w:val="14"/>
        </w:rPr>
        <w:t>Protocolo para la Investigación de la violencia contra la mujer en el ámbito familiar desde una perspectiva de género</w:t>
      </w:r>
      <w:r w:rsidRPr="00C342B1">
        <w:rPr>
          <w:rFonts w:asciiTheme="minorHAnsi" w:hAnsiTheme="minorHAnsi"/>
          <w:szCs w:val="14"/>
        </w:rPr>
        <w:t>, 2015.</w:t>
      </w:r>
    </w:p>
  </w:footnote>
  <w:footnote w:id="36">
    <w:p w14:paraId="50DB4000" w14:textId="176C3365" w:rsidR="00A97A69" w:rsidRPr="00C342B1" w:rsidRDefault="00A97A69">
      <w:pPr>
        <w:pStyle w:val="FootnoteText"/>
        <w:rPr>
          <w:rFonts w:asciiTheme="minorHAnsi" w:hAnsiTheme="minorHAnsi"/>
          <w:szCs w:val="14"/>
        </w:rPr>
      </w:pPr>
      <w:r w:rsidRPr="00C342B1">
        <w:rPr>
          <w:rStyle w:val="FootnoteReference"/>
          <w:rFonts w:asciiTheme="minorHAnsi" w:hAnsiTheme="minorHAnsi"/>
          <w:szCs w:val="14"/>
        </w:rPr>
        <w:footnoteRef/>
      </w:r>
      <w:r w:rsidRPr="00C342B1">
        <w:rPr>
          <w:rFonts w:asciiTheme="minorHAnsi" w:hAnsiTheme="minorHAnsi"/>
          <w:szCs w:val="14"/>
        </w:rPr>
        <w:t xml:space="preserve"> Ministerio Público, </w:t>
      </w:r>
      <w:r w:rsidRPr="00C342B1">
        <w:rPr>
          <w:rFonts w:asciiTheme="minorHAnsi" w:hAnsiTheme="minorHAnsi"/>
          <w:i/>
          <w:iCs/>
          <w:szCs w:val="14"/>
        </w:rPr>
        <w:t>Protocolo de investigación penal del hecho punible de feminicidio. Adopción del Modelo de Protocolo Latinoamericano de Investigación de las Muertes Violentas de Mujeres por Razones de Género</w:t>
      </w:r>
      <w:r w:rsidRPr="00C342B1">
        <w:rPr>
          <w:rFonts w:asciiTheme="minorHAnsi" w:hAnsiTheme="minorHAnsi"/>
          <w:szCs w:val="14"/>
        </w:rPr>
        <w:t>, 2023.</w:t>
      </w:r>
    </w:p>
  </w:footnote>
  <w:footnote w:id="37">
    <w:p w14:paraId="1524513A" w14:textId="1B68BA3E" w:rsidR="00A75D98" w:rsidRPr="00C342B1" w:rsidRDefault="00A75D98">
      <w:pPr>
        <w:pStyle w:val="FootnoteText"/>
        <w:rPr>
          <w:rFonts w:asciiTheme="minorHAnsi" w:hAnsiTheme="minorHAnsi"/>
          <w:szCs w:val="14"/>
          <w:lang w:val="es-PY"/>
        </w:rPr>
      </w:pPr>
      <w:r w:rsidRPr="00C342B1">
        <w:rPr>
          <w:rStyle w:val="FootnoteReference"/>
          <w:rFonts w:asciiTheme="minorHAnsi" w:hAnsiTheme="minorHAnsi"/>
          <w:szCs w:val="14"/>
        </w:rPr>
        <w:footnoteRef/>
      </w:r>
      <w:r w:rsidRPr="00C342B1">
        <w:rPr>
          <w:rFonts w:asciiTheme="minorHAnsi" w:hAnsiTheme="minorHAnsi"/>
          <w:szCs w:val="14"/>
        </w:rPr>
        <w:t xml:space="preserve"> Ministerio de la Mujer del Paraguay e Instituto Nacional de Estadística, </w:t>
      </w:r>
      <w:r w:rsidRPr="00C342B1">
        <w:rPr>
          <w:rFonts w:asciiTheme="minorHAnsi" w:hAnsiTheme="minorHAnsi"/>
          <w:i/>
          <w:iCs/>
          <w:szCs w:val="14"/>
        </w:rPr>
        <w:t>Sistema Unificado de Registro de la violencia contra las mujeres en el Paraguay. Antecedentes y situación actual en la Ruta Crítica de Intervención</w:t>
      </w:r>
      <w:r w:rsidRPr="00C342B1">
        <w:rPr>
          <w:rFonts w:asciiTheme="minorHAnsi" w:hAnsiTheme="minorHAnsi"/>
          <w:szCs w:val="14"/>
        </w:rPr>
        <w:t>, 2024.</w:t>
      </w:r>
    </w:p>
  </w:footnote>
  <w:footnote w:id="38">
    <w:p w14:paraId="19878462" w14:textId="684999B3" w:rsidR="00C342B1" w:rsidRPr="00C342B1" w:rsidRDefault="00C342B1">
      <w:pPr>
        <w:pStyle w:val="FootnoteText"/>
        <w:rPr>
          <w:szCs w:val="14"/>
          <w:lang w:val="es-MX"/>
        </w:rPr>
      </w:pPr>
      <w:r w:rsidRPr="00C342B1">
        <w:rPr>
          <w:rStyle w:val="FootnoteReference"/>
          <w:szCs w:val="14"/>
        </w:rPr>
        <w:footnoteRef/>
      </w:r>
      <w:r w:rsidRPr="00C342B1">
        <w:rPr>
          <w:szCs w:val="14"/>
        </w:rPr>
        <w:t xml:space="preserve"> </w:t>
      </w:r>
      <w:r w:rsidRPr="00C342B1">
        <w:rPr>
          <w:szCs w:val="14"/>
          <w:lang w:val="es-MX"/>
        </w:rPr>
        <w:t>Paraguay, Ley 6806, 2021, Que declara emergencia nacional por feminicidios.</w:t>
      </w:r>
    </w:p>
  </w:footnote>
  <w:footnote w:id="39">
    <w:p w14:paraId="10A68044" w14:textId="2F584FA0" w:rsidR="00D75EA2" w:rsidRPr="00D830A3" w:rsidRDefault="00D75EA2" w:rsidP="00D75EA2">
      <w:pPr>
        <w:pStyle w:val="FootnoteText"/>
        <w:rPr>
          <w:lang w:val="es-MX"/>
        </w:rPr>
      </w:pPr>
      <w:r>
        <w:rPr>
          <w:rStyle w:val="FootnoteReference"/>
        </w:rPr>
        <w:footnoteRef/>
      </w:r>
      <w:r>
        <w:t xml:space="preserve"> </w:t>
      </w:r>
      <w:r>
        <w:rPr>
          <w:lang w:val="es-MX"/>
        </w:rPr>
        <w:t xml:space="preserve">Sistema de Información Legislativa, Expediente S-2401136 Proyecto de Ley “Que crea Juzgados y Tribunales especializados en materia de violencia contra la mujer”, </w:t>
      </w:r>
      <w:hyperlink r:id="rId12" w:history="1">
        <w:r w:rsidRPr="002634FF">
          <w:rPr>
            <w:rStyle w:val="Hyperlink"/>
            <w:lang w:val="es-MX"/>
          </w:rPr>
          <w:t>https://silpy.congreso.gov.py/web/expediente/133011</w:t>
        </w:r>
      </w:hyperlink>
      <w:r>
        <w:rPr>
          <w:lang w:val="es-MX"/>
        </w:rPr>
        <w:t xml:space="preserve"> (acceso el </w:t>
      </w:r>
      <w:r w:rsidR="0093609B">
        <w:rPr>
          <w:lang w:val="es-MX"/>
        </w:rPr>
        <w:t>12</w:t>
      </w:r>
      <w:r>
        <w:rPr>
          <w:lang w:val="es-MX"/>
        </w:rPr>
        <w:t xml:space="preserve"> de </w:t>
      </w:r>
      <w:r w:rsidR="0093609B">
        <w:rPr>
          <w:lang w:val="es-MX"/>
        </w:rPr>
        <w:t>mayo</w:t>
      </w:r>
      <w:r>
        <w:rPr>
          <w:lang w:val="es-MX"/>
        </w:rPr>
        <w:t xml:space="preserve"> de 2025).</w:t>
      </w:r>
    </w:p>
  </w:footnote>
  <w:footnote w:id="40">
    <w:p w14:paraId="6BCA89F5" w14:textId="5B9D8589" w:rsidR="00C31969" w:rsidRPr="00C31969" w:rsidRDefault="00C31969">
      <w:pPr>
        <w:pStyle w:val="FootnoteText"/>
        <w:rPr>
          <w:lang w:val="es-MX"/>
        </w:rPr>
      </w:pPr>
      <w:r>
        <w:rPr>
          <w:rStyle w:val="FootnoteReference"/>
        </w:rPr>
        <w:footnoteRef/>
      </w:r>
      <w:r>
        <w:t xml:space="preserve"> </w:t>
      </w:r>
      <w:r>
        <w:rPr>
          <w:lang w:val="es-MX"/>
        </w:rPr>
        <w:t>Sistema de Información Legislativa, Expediente S-</w:t>
      </w:r>
      <w:r w:rsidRPr="00C31969">
        <w:t>2502050</w:t>
      </w:r>
      <w:r>
        <w:rPr>
          <w:lang w:val="es-MX"/>
        </w:rPr>
        <w:t xml:space="preserve"> Proyecto de Ley “Que crea el Ministerio de la Familia”, </w:t>
      </w:r>
      <w:hyperlink r:id="rId13" w:history="1">
        <w:r w:rsidR="006B2167" w:rsidRPr="00EF6644">
          <w:rPr>
            <w:rStyle w:val="Hyperlink"/>
            <w:lang w:val="es-MX"/>
          </w:rPr>
          <w:t>h</w:t>
        </w:r>
        <w:r w:rsidR="006B2167" w:rsidRPr="00EF6644">
          <w:rPr>
            <w:rStyle w:val="Hyperlink"/>
          </w:rPr>
          <w:t>ttps://silpy.congreso.gov.py/web/expediente/141311</w:t>
        </w:r>
      </w:hyperlink>
      <w:r>
        <w:rPr>
          <w:lang w:val="es-MX"/>
        </w:rPr>
        <w:t xml:space="preserve"> (acceso el 21 de abril de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FF36AE"/>
    <w:multiLevelType w:val="hybridMultilevel"/>
    <w:tmpl w:val="EC7E4F34"/>
    <w:lvl w:ilvl="0" w:tplc="3C0A0017">
      <w:start w:val="1"/>
      <w:numFmt w:val="lowerLetter"/>
      <w:lvlText w:val="%1)"/>
      <w:lvlJc w:val="lef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3" w15:restartNumberingAfterBreak="0">
    <w:nsid w:val="189F4F8C"/>
    <w:multiLevelType w:val="hybridMultilevel"/>
    <w:tmpl w:val="CBF4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E2353F"/>
    <w:multiLevelType w:val="hybridMultilevel"/>
    <w:tmpl w:val="C8FCE2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6E627784"/>
    <w:multiLevelType w:val="hybridMultilevel"/>
    <w:tmpl w:val="64B60C3E"/>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20738E4"/>
    <w:multiLevelType w:val="hybridMultilevel"/>
    <w:tmpl w:val="67744D62"/>
    <w:lvl w:ilvl="0" w:tplc="2B7CB242">
      <w:start w:val="1"/>
      <w:numFmt w:val="bullet"/>
      <w:lvlText w:val=""/>
      <w:lvlJc w:val="left"/>
      <w:pPr>
        <w:ind w:left="720" w:hanging="360"/>
      </w:pPr>
      <w:rPr>
        <w:rFonts w:ascii="Wingdings" w:hAnsi="Wingding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6D77252"/>
    <w:multiLevelType w:val="hybridMultilevel"/>
    <w:tmpl w:val="FDFA1D88"/>
    <w:lvl w:ilvl="0" w:tplc="3C0A0017">
      <w:start w:val="1"/>
      <w:numFmt w:val="lowerLetter"/>
      <w:lvlText w:val="%1)"/>
      <w:lvlJc w:val="lef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6"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7094573">
    <w:abstractNumId w:val="22"/>
  </w:num>
  <w:num w:numId="2" w16cid:durableId="174195155">
    <w:abstractNumId w:val="22"/>
  </w:num>
  <w:num w:numId="3" w16cid:durableId="1521819309">
    <w:abstractNumId w:val="22"/>
  </w:num>
  <w:num w:numId="4" w16cid:durableId="1266183729">
    <w:abstractNumId w:val="22"/>
  </w:num>
  <w:num w:numId="5" w16cid:durableId="697968237">
    <w:abstractNumId w:val="22"/>
  </w:num>
  <w:num w:numId="6" w16cid:durableId="1207108770">
    <w:abstractNumId w:val="22"/>
  </w:num>
  <w:num w:numId="7" w16cid:durableId="930091951">
    <w:abstractNumId w:val="22"/>
  </w:num>
  <w:num w:numId="8" w16cid:durableId="1900700850">
    <w:abstractNumId w:val="22"/>
  </w:num>
  <w:num w:numId="9" w16cid:durableId="1051228045">
    <w:abstractNumId w:val="21"/>
  </w:num>
  <w:num w:numId="10" w16cid:durableId="79721129">
    <w:abstractNumId w:val="26"/>
  </w:num>
  <w:num w:numId="11" w16cid:durableId="756749830">
    <w:abstractNumId w:val="28"/>
  </w:num>
  <w:num w:numId="12" w16cid:durableId="146358932">
    <w:abstractNumId w:val="14"/>
  </w:num>
  <w:num w:numId="13" w16cid:durableId="2075546050">
    <w:abstractNumId w:val="16"/>
  </w:num>
  <w:num w:numId="14" w16cid:durableId="67768755">
    <w:abstractNumId w:val="10"/>
  </w:num>
  <w:num w:numId="15" w16cid:durableId="2047413544">
    <w:abstractNumId w:val="11"/>
  </w:num>
  <w:num w:numId="16" w16cid:durableId="1889415763">
    <w:abstractNumId w:val="27"/>
  </w:num>
  <w:num w:numId="17" w16cid:durableId="1974365820">
    <w:abstractNumId w:val="20"/>
  </w:num>
  <w:num w:numId="18" w16cid:durableId="163519445">
    <w:abstractNumId w:val="9"/>
  </w:num>
  <w:num w:numId="19" w16cid:durableId="1351221774">
    <w:abstractNumId w:val="7"/>
  </w:num>
  <w:num w:numId="20" w16cid:durableId="924263041">
    <w:abstractNumId w:val="6"/>
  </w:num>
  <w:num w:numId="21" w16cid:durableId="2014330546">
    <w:abstractNumId w:val="5"/>
  </w:num>
  <w:num w:numId="22" w16cid:durableId="10450977">
    <w:abstractNumId w:val="4"/>
  </w:num>
  <w:num w:numId="23" w16cid:durableId="1771241994">
    <w:abstractNumId w:val="8"/>
  </w:num>
  <w:num w:numId="24" w16cid:durableId="1653219635">
    <w:abstractNumId w:val="3"/>
  </w:num>
  <w:num w:numId="25" w16cid:durableId="1177693623">
    <w:abstractNumId w:val="2"/>
  </w:num>
  <w:num w:numId="26" w16cid:durableId="1543253710">
    <w:abstractNumId w:val="1"/>
  </w:num>
  <w:num w:numId="27" w16cid:durableId="312759194">
    <w:abstractNumId w:val="0"/>
  </w:num>
  <w:num w:numId="28" w16cid:durableId="1737243001">
    <w:abstractNumId w:val="15"/>
  </w:num>
  <w:num w:numId="29" w16cid:durableId="1769042367">
    <w:abstractNumId w:val="19"/>
  </w:num>
  <w:num w:numId="30" w16cid:durableId="1377199287">
    <w:abstractNumId w:val="17"/>
  </w:num>
  <w:num w:numId="31" w16cid:durableId="213199183">
    <w:abstractNumId w:val="13"/>
  </w:num>
  <w:num w:numId="32" w16cid:durableId="2114473068">
    <w:abstractNumId w:val="12"/>
  </w:num>
  <w:num w:numId="33" w16cid:durableId="726687926">
    <w:abstractNumId w:val="25"/>
  </w:num>
  <w:num w:numId="34" w16cid:durableId="1386836234">
    <w:abstractNumId w:val="24"/>
  </w:num>
  <w:num w:numId="35" w16cid:durableId="1335953282">
    <w:abstractNumId w:val="23"/>
  </w:num>
  <w:num w:numId="36" w16cid:durableId="9356007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15532"/>
    <w:rsid w:val="00021154"/>
    <w:rsid w:val="00021885"/>
    <w:rsid w:val="00022B80"/>
    <w:rsid w:val="000259F7"/>
    <w:rsid w:val="00025AFD"/>
    <w:rsid w:val="00026682"/>
    <w:rsid w:val="00031C00"/>
    <w:rsid w:val="000357E2"/>
    <w:rsid w:val="0005087E"/>
    <w:rsid w:val="00056576"/>
    <w:rsid w:val="000604C6"/>
    <w:rsid w:val="0006353D"/>
    <w:rsid w:val="000658CA"/>
    <w:rsid w:val="00065FFC"/>
    <w:rsid w:val="000660E7"/>
    <w:rsid w:val="0006664D"/>
    <w:rsid w:val="0006667A"/>
    <w:rsid w:val="00070657"/>
    <w:rsid w:val="00071DBB"/>
    <w:rsid w:val="0007677B"/>
    <w:rsid w:val="000808AF"/>
    <w:rsid w:val="00081537"/>
    <w:rsid w:val="0008415F"/>
    <w:rsid w:val="00085AA0"/>
    <w:rsid w:val="00090DB1"/>
    <w:rsid w:val="000922C7"/>
    <w:rsid w:val="000A0A08"/>
    <w:rsid w:val="000A1082"/>
    <w:rsid w:val="000B3317"/>
    <w:rsid w:val="000B3BD6"/>
    <w:rsid w:val="000B7EEA"/>
    <w:rsid w:val="000C2825"/>
    <w:rsid w:val="000C2A17"/>
    <w:rsid w:val="000C5B09"/>
    <w:rsid w:val="000D0F5F"/>
    <w:rsid w:val="000D2BD5"/>
    <w:rsid w:val="000D546F"/>
    <w:rsid w:val="000E083A"/>
    <w:rsid w:val="000F5DC9"/>
    <w:rsid w:val="00106694"/>
    <w:rsid w:val="001078C8"/>
    <w:rsid w:val="00112CAF"/>
    <w:rsid w:val="00113E91"/>
    <w:rsid w:val="001140D3"/>
    <w:rsid w:val="001153D5"/>
    <w:rsid w:val="00116223"/>
    <w:rsid w:val="001231E9"/>
    <w:rsid w:val="00123ACC"/>
    <w:rsid w:val="00123FB8"/>
    <w:rsid w:val="00124E0C"/>
    <w:rsid w:val="00125850"/>
    <w:rsid w:val="001263C5"/>
    <w:rsid w:val="00126A84"/>
    <w:rsid w:val="00130C4E"/>
    <w:rsid w:val="00131015"/>
    <w:rsid w:val="00132E35"/>
    <w:rsid w:val="00133535"/>
    <w:rsid w:val="00136468"/>
    <w:rsid w:val="00137621"/>
    <w:rsid w:val="00140418"/>
    <w:rsid w:val="0014349E"/>
    <w:rsid w:val="0014563D"/>
    <w:rsid w:val="00150807"/>
    <w:rsid w:val="0015226A"/>
    <w:rsid w:val="00154926"/>
    <w:rsid w:val="0016172B"/>
    <w:rsid w:val="00162896"/>
    <w:rsid w:val="00163908"/>
    <w:rsid w:val="0016768A"/>
    <w:rsid w:val="00167CC0"/>
    <w:rsid w:val="0017284F"/>
    <w:rsid w:val="00172E7E"/>
    <w:rsid w:val="00176364"/>
    <w:rsid w:val="00180B69"/>
    <w:rsid w:val="00181F0E"/>
    <w:rsid w:val="001822A9"/>
    <w:rsid w:val="00182829"/>
    <w:rsid w:val="001833F3"/>
    <w:rsid w:val="00183E7F"/>
    <w:rsid w:val="00186073"/>
    <w:rsid w:val="0018795D"/>
    <w:rsid w:val="0019203A"/>
    <w:rsid w:val="00195520"/>
    <w:rsid w:val="001A03AE"/>
    <w:rsid w:val="001A0AF4"/>
    <w:rsid w:val="001A0E99"/>
    <w:rsid w:val="001A1A6A"/>
    <w:rsid w:val="001A3E59"/>
    <w:rsid w:val="001B2B26"/>
    <w:rsid w:val="001B5849"/>
    <w:rsid w:val="001C36E1"/>
    <w:rsid w:val="001C5866"/>
    <w:rsid w:val="001D411B"/>
    <w:rsid w:val="001D51A7"/>
    <w:rsid w:val="001D5317"/>
    <w:rsid w:val="001D7D31"/>
    <w:rsid w:val="001E2411"/>
    <w:rsid w:val="001E38A6"/>
    <w:rsid w:val="001E449A"/>
    <w:rsid w:val="001E76B1"/>
    <w:rsid w:val="001E7BBB"/>
    <w:rsid w:val="001F0F4A"/>
    <w:rsid w:val="001F392A"/>
    <w:rsid w:val="001F6ADE"/>
    <w:rsid w:val="001F6B21"/>
    <w:rsid w:val="00201B98"/>
    <w:rsid w:val="00210F45"/>
    <w:rsid w:val="002146C5"/>
    <w:rsid w:val="00217DDF"/>
    <w:rsid w:val="00220669"/>
    <w:rsid w:val="00220A1B"/>
    <w:rsid w:val="0022451F"/>
    <w:rsid w:val="00225436"/>
    <w:rsid w:val="00231581"/>
    <w:rsid w:val="00232DD3"/>
    <w:rsid w:val="00240998"/>
    <w:rsid w:val="00243174"/>
    <w:rsid w:val="00244215"/>
    <w:rsid w:val="00245C75"/>
    <w:rsid w:val="002541A8"/>
    <w:rsid w:val="00254FC0"/>
    <w:rsid w:val="002603C2"/>
    <w:rsid w:val="00262EB8"/>
    <w:rsid w:val="00263834"/>
    <w:rsid w:val="00266153"/>
    <w:rsid w:val="0026706A"/>
    <w:rsid w:val="002710FE"/>
    <w:rsid w:val="00271882"/>
    <w:rsid w:val="00272FBA"/>
    <w:rsid w:val="002731B3"/>
    <w:rsid w:val="00284B69"/>
    <w:rsid w:val="00284C51"/>
    <w:rsid w:val="002874D7"/>
    <w:rsid w:val="00291D94"/>
    <w:rsid w:val="00291F50"/>
    <w:rsid w:val="002959EB"/>
    <w:rsid w:val="00295C31"/>
    <w:rsid w:val="0029650E"/>
    <w:rsid w:val="00297B06"/>
    <w:rsid w:val="002A4507"/>
    <w:rsid w:val="002A76CF"/>
    <w:rsid w:val="002B5487"/>
    <w:rsid w:val="002B5E67"/>
    <w:rsid w:val="002C1757"/>
    <w:rsid w:val="002C26F6"/>
    <w:rsid w:val="002C4B9C"/>
    <w:rsid w:val="002C4EAA"/>
    <w:rsid w:val="002C6498"/>
    <w:rsid w:val="002D43EC"/>
    <w:rsid w:val="002E05E9"/>
    <w:rsid w:val="002E4CC8"/>
    <w:rsid w:val="002E7F19"/>
    <w:rsid w:val="002F23A4"/>
    <w:rsid w:val="002F283E"/>
    <w:rsid w:val="002F2B56"/>
    <w:rsid w:val="002F41BF"/>
    <w:rsid w:val="002F5913"/>
    <w:rsid w:val="002F6FCC"/>
    <w:rsid w:val="003002FD"/>
    <w:rsid w:val="00301EE2"/>
    <w:rsid w:val="003047FD"/>
    <w:rsid w:val="00306C0E"/>
    <w:rsid w:val="0031064C"/>
    <w:rsid w:val="00311291"/>
    <w:rsid w:val="00313C1C"/>
    <w:rsid w:val="00313DC6"/>
    <w:rsid w:val="00315190"/>
    <w:rsid w:val="003159EB"/>
    <w:rsid w:val="00315AAE"/>
    <w:rsid w:val="00317C85"/>
    <w:rsid w:val="00321055"/>
    <w:rsid w:val="0032480A"/>
    <w:rsid w:val="003345F7"/>
    <w:rsid w:val="00335368"/>
    <w:rsid w:val="0033617D"/>
    <w:rsid w:val="003408CB"/>
    <w:rsid w:val="00342011"/>
    <w:rsid w:val="0034206B"/>
    <w:rsid w:val="003454C8"/>
    <w:rsid w:val="00346173"/>
    <w:rsid w:val="0035046C"/>
    <w:rsid w:val="00350C78"/>
    <w:rsid w:val="00352EB8"/>
    <w:rsid w:val="00355567"/>
    <w:rsid w:val="00361291"/>
    <w:rsid w:val="003618E5"/>
    <w:rsid w:val="003628B2"/>
    <w:rsid w:val="00363AD5"/>
    <w:rsid w:val="00363BFE"/>
    <w:rsid w:val="00364BCD"/>
    <w:rsid w:val="00365804"/>
    <w:rsid w:val="00371E85"/>
    <w:rsid w:val="00376059"/>
    <w:rsid w:val="00391D04"/>
    <w:rsid w:val="00392F19"/>
    <w:rsid w:val="00397CAF"/>
    <w:rsid w:val="003A1382"/>
    <w:rsid w:val="003A2029"/>
    <w:rsid w:val="003A412F"/>
    <w:rsid w:val="003A7195"/>
    <w:rsid w:val="003B1E1B"/>
    <w:rsid w:val="003B350E"/>
    <w:rsid w:val="003B366A"/>
    <w:rsid w:val="003C0F66"/>
    <w:rsid w:val="003C20AC"/>
    <w:rsid w:val="003C32CA"/>
    <w:rsid w:val="003C499F"/>
    <w:rsid w:val="003C5F3A"/>
    <w:rsid w:val="003D3442"/>
    <w:rsid w:val="003D36A1"/>
    <w:rsid w:val="003D4123"/>
    <w:rsid w:val="003D61B4"/>
    <w:rsid w:val="003D6642"/>
    <w:rsid w:val="003D7143"/>
    <w:rsid w:val="003E2A56"/>
    <w:rsid w:val="003E2AA1"/>
    <w:rsid w:val="003E2CFB"/>
    <w:rsid w:val="003E4FBC"/>
    <w:rsid w:val="003E69DD"/>
    <w:rsid w:val="003E7C09"/>
    <w:rsid w:val="003F20BF"/>
    <w:rsid w:val="003F57E4"/>
    <w:rsid w:val="003F5ED3"/>
    <w:rsid w:val="003F6CBC"/>
    <w:rsid w:val="00401691"/>
    <w:rsid w:val="00410A85"/>
    <w:rsid w:val="00413312"/>
    <w:rsid w:val="00414783"/>
    <w:rsid w:val="00416FE7"/>
    <w:rsid w:val="004172C3"/>
    <w:rsid w:val="0042150F"/>
    <w:rsid w:val="00421FBB"/>
    <w:rsid w:val="00423306"/>
    <w:rsid w:val="00424BBC"/>
    <w:rsid w:val="00425F1E"/>
    <w:rsid w:val="00425FE9"/>
    <w:rsid w:val="004325EC"/>
    <w:rsid w:val="00435004"/>
    <w:rsid w:val="00436B70"/>
    <w:rsid w:val="0044168B"/>
    <w:rsid w:val="00442E70"/>
    <w:rsid w:val="00457E73"/>
    <w:rsid w:val="00461301"/>
    <w:rsid w:val="0046532B"/>
    <w:rsid w:val="00465463"/>
    <w:rsid w:val="00466F88"/>
    <w:rsid w:val="00471BAD"/>
    <w:rsid w:val="00473246"/>
    <w:rsid w:val="004736CE"/>
    <w:rsid w:val="0048111D"/>
    <w:rsid w:val="00482BF3"/>
    <w:rsid w:val="00484563"/>
    <w:rsid w:val="004864DC"/>
    <w:rsid w:val="00486C42"/>
    <w:rsid w:val="004902DE"/>
    <w:rsid w:val="004906D2"/>
    <w:rsid w:val="004953E8"/>
    <w:rsid w:val="004A5972"/>
    <w:rsid w:val="004A5CF5"/>
    <w:rsid w:val="004A6A03"/>
    <w:rsid w:val="004B00C1"/>
    <w:rsid w:val="004B041C"/>
    <w:rsid w:val="004B24A7"/>
    <w:rsid w:val="004C01CF"/>
    <w:rsid w:val="004C01F4"/>
    <w:rsid w:val="004C05ED"/>
    <w:rsid w:val="004C33B2"/>
    <w:rsid w:val="004C5791"/>
    <w:rsid w:val="004C6D9E"/>
    <w:rsid w:val="004D279E"/>
    <w:rsid w:val="004D2A5B"/>
    <w:rsid w:val="004D2C1A"/>
    <w:rsid w:val="004D7E98"/>
    <w:rsid w:val="004E0D0A"/>
    <w:rsid w:val="004E3F54"/>
    <w:rsid w:val="004E5E19"/>
    <w:rsid w:val="004E6E35"/>
    <w:rsid w:val="004F2B82"/>
    <w:rsid w:val="004F41F5"/>
    <w:rsid w:val="00505765"/>
    <w:rsid w:val="00505990"/>
    <w:rsid w:val="00506088"/>
    <w:rsid w:val="00506147"/>
    <w:rsid w:val="00506C83"/>
    <w:rsid w:val="00507292"/>
    <w:rsid w:val="00507A8D"/>
    <w:rsid w:val="00510D0E"/>
    <w:rsid w:val="0051177D"/>
    <w:rsid w:val="00511B3B"/>
    <w:rsid w:val="00511C4D"/>
    <w:rsid w:val="00511F2A"/>
    <w:rsid w:val="00512576"/>
    <w:rsid w:val="005148F8"/>
    <w:rsid w:val="00514A8A"/>
    <w:rsid w:val="00515382"/>
    <w:rsid w:val="0051597D"/>
    <w:rsid w:val="0051756F"/>
    <w:rsid w:val="0052363B"/>
    <w:rsid w:val="00524A26"/>
    <w:rsid w:val="00524F2F"/>
    <w:rsid w:val="00525490"/>
    <w:rsid w:val="005309BB"/>
    <w:rsid w:val="00531BAC"/>
    <w:rsid w:val="00542848"/>
    <w:rsid w:val="00547487"/>
    <w:rsid w:val="005476E1"/>
    <w:rsid w:val="00550480"/>
    <w:rsid w:val="00550DF8"/>
    <w:rsid w:val="0055155B"/>
    <w:rsid w:val="00552DA7"/>
    <w:rsid w:val="005542B1"/>
    <w:rsid w:val="00556F7B"/>
    <w:rsid w:val="00560D5E"/>
    <w:rsid w:val="0056576E"/>
    <w:rsid w:val="005673F7"/>
    <w:rsid w:val="005730DC"/>
    <w:rsid w:val="00574F67"/>
    <w:rsid w:val="005755FD"/>
    <w:rsid w:val="00575CFA"/>
    <w:rsid w:val="005761EA"/>
    <w:rsid w:val="005765FF"/>
    <w:rsid w:val="00577572"/>
    <w:rsid w:val="005805A9"/>
    <w:rsid w:val="00580C70"/>
    <w:rsid w:val="00581876"/>
    <w:rsid w:val="00585932"/>
    <w:rsid w:val="00590748"/>
    <w:rsid w:val="005947CE"/>
    <w:rsid w:val="00596471"/>
    <w:rsid w:val="00597411"/>
    <w:rsid w:val="005A2CDF"/>
    <w:rsid w:val="005A4670"/>
    <w:rsid w:val="005A6C3C"/>
    <w:rsid w:val="005B0527"/>
    <w:rsid w:val="005B3B02"/>
    <w:rsid w:val="005B4CE5"/>
    <w:rsid w:val="005B6A4A"/>
    <w:rsid w:val="005C0476"/>
    <w:rsid w:val="005C14E2"/>
    <w:rsid w:val="005C35DB"/>
    <w:rsid w:val="005C57D4"/>
    <w:rsid w:val="005C58FF"/>
    <w:rsid w:val="005D106B"/>
    <w:rsid w:val="005D3676"/>
    <w:rsid w:val="005D3A1B"/>
    <w:rsid w:val="005D5C6F"/>
    <w:rsid w:val="005D5E6A"/>
    <w:rsid w:val="005E4541"/>
    <w:rsid w:val="005E5767"/>
    <w:rsid w:val="005E6F94"/>
    <w:rsid w:val="005F5691"/>
    <w:rsid w:val="00603ADD"/>
    <w:rsid w:val="006063BE"/>
    <w:rsid w:val="00607A4C"/>
    <w:rsid w:val="00610DE1"/>
    <w:rsid w:val="006154D8"/>
    <w:rsid w:val="00615A29"/>
    <w:rsid w:val="00616188"/>
    <w:rsid w:val="006164DC"/>
    <w:rsid w:val="00620197"/>
    <w:rsid w:val="0062298D"/>
    <w:rsid w:val="00624209"/>
    <w:rsid w:val="006247AA"/>
    <w:rsid w:val="00625E6A"/>
    <w:rsid w:val="00626463"/>
    <w:rsid w:val="00635C1F"/>
    <w:rsid w:val="00636E70"/>
    <w:rsid w:val="0064028B"/>
    <w:rsid w:val="0064277D"/>
    <w:rsid w:val="006453FA"/>
    <w:rsid w:val="00651242"/>
    <w:rsid w:val="00656B9B"/>
    <w:rsid w:val="006570CD"/>
    <w:rsid w:val="0065763F"/>
    <w:rsid w:val="00661C0B"/>
    <w:rsid w:val="0066292F"/>
    <w:rsid w:val="00662C5D"/>
    <w:rsid w:val="00663DF1"/>
    <w:rsid w:val="00663EEA"/>
    <w:rsid w:val="00666420"/>
    <w:rsid w:val="00676CAC"/>
    <w:rsid w:val="0068041A"/>
    <w:rsid w:val="00681143"/>
    <w:rsid w:val="006820C6"/>
    <w:rsid w:val="00683031"/>
    <w:rsid w:val="006832A2"/>
    <w:rsid w:val="0068394F"/>
    <w:rsid w:val="006878AC"/>
    <w:rsid w:val="00690A68"/>
    <w:rsid w:val="00691739"/>
    <w:rsid w:val="006934DD"/>
    <w:rsid w:val="0069644B"/>
    <w:rsid w:val="00696B4C"/>
    <w:rsid w:val="006A05B0"/>
    <w:rsid w:val="006A12A3"/>
    <w:rsid w:val="006A33A9"/>
    <w:rsid w:val="006A3D0F"/>
    <w:rsid w:val="006B15A2"/>
    <w:rsid w:val="006B1D9C"/>
    <w:rsid w:val="006B2167"/>
    <w:rsid w:val="006B273B"/>
    <w:rsid w:val="006B44F3"/>
    <w:rsid w:val="006C441D"/>
    <w:rsid w:val="006D26B1"/>
    <w:rsid w:val="006D7894"/>
    <w:rsid w:val="006E4064"/>
    <w:rsid w:val="006E5F23"/>
    <w:rsid w:val="006F2A33"/>
    <w:rsid w:val="006F41F0"/>
    <w:rsid w:val="006F4625"/>
    <w:rsid w:val="006F5182"/>
    <w:rsid w:val="006F54B4"/>
    <w:rsid w:val="006F729A"/>
    <w:rsid w:val="006F7EE4"/>
    <w:rsid w:val="007000E2"/>
    <w:rsid w:val="00705969"/>
    <w:rsid w:val="00705D78"/>
    <w:rsid w:val="007064E5"/>
    <w:rsid w:val="00712C7F"/>
    <w:rsid w:val="007169C7"/>
    <w:rsid w:val="0072109E"/>
    <w:rsid w:val="00725146"/>
    <w:rsid w:val="00725C53"/>
    <w:rsid w:val="007279B6"/>
    <w:rsid w:val="007304C2"/>
    <w:rsid w:val="00734C7E"/>
    <w:rsid w:val="00735443"/>
    <w:rsid w:val="0073651F"/>
    <w:rsid w:val="00737D95"/>
    <w:rsid w:val="00742EE9"/>
    <w:rsid w:val="00743842"/>
    <w:rsid w:val="00751603"/>
    <w:rsid w:val="0075296D"/>
    <w:rsid w:val="00756EBD"/>
    <w:rsid w:val="0075717A"/>
    <w:rsid w:val="0075741F"/>
    <w:rsid w:val="0076076B"/>
    <w:rsid w:val="0076197C"/>
    <w:rsid w:val="00762378"/>
    <w:rsid w:val="007706BA"/>
    <w:rsid w:val="0077095B"/>
    <w:rsid w:val="00772F7D"/>
    <w:rsid w:val="007765EF"/>
    <w:rsid w:val="00777E96"/>
    <w:rsid w:val="00780136"/>
    <w:rsid w:val="0078032E"/>
    <w:rsid w:val="0078125C"/>
    <w:rsid w:val="00782841"/>
    <w:rsid w:val="00782A46"/>
    <w:rsid w:val="00782D0F"/>
    <w:rsid w:val="00784336"/>
    <w:rsid w:val="00785C64"/>
    <w:rsid w:val="00791E7E"/>
    <w:rsid w:val="007930D0"/>
    <w:rsid w:val="0079376A"/>
    <w:rsid w:val="00795C79"/>
    <w:rsid w:val="00796F7C"/>
    <w:rsid w:val="007975C7"/>
    <w:rsid w:val="00797AC1"/>
    <w:rsid w:val="00797CDA"/>
    <w:rsid w:val="007A1863"/>
    <w:rsid w:val="007A1A41"/>
    <w:rsid w:val="007A577D"/>
    <w:rsid w:val="007A579B"/>
    <w:rsid w:val="007A7750"/>
    <w:rsid w:val="007B0778"/>
    <w:rsid w:val="007B3230"/>
    <w:rsid w:val="007B7274"/>
    <w:rsid w:val="007C116E"/>
    <w:rsid w:val="007C2D0D"/>
    <w:rsid w:val="007C3D92"/>
    <w:rsid w:val="007C431D"/>
    <w:rsid w:val="007C528E"/>
    <w:rsid w:val="007C632C"/>
    <w:rsid w:val="007C6C3F"/>
    <w:rsid w:val="007D04C4"/>
    <w:rsid w:val="007D096D"/>
    <w:rsid w:val="007D1698"/>
    <w:rsid w:val="007D1915"/>
    <w:rsid w:val="007D1AE8"/>
    <w:rsid w:val="007D27AE"/>
    <w:rsid w:val="007D2CC8"/>
    <w:rsid w:val="007D2D0A"/>
    <w:rsid w:val="007E442C"/>
    <w:rsid w:val="007E4B97"/>
    <w:rsid w:val="007E5AEF"/>
    <w:rsid w:val="007F3308"/>
    <w:rsid w:val="007F3C4C"/>
    <w:rsid w:val="00800BD5"/>
    <w:rsid w:val="008027CC"/>
    <w:rsid w:val="0080466E"/>
    <w:rsid w:val="00810C01"/>
    <w:rsid w:val="008114E8"/>
    <w:rsid w:val="008129AE"/>
    <w:rsid w:val="0081473E"/>
    <w:rsid w:val="008150CC"/>
    <w:rsid w:val="0081658E"/>
    <w:rsid w:val="00817CB7"/>
    <w:rsid w:val="00820E39"/>
    <w:rsid w:val="00821E10"/>
    <w:rsid w:val="00830B02"/>
    <w:rsid w:val="0083175A"/>
    <w:rsid w:val="00832C8C"/>
    <w:rsid w:val="0083356A"/>
    <w:rsid w:val="008424EC"/>
    <w:rsid w:val="00842FBC"/>
    <w:rsid w:val="00844605"/>
    <w:rsid w:val="00844B14"/>
    <w:rsid w:val="008453D1"/>
    <w:rsid w:val="008532A2"/>
    <w:rsid w:val="0086029C"/>
    <w:rsid w:val="0086048F"/>
    <w:rsid w:val="00861D72"/>
    <w:rsid w:val="0086381A"/>
    <w:rsid w:val="00864E37"/>
    <w:rsid w:val="00865E1A"/>
    <w:rsid w:val="008674B2"/>
    <w:rsid w:val="00872148"/>
    <w:rsid w:val="008732DF"/>
    <w:rsid w:val="008767CB"/>
    <w:rsid w:val="008802FD"/>
    <w:rsid w:val="008817CA"/>
    <w:rsid w:val="00881CC4"/>
    <w:rsid w:val="00882303"/>
    <w:rsid w:val="00885D28"/>
    <w:rsid w:val="00887F4E"/>
    <w:rsid w:val="00892A6F"/>
    <w:rsid w:val="00893D7B"/>
    <w:rsid w:val="008946FB"/>
    <w:rsid w:val="00895609"/>
    <w:rsid w:val="008A15AB"/>
    <w:rsid w:val="008A2963"/>
    <w:rsid w:val="008A5C22"/>
    <w:rsid w:val="008A7D12"/>
    <w:rsid w:val="008B1FF0"/>
    <w:rsid w:val="008B241C"/>
    <w:rsid w:val="008B3697"/>
    <w:rsid w:val="008B42D5"/>
    <w:rsid w:val="008B4326"/>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0FBE"/>
    <w:rsid w:val="00912770"/>
    <w:rsid w:val="00917A5A"/>
    <w:rsid w:val="009254DD"/>
    <w:rsid w:val="00933FB2"/>
    <w:rsid w:val="00934E8F"/>
    <w:rsid w:val="0093609B"/>
    <w:rsid w:val="00941599"/>
    <w:rsid w:val="0094564F"/>
    <w:rsid w:val="0094789C"/>
    <w:rsid w:val="00947912"/>
    <w:rsid w:val="00951603"/>
    <w:rsid w:val="009528CB"/>
    <w:rsid w:val="0095511C"/>
    <w:rsid w:val="0095521F"/>
    <w:rsid w:val="00960922"/>
    <w:rsid w:val="00961312"/>
    <w:rsid w:val="00962784"/>
    <w:rsid w:val="009645AB"/>
    <w:rsid w:val="0096741A"/>
    <w:rsid w:val="00970D4C"/>
    <w:rsid w:val="00971E5F"/>
    <w:rsid w:val="009730BD"/>
    <w:rsid w:val="00973F85"/>
    <w:rsid w:val="00981DD2"/>
    <w:rsid w:val="009A0CBC"/>
    <w:rsid w:val="009A2897"/>
    <w:rsid w:val="009A3965"/>
    <w:rsid w:val="009A44FD"/>
    <w:rsid w:val="009A6D60"/>
    <w:rsid w:val="009A6F95"/>
    <w:rsid w:val="009B141F"/>
    <w:rsid w:val="009C0754"/>
    <w:rsid w:val="009C24A1"/>
    <w:rsid w:val="009C57D6"/>
    <w:rsid w:val="009C6598"/>
    <w:rsid w:val="009C7548"/>
    <w:rsid w:val="009D1CED"/>
    <w:rsid w:val="009D38F3"/>
    <w:rsid w:val="009E0814"/>
    <w:rsid w:val="009E3F41"/>
    <w:rsid w:val="009E5B43"/>
    <w:rsid w:val="009E5CD2"/>
    <w:rsid w:val="009E6786"/>
    <w:rsid w:val="009F20B2"/>
    <w:rsid w:val="009F603B"/>
    <w:rsid w:val="009F6BAA"/>
    <w:rsid w:val="009F7136"/>
    <w:rsid w:val="009F756E"/>
    <w:rsid w:val="009F7FE7"/>
    <w:rsid w:val="00A008E9"/>
    <w:rsid w:val="00A03DF8"/>
    <w:rsid w:val="00A100C7"/>
    <w:rsid w:val="00A131DD"/>
    <w:rsid w:val="00A138BD"/>
    <w:rsid w:val="00A17087"/>
    <w:rsid w:val="00A2033A"/>
    <w:rsid w:val="00A21E6D"/>
    <w:rsid w:val="00A22524"/>
    <w:rsid w:val="00A31034"/>
    <w:rsid w:val="00A3414B"/>
    <w:rsid w:val="00A354A1"/>
    <w:rsid w:val="00A361D0"/>
    <w:rsid w:val="00A373E9"/>
    <w:rsid w:val="00A41BBA"/>
    <w:rsid w:val="00A44D23"/>
    <w:rsid w:val="00A5109B"/>
    <w:rsid w:val="00A51830"/>
    <w:rsid w:val="00A52768"/>
    <w:rsid w:val="00A52898"/>
    <w:rsid w:val="00A52E32"/>
    <w:rsid w:val="00A543A0"/>
    <w:rsid w:val="00A56E88"/>
    <w:rsid w:val="00A6153A"/>
    <w:rsid w:val="00A62AD1"/>
    <w:rsid w:val="00A64BD0"/>
    <w:rsid w:val="00A72775"/>
    <w:rsid w:val="00A74FC5"/>
    <w:rsid w:val="00A75D98"/>
    <w:rsid w:val="00A767D1"/>
    <w:rsid w:val="00A80373"/>
    <w:rsid w:val="00A82D1B"/>
    <w:rsid w:val="00A87454"/>
    <w:rsid w:val="00A90557"/>
    <w:rsid w:val="00A916B2"/>
    <w:rsid w:val="00A92C02"/>
    <w:rsid w:val="00A93A4E"/>
    <w:rsid w:val="00A96594"/>
    <w:rsid w:val="00A97A69"/>
    <w:rsid w:val="00AA354E"/>
    <w:rsid w:val="00AA45E1"/>
    <w:rsid w:val="00AA6BA7"/>
    <w:rsid w:val="00AA6C22"/>
    <w:rsid w:val="00AB0170"/>
    <w:rsid w:val="00AB0F34"/>
    <w:rsid w:val="00AB2118"/>
    <w:rsid w:val="00AB224A"/>
    <w:rsid w:val="00AB4821"/>
    <w:rsid w:val="00AC5A52"/>
    <w:rsid w:val="00AC7CCF"/>
    <w:rsid w:val="00AC7F90"/>
    <w:rsid w:val="00AD2583"/>
    <w:rsid w:val="00AD4953"/>
    <w:rsid w:val="00AD4B4C"/>
    <w:rsid w:val="00AD7989"/>
    <w:rsid w:val="00AE5421"/>
    <w:rsid w:val="00AE6573"/>
    <w:rsid w:val="00AE7D00"/>
    <w:rsid w:val="00AF0168"/>
    <w:rsid w:val="00AF3B21"/>
    <w:rsid w:val="00AF4B66"/>
    <w:rsid w:val="00B00D7A"/>
    <w:rsid w:val="00B0223B"/>
    <w:rsid w:val="00B04247"/>
    <w:rsid w:val="00B04447"/>
    <w:rsid w:val="00B05860"/>
    <w:rsid w:val="00B07E94"/>
    <w:rsid w:val="00B124C1"/>
    <w:rsid w:val="00B12535"/>
    <w:rsid w:val="00B12B66"/>
    <w:rsid w:val="00B13504"/>
    <w:rsid w:val="00B23DE1"/>
    <w:rsid w:val="00B2691C"/>
    <w:rsid w:val="00B27583"/>
    <w:rsid w:val="00B3066F"/>
    <w:rsid w:val="00B3222A"/>
    <w:rsid w:val="00B3369D"/>
    <w:rsid w:val="00B33BCE"/>
    <w:rsid w:val="00B470B6"/>
    <w:rsid w:val="00B500EC"/>
    <w:rsid w:val="00B61AFE"/>
    <w:rsid w:val="00B632E8"/>
    <w:rsid w:val="00B64F84"/>
    <w:rsid w:val="00B702DD"/>
    <w:rsid w:val="00B7100E"/>
    <w:rsid w:val="00B745AF"/>
    <w:rsid w:val="00B772D5"/>
    <w:rsid w:val="00B80C70"/>
    <w:rsid w:val="00B81A44"/>
    <w:rsid w:val="00B830F7"/>
    <w:rsid w:val="00B838EF"/>
    <w:rsid w:val="00B841C1"/>
    <w:rsid w:val="00B93717"/>
    <w:rsid w:val="00B93A9E"/>
    <w:rsid w:val="00B946FF"/>
    <w:rsid w:val="00B97309"/>
    <w:rsid w:val="00B97F1A"/>
    <w:rsid w:val="00BA08A3"/>
    <w:rsid w:val="00BA23EB"/>
    <w:rsid w:val="00BA5A8E"/>
    <w:rsid w:val="00BB031B"/>
    <w:rsid w:val="00BB0B3A"/>
    <w:rsid w:val="00BB1C71"/>
    <w:rsid w:val="00BB1E30"/>
    <w:rsid w:val="00BB793F"/>
    <w:rsid w:val="00BC11C0"/>
    <w:rsid w:val="00BC3FCB"/>
    <w:rsid w:val="00BC7BD9"/>
    <w:rsid w:val="00BD07B1"/>
    <w:rsid w:val="00BD139E"/>
    <w:rsid w:val="00BD1714"/>
    <w:rsid w:val="00BD175B"/>
    <w:rsid w:val="00BD5DF0"/>
    <w:rsid w:val="00BE030D"/>
    <w:rsid w:val="00BE10DC"/>
    <w:rsid w:val="00BE1493"/>
    <w:rsid w:val="00BE3701"/>
    <w:rsid w:val="00BE47A6"/>
    <w:rsid w:val="00BE57D1"/>
    <w:rsid w:val="00BE663F"/>
    <w:rsid w:val="00BF1CC6"/>
    <w:rsid w:val="00BF2E8D"/>
    <w:rsid w:val="00BF4869"/>
    <w:rsid w:val="00BF799E"/>
    <w:rsid w:val="00BF7F30"/>
    <w:rsid w:val="00C02A18"/>
    <w:rsid w:val="00C0635E"/>
    <w:rsid w:val="00C074C2"/>
    <w:rsid w:val="00C1439C"/>
    <w:rsid w:val="00C16CC3"/>
    <w:rsid w:val="00C172ED"/>
    <w:rsid w:val="00C219BE"/>
    <w:rsid w:val="00C246D9"/>
    <w:rsid w:val="00C31969"/>
    <w:rsid w:val="00C3287C"/>
    <w:rsid w:val="00C3289F"/>
    <w:rsid w:val="00C33223"/>
    <w:rsid w:val="00C342B1"/>
    <w:rsid w:val="00C36179"/>
    <w:rsid w:val="00C37B37"/>
    <w:rsid w:val="00C40A83"/>
    <w:rsid w:val="00C41D97"/>
    <w:rsid w:val="00C43020"/>
    <w:rsid w:val="00C46866"/>
    <w:rsid w:val="00C53C76"/>
    <w:rsid w:val="00C6112B"/>
    <w:rsid w:val="00C61BB7"/>
    <w:rsid w:val="00C6391A"/>
    <w:rsid w:val="00C63CDC"/>
    <w:rsid w:val="00C64274"/>
    <w:rsid w:val="00C65095"/>
    <w:rsid w:val="00C6674F"/>
    <w:rsid w:val="00C738E5"/>
    <w:rsid w:val="00C824B5"/>
    <w:rsid w:val="00C8441B"/>
    <w:rsid w:val="00C869A1"/>
    <w:rsid w:val="00C9790D"/>
    <w:rsid w:val="00CA0DA3"/>
    <w:rsid w:val="00CA2524"/>
    <w:rsid w:val="00CA72A3"/>
    <w:rsid w:val="00CB4453"/>
    <w:rsid w:val="00CB4F4E"/>
    <w:rsid w:val="00CB7A43"/>
    <w:rsid w:val="00CC014D"/>
    <w:rsid w:val="00CD59C8"/>
    <w:rsid w:val="00CE3E3F"/>
    <w:rsid w:val="00CE56F4"/>
    <w:rsid w:val="00CE795F"/>
    <w:rsid w:val="00CF1451"/>
    <w:rsid w:val="00CF1A91"/>
    <w:rsid w:val="00CF20B5"/>
    <w:rsid w:val="00CF2F2F"/>
    <w:rsid w:val="00CF4A36"/>
    <w:rsid w:val="00CF58AE"/>
    <w:rsid w:val="00CF7621"/>
    <w:rsid w:val="00D008BD"/>
    <w:rsid w:val="00D00E9E"/>
    <w:rsid w:val="00D10E7B"/>
    <w:rsid w:val="00D121AC"/>
    <w:rsid w:val="00D13529"/>
    <w:rsid w:val="00D157EC"/>
    <w:rsid w:val="00D15AF7"/>
    <w:rsid w:val="00D172EF"/>
    <w:rsid w:val="00D22B76"/>
    <w:rsid w:val="00D22D86"/>
    <w:rsid w:val="00D3200C"/>
    <w:rsid w:val="00D32933"/>
    <w:rsid w:val="00D35769"/>
    <w:rsid w:val="00D4065A"/>
    <w:rsid w:val="00D43631"/>
    <w:rsid w:val="00D51847"/>
    <w:rsid w:val="00D51E44"/>
    <w:rsid w:val="00D52AA7"/>
    <w:rsid w:val="00D53899"/>
    <w:rsid w:val="00D55FA8"/>
    <w:rsid w:val="00D60846"/>
    <w:rsid w:val="00D60938"/>
    <w:rsid w:val="00D6093F"/>
    <w:rsid w:val="00D616DA"/>
    <w:rsid w:val="00D6346E"/>
    <w:rsid w:val="00D70E36"/>
    <w:rsid w:val="00D7128C"/>
    <w:rsid w:val="00D73A4B"/>
    <w:rsid w:val="00D74B0E"/>
    <w:rsid w:val="00D74EE8"/>
    <w:rsid w:val="00D75EA2"/>
    <w:rsid w:val="00D80EE1"/>
    <w:rsid w:val="00D81E9E"/>
    <w:rsid w:val="00D8218F"/>
    <w:rsid w:val="00D830A3"/>
    <w:rsid w:val="00D836C6"/>
    <w:rsid w:val="00D90830"/>
    <w:rsid w:val="00D929FA"/>
    <w:rsid w:val="00DA2593"/>
    <w:rsid w:val="00DA7998"/>
    <w:rsid w:val="00DB64F9"/>
    <w:rsid w:val="00DB6939"/>
    <w:rsid w:val="00DB6ED7"/>
    <w:rsid w:val="00DC5C46"/>
    <w:rsid w:val="00DC7082"/>
    <w:rsid w:val="00DD3CCC"/>
    <w:rsid w:val="00DE06BC"/>
    <w:rsid w:val="00DE1829"/>
    <w:rsid w:val="00DE19B7"/>
    <w:rsid w:val="00DF0A59"/>
    <w:rsid w:val="00DF132C"/>
    <w:rsid w:val="00DF2D2B"/>
    <w:rsid w:val="00DF3C9E"/>
    <w:rsid w:val="00DF585A"/>
    <w:rsid w:val="00DF7982"/>
    <w:rsid w:val="00E02FEE"/>
    <w:rsid w:val="00E049FE"/>
    <w:rsid w:val="00E056B3"/>
    <w:rsid w:val="00E07F8D"/>
    <w:rsid w:val="00E105E7"/>
    <w:rsid w:val="00E139D4"/>
    <w:rsid w:val="00E1611B"/>
    <w:rsid w:val="00E20006"/>
    <w:rsid w:val="00E226FA"/>
    <w:rsid w:val="00E230C4"/>
    <w:rsid w:val="00E24A2D"/>
    <w:rsid w:val="00E3223D"/>
    <w:rsid w:val="00E33427"/>
    <w:rsid w:val="00E350B8"/>
    <w:rsid w:val="00E3733D"/>
    <w:rsid w:val="00E37F5F"/>
    <w:rsid w:val="00E46091"/>
    <w:rsid w:val="00E46ACE"/>
    <w:rsid w:val="00E50346"/>
    <w:rsid w:val="00E50DC9"/>
    <w:rsid w:val="00E554FB"/>
    <w:rsid w:val="00E60E45"/>
    <w:rsid w:val="00E630D5"/>
    <w:rsid w:val="00E64EB5"/>
    <w:rsid w:val="00E660B6"/>
    <w:rsid w:val="00E672DC"/>
    <w:rsid w:val="00E764BD"/>
    <w:rsid w:val="00E816B7"/>
    <w:rsid w:val="00E91854"/>
    <w:rsid w:val="00E92348"/>
    <w:rsid w:val="00E93F77"/>
    <w:rsid w:val="00E9433D"/>
    <w:rsid w:val="00E96BCC"/>
    <w:rsid w:val="00EA1109"/>
    <w:rsid w:val="00EA243E"/>
    <w:rsid w:val="00EA3C51"/>
    <w:rsid w:val="00EA506F"/>
    <w:rsid w:val="00EA643D"/>
    <w:rsid w:val="00EA6B7F"/>
    <w:rsid w:val="00EB0E2D"/>
    <w:rsid w:val="00EB4A4A"/>
    <w:rsid w:val="00EB5121"/>
    <w:rsid w:val="00EB527B"/>
    <w:rsid w:val="00EB6ADE"/>
    <w:rsid w:val="00EC2BA2"/>
    <w:rsid w:val="00EC4057"/>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745"/>
    <w:rsid w:val="00F06EBF"/>
    <w:rsid w:val="00F1413C"/>
    <w:rsid w:val="00F146AD"/>
    <w:rsid w:val="00F15084"/>
    <w:rsid w:val="00F16B15"/>
    <w:rsid w:val="00F234FC"/>
    <w:rsid w:val="00F23ABE"/>
    <w:rsid w:val="00F26799"/>
    <w:rsid w:val="00F30C72"/>
    <w:rsid w:val="00F3427D"/>
    <w:rsid w:val="00F36FFF"/>
    <w:rsid w:val="00F374C5"/>
    <w:rsid w:val="00F407E1"/>
    <w:rsid w:val="00F41217"/>
    <w:rsid w:val="00F41619"/>
    <w:rsid w:val="00F4453A"/>
    <w:rsid w:val="00F45B82"/>
    <w:rsid w:val="00F47693"/>
    <w:rsid w:val="00F47ABC"/>
    <w:rsid w:val="00F507D3"/>
    <w:rsid w:val="00F52821"/>
    <w:rsid w:val="00F54B00"/>
    <w:rsid w:val="00F60155"/>
    <w:rsid w:val="00F60EFF"/>
    <w:rsid w:val="00F67446"/>
    <w:rsid w:val="00F708A6"/>
    <w:rsid w:val="00F73053"/>
    <w:rsid w:val="00F76802"/>
    <w:rsid w:val="00F8352C"/>
    <w:rsid w:val="00F8479C"/>
    <w:rsid w:val="00F84C25"/>
    <w:rsid w:val="00F87828"/>
    <w:rsid w:val="00F91C6C"/>
    <w:rsid w:val="00F95BFA"/>
    <w:rsid w:val="00FA29BD"/>
    <w:rsid w:val="00FA57B9"/>
    <w:rsid w:val="00FB221B"/>
    <w:rsid w:val="00FB648E"/>
    <w:rsid w:val="00FB7091"/>
    <w:rsid w:val="00FB7204"/>
    <w:rsid w:val="00FB74B0"/>
    <w:rsid w:val="00FC714D"/>
    <w:rsid w:val="00FD0454"/>
    <w:rsid w:val="00FE2105"/>
    <w:rsid w:val="00FE27DA"/>
    <w:rsid w:val="00FE3EC1"/>
    <w:rsid w:val="00FE48E6"/>
    <w:rsid w:val="00FE6E6E"/>
    <w:rsid w:val="00FE7394"/>
    <w:rsid w:val="00FE7FD1"/>
    <w:rsid w:val="00FF09EE"/>
    <w:rsid w:val="00FF571D"/>
    <w:rsid w:val="00FF7D8B"/>
    <w:rsid w:val="05F7EAAE"/>
    <w:rsid w:val="14C05273"/>
    <w:rsid w:val="2484BED3"/>
    <w:rsid w:val="2A712C0B"/>
    <w:rsid w:val="354DC7B2"/>
    <w:rsid w:val="362CDBF5"/>
    <w:rsid w:val="3BAC4EEF"/>
    <w:rsid w:val="3D12D571"/>
    <w:rsid w:val="43B209C1"/>
    <w:rsid w:val="4B6DD91C"/>
    <w:rsid w:val="4C2FD6DF"/>
    <w:rsid w:val="4D5B420E"/>
    <w:rsid w:val="51A3D70E"/>
    <w:rsid w:val="57264C43"/>
    <w:rsid w:val="5B143D0A"/>
    <w:rsid w:val="5C51C038"/>
    <w:rsid w:val="6425C5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Footnote Text Char Char Char Char,Footnote Text Char Char Char,Footnote Text Char Char Char Char Char,Footnote reference,FA Fu,footnote text,Footnote Text Cha,FA Fußnotentext,FA Fuﬂnotentext,Footnote Text Char Char,Texto nota pie [MM],ft"/>
    <w:basedOn w:val="Normal"/>
    <w:link w:val="FootnoteTextChar"/>
    <w:autoRedefine/>
    <w:uiPriority w:val="99"/>
    <w:qFormat/>
    <w:rsid w:val="001D411B"/>
    <w:pPr>
      <w:spacing w:after="60"/>
    </w:pPr>
    <w:rPr>
      <w:sz w:val="14"/>
      <w:szCs w:val="24"/>
    </w:rPr>
  </w:style>
  <w:style w:type="character" w:customStyle="1" w:styleId="FootnoteTextChar">
    <w:name w:val="Footnote Text Char"/>
    <w:aliases w:val="Footnote Text Char Char Char Char Char1,Footnote Text Char Char Char Char1,Footnote Text Char Char Char Char Char Char,Footnote reference Char,FA Fu Char,footnote text Char,Footnote Text Cha Char,FA Fußnotentext Char,f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
    <w:basedOn w:val="DefaultParagraphFont"/>
    <w:link w:val="4GChar"/>
    <w:uiPriority w:val="99"/>
    <w:qFormat/>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character" w:styleId="UnresolvedMention">
    <w:name w:val="Unresolved Mention"/>
    <w:basedOn w:val="DefaultParagraphFont"/>
    <w:uiPriority w:val="99"/>
    <w:semiHidden/>
    <w:unhideWhenUsed/>
    <w:rsid w:val="00A82D1B"/>
    <w:rPr>
      <w:color w:val="605E5C"/>
      <w:shd w:val="clear" w:color="auto" w:fill="E1DFDD"/>
    </w:rPr>
  </w:style>
  <w:style w:type="paragraph" w:customStyle="1" w:styleId="DualTxt">
    <w:name w:val="__Dual Txt"/>
    <w:basedOn w:val="Normal"/>
    <w:rsid w:val="00C1439C"/>
    <w:pPr>
      <w:tabs>
        <w:tab w:val="left" w:pos="480"/>
        <w:tab w:val="left" w:pos="960"/>
        <w:tab w:val="left" w:pos="1440"/>
        <w:tab w:val="left" w:pos="1915"/>
        <w:tab w:val="left" w:pos="2405"/>
        <w:tab w:val="left" w:pos="2880"/>
        <w:tab w:val="left" w:pos="3355"/>
      </w:tabs>
      <w:suppressAutoHyphens/>
      <w:spacing w:after="120" w:line="240" w:lineRule="exact"/>
      <w:jc w:val="both"/>
    </w:pPr>
    <w:rPr>
      <w:rFonts w:ascii="Times New Roman" w:eastAsia="Times New Roman" w:hAnsi="Times New Roman" w:cs="Times New Roman"/>
      <w:color w:val="auto"/>
      <w:spacing w:val="4"/>
      <w:w w:val="103"/>
      <w:kern w:val="14"/>
      <w:lang w:val="en-GB" w:eastAsia="es-ES"/>
    </w:rPr>
  </w:style>
  <w:style w:type="paragraph" w:customStyle="1" w:styleId="SingleTxt">
    <w:name w:val="__Single Txt"/>
    <w:basedOn w:val="Normal"/>
    <w:link w:val="SingleTxtChar"/>
    <w:qFormat/>
    <w:rsid w:val="00C143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color w:val="auto"/>
      <w:spacing w:val="4"/>
      <w:w w:val="103"/>
      <w:kern w:val="14"/>
      <w:lang w:val="en-GB" w:eastAsia="es-ES"/>
    </w:rPr>
  </w:style>
  <w:style w:type="character" w:customStyle="1" w:styleId="SingleTxtChar">
    <w:name w:val="__Single Txt Char"/>
    <w:link w:val="SingleTxt"/>
    <w:locked/>
    <w:rsid w:val="00C1439C"/>
    <w:rPr>
      <w:rFonts w:ascii="Times New Roman" w:eastAsia="Times New Roman" w:hAnsi="Times New Roman" w:cs="Times New Roman"/>
      <w:color w:val="auto"/>
      <w:spacing w:val="4"/>
      <w:w w:val="103"/>
      <w:kern w:val="14"/>
      <w:lang w:val="en-GB" w:eastAsia="es-ES"/>
    </w:rPr>
  </w:style>
  <w:style w:type="paragraph" w:customStyle="1" w:styleId="C6BodyText">
    <w:name w:val="C6 Body Text"/>
    <w:basedOn w:val="Normal"/>
    <w:qFormat/>
    <w:rsid w:val="00C1439C"/>
    <w:pPr>
      <w:suppressAutoHyphens/>
      <w:autoSpaceDN w:val="0"/>
      <w:spacing w:after="120"/>
    </w:pPr>
    <w:rPr>
      <w:rFonts w:ascii="Calibri" w:eastAsia="Calibri" w:hAnsi="Calibri" w:cs="Times New Roman"/>
      <w:color w:val="3B3838"/>
      <w:sz w:val="24"/>
      <w:szCs w:val="24"/>
      <w:lang w:val="en-US"/>
    </w:rPr>
  </w:style>
  <w:style w:type="paragraph" w:styleId="CommentText">
    <w:name w:val="annotation text"/>
    <w:basedOn w:val="Normal"/>
    <w:link w:val="CommentTextChar"/>
    <w:rsid w:val="00C1439C"/>
    <w:pPr>
      <w:suppressAutoHyphens/>
      <w:autoSpaceDN w:val="0"/>
    </w:pPr>
    <w:rPr>
      <w:rFonts w:ascii="Calibri" w:eastAsia="Calibri" w:hAnsi="Calibri" w:cs="Times New Roman"/>
      <w:color w:val="auto"/>
      <w:lang w:val="en-GB"/>
    </w:rPr>
  </w:style>
  <w:style w:type="character" w:customStyle="1" w:styleId="CommentTextChar">
    <w:name w:val="Comment Text Char"/>
    <w:basedOn w:val="DefaultParagraphFont"/>
    <w:link w:val="CommentText"/>
    <w:rsid w:val="00C1439C"/>
    <w:rPr>
      <w:rFonts w:ascii="Calibri" w:eastAsia="Calibri" w:hAnsi="Calibri" w:cs="Times New Roman"/>
      <w:color w:val="auto"/>
      <w:lang w:val="en-GB"/>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rsid w:val="00DE1829"/>
    <w:pPr>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42977">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379862468">
      <w:bodyDiv w:val="1"/>
      <w:marLeft w:val="0"/>
      <w:marRight w:val="0"/>
      <w:marTop w:val="0"/>
      <w:marBottom w:val="0"/>
      <w:divBdr>
        <w:top w:val="none" w:sz="0" w:space="0" w:color="auto"/>
        <w:left w:val="none" w:sz="0" w:space="0" w:color="auto"/>
        <w:bottom w:val="none" w:sz="0" w:space="0" w:color="auto"/>
        <w:right w:val="none" w:sz="0" w:space="0" w:color="auto"/>
      </w:divBdr>
    </w:div>
    <w:div w:id="906844719">
      <w:bodyDiv w:val="1"/>
      <w:marLeft w:val="0"/>
      <w:marRight w:val="0"/>
      <w:marTop w:val="0"/>
      <w:marBottom w:val="0"/>
      <w:divBdr>
        <w:top w:val="none" w:sz="0" w:space="0" w:color="auto"/>
        <w:left w:val="none" w:sz="0" w:space="0" w:color="auto"/>
        <w:bottom w:val="none" w:sz="0" w:space="0" w:color="auto"/>
        <w:right w:val="none" w:sz="0" w:space="0" w:color="auto"/>
      </w:divBdr>
    </w:div>
    <w:div w:id="1178277700">
      <w:bodyDiv w:val="1"/>
      <w:marLeft w:val="0"/>
      <w:marRight w:val="0"/>
      <w:marTop w:val="0"/>
      <w:marBottom w:val="0"/>
      <w:divBdr>
        <w:top w:val="none" w:sz="0" w:space="0" w:color="auto"/>
        <w:left w:val="none" w:sz="0" w:space="0" w:color="auto"/>
        <w:bottom w:val="none" w:sz="0" w:space="0" w:color="auto"/>
        <w:right w:val="none" w:sz="0" w:space="0" w:color="auto"/>
      </w:divBdr>
    </w:div>
    <w:div w:id="1548298849">
      <w:bodyDiv w:val="1"/>
      <w:marLeft w:val="0"/>
      <w:marRight w:val="0"/>
      <w:marTop w:val="0"/>
      <w:marBottom w:val="0"/>
      <w:divBdr>
        <w:top w:val="none" w:sz="0" w:space="0" w:color="auto"/>
        <w:left w:val="none" w:sz="0" w:space="0" w:color="auto"/>
        <w:bottom w:val="none" w:sz="0" w:space="0" w:color="auto"/>
        <w:right w:val="none" w:sz="0" w:space="0" w:color="auto"/>
      </w:divBdr>
    </w:div>
    <w:div w:id="1882354123">
      <w:bodyDiv w:val="1"/>
      <w:marLeft w:val="0"/>
      <w:marRight w:val="0"/>
      <w:marTop w:val="0"/>
      <w:marBottom w:val="0"/>
      <w:divBdr>
        <w:top w:val="none" w:sz="0" w:space="0" w:color="auto"/>
        <w:left w:val="none" w:sz="0" w:space="0" w:color="auto"/>
        <w:bottom w:val="none" w:sz="0" w:space="0" w:color="auto"/>
        <w:right w:val="none" w:sz="0" w:space="0" w:color="auto"/>
      </w:divBdr>
    </w:div>
    <w:div w:id="200986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cn.gov.py/leyes-paraguayas/8927/ley-n-6202-adopta-normas-para-la-prevencion-del-abuso-sexual-y-la-atencion-integral-de-los-ninos-ninas-y-adolescentes-victimas-de-abuso-sexual-" TargetMode="External"/><Relationship Id="rId18" Type="http://schemas.openxmlformats.org/officeDocument/2006/relationships/image" Target="media/image3.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6.svg"/><Relationship Id="rId7" Type="http://schemas.openxmlformats.org/officeDocument/2006/relationships/endnotes" Target="endnotes.xml"/><Relationship Id="rId12" Type="http://schemas.openxmlformats.org/officeDocument/2006/relationships/hyperlink" Target="https://silpy.congreso.gov.py/web/expediente/128370" TargetMode="External"/><Relationship Id="rId17" Type="http://schemas.openxmlformats.org/officeDocument/2006/relationships/footer" Target="footer3.xm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lpy.congreso.gov.py/web/expediente/141311" TargetMode="External"/><Relationship Id="rId20" Type="http://schemas.openxmlformats.org/officeDocument/2006/relationships/image" Target="media/image5.png"/><Relationship Id="rId29" Type="http://schemas.openxmlformats.org/officeDocument/2006/relationships/hyperlink" Target="https://www.amnesty.org/e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c.gov.py/cms_v4/documentos/ver_documento/?titulo=29664-2017-RIERA1" TargetMode="External"/><Relationship Id="rId24" Type="http://schemas.openxmlformats.org/officeDocument/2006/relationships/hyperlink" Target="http://www.facebook.com/AmnestyGloba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lpy.congreso.gov.py/web/expediente/133011" TargetMode="External"/><Relationship Id="rId23" Type="http://schemas.openxmlformats.org/officeDocument/2006/relationships/hyperlink" Target="mailto:info@amnesty.org" TargetMode="External"/><Relationship Id="rId28" Type="http://schemas.openxmlformats.org/officeDocument/2006/relationships/hyperlink" Target="http://www.facebook.com/AmnestyGlobal" TargetMode="External"/><Relationship Id="rId10" Type="http://schemas.openxmlformats.org/officeDocument/2006/relationships/footer" Target="footer2.xml"/><Relationship Id="rId19" Type="http://schemas.openxmlformats.org/officeDocument/2006/relationships/image" Target="media/image4.sv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acn.gov.py/leyes-paraguayas/9680/ley-n-" TargetMode="External"/><Relationship Id="rId22" Type="http://schemas.openxmlformats.org/officeDocument/2006/relationships/image" Target="media/image7.png"/><Relationship Id="rId27" Type="http://schemas.openxmlformats.org/officeDocument/2006/relationships/hyperlink" Target="mailto:info@amnesty.org" TargetMode="External"/><Relationship Id="rId30" Type="http://schemas.openxmlformats.org/officeDocument/2006/relationships/hyperlink" Target="https://www.amnesty.org/es/permissions/" TargetMode="Externa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ne.gov.py/ckfinder/userfiles/files/ENSIMUP%20resultados.pdf" TargetMode="External"/><Relationship Id="rId13" Type="http://schemas.openxmlformats.org/officeDocument/2006/relationships/hyperlink" Target="https://silpy.congreso.gov.py/web/expediente/141311" TargetMode="External"/><Relationship Id="rId3" Type="http://schemas.openxmlformats.org/officeDocument/2006/relationships/hyperlink" Target="http://www.bacn.gov.py/leyes-paraguayas/3497/codigo-penal" TargetMode="External"/><Relationship Id="rId7" Type="http://schemas.openxmlformats.org/officeDocument/2006/relationships/hyperlink" Target="https://ods.ine.gov.py/ine-main/ods/salud-y-bienestar-3/meta-3.1/indicador-35" TargetMode="External"/><Relationship Id="rId12" Type="http://schemas.openxmlformats.org/officeDocument/2006/relationships/hyperlink" Target="https://silpy.congreso.gov.py/web/expediente/133011" TargetMode="External"/><Relationship Id="rId2" Type="http://schemas.openxmlformats.org/officeDocument/2006/relationships/hyperlink" Target="https://informacionpublica.paraguay.gov.py/" TargetMode="External"/><Relationship Id="rId1" Type="http://schemas.openxmlformats.org/officeDocument/2006/relationships/hyperlink" Target="https://www.amnesty.org/es/documents/amr45/5031/2021/es/" TargetMode="External"/><Relationship Id="rId6" Type="http://schemas.openxmlformats.org/officeDocument/2006/relationships/hyperlink" Target="https://dvent.mspbs.gov.py/tipos-de-cancer-que-causan-mayor-mortalidad-en-el-pais/" TargetMode="External"/><Relationship Id="rId11" Type="http://schemas.openxmlformats.org/officeDocument/2006/relationships/hyperlink" Target="https://atlasgenero.ine.gov.py/detalle-indicador.php?id=145&amp;year=2021" TargetMode="External"/><Relationship Id="rId5" Type="http://schemas.openxmlformats.org/officeDocument/2006/relationships/hyperlink" Target="https://www.amnesty.org/es/documents/amr45/7181/2023/es/" TargetMode="External"/><Relationship Id="rId10" Type="http://schemas.openxmlformats.org/officeDocument/2006/relationships/hyperlink" Target="https://atlasgenero.ine.gov.py/detalle-indicador.php?id=145&amp;year=2021" TargetMode="External"/><Relationship Id="rId4" Type="http://schemas.openxmlformats.org/officeDocument/2006/relationships/hyperlink" Target="https://www.mec.gov.py/cms_v4/documentos/ver_documento/?titulo=29664-2017-RIERA1" TargetMode="External"/><Relationship Id="rId9" Type="http://schemas.openxmlformats.org/officeDocument/2006/relationships/hyperlink" Target="http://201.217.12.78/datos/"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2077</Words>
  <Characters>11845</Characters>
  <Application>Microsoft Office Word</Application>
  <DocSecurity>0</DocSecurity>
  <Lines>98</Lines>
  <Paragraphs>27</Paragraphs>
  <ScaleCrop>false</ScaleCrop>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2025-05-16T10:16:00Z</dcterms:created>
  <dcterms:modified xsi:type="dcterms:W3CDTF">2025-05-16T10:16:00Z</dcterms:modified>
</cp:coreProperties>
</file>