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r w:rsidRPr="00680B65">
        <w:rPr>
          <w:rFonts w:ascii="Times New Roman" w:hAnsi="Times New Roman"/>
          <w:sz w:val="24"/>
          <w:szCs w:val="24"/>
        </w:rPr>
        <w:t>Compliance with the Convention on the Elimination of All Forms of Discrimination</w:t>
      </w: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r w:rsidRPr="00680B65">
        <w:rPr>
          <w:rFonts w:ascii="Times New Roman" w:hAnsi="Times New Roman"/>
          <w:sz w:val="24"/>
          <w:szCs w:val="24"/>
        </w:rPr>
        <w:t>Against Women</w:t>
      </w: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r w:rsidRPr="00680B65">
        <w:rPr>
          <w:rFonts w:ascii="Times New Roman" w:hAnsi="Times New Roman"/>
          <w:sz w:val="24"/>
          <w:szCs w:val="24"/>
        </w:rPr>
        <w:t>SHADOW REPORT</w:t>
      </w: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lang w:val="bg-BG"/>
        </w:rPr>
      </w:pPr>
      <w:r w:rsidRPr="00680B65">
        <w:rPr>
          <w:rFonts w:ascii="Times New Roman" w:hAnsi="Times New Roman"/>
          <w:sz w:val="24"/>
          <w:szCs w:val="24"/>
        </w:rPr>
        <w:t>Submitted by “Bulgarian Fund for Women” Foundation</w:t>
      </w:r>
    </w:p>
    <w:p w:rsidR="00612C67" w:rsidRPr="00680B65" w:rsidRDefault="00612C67" w:rsidP="00612C67">
      <w:pPr>
        <w:widowControl w:val="0"/>
        <w:autoSpaceDE w:val="0"/>
        <w:autoSpaceDN w:val="0"/>
        <w:adjustRightInd w:val="0"/>
        <w:spacing w:line="320" w:lineRule="exact"/>
        <w:jc w:val="center"/>
        <w:rPr>
          <w:rFonts w:ascii="Times New Roman" w:hAnsi="Times New Roman"/>
          <w:sz w:val="24"/>
          <w:szCs w:val="24"/>
        </w:rPr>
      </w:pPr>
      <w:r w:rsidRPr="00680B65">
        <w:rPr>
          <w:rFonts w:ascii="Times New Roman" w:hAnsi="Times New Roman"/>
          <w:sz w:val="24"/>
          <w:szCs w:val="24"/>
        </w:rPr>
        <w:t xml:space="preserve">To be considered on the </w:t>
      </w:r>
      <w:r w:rsidRPr="00680B65">
        <w:rPr>
          <w:rStyle w:val="sessionsubtitle"/>
          <w:rFonts w:ascii="Times New Roman" w:hAnsi="Times New Roman"/>
          <w:sz w:val="24"/>
          <w:szCs w:val="24"/>
        </w:rPr>
        <w:t xml:space="preserve">75 Session (10 Feb 2020 - 28 Feb 2020) in relation to reporting country: </w:t>
      </w:r>
      <w:r w:rsidRPr="00680B65">
        <w:rPr>
          <w:rStyle w:val="sessionsubtitle"/>
          <w:rFonts w:ascii="Times New Roman" w:hAnsi="Times New Roman"/>
          <w:b/>
          <w:sz w:val="24"/>
          <w:szCs w:val="24"/>
        </w:rPr>
        <w:t>Bulgaria</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sidRPr="00680B65">
        <w:rPr>
          <w:rFonts w:ascii="Times New Roman" w:hAnsi="Times New Roman"/>
          <w:b/>
          <w:bCs/>
          <w:spacing w:val="4"/>
          <w:sz w:val="24"/>
          <w:szCs w:val="24"/>
        </w:rPr>
        <w:t>Statement relative to issue No. 10 – Domestic violence</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According to the Criminal Code, a middle body injury is</w:t>
      </w:r>
      <w:r>
        <w:rPr>
          <w:rFonts w:ascii="Times New Roman" w:hAnsi="Times New Roman"/>
          <w:bCs/>
          <w:spacing w:val="4"/>
          <w:sz w:val="24"/>
          <w:szCs w:val="24"/>
        </w:rPr>
        <w:t xml:space="preserve"> a publicly prosecutable crime,</w:t>
      </w:r>
      <w:r w:rsidRPr="00680B65">
        <w:rPr>
          <w:rFonts w:ascii="Times New Roman" w:hAnsi="Times New Roman"/>
          <w:bCs/>
          <w:spacing w:val="4"/>
          <w:sz w:val="24"/>
          <w:szCs w:val="24"/>
        </w:rPr>
        <w:t xml:space="preserve"> </w:t>
      </w:r>
      <w:r>
        <w:rPr>
          <w:rFonts w:ascii="Times New Roman" w:hAnsi="Times New Roman"/>
          <w:bCs/>
          <w:spacing w:val="4"/>
          <w:sz w:val="24"/>
          <w:szCs w:val="24"/>
        </w:rPr>
        <w:t>w</w:t>
      </w:r>
      <w:r w:rsidRPr="00680B65">
        <w:rPr>
          <w:rFonts w:ascii="Times New Roman" w:hAnsi="Times New Roman"/>
          <w:bCs/>
          <w:spacing w:val="4"/>
          <w:sz w:val="24"/>
          <w:szCs w:val="24"/>
        </w:rPr>
        <w:t xml:space="preserve">ith one exception. When it is caused between spouses, the prosecution office shall not open investigation, unless they have the victim’s explicit complaint – Section 161, paragraph 2 of CC. This provision discriminates victims of physical violence on the ground marital status. Its practical effect is that married women are treated less favorable than single women. The implementation of Article 2 (g) of CEDAW requires the abolition of this provision. </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The Criminal Code </w:t>
      </w:r>
      <w:r>
        <w:rPr>
          <w:rFonts w:ascii="Times New Roman" w:hAnsi="Times New Roman"/>
          <w:bCs/>
          <w:spacing w:val="4"/>
          <w:sz w:val="24"/>
          <w:szCs w:val="24"/>
        </w:rPr>
        <w:t>outline</w:t>
      </w:r>
      <w:r w:rsidRPr="00680B65">
        <w:rPr>
          <w:rFonts w:ascii="Times New Roman" w:hAnsi="Times New Roman"/>
          <w:bCs/>
          <w:spacing w:val="4"/>
          <w:sz w:val="24"/>
          <w:szCs w:val="24"/>
        </w:rPr>
        <w:t>s “</w:t>
      </w:r>
      <w:r>
        <w:rPr>
          <w:rFonts w:ascii="Times New Roman" w:hAnsi="Times New Roman"/>
          <w:bCs/>
          <w:spacing w:val="4"/>
          <w:sz w:val="24"/>
          <w:szCs w:val="24"/>
        </w:rPr>
        <w:t>child</w:t>
      </w:r>
      <w:r w:rsidRPr="00680B65">
        <w:rPr>
          <w:rFonts w:ascii="Times New Roman" w:hAnsi="Times New Roman"/>
          <w:bCs/>
          <w:spacing w:val="4"/>
          <w:sz w:val="24"/>
          <w:szCs w:val="24"/>
        </w:rPr>
        <w:t xml:space="preserve"> victim” as an aggravating circumstance to the crimes homicide, body injury and kidnapping. Likewise, it should distinguish “female victim” as an aggravating circumstance to these crimes. </w:t>
      </w:r>
      <w:r>
        <w:rPr>
          <w:rFonts w:ascii="Times New Roman" w:hAnsi="Times New Roman"/>
          <w:bCs/>
          <w:spacing w:val="4"/>
          <w:sz w:val="24"/>
          <w:szCs w:val="24"/>
        </w:rPr>
        <w:t>Such legal qualification</w:t>
      </w:r>
      <w:r w:rsidRPr="00680B65">
        <w:rPr>
          <w:rFonts w:ascii="Times New Roman" w:hAnsi="Times New Roman"/>
          <w:bCs/>
          <w:spacing w:val="4"/>
          <w:sz w:val="24"/>
          <w:szCs w:val="24"/>
        </w:rPr>
        <w:t xml:space="preserve"> would allow the prosecutors to prove </w:t>
      </w:r>
      <w:r>
        <w:rPr>
          <w:rFonts w:ascii="Times New Roman" w:hAnsi="Times New Roman"/>
          <w:bCs/>
          <w:spacing w:val="4"/>
          <w:sz w:val="24"/>
          <w:szCs w:val="24"/>
        </w:rPr>
        <w:t>easier</w:t>
      </w:r>
      <w:r w:rsidRPr="00680B65">
        <w:rPr>
          <w:rFonts w:ascii="Times New Roman" w:hAnsi="Times New Roman"/>
          <w:bCs/>
          <w:spacing w:val="4"/>
          <w:sz w:val="24"/>
          <w:szCs w:val="24"/>
        </w:rPr>
        <w:t xml:space="preserve"> the acts of domestic violence, than the current </w:t>
      </w:r>
      <w:r>
        <w:rPr>
          <w:rFonts w:ascii="Times New Roman" w:hAnsi="Times New Roman"/>
          <w:bCs/>
          <w:spacing w:val="4"/>
          <w:sz w:val="24"/>
          <w:szCs w:val="24"/>
        </w:rPr>
        <w:t>one</w:t>
      </w:r>
      <w:r w:rsidRPr="00680B65">
        <w:rPr>
          <w:rFonts w:ascii="Times New Roman" w:hAnsi="Times New Roman"/>
          <w:bCs/>
          <w:spacing w:val="4"/>
          <w:sz w:val="24"/>
          <w:szCs w:val="24"/>
        </w:rPr>
        <w:t xml:space="preserve"> - “in the conditions of domestic violence”. The latter requires the prosecutors to prove a history of domestic violence, systemic actions of the perpetrator and repetitive occasions of causing body injuries /3 or more times/. We believe that the legislator would combat effectively gender stereotypes </w:t>
      </w:r>
      <w:r>
        <w:rPr>
          <w:rFonts w:ascii="Times New Roman" w:hAnsi="Times New Roman"/>
          <w:bCs/>
          <w:spacing w:val="4"/>
          <w:sz w:val="24"/>
          <w:szCs w:val="24"/>
        </w:rPr>
        <w:t>if</w:t>
      </w:r>
      <w:r w:rsidRPr="00680B65">
        <w:rPr>
          <w:rFonts w:ascii="Times New Roman" w:hAnsi="Times New Roman"/>
          <w:bCs/>
          <w:spacing w:val="4"/>
          <w:sz w:val="24"/>
          <w:szCs w:val="24"/>
        </w:rPr>
        <w:t xml:space="preserve"> it </w:t>
      </w:r>
      <w:r>
        <w:rPr>
          <w:rFonts w:ascii="Times New Roman" w:hAnsi="Times New Roman"/>
          <w:bCs/>
          <w:spacing w:val="4"/>
          <w:sz w:val="24"/>
          <w:szCs w:val="24"/>
        </w:rPr>
        <w:t>state</w:t>
      </w:r>
      <w:r w:rsidRPr="00680B65">
        <w:rPr>
          <w:rFonts w:ascii="Times New Roman" w:hAnsi="Times New Roman"/>
          <w:bCs/>
          <w:spacing w:val="4"/>
          <w:sz w:val="24"/>
          <w:szCs w:val="24"/>
        </w:rPr>
        <w:t xml:space="preserve">s clearly in the Criminal Code that women are by default a specific group </w:t>
      </w:r>
      <w:r>
        <w:rPr>
          <w:rFonts w:ascii="Times New Roman" w:hAnsi="Times New Roman"/>
          <w:bCs/>
          <w:spacing w:val="4"/>
          <w:sz w:val="24"/>
          <w:szCs w:val="24"/>
        </w:rPr>
        <w:t xml:space="preserve">of </w:t>
      </w:r>
      <w:r w:rsidRPr="00680B65">
        <w:rPr>
          <w:rFonts w:ascii="Times New Roman" w:hAnsi="Times New Roman"/>
          <w:bCs/>
          <w:spacing w:val="4"/>
          <w:sz w:val="24"/>
          <w:szCs w:val="24"/>
        </w:rPr>
        <w:t xml:space="preserve">crime victims and </w:t>
      </w:r>
      <w:r>
        <w:rPr>
          <w:rFonts w:ascii="Times New Roman" w:hAnsi="Times New Roman"/>
          <w:bCs/>
          <w:spacing w:val="4"/>
          <w:sz w:val="24"/>
          <w:szCs w:val="24"/>
        </w:rPr>
        <w:t xml:space="preserve">an </w:t>
      </w:r>
      <w:r w:rsidRPr="00680B65">
        <w:rPr>
          <w:rFonts w:ascii="Times New Roman" w:hAnsi="Times New Roman"/>
          <w:bCs/>
          <w:spacing w:val="4"/>
          <w:sz w:val="24"/>
          <w:szCs w:val="24"/>
        </w:rPr>
        <w:t>easy target of violence, like it did with children.</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In this regard, we would like to remind that in Sofia city - population </w:t>
      </w:r>
      <w:r w:rsidRPr="00680B65">
        <w:rPr>
          <w:rFonts w:ascii="Times New Roman" w:hAnsi="Times New Roman"/>
          <w:sz w:val="24"/>
          <w:szCs w:val="24"/>
        </w:rPr>
        <w:t xml:space="preserve">1 269 384 </w:t>
      </w:r>
      <w:proofErr w:type="spellStart"/>
      <w:r w:rsidRPr="00680B65">
        <w:rPr>
          <w:rFonts w:ascii="Times New Roman" w:hAnsi="Times New Roman"/>
          <w:sz w:val="24"/>
          <w:szCs w:val="24"/>
        </w:rPr>
        <w:t>mln</w:t>
      </w:r>
      <w:proofErr w:type="spellEnd"/>
      <w:r w:rsidRPr="00680B65">
        <w:rPr>
          <w:rFonts w:ascii="Times New Roman" w:hAnsi="Times New Roman"/>
          <w:sz w:val="24"/>
          <w:szCs w:val="24"/>
        </w:rPr>
        <w:t xml:space="preserve">; 661 525 </w:t>
      </w:r>
      <w:r w:rsidRPr="00680B65">
        <w:rPr>
          <w:rFonts w:ascii="Times New Roman" w:hAnsi="Times New Roman"/>
          <w:sz w:val="24"/>
          <w:szCs w:val="24"/>
        </w:rPr>
        <w:lastRenderedPageBreak/>
        <w:t>women</w:t>
      </w:r>
      <w:r w:rsidRPr="00680B65">
        <w:rPr>
          <w:rStyle w:val="FootnoteReference"/>
          <w:rFonts w:ascii="Times New Roman" w:hAnsi="Times New Roman"/>
          <w:sz w:val="24"/>
          <w:szCs w:val="24"/>
        </w:rPr>
        <w:footnoteReference w:id="1"/>
      </w:r>
      <w:r w:rsidRPr="00680B65">
        <w:rPr>
          <w:rFonts w:ascii="Times New Roman" w:hAnsi="Times New Roman"/>
          <w:sz w:val="24"/>
          <w:szCs w:val="24"/>
        </w:rPr>
        <w:t xml:space="preserve"> - </w:t>
      </w:r>
      <w:r w:rsidRPr="00680B65">
        <w:rPr>
          <w:rFonts w:ascii="Times New Roman" w:hAnsi="Times New Roman"/>
          <w:bCs/>
          <w:spacing w:val="4"/>
          <w:sz w:val="24"/>
          <w:szCs w:val="24"/>
        </w:rPr>
        <w:t>there is only one crisis center for victims of domestic violence, with capacity 8 /eight/ beds</w:t>
      </w:r>
      <w:r w:rsidRPr="00680B65">
        <w:rPr>
          <w:rFonts w:ascii="Times New Roman" w:hAnsi="Times New Roman"/>
          <w:sz w:val="24"/>
          <w:szCs w:val="24"/>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sidRPr="00680B65">
        <w:rPr>
          <w:rFonts w:ascii="Times New Roman" w:hAnsi="Times New Roman"/>
          <w:b/>
          <w:bCs/>
          <w:spacing w:val="4"/>
          <w:sz w:val="24"/>
          <w:szCs w:val="24"/>
        </w:rPr>
        <w:t>Statement relative to issue No. 10 - Sexual violence against girls</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According to the latest annual report of the Supreme Cassation Prosecution Office</w:t>
      </w:r>
      <w:r w:rsidRPr="00680B65">
        <w:rPr>
          <w:rStyle w:val="FootnoteReference"/>
          <w:rFonts w:ascii="Times New Roman" w:hAnsi="Times New Roman"/>
          <w:bCs/>
          <w:spacing w:val="4"/>
          <w:sz w:val="24"/>
          <w:szCs w:val="24"/>
        </w:rPr>
        <w:footnoteReference w:id="2"/>
      </w:r>
      <w:r w:rsidRPr="00680B65">
        <w:rPr>
          <w:rFonts w:ascii="Times New Roman" w:hAnsi="Times New Roman"/>
          <w:bCs/>
          <w:spacing w:val="4"/>
          <w:sz w:val="24"/>
          <w:szCs w:val="24"/>
        </w:rPr>
        <w:t xml:space="preserve">, 49 minor girls were trafficked for the purpose of sexual exploitation and 664 minor girls were illegally married in 2018. There is no data regarding the number of </w:t>
      </w:r>
      <w:r>
        <w:rPr>
          <w:rFonts w:ascii="Times New Roman" w:hAnsi="Times New Roman"/>
          <w:bCs/>
          <w:spacing w:val="4"/>
          <w:sz w:val="24"/>
          <w:szCs w:val="24"/>
        </w:rPr>
        <w:t>minor women</w:t>
      </w:r>
      <w:r w:rsidRPr="00680B65">
        <w:rPr>
          <w:rFonts w:ascii="Times New Roman" w:hAnsi="Times New Roman"/>
          <w:bCs/>
          <w:spacing w:val="4"/>
          <w:sz w:val="24"/>
          <w:szCs w:val="24"/>
        </w:rPr>
        <w:t xml:space="preserve"> who became victims of rape and other forms of sexual violence (nor there exists an official statistic regarding the number of raped adult women). </w:t>
      </w:r>
      <w:r>
        <w:rPr>
          <w:rFonts w:ascii="Times New Roman" w:hAnsi="Times New Roman"/>
          <w:bCs/>
          <w:spacing w:val="4"/>
          <w:sz w:val="24"/>
          <w:szCs w:val="24"/>
        </w:rPr>
        <w:t xml:space="preserve">There is no data either on the number of refused or terminated investigations of rape. Human rights attorneys report that the prosecutors continue to require strong evidence of active physical resistance on behalf of the victims and immediate reporting to the police. Otherwise, they are reluctant to bring accusations. </w:t>
      </w:r>
      <w:r w:rsidRPr="00680B65">
        <w:rPr>
          <w:rFonts w:ascii="Times New Roman" w:hAnsi="Times New Roman"/>
          <w:bCs/>
          <w:spacing w:val="4"/>
          <w:sz w:val="24"/>
          <w:szCs w:val="24"/>
        </w:rPr>
        <w:t xml:space="preserve">We recommend the Government to start collecting data specifying the gender of victims of sexual violence. </w:t>
      </w:r>
    </w:p>
    <w:p w:rsidR="00612C67" w:rsidRPr="00680B65" w:rsidRDefault="00612C67" w:rsidP="00612C67">
      <w:pPr>
        <w:widowControl w:val="0"/>
        <w:autoSpaceDE w:val="0"/>
        <w:autoSpaceDN w:val="0"/>
        <w:adjustRightInd w:val="0"/>
        <w:spacing w:after="0" w:line="320" w:lineRule="exact"/>
        <w:jc w:val="both"/>
        <w:rPr>
          <w:rFonts w:ascii="Times New Roman" w:hAnsi="Times New Roman"/>
          <w:bCs/>
          <w:spacing w:val="4"/>
          <w:sz w:val="24"/>
          <w:szCs w:val="24"/>
        </w:rPr>
      </w:pPr>
      <w:r w:rsidRPr="00680B65">
        <w:rPr>
          <w:rFonts w:ascii="Times New Roman" w:hAnsi="Times New Roman"/>
          <w:sz w:val="24"/>
          <w:szCs w:val="24"/>
        </w:rPr>
        <w:t xml:space="preserve">The earlier reports of the </w:t>
      </w:r>
      <w:r w:rsidRPr="00680B65">
        <w:rPr>
          <w:rFonts w:ascii="Times New Roman" w:hAnsi="Times New Roman"/>
          <w:bCs/>
          <w:spacing w:val="4"/>
          <w:sz w:val="24"/>
          <w:szCs w:val="24"/>
        </w:rPr>
        <w:t>Supreme Cassation Prosecution Office indicate the following data:</w:t>
      </w:r>
    </w:p>
    <w:p w:rsidR="00612C67" w:rsidRPr="00680B65" w:rsidRDefault="00612C67" w:rsidP="00612C67">
      <w:pPr>
        <w:widowControl w:val="0"/>
        <w:numPr>
          <w:ilvl w:val="0"/>
          <w:numId w:val="2"/>
        </w:numPr>
        <w:autoSpaceDE w:val="0"/>
        <w:autoSpaceDN w:val="0"/>
        <w:adjustRightInd w:val="0"/>
        <w:spacing w:after="0" w:line="320" w:lineRule="exact"/>
        <w:jc w:val="both"/>
        <w:rPr>
          <w:rFonts w:ascii="Times New Roman" w:hAnsi="Times New Roman"/>
          <w:sz w:val="24"/>
          <w:szCs w:val="24"/>
        </w:rPr>
      </w:pPr>
      <w:r w:rsidRPr="00680B65">
        <w:rPr>
          <w:rFonts w:ascii="Times New Roman" w:hAnsi="Times New Roman"/>
          <w:bCs/>
          <w:spacing w:val="4"/>
          <w:sz w:val="24"/>
          <w:szCs w:val="24"/>
        </w:rPr>
        <w:t xml:space="preserve">In </w:t>
      </w:r>
      <w:r w:rsidRPr="00680B65">
        <w:rPr>
          <w:rFonts w:ascii="Times New Roman" w:hAnsi="Times New Roman"/>
          <w:sz w:val="24"/>
          <w:szCs w:val="24"/>
        </w:rPr>
        <w:t>2017</w:t>
      </w:r>
      <w:r w:rsidRPr="00680B65">
        <w:rPr>
          <w:rStyle w:val="FootnoteReference"/>
          <w:rFonts w:ascii="Times New Roman" w:hAnsi="Times New Roman"/>
          <w:sz w:val="24"/>
          <w:szCs w:val="24"/>
        </w:rPr>
        <w:footnoteReference w:id="3"/>
      </w:r>
      <w:r w:rsidRPr="00680B65">
        <w:rPr>
          <w:rFonts w:ascii="Times New Roman" w:hAnsi="Times New Roman"/>
          <w:sz w:val="24"/>
          <w:szCs w:val="24"/>
        </w:rPr>
        <w:t xml:space="preserve"> - 32 trafficked minor </w:t>
      </w:r>
      <w:r>
        <w:rPr>
          <w:rFonts w:ascii="Times New Roman" w:hAnsi="Times New Roman"/>
          <w:sz w:val="24"/>
          <w:szCs w:val="24"/>
        </w:rPr>
        <w:t>women</w:t>
      </w:r>
      <w:r w:rsidRPr="00680B65">
        <w:rPr>
          <w:rFonts w:ascii="Times New Roman" w:hAnsi="Times New Roman"/>
          <w:sz w:val="24"/>
          <w:szCs w:val="24"/>
        </w:rPr>
        <w:t xml:space="preserve"> for the purpose of sexual exploitation and 670 minor </w:t>
      </w:r>
      <w:r>
        <w:rPr>
          <w:rFonts w:ascii="Times New Roman" w:hAnsi="Times New Roman"/>
          <w:sz w:val="24"/>
          <w:szCs w:val="24"/>
        </w:rPr>
        <w:t xml:space="preserve">women </w:t>
      </w:r>
      <w:r w:rsidRPr="00680B65">
        <w:rPr>
          <w:rFonts w:ascii="Times New Roman" w:hAnsi="Times New Roman"/>
          <w:sz w:val="24"/>
          <w:szCs w:val="24"/>
        </w:rPr>
        <w:t>illegally married;</w:t>
      </w:r>
    </w:p>
    <w:p w:rsidR="00612C67" w:rsidRPr="00680B65" w:rsidRDefault="00612C67" w:rsidP="00612C67">
      <w:pPr>
        <w:widowControl w:val="0"/>
        <w:numPr>
          <w:ilvl w:val="0"/>
          <w:numId w:val="2"/>
        </w:numPr>
        <w:autoSpaceDE w:val="0"/>
        <w:autoSpaceDN w:val="0"/>
        <w:adjustRightInd w:val="0"/>
        <w:spacing w:after="0" w:line="320" w:lineRule="exact"/>
        <w:jc w:val="both"/>
        <w:rPr>
          <w:rFonts w:ascii="Times New Roman" w:hAnsi="Times New Roman"/>
          <w:sz w:val="24"/>
          <w:szCs w:val="24"/>
        </w:rPr>
      </w:pPr>
      <w:r w:rsidRPr="00680B65">
        <w:rPr>
          <w:rFonts w:ascii="Times New Roman" w:hAnsi="Times New Roman"/>
          <w:sz w:val="24"/>
          <w:szCs w:val="24"/>
        </w:rPr>
        <w:t>In 2016</w:t>
      </w:r>
      <w:r w:rsidRPr="00680B65">
        <w:rPr>
          <w:rStyle w:val="FootnoteReference"/>
          <w:rFonts w:ascii="Times New Roman" w:hAnsi="Times New Roman"/>
          <w:sz w:val="24"/>
          <w:szCs w:val="24"/>
        </w:rPr>
        <w:footnoteReference w:id="4"/>
      </w:r>
      <w:r w:rsidRPr="00680B65">
        <w:rPr>
          <w:rFonts w:ascii="Times New Roman" w:hAnsi="Times New Roman"/>
          <w:sz w:val="24"/>
          <w:szCs w:val="24"/>
        </w:rPr>
        <w:t xml:space="preserve"> - 19 trafficked minor </w:t>
      </w:r>
      <w:r>
        <w:rPr>
          <w:rFonts w:ascii="Times New Roman" w:hAnsi="Times New Roman"/>
          <w:sz w:val="24"/>
          <w:szCs w:val="24"/>
        </w:rPr>
        <w:t>women</w:t>
      </w:r>
      <w:r w:rsidRPr="00680B65">
        <w:rPr>
          <w:rFonts w:ascii="Times New Roman" w:hAnsi="Times New Roman"/>
          <w:sz w:val="24"/>
          <w:szCs w:val="24"/>
        </w:rPr>
        <w:t xml:space="preserve"> for the purpose of sexual exploitation and 629 minor </w:t>
      </w:r>
      <w:r>
        <w:rPr>
          <w:rFonts w:ascii="Times New Roman" w:hAnsi="Times New Roman"/>
          <w:sz w:val="24"/>
          <w:szCs w:val="24"/>
        </w:rPr>
        <w:t xml:space="preserve">women </w:t>
      </w:r>
      <w:r w:rsidRPr="00680B65">
        <w:rPr>
          <w:rFonts w:ascii="Times New Roman" w:hAnsi="Times New Roman"/>
          <w:sz w:val="24"/>
          <w:szCs w:val="24"/>
        </w:rPr>
        <w:t>illegally married;</w:t>
      </w:r>
    </w:p>
    <w:p w:rsidR="00612C67" w:rsidRPr="00680B65" w:rsidRDefault="00612C67" w:rsidP="00612C67">
      <w:pPr>
        <w:widowControl w:val="0"/>
        <w:numPr>
          <w:ilvl w:val="0"/>
          <w:numId w:val="2"/>
        </w:numPr>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In 2015</w:t>
      </w:r>
      <w:r w:rsidRPr="00680B65">
        <w:rPr>
          <w:rStyle w:val="FootnoteReference"/>
          <w:rFonts w:ascii="Times New Roman" w:hAnsi="Times New Roman"/>
          <w:sz w:val="24"/>
          <w:szCs w:val="24"/>
        </w:rPr>
        <w:footnoteReference w:id="5"/>
      </w:r>
      <w:r w:rsidRPr="00680B65">
        <w:rPr>
          <w:rFonts w:ascii="Times New Roman" w:hAnsi="Times New Roman"/>
          <w:sz w:val="24"/>
          <w:szCs w:val="24"/>
        </w:rPr>
        <w:t xml:space="preserve"> - 24 trafficked minor </w:t>
      </w:r>
      <w:r>
        <w:rPr>
          <w:rFonts w:ascii="Times New Roman" w:hAnsi="Times New Roman"/>
          <w:sz w:val="24"/>
          <w:szCs w:val="24"/>
        </w:rPr>
        <w:t>women</w:t>
      </w:r>
      <w:r w:rsidRPr="00680B65">
        <w:rPr>
          <w:rFonts w:ascii="Times New Roman" w:hAnsi="Times New Roman"/>
          <w:sz w:val="24"/>
          <w:szCs w:val="24"/>
        </w:rPr>
        <w:t xml:space="preserve"> for the purpose of sexual exploitation and 655 minor</w:t>
      </w:r>
      <w:r>
        <w:rPr>
          <w:rFonts w:ascii="Times New Roman" w:hAnsi="Times New Roman"/>
          <w:sz w:val="24"/>
          <w:szCs w:val="24"/>
        </w:rPr>
        <w:t xml:space="preserve"> women</w:t>
      </w:r>
      <w:r w:rsidRPr="00680B65">
        <w:rPr>
          <w:rFonts w:ascii="Times New Roman" w:hAnsi="Times New Roman"/>
          <w:sz w:val="24"/>
          <w:szCs w:val="24"/>
        </w:rPr>
        <w:t xml:space="preserve"> illegally married.</w:t>
      </w:r>
    </w:p>
    <w:p w:rsidR="00612C67"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 xml:space="preserve">Evidently, the efforts of the Government to eliminate early marriages in the country are ineffective and the victims’ number remains unchanged each year. We believe that some 700 sexually exploited girls per year is a drastically high number and we expect the Government to identify </w:t>
      </w:r>
      <w:r>
        <w:rPr>
          <w:rFonts w:ascii="Times New Roman" w:hAnsi="Times New Roman"/>
          <w:sz w:val="24"/>
          <w:szCs w:val="24"/>
        </w:rPr>
        <w:t>before</w:t>
      </w:r>
      <w:r w:rsidRPr="00680B65">
        <w:rPr>
          <w:rFonts w:ascii="Times New Roman" w:hAnsi="Times New Roman"/>
          <w:sz w:val="24"/>
          <w:szCs w:val="24"/>
        </w:rPr>
        <w:t xml:space="preserve"> CEDAW </w:t>
      </w:r>
      <w:r>
        <w:rPr>
          <w:rFonts w:ascii="Times New Roman" w:hAnsi="Times New Roman"/>
          <w:sz w:val="24"/>
          <w:szCs w:val="24"/>
        </w:rPr>
        <w:t xml:space="preserve">genuinely </w:t>
      </w:r>
      <w:r w:rsidRPr="00680B65">
        <w:rPr>
          <w:rFonts w:ascii="Times New Roman" w:hAnsi="Times New Roman"/>
          <w:sz w:val="24"/>
          <w:szCs w:val="24"/>
        </w:rPr>
        <w:t xml:space="preserve">effective measures to combat this phenomenon. </w:t>
      </w:r>
    </w:p>
    <w:p w:rsidR="00612C67" w:rsidRDefault="00612C67" w:rsidP="00612C67">
      <w:pPr>
        <w:widowControl w:val="0"/>
        <w:autoSpaceDE w:val="0"/>
        <w:autoSpaceDN w:val="0"/>
        <w:adjustRightInd w:val="0"/>
        <w:spacing w:line="320" w:lineRule="exact"/>
        <w:jc w:val="both"/>
        <w:rPr>
          <w:rFonts w:ascii="Times New Roman" w:hAnsi="Times New Roman"/>
          <w:sz w:val="24"/>
          <w:szCs w:val="24"/>
        </w:rPr>
      </w:pPr>
      <w:r>
        <w:rPr>
          <w:rFonts w:ascii="Times New Roman" w:hAnsi="Times New Roman"/>
          <w:sz w:val="24"/>
          <w:szCs w:val="24"/>
        </w:rPr>
        <w:t xml:space="preserve">The successful criminal cases for sexual violence bring yet another problem – non-enforcement of the court award for compensation. Very often the defendants do not have any assets to pay compensation to the victims. We recommend the establishment of a State Fund for payment of the debts of criminal offenders, at least for cases involving child-victims. The same approach already operates in Bulgaria as it concerns the payment of alimony.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Pr>
          <w:rFonts w:ascii="Times New Roman" w:hAnsi="Times New Roman"/>
          <w:sz w:val="24"/>
          <w:szCs w:val="24"/>
        </w:rPr>
        <w:t xml:space="preserve">Finally, we would like to address the issue of statute of limitations. The Criminal Code provides that the time limit to identify and accuse concrete person in sexual offences is 15 years as of the date of the offence – Section 80, paragraph 1, point 2. First, we consider that this time period does not correspond to the gravity of the offence or to the length of psychological recovery. Second, we consider that in cases of child-victims the time period should start running as of the day they reach full age, like it is in the USA, for example. We call for respective amendments in the Criminal Code in that respect.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sidRPr="00680B65">
        <w:rPr>
          <w:rFonts w:ascii="Times New Roman" w:hAnsi="Times New Roman"/>
          <w:b/>
          <w:bCs/>
          <w:spacing w:val="4"/>
          <w:sz w:val="24"/>
          <w:szCs w:val="24"/>
        </w:rPr>
        <w:t>Statement relative to issue No. 12 - Trafficking and exploitation of prostitution</w:t>
      </w:r>
    </w:p>
    <w:p w:rsidR="00612C67" w:rsidRDefault="00612C67" w:rsidP="00612C67">
      <w:pPr>
        <w:widowControl w:val="0"/>
        <w:autoSpaceDE w:val="0"/>
        <w:autoSpaceDN w:val="0"/>
        <w:adjustRightInd w:val="0"/>
        <w:spacing w:line="320" w:lineRule="exact"/>
        <w:jc w:val="both"/>
        <w:rPr>
          <w:rStyle w:val="column01"/>
          <w:rFonts w:ascii="Times New Roman" w:hAnsi="Times New Roman"/>
          <w:sz w:val="24"/>
          <w:szCs w:val="24"/>
        </w:rPr>
      </w:pPr>
      <w:r w:rsidRPr="00680B65">
        <w:rPr>
          <w:rFonts w:ascii="Times New Roman" w:hAnsi="Times New Roman"/>
          <w:bCs/>
          <w:spacing w:val="4"/>
          <w:sz w:val="24"/>
          <w:szCs w:val="24"/>
        </w:rPr>
        <w:t xml:space="preserve">The Criminal Code violates the prohibition to punish victims of human trafficking, set forth in the </w:t>
      </w:r>
      <w:proofErr w:type="spellStart"/>
      <w:r w:rsidRPr="00680B65">
        <w:rPr>
          <w:rFonts w:ascii="Times New Roman" w:hAnsi="Times New Roman"/>
          <w:bCs/>
          <w:spacing w:val="4"/>
          <w:sz w:val="24"/>
          <w:szCs w:val="24"/>
        </w:rPr>
        <w:t>CoE</w:t>
      </w:r>
      <w:proofErr w:type="spellEnd"/>
      <w:r w:rsidRPr="00680B65">
        <w:rPr>
          <w:rFonts w:ascii="Times New Roman" w:hAnsi="Times New Roman"/>
          <w:bCs/>
          <w:spacing w:val="4"/>
          <w:sz w:val="24"/>
          <w:szCs w:val="24"/>
        </w:rPr>
        <w:t xml:space="preserve"> Convention on Action against Human Trafficking, and makes impossible their full compensation for all the damages caused by this crime, including pecuniary damages. Section 329, paragraph 1 of CC was adopted in 1968 and, without revision since then, criminalizes every “full age, fit to work person, who for a long period of time avoids community labor, by receiving income in illegal or immoral way”. Letter from the Sofia District Prosecution Office dated 23 April 2018 indicates that in the period 2006-2016, in Sofia 117 criminal proceedings were opened under Section 329, paragraph 1 of CC. The annual report of the Supreme Cassation Prosecution Office, dated 26 June 2013, reports 81 new investigations in 2011 and 88 – in 2012 under Section 329, paragraph 1 of CC, in the country. In addition, the case law regarding this provision includes hundreds of individuals found guilty in earning income “immorally”, the majority of them in the last 5 years. Past attempts to declare Section 329, paragraph 1 of CC unconstitutional or to repeal it have been unsuccessful.</w:t>
      </w:r>
      <w:r w:rsidRPr="00680B65">
        <w:rPr>
          <w:rStyle w:val="FootnoteReference"/>
          <w:rFonts w:ascii="Times New Roman" w:hAnsi="Times New Roman"/>
          <w:bCs/>
          <w:spacing w:val="4"/>
          <w:sz w:val="24"/>
          <w:szCs w:val="24"/>
        </w:rPr>
        <w:footnoteReference w:id="6"/>
      </w:r>
      <w:r w:rsidRPr="00680B65">
        <w:rPr>
          <w:rFonts w:ascii="Times New Roman" w:hAnsi="Times New Roman"/>
          <w:bCs/>
          <w:spacing w:val="4"/>
          <w:sz w:val="24"/>
          <w:szCs w:val="24"/>
        </w:rPr>
        <w:t xml:space="preserve"> GRETA criticized the quality of this provision during their 2015 evaluation visit to Bulgaria</w:t>
      </w:r>
      <w:r w:rsidRPr="00680B65">
        <w:rPr>
          <w:rStyle w:val="column01"/>
          <w:rFonts w:ascii="Times New Roman" w:hAnsi="Times New Roman"/>
          <w:sz w:val="24"/>
          <w:szCs w:val="24"/>
          <w:lang w:val="bg-BG"/>
        </w:rPr>
        <w:t>.</w:t>
      </w:r>
      <w:r w:rsidRPr="00680B65">
        <w:rPr>
          <w:rStyle w:val="FootnoteReference"/>
          <w:rFonts w:ascii="Times New Roman" w:hAnsi="Times New Roman"/>
          <w:sz w:val="24"/>
          <w:szCs w:val="24"/>
          <w:lang w:val="bg-BG"/>
        </w:rPr>
        <w:footnoteReference w:id="7"/>
      </w:r>
      <w:r w:rsidRPr="00680B65">
        <w:rPr>
          <w:rStyle w:val="column01"/>
          <w:rFonts w:ascii="Times New Roman" w:hAnsi="Times New Roman"/>
          <w:sz w:val="24"/>
          <w:szCs w:val="24"/>
        </w:rPr>
        <w:t xml:space="preserve"> We </w:t>
      </w:r>
      <w:r>
        <w:rPr>
          <w:rStyle w:val="column01"/>
          <w:rFonts w:ascii="Times New Roman" w:hAnsi="Times New Roman"/>
          <w:sz w:val="24"/>
          <w:szCs w:val="24"/>
        </w:rPr>
        <w:t>call</w:t>
      </w:r>
      <w:r w:rsidRPr="00680B65">
        <w:rPr>
          <w:rStyle w:val="column01"/>
          <w:rFonts w:ascii="Times New Roman" w:hAnsi="Times New Roman"/>
          <w:sz w:val="24"/>
          <w:szCs w:val="24"/>
        </w:rPr>
        <w:t xml:space="preserve"> CEDAW </w:t>
      </w:r>
      <w:r>
        <w:rPr>
          <w:rStyle w:val="column01"/>
          <w:rFonts w:ascii="Times New Roman" w:hAnsi="Times New Roman"/>
          <w:sz w:val="24"/>
          <w:szCs w:val="24"/>
        </w:rPr>
        <w:t>to</w:t>
      </w:r>
      <w:r w:rsidRPr="00680B65">
        <w:rPr>
          <w:rStyle w:val="column01"/>
          <w:rFonts w:ascii="Times New Roman" w:hAnsi="Times New Roman"/>
          <w:sz w:val="24"/>
          <w:szCs w:val="24"/>
        </w:rPr>
        <w:t xml:space="preserve"> uphold this critique and recommend abolition.</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Pr>
          <w:rStyle w:val="column01"/>
          <w:rFonts w:ascii="Times New Roman" w:hAnsi="Times New Roman"/>
          <w:sz w:val="24"/>
          <w:szCs w:val="24"/>
        </w:rPr>
        <w:t xml:space="preserve">We also draw CEDAW’s attention to the regulation of plea bargaining - Section 381 and the following of the Criminal Proceedings Code. It provides that for pimping under Section 155 of CC plea bargaining is forbidden, but for trafficking in human beings under Section 159a of CC – allowed. We do not see the justification of this difference in treatment, moreover, trafficking provides for a heavier punishment than pimping. We recommend the plea bargain ban to include also Chapter II, Section XI of CC – “Trafficking in Human Beings”.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sidRPr="00680B65">
        <w:rPr>
          <w:rFonts w:ascii="Times New Roman" w:hAnsi="Times New Roman"/>
          <w:b/>
          <w:bCs/>
          <w:spacing w:val="4"/>
          <w:sz w:val="24"/>
          <w:szCs w:val="24"/>
        </w:rPr>
        <w:t>Statement relative to issue No. 21 – Health</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Bulgarian Members of Parliament spread prejudices based </w:t>
      </w:r>
      <w:r w:rsidRPr="00680B65">
        <w:rPr>
          <w:rFonts w:ascii="Times New Roman" w:hAnsi="Times New Roman"/>
          <w:sz w:val="24"/>
          <w:szCs w:val="24"/>
        </w:rPr>
        <w:t>on the stereotyped role for women</w:t>
      </w:r>
      <w:r w:rsidRPr="00680B65">
        <w:rPr>
          <w:rFonts w:ascii="Times New Roman" w:hAnsi="Times New Roman"/>
          <w:bCs/>
          <w:spacing w:val="4"/>
          <w:sz w:val="24"/>
          <w:szCs w:val="24"/>
        </w:rPr>
        <w:t xml:space="preserve"> of mothers and care givers.</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On 23 June 2019 </w:t>
      </w:r>
      <w:proofErr w:type="spellStart"/>
      <w:r w:rsidRPr="00680B65">
        <w:rPr>
          <w:rFonts w:ascii="Times New Roman" w:hAnsi="Times New Roman"/>
          <w:bCs/>
          <w:spacing w:val="4"/>
          <w:sz w:val="24"/>
          <w:szCs w:val="24"/>
        </w:rPr>
        <w:t>Mr</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Volen</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Siderov</w:t>
      </w:r>
      <w:proofErr w:type="spellEnd"/>
      <w:r w:rsidRPr="00680B65">
        <w:rPr>
          <w:rFonts w:ascii="Times New Roman" w:hAnsi="Times New Roman"/>
          <w:bCs/>
          <w:spacing w:val="4"/>
          <w:sz w:val="24"/>
          <w:szCs w:val="24"/>
        </w:rPr>
        <w:t>, MP, stated, during interview at the Bulgarian National Radio, that “26 000 abortions are performed per year. These are 26 000 murders. … [E]ach girl can go and for some 100 lev fee can kill a human life”</w:t>
      </w:r>
      <w:r w:rsidRPr="00680B65">
        <w:rPr>
          <w:rStyle w:val="FootnoteReference"/>
          <w:rFonts w:ascii="Times New Roman" w:hAnsi="Times New Roman"/>
          <w:bCs/>
          <w:spacing w:val="4"/>
          <w:sz w:val="24"/>
          <w:szCs w:val="24"/>
        </w:rPr>
        <w:footnoteReference w:id="8"/>
      </w:r>
      <w:r w:rsidRPr="00680B65">
        <w:rPr>
          <w:rFonts w:ascii="Times New Roman" w:hAnsi="Times New Roman"/>
          <w:bCs/>
          <w:spacing w:val="4"/>
          <w:sz w:val="24"/>
          <w:szCs w:val="24"/>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On 27 June 2019 </w:t>
      </w:r>
      <w:r>
        <w:rPr>
          <w:rFonts w:ascii="Times New Roman" w:hAnsi="Times New Roman"/>
          <w:bCs/>
          <w:spacing w:val="4"/>
          <w:sz w:val="24"/>
          <w:szCs w:val="24"/>
        </w:rPr>
        <w:t xml:space="preserve">the author of this report, Mrs </w:t>
      </w:r>
      <w:proofErr w:type="spellStart"/>
      <w:r>
        <w:rPr>
          <w:rFonts w:ascii="Times New Roman" w:hAnsi="Times New Roman"/>
          <w:bCs/>
          <w:spacing w:val="4"/>
          <w:sz w:val="24"/>
          <w:szCs w:val="24"/>
        </w:rPr>
        <w:t>Dobreva</w:t>
      </w:r>
      <w:proofErr w:type="spellEnd"/>
      <w:r>
        <w:rPr>
          <w:rFonts w:ascii="Times New Roman" w:hAnsi="Times New Roman"/>
          <w:bCs/>
          <w:spacing w:val="4"/>
          <w:sz w:val="24"/>
          <w:szCs w:val="24"/>
        </w:rPr>
        <w:t>,</w:t>
      </w:r>
      <w:r w:rsidRPr="00680B65">
        <w:rPr>
          <w:rFonts w:ascii="Times New Roman" w:hAnsi="Times New Roman"/>
          <w:bCs/>
          <w:spacing w:val="4"/>
          <w:sz w:val="24"/>
          <w:szCs w:val="24"/>
        </w:rPr>
        <w:t xml:space="preserve"> reported the statements of </w:t>
      </w:r>
      <w:proofErr w:type="spellStart"/>
      <w:r w:rsidRPr="00680B65">
        <w:rPr>
          <w:rFonts w:ascii="Times New Roman" w:hAnsi="Times New Roman"/>
          <w:bCs/>
          <w:spacing w:val="4"/>
          <w:sz w:val="24"/>
          <w:szCs w:val="24"/>
        </w:rPr>
        <w:t>Mr</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Siderov</w:t>
      </w:r>
      <w:proofErr w:type="spellEnd"/>
      <w:r w:rsidRPr="00680B65">
        <w:rPr>
          <w:rFonts w:ascii="Times New Roman" w:hAnsi="Times New Roman"/>
          <w:bCs/>
          <w:spacing w:val="4"/>
          <w:sz w:val="24"/>
          <w:szCs w:val="24"/>
        </w:rPr>
        <w:t xml:space="preserve"> to the Parliament’s Ethical Commission asking for disciplinary measures (communication No. </w:t>
      </w:r>
      <w:r w:rsidRPr="00680B65">
        <w:rPr>
          <w:rFonts w:ascii="Times New Roman" w:hAnsi="Times New Roman"/>
          <w:bCs/>
          <w:spacing w:val="4"/>
          <w:sz w:val="24"/>
          <w:szCs w:val="24"/>
          <w:lang w:val="bg-BG"/>
        </w:rPr>
        <w:t>ПГ-9194-Н-50/27</w:t>
      </w:r>
      <w:r w:rsidRPr="00680B65">
        <w:rPr>
          <w:rFonts w:ascii="Times New Roman" w:hAnsi="Times New Roman"/>
          <w:bCs/>
          <w:spacing w:val="4"/>
          <w:sz w:val="24"/>
          <w:szCs w:val="24"/>
        </w:rPr>
        <w:t xml:space="preserve">.06.2019). She argued that, by expressing the above position, </w:t>
      </w:r>
      <w:proofErr w:type="spellStart"/>
      <w:r w:rsidRPr="00680B65">
        <w:rPr>
          <w:rFonts w:ascii="Times New Roman" w:hAnsi="Times New Roman"/>
          <w:bCs/>
          <w:spacing w:val="4"/>
          <w:sz w:val="24"/>
          <w:szCs w:val="24"/>
        </w:rPr>
        <w:t>Mr</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Siderov</w:t>
      </w:r>
      <w:proofErr w:type="spellEnd"/>
      <w:r w:rsidRPr="00680B65">
        <w:rPr>
          <w:rFonts w:ascii="Times New Roman" w:hAnsi="Times New Roman"/>
          <w:bCs/>
          <w:spacing w:val="4"/>
          <w:sz w:val="24"/>
          <w:szCs w:val="24"/>
        </w:rPr>
        <w:t xml:space="preserve"> breached his obligation to “treat the citizens with due respect” and “to abide by the rule of law” set forth in the Rules of Parliament. She also argued that any statement that the right to life arises before birth contradicts international law applicable in Bulgaria. She pointed out that, not only these statements disrespect women, but they cause fear an</w:t>
      </w:r>
      <w:r>
        <w:rPr>
          <w:rFonts w:ascii="Times New Roman" w:hAnsi="Times New Roman"/>
          <w:bCs/>
          <w:spacing w:val="4"/>
          <w:sz w:val="24"/>
          <w:szCs w:val="24"/>
        </w:rPr>
        <w:t>d disturbance in</w:t>
      </w:r>
      <w:r w:rsidRPr="00680B65">
        <w:rPr>
          <w:rFonts w:ascii="Times New Roman" w:hAnsi="Times New Roman"/>
          <w:bCs/>
          <w:spacing w:val="4"/>
          <w:sz w:val="24"/>
          <w:szCs w:val="24"/>
        </w:rPr>
        <w:t xml:space="preserve"> </w:t>
      </w:r>
      <w:r>
        <w:rPr>
          <w:rFonts w:ascii="Times New Roman" w:hAnsi="Times New Roman"/>
          <w:bCs/>
          <w:spacing w:val="4"/>
          <w:sz w:val="24"/>
          <w:szCs w:val="24"/>
        </w:rPr>
        <w:t>society</w:t>
      </w:r>
      <w:r w:rsidRPr="00680B65">
        <w:rPr>
          <w:rFonts w:ascii="Times New Roman" w:hAnsi="Times New Roman"/>
          <w:bCs/>
          <w:spacing w:val="4"/>
          <w:sz w:val="24"/>
          <w:szCs w:val="24"/>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On 12 September 2019 the Ethical Commission held unanimously that the complaint should be dismissed and advised Mrs </w:t>
      </w:r>
      <w:proofErr w:type="spellStart"/>
      <w:r w:rsidRPr="00680B65">
        <w:rPr>
          <w:rFonts w:ascii="Times New Roman" w:hAnsi="Times New Roman"/>
          <w:bCs/>
          <w:spacing w:val="4"/>
          <w:sz w:val="24"/>
          <w:szCs w:val="24"/>
        </w:rPr>
        <w:t>Dobreva</w:t>
      </w:r>
      <w:proofErr w:type="spellEnd"/>
      <w:r w:rsidRPr="00680B65">
        <w:rPr>
          <w:rFonts w:ascii="Times New Roman" w:hAnsi="Times New Roman"/>
          <w:bCs/>
          <w:spacing w:val="4"/>
          <w:sz w:val="24"/>
          <w:szCs w:val="24"/>
        </w:rPr>
        <w:t xml:space="preserve"> “should she considers that her rights were infringed to take the respective criminal measures against </w:t>
      </w:r>
      <w:proofErr w:type="spellStart"/>
      <w:r w:rsidRPr="00680B65">
        <w:rPr>
          <w:rFonts w:ascii="Times New Roman" w:hAnsi="Times New Roman"/>
          <w:bCs/>
          <w:spacing w:val="4"/>
          <w:sz w:val="24"/>
          <w:szCs w:val="24"/>
        </w:rPr>
        <w:t>Mr</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Volen</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Siderov</w:t>
      </w:r>
      <w:proofErr w:type="spellEnd"/>
      <w:r w:rsidRPr="00680B65">
        <w:rPr>
          <w:rFonts w:ascii="Times New Roman" w:hAnsi="Times New Roman"/>
          <w:bCs/>
          <w:spacing w:val="4"/>
          <w:sz w:val="24"/>
          <w:szCs w:val="24"/>
        </w:rPr>
        <w:t xml:space="preserve">, to initiate herself a lawsuit and so on” (response No. </w:t>
      </w:r>
      <w:r w:rsidRPr="00680B65">
        <w:rPr>
          <w:rFonts w:ascii="Times New Roman" w:hAnsi="Times New Roman"/>
          <w:bCs/>
          <w:spacing w:val="4"/>
          <w:sz w:val="24"/>
          <w:szCs w:val="24"/>
          <w:lang w:val="bg-BG"/>
        </w:rPr>
        <w:t>ККИПЕ</w:t>
      </w:r>
      <w:r w:rsidRPr="00680B65">
        <w:rPr>
          <w:rFonts w:ascii="Times New Roman" w:hAnsi="Times New Roman"/>
          <w:bCs/>
          <w:spacing w:val="4"/>
          <w:sz w:val="24"/>
          <w:szCs w:val="24"/>
        </w:rPr>
        <w:t xml:space="preserve">-943-22/219/1.10.2019). </w:t>
      </w: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bCs/>
          <w:spacing w:val="4"/>
          <w:sz w:val="24"/>
          <w:szCs w:val="24"/>
        </w:rPr>
        <w:t xml:space="preserve">By responding in such a manner, the Ethical Commission missed a chance to </w:t>
      </w:r>
      <w:r w:rsidRPr="00680B65">
        <w:rPr>
          <w:rFonts w:ascii="Times New Roman" w:hAnsi="Times New Roman"/>
          <w:sz w:val="24"/>
          <w:szCs w:val="24"/>
        </w:rPr>
        <w:t xml:space="preserve">condemn discrimination against women and diminished </w:t>
      </w:r>
      <w:r>
        <w:rPr>
          <w:rFonts w:ascii="Times New Roman" w:hAnsi="Times New Roman"/>
          <w:sz w:val="24"/>
          <w:szCs w:val="24"/>
        </w:rPr>
        <w:t>what can qualify as propaganda</w:t>
      </w:r>
      <w:r w:rsidRPr="00680B65">
        <w:rPr>
          <w:rFonts w:ascii="Times New Roman" w:hAnsi="Times New Roman"/>
          <w:sz w:val="24"/>
          <w:szCs w:val="24"/>
        </w:rPr>
        <w:t xml:space="preserve"> to </w:t>
      </w:r>
      <w:r w:rsidRPr="00680B65">
        <w:rPr>
          <w:rFonts w:ascii="Times New Roman" w:hAnsi="Times New Roman"/>
          <w:bCs/>
          <w:spacing w:val="4"/>
          <w:sz w:val="24"/>
          <w:szCs w:val="24"/>
        </w:rPr>
        <w:t xml:space="preserve">a private dispute between 2 individuals. The MP </w:t>
      </w:r>
      <w:proofErr w:type="spellStart"/>
      <w:r w:rsidRPr="00680B65">
        <w:rPr>
          <w:rFonts w:ascii="Times New Roman" w:hAnsi="Times New Roman"/>
          <w:bCs/>
          <w:spacing w:val="4"/>
          <w:sz w:val="24"/>
          <w:szCs w:val="24"/>
        </w:rPr>
        <w:t>Mr</w:t>
      </w:r>
      <w:proofErr w:type="spellEnd"/>
      <w:r w:rsidRPr="00680B65">
        <w:rPr>
          <w:rFonts w:ascii="Times New Roman" w:hAnsi="Times New Roman"/>
          <w:bCs/>
          <w:spacing w:val="4"/>
          <w:sz w:val="24"/>
          <w:szCs w:val="24"/>
        </w:rPr>
        <w:t xml:space="preserve"> </w:t>
      </w:r>
      <w:proofErr w:type="spellStart"/>
      <w:r w:rsidRPr="00680B65">
        <w:rPr>
          <w:rFonts w:ascii="Times New Roman" w:hAnsi="Times New Roman"/>
          <w:bCs/>
          <w:spacing w:val="4"/>
          <w:sz w:val="24"/>
          <w:szCs w:val="24"/>
        </w:rPr>
        <w:t>Siderov</w:t>
      </w:r>
      <w:proofErr w:type="spellEnd"/>
      <w:r w:rsidRPr="00680B65">
        <w:rPr>
          <w:rFonts w:ascii="Times New Roman" w:hAnsi="Times New Roman"/>
          <w:bCs/>
          <w:spacing w:val="4"/>
          <w:sz w:val="24"/>
          <w:szCs w:val="24"/>
        </w:rPr>
        <w:t xml:space="preserve">, by referring to women who exercise their reproductive rights as “murderers”, and the Parliament’s Ethical Commission, by failing to sanction him, failed in their obligations under Article 2 (d) and (f) of CEDAW.   </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bCs/>
          <w:spacing w:val="4"/>
          <w:sz w:val="24"/>
          <w:szCs w:val="24"/>
        </w:rPr>
        <w:t xml:space="preserve">The Criminal Code contains a </w:t>
      </w:r>
      <w:r w:rsidRPr="00680B65">
        <w:rPr>
          <w:rFonts w:ascii="Times New Roman" w:hAnsi="Times New Roman"/>
          <w:sz w:val="24"/>
          <w:szCs w:val="24"/>
        </w:rPr>
        <w:t>provision criminalizing home abortion which, without affecting pregnant women themselves, constitutes discrimination against them and must be abolished immediately</w:t>
      </w:r>
      <w:r>
        <w:rPr>
          <w:rFonts w:ascii="Times New Roman" w:hAnsi="Times New Roman"/>
          <w:sz w:val="24"/>
          <w:szCs w:val="24"/>
        </w:rPr>
        <w:t>, for the following reasons</w:t>
      </w:r>
      <w:r w:rsidRPr="00680B65">
        <w:rPr>
          <w:rFonts w:ascii="Times New Roman" w:hAnsi="Times New Roman"/>
          <w:sz w:val="24"/>
          <w:szCs w:val="24"/>
        </w:rPr>
        <w:t xml:space="preserve">. Section 126 of CC criminalizes doctors and non-qualified persons who perform home abortions. </w:t>
      </w:r>
      <w:r>
        <w:rPr>
          <w:rFonts w:ascii="Times New Roman" w:hAnsi="Times New Roman"/>
          <w:sz w:val="24"/>
          <w:szCs w:val="24"/>
        </w:rPr>
        <w:t>This</w:t>
      </w:r>
      <w:r w:rsidRPr="00680B65">
        <w:rPr>
          <w:rFonts w:ascii="Times New Roman" w:hAnsi="Times New Roman"/>
          <w:sz w:val="24"/>
          <w:szCs w:val="24"/>
        </w:rPr>
        <w:t xml:space="preserve"> provision, adopted in 1968, uses the phrase “killing the fetus” instead of “ending the pregnancy”. More disturbingly, the provision is located in Chapter II “Crimes against the person”, Section I “Homicide”. This phrasing of the crime home abortion contradicts international law, as it concerns the definition of “right to life”</w:t>
      </w:r>
      <w:r w:rsidRPr="00680B65">
        <w:rPr>
          <w:rStyle w:val="FootnoteReference"/>
          <w:rFonts w:ascii="Times New Roman" w:hAnsi="Times New Roman"/>
          <w:sz w:val="24"/>
          <w:szCs w:val="24"/>
        </w:rPr>
        <w:footnoteReference w:id="9"/>
      </w:r>
      <w:r w:rsidRPr="00680B65">
        <w:rPr>
          <w:rFonts w:ascii="Times New Roman" w:hAnsi="Times New Roman"/>
          <w:sz w:val="24"/>
          <w:szCs w:val="24"/>
        </w:rPr>
        <w:t xml:space="preserve">, domestic medical law, as it concerns the definition of “fetus” and “viable unborn”, and the </w:t>
      </w:r>
      <w:r>
        <w:rPr>
          <w:rFonts w:ascii="Times New Roman" w:hAnsi="Times New Roman"/>
          <w:sz w:val="24"/>
          <w:szCs w:val="24"/>
        </w:rPr>
        <w:t>national</w:t>
      </w:r>
      <w:r w:rsidRPr="00680B65">
        <w:rPr>
          <w:rFonts w:ascii="Times New Roman" w:hAnsi="Times New Roman"/>
          <w:sz w:val="24"/>
          <w:szCs w:val="24"/>
        </w:rPr>
        <w:t xml:space="preserve"> Persons and Families Act, Section 1, as it concerns the definition of legal personality. Since abortion cannot qualify as “taking life” from the point of view of criminal law, </w:t>
      </w:r>
      <w:r>
        <w:rPr>
          <w:rFonts w:ascii="Times New Roman" w:hAnsi="Times New Roman"/>
          <w:sz w:val="24"/>
          <w:szCs w:val="24"/>
        </w:rPr>
        <w:t>its systematic place is outside</w:t>
      </w:r>
      <w:r w:rsidRPr="00680B65">
        <w:rPr>
          <w:rFonts w:ascii="Times New Roman" w:hAnsi="Times New Roman"/>
          <w:sz w:val="24"/>
          <w:szCs w:val="24"/>
        </w:rPr>
        <w:t xml:space="preserve"> </w:t>
      </w:r>
      <w:r>
        <w:rPr>
          <w:rFonts w:ascii="Times New Roman" w:hAnsi="Times New Roman"/>
          <w:sz w:val="24"/>
          <w:szCs w:val="24"/>
        </w:rPr>
        <w:t>S</w:t>
      </w:r>
      <w:r w:rsidRPr="00680B65">
        <w:rPr>
          <w:rFonts w:ascii="Times New Roman" w:hAnsi="Times New Roman"/>
          <w:sz w:val="24"/>
          <w:szCs w:val="24"/>
        </w:rPr>
        <w:t xml:space="preserve">ection “Homicide”. We strongly </w:t>
      </w:r>
      <w:r>
        <w:rPr>
          <w:rFonts w:ascii="Times New Roman" w:hAnsi="Times New Roman"/>
          <w:sz w:val="24"/>
          <w:szCs w:val="24"/>
        </w:rPr>
        <w:t>insist</w:t>
      </w:r>
      <w:r w:rsidRPr="00680B65">
        <w:rPr>
          <w:rFonts w:ascii="Times New Roman" w:hAnsi="Times New Roman"/>
          <w:sz w:val="24"/>
          <w:szCs w:val="24"/>
        </w:rPr>
        <w:t xml:space="preserve"> moving the crime home abortion to Chapter XI, Section III “Crimes against the public health and the environment” of CC.</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In that respect, we also point out that the CC criminalizes 2 gender based crimes, namely, rape and illegal</w:t>
      </w:r>
      <w:r w:rsidRPr="00680B65">
        <w:rPr>
          <w:rFonts w:ascii="Times New Roman" w:hAnsi="Times New Roman"/>
          <w:sz w:val="24"/>
          <w:szCs w:val="24"/>
          <w:lang w:val="bg-BG"/>
        </w:rPr>
        <w:t xml:space="preserve"> </w:t>
      </w:r>
      <w:r w:rsidRPr="00680B65">
        <w:rPr>
          <w:rFonts w:ascii="Times New Roman" w:hAnsi="Times New Roman"/>
          <w:sz w:val="24"/>
          <w:szCs w:val="24"/>
        </w:rPr>
        <w:t>marital relationship</w:t>
      </w:r>
      <w:r w:rsidRPr="00680B65">
        <w:rPr>
          <w:rFonts w:ascii="Times New Roman" w:hAnsi="Times New Roman"/>
          <w:sz w:val="24"/>
          <w:szCs w:val="24"/>
          <w:lang w:val="bg-BG"/>
        </w:rPr>
        <w:t xml:space="preserve"> </w:t>
      </w:r>
      <w:r w:rsidRPr="00680B65">
        <w:rPr>
          <w:rFonts w:ascii="Times New Roman" w:hAnsi="Times New Roman"/>
          <w:sz w:val="24"/>
          <w:szCs w:val="24"/>
        </w:rPr>
        <w:t>with a minor (Sections 152 and 191 of CC)</w:t>
      </w:r>
      <w:r>
        <w:rPr>
          <w:rFonts w:ascii="Times New Roman" w:hAnsi="Times New Roman"/>
          <w:sz w:val="24"/>
          <w:szCs w:val="24"/>
        </w:rPr>
        <w:t>, without any of them including</w:t>
      </w:r>
      <w:r w:rsidRPr="00680B65">
        <w:rPr>
          <w:rFonts w:ascii="Times New Roman" w:hAnsi="Times New Roman"/>
          <w:sz w:val="24"/>
          <w:szCs w:val="24"/>
        </w:rPr>
        <w:t xml:space="preserve"> the aggravating circumstance “if it caused pregnancy”. By failing to add </w:t>
      </w:r>
      <w:r>
        <w:rPr>
          <w:rFonts w:ascii="Times New Roman" w:hAnsi="Times New Roman"/>
          <w:sz w:val="24"/>
          <w:szCs w:val="24"/>
        </w:rPr>
        <w:t>this gender-specific element of the</w:t>
      </w:r>
      <w:r w:rsidRPr="00680B65">
        <w:rPr>
          <w:rFonts w:ascii="Times New Roman" w:hAnsi="Times New Roman"/>
          <w:sz w:val="24"/>
          <w:szCs w:val="24"/>
        </w:rPr>
        <w:t xml:space="preserve"> crimes, the Bulgarian legislator </w:t>
      </w:r>
      <w:r>
        <w:rPr>
          <w:rFonts w:ascii="Times New Roman" w:hAnsi="Times New Roman"/>
          <w:sz w:val="24"/>
          <w:szCs w:val="24"/>
        </w:rPr>
        <w:t>sends a message</w:t>
      </w:r>
      <w:r w:rsidRPr="00680B65">
        <w:rPr>
          <w:rFonts w:ascii="Times New Roman" w:hAnsi="Times New Roman"/>
          <w:sz w:val="24"/>
          <w:szCs w:val="24"/>
        </w:rPr>
        <w:t xml:space="preserve"> that unwanted pregnancy </w:t>
      </w:r>
      <w:r>
        <w:rPr>
          <w:rFonts w:ascii="Times New Roman" w:hAnsi="Times New Roman"/>
          <w:sz w:val="24"/>
          <w:szCs w:val="24"/>
        </w:rPr>
        <w:t xml:space="preserve">could not be </w:t>
      </w:r>
      <w:r w:rsidRPr="00680B65">
        <w:rPr>
          <w:rFonts w:ascii="Times New Roman" w:hAnsi="Times New Roman"/>
          <w:sz w:val="24"/>
          <w:szCs w:val="24"/>
        </w:rPr>
        <w:t>a moral damage for the woman or the girl.</w:t>
      </w:r>
      <w:r>
        <w:rPr>
          <w:rFonts w:ascii="Times New Roman" w:hAnsi="Times New Roman"/>
          <w:sz w:val="24"/>
          <w:szCs w:val="24"/>
        </w:rPr>
        <w:t xml:space="preserve"> However, the case-law of the</w:t>
      </w:r>
      <w:r w:rsidRPr="00AF5F5E">
        <w:rPr>
          <w:rFonts w:ascii="Times New Roman" w:hAnsi="Times New Roman"/>
          <w:sz w:val="24"/>
          <w:szCs w:val="24"/>
        </w:rPr>
        <w:t xml:space="preserve"> Human Rights Committee</w:t>
      </w:r>
      <w:r>
        <w:rPr>
          <w:rStyle w:val="FootnoteReference"/>
          <w:rFonts w:ascii="Times New Roman" w:hAnsi="Times New Roman"/>
          <w:sz w:val="24"/>
          <w:szCs w:val="24"/>
        </w:rPr>
        <w:footnoteReference w:id="10"/>
      </w:r>
      <w:r>
        <w:rPr>
          <w:rFonts w:ascii="Times New Roman" w:hAnsi="Times New Roman"/>
          <w:sz w:val="24"/>
          <w:szCs w:val="24"/>
        </w:rPr>
        <w:t xml:space="preserve"> and CEDAW </w:t>
      </w:r>
      <w:r w:rsidRPr="00AF5F5E">
        <w:rPr>
          <w:rFonts w:ascii="Times New Roman" w:hAnsi="Times New Roman"/>
          <w:sz w:val="24"/>
          <w:szCs w:val="24"/>
        </w:rPr>
        <w:t xml:space="preserve">General Recommendation No. 35 </w:t>
      </w:r>
      <w:r>
        <w:rPr>
          <w:rFonts w:ascii="Times New Roman" w:hAnsi="Times New Roman"/>
          <w:sz w:val="24"/>
          <w:szCs w:val="24"/>
        </w:rPr>
        <w:t xml:space="preserve">state just the contrary. </w:t>
      </w:r>
      <w:r w:rsidRPr="00680B65">
        <w:rPr>
          <w:rFonts w:ascii="Times New Roman" w:hAnsi="Times New Roman"/>
          <w:sz w:val="24"/>
          <w:szCs w:val="24"/>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 xml:space="preserve">As indicated above, some 700 minor girls per year are identified by the prosecution authorities as victims of crimes against their sexual integrity. In reality, the number is much higher, as evident from the number of child births. In 2017, 3 200 minor </w:t>
      </w:r>
      <w:r>
        <w:rPr>
          <w:rFonts w:ascii="Times New Roman" w:hAnsi="Times New Roman"/>
          <w:sz w:val="24"/>
          <w:szCs w:val="24"/>
        </w:rPr>
        <w:t>women</w:t>
      </w:r>
      <w:r w:rsidRPr="00680B65">
        <w:rPr>
          <w:rFonts w:ascii="Times New Roman" w:hAnsi="Times New Roman"/>
          <w:sz w:val="24"/>
          <w:szCs w:val="24"/>
        </w:rPr>
        <w:t xml:space="preserve"> carried a pregnancy till term and in 2018 – more than 3 300.</w:t>
      </w:r>
      <w:r w:rsidRPr="00680B65">
        <w:rPr>
          <w:rStyle w:val="FootnoteReference"/>
          <w:rFonts w:ascii="Times New Roman" w:hAnsi="Times New Roman"/>
          <w:sz w:val="24"/>
          <w:szCs w:val="24"/>
        </w:rPr>
        <w:footnoteReference w:id="11"/>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 xml:space="preserve">Finally, we would like to point out a significant gap in the law affecting the health of transsexual women. The Bulgarian Parliament has not adopted a Medical Standard on the transition of transsexual persons. There exist no rules regulating the </w:t>
      </w:r>
      <w:r>
        <w:rPr>
          <w:rFonts w:ascii="Times New Roman" w:hAnsi="Times New Roman"/>
          <w:sz w:val="24"/>
          <w:szCs w:val="24"/>
        </w:rPr>
        <w:t>proper</w:t>
      </w:r>
      <w:r w:rsidRPr="00680B65">
        <w:rPr>
          <w:rFonts w:ascii="Times New Roman" w:hAnsi="Times New Roman"/>
          <w:sz w:val="24"/>
          <w:szCs w:val="24"/>
        </w:rPr>
        <w:t xml:space="preserve"> medical specialty and the qualified doctors competent to treat transsexual conditions and to prescribe hormonal medicines (endocrinologist, sexologist, psychiatrist or else). Also, there are no rules regulating the order in which the different steps of the transition should be taken, more specifically, whether the medical treatment precedes the court proceedings for gender recognition or vice versa. The Criminal Code criminalizes the causing of reproductive inability, which includes genitals surgery and intensive hormone treatment</w:t>
      </w:r>
      <w:r>
        <w:rPr>
          <w:rFonts w:ascii="Times New Roman" w:hAnsi="Times New Roman"/>
          <w:sz w:val="24"/>
          <w:szCs w:val="24"/>
        </w:rPr>
        <w:t xml:space="preserve"> – Section 128</w:t>
      </w:r>
      <w:r w:rsidRPr="00680B65">
        <w:rPr>
          <w:rFonts w:ascii="Times New Roman" w:hAnsi="Times New Roman"/>
          <w:sz w:val="24"/>
          <w:szCs w:val="24"/>
        </w:rPr>
        <w:t xml:space="preserve">. On the other hand, the judges require evidence of irreversible changes in the applicant’s body, which cannot be achieved through legal means. Transsexual women are forced to undergo self-treatment by purchasing hormones without prescription and by guessing the correct doze. They are exposed to extremely high risk for their health. We </w:t>
      </w:r>
      <w:r>
        <w:rPr>
          <w:rFonts w:ascii="Times New Roman" w:hAnsi="Times New Roman"/>
          <w:sz w:val="24"/>
          <w:szCs w:val="24"/>
        </w:rPr>
        <w:t>insist</w:t>
      </w:r>
      <w:r w:rsidRPr="00680B65">
        <w:rPr>
          <w:rFonts w:ascii="Times New Roman" w:hAnsi="Times New Roman"/>
          <w:sz w:val="24"/>
          <w:szCs w:val="24"/>
        </w:rPr>
        <w:t xml:space="preserve"> </w:t>
      </w:r>
      <w:r>
        <w:rPr>
          <w:rFonts w:ascii="Times New Roman" w:hAnsi="Times New Roman"/>
          <w:sz w:val="24"/>
          <w:szCs w:val="24"/>
        </w:rPr>
        <w:t>the Ministry of Health</w:t>
      </w:r>
      <w:r w:rsidRPr="00680B65">
        <w:rPr>
          <w:rFonts w:ascii="Times New Roman" w:hAnsi="Times New Roman"/>
          <w:sz w:val="24"/>
          <w:szCs w:val="24"/>
        </w:rPr>
        <w:t xml:space="preserve"> to establish a working group, with the task to draft Regulation on the Medical Standard for Transition of Transsexual Persons, </w:t>
      </w:r>
      <w:r>
        <w:rPr>
          <w:rFonts w:ascii="Times New Roman" w:hAnsi="Times New Roman"/>
          <w:sz w:val="24"/>
          <w:szCs w:val="24"/>
        </w:rPr>
        <w:t xml:space="preserve">including </w:t>
      </w:r>
      <w:r w:rsidRPr="00680B65">
        <w:rPr>
          <w:rFonts w:ascii="Times New Roman" w:hAnsi="Times New Roman"/>
          <w:sz w:val="24"/>
          <w:szCs w:val="24"/>
        </w:rPr>
        <w:t xml:space="preserve">at least one transsexual </w:t>
      </w:r>
      <w:r>
        <w:rPr>
          <w:rFonts w:ascii="Times New Roman" w:hAnsi="Times New Roman"/>
          <w:sz w:val="24"/>
          <w:szCs w:val="24"/>
        </w:rPr>
        <w:t>woman as a member</w:t>
      </w:r>
      <w:r w:rsidRPr="00680B65">
        <w:rPr>
          <w:rFonts w:ascii="Times New Roman" w:hAnsi="Times New Roman"/>
          <w:sz w:val="24"/>
          <w:szCs w:val="24"/>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r w:rsidRPr="00680B65">
        <w:rPr>
          <w:rFonts w:ascii="Times New Roman" w:hAnsi="Times New Roman"/>
          <w:b/>
          <w:bCs/>
          <w:spacing w:val="4"/>
          <w:sz w:val="24"/>
          <w:szCs w:val="24"/>
        </w:rPr>
        <w:t>Statement relative to issue No. 23 - Roma women</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b/>
          <w:sz w:val="24"/>
          <w:szCs w:val="24"/>
        </w:rPr>
        <w:t>Education</w:t>
      </w:r>
      <w:r w:rsidRPr="00680B65">
        <w:rPr>
          <w:rFonts w:ascii="Times New Roman" w:hAnsi="Times New Roman"/>
          <w:sz w:val="24"/>
          <w:szCs w:val="24"/>
        </w:rPr>
        <w:t>:</w:t>
      </w:r>
    </w:p>
    <w:p w:rsidR="00612C67" w:rsidRPr="00680B65" w:rsidRDefault="00612C67" w:rsidP="00612C67">
      <w:pPr>
        <w:pStyle w:val="NormalWeb"/>
        <w:spacing w:line="320" w:lineRule="exact"/>
        <w:jc w:val="both"/>
      </w:pPr>
      <w:r w:rsidRPr="00680B65">
        <w:t>Participation rate of Roma children in pre-primary education is at least twice as low as the national average. The Civil Society Monitoring Report from 2017</w:t>
      </w:r>
      <w:r w:rsidRPr="00680B65">
        <w:rPr>
          <w:rStyle w:val="FootnoteReference"/>
        </w:rPr>
        <w:footnoteReference w:id="12"/>
      </w:r>
      <w:r w:rsidRPr="00680B65">
        <w:t xml:space="preserve"> points out that this not only causes lower school performance and a higher dropout rate, but also limits the employment possibilities of mothers. Between 45 %–50 % of Roma children stop education before the end of compulsory school</w:t>
      </w:r>
      <w:r w:rsidRPr="00680B65">
        <w:rPr>
          <w:rStyle w:val="FootnoteReference"/>
        </w:rPr>
        <w:footnoteReference w:id="13"/>
      </w:r>
      <w:r w:rsidRPr="00680B65">
        <w:t>. The percentage of early school leavers among Roma aged 18–24 is between 82 %–85 %</w:t>
      </w:r>
      <w:r w:rsidRPr="00680B65">
        <w:rPr>
          <w:rStyle w:val="FootnoteReference"/>
        </w:rPr>
        <w:footnoteReference w:id="14"/>
      </w:r>
      <w:r w:rsidRPr="00680B65">
        <w:t xml:space="preserve"> with significant gender differences: 57% of young Roma men vs. 77% of young Roma women</w:t>
      </w:r>
      <w:r w:rsidRPr="00680B65">
        <w:rPr>
          <w:rStyle w:val="FootnoteReference"/>
        </w:rPr>
        <w:footnoteReference w:id="15"/>
      </w:r>
      <w:r w:rsidRPr="00680B65">
        <w:t xml:space="preserve">. </w:t>
      </w:r>
    </w:p>
    <w:p w:rsidR="00612C67" w:rsidRPr="00680B65" w:rsidRDefault="00612C67" w:rsidP="00612C67">
      <w:pPr>
        <w:spacing w:line="320" w:lineRule="exact"/>
        <w:jc w:val="both"/>
        <w:rPr>
          <w:rFonts w:ascii="Times New Roman" w:hAnsi="Times New Roman"/>
          <w:sz w:val="24"/>
          <w:szCs w:val="24"/>
        </w:rPr>
      </w:pPr>
      <w:r w:rsidRPr="00680B65">
        <w:rPr>
          <w:rFonts w:ascii="Times New Roman" w:hAnsi="Times New Roman"/>
          <w:sz w:val="24"/>
          <w:szCs w:val="24"/>
        </w:rPr>
        <w:t xml:space="preserve">We would like to turn to the Ministry of Education and Science </w:t>
      </w:r>
      <w:r w:rsidRPr="00680B65">
        <w:rPr>
          <w:rFonts w:ascii="Times New Roman" w:hAnsi="Times New Roman"/>
          <w:color w:val="222222"/>
          <w:sz w:val="24"/>
          <w:szCs w:val="24"/>
        </w:rPr>
        <w:t xml:space="preserve">to step up its efforts to systematically promote education on sexual and reproductive health rights and to target adolescent girls and boys, including in vocational training schools, paying special attention to the prevention of early pregnancy, and to provide adequate family planning services and affordable contraceptives. </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b/>
          <w:sz w:val="24"/>
          <w:szCs w:val="24"/>
        </w:rPr>
        <w:t>Employment</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sz w:val="24"/>
          <w:szCs w:val="24"/>
        </w:rPr>
        <w:t>Only 38.8% of Roma above the age of 15 are economically active. Roma women have less of a share in paid work than Roma men – 25% vs. 37%, respectively</w:t>
      </w:r>
      <w:r w:rsidRPr="00680B65">
        <w:rPr>
          <w:rStyle w:val="FootnoteReference"/>
          <w:rFonts w:ascii="Times New Roman" w:hAnsi="Times New Roman"/>
          <w:sz w:val="24"/>
          <w:szCs w:val="24"/>
        </w:rPr>
        <w:footnoteReference w:id="16"/>
      </w:r>
      <w:r w:rsidRPr="00680B65">
        <w:rPr>
          <w:rFonts w:ascii="Times New Roman" w:hAnsi="Times New Roman"/>
          <w:sz w:val="24"/>
          <w:szCs w:val="24"/>
        </w:rPr>
        <w:t>.</w:t>
      </w:r>
      <w:r w:rsidRPr="00680B65">
        <w:rPr>
          <w:rFonts w:ascii="Times New Roman" w:hAnsi="Times New Roman"/>
          <w:position w:val="8"/>
          <w:sz w:val="24"/>
          <w:szCs w:val="24"/>
        </w:rPr>
        <w:t xml:space="preserve"> </w:t>
      </w:r>
      <w:r w:rsidRPr="00680B65">
        <w:rPr>
          <w:rFonts w:ascii="Times New Roman" w:hAnsi="Times New Roman"/>
          <w:sz w:val="24"/>
          <w:szCs w:val="24"/>
        </w:rPr>
        <w:t>In comparison, the percentage of economically active ethnic Turks and Bulgarians in the age group above 15 is 45.4% and 53.5%, respectively. More than half of the Roma household members in Bulgaria declared themselves „unemployed” (55%), with Roma women reporting 59% unemployment and Roma men, 52%</w:t>
      </w:r>
      <w:r w:rsidRPr="00680B65">
        <w:rPr>
          <w:rStyle w:val="FootnoteReference"/>
          <w:rFonts w:ascii="Times New Roman" w:hAnsi="Times New Roman"/>
          <w:sz w:val="24"/>
          <w:szCs w:val="24"/>
        </w:rPr>
        <w:footnoteReference w:id="17"/>
      </w:r>
      <w:r w:rsidRPr="00680B65">
        <w:rPr>
          <w:rFonts w:ascii="Times New Roman" w:hAnsi="Times New Roman"/>
          <w:sz w:val="24"/>
          <w:szCs w:val="24"/>
        </w:rPr>
        <w:t>.</w:t>
      </w:r>
      <w:r w:rsidRPr="00680B65">
        <w:rPr>
          <w:rFonts w:ascii="Times New Roman" w:hAnsi="Times New Roman"/>
          <w:position w:val="8"/>
          <w:sz w:val="24"/>
          <w:szCs w:val="24"/>
        </w:rPr>
        <w:t xml:space="preserve"> </w:t>
      </w:r>
      <w:r>
        <w:rPr>
          <w:rFonts w:ascii="Times New Roman" w:hAnsi="Times New Roman"/>
          <w:sz w:val="24"/>
          <w:szCs w:val="24"/>
        </w:rPr>
        <w:t>The l</w:t>
      </w:r>
      <w:r w:rsidRPr="00680B65">
        <w:rPr>
          <w:rFonts w:ascii="Times New Roman" w:hAnsi="Times New Roman"/>
          <w:sz w:val="24"/>
          <w:szCs w:val="24"/>
        </w:rPr>
        <w:t>ong-term mass Roma unemployment has long stopped being a question of personal choice for Roma and is rather a shared community problem. Only 23% of economically active Roma are employed – 16% of women and 29% of men</w:t>
      </w:r>
      <w:r w:rsidRPr="00680B65">
        <w:rPr>
          <w:rStyle w:val="FootnoteReference"/>
          <w:rFonts w:ascii="Times New Roman" w:hAnsi="Times New Roman"/>
          <w:sz w:val="24"/>
          <w:szCs w:val="24"/>
        </w:rPr>
        <w:footnoteReference w:id="18"/>
      </w:r>
      <w:r w:rsidRPr="00680B65">
        <w:rPr>
          <w:rFonts w:ascii="Times New Roman" w:hAnsi="Times New Roman"/>
          <w:sz w:val="24"/>
          <w:szCs w:val="24"/>
        </w:rPr>
        <w:t>.</w:t>
      </w:r>
      <w:r w:rsidRPr="00680B65">
        <w:rPr>
          <w:rFonts w:ascii="Times New Roman" w:hAnsi="Times New Roman"/>
          <w:position w:val="8"/>
          <w:sz w:val="24"/>
          <w:szCs w:val="24"/>
        </w:rPr>
        <w:t xml:space="preserve"> </w:t>
      </w:r>
      <w:r w:rsidRPr="00680B65">
        <w:rPr>
          <w:rFonts w:ascii="Times New Roman" w:hAnsi="Times New Roman"/>
          <w:sz w:val="24"/>
          <w:szCs w:val="24"/>
        </w:rPr>
        <w:t>In comparison, 53.5% of all ethnic Bulgarians above the age of 15 are economically active</w:t>
      </w:r>
      <w:r w:rsidRPr="00680B65">
        <w:rPr>
          <w:rStyle w:val="FootnoteReference"/>
          <w:rFonts w:ascii="Times New Roman" w:hAnsi="Times New Roman"/>
          <w:sz w:val="24"/>
          <w:szCs w:val="24"/>
        </w:rPr>
        <w:footnoteReference w:id="19"/>
      </w:r>
      <w:r w:rsidRPr="00680B65">
        <w:rPr>
          <w:rFonts w:ascii="Times New Roman" w:hAnsi="Times New Roman"/>
          <w:sz w:val="24"/>
          <w:szCs w:val="24"/>
        </w:rPr>
        <w:t>.</w:t>
      </w:r>
      <w:r w:rsidRPr="00680B65">
        <w:rPr>
          <w:rFonts w:ascii="Times New Roman" w:hAnsi="Times New Roman"/>
          <w:position w:val="8"/>
          <w:sz w:val="24"/>
          <w:szCs w:val="24"/>
        </w:rPr>
        <w:t xml:space="preserve"> </w:t>
      </w:r>
      <w:r w:rsidRPr="00680B65">
        <w:rPr>
          <w:rFonts w:ascii="Times New Roman" w:hAnsi="Times New Roman"/>
          <w:sz w:val="24"/>
          <w:szCs w:val="24"/>
        </w:rPr>
        <w:t xml:space="preserve">These statistics reflect a grim reality in which the Roma population is stuck in the cycle of poverty, as </w:t>
      </w:r>
      <w:proofErr w:type="spellStart"/>
      <w:r w:rsidRPr="00680B65">
        <w:rPr>
          <w:rFonts w:ascii="Times New Roman" w:hAnsi="Times New Roman"/>
          <w:sz w:val="24"/>
          <w:szCs w:val="24"/>
        </w:rPr>
        <w:t>programmes</w:t>
      </w:r>
      <w:proofErr w:type="spellEnd"/>
      <w:r w:rsidRPr="00680B65">
        <w:rPr>
          <w:rFonts w:ascii="Times New Roman" w:hAnsi="Times New Roman"/>
          <w:sz w:val="24"/>
          <w:szCs w:val="24"/>
        </w:rPr>
        <w:t xml:space="preserve"> directed toward their integration cannot reach most of the target group, respond to their basic needs, or impact their lives. In addition, state policies and strategies, including at municipal level, are gender-neutral and do not consider the vulnerable position of Roma women, who often face double-layered challenges – restrictions within their communities and multiple discrimination outside their communities – that further limit their chances for emancipation and civil participation. </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sz w:val="24"/>
          <w:szCs w:val="24"/>
        </w:rPr>
        <w:t xml:space="preserve">Our recommendations to the Ministry of </w:t>
      </w:r>
      <w:proofErr w:type="spellStart"/>
      <w:r w:rsidRPr="00680B65">
        <w:rPr>
          <w:rFonts w:ascii="Times New Roman" w:hAnsi="Times New Roman"/>
          <w:sz w:val="24"/>
          <w:szCs w:val="24"/>
        </w:rPr>
        <w:t>Labour</w:t>
      </w:r>
      <w:proofErr w:type="spellEnd"/>
      <w:r w:rsidRPr="00680B65">
        <w:rPr>
          <w:rFonts w:ascii="Times New Roman" w:hAnsi="Times New Roman"/>
          <w:sz w:val="24"/>
          <w:szCs w:val="24"/>
        </w:rPr>
        <w:t xml:space="preserve"> and Social Policy are to create employment opportunities for long-term unemployed persons that guarantee them a minimum wage combined with social benefits in order to provide workers with </w:t>
      </w:r>
      <w:r>
        <w:rPr>
          <w:rFonts w:ascii="Times New Roman" w:hAnsi="Times New Roman"/>
          <w:sz w:val="24"/>
          <w:szCs w:val="24"/>
        </w:rPr>
        <w:t>enough income to make ends meet</w:t>
      </w:r>
      <w:r w:rsidRPr="00680B65">
        <w:rPr>
          <w:rFonts w:ascii="Times New Roman" w:hAnsi="Times New Roman"/>
          <w:sz w:val="24"/>
          <w:szCs w:val="24"/>
        </w:rPr>
        <w:t xml:space="preserve">. Also, to provide awareness-raising trainings on gender and minority rights to professionals working in the employment and social sphere; to introduce policies, measures and trainings for staff so they can combat </w:t>
      </w:r>
      <w:proofErr w:type="spellStart"/>
      <w:r w:rsidRPr="00680B65">
        <w:rPr>
          <w:rFonts w:ascii="Times New Roman" w:hAnsi="Times New Roman"/>
          <w:sz w:val="24"/>
          <w:szCs w:val="24"/>
        </w:rPr>
        <w:t>antigypsyism</w:t>
      </w:r>
      <w:proofErr w:type="spellEnd"/>
      <w:r w:rsidRPr="00680B65">
        <w:rPr>
          <w:rFonts w:ascii="Times New Roman" w:hAnsi="Times New Roman"/>
          <w:sz w:val="24"/>
          <w:szCs w:val="24"/>
        </w:rPr>
        <w:t xml:space="preserve"> and discrimination in the workplace. </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b/>
          <w:sz w:val="24"/>
          <w:szCs w:val="24"/>
        </w:rPr>
        <w:t>Political representation</w:t>
      </w:r>
    </w:p>
    <w:p w:rsidR="00612C67" w:rsidRPr="00680B65" w:rsidRDefault="00612C67" w:rsidP="00612C67">
      <w:pPr>
        <w:spacing w:line="320" w:lineRule="exact"/>
        <w:jc w:val="both"/>
        <w:rPr>
          <w:rFonts w:ascii="Times New Roman" w:hAnsi="Times New Roman"/>
          <w:sz w:val="24"/>
          <w:szCs w:val="24"/>
        </w:rPr>
      </w:pPr>
      <w:r w:rsidRPr="00680B65">
        <w:rPr>
          <w:rFonts w:ascii="Times New Roman" w:hAnsi="Times New Roman"/>
          <w:sz w:val="24"/>
          <w:szCs w:val="24"/>
        </w:rPr>
        <w:t xml:space="preserve">Discrimination and segregation, accompanied by hate speech, poverty and marginalization exclude Roma people from active participation in the </w:t>
      </w:r>
      <w:proofErr w:type="spellStart"/>
      <w:r w:rsidRPr="00680B65">
        <w:rPr>
          <w:rFonts w:ascii="Times New Roman" w:hAnsi="Times New Roman"/>
          <w:sz w:val="24"/>
          <w:szCs w:val="24"/>
        </w:rPr>
        <w:t>pollical</w:t>
      </w:r>
      <w:proofErr w:type="spellEnd"/>
      <w:r w:rsidRPr="00680B65">
        <w:rPr>
          <w:rFonts w:ascii="Times New Roman" w:hAnsi="Times New Roman"/>
          <w:sz w:val="24"/>
          <w:szCs w:val="24"/>
        </w:rPr>
        <w:t xml:space="preserve"> life of the country. Roma and especially Roma women are not politically represented. </w:t>
      </w:r>
      <w:r>
        <w:rPr>
          <w:rFonts w:ascii="Times New Roman" w:hAnsi="Times New Roman"/>
          <w:sz w:val="24"/>
          <w:szCs w:val="24"/>
        </w:rPr>
        <w:t>T</w:t>
      </w:r>
      <w:r w:rsidRPr="00680B65">
        <w:rPr>
          <w:rFonts w:ascii="Times New Roman" w:hAnsi="Times New Roman"/>
          <w:sz w:val="24"/>
          <w:szCs w:val="24"/>
        </w:rPr>
        <w:t>he representation of women in politics is low, while Roma women are absent from the decision-making processes.</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sz w:val="24"/>
          <w:szCs w:val="24"/>
        </w:rPr>
        <w:t xml:space="preserve">Currently in Bulgaria there are no policies for securing equal representation of women and men in national and local governance. There are also no programs directed towards Roma participation in administration or other institutions. Although state institutions show concern regarding education and patriarchal norms of control over Roma women and girls, they are currently only object of policies targeting their (reproductive) health. </w:t>
      </w:r>
    </w:p>
    <w:p w:rsidR="00612C67" w:rsidRPr="00680B65" w:rsidRDefault="00612C67" w:rsidP="00612C67">
      <w:pPr>
        <w:pStyle w:val="NormalWeb"/>
        <w:spacing w:line="320" w:lineRule="exact"/>
        <w:jc w:val="both"/>
        <w:rPr>
          <w:rStyle w:val="tlid-translation"/>
          <w:rFonts w:eastAsiaTheme="minorEastAsia"/>
        </w:rPr>
      </w:pPr>
      <w:r w:rsidRPr="00680B65">
        <w:rPr>
          <w:rStyle w:val="tlid-translation"/>
          <w:rFonts w:eastAsiaTheme="minorEastAsia"/>
        </w:rPr>
        <w:t>In 2018, Bulgaria’s actions in the field of gender equality were a subject of review under the UN International Covenant on Civil and Political Rights. The Human Rights Committee expressed concerns on the continuous gender-pay gap and lack of work-life balance initiatives. It stressed on the low representation of women in decision-making processes, strongly emphasizing lack of representation of Roma women</w:t>
      </w:r>
      <w:r w:rsidRPr="00680B65">
        <w:rPr>
          <w:rStyle w:val="FootnoteReference"/>
        </w:rPr>
        <w:footnoteReference w:id="20"/>
      </w:r>
      <w:r w:rsidRPr="00680B65">
        <w:rPr>
          <w:rStyle w:val="tlid-translation"/>
          <w:rFonts w:eastAsiaTheme="minorEastAsia"/>
        </w:rPr>
        <w:t>, who along with the general Roma community, continue to “to suffer marginalization and discrimination, especially in the areas of housing, education, health care and employment”</w:t>
      </w:r>
      <w:r w:rsidRPr="00680B65">
        <w:rPr>
          <w:rStyle w:val="FootnoteReference"/>
        </w:rPr>
        <w:footnoteReference w:id="21"/>
      </w:r>
      <w:r w:rsidRPr="00680B65">
        <w:rPr>
          <w:rStyle w:val="tlid-translation"/>
          <w:rFonts w:eastAsiaTheme="minorEastAsia"/>
        </w:rPr>
        <w:t>.</w:t>
      </w:r>
    </w:p>
    <w:p w:rsidR="00612C67" w:rsidRPr="00612C67" w:rsidRDefault="00612C67" w:rsidP="00612C67">
      <w:pPr>
        <w:pStyle w:val="NormalWeb"/>
        <w:spacing w:line="320" w:lineRule="exact"/>
        <w:jc w:val="both"/>
      </w:pPr>
      <w:r w:rsidRPr="00680B65">
        <w:rPr>
          <w:rStyle w:val="tlid-translation"/>
          <w:rFonts w:eastAsiaTheme="minorEastAsia"/>
        </w:rPr>
        <w:t xml:space="preserve">In this regard, we would like to recommend the Bulgarian Parliament the introduction of gender quotas in politics, that guarantee equal representation of women, including Roma women, in decision-making processes. </w:t>
      </w:r>
    </w:p>
    <w:p w:rsidR="00612C67" w:rsidRPr="00680B65" w:rsidRDefault="00612C67" w:rsidP="00612C67">
      <w:pPr>
        <w:spacing w:line="320" w:lineRule="exact"/>
        <w:jc w:val="both"/>
        <w:rPr>
          <w:rFonts w:ascii="Times New Roman" w:hAnsi="Times New Roman"/>
          <w:sz w:val="24"/>
          <w:szCs w:val="24"/>
        </w:rPr>
      </w:pPr>
      <w:r w:rsidRPr="00680B65">
        <w:rPr>
          <w:rFonts w:ascii="Times New Roman" w:hAnsi="Times New Roman"/>
          <w:b/>
          <w:sz w:val="24"/>
          <w:szCs w:val="24"/>
        </w:rPr>
        <w:t xml:space="preserve">National Roma Integration Strategy </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sz w:val="24"/>
          <w:szCs w:val="24"/>
        </w:rPr>
        <w:t>The Bulgarian National Roma Integration Strategy (2012-2020) is a political framework document which lays the policies for social integration of Roma people</w:t>
      </w:r>
      <w:r w:rsidRPr="00680B65">
        <w:rPr>
          <w:rStyle w:val="FootnoteReference"/>
          <w:rFonts w:ascii="Times New Roman" w:hAnsi="Times New Roman"/>
          <w:sz w:val="24"/>
          <w:szCs w:val="24"/>
        </w:rPr>
        <w:footnoteReference w:id="22"/>
      </w:r>
      <w:r w:rsidRPr="00680B65">
        <w:rPr>
          <w:rFonts w:ascii="Times New Roman" w:hAnsi="Times New Roman"/>
          <w:sz w:val="24"/>
          <w:szCs w:val="24"/>
        </w:rPr>
        <w:t xml:space="preserve">. </w:t>
      </w:r>
      <w:r>
        <w:rPr>
          <w:rFonts w:ascii="Times New Roman" w:hAnsi="Times New Roman"/>
          <w:sz w:val="24"/>
          <w:szCs w:val="24"/>
        </w:rPr>
        <w:t>M</w:t>
      </w:r>
      <w:r w:rsidRPr="00680B65">
        <w:rPr>
          <w:rFonts w:ascii="Times New Roman" w:hAnsi="Times New Roman"/>
          <w:sz w:val="24"/>
          <w:szCs w:val="24"/>
        </w:rPr>
        <w:t xml:space="preserve">unicipalities have developed their own strategies accompanied by action plans at local levels for Roma integration until 2020. </w:t>
      </w:r>
      <w:r>
        <w:rPr>
          <w:rFonts w:ascii="Times New Roman" w:hAnsi="Times New Roman"/>
          <w:sz w:val="24"/>
          <w:szCs w:val="24"/>
        </w:rPr>
        <w:t>A</w:t>
      </w:r>
      <w:r w:rsidRPr="00680B65">
        <w:rPr>
          <w:rFonts w:ascii="Times New Roman" w:hAnsi="Times New Roman"/>
          <w:sz w:val="24"/>
          <w:szCs w:val="24"/>
        </w:rPr>
        <w:t xml:space="preserve">round 200 out of 264 municipalities have done this. </w:t>
      </w:r>
      <w:r>
        <w:rPr>
          <w:rFonts w:ascii="Times New Roman" w:hAnsi="Times New Roman"/>
          <w:sz w:val="24"/>
          <w:szCs w:val="24"/>
        </w:rPr>
        <w:t>Many Roma organiz</w:t>
      </w:r>
      <w:r w:rsidRPr="00680B65">
        <w:rPr>
          <w:rFonts w:ascii="Times New Roman" w:hAnsi="Times New Roman"/>
          <w:sz w:val="24"/>
          <w:szCs w:val="24"/>
        </w:rPr>
        <w:t>ations took an active part in the preparation of the municipal plans by ensuring the participation of the local communities</w:t>
      </w:r>
      <w:r w:rsidRPr="00680B65">
        <w:rPr>
          <w:rStyle w:val="FootnoteReference"/>
          <w:rFonts w:ascii="Times New Roman" w:hAnsi="Times New Roman"/>
          <w:sz w:val="24"/>
          <w:szCs w:val="24"/>
        </w:rPr>
        <w:footnoteReference w:id="23"/>
      </w:r>
      <w:r w:rsidRPr="00680B65">
        <w:rPr>
          <w:rFonts w:ascii="Times New Roman" w:hAnsi="Times New Roman"/>
          <w:sz w:val="24"/>
          <w:szCs w:val="24"/>
        </w:rPr>
        <w:t>. The plans of 79 municipalities included specific NGOs as the responsible institution for implementing part of the activities and 60 other municipalities indicated partnerships with NGOs without specifying their names. However, the quality of most municipal Plans cannot be assessed as high</w:t>
      </w:r>
      <w:r w:rsidRPr="00680B65">
        <w:rPr>
          <w:rStyle w:val="FootnoteReference"/>
          <w:rFonts w:ascii="Times New Roman" w:hAnsi="Times New Roman"/>
          <w:sz w:val="24"/>
          <w:szCs w:val="24"/>
        </w:rPr>
        <w:footnoteReference w:id="24"/>
      </w:r>
      <w:r w:rsidRPr="00680B65">
        <w:rPr>
          <w:rFonts w:ascii="Times New Roman" w:hAnsi="Times New Roman"/>
          <w:sz w:val="24"/>
          <w:szCs w:val="24"/>
        </w:rPr>
        <w:t>. While all municipalities recognize in their strategies horizontal policies related to gender equality, such as “Encouraging positive actions for overcoming traditional practices in the Roma communities, affecting the rights of women and children”</w:t>
      </w:r>
      <w:r w:rsidRPr="00680B65">
        <w:rPr>
          <w:rStyle w:val="FootnoteReference"/>
          <w:rFonts w:ascii="Times New Roman" w:hAnsi="Times New Roman"/>
          <w:sz w:val="24"/>
          <w:szCs w:val="24"/>
        </w:rPr>
        <w:footnoteReference w:id="25"/>
      </w:r>
      <w:r w:rsidRPr="00680B65">
        <w:rPr>
          <w:rFonts w:ascii="Times New Roman" w:hAnsi="Times New Roman"/>
          <w:sz w:val="24"/>
          <w:szCs w:val="24"/>
        </w:rPr>
        <w:t xml:space="preserve">, none of them have envisaged concrete steps in their municipal action plans for the implementation of an integrated approach that empowers Roma women. </w:t>
      </w:r>
    </w:p>
    <w:p w:rsidR="00612C67" w:rsidRPr="00680B65" w:rsidRDefault="00612C67" w:rsidP="00612C67">
      <w:pPr>
        <w:spacing w:before="100" w:after="100" w:line="320" w:lineRule="exact"/>
        <w:jc w:val="both"/>
        <w:rPr>
          <w:rFonts w:ascii="Times New Roman" w:hAnsi="Times New Roman"/>
          <w:sz w:val="24"/>
          <w:szCs w:val="24"/>
        </w:rPr>
      </w:pPr>
      <w:r>
        <w:rPr>
          <w:rFonts w:ascii="Times New Roman" w:hAnsi="Times New Roman"/>
          <w:sz w:val="24"/>
          <w:szCs w:val="24"/>
        </w:rPr>
        <w:t>N</w:t>
      </w:r>
      <w:r w:rsidRPr="00680B65">
        <w:rPr>
          <w:rFonts w:ascii="Times New Roman" w:hAnsi="Times New Roman"/>
          <w:sz w:val="24"/>
          <w:szCs w:val="24"/>
        </w:rPr>
        <w:t xml:space="preserve">o initiatives are reported for prevention and elimination of gender-based violence and elevating </w:t>
      </w:r>
      <w:r>
        <w:rPr>
          <w:rFonts w:ascii="Times New Roman" w:hAnsi="Times New Roman"/>
          <w:sz w:val="24"/>
          <w:szCs w:val="24"/>
        </w:rPr>
        <w:t>Roma women’s</w:t>
      </w:r>
      <w:r w:rsidRPr="00680B65">
        <w:rPr>
          <w:rFonts w:ascii="Times New Roman" w:hAnsi="Times New Roman"/>
          <w:sz w:val="24"/>
          <w:szCs w:val="24"/>
        </w:rPr>
        <w:t xml:space="preserve"> status in the society. Roma women are explicitly mentioned in relation to their reproductive health across municipal strategies, reciting one another: „Pregnant women from Roma origin do not visit regularly female consultations, they do not bring their children to children’s consultations, respectively, do not immunize them on a regular basis. This is one of the main reasons for higher mortality rates across Roma population”</w:t>
      </w:r>
      <w:r w:rsidRPr="00680B65">
        <w:rPr>
          <w:rStyle w:val="FootnoteReference"/>
          <w:rFonts w:ascii="Times New Roman" w:hAnsi="Times New Roman"/>
          <w:sz w:val="24"/>
          <w:szCs w:val="24"/>
        </w:rPr>
        <w:footnoteReference w:id="26"/>
      </w:r>
      <w:r w:rsidRPr="00680B65">
        <w:rPr>
          <w:rFonts w:ascii="Times New Roman" w:hAnsi="Times New Roman"/>
          <w:sz w:val="24"/>
          <w:szCs w:val="24"/>
        </w:rPr>
        <w:t>. While improving Roma women’s health status and knowledge is undoubtedly important, it seems that the responsibility for the high mortality rates within Roma community is placed on Roma women. In addition, Roma women are presented as a homogenous group, associated with their roles as mothers which further cements gender stereotypes of Roma women and women in general that they are best realized through their reproductive functions. Stakeholders need to apply gender-sensitive policies in order to achieve an overall effect in the lives of the ethnic minorities women, and not to put additional institutional pressure on their poor condition.</w:t>
      </w:r>
    </w:p>
    <w:p w:rsidR="00612C67" w:rsidRPr="00680B65" w:rsidRDefault="00612C67" w:rsidP="00612C67">
      <w:pPr>
        <w:spacing w:before="100" w:after="100" w:line="320" w:lineRule="exact"/>
        <w:jc w:val="both"/>
        <w:rPr>
          <w:rFonts w:ascii="Times New Roman" w:hAnsi="Times New Roman"/>
          <w:sz w:val="24"/>
          <w:szCs w:val="24"/>
        </w:rPr>
      </w:pPr>
      <w:r w:rsidRPr="00680B65">
        <w:rPr>
          <w:rFonts w:ascii="Times New Roman" w:hAnsi="Times New Roman"/>
          <w:sz w:val="24"/>
          <w:szCs w:val="24"/>
        </w:rPr>
        <w:t>Another major drawback is the lack of a working system for monitoring, evaluation and control of the current S</w:t>
      </w:r>
      <w:r>
        <w:rPr>
          <w:rFonts w:ascii="Times New Roman" w:hAnsi="Times New Roman"/>
          <w:sz w:val="24"/>
          <w:szCs w:val="24"/>
        </w:rPr>
        <w:t>trategy</w:t>
      </w:r>
      <w:r w:rsidRPr="00680B65">
        <w:rPr>
          <w:rFonts w:ascii="Times New Roman" w:hAnsi="Times New Roman"/>
          <w:sz w:val="24"/>
          <w:szCs w:val="24"/>
        </w:rPr>
        <w:t xml:space="preserve">. Such a system is only now being developed under a project funded by the Operational </w:t>
      </w:r>
      <w:proofErr w:type="spellStart"/>
      <w:r w:rsidRPr="00680B65">
        <w:rPr>
          <w:rFonts w:ascii="Times New Roman" w:hAnsi="Times New Roman"/>
          <w:sz w:val="24"/>
          <w:szCs w:val="24"/>
        </w:rPr>
        <w:t>Programme</w:t>
      </w:r>
      <w:proofErr w:type="spellEnd"/>
      <w:r w:rsidRPr="00680B65">
        <w:rPr>
          <w:rFonts w:ascii="Times New Roman" w:hAnsi="Times New Roman"/>
          <w:sz w:val="24"/>
          <w:szCs w:val="24"/>
        </w:rPr>
        <w:t xml:space="preserve"> Human Resources Development.</w:t>
      </w:r>
      <w:r w:rsidRPr="00680B65">
        <w:rPr>
          <w:rFonts w:ascii="Times New Roman" w:hAnsi="Times New Roman"/>
          <w:position w:val="8"/>
          <w:sz w:val="24"/>
          <w:szCs w:val="24"/>
        </w:rPr>
        <w:t xml:space="preserve"> </w:t>
      </w:r>
      <w:r w:rsidRPr="00680B65">
        <w:rPr>
          <w:rFonts w:ascii="Times New Roman" w:hAnsi="Times New Roman"/>
          <w:sz w:val="24"/>
          <w:szCs w:val="24"/>
        </w:rPr>
        <w:t>When visiting its website</w:t>
      </w:r>
      <w:r w:rsidRPr="00680B65">
        <w:rPr>
          <w:rStyle w:val="FootnoteReference"/>
          <w:rFonts w:ascii="Times New Roman" w:hAnsi="Times New Roman"/>
          <w:sz w:val="24"/>
          <w:szCs w:val="24"/>
        </w:rPr>
        <w:footnoteReference w:id="27"/>
      </w:r>
      <w:r w:rsidRPr="00680B65">
        <w:rPr>
          <w:rFonts w:ascii="Times New Roman" w:hAnsi="Times New Roman"/>
          <w:sz w:val="24"/>
          <w:szCs w:val="24"/>
        </w:rPr>
        <w:t xml:space="preserve"> to track its progress, the „system” contains almost no information, and at this point is useless. It is disappointing that only at the end of the strategic period (ending in 2020) such a system is being developed, as it is much needed for the objective assessment of policies and measures concerning Roma integration. Such an online platform could bring transparency to both local and national actions and achievements and allow access by NGOs and stakeholders to provide input and critical analysis of the current situation. </w:t>
      </w:r>
    </w:p>
    <w:p w:rsidR="00612C67" w:rsidRPr="00680B65" w:rsidRDefault="00612C67" w:rsidP="00612C67">
      <w:pPr>
        <w:pStyle w:val="NormalWeb"/>
        <w:spacing w:line="320" w:lineRule="exact"/>
        <w:jc w:val="both"/>
        <w:rPr>
          <w:lang w:val="bg-BG"/>
        </w:rPr>
      </w:pPr>
      <w:r w:rsidRPr="00680B65">
        <w:t xml:space="preserve">Our recommendations extend to the Bulgarian Parliament and the Council of Ministers to identify the necessary gender indicators for the upcoming National Roma Integration Strategy, such as following the comparative outcomes of particular activities, policies and </w:t>
      </w:r>
      <w:proofErr w:type="spellStart"/>
      <w:r w:rsidRPr="00680B65">
        <w:t>programmes</w:t>
      </w:r>
      <w:proofErr w:type="spellEnd"/>
      <w:r w:rsidRPr="00680B65">
        <w:t xml:space="preserve"> for women and men, or changes to the comparative situations or status</w:t>
      </w:r>
      <w:r w:rsidRPr="00680B65">
        <w:rPr>
          <w:color w:val="222222"/>
        </w:rPr>
        <w:t xml:space="preserve"> of </w:t>
      </w:r>
      <w:r w:rsidRPr="00680B65">
        <w:t>women and men (such as levels of participation or poverty, for example). Also, adoption of a strategy for counteracting child poverty is needed in the country, allowing for an analysis of the mechanisms for intergenerational poverty and planning a complex of measures for support of Roma children and their families in all fields – employment, integrated social services, education and health.</w:t>
      </w:r>
      <w:r w:rsidRPr="00680B65">
        <w:rPr>
          <w:color w:val="222222"/>
        </w:rPr>
        <w:t xml:space="preserve">  </w:t>
      </w:r>
    </w:p>
    <w:p w:rsidR="00612C67" w:rsidRPr="00680B65" w:rsidRDefault="00612C67" w:rsidP="00612C67">
      <w:pPr>
        <w:widowControl w:val="0"/>
        <w:autoSpaceDE w:val="0"/>
        <w:autoSpaceDN w:val="0"/>
        <w:adjustRightInd w:val="0"/>
        <w:spacing w:line="320" w:lineRule="exact"/>
        <w:jc w:val="both"/>
        <w:rPr>
          <w:rFonts w:ascii="Times New Roman" w:hAnsi="Times New Roman"/>
          <w:b/>
          <w:bCs/>
          <w:spacing w:val="4"/>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bCs/>
          <w:spacing w:val="4"/>
          <w:sz w:val="24"/>
          <w:szCs w:val="24"/>
        </w:rPr>
      </w:pPr>
      <w:r w:rsidRPr="00680B65">
        <w:rPr>
          <w:rFonts w:ascii="Times New Roman" w:hAnsi="Times New Roman"/>
          <w:sz w:val="24"/>
          <w:szCs w:val="24"/>
        </w:rPr>
        <w:t>We give permission for the posting of this submission on the CEDAW website for public information purposes.</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13 January 2020, Sofia</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r w:rsidRPr="00680B65">
        <w:rPr>
          <w:rFonts w:ascii="Times New Roman" w:hAnsi="Times New Roman"/>
          <w:sz w:val="24"/>
          <w:szCs w:val="24"/>
        </w:rPr>
        <w:t xml:space="preserve">……………………………………… </w:t>
      </w:r>
      <w:r w:rsidRPr="00680B65">
        <w:rPr>
          <w:rFonts w:ascii="Times New Roman" w:hAnsi="Times New Roman"/>
          <w:sz w:val="24"/>
          <w:szCs w:val="24"/>
        </w:rPr>
        <w:tab/>
      </w:r>
      <w:r w:rsidRPr="00680B65">
        <w:rPr>
          <w:rFonts w:ascii="Times New Roman" w:hAnsi="Times New Roman"/>
          <w:sz w:val="24"/>
          <w:szCs w:val="24"/>
        </w:rPr>
        <w:tab/>
        <w:t xml:space="preserve">    …………………………………..</w:t>
      </w:r>
    </w:p>
    <w:p w:rsidR="00612C67" w:rsidRPr="00680B65" w:rsidRDefault="00612C67" w:rsidP="00612C67">
      <w:pPr>
        <w:widowControl w:val="0"/>
        <w:autoSpaceDE w:val="0"/>
        <w:autoSpaceDN w:val="0"/>
        <w:adjustRightInd w:val="0"/>
        <w:spacing w:after="0" w:line="320" w:lineRule="exact"/>
        <w:jc w:val="both"/>
        <w:rPr>
          <w:rFonts w:ascii="Times New Roman" w:hAnsi="Times New Roman"/>
          <w:sz w:val="24"/>
          <w:szCs w:val="24"/>
        </w:rPr>
      </w:pPr>
      <w:r>
        <w:rPr>
          <w:rFonts w:ascii="Times New Roman" w:hAnsi="Times New Roman"/>
          <w:sz w:val="24"/>
          <w:szCs w:val="24"/>
        </w:rPr>
        <w:t xml:space="preserve">Natasha </w:t>
      </w:r>
      <w:proofErr w:type="spellStart"/>
      <w:r>
        <w:rPr>
          <w:rFonts w:ascii="Times New Roman" w:hAnsi="Times New Roman"/>
          <w:sz w:val="24"/>
          <w:szCs w:val="24"/>
        </w:rPr>
        <w:t>Dobreva</w:t>
      </w:r>
      <w:proofErr w:type="spellEnd"/>
      <w:r>
        <w:rPr>
          <w:rFonts w:ascii="Times New Roman" w:hAnsi="Times New Roman"/>
          <w:sz w:val="24"/>
          <w:szCs w:val="24"/>
        </w:rPr>
        <w:t xml:space="preserve"> </w:t>
      </w:r>
      <w:r>
        <w:rPr>
          <w:rFonts w:ascii="Times New Roman" w:hAnsi="Times New Roman"/>
          <w:sz w:val="24"/>
          <w:szCs w:val="24"/>
        </w:rPr>
        <w:tab/>
      </w:r>
      <w:r w:rsidRPr="00680B65">
        <w:rPr>
          <w:rFonts w:ascii="Times New Roman" w:hAnsi="Times New Roman"/>
          <w:sz w:val="24"/>
          <w:szCs w:val="24"/>
        </w:rPr>
        <w:tab/>
      </w:r>
      <w:r w:rsidRPr="00680B65">
        <w:rPr>
          <w:rFonts w:ascii="Times New Roman" w:hAnsi="Times New Roman"/>
          <w:sz w:val="24"/>
          <w:szCs w:val="24"/>
        </w:rPr>
        <w:tab/>
      </w:r>
      <w:r w:rsidRPr="00680B65">
        <w:rPr>
          <w:rFonts w:ascii="Times New Roman" w:hAnsi="Times New Roman"/>
          <w:sz w:val="24"/>
          <w:szCs w:val="24"/>
        </w:rPr>
        <w:tab/>
      </w:r>
      <w:r w:rsidRPr="00680B65">
        <w:rPr>
          <w:rFonts w:ascii="Times New Roman" w:hAnsi="Times New Roman"/>
          <w:sz w:val="24"/>
          <w:szCs w:val="24"/>
        </w:rPr>
        <w:tab/>
      </w:r>
      <w:r w:rsidRPr="00680B65">
        <w:rPr>
          <w:rFonts w:ascii="Times New Roman" w:hAnsi="Times New Roman"/>
          <w:sz w:val="24"/>
          <w:szCs w:val="24"/>
        </w:rPr>
        <w:tab/>
        <w:t xml:space="preserve">Rada </w:t>
      </w:r>
      <w:proofErr w:type="spellStart"/>
      <w:r w:rsidRPr="00680B65">
        <w:rPr>
          <w:rFonts w:ascii="Times New Roman" w:hAnsi="Times New Roman"/>
          <w:sz w:val="24"/>
          <w:szCs w:val="24"/>
        </w:rPr>
        <w:t>Elenkova</w:t>
      </w:r>
      <w:proofErr w:type="spellEnd"/>
      <w:r w:rsidRPr="00680B65">
        <w:rPr>
          <w:rFonts w:ascii="Times New Roman" w:hAnsi="Times New Roman"/>
          <w:sz w:val="24"/>
          <w:szCs w:val="24"/>
        </w:rPr>
        <w:t xml:space="preserve">, </w:t>
      </w:r>
    </w:p>
    <w:p w:rsidR="00612C67" w:rsidRDefault="00612C67" w:rsidP="00612C67">
      <w:pPr>
        <w:widowControl w:val="0"/>
        <w:autoSpaceDE w:val="0"/>
        <w:autoSpaceDN w:val="0"/>
        <w:adjustRightInd w:val="0"/>
        <w:spacing w:after="0" w:line="320" w:lineRule="exact"/>
        <w:jc w:val="both"/>
        <w:rPr>
          <w:rFonts w:ascii="Times New Roman" w:hAnsi="Times New Roman"/>
          <w:sz w:val="24"/>
          <w:szCs w:val="24"/>
        </w:rPr>
      </w:pPr>
      <w:r>
        <w:rPr>
          <w:rFonts w:ascii="Times New Roman" w:hAnsi="Times New Roman"/>
          <w:sz w:val="24"/>
          <w:szCs w:val="24"/>
        </w:rPr>
        <w:t>Human Rights A</w:t>
      </w:r>
      <w:r w:rsidRPr="00680B65">
        <w:rPr>
          <w:rFonts w:ascii="Times New Roman" w:hAnsi="Times New Roman"/>
          <w:sz w:val="24"/>
          <w:szCs w:val="24"/>
        </w:rPr>
        <w:t>ttorney</w:t>
      </w:r>
      <w:r w:rsidRPr="000F12D6">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80B65">
        <w:rPr>
          <w:rFonts w:ascii="Times New Roman" w:hAnsi="Times New Roman"/>
          <w:sz w:val="24"/>
          <w:szCs w:val="24"/>
        </w:rPr>
        <w:t>Bulgarian Fund for Women</w:t>
      </w: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612C67" w:rsidRPr="00680B65" w:rsidRDefault="00612C67" w:rsidP="00612C67">
      <w:pPr>
        <w:widowControl w:val="0"/>
        <w:autoSpaceDE w:val="0"/>
        <w:autoSpaceDN w:val="0"/>
        <w:adjustRightInd w:val="0"/>
        <w:spacing w:line="320" w:lineRule="exact"/>
        <w:jc w:val="both"/>
        <w:rPr>
          <w:rFonts w:ascii="Times New Roman" w:hAnsi="Times New Roman"/>
          <w:sz w:val="24"/>
          <w:szCs w:val="24"/>
        </w:rPr>
      </w:pPr>
    </w:p>
    <w:p w:rsidR="00876611" w:rsidRPr="00A504C4" w:rsidRDefault="00876611" w:rsidP="00A504C4">
      <w:pPr>
        <w:pStyle w:val="NormalWeb"/>
        <w:shd w:val="clear" w:color="auto" w:fill="FFFFFF"/>
        <w:spacing w:before="0" w:beforeAutospacing="0" w:after="360" w:afterAutospacing="0"/>
        <w:rPr>
          <w:rFonts w:ascii="Trebuchet MS" w:hAnsi="Trebuchet MS"/>
          <w:color w:val="666666"/>
          <w:sz w:val="21"/>
          <w:szCs w:val="21"/>
          <w:lang w:val="bg-BG"/>
        </w:rPr>
      </w:pPr>
      <w:bookmarkStart w:id="0" w:name="_GoBack"/>
      <w:bookmarkEnd w:id="0"/>
      <w:permStart w:id="1190229998" w:edGrp="everyone"/>
      <w:permEnd w:id="1190229998"/>
    </w:p>
    <w:sectPr w:rsidR="00876611" w:rsidRPr="00A504C4" w:rsidSect="00E430E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84E" w:rsidRDefault="00A1284E" w:rsidP="008711CD">
      <w:pPr>
        <w:spacing w:after="0" w:line="240" w:lineRule="auto"/>
      </w:pPr>
      <w:r>
        <w:separator/>
      </w:r>
    </w:p>
  </w:endnote>
  <w:endnote w:type="continuationSeparator" w:id="0">
    <w:p w:rsidR="00A1284E" w:rsidRDefault="00A1284E" w:rsidP="0087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Footer"/>
    </w:pPr>
    <w:r w:rsidRPr="008711CD">
      <w:rPr>
        <w:noProof/>
        <w:lang w:val="en-GB" w:eastAsia="en-GB"/>
      </w:rPr>
      <w:drawing>
        <wp:inline distT="0" distB="0" distL="0" distR="0" wp14:anchorId="0D53E066" wp14:editId="65D45304">
          <wp:extent cx="5943600" cy="6858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 cstate="print">
                    <a:extLst>
                      <a:ext uri="{28A0092B-C50C-407E-A947-70E740481C1C}">
                        <a14:useLocalDpi xmlns:a14="http://schemas.microsoft.com/office/drawing/2010/main" val="0"/>
                      </a:ext>
                    </a:extLst>
                  </a:blip>
                  <a:srcRect t="89441" b="2391"/>
                  <a:stretch/>
                </pic:blipFill>
                <pic:spPr bwMode="auto">
                  <a:xfrm>
                    <a:off x="0" y="0"/>
                    <a:ext cx="5943600" cy="68580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84E" w:rsidRDefault="00A1284E" w:rsidP="008711CD">
      <w:pPr>
        <w:spacing w:after="0" w:line="240" w:lineRule="auto"/>
      </w:pPr>
      <w:r>
        <w:separator/>
      </w:r>
    </w:p>
  </w:footnote>
  <w:footnote w:type="continuationSeparator" w:id="0">
    <w:p w:rsidR="00A1284E" w:rsidRDefault="00A1284E" w:rsidP="008711CD">
      <w:pPr>
        <w:spacing w:after="0" w:line="240" w:lineRule="auto"/>
      </w:pPr>
      <w:r>
        <w:continuationSeparator/>
      </w:r>
    </w:p>
  </w:footnote>
  <w:footnote w:id="1">
    <w:p w:rsidR="00612C67" w:rsidRDefault="00612C67" w:rsidP="00612C67">
      <w:pPr>
        <w:pStyle w:val="FootnoteText"/>
        <w:spacing w:after="0"/>
        <w:ind w:right="-800"/>
      </w:pPr>
      <w:r w:rsidRPr="00E92BD8">
        <w:rPr>
          <w:rStyle w:val="FootnoteReference"/>
          <w:rFonts w:ascii="Times New Roman" w:hAnsi="Times New Roman"/>
        </w:rPr>
        <w:footnoteRef/>
      </w:r>
      <w:r w:rsidRPr="00E92BD8">
        <w:rPr>
          <w:rFonts w:ascii="Times New Roman" w:hAnsi="Times New Roman"/>
        </w:rPr>
        <w:t xml:space="preserve"> </w:t>
      </w:r>
      <w:hyperlink r:id="rId1" w:history="1">
        <w:r w:rsidRPr="00E92BD8">
          <w:rPr>
            <w:rStyle w:val="Hyperlink"/>
            <w:rFonts w:ascii="Times New Roman" w:hAnsi="Times New Roman"/>
          </w:rPr>
          <w:t>https://www.nsi.bg/en/content/6710/population-towns-and-sex</w:t>
        </w:r>
      </w:hyperlink>
      <w:r w:rsidRPr="00E92BD8">
        <w:rPr>
          <w:rFonts w:ascii="Times New Roman" w:hAnsi="Times New Roman"/>
        </w:rPr>
        <w:t xml:space="preserve"> </w:t>
      </w:r>
    </w:p>
  </w:footnote>
  <w:footnote w:id="2">
    <w:p w:rsidR="00612C67" w:rsidRDefault="00612C67" w:rsidP="00612C67">
      <w:pPr>
        <w:pStyle w:val="FootnoteText"/>
        <w:spacing w:after="0"/>
      </w:pPr>
      <w:r w:rsidRPr="00E92BD8">
        <w:rPr>
          <w:rStyle w:val="FootnoteReference"/>
          <w:rFonts w:ascii="Times New Roman" w:hAnsi="Times New Roman"/>
        </w:rPr>
        <w:footnoteRef/>
      </w:r>
      <w:hyperlink r:id="rId2" w:history="1">
        <w:r w:rsidRPr="00E92BD8">
          <w:rPr>
            <w:rStyle w:val="Hyperlink"/>
            <w:rFonts w:ascii="Times New Roman" w:hAnsi="Times New Roman"/>
            <w:lang w:val="bg-BG"/>
          </w:rPr>
          <w:t>https://www.prb.bg/bg/pub_info/godishni-dokladi/doklad-za-prilaganeto-na-zakona-i-za-dejnostta-10334567</w:t>
        </w:r>
      </w:hyperlink>
    </w:p>
  </w:footnote>
  <w:footnote w:id="3">
    <w:p w:rsidR="00612C67" w:rsidRDefault="00612C67" w:rsidP="00612C67">
      <w:pPr>
        <w:pStyle w:val="FootnoteText"/>
        <w:spacing w:after="0"/>
      </w:pPr>
      <w:r w:rsidRPr="00E92BD8">
        <w:rPr>
          <w:rStyle w:val="FootnoteReference"/>
          <w:rFonts w:ascii="Times New Roman" w:hAnsi="Times New Roman"/>
        </w:rPr>
        <w:footnoteRef/>
      </w:r>
      <w:r w:rsidRPr="00E92BD8">
        <w:rPr>
          <w:rFonts w:ascii="Times New Roman" w:hAnsi="Times New Roman"/>
        </w:rPr>
        <w:t xml:space="preserve"> </w:t>
      </w:r>
      <w:hyperlink r:id="rId3" w:history="1">
        <w:r w:rsidRPr="00E92BD8">
          <w:rPr>
            <w:rStyle w:val="Hyperlink"/>
            <w:rFonts w:ascii="Times New Roman" w:hAnsi="Times New Roman"/>
          </w:rPr>
          <w:t>https://www.prb.bg/bg/pub_info/godishni-dokladi/doklad-za-prilaganeto-na-zakona-i-za-dejnostta-103</w:t>
        </w:r>
      </w:hyperlink>
      <w:r w:rsidRPr="00E92BD8">
        <w:rPr>
          <w:rFonts w:ascii="Times New Roman" w:hAnsi="Times New Roman"/>
        </w:rPr>
        <w:t xml:space="preserve"> </w:t>
      </w:r>
    </w:p>
  </w:footnote>
  <w:footnote w:id="4">
    <w:p w:rsidR="00612C67" w:rsidRDefault="00612C67" w:rsidP="00612C67">
      <w:pPr>
        <w:pStyle w:val="FootnoteText"/>
        <w:spacing w:after="0"/>
      </w:pPr>
      <w:r w:rsidRPr="00E92BD8">
        <w:rPr>
          <w:rStyle w:val="FootnoteReference"/>
          <w:rFonts w:ascii="Times New Roman" w:hAnsi="Times New Roman"/>
        </w:rPr>
        <w:footnoteRef/>
      </w:r>
      <w:r w:rsidRPr="00E92BD8">
        <w:rPr>
          <w:rFonts w:ascii="Times New Roman" w:hAnsi="Times New Roman"/>
        </w:rPr>
        <w:t xml:space="preserve"> </w:t>
      </w:r>
      <w:hyperlink r:id="rId4" w:history="1">
        <w:r w:rsidRPr="00E92BD8">
          <w:rPr>
            <w:rStyle w:val="Hyperlink"/>
            <w:rFonts w:ascii="Times New Roman" w:hAnsi="Times New Roman"/>
          </w:rPr>
          <w:t>https://www.prb.bg/bg/pub_info/godishni-dokladi/godishen-doklad-za-prilaganeto-na-zakona-i-dejnost</w:t>
        </w:r>
      </w:hyperlink>
      <w:r w:rsidRPr="00E92BD8">
        <w:rPr>
          <w:rFonts w:ascii="Times New Roman" w:hAnsi="Times New Roman"/>
        </w:rPr>
        <w:t xml:space="preserve"> </w:t>
      </w:r>
    </w:p>
  </w:footnote>
  <w:footnote w:id="5">
    <w:p w:rsidR="00612C67" w:rsidRDefault="00612C67" w:rsidP="00612C67">
      <w:pPr>
        <w:pStyle w:val="FootnoteText"/>
        <w:spacing w:after="0"/>
      </w:pPr>
      <w:r w:rsidRPr="00E92BD8">
        <w:rPr>
          <w:rStyle w:val="FootnoteReference"/>
          <w:rFonts w:ascii="Times New Roman" w:hAnsi="Times New Roman"/>
        </w:rPr>
        <w:footnoteRef/>
      </w:r>
      <w:r w:rsidRPr="00E92BD8">
        <w:rPr>
          <w:rFonts w:ascii="Times New Roman" w:hAnsi="Times New Roman"/>
        </w:rPr>
        <w:t xml:space="preserve"> </w:t>
      </w:r>
      <w:hyperlink r:id="rId5" w:history="1">
        <w:r w:rsidRPr="00E92BD8">
          <w:rPr>
            <w:rStyle w:val="Hyperlink"/>
            <w:rFonts w:ascii="Times New Roman" w:hAnsi="Times New Roman"/>
          </w:rPr>
          <w:t>https://www.prb.bg/bg/pub_info/godishni-dokladi/godishen-doklad-za-2015-g</w:t>
        </w:r>
      </w:hyperlink>
      <w:r>
        <w:t xml:space="preserve"> </w:t>
      </w:r>
    </w:p>
  </w:footnote>
  <w:footnote w:id="6">
    <w:p w:rsidR="00612C67" w:rsidRDefault="00612C67" w:rsidP="00612C67">
      <w:pPr>
        <w:pStyle w:val="FootnoteText"/>
        <w:spacing w:after="0"/>
        <w:ind w:right="-800"/>
      </w:pPr>
      <w:r w:rsidRPr="00CF2DA0">
        <w:rPr>
          <w:rStyle w:val="FootnoteReference"/>
          <w:rFonts w:ascii="Times New Roman" w:hAnsi="Times New Roman"/>
        </w:rPr>
        <w:footnoteRef/>
      </w:r>
      <w:hyperlink r:id="rId6" w:history="1">
        <w:r w:rsidRPr="00CF2DA0">
          <w:rPr>
            <w:rStyle w:val="Hyperlink"/>
            <w:rFonts w:ascii="Times New Roman" w:hAnsi="Times New Roman"/>
          </w:rPr>
          <w:t>http://defakto.bg/2018/06/12/</w:t>
        </w:r>
      </w:hyperlink>
      <w:r w:rsidRPr="00CF2DA0">
        <w:rPr>
          <w:rFonts w:ascii="Times New Roman" w:hAnsi="Times New Roman"/>
        </w:rPr>
        <w:t xml:space="preserve">  </w:t>
      </w:r>
      <w:r w:rsidRPr="00CF2DA0">
        <w:t xml:space="preserve"> </w:t>
      </w:r>
    </w:p>
  </w:footnote>
  <w:footnote w:id="7">
    <w:p w:rsidR="00612C67" w:rsidRDefault="00612C67" w:rsidP="00612C67">
      <w:pPr>
        <w:pStyle w:val="FootnoteText"/>
        <w:spacing w:after="0"/>
        <w:ind w:right="-800"/>
      </w:pPr>
      <w:r w:rsidRPr="00CF2DA0">
        <w:rPr>
          <w:rStyle w:val="FootnoteReference"/>
          <w:rFonts w:ascii="Times New Roman" w:hAnsi="Times New Roman"/>
        </w:rPr>
        <w:footnoteRef/>
      </w:r>
      <w:r w:rsidRPr="00CF2DA0">
        <w:rPr>
          <w:rFonts w:ascii="Times New Roman" w:hAnsi="Times New Roman"/>
        </w:rPr>
        <w:t xml:space="preserve"> GRETA report in relation to Bulgaria</w:t>
      </w:r>
      <w:r w:rsidRPr="00D97657">
        <w:rPr>
          <w:rFonts w:ascii="Times New Roman" w:hAnsi="Times New Roman"/>
        </w:rPr>
        <w:t xml:space="preserve"> dated</w:t>
      </w:r>
      <w:r w:rsidRPr="00D97657">
        <w:rPr>
          <w:rFonts w:ascii="Times New Roman" w:hAnsi="Times New Roman"/>
          <w:lang w:val="bg-BG"/>
        </w:rPr>
        <w:t xml:space="preserve"> 28</w:t>
      </w:r>
      <w:r w:rsidRPr="00D97657">
        <w:rPr>
          <w:rFonts w:ascii="Times New Roman" w:hAnsi="Times New Roman"/>
        </w:rPr>
        <w:t xml:space="preserve"> January </w:t>
      </w:r>
      <w:r w:rsidRPr="00D97657">
        <w:rPr>
          <w:rFonts w:ascii="Times New Roman" w:hAnsi="Times New Roman"/>
          <w:lang w:val="bg-BG"/>
        </w:rPr>
        <w:t>2016:</w:t>
      </w:r>
      <w:r>
        <w:rPr>
          <w:rFonts w:ascii="Times New Roman" w:hAnsi="Times New Roman"/>
        </w:rPr>
        <w:t xml:space="preserve"> </w:t>
      </w:r>
      <w:hyperlink r:id="rId7" w:history="1">
        <w:r w:rsidRPr="007F5425">
          <w:rPr>
            <w:rStyle w:val="Hyperlink"/>
            <w:rFonts w:ascii="Times New Roman" w:hAnsi="Times New Roman"/>
            <w:lang w:val="bg-BG"/>
          </w:rPr>
          <w:t>http://www.coe.int/en/web/anti-human-trafficking/bulgaria</w:t>
        </w:r>
      </w:hyperlink>
      <w:r w:rsidRPr="00A72393">
        <w:rPr>
          <w:rFonts w:ascii="Times New Roman" w:hAnsi="Times New Roman"/>
          <w:sz w:val="22"/>
          <w:szCs w:val="22"/>
          <w:lang w:val="bg-BG"/>
        </w:rPr>
        <w:t xml:space="preserve"> </w:t>
      </w:r>
    </w:p>
  </w:footnote>
  <w:footnote w:id="8">
    <w:p w:rsidR="00612C67" w:rsidRDefault="00612C67" w:rsidP="00612C67">
      <w:pPr>
        <w:pStyle w:val="FootnoteText"/>
        <w:spacing w:after="0"/>
        <w:ind w:right="-800"/>
      </w:pPr>
      <w:r>
        <w:rPr>
          <w:rStyle w:val="FootnoteReference"/>
        </w:rPr>
        <w:footnoteRef/>
      </w:r>
      <w:r>
        <w:t xml:space="preserve"> </w:t>
      </w:r>
      <w:hyperlink r:id="rId8" w:history="1">
        <w:r w:rsidRPr="00635108">
          <w:rPr>
            <w:rStyle w:val="Hyperlink"/>
            <w:rFonts w:ascii="Times New Roman" w:hAnsi="Times New Roman"/>
            <w:lang w:val="bg-BG"/>
          </w:rPr>
          <w:t>http://bnr.bg/post/101135762</w:t>
        </w:r>
      </w:hyperlink>
    </w:p>
  </w:footnote>
  <w:footnote w:id="9">
    <w:p w:rsidR="00612C67" w:rsidRDefault="00612C67" w:rsidP="00612C67">
      <w:pPr>
        <w:pStyle w:val="FootnoteText"/>
        <w:spacing w:after="0"/>
      </w:pPr>
      <w:r w:rsidRPr="00FE4017">
        <w:rPr>
          <w:rStyle w:val="FootnoteReference"/>
          <w:rFonts w:ascii="Times New Roman" w:hAnsi="Times New Roman"/>
        </w:rPr>
        <w:footnoteRef/>
      </w:r>
      <w:r w:rsidRPr="00FE4017">
        <w:rPr>
          <w:rFonts w:ascii="Times New Roman" w:hAnsi="Times New Roman"/>
        </w:rPr>
        <w:t xml:space="preserve"> </w:t>
      </w:r>
      <w:r>
        <w:rPr>
          <w:rFonts w:ascii="Times New Roman" w:hAnsi="Times New Roman"/>
        </w:rPr>
        <w:t>International law c</w:t>
      </w:r>
      <w:r w:rsidRPr="00FE4017">
        <w:rPr>
          <w:rFonts w:ascii="Times New Roman" w:hAnsi="Times New Roman"/>
        </w:rPr>
        <w:t>onsistent</w:t>
      </w:r>
      <w:r>
        <w:rPr>
          <w:rFonts w:ascii="Times New Roman" w:hAnsi="Times New Roman"/>
        </w:rPr>
        <w:t xml:space="preserve">ly interprets the right to life as such arising after birth, ever </w:t>
      </w:r>
      <w:r w:rsidRPr="00FE4017">
        <w:rPr>
          <w:rFonts w:ascii="Times New Roman" w:hAnsi="Times New Roman"/>
        </w:rPr>
        <w:t>since the 1948 Universal Declaration on Human Rights till the 2019 General Comment No. 36 to Article 6 – right to life, of the International Covenant on Civil and Political Rights.</w:t>
      </w:r>
    </w:p>
  </w:footnote>
  <w:footnote w:id="10">
    <w:p w:rsidR="00612C67" w:rsidRDefault="00612C67" w:rsidP="00612C67">
      <w:pPr>
        <w:pStyle w:val="FootnoteText"/>
        <w:spacing w:after="0"/>
      </w:pPr>
      <w:r w:rsidRPr="00DF07D9">
        <w:rPr>
          <w:rStyle w:val="FootnoteReference"/>
          <w:rFonts w:ascii="Times New Roman" w:hAnsi="Times New Roman"/>
        </w:rPr>
        <w:footnoteRef/>
      </w:r>
      <w:r w:rsidRPr="00DF07D9">
        <w:rPr>
          <w:rFonts w:ascii="Times New Roman" w:hAnsi="Times New Roman"/>
        </w:rPr>
        <w:t xml:space="preserve"> Case of V.D.A. v. Argentina, Complaint No. 1608/2007, paragraph 9.2.</w:t>
      </w:r>
    </w:p>
  </w:footnote>
  <w:footnote w:id="11">
    <w:p w:rsidR="00612C67" w:rsidRDefault="00612C67" w:rsidP="00612C67">
      <w:pPr>
        <w:pStyle w:val="FootnoteText"/>
        <w:spacing w:after="0"/>
      </w:pPr>
      <w:r w:rsidRPr="00DF07D9">
        <w:rPr>
          <w:rStyle w:val="FootnoteReference"/>
          <w:rFonts w:ascii="Times New Roman" w:hAnsi="Times New Roman"/>
        </w:rPr>
        <w:footnoteRef/>
      </w:r>
      <w:r w:rsidRPr="00DF07D9">
        <w:rPr>
          <w:rFonts w:ascii="Times New Roman" w:hAnsi="Times New Roman"/>
        </w:rPr>
        <w:t xml:space="preserve"> Press release of the Deputy Prime Minister on Demographic Policy, dated 19 January 2018: </w:t>
      </w:r>
      <w:hyperlink r:id="rId9" w:history="1">
        <w:r w:rsidRPr="00DF07D9">
          <w:rPr>
            <w:rStyle w:val="Hyperlink"/>
            <w:rFonts w:ascii="Times New Roman" w:hAnsi="Times New Roman"/>
          </w:rPr>
          <w:t>https://www.dnevnik.bg/bulgaria/2018/01/19/3115332_nad_3_hil_nepulnoletni_momicheta_sa_rodili_prez_2017_g/</w:t>
        </w:r>
      </w:hyperlink>
      <w:r w:rsidRPr="00DF07D9">
        <w:rPr>
          <w:rFonts w:ascii="Times New Roman" w:hAnsi="Times New Roman"/>
        </w:rPr>
        <w:t xml:space="preserve"> </w:t>
      </w:r>
    </w:p>
  </w:footnote>
  <w:footnote w:id="12">
    <w:p w:rsidR="00612C67" w:rsidRDefault="00612C67" w:rsidP="00612C67">
      <w:pPr>
        <w:pStyle w:val="FootnoteText"/>
        <w:spacing w:after="0"/>
      </w:pPr>
      <w:r w:rsidRPr="00DF07D9">
        <w:rPr>
          <w:rStyle w:val="FootnoteReference"/>
          <w:rFonts w:ascii="Times New Roman" w:hAnsi="Times New Roman"/>
        </w:rPr>
        <w:footnoteRef/>
      </w:r>
      <w:r w:rsidRPr="00DF07D9">
        <w:rPr>
          <w:rFonts w:ascii="Times New Roman" w:hAnsi="Times New Roman"/>
        </w:rPr>
        <w:t xml:space="preserve"> Civil society monitoring report on implementation of the national Roma integr</w:t>
      </w:r>
      <w:r>
        <w:rPr>
          <w:rFonts w:ascii="Times New Roman" w:hAnsi="Times New Roman"/>
        </w:rPr>
        <w:t>ation strategy in Bulgaria, 2018</w:t>
      </w:r>
      <w:r w:rsidRPr="00DF07D9">
        <w:rPr>
          <w:rFonts w:ascii="Times New Roman" w:hAnsi="Times New Roman"/>
        </w:rPr>
        <w:t xml:space="preserve">, p. 42-43 </w:t>
      </w:r>
      <w:hyperlink r:id="rId10" w:history="1">
        <w:r w:rsidRPr="00DF07D9">
          <w:rPr>
            <w:rStyle w:val="Hyperlink"/>
            <w:rFonts w:ascii="Times New Roman" w:hAnsi="Times New Roman"/>
          </w:rPr>
          <w:t>https://cps.ceu.edu/sites/cps.ceu.edu/files/attachment/basicpage/3034/rcm-civil-society-monitoring-report-1-bulgaria-2017-eprint-fin-2.pdf</w:t>
        </w:r>
      </w:hyperlink>
      <w:r w:rsidRPr="00DF07D9">
        <w:rPr>
          <w:rFonts w:ascii="Times New Roman" w:hAnsi="Times New Roman"/>
        </w:rPr>
        <w:t xml:space="preserve"> </w:t>
      </w:r>
    </w:p>
  </w:footnote>
  <w:footnote w:id="13">
    <w:p w:rsidR="00612C67" w:rsidRDefault="00612C67" w:rsidP="00612C67">
      <w:pPr>
        <w:pStyle w:val="FootnoteText"/>
        <w:spacing w:after="0"/>
      </w:pPr>
      <w:r w:rsidRPr="00DF07D9">
        <w:rPr>
          <w:rFonts w:ascii="Times New Roman" w:hAnsi="Times New Roman"/>
        </w:rPr>
        <w:footnoteRef/>
      </w:r>
      <w:r w:rsidRPr="00DF07D9">
        <w:rPr>
          <w:rFonts w:ascii="Times New Roman" w:hAnsi="Times New Roman"/>
        </w:rPr>
        <w:t xml:space="preserve"> Ibid, p. 24</w:t>
      </w:r>
    </w:p>
  </w:footnote>
  <w:footnote w:id="14">
    <w:p w:rsidR="00612C67" w:rsidRDefault="00612C67" w:rsidP="00612C67">
      <w:pPr>
        <w:pStyle w:val="FootnoteText"/>
        <w:spacing w:after="0"/>
      </w:pPr>
      <w:r w:rsidRPr="000678D3">
        <w:rPr>
          <w:rFonts w:ascii="Times New Roman" w:hAnsi="Times New Roman"/>
          <w:sz w:val="18"/>
          <w:szCs w:val="18"/>
        </w:rPr>
        <w:footnoteRef/>
      </w:r>
      <w:r w:rsidRPr="000678D3">
        <w:rPr>
          <w:rFonts w:ascii="Times New Roman" w:hAnsi="Times New Roman"/>
          <w:sz w:val="18"/>
          <w:szCs w:val="18"/>
        </w:rPr>
        <w:t xml:space="preserve"> Ibid, p. 34</w:t>
      </w:r>
    </w:p>
  </w:footnote>
  <w:footnote w:id="15">
    <w:p w:rsidR="00612C67" w:rsidRDefault="00612C67" w:rsidP="00612C67">
      <w:pPr>
        <w:pStyle w:val="FootnoteText"/>
        <w:spacing w:after="0"/>
      </w:pPr>
      <w:r w:rsidRPr="000678D3">
        <w:rPr>
          <w:rStyle w:val="FootnoteReference"/>
          <w:rFonts w:ascii="Times New Roman" w:hAnsi="Times New Roman"/>
        </w:rPr>
        <w:footnoteRef/>
      </w:r>
      <w:r w:rsidRPr="000678D3">
        <w:rPr>
          <w:rFonts w:ascii="Times New Roman" w:hAnsi="Times New Roman"/>
        </w:rPr>
        <w:t xml:space="preserve"> </w:t>
      </w:r>
      <w:r w:rsidRPr="000678D3">
        <w:rPr>
          <w:rFonts w:ascii="Times New Roman" w:hAnsi="Times New Roman"/>
          <w:sz w:val="18"/>
          <w:szCs w:val="18"/>
        </w:rPr>
        <w:t xml:space="preserve">Civil society monitoring report on implementation of the national Roma integration strategy in </w:t>
      </w:r>
      <w:r>
        <w:rPr>
          <w:rFonts w:ascii="Times New Roman" w:hAnsi="Times New Roman"/>
          <w:sz w:val="18"/>
          <w:szCs w:val="18"/>
        </w:rPr>
        <w:t>Bulgaria, 2019</w:t>
      </w:r>
      <w:r w:rsidRPr="000678D3">
        <w:rPr>
          <w:rFonts w:ascii="Times New Roman" w:hAnsi="Times New Roman"/>
          <w:sz w:val="18"/>
          <w:szCs w:val="18"/>
        </w:rPr>
        <w:t>, p. 45</w:t>
      </w:r>
    </w:p>
  </w:footnote>
  <w:footnote w:id="16">
    <w:p w:rsidR="00612C67" w:rsidRPr="0011464B" w:rsidRDefault="00612C67" w:rsidP="00612C67">
      <w:pPr>
        <w:pStyle w:val="FootnoteText"/>
        <w:spacing w:after="0"/>
        <w:rPr>
          <w:rFonts w:ascii="Times New Roman" w:hAnsi="Times New Roman"/>
        </w:rPr>
      </w:pPr>
      <w:r w:rsidRPr="0011464B">
        <w:rPr>
          <w:rFonts w:ascii="Times New Roman" w:hAnsi="Times New Roman"/>
        </w:rPr>
        <w:footnoteRef/>
      </w:r>
      <w:r w:rsidRPr="0011464B">
        <w:rPr>
          <w:rFonts w:ascii="Times New Roman" w:hAnsi="Times New Roman"/>
        </w:rPr>
        <w:t xml:space="preserve"> Roma Survey – Data in Focus – Poverty and Employment: The situation of Roma in 11 EU Member </w:t>
      </w:r>
    </w:p>
    <w:p w:rsidR="00612C67" w:rsidRDefault="00612C67" w:rsidP="00612C67">
      <w:pPr>
        <w:pStyle w:val="FootnoteText"/>
        <w:spacing w:after="0"/>
      </w:pPr>
      <w:r w:rsidRPr="0011464B">
        <w:rPr>
          <w:rFonts w:ascii="Times New Roman" w:hAnsi="Times New Roman"/>
        </w:rPr>
        <w:t xml:space="preserve">States, FRA, p. 24-25 </w:t>
      </w:r>
    </w:p>
  </w:footnote>
  <w:footnote w:id="17">
    <w:p w:rsidR="00612C67" w:rsidRDefault="00612C67" w:rsidP="00612C67">
      <w:pPr>
        <w:pStyle w:val="FootnoteText"/>
        <w:spacing w:after="0"/>
      </w:pPr>
      <w:r w:rsidRPr="0011464B">
        <w:rPr>
          <w:rFonts w:ascii="Times New Roman" w:hAnsi="Times New Roman"/>
        </w:rPr>
        <w:footnoteRef/>
      </w:r>
      <w:r w:rsidRPr="0011464B">
        <w:rPr>
          <w:rFonts w:ascii="Times New Roman" w:hAnsi="Times New Roman"/>
        </w:rPr>
        <w:t xml:space="preserve"> Second European Union Minorities and Discrimination Survey, p.17, FRA, 2018 </w:t>
      </w:r>
    </w:p>
  </w:footnote>
  <w:footnote w:id="18">
    <w:p w:rsidR="00612C67" w:rsidRDefault="00612C67" w:rsidP="00612C67">
      <w:pPr>
        <w:pStyle w:val="FootnoteText"/>
        <w:spacing w:after="0"/>
      </w:pPr>
      <w:r w:rsidRPr="0011464B">
        <w:rPr>
          <w:rFonts w:ascii="Times New Roman" w:hAnsi="Times New Roman"/>
        </w:rPr>
        <w:footnoteRef/>
      </w:r>
      <w:r w:rsidRPr="0011464B">
        <w:rPr>
          <w:rFonts w:ascii="Times New Roman" w:hAnsi="Times New Roman"/>
        </w:rPr>
        <w:t xml:space="preserve"> Second European Union Minorities and Discrimination Survey, FRA 2018 </w:t>
      </w:r>
    </w:p>
  </w:footnote>
  <w:footnote w:id="19">
    <w:p w:rsidR="00612C67" w:rsidRDefault="00612C67" w:rsidP="00612C67">
      <w:pPr>
        <w:pStyle w:val="FootnoteText"/>
        <w:spacing w:after="0"/>
      </w:pPr>
      <w:r w:rsidRPr="0011464B">
        <w:rPr>
          <w:rFonts w:ascii="Times New Roman" w:hAnsi="Times New Roman"/>
        </w:rPr>
        <w:footnoteRef/>
      </w:r>
      <w:r w:rsidRPr="0011464B">
        <w:rPr>
          <w:rFonts w:ascii="Times New Roman" w:hAnsi="Times New Roman"/>
        </w:rPr>
        <w:t xml:space="preserve"> National Roma Integration Strategy of the Republic of Bulgaria (2012-2020), p. 4 </w:t>
      </w:r>
    </w:p>
  </w:footnote>
  <w:footnote w:id="20">
    <w:p w:rsidR="00612C67" w:rsidRDefault="00612C67" w:rsidP="00612C67">
      <w:pPr>
        <w:pStyle w:val="FootnoteText"/>
        <w:contextualSpacing/>
      </w:pPr>
      <w:r w:rsidRPr="00024DA9">
        <w:rPr>
          <w:rStyle w:val="FootnoteReference"/>
          <w:rFonts w:ascii="Times New Roman" w:hAnsi="Times New Roman"/>
        </w:rPr>
        <w:footnoteRef/>
      </w:r>
      <w:r w:rsidRPr="00024DA9">
        <w:rPr>
          <w:rFonts w:ascii="Times New Roman" w:hAnsi="Times New Roman"/>
        </w:rPr>
        <w:t xml:space="preserve"> Concluding observations on the fourth periodic report of Bulgaria, p.5, </w:t>
      </w:r>
      <w:hyperlink r:id="rId11" w:history="1">
        <w:r w:rsidRPr="00024DA9">
          <w:rPr>
            <w:rStyle w:val="Hyperlink"/>
            <w:rFonts w:ascii="Times New Roman" w:hAnsi="Times New Roman"/>
          </w:rPr>
          <w:t>https://tbinternet.ohchr.org/_layouts/15/treatybodyexternal/Download.aspx?symbolno=CCPR/C/BGR/CO/4&amp;Lang=En</w:t>
        </w:r>
      </w:hyperlink>
      <w:r w:rsidRPr="00024DA9">
        <w:rPr>
          <w:rFonts w:ascii="Times New Roman" w:hAnsi="Times New Roman"/>
        </w:rPr>
        <w:t xml:space="preserve">  </w:t>
      </w:r>
    </w:p>
  </w:footnote>
  <w:footnote w:id="21">
    <w:p w:rsidR="00612C67" w:rsidRDefault="00612C67" w:rsidP="00612C67">
      <w:pPr>
        <w:pStyle w:val="FootnoteText"/>
        <w:contextualSpacing/>
      </w:pPr>
      <w:r w:rsidRPr="00024DA9">
        <w:rPr>
          <w:rStyle w:val="FootnoteReference"/>
          <w:rFonts w:ascii="Times New Roman" w:hAnsi="Times New Roman"/>
        </w:rPr>
        <w:footnoteRef/>
      </w:r>
      <w:r w:rsidRPr="00024DA9">
        <w:rPr>
          <w:rFonts w:ascii="Times New Roman" w:hAnsi="Times New Roman"/>
        </w:rPr>
        <w:t xml:space="preserve"> Ibid, p.3</w:t>
      </w:r>
    </w:p>
  </w:footnote>
  <w:footnote w:id="22">
    <w:p w:rsidR="00612C67" w:rsidRDefault="00612C67" w:rsidP="00612C67">
      <w:pPr>
        <w:pStyle w:val="FootnoteText"/>
        <w:spacing w:after="0"/>
      </w:pPr>
      <w:r w:rsidRPr="00024DA9">
        <w:rPr>
          <w:rStyle w:val="FootnoteReference"/>
          <w:rFonts w:ascii="Times New Roman" w:hAnsi="Times New Roman"/>
        </w:rPr>
        <w:footnoteRef/>
      </w:r>
      <w:r w:rsidRPr="00024DA9">
        <w:rPr>
          <w:rFonts w:ascii="Times New Roman" w:hAnsi="Times New Roman"/>
        </w:rPr>
        <w:t xml:space="preserve"> National Strategy for Roma Inclusion (2012-2020) - </w:t>
      </w:r>
      <w:hyperlink r:id="rId12" w:history="1">
        <w:r w:rsidRPr="00024DA9">
          <w:rPr>
            <w:rStyle w:val="Hyperlink"/>
            <w:rFonts w:ascii="Times New Roman" w:hAnsi="Times New Roman"/>
          </w:rPr>
          <w:t>https://www.president.bg/docs/1352306523.pdf</w:t>
        </w:r>
      </w:hyperlink>
    </w:p>
  </w:footnote>
  <w:footnote w:id="23">
    <w:p w:rsidR="00612C67" w:rsidRDefault="00612C67" w:rsidP="00612C67">
      <w:pPr>
        <w:pStyle w:val="FootnoteText"/>
        <w:spacing w:after="0"/>
      </w:pPr>
      <w:r w:rsidRPr="00024DA9">
        <w:rPr>
          <w:rStyle w:val="FootnoteReference"/>
          <w:rFonts w:ascii="Times New Roman" w:hAnsi="Times New Roman"/>
        </w:rPr>
        <w:footnoteRef/>
      </w:r>
      <w:r w:rsidRPr="00024DA9">
        <w:rPr>
          <w:rFonts w:ascii="Times New Roman" w:hAnsi="Times New Roman"/>
        </w:rPr>
        <w:t xml:space="preserve"> Civil society monitoring report on implementation of the national Roma integr</w:t>
      </w:r>
      <w:r>
        <w:rPr>
          <w:rFonts w:ascii="Times New Roman" w:hAnsi="Times New Roman"/>
        </w:rPr>
        <w:t>ation strategy in Bulgaria, 2018</w:t>
      </w:r>
      <w:r w:rsidRPr="00024DA9">
        <w:rPr>
          <w:rFonts w:ascii="Times New Roman" w:hAnsi="Times New Roman"/>
        </w:rPr>
        <w:t xml:space="preserve"> </w:t>
      </w:r>
      <w:hyperlink r:id="rId13" w:history="1">
        <w:r w:rsidRPr="00024DA9">
          <w:rPr>
            <w:rStyle w:val="Hyperlink"/>
            <w:rFonts w:ascii="Times New Roman" w:hAnsi="Times New Roman"/>
          </w:rPr>
          <w:t>https://cps.ceu.edu/sites/cps.ceu.edu/files/attachment/basicpage/3034/rcm-civil-society-monitoring-report-1-bulgaria-2017-eprint-fin-2.pdf</w:t>
        </w:r>
      </w:hyperlink>
    </w:p>
  </w:footnote>
  <w:footnote w:id="24">
    <w:p w:rsidR="00612C67" w:rsidRDefault="00612C67" w:rsidP="00612C67">
      <w:pPr>
        <w:pStyle w:val="FootnoteText"/>
        <w:spacing w:after="0"/>
      </w:pPr>
      <w:r w:rsidRPr="0011464B">
        <w:rPr>
          <w:rStyle w:val="FootnoteReference"/>
          <w:rFonts w:ascii="Times New Roman" w:hAnsi="Times New Roman"/>
        </w:rPr>
        <w:footnoteRef/>
      </w:r>
      <w:r w:rsidRPr="0011464B">
        <w:rPr>
          <w:rFonts w:ascii="Times New Roman" w:hAnsi="Times New Roman"/>
        </w:rPr>
        <w:t xml:space="preserve"> Ibid, p. 18</w:t>
      </w:r>
    </w:p>
  </w:footnote>
  <w:footnote w:id="25">
    <w:p w:rsidR="00612C67" w:rsidRDefault="00612C67" w:rsidP="00612C67">
      <w:pPr>
        <w:pStyle w:val="FootnoteText"/>
        <w:spacing w:after="0"/>
      </w:pPr>
      <w:r w:rsidRPr="0011464B">
        <w:rPr>
          <w:rStyle w:val="FootnoteReference"/>
          <w:rFonts w:ascii="Times New Roman" w:hAnsi="Times New Roman"/>
        </w:rPr>
        <w:footnoteRef/>
      </w:r>
      <w:r w:rsidRPr="0011464B">
        <w:rPr>
          <w:rFonts w:ascii="Times New Roman" w:hAnsi="Times New Roman"/>
        </w:rPr>
        <w:t xml:space="preserve"> For example, </w:t>
      </w:r>
      <w:proofErr w:type="spellStart"/>
      <w:r w:rsidRPr="0011464B">
        <w:rPr>
          <w:rFonts w:ascii="Times New Roman" w:hAnsi="Times New Roman"/>
        </w:rPr>
        <w:t>Burgas</w:t>
      </w:r>
      <w:proofErr w:type="spellEnd"/>
      <w:r w:rsidRPr="0011464B">
        <w:rPr>
          <w:rFonts w:ascii="Times New Roman" w:hAnsi="Times New Roman"/>
        </w:rPr>
        <w:t xml:space="preserve"> Municipal Strategy for Roma Inclusion, p. 20 </w:t>
      </w:r>
      <w:hyperlink r:id="rId14" w:history="1">
        <w:r w:rsidRPr="0011464B">
          <w:rPr>
            <w:rStyle w:val="Hyperlink"/>
            <w:rFonts w:ascii="Times New Roman" w:hAnsi="Times New Roman"/>
          </w:rPr>
          <w:t>https://nrcpsystem.government.bg/Legal/02_Бургас/1_%20Бургас_Областна%20стратегия.pdf</w:t>
        </w:r>
      </w:hyperlink>
    </w:p>
  </w:footnote>
  <w:footnote w:id="26">
    <w:p w:rsidR="00612C67" w:rsidRDefault="00612C67" w:rsidP="00612C67">
      <w:pPr>
        <w:pStyle w:val="FootnoteText"/>
        <w:spacing w:after="0"/>
      </w:pPr>
      <w:r w:rsidRPr="0011464B">
        <w:rPr>
          <w:rStyle w:val="FootnoteReference"/>
          <w:rFonts w:ascii="Times New Roman" w:hAnsi="Times New Roman"/>
        </w:rPr>
        <w:footnoteRef/>
      </w:r>
      <w:r w:rsidRPr="0011464B">
        <w:rPr>
          <w:rFonts w:ascii="Times New Roman" w:hAnsi="Times New Roman"/>
        </w:rPr>
        <w:t xml:space="preserve"> Action Plan of </w:t>
      </w:r>
      <w:proofErr w:type="spellStart"/>
      <w:r w:rsidRPr="0011464B">
        <w:rPr>
          <w:rFonts w:ascii="Times New Roman" w:hAnsi="Times New Roman"/>
        </w:rPr>
        <w:t>Razlog</w:t>
      </w:r>
      <w:proofErr w:type="spellEnd"/>
      <w:r w:rsidRPr="0011464B">
        <w:rPr>
          <w:rFonts w:ascii="Times New Roman" w:hAnsi="Times New Roman"/>
        </w:rPr>
        <w:t xml:space="preserve"> Municipality in Support of Integrational Policies (2018-2020) </w:t>
      </w:r>
      <w:hyperlink r:id="rId15" w:history="1">
        <w:r w:rsidRPr="0011464B">
          <w:rPr>
            <w:rStyle w:val="Hyperlink"/>
            <w:rFonts w:ascii="Times New Roman" w:hAnsi="Times New Roman"/>
          </w:rPr>
          <w:t>https://nrcpsystem.government.bg/Legal/01_Благоевград/Разлог_План%202018-2020.pdf</w:t>
        </w:r>
      </w:hyperlink>
    </w:p>
  </w:footnote>
  <w:footnote w:id="27">
    <w:p w:rsidR="00612C67" w:rsidRPr="000F12D6" w:rsidRDefault="00612C67" w:rsidP="00612C67">
      <w:pPr>
        <w:pStyle w:val="NormalWeb"/>
        <w:spacing w:after="0" w:afterAutospacing="0"/>
        <w:rPr>
          <w:sz w:val="20"/>
          <w:szCs w:val="20"/>
        </w:rPr>
      </w:pPr>
      <w:r w:rsidRPr="000F12D6">
        <w:rPr>
          <w:rStyle w:val="FootnoteReference"/>
          <w:sz w:val="20"/>
          <w:szCs w:val="20"/>
        </w:rPr>
        <w:footnoteRef/>
      </w:r>
      <w:r w:rsidRPr="000F12D6">
        <w:rPr>
          <w:sz w:val="20"/>
          <w:szCs w:val="20"/>
        </w:rPr>
        <w:t xml:space="preserve"> Link to the System for Monitoring, Evaluation and Control on the Implementation of the National Strategy of Republic of Bulgaria for Roma Integration 2012-2020: </w:t>
      </w:r>
      <w:r w:rsidRPr="000F12D6">
        <w:rPr>
          <w:color w:val="0000FF"/>
          <w:sz w:val="20"/>
          <w:szCs w:val="20"/>
        </w:rPr>
        <w:t xml:space="preserve">http://www.nccedi.government.bg/bg/node/225 </w:t>
      </w:r>
    </w:p>
    <w:p w:rsidR="00612C67" w:rsidRDefault="00612C67" w:rsidP="00612C67">
      <w:pPr>
        <w:pStyle w:val="NormalWeb"/>
        <w:spacing w:after="0" w:afterAutospacing="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Header"/>
    </w:pPr>
    <w:r w:rsidRPr="008711CD">
      <w:rPr>
        <w:noProof/>
        <w:lang w:val="en-GB" w:eastAsia="en-GB"/>
      </w:rPr>
      <w:drawing>
        <wp:inline distT="0" distB="0" distL="0" distR="0" wp14:anchorId="25928ECC" wp14:editId="027CEB19">
          <wp:extent cx="5943600" cy="88392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 cstate="print">
                    <a:extLst>
                      <a:ext uri="{28A0092B-C50C-407E-A947-70E740481C1C}">
                        <a14:useLocalDpi xmlns:a14="http://schemas.microsoft.com/office/drawing/2010/main" val="0"/>
                      </a:ext>
                    </a:extLst>
                  </a:blip>
                  <a:srcRect t="3553" b="85923"/>
                  <a:stretch/>
                </pic:blipFill>
                <pic:spPr bwMode="auto">
                  <a:xfrm>
                    <a:off x="0" y="0"/>
                    <a:ext cx="5943600" cy="88392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74" w:rsidRDefault="00093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57B08"/>
    <w:multiLevelType w:val="hybridMultilevel"/>
    <w:tmpl w:val="4C9E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52095C"/>
    <w:multiLevelType w:val="hybridMultilevel"/>
    <w:tmpl w:val="C7C2E394"/>
    <w:lvl w:ilvl="0" w:tplc="D8E45240">
      <w:start w:val="26"/>
      <w:numFmt w:val="bullet"/>
      <w:lvlText w:val=""/>
      <w:lvlJc w:val="left"/>
      <w:pPr>
        <w:ind w:left="720" w:hanging="360"/>
      </w:pPr>
      <w:rPr>
        <w:rFonts w:ascii="Symbol" w:eastAsiaTheme="minorEastAsia"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vxLeT2zzFKP7kjI8QHJJ7hLt+/tlkgbnthh9gCTTc7fdhxCeIhB13RWoo5mjrbs+m5WBM7v6Fyo9Fv9yRAAhA==" w:salt="cWRo7H1f45ETX9hbF6M7/g=="/>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AF8"/>
    <w:rsid w:val="00026057"/>
    <w:rsid w:val="00093474"/>
    <w:rsid w:val="00106AC5"/>
    <w:rsid w:val="00112662"/>
    <w:rsid w:val="001846BB"/>
    <w:rsid w:val="004D72C0"/>
    <w:rsid w:val="00612C67"/>
    <w:rsid w:val="008711CD"/>
    <w:rsid w:val="00876611"/>
    <w:rsid w:val="008B23C7"/>
    <w:rsid w:val="008C0C96"/>
    <w:rsid w:val="00A1284E"/>
    <w:rsid w:val="00A26382"/>
    <w:rsid w:val="00A504C4"/>
    <w:rsid w:val="00AA6F15"/>
    <w:rsid w:val="00B67AF8"/>
    <w:rsid w:val="00BC4E07"/>
    <w:rsid w:val="00CF4DDE"/>
    <w:rsid w:val="00E430E6"/>
    <w:rsid w:val="00E94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196AFAA-4D4C-45AA-B6E4-559E0360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C67"/>
    <w:pPr>
      <w:spacing w:after="200" w:line="276" w:lineRule="auto"/>
    </w:pPr>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1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1CD"/>
  </w:style>
  <w:style w:type="paragraph" w:styleId="Footer">
    <w:name w:val="footer"/>
    <w:basedOn w:val="Normal"/>
    <w:link w:val="FooterChar"/>
    <w:uiPriority w:val="99"/>
    <w:unhideWhenUsed/>
    <w:rsid w:val="008711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1CD"/>
  </w:style>
  <w:style w:type="paragraph" w:styleId="BalloonText">
    <w:name w:val="Balloon Text"/>
    <w:basedOn w:val="Normal"/>
    <w:link w:val="BalloonTextChar"/>
    <w:uiPriority w:val="99"/>
    <w:semiHidden/>
    <w:unhideWhenUsed/>
    <w:rsid w:val="008C0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C96"/>
    <w:rPr>
      <w:rFonts w:ascii="Segoe UI" w:hAnsi="Segoe UI" w:cs="Segoe UI"/>
      <w:sz w:val="18"/>
      <w:szCs w:val="18"/>
    </w:rPr>
  </w:style>
  <w:style w:type="paragraph" w:styleId="NormalWeb">
    <w:name w:val="Normal (Web)"/>
    <w:basedOn w:val="Normal"/>
    <w:uiPriority w:val="99"/>
    <w:unhideWhenUsed/>
    <w:rsid w:val="00B67AF8"/>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B67AF8"/>
    <w:rPr>
      <w:b/>
      <w:bCs/>
    </w:rPr>
  </w:style>
  <w:style w:type="character" w:customStyle="1" w:styleId="sessionsubtitle">
    <w:name w:val="sessionsubtitle"/>
    <w:rsid w:val="00612C67"/>
  </w:style>
  <w:style w:type="paragraph" w:styleId="FootnoteText">
    <w:name w:val="footnote text"/>
    <w:aliases w:val="Tekst przypisu- dokt,Char Char Char,Char,Char Char Char Char Char Char Char Char Char,Char Char Char Char Char Char Char Char Char Char Char,Char Char Ch,Text poznámky pod čiarou 007,_Poznбmka pod čiarou,_Poznбmka pod ciarou,Cha"/>
    <w:basedOn w:val="Normal"/>
    <w:link w:val="FootnoteTextChar"/>
    <w:uiPriority w:val="99"/>
    <w:unhideWhenUsed/>
    <w:qFormat/>
    <w:rsid w:val="00612C67"/>
    <w:rPr>
      <w:sz w:val="20"/>
      <w:szCs w:val="20"/>
    </w:rPr>
  </w:style>
  <w:style w:type="character" w:customStyle="1" w:styleId="FootnoteTextChar">
    <w:name w:val="Footnote Text Char"/>
    <w:aliases w:val="Tekst przypisu- dokt Char,Char Char Char Char,Char Char,Char Char Char Char Char Char Char Char Char Char,Char Char Char Char Char Char Char Char Char Char Char Char,Char Char Ch Char,Text poznámky pod čiarou 007 Char,Cha Char"/>
    <w:basedOn w:val="DefaultParagraphFont"/>
    <w:link w:val="FootnoteText"/>
    <w:uiPriority w:val="99"/>
    <w:qFormat/>
    <w:rsid w:val="00612C67"/>
    <w:rPr>
      <w:rFonts w:eastAsiaTheme="minorEastAsia" w:cs="Times New Roman"/>
      <w:sz w:val="20"/>
      <w:szCs w:val="20"/>
    </w:rPr>
  </w:style>
  <w:style w:type="character" w:styleId="FootnoteReference">
    <w:name w:val="footnote reference"/>
    <w:aliases w:val="Footnote Refernece Char Char,Footnote Refernece Char Char Char Char,Footnote symbol Char Char,Times 10 Point Char Char,Exposant 3 Point Char Char,Footnote Refernece Char1 Char,nota pié di pagina Char Char,Zchn Zch"/>
    <w:basedOn w:val="DefaultParagraphFont"/>
    <w:link w:val="FootnoteReferneceChar"/>
    <w:uiPriority w:val="99"/>
    <w:unhideWhenUsed/>
    <w:qFormat/>
    <w:rsid w:val="00612C67"/>
    <w:rPr>
      <w:rFonts w:cs="Times New Roman"/>
      <w:vertAlign w:val="superscript"/>
    </w:rPr>
  </w:style>
  <w:style w:type="character" w:styleId="Hyperlink">
    <w:name w:val="Hyperlink"/>
    <w:basedOn w:val="DefaultParagraphFont"/>
    <w:uiPriority w:val="99"/>
    <w:unhideWhenUsed/>
    <w:rsid w:val="00612C67"/>
    <w:rPr>
      <w:rFonts w:cs="Times New Roman"/>
      <w:color w:val="0563C1" w:themeColor="hyperlink"/>
      <w:u w:val="single"/>
    </w:rPr>
  </w:style>
  <w:style w:type="character" w:customStyle="1" w:styleId="column01">
    <w:name w:val="column01"/>
    <w:rsid w:val="00612C67"/>
  </w:style>
  <w:style w:type="paragraph" w:customStyle="1" w:styleId="FootnoteReferneceChar">
    <w:name w:val="Footnote Refernece Char"/>
    <w:basedOn w:val="FootnoteText"/>
    <w:link w:val="FootnoteReference"/>
    <w:uiPriority w:val="99"/>
    <w:rsid w:val="00612C67"/>
    <w:pPr>
      <w:spacing w:after="0" w:line="240" w:lineRule="exact"/>
    </w:pPr>
    <w:rPr>
      <w:rFonts w:eastAsiaTheme="minorHAnsi"/>
      <w:sz w:val="22"/>
      <w:szCs w:val="22"/>
      <w:vertAlign w:val="superscript"/>
    </w:rPr>
  </w:style>
  <w:style w:type="character" w:customStyle="1" w:styleId="tlid-translation">
    <w:name w:val="tlid-translation"/>
    <w:rsid w:val="00612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89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bnr.bg/post/101135762" TargetMode="External"/><Relationship Id="rId13" Type="http://schemas.openxmlformats.org/officeDocument/2006/relationships/hyperlink" Target="https://cps.ceu.edu/sites/cps.ceu.edu/files/attachment/basicpage/3034/rcm-civil-society-monitoring-report-1-bulgaria-2017-eprint-fin-2.pdf" TargetMode="External"/><Relationship Id="rId3" Type="http://schemas.openxmlformats.org/officeDocument/2006/relationships/hyperlink" Target="https://www.prb.bg/bg/pub_info/godishni-dokladi/doklad-za-prilaganeto-na-zakona-i-za-dejnostta-103" TargetMode="External"/><Relationship Id="rId7" Type="http://schemas.openxmlformats.org/officeDocument/2006/relationships/hyperlink" Target="http://www.coe.int/en/web/anti-human-trafficking/bulgaria" TargetMode="External"/><Relationship Id="rId12" Type="http://schemas.openxmlformats.org/officeDocument/2006/relationships/hyperlink" Target="https://www.president.bg/docs/1352306523.pdf" TargetMode="External"/><Relationship Id="rId2" Type="http://schemas.openxmlformats.org/officeDocument/2006/relationships/hyperlink" Target="https://www.prb.bg/bg/pub_info/godishni-dokladi/doklad-za-prilaganeto-na-zakona-i-za-dejnostta-10334567" TargetMode="External"/><Relationship Id="rId1" Type="http://schemas.openxmlformats.org/officeDocument/2006/relationships/hyperlink" Target="https://www.nsi.bg/en/content/6710/population-towns-and-sex" TargetMode="External"/><Relationship Id="rId6" Type="http://schemas.openxmlformats.org/officeDocument/2006/relationships/hyperlink" Target="http://defakto.bg/2018/06/12/" TargetMode="External"/><Relationship Id="rId11" Type="http://schemas.openxmlformats.org/officeDocument/2006/relationships/hyperlink" Target="https://tbinternet.ohchr.org/_layouts/15/treatybodyexternal/Download.aspx?symbolno=CCPR/C/BGR/CO/4&amp;Lang=En" TargetMode="External"/><Relationship Id="rId5" Type="http://schemas.openxmlformats.org/officeDocument/2006/relationships/hyperlink" Target="https://www.prb.bg/bg/pub_info/godishni-dokladi/godishen-doklad-za-2015-g" TargetMode="External"/><Relationship Id="rId15" Type="http://schemas.openxmlformats.org/officeDocument/2006/relationships/hyperlink" Target="https://nrcpsystem.government.bg/Legal/01_&#1041;&#1083;&#1072;&#1075;&#1086;&#1077;&#1074;&#1075;&#1088;&#1072;&#1076;/&#1056;&#1072;&#1079;&#1083;&#1086;&#1075;_&#1055;&#1083;&#1072;&#1085;%202018-2020.pdf" TargetMode="External"/><Relationship Id="rId10" Type="http://schemas.openxmlformats.org/officeDocument/2006/relationships/hyperlink" Target="https://cps.ceu.edu/sites/cps.ceu.edu/files/attachment/basicpage/3034/rcm-civil-society-monitoring-report-1-bulgaria-2017-eprint-fin-2.pdf" TargetMode="External"/><Relationship Id="rId4" Type="http://schemas.openxmlformats.org/officeDocument/2006/relationships/hyperlink" Target="https://www.prb.bg/bg/pub_info/godishni-dokladi/godishen-doklad-za-prilaganeto-na-zakona-i-dejnost" TargetMode="External"/><Relationship Id="rId9" Type="http://schemas.openxmlformats.org/officeDocument/2006/relationships/hyperlink" Target="https://www.dnevnik.bg/bulgaria/2018/01/19/3115332_nad_3_hil_nepulnoletni_momicheta_sa_rodili_prez_2017_g/" TargetMode="External"/><Relationship Id="rId14" Type="http://schemas.openxmlformats.org/officeDocument/2006/relationships/hyperlink" Target="https://nrcpsystem.government.bg/Legal/02_&#1041;&#1091;&#1088;&#1075;&#1072;&#1089;/1_%20&#1041;&#1091;&#1088;&#1075;&#1072;&#1089;_&#1054;&#1073;&#1083;&#1072;&#1089;&#1090;&#1085;&#1072;%20&#1089;&#1090;&#1088;&#1072;&#1090;&#1077;&#1075;&#1080;&#110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47141-1E2C-4E5B-AE83-F53B8DF0879D}"/>
</file>

<file path=customXml/itemProps2.xml><?xml version="1.0" encoding="utf-8"?>
<ds:datastoreItem xmlns:ds="http://schemas.openxmlformats.org/officeDocument/2006/customXml" ds:itemID="{2AE76E21-6DEE-47E5-BFE6-D00CA32C91A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b551ffc-60d8-4961-ab58-a262ac693a44"/>
    <ds:schemaRef ds:uri="http://purl.org/dc/elements/1.1/"/>
    <ds:schemaRef ds:uri="http://schemas.microsoft.com/office/2006/metadata/properties"/>
    <ds:schemaRef ds:uri="0c59c160-414b-4606-a04a-05a5686413a4"/>
    <ds:schemaRef ds:uri="http://www.w3.org/XML/1998/namespace"/>
    <ds:schemaRef ds:uri="http://purl.org/dc/dcmitype/"/>
  </ds:schemaRefs>
</ds:datastoreItem>
</file>

<file path=customXml/itemProps3.xml><?xml version="1.0" encoding="utf-8"?>
<ds:datastoreItem xmlns:ds="http://schemas.openxmlformats.org/officeDocument/2006/customXml" ds:itemID="{8E4CD97E-EDAE-4A44-8D7A-FBB65994525D}">
  <ds:schemaRefs>
    <ds:schemaRef ds:uri="http://schemas.microsoft.com/sharepoint/v3/contenttype/forms"/>
  </ds:schemaRefs>
</ds:datastoreItem>
</file>

<file path=customXml/itemProps4.xml><?xml version="1.0" encoding="utf-8"?>
<ds:datastoreItem xmlns:ds="http://schemas.openxmlformats.org/officeDocument/2006/customXml" ds:itemID="{02420B86-F4AC-45EF-A67C-08BA7A39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3060</Words>
  <Characters>17447</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Fleche Isabelle</cp:lastModifiedBy>
  <cp:revision>3</cp:revision>
  <cp:lastPrinted>2020-01-13T09:17:00Z</cp:lastPrinted>
  <dcterms:created xsi:type="dcterms:W3CDTF">2020-01-15T13:35:00Z</dcterms:created>
  <dcterms:modified xsi:type="dcterms:W3CDTF">2020-01-15T13:36:00Z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