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BF3AB" w14:textId="7E3A6884" w:rsidR="00A55EA2" w:rsidRPr="00975B51" w:rsidRDefault="00A55EA2" w:rsidP="00372729">
      <w:pPr>
        <w:pStyle w:val="Titre1"/>
        <w:jc w:val="center"/>
        <w:rPr>
          <w:lang w:val="fr-BE"/>
        </w:rPr>
      </w:pPr>
      <w:r w:rsidRPr="00372729">
        <w:t>Annexe 1 : notes</w:t>
      </w:r>
      <w:r w:rsidR="00975B51">
        <w:rPr>
          <w:lang w:val="fr-BE"/>
        </w:rPr>
        <w:t xml:space="preserve"> et sources</w:t>
      </w:r>
    </w:p>
    <w:p w14:paraId="1D64DACF" w14:textId="77777777" w:rsidR="00A55EA2" w:rsidRDefault="00A55EA2" w:rsidP="00A55EA2">
      <w:pPr>
        <w:keepNext/>
        <w:keepLines/>
        <w:spacing w:after="0" w:line="240" w:lineRule="auto"/>
        <w:jc w:val="both"/>
        <w:rPr>
          <w:rFonts w:ascii="Calibri" w:eastAsia="Calibri" w:hAnsi="Calibri" w:cs="Calibri"/>
          <w:sz w:val="20"/>
          <w:szCs w:val="20"/>
          <w:lang w:val="fr-BE"/>
        </w:rPr>
      </w:pPr>
    </w:p>
    <w:p w14:paraId="1E46EAFA" w14:textId="530FBA24" w:rsidR="00A55EA2" w:rsidRPr="00A55EA2" w:rsidRDefault="00A55EA2" w:rsidP="00A55EA2">
      <w:pPr>
        <w:keepNext/>
        <w:keepLines/>
        <w:spacing w:after="0" w:line="240" w:lineRule="auto"/>
        <w:jc w:val="both"/>
        <w:rPr>
          <w:rFonts w:ascii="Calibri" w:eastAsia="Calibri" w:hAnsi="Calibri" w:cs="Calibri"/>
          <w:sz w:val="20"/>
          <w:szCs w:val="20"/>
          <w:lang w:val="fr-BE"/>
        </w:rPr>
      </w:pPr>
      <w:r w:rsidRPr="00A55EA2">
        <w:rPr>
          <w:rFonts w:ascii="Calibri" w:eastAsia="Calibri" w:hAnsi="Calibri" w:cs="Calibri"/>
          <w:sz w:val="20"/>
          <w:szCs w:val="20"/>
          <w:vertAlign w:val="superscript"/>
          <w:lang w:val="fr-BE"/>
        </w:rPr>
        <w:footnoteRef/>
      </w:r>
      <w:r w:rsidRPr="00A55EA2">
        <w:rPr>
          <w:rFonts w:ascii="Calibri" w:eastAsia="Calibri" w:hAnsi="Calibri" w:cs="Calibri"/>
          <w:sz w:val="20"/>
          <w:szCs w:val="20"/>
          <w:lang w:val="fr-BE"/>
        </w:rPr>
        <w:t xml:space="preserve"> UNIA (2018), </w:t>
      </w:r>
      <w:hyperlink r:id="rId7" w:history="1">
        <w:r w:rsidRPr="00A55EA2">
          <w:rPr>
            <w:rFonts w:ascii="Calibri" w:eastAsia="Calibri" w:hAnsi="Calibri" w:cs="Calibri"/>
            <w:i/>
            <w:iCs/>
            <w:color w:val="0563C1"/>
            <w:sz w:val="20"/>
            <w:szCs w:val="20"/>
            <w:u w:val="single"/>
            <w:lang w:val="fr-BE"/>
          </w:rPr>
          <w:t>Unia reconnu internationalement comme Institution nationale des droits de l’Homme</w:t>
        </w:r>
      </w:hyperlink>
      <w:r w:rsidRPr="00A55EA2">
        <w:rPr>
          <w:rFonts w:ascii="Calibri" w:eastAsia="Calibri" w:hAnsi="Calibri" w:cs="Calibri"/>
          <w:sz w:val="20"/>
          <w:szCs w:val="20"/>
          <w:lang w:val="fr-BE"/>
        </w:rPr>
        <w:t xml:space="preserve">. </w:t>
      </w:r>
    </w:p>
    <w:p w14:paraId="21B12A80" w14:textId="05D9B26A" w:rsidR="00A55EA2" w:rsidRPr="00A55EA2" w:rsidRDefault="00A55EA2" w:rsidP="00A55EA2">
      <w:pPr>
        <w:keepNext/>
        <w:keepLines/>
        <w:spacing w:after="0" w:line="240" w:lineRule="auto"/>
        <w:jc w:val="both"/>
        <w:rPr>
          <w:rFonts w:ascii="Calibri" w:eastAsia="Calibri" w:hAnsi="Calibri" w:cs="Calibri"/>
          <w:sz w:val="20"/>
          <w:szCs w:val="20"/>
          <w:lang w:val="en-GB"/>
        </w:rPr>
      </w:pPr>
      <w:r>
        <w:rPr>
          <w:rFonts w:ascii="Calibri" w:eastAsia="Calibri" w:hAnsi="Calibri" w:cs="Calibri"/>
          <w:sz w:val="20"/>
          <w:szCs w:val="20"/>
          <w:vertAlign w:val="superscript"/>
          <w:lang w:val="en-GB"/>
        </w:rPr>
        <w:t xml:space="preserve">2 </w:t>
      </w:r>
      <w:r w:rsidRPr="00A55EA2">
        <w:rPr>
          <w:rFonts w:ascii="Calibri" w:eastAsia="Calibri" w:hAnsi="Calibri" w:cs="Calibri"/>
          <w:sz w:val="20"/>
          <w:szCs w:val="20"/>
          <w:lang w:val="en-GB"/>
        </w:rPr>
        <w:t xml:space="preserve">Unia (2020), </w:t>
      </w:r>
      <w:hyperlink r:id="rId8" w:anchor=":~:text=%22Improving%20equality%20data%20collection%20in,%2D%20SPF%20Justice)%20and%20Unia." w:history="1">
        <w:r w:rsidRPr="00A55EA2">
          <w:rPr>
            <w:rFonts w:ascii="Calibri" w:eastAsia="Calibri" w:hAnsi="Calibri" w:cs="Calibri"/>
            <w:i/>
            <w:iCs/>
            <w:color w:val="0563C1"/>
            <w:sz w:val="20"/>
            <w:szCs w:val="20"/>
            <w:u w:val="single"/>
            <w:lang w:val="en-GB"/>
          </w:rPr>
          <w:t>Improving equality data collection in Belgium</w:t>
        </w:r>
      </w:hyperlink>
      <w:r w:rsidRPr="00A55EA2">
        <w:rPr>
          <w:rFonts w:ascii="Calibri" w:eastAsia="Calibri" w:hAnsi="Calibri" w:cs="Calibri"/>
          <w:sz w:val="20"/>
          <w:szCs w:val="20"/>
          <w:lang w:val="en-GB"/>
        </w:rPr>
        <w:t>.</w:t>
      </w:r>
    </w:p>
    <w:p w14:paraId="24B83463" w14:textId="4E93F48A"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3</w:t>
      </w:r>
      <w:r w:rsidRPr="00A55EA2">
        <w:rPr>
          <w:rFonts w:ascii="Calibri" w:eastAsia="Calibri" w:hAnsi="Calibri" w:cs="Calibri"/>
          <w:sz w:val="20"/>
          <w:szCs w:val="20"/>
          <w:lang w:val="fr-BE"/>
        </w:rPr>
        <w:t xml:space="preserve"> Cette base de données est accessible </w:t>
      </w:r>
      <w:hyperlink r:id="rId9" w:history="1">
        <w:r w:rsidRPr="00A55EA2">
          <w:rPr>
            <w:rFonts w:ascii="Calibri" w:eastAsia="Calibri" w:hAnsi="Calibri" w:cs="Calibri"/>
            <w:color w:val="0563C1"/>
            <w:sz w:val="20"/>
            <w:szCs w:val="20"/>
            <w:u w:val="single"/>
            <w:lang w:val="fr-BE"/>
          </w:rPr>
          <w:t>sur le site Internet de Unia</w:t>
        </w:r>
      </w:hyperlink>
      <w:r w:rsidRPr="00A55EA2">
        <w:rPr>
          <w:rFonts w:ascii="Calibri" w:eastAsia="Calibri" w:hAnsi="Calibri" w:cs="Calibri"/>
          <w:sz w:val="20"/>
          <w:szCs w:val="20"/>
          <w:lang w:val="fr-BE"/>
        </w:rPr>
        <w:t>.</w:t>
      </w:r>
    </w:p>
    <w:p w14:paraId="49BE832B" w14:textId="6CACBF1D"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4</w:t>
      </w:r>
      <w:r w:rsidRPr="00A55EA2">
        <w:rPr>
          <w:rFonts w:ascii="Calibri" w:eastAsia="Calibri" w:hAnsi="Calibri" w:cs="Calibri"/>
          <w:sz w:val="20"/>
          <w:szCs w:val="20"/>
          <w:lang w:val="fr-BE"/>
        </w:rPr>
        <w:t xml:space="preserve"> Unia et la Cellule égalité des chances du SPF Justice (2021), </w:t>
      </w:r>
      <w:hyperlink r:id="rId10" w:history="1">
        <w:r w:rsidRPr="00A55EA2">
          <w:rPr>
            <w:rFonts w:ascii="Calibri" w:eastAsia="Calibri" w:hAnsi="Calibri" w:cs="Calibri"/>
            <w:i/>
            <w:iCs/>
            <w:color w:val="0563C1"/>
            <w:sz w:val="20"/>
            <w:szCs w:val="20"/>
            <w:u w:val="single"/>
            <w:lang w:val="fr-BE"/>
          </w:rPr>
          <w:t xml:space="preserve">Rapport Final : </w:t>
        </w:r>
        <w:proofErr w:type="spellStart"/>
        <w:r w:rsidRPr="00A55EA2">
          <w:rPr>
            <w:rFonts w:ascii="Calibri" w:eastAsia="Calibri" w:hAnsi="Calibri" w:cs="Calibri"/>
            <w:i/>
            <w:iCs/>
            <w:color w:val="0563C1"/>
            <w:sz w:val="20"/>
            <w:szCs w:val="20"/>
            <w:u w:val="single"/>
            <w:lang w:val="fr-BE"/>
          </w:rPr>
          <w:t>Improving</w:t>
        </w:r>
        <w:proofErr w:type="spellEnd"/>
        <w:r w:rsidRPr="00A55EA2">
          <w:rPr>
            <w:rFonts w:ascii="Calibri" w:eastAsia="Calibri" w:hAnsi="Calibri" w:cs="Calibri"/>
            <w:i/>
            <w:iCs/>
            <w:color w:val="0563C1"/>
            <w:sz w:val="20"/>
            <w:szCs w:val="20"/>
            <w:u w:val="single"/>
            <w:lang w:val="fr-BE"/>
          </w:rPr>
          <w:t xml:space="preserve"> </w:t>
        </w:r>
        <w:proofErr w:type="spellStart"/>
        <w:r w:rsidRPr="00A55EA2">
          <w:rPr>
            <w:rFonts w:ascii="Calibri" w:eastAsia="Calibri" w:hAnsi="Calibri" w:cs="Calibri"/>
            <w:i/>
            <w:iCs/>
            <w:color w:val="0563C1"/>
            <w:sz w:val="20"/>
            <w:szCs w:val="20"/>
            <w:u w:val="single"/>
            <w:lang w:val="fr-BE"/>
          </w:rPr>
          <w:t>Equality</w:t>
        </w:r>
        <w:proofErr w:type="spellEnd"/>
        <w:r w:rsidRPr="00A55EA2">
          <w:rPr>
            <w:rFonts w:ascii="Calibri" w:eastAsia="Calibri" w:hAnsi="Calibri" w:cs="Calibri"/>
            <w:i/>
            <w:iCs/>
            <w:color w:val="0563C1"/>
            <w:sz w:val="20"/>
            <w:szCs w:val="20"/>
            <w:u w:val="single"/>
            <w:lang w:val="fr-BE"/>
          </w:rPr>
          <w:t xml:space="preserve"> Data Collection in Belgium</w:t>
        </w:r>
      </w:hyperlink>
      <w:r w:rsidRPr="00A55EA2">
        <w:rPr>
          <w:rFonts w:ascii="Calibri" w:eastAsia="Calibri" w:hAnsi="Calibri" w:cs="Calibri"/>
          <w:i/>
          <w:iCs/>
          <w:sz w:val="20"/>
          <w:szCs w:val="20"/>
          <w:lang w:val="fr-BE"/>
        </w:rPr>
        <w:t>.</w:t>
      </w:r>
    </w:p>
    <w:p w14:paraId="2CBAF438" w14:textId="5FA704CA"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5</w:t>
      </w:r>
      <w:r w:rsidRPr="00A55EA2">
        <w:rPr>
          <w:rFonts w:ascii="Calibri" w:eastAsia="Calibri" w:hAnsi="Calibri" w:cs="Calibri"/>
          <w:sz w:val="20"/>
          <w:szCs w:val="20"/>
          <w:lang w:val="fr-BE"/>
        </w:rPr>
        <w:t xml:space="preserve"> Office des étrangers (2020), </w:t>
      </w:r>
      <w:hyperlink r:id="rId11" w:history="1">
        <w:r w:rsidRPr="00A55EA2">
          <w:rPr>
            <w:rFonts w:ascii="Calibri" w:eastAsia="Calibri" w:hAnsi="Calibri" w:cs="Calibri"/>
            <w:i/>
            <w:iCs/>
            <w:color w:val="0563C1"/>
            <w:sz w:val="20"/>
            <w:szCs w:val="20"/>
            <w:u w:val="single"/>
            <w:lang w:val="fr-BE"/>
          </w:rPr>
          <w:t>Rapport d’activités</w:t>
        </w:r>
      </w:hyperlink>
      <w:r w:rsidRPr="00A55EA2">
        <w:rPr>
          <w:rFonts w:ascii="Calibri" w:eastAsia="Calibri" w:hAnsi="Calibri" w:cs="Calibri"/>
          <w:sz w:val="20"/>
          <w:szCs w:val="20"/>
          <w:lang w:val="fr-BE"/>
        </w:rPr>
        <w:t>.</w:t>
      </w:r>
    </w:p>
    <w:p w14:paraId="1B37DBE4" w14:textId="7C2D469B"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6</w:t>
      </w:r>
      <w:r w:rsidRPr="00A55EA2">
        <w:rPr>
          <w:rFonts w:ascii="Calibri" w:eastAsia="Calibri" w:hAnsi="Calibri" w:cs="Calibri"/>
          <w:sz w:val="20"/>
          <w:szCs w:val="20"/>
          <w:lang w:val="fr-BE"/>
        </w:rPr>
        <w:t xml:space="preserve"> Par exemple, la Belgique ne dispose pas de statistiques relatives aux femmes et aux filles roms, faute de collecte de données sur l’origine ethnique. La Belgique devrait aussi disposer de plus de données genrées liées aux convictions religieuses et philosophiques, à l’ascendance, à l’orientation sexuelles, au handicap et à la migration. </w:t>
      </w:r>
    </w:p>
    <w:p w14:paraId="48FB819C" w14:textId="7BC6B670" w:rsidR="00A55EA2" w:rsidRPr="00A55EA2" w:rsidRDefault="00A55EA2" w:rsidP="00A55EA2">
      <w:pPr>
        <w:keepNext/>
        <w:keepLines/>
        <w:spacing w:after="0" w:line="240" w:lineRule="auto"/>
        <w:rPr>
          <w:rFonts w:ascii="Calibri" w:eastAsia="Calibri" w:hAnsi="Calibri" w:cs="Arial"/>
          <w:sz w:val="20"/>
          <w:szCs w:val="20"/>
          <w:lang w:val="fr-BE"/>
        </w:rPr>
      </w:pPr>
      <w:r>
        <w:rPr>
          <w:rFonts w:ascii="Calibri" w:eastAsia="Calibri" w:hAnsi="Calibri" w:cs="Arial"/>
          <w:sz w:val="20"/>
          <w:szCs w:val="20"/>
          <w:vertAlign w:val="superscript"/>
          <w:lang w:val="fr-BE"/>
        </w:rPr>
        <w:t>7</w:t>
      </w:r>
      <w:r w:rsidRPr="00A55EA2">
        <w:rPr>
          <w:rFonts w:ascii="Calibri" w:eastAsia="Calibri" w:hAnsi="Calibri" w:cs="Arial"/>
          <w:sz w:val="20"/>
          <w:szCs w:val="20"/>
          <w:lang w:val="fr-BE"/>
        </w:rPr>
        <w:t xml:space="preserve"> Voir le </w:t>
      </w:r>
      <w:hyperlink r:id="rId12" w:history="1">
        <w:r w:rsidRPr="00A55EA2">
          <w:rPr>
            <w:rFonts w:ascii="Calibri" w:eastAsia="Calibri" w:hAnsi="Calibri" w:cs="Arial"/>
            <w:i/>
            <w:iCs/>
            <w:color w:val="0563C1"/>
            <w:sz w:val="20"/>
            <w:szCs w:val="20"/>
            <w:u w:val="single"/>
            <w:lang w:val="fr-BE"/>
          </w:rPr>
          <w:t>Protocole d’accord relatif à la collaboration entre l’Institut pour l’égalité des femmes et des hommes et Unia</w:t>
        </w:r>
      </w:hyperlink>
      <w:r w:rsidRPr="00A55EA2">
        <w:rPr>
          <w:rFonts w:ascii="Calibri" w:eastAsia="Calibri" w:hAnsi="Calibri" w:cs="Arial"/>
          <w:i/>
          <w:iCs/>
          <w:sz w:val="20"/>
          <w:szCs w:val="20"/>
          <w:lang w:val="fr-BE"/>
        </w:rPr>
        <w:t xml:space="preserve"> </w:t>
      </w:r>
      <w:r w:rsidRPr="00A55EA2">
        <w:rPr>
          <w:rFonts w:ascii="Calibri" w:eastAsia="Calibri" w:hAnsi="Calibri" w:cs="Arial"/>
          <w:sz w:val="20"/>
          <w:szCs w:val="20"/>
          <w:lang w:val="fr-BE"/>
        </w:rPr>
        <w:t xml:space="preserve">(2019). </w:t>
      </w:r>
    </w:p>
    <w:p w14:paraId="73A817F5" w14:textId="0CF41783"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8</w:t>
      </w:r>
      <w:r w:rsidRPr="00A55EA2">
        <w:rPr>
          <w:rFonts w:ascii="Calibri" w:eastAsia="Calibri" w:hAnsi="Calibri" w:cs="Calibri"/>
          <w:sz w:val="20"/>
          <w:szCs w:val="20"/>
          <w:lang w:val="fr-BE"/>
        </w:rPr>
        <w:t xml:space="preserve"> UNIA (2020), </w:t>
      </w:r>
      <w:hyperlink r:id="rId13" w:history="1">
        <w:r w:rsidRPr="00A55EA2">
          <w:rPr>
            <w:rFonts w:ascii="Calibri" w:eastAsia="Calibri" w:hAnsi="Calibri" w:cs="Calibri"/>
            <w:i/>
            <w:iCs/>
            <w:color w:val="0563C1"/>
            <w:sz w:val="20"/>
            <w:szCs w:val="20"/>
            <w:u w:val="single"/>
            <w:lang w:val="fr-BE"/>
          </w:rPr>
          <w:t>Le taux d’emploi des personnes d’origine étrangère s’améliore mais reste à la traîne</w:t>
        </w:r>
      </w:hyperlink>
      <w:r w:rsidRPr="00A55EA2">
        <w:rPr>
          <w:rFonts w:ascii="Calibri" w:eastAsia="Calibri" w:hAnsi="Calibri" w:cs="Calibri"/>
          <w:sz w:val="20"/>
          <w:szCs w:val="20"/>
          <w:lang w:val="fr-BE"/>
        </w:rPr>
        <w:t xml:space="preserve">. </w:t>
      </w:r>
    </w:p>
    <w:p w14:paraId="12AC0D7D" w14:textId="1CACBB88"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9</w:t>
      </w:r>
      <w:r w:rsidRPr="00A55EA2">
        <w:rPr>
          <w:rFonts w:ascii="Calibri" w:eastAsia="Calibri" w:hAnsi="Calibri" w:cs="Calibri"/>
          <w:sz w:val="20"/>
          <w:szCs w:val="20"/>
          <w:lang w:val="fr-BE"/>
        </w:rPr>
        <w:t xml:space="preserve"> UNIA (2020), </w:t>
      </w:r>
      <w:hyperlink r:id="rId14" w:history="1">
        <w:r w:rsidRPr="00A55EA2">
          <w:rPr>
            <w:rFonts w:ascii="Calibri" w:eastAsia="Calibri" w:hAnsi="Calibri" w:cs="Calibri"/>
            <w:i/>
            <w:iCs/>
            <w:color w:val="0563C1"/>
            <w:sz w:val="20"/>
            <w:szCs w:val="20"/>
            <w:u w:val="single"/>
            <w:lang w:val="fr-BE"/>
          </w:rPr>
          <w:t>Monitoring socioéconomique. Marché du travail et origine 2019</w:t>
        </w:r>
      </w:hyperlink>
      <w:r w:rsidRPr="00A55EA2">
        <w:rPr>
          <w:rFonts w:ascii="Calibri" w:eastAsia="Calibri" w:hAnsi="Calibri" w:cs="Calibri"/>
          <w:sz w:val="20"/>
          <w:szCs w:val="20"/>
          <w:lang w:val="fr-BE"/>
        </w:rPr>
        <w:t xml:space="preserve">. </w:t>
      </w:r>
    </w:p>
    <w:p w14:paraId="6D8E3512" w14:textId="4DAC74B2"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10</w:t>
      </w:r>
      <w:r w:rsidRPr="00A55EA2">
        <w:rPr>
          <w:rFonts w:ascii="Calibri" w:eastAsia="Calibri" w:hAnsi="Calibri" w:cs="Calibri"/>
          <w:sz w:val="20"/>
          <w:szCs w:val="20"/>
          <w:lang w:val="fr-BE"/>
        </w:rPr>
        <w:t xml:space="preserve"> STATBEL (2020), </w:t>
      </w:r>
      <w:hyperlink r:id="rId15" w:history="1">
        <w:r w:rsidRPr="00A55EA2">
          <w:rPr>
            <w:rFonts w:ascii="Calibri" w:eastAsia="Calibri" w:hAnsi="Calibri" w:cs="Calibri"/>
            <w:i/>
            <w:iCs/>
            <w:color w:val="0563C1"/>
            <w:sz w:val="20"/>
            <w:szCs w:val="20"/>
            <w:u w:val="single"/>
            <w:lang w:val="fr-BE"/>
          </w:rPr>
          <w:t>Les personnes handicapées ou souffrant de problèmes de santé de longue durée ont moins d’autonomie dans leur emploi</w:t>
        </w:r>
      </w:hyperlink>
      <w:r w:rsidRPr="00A55EA2">
        <w:rPr>
          <w:rFonts w:ascii="Calibri" w:eastAsia="Calibri" w:hAnsi="Calibri" w:cs="Calibri"/>
          <w:sz w:val="20"/>
          <w:szCs w:val="20"/>
          <w:lang w:val="fr-BE"/>
        </w:rPr>
        <w:t xml:space="preserve">. </w:t>
      </w:r>
    </w:p>
    <w:p w14:paraId="0396EA61" w14:textId="5EE99200"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11</w:t>
      </w:r>
      <w:r w:rsidRPr="00A55EA2">
        <w:rPr>
          <w:rFonts w:ascii="Calibri" w:eastAsia="Calibri" w:hAnsi="Calibri" w:cs="Calibri"/>
          <w:sz w:val="20"/>
          <w:szCs w:val="20"/>
          <w:lang w:val="fr-BE"/>
        </w:rPr>
        <w:t xml:space="preserve"> EWETA (2022), </w:t>
      </w:r>
      <w:hyperlink r:id="rId16" w:history="1">
        <w:r w:rsidRPr="00A55EA2">
          <w:rPr>
            <w:rFonts w:ascii="Calibri" w:eastAsia="Calibri" w:hAnsi="Calibri" w:cs="Calibri"/>
            <w:i/>
            <w:iCs/>
            <w:color w:val="0563C1"/>
            <w:sz w:val="20"/>
            <w:szCs w:val="20"/>
            <w:u w:val="single"/>
            <w:lang w:val="fr-BE"/>
          </w:rPr>
          <w:t>Les Entreprises de Travail Adapté : Quelques chiffres</w:t>
        </w:r>
      </w:hyperlink>
      <w:r w:rsidRPr="00A55EA2">
        <w:rPr>
          <w:rFonts w:ascii="Calibri" w:eastAsia="Calibri" w:hAnsi="Calibri" w:cs="Calibri"/>
          <w:sz w:val="20"/>
          <w:szCs w:val="20"/>
          <w:lang w:val="fr-BE"/>
        </w:rPr>
        <w:t>.</w:t>
      </w:r>
    </w:p>
    <w:p w14:paraId="4FAA4203" w14:textId="4B04C1BD" w:rsidR="00A55EA2" w:rsidRPr="00A55EA2" w:rsidRDefault="00A55EA2" w:rsidP="00A55EA2">
      <w:pPr>
        <w:keepNext/>
        <w:keepLines/>
        <w:spacing w:after="0" w:line="240" w:lineRule="auto"/>
        <w:rPr>
          <w:rFonts w:ascii="Calibri" w:eastAsia="Calibri" w:hAnsi="Calibri" w:cs="Arial"/>
          <w:sz w:val="20"/>
          <w:szCs w:val="20"/>
          <w:lang w:val="fr-BE"/>
        </w:rPr>
      </w:pPr>
      <w:r>
        <w:rPr>
          <w:rFonts w:ascii="Calibri" w:eastAsia="Calibri" w:hAnsi="Calibri" w:cs="Arial"/>
          <w:sz w:val="20"/>
          <w:szCs w:val="20"/>
          <w:vertAlign w:val="superscript"/>
          <w:lang w:val="fr-BE"/>
        </w:rPr>
        <w:t>12</w:t>
      </w:r>
      <w:r w:rsidRPr="00A55EA2">
        <w:rPr>
          <w:rFonts w:ascii="Calibri" w:eastAsia="Calibri" w:hAnsi="Calibri" w:cs="Arial"/>
          <w:sz w:val="20"/>
          <w:szCs w:val="20"/>
          <w:lang w:val="fr-BE"/>
        </w:rPr>
        <w:t xml:space="preserve"> CARPH (2021), </w:t>
      </w:r>
      <w:hyperlink r:id="rId17" w:history="1">
        <w:r w:rsidRPr="00A55EA2">
          <w:rPr>
            <w:rFonts w:ascii="Calibri" w:eastAsia="Calibri" w:hAnsi="Calibri" w:cs="Arial"/>
            <w:i/>
            <w:iCs/>
            <w:color w:val="0563C1"/>
            <w:sz w:val="20"/>
            <w:szCs w:val="20"/>
            <w:u w:val="single"/>
            <w:lang w:val="fr-BE"/>
          </w:rPr>
          <w:t>Rapport d’évaluation 2021</w:t>
        </w:r>
      </w:hyperlink>
      <w:r w:rsidRPr="00A55EA2">
        <w:rPr>
          <w:rFonts w:ascii="Calibri" w:eastAsia="Calibri" w:hAnsi="Calibri" w:cs="Arial"/>
          <w:sz w:val="20"/>
          <w:szCs w:val="20"/>
          <w:lang w:val="fr-BE"/>
        </w:rPr>
        <w:t>, p.9</w:t>
      </w:r>
    </w:p>
    <w:p w14:paraId="51B33E76" w14:textId="5448038F"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13</w:t>
      </w:r>
      <w:r w:rsidRPr="00A55EA2">
        <w:rPr>
          <w:rFonts w:ascii="Calibri" w:eastAsia="Calibri" w:hAnsi="Calibri" w:cs="Calibri"/>
          <w:sz w:val="20"/>
          <w:szCs w:val="20"/>
          <w:lang w:val="fr-BE"/>
        </w:rPr>
        <w:t xml:space="preserve"> Il s’agit des métiers d’aide-ménagères et aides-soignantes dans le secteur de l’aide à la personne (dans les maisons de repos et de soins et pour les aides à domicile). </w:t>
      </w:r>
    </w:p>
    <w:p w14:paraId="647018BF" w14:textId="20277642" w:rsidR="00A55EA2" w:rsidRPr="00A55EA2" w:rsidRDefault="00A55EA2" w:rsidP="00A55EA2">
      <w:pPr>
        <w:keepNext/>
        <w:keepLines/>
        <w:spacing w:after="0" w:line="240" w:lineRule="auto"/>
        <w:jc w:val="both"/>
        <w:rPr>
          <w:rFonts w:ascii="Calibri" w:eastAsia="Calibri" w:hAnsi="Calibri" w:cs="Calibri"/>
          <w:sz w:val="20"/>
          <w:szCs w:val="20"/>
          <w:lang w:val="fr-FR"/>
        </w:rPr>
      </w:pPr>
      <w:r>
        <w:rPr>
          <w:rFonts w:ascii="Calibri" w:eastAsia="Calibri" w:hAnsi="Calibri" w:cs="Calibri"/>
          <w:sz w:val="20"/>
          <w:szCs w:val="20"/>
          <w:vertAlign w:val="superscript"/>
          <w:lang w:val="fr-BE"/>
        </w:rPr>
        <w:t>14</w:t>
      </w:r>
      <w:r w:rsidRPr="00A55EA2">
        <w:rPr>
          <w:rFonts w:ascii="Calibri" w:eastAsia="Calibri" w:hAnsi="Calibri" w:cs="Calibri"/>
          <w:sz w:val="20"/>
          <w:szCs w:val="20"/>
          <w:lang w:val="fr-FR"/>
        </w:rPr>
        <w:t xml:space="preserve"> C’est le cas des primo-arrivantes dont les diplômes ne sont pas reconnus et que l’on oriente vers ce secteur.</w:t>
      </w:r>
    </w:p>
    <w:p w14:paraId="3B723619" w14:textId="01D0D9D1" w:rsidR="00A55EA2" w:rsidRPr="00A55EA2" w:rsidRDefault="00A55EA2" w:rsidP="00A55EA2">
      <w:pPr>
        <w:keepNext/>
        <w:keepLines/>
        <w:spacing w:after="0"/>
        <w:jc w:val="both"/>
        <w:rPr>
          <w:rFonts w:ascii="Calibri" w:eastAsia="Calibri" w:hAnsi="Calibri" w:cs="Calibri"/>
          <w:sz w:val="20"/>
          <w:szCs w:val="20"/>
          <w:lang w:val="fr-BE"/>
        </w:rPr>
      </w:pPr>
      <w:r w:rsidRPr="00A55EA2">
        <w:rPr>
          <w:rFonts w:ascii="Calibri" w:eastAsia="Calibri" w:hAnsi="Calibri" w:cs="Calibri"/>
          <w:sz w:val="20"/>
          <w:szCs w:val="20"/>
          <w:vertAlign w:val="superscript"/>
          <w:lang w:val="fr-BE"/>
        </w:rPr>
        <w:t>15</w:t>
      </w:r>
      <w:r w:rsidRPr="00A55EA2">
        <w:rPr>
          <w:rFonts w:ascii="Calibri" w:eastAsia="Calibri" w:hAnsi="Calibri" w:cs="Calibri"/>
          <w:sz w:val="20"/>
          <w:szCs w:val="20"/>
          <w:lang w:val="fr-FR"/>
        </w:rPr>
        <w:t xml:space="preserve"> UNIA (2012), </w:t>
      </w:r>
      <w:hyperlink r:id="rId18" w:history="1">
        <w:r w:rsidRPr="00A55EA2">
          <w:rPr>
            <w:rFonts w:ascii="Calibri" w:eastAsia="Calibri" w:hAnsi="Calibri" w:cs="Calibri"/>
            <w:i/>
            <w:iCs/>
            <w:color w:val="0563C1"/>
            <w:sz w:val="20"/>
            <w:szCs w:val="20"/>
            <w:u w:val="single"/>
            <w:lang w:val="fr-FR"/>
          </w:rPr>
          <w:t>Rapport annuel 2011 Discrimination/Diversité</w:t>
        </w:r>
      </w:hyperlink>
      <w:r w:rsidRPr="00A55EA2">
        <w:rPr>
          <w:rFonts w:ascii="Calibri" w:eastAsia="Calibri" w:hAnsi="Calibri" w:cs="Calibri"/>
          <w:sz w:val="20"/>
          <w:szCs w:val="20"/>
          <w:lang w:val="fr-FR"/>
        </w:rPr>
        <w:t xml:space="preserve">, p. 118 et s. </w:t>
      </w:r>
      <w:r w:rsidRPr="00A55EA2">
        <w:rPr>
          <w:rFonts w:ascii="Calibri" w:eastAsia="Calibri" w:hAnsi="Calibri" w:cs="Calibri"/>
          <w:sz w:val="20"/>
          <w:szCs w:val="20"/>
          <w:lang w:val="fr-BE"/>
        </w:rPr>
        <w:t xml:space="preserve">;  DREYFUS, S. (2020), </w:t>
      </w:r>
      <w:hyperlink r:id="rId19" w:history="1">
        <w:r w:rsidRPr="00A55EA2">
          <w:rPr>
            <w:rFonts w:ascii="Calibri" w:eastAsia="Calibri" w:hAnsi="Calibri" w:cs="Calibri"/>
            <w:i/>
            <w:iCs/>
            <w:color w:val="0563C1"/>
            <w:sz w:val="20"/>
            <w:szCs w:val="20"/>
            <w:u w:val="single"/>
            <w:lang w:val="fr-BE"/>
          </w:rPr>
          <w:t>Care : l’injuste disqualification des savoir-faire discrets</w:t>
        </w:r>
      </w:hyperlink>
      <w:r w:rsidRPr="00A55EA2">
        <w:rPr>
          <w:rFonts w:ascii="Calibri" w:eastAsia="Calibri" w:hAnsi="Calibri" w:cs="Calibri"/>
          <w:i/>
          <w:iCs/>
          <w:sz w:val="20"/>
          <w:szCs w:val="20"/>
          <w:lang w:val="fr-BE"/>
        </w:rPr>
        <w:t xml:space="preserve">. </w:t>
      </w:r>
    </w:p>
    <w:p w14:paraId="27922756" w14:textId="39D84100"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16</w:t>
      </w:r>
      <w:r w:rsidRPr="00A55EA2">
        <w:rPr>
          <w:rFonts w:ascii="Calibri" w:eastAsia="Calibri" w:hAnsi="Calibri" w:cs="Calibri"/>
          <w:sz w:val="20"/>
          <w:szCs w:val="20"/>
          <w:lang w:val="fr-BE"/>
        </w:rPr>
        <w:t xml:space="preserve"> UNIA (2020), </w:t>
      </w:r>
      <w:hyperlink r:id="rId20" w:history="1">
        <w:r w:rsidRPr="00A55EA2">
          <w:rPr>
            <w:rFonts w:ascii="Calibri" w:eastAsia="Calibri" w:hAnsi="Calibri" w:cs="Calibri"/>
            <w:i/>
            <w:iCs/>
            <w:color w:val="0563C1"/>
            <w:sz w:val="20"/>
            <w:szCs w:val="20"/>
            <w:u w:val="single"/>
            <w:lang w:val="fr-BE"/>
          </w:rPr>
          <w:t>Consultation des personnes handicapées sur le respect de leurs droits</w:t>
        </w:r>
      </w:hyperlink>
      <w:r w:rsidRPr="00A55EA2">
        <w:rPr>
          <w:rFonts w:ascii="Calibri" w:eastAsia="Calibri" w:hAnsi="Calibri" w:cs="Calibri"/>
          <w:sz w:val="20"/>
          <w:szCs w:val="20"/>
          <w:lang w:val="fr-BE"/>
        </w:rPr>
        <w:t xml:space="preserve">. </w:t>
      </w:r>
    </w:p>
    <w:p w14:paraId="2CFBE84F" w14:textId="5B44E120"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17</w:t>
      </w:r>
      <w:r w:rsidRPr="00A55EA2">
        <w:rPr>
          <w:rFonts w:ascii="Calibri" w:eastAsia="Calibri" w:hAnsi="Calibri" w:cs="Calibri"/>
          <w:sz w:val="20"/>
          <w:szCs w:val="20"/>
          <w:lang w:val="fr-BE"/>
        </w:rPr>
        <w:t xml:space="preserve"> Une des répondantes indique, par exemple : « Une femme handicapée ne peut pas être coquette, bien habillée, maquillée cela dérange il faudrait faire pitié. ».</w:t>
      </w:r>
    </w:p>
    <w:p w14:paraId="570BDEE9" w14:textId="30D44686"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18</w:t>
      </w:r>
      <w:r w:rsidRPr="00A55EA2">
        <w:rPr>
          <w:rFonts w:ascii="Calibri" w:eastAsia="Calibri" w:hAnsi="Calibri" w:cs="Calibri"/>
          <w:sz w:val="20"/>
          <w:szCs w:val="20"/>
          <w:lang w:val="fr-BE"/>
        </w:rPr>
        <w:t xml:space="preserve"> Lire à ce sujet sur le </w:t>
      </w:r>
      <w:hyperlink r:id="rId21" w:history="1">
        <w:r w:rsidRPr="00A55EA2">
          <w:rPr>
            <w:rFonts w:ascii="Calibri" w:eastAsia="Calibri" w:hAnsi="Calibri" w:cs="Calibri"/>
            <w:color w:val="0563C1"/>
            <w:sz w:val="20"/>
            <w:szCs w:val="20"/>
            <w:u w:val="single"/>
            <w:lang w:val="fr-BE"/>
          </w:rPr>
          <w:t xml:space="preserve">site Web de l’association </w:t>
        </w:r>
        <w:proofErr w:type="spellStart"/>
        <w:r w:rsidRPr="00A55EA2">
          <w:rPr>
            <w:rFonts w:ascii="Calibri" w:eastAsia="Calibri" w:hAnsi="Calibri" w:cs="Calibri"/>
            <w:color w:val="0563C1"/>
            <w:sz w:val="20"/>
            <w:szCs w:val="20"/>
            <w:u w:val="single"/>
            <w:lang w:val="fr-BE"/>
          </w:rPr>
          <w:t>Persephone</w:t>
        </w:r>
        <w:proofErr w:type="spellEnd"/>
      </w:hyperlink>
      <w:r w:rsidRPr="00A55EA2">
        <w:rPr>
          <w:rFonts w:ascii="Calibri" w:eastAsia="Calibri" w:hAnsi="Calibri" w:cs="Calibri"/>
          <w:sz w:val="20"/>
          <w:szCs w:val="20"/>
          <w:lang w:val="fr-BE"/>
        </w:rPr>
        <w:t xml:space="preserve">.  </w:t>
      </w:r>
    </w:p>
    <w:p w14:paraId="7D738408" w14:textId="7C6DF2A9"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19</w:t>
      </w:r>
      <w:r w:rsidRPr="00A55EA2">
        <w:rPr>
          <w:rFonts w:ascii="Calibri" w:eastAsia="Calibri" w:hAnsi="Calibri" w:cs="Calibri"/>
          <w:sz w:val="20"/>
          <w:szCs w:val="20"/>
          <w:lang w:val="fr-BE"/>
        </w:rPr>
        <w:t xml:space="preserve"> La seule exception concerne en effet les parents de mineurs étrangers non accompagnés (ci-après « MENA ») bénéficiant d’un statut de protection international conformément à l’art. 10 § 1, 7° de la loi du 15 décembre 1980 sur l'accès au territoire, le séjour, l'établissement et l'éloignement des étrangers.</w:t>
      </w:r>
    </w:p>
    <w:p w14:paraId="539D1C9E" w14:textId="72C5EBD3"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20</w:t>
      </w:r>
      <w:r w:rsidRPr="00A55EA2">
        <w:rPr>
          <w:rFonts w:ascii="Calibri" w:eastAsia="Calibri" w:hAnsi="Calibri" w:cs="Calibri"/>
          <w:sz w:val="20"/>
          <w:szCs w:val="20"/>
          <w:lang w:val="fr-BE"/>
        </w:rPr>
        <w:t xml:space="preserve"> Tant au niveau de la recevabilité (évaluation des « circonstances exceptionnelles ») qu’au niveau du fond. Et ce, malgré la mesure en vigueur depuis juin 2020 par laquelle le CGRA communique systématiquement au service de régularisation de l’Office des Étrangers les coordonnées des enfants mineurs bénéficiaires de la protection internationale, afin que l’OE puisse vérifier régulièrement si les parents ont déposé une demande de régularisation et s’ils sont traités en priorité selon des instructions spécifiques (information de la recommandation du Médiateur précitée, février 2022, p. 5). Il s’agit en effet d’une pratique administrative sans garantie juridique.</w:t>
      </w:r>
    </w:p>
    <w:p w14:paraId="4D5FC106" w14:textId="060D57C9"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21</w:t>
      </w:r>
      <w:r w:rsidRPr="00A55EA2">
        <w:rPr>
          <w:rFonts w:ascii="Calibri" w:eastAsia="Calibri" w:hAnsi="Calibri" w:cs="Calibri"/>
          <w:sz w:val="20"/>
          <w:szCs w:val="20"/>
          <w:lang w:val="fr-BE"/>
        </w:rPr>
        <w:t xml:space="preserve"> Redevance administrative à l’introduction, s’élevant actuellement à 313 euros.</w:t>
      </w:r>
    </w:p>
    <w:p w14:paraId="6D7CE509" w14:textId="78F29307"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22</w:t>
      </w:r>
      <w:r w:rsidRPr="00A55EA2">
        <w:rPr>
          <w:rFonts w:ascii="Calibri" w:eastAsia="Calibri" w:hAnsi="Calibri" w:cs="Calibri"/>
          <w:sz w:val="20"/>
          <w:szCs w:val="20"/>
          <w:lang w:val="fr-BE"/>
        </w:rPr>
        <w:t xml:space="preserve"> Le Médiateur fédéral(2022), </w:t>
      </w:r>
      <w:hyperlink r:id="rId22" w:history="1">
        <w:r w:rsidRPr="00A55EA2">
          <w:rPr>
            <w:rFonts w:ascii="Calibri" w:eastAsia="Calibri" w:hAnsi="Calibri" w:cs="Calibri"/>
            <w:i/>
            <w:iCs/>
            <w:color w:val="0563C1"/>
            <w:sz w:val="20"/>
            <w:szCs w:val="20"/>
            <w:u w:val="single"/>
            <w:lang w:val="fr-BE"/>
          </w:rPr>
          <w:t>Recommandation 2022/01 au Parlement</w:t>
        </w:r>
      </w:hyperlink>
      <w:r w:rsidRPr="00A55EA2">
        <w:rPr>
          <w:rFonts w:ascii="Calibri" w:eastAsia="Calibri" w:hAnsi="Calibri" w:cs="Calibri"/>
          <w:sz w:val="20"/>
          <w:szCs w:val="20"/>
          <w:lang w:val="fr-BE"/>
        </w:rPr>
        <w:t>.</w:t>
      </w:r>
    </w:p>
    <w:p w14:paraId="6B6B6CA6" w14:textId="7A6DFFF9"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23</w:t>
      </w:r>
      <w:r w:rsidRPr="00A55EA2">
        <w:rPr>
          <w:rFonts w:ascii="Calibri" w:eastAsia="Calibri" w:hAnsi="Calibri" w:cs="Calibri"/>
          <w:sz w:val="20"/>
          <w:szCs w:val="20"/>
          <w:lang w:val="fr-BE"/>
        </w:rPr>
        <w:t xml:space="preserve"> CONSEIL DES FEMMES FRANCOPHONES DE Belgique (2018), </w:t>
      </w:r>
      <w:hyperlink r:id="rId23" w:history="1">
        <w:r w:rsidRPr="00A55EA2">
          <w:rPr>
            <w:rFonts w:ascii="Calibri" w:eastAsia="Calibri" w:hAnsi="Calibri" w:cs="Calibri"/>
            <w:i/>
            <w:iCs/>
            <w:color w:val="0563C1"/>
            <w:sz w:val="20"/>
            <w:szCs w:val="20"/>
            <w:u w:val="single"/>
            <w:lang w:val="fr-BE"/>
          </w:rPr>
          <w:t>Handicap, violences et sexualité au prisme du genre – étude exploratoire</w:t>
        </w:r>
      </w:hyperlink>
      <w:r w:rsidRPr="00A55EA2">
        <w:rPr>
          <w:rFonts w:ascii="Calibri" w:eastAsia="Calibri" w:hAnsi="Calibri" w:cs="Calibri"/>
          <w:sz w:val="20"/>
          <w:szCs w:val="20"/>
          <w:lang w:val="fr-BE"/>
        </w:rPr>
        <w:t xml:space="preserve">, p.5.  </w:t>
      </w:r>
    </w:p>
    <w:p w14:paraId="1334092E" w14:textId="5EE8F818" w:rsidR="00A55EA2" w:rsidRPr="00A55EA2" w:rsidRDefault="00A55EA2"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24</w:t>
      </w:r>
      <w:r w:rsidRPr="00A55EA2">
        <w:rPr>
          <w:rFonts w:ascii="Calibri" w:eastAsia="Calibri" w:hAnsi="Calibri" w:cs="Calibri"/>
          <w:sz w:val="20"/>
          <w:szCs w:val="20"/>
          <w:lang w:val="fr-BE"/>
        </w:rPr>
        <w:t xml:space="preserve"> UNIA (2020), </w:t>
      </w:r>
      <w:hyperlink r:id="rId24" w:history="1">
        <w:r w:rsidRPr="00A55EA2">
          <w:rPr>
            <w:rFonts w:ascii="Calibri" w:eastAsia="Calibri" w:hAnsi="Calibri" w:cs="Calibri"/>
            <w:i/>
            <w:iCs/>
            <w:color w:val="0563C1"/>
            <w:sz w:val="20"/>
            <w:szCs w:val="20"/>
            <w:u w:val="single"/>
            <w:lang w:val="fr-BE"/>
          </w:rPr>
          <w:t>Consultation des personnes handicapées sur le respect de leurs droits</w:t>
        </w:r>
      </w:hyperlink>
      <w:r w:rsidRPr="00A55EA2">
        <w:rPr>
          <w:rFonts w:ascii="Calibri" w:eastAsia="Calibri" w:hAnsi="Calibri" w:cs="Calibri"/>
          <w:i/>
          <w:iCs/>
          <w:sz w:val="20"/>
          <w:szCs w:val="20"/>
          <w:lang w:val="fr-BE"/>
        </w:rPr>
        <w:t>,</w:t>
      </w:r>
      <w:r w:rsidRPr="00A55EA2">
        <w:rPr>
          <w:rFonts w:ascii="Calibri" w:eastAsia="Calibri" w:hAnsi="Calibri" w:cs="Calibri"/>
          <w:sz w:val="20"/>
          <w:szCs w:val="20"/>
          <w:lang w:val="fr-BE"/>
        </w:rPr>
        <w:t xml:space="preserve"> 2020</w:t>
      </w:r>
    </w:p>
    <w:p w14:paraId="4E50DA57" w14:textId="10555E6B" w:rsidR="00A55EA2" w:rsidRPr="00A55EA2" w:rsidRDefault="00A55EA2" w:rsidP="00A55EA2">
      <w:pPr>
        <w:keepNext/>
        <w:keepLines/>
        <w:spacing w:after="0" w:line="240" w:lineRule="auto"/>
        <w:jc w:val="both"/>
        <w:rPr>
          <w:rFonts w:ascii="Calibri" w:eastAsia="Calibri" w:hAnsi="Calibri" w:cs="Calibri"/>
          <w:sz w:val="20"/>
          <w:szCs w:val="20"/>
          <w:lang w:val="nl-BE"/>
        </w:rPr>
      </w:pPr>
      <w:r w:rsidRPr="00372729">
        <w:rPr>
          <w:rFonts w:ascii="Calibri" w:eastAsia="Calibri" w:hAnsi="Calibri" w:cs="Calibri"/>
          <w:sz w:val="20"/>
          <w:szCs w:val="20"/>
          <w:vertAlign w:val="superscript"/>
          <w:lang w:val="nl-BE"/>
        </w:rPr>
        <w:t>25</w:t>
      </w:r>
      <w:r w:rsidRPr="00A55EA2">
        <w:rPr>
          <w:rFonts w:ascii="Calibri" w:eastAsia="Calibri" w:hAnsi="Calibri" w:cs="Calibri"/>
          <w:sz w:val="20"/>
          <w:szCs w:val="20"/>
          <w:lang w:val="nl-NL"/>
        </w:rPr>
        <w:t xml:space="preserve"> </w:t>
      </w:r>
      <w:r w:rsidRPr="00A55EA2">
        <w:rPr>
          <w:rFonts w:ascii="Calibri" w:eastAsia="Calibri" w:hAnsi="Calibri" w:cs="Calibri"/>
          <w:caps/>
          <w:sz w:val="20"/>
          <w:szCs w:val="20"/>
          <w:lang w:val="nl-NL"/>
        </w:rPr>
        <w:t>Goethals</w:t>
      </w:r>
      <w:r w:rsidRPr="00A55EA2">
        <w:rPr>
          <w:rFonts w:ascii="Calibri" w:eastAsia="Calibri" w:hAnsi="Calibri" w:cs="Calibri"/>
          <w:sz w:val="20"/>
          <w:szCs w:val="20"/>
          <w:lang w:val="nl-NL"/>
        </w:rPr>
        <w:t xml:space="preserve">, T. (2018), </w:t>
      </w:r>
      <w:hyperlink r:id="rId25" w:history="1">
        <w:r w:rsidRPr="00A55EA2">
          <w:rPr>
            <w:rFonts w:ascii="Calibri" w:eastAsia="Calibri" w:hAnsi="Calibri" w:cs="Calibri"/>
            <w:i/>
            <w:iCs/>
            <w:color w:val="0563C1"/>
            <w:sz w:val="20"/>
            <w:szCs w:val="20"/>
            <w:u w:val="single"/>
            <w:lang w:val="nl-NL"/>
          </w:rPr>
          <w:t>Seksueel Georiënteerd Geweld Bij Vrouwen Met Een Beperking in Vlaanderen</w:t>
        </w:r>
      </w:hyperlink>
      <w:r w:rsidRPr="00A55EA2">
        <w:rPr>
          <w:rFonts w:ascii="Calibri" w:eastAsia="Calibri" w:hAnsi="Calibri" w:cs="Calibri"/>
          <w:sz w:val="20"/>
          <w:szCs w:val="20"/>
          <w:lang w:val="nl-NL"/>
        </w:rPr>
        <w:t>.</w:t>
      </w:r>
    </w:p>
    <w:p w14:paraId="0ED51107" w14:textId="2B0A22D2"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26</w:t>
      </w:r>
      <w:r w:rsidR="00A55EA2" w:rsidRPr="00A55EA2">
        <w:rPr>
          <w:rFonts w:ascii="Calibri" w:eastAsia="Calibri" w:hAnsi="Calibri" w:cs="Calibri"/>
          <w:sz w:val="20"/>
          <w:szCs w:val="20"/>
          <w:lang w:val="fr-BE"/>
        </w:rPr>
        <w:t xml:space="preserve"> UNIA (2020), </w:t>
      </w:r>
      <w:hyperlink r:id="rId26" w:history="1">
        <w:r w:rsidR="00A55EA2" w:rsidRPr="00A55EA2">
          <w:rPr>
            <w:rFonts w:ascii="Calibri" w:eastAsia="Calibri" w:hAnsi="Calibri" w:cs="Calibri"/>
            <w:i/>
            <w:iCs/>
            <w:color w:val="0563C1"/>
            <w:sz w:val="20"/>
            <w:szCs w:val="20"/>
            <w:u w:val="single"/>
            <w:lang w:val="fr-BE"/>
          </w:rPr>
          <w:t>Directives pour l’article 19 de la Convention des Nations unies : autonomie de vie et inclusion dans la société</w:t>
        </w:r>
      </w:hyperlink>
      <w:r w:rsidR="00A55EA2" w:rsidRPr="00A55EA2">
        <w:rPr>
          <w:rFonts w:ascii="Calibri" w:eastAsia="Calibri" w:hAnsi="Calibri" w:cs="Calibri"/>
          <w:sz w:val="20"/>
          <w:szCs w:val="20"/>
          <w:lang w:val="fr-BE"/>
        </w:rPr>
        <w:t>.</w:t>
      </w:r>
    </w:p>
    <w:p w14:paraId="1EFAEFB8" w14:textId="1DF54D83"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27</w:t>
      </w:r>
      <w:r w:rsidR="00A55EA2" w:rsidRPr="00A55EA2">
        <w:rPr>
          <w:rFonts w:ascii="Calibri" w:eastAsia="Calibri" w:hAnsi="Calibri" w:cs="Calibri"/>
          <w:sz w:val="20"/>
          <w:szCs w:val="20"/>
          <w:lang w:val="fr-BE"/>
        </w:rPr>
        <w:t xml:space="preserve"> GARANCE (2021), </w:t>
      </w:r>
      <w:hyperlink r:id="rId27" w:history="1">
        <w:r w:rsidR="00A55EA2" w:rsidRPr="00A55EA2">
          <w:rPr>
            <w:rFonts w:ascii="Calibri" w:eastAsia="Calibri" w:hAnsi="Calibri" w:cs="Calibri"/>
            <w:i/>
            <w:iCs/>
            <w:color w:val="0563C1"/>
            <w:sz w:val="20"/>
            <w:szCs w:val="20"/>
            <w:u w:val="single"/>
            <w:lang w:val="fr-BE"/>
          </w:rPr>
          <w:t>L’accessibilité pour les femmes en situation de handicap victimes de violence - webinaire gratuit</w:t>
        </w:r>
      </w:hyperlink>
      <w:r w:rsidR="00A55EA2" w:rsidRPr="00A55EA2">
        <w:rPr>
          <w:rFonts w:ascii="Calibri" w:eastAsia="Calibri" w:hAnsi="Calibri" w:cs="Calibri"/>
          <w:sz w:val="20"/>
          <w:szCs w:val="20"/>
          <w:lang w:val="fr-BE"/>
        </w:rPr>
        <w:t xml:space="preserve">.  </w:t>
      </w:r>
    </w:p>
    <w:p w14:paraId="1BCB25D6" w14:textId="0010D4DD" w:rsidR="00A55EA2" w:rsidRPr="00A55EA2" w:rsidRDefault="00372729" w:rsidP="00A55EA2">
      <w:pPr>
        <w:keepNext/>
        <w:keepLines/>
        <w:spacing w:after="0" w:line="240" w:lineRule="auto"/>
        <w:jc w:val="both"/>
        <w:rPr>
          <w:rFonts w:ascii="Calibri" w:eastAsia="Calibri" w:hAnsi="Calibri" w:cs="Calibri"/>
          <w:sz w:val="20"/>
          <w:szCs w:val="20"/>
          <w:lang w:val="en-GB"/>
        </w:rPr>
      </w:pPr>
      <w:r w:rsidRPr="00372729">
        <w:rPr>
          <w:rFonts w:ascii="Calibri" w:eastAsia="Calibri" w:hAnsi="Calibri" w:cs="Calibri"/>
          <w:sz w:val="20"/>
          <w:szCs w:val="20"/>
          <w:vertAlign w:val="superscript"/>
          <w:lang w:val="en-US"/>
        </w:rPr>
        <w:t>28</w:t>
      </w:r>
      <w:r w:rsidR="00A55EA2" w:rsidRPr="00A55EA2">
        <w:rPr>
          <w:rFonts w:ascii="Calibri" w:eastAsia="Calibri" w:hAnsi="Calibri" w:cs="Calibri"/>
          <w:sz w:val="20"/>
          <w:szCs w:val="20"/>
          <w:lang w:val="en-GB"/>
        </w:rPr>
        <w:t xml:space="preserve"> ENAR  (2016), </w:t>
      </w:r>
      <w:hyperlink r:id="rId28" w:history="1">
        <w:r w:rsidR="00A55EA2" w:rsidRPr="00A55EA2">
          <w:rPr>
            <w:rFonts w:ascii="Calibri" w:eastAsia="Calibri" w:hAnsi="Calibri" w:cs="Calibri"/>
            <w:i/>
            <w:iCs/>
            <w:color w:val="0563C1"/>
            <w:sz w:val="20"/>
            <w:szCs w:val="20"/>
            <w:u w:val="single"/>
            <w:lang w:val="en-GB"/>
          </w:rPr>
          <w:t>Forgotten women: the impact of Islamophobia on Muslim women</w:t>
        </w:r>
      </w:hyperlink>
      <w:r w:rsidR="00A55EA2" w:rsidRPr="00A55EA2">
        <w:rPr>
          <w:rFonts w:ascii="Calibri" w:eastAsia="Calibri" w:hAnsi="Calibri" w:cs="Calibri"/>
          <w:color w:val="2B005A"/>
          <w:sz w:val="20"/>
          <w:szCs w:val="20"/>
          <w:shd w:val="clear" w:color="auto" w:fill="FCFCFC"/>
          <w:lang w:val="en-GB"/>
        </w:rPr>
        <w:t xml:space="preserve">. </w:t>
      </w:r>
    </w:p>
    <w:p w14:paraId="5B773ADD" w14:textId="4E1320B0"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29</w:t>
      </w:r>
      <w:r w:rsidR="00A55EA2" w:rsidRPr="00A55EA2">
        <w:rPr>
          <w:rFonts w:ascii="Calibri" w:eastAsia="Calibri" w:hAnsi="Calibri" w:cs="Calibri"/>
          <w:sz w:val="20"/>
          <w:szCs w:val="20"/>
          <w:lang w:val="fr-BE"/>
        </w:rPr>
        <w:t xml:space="preserve"> UNIA (2015), </w:t>
      </w:r>
      <w:hyperlink r:id="rId29" w:history="1">
        <w:r w:rsidR="00A55EA2" w:rsidRPr="00A55EA2">
          <w:rPr>
            <w:rFonts w:ascii="Calibri" w:eastAsia="Calibri" w:hAnsi="Calibri" w:cs="Calibri"/>
            <w:i/>
            <w:iCs/>
            <w:color w:val="0563C1"/>
            <w:sz w:val="20"/>
            <w:szCs w:val="20"/>
            <w:u w:val="single"/>
            <w:lang w:val="fr-BE"/>
          </w:rPr>
          <w:t>Rapport annuel 2014 - Une année charnière qui ouvre plusieurs porte</w:t>
        </w:r>
      </w:hyperlink>
      <w:r w:rsidR="00A55EA2" w:rsidRPr="00A55EA2">
        <w:rPr>
          <w:rFonts w:ascii="Calibri" w:eastAsia="Calibri" w:hAnsi="Calibri" w:cs="Calibri"/>
          <w:sz w:val="20"/>
          <w:szCs w:val="20"/>
          <w:lang w:val="fr-BE"/>
        </w:rPr>
        <w:t>.</w:t>
      </w:r>
    </w:p>
    <w:p w14:paraId="081A0C00" w14:textId="4038EE2D"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30</w:t>
      </w:r>
      <w:r w:rsidR="00A55EA2" w:rsidRPr="00A55EA2">
        <w:rPr>
          <w:rFonts w:ascii="Calibri" w:eastAsia="Calibri" w:hAnsi="Calibri" w:cs="Calibri"/>
          <w:sz w:val="20"/>
          <w:szCs w:val="20"/>
          <w:lang w:val="fr-BE"/>
        </w:rPr>
        <w:t xml:space="preserve"> </w:t>
      </w:r>
      <w:r w:rsidR="00A55EA2" w:rsidRPr="00A55EA2">
        <w:rPr>
          <w:rFonts w:ascii="Calibri" w:eastAsia="Calibri" w:hAnsi="Calibri" w:cs="Calibri"/>
          <w:sz w:val="20"/>
          <w:szCs w:val="20"/>
          <w:lang w:val="fr-FR"/>
        </w:rPr>
        <w:t>Qui peut durer de 6 mois à 1 an.</w:t>
      </w:r>
    </w:p>
    <w:p w14:paraId="6A4B1C10" w14:textId="46E9F0D5"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31</w:t>
      </w:r>
      <w:r w:rsidR="00A55EA2" w:rsidRPr="00A55EA2">
        <w:rPr>
          <w:rFonts w:ascii="Calibri" w:eastAsia="Calibri" w:hAnsi="Calibri" w:cs="Calibri"/>
          <w:sz w:val="20"/>
          <w:szCs w:val="20"/>
          <w:lang w:val="fr-BE"/>
        </w:rPr>
        <w:t xml:space="preserve"> MYRIA (2016), </w:t>
      </w:r>
      <w:hyperlink r:id="rId30" w:history="1">
        <w:proofErr w:type="spellStart"/>
        <w:r w:rsidR="00A55EA2" w:rsidRPr="00A55EA2">
          <w:rPr>
            <w:rFonts w:ascii="Calibri" w:eastAsia="Calibri" w:hAnsi="Calibri" w:cs="Calibri"/>
            <w:i/>
            <w:iCs/>
            <w:color w:val="0563C1"/>
            <w:sz w:val="20"/>
            <w:szCs w:val="20"/>
            <w:u w:val="single"/>
            <w:lang w:val="fr-BE"/>
          </w:rPr>
          <w:t>Myriadoc</w:t>
        </w:r>
        <w:proofErr w:type="spellEnd"/>
        <w:r w:rsidR="00A55EA2" w:rsidRPr="00A55EA2">
          <w:rPr>
            <w:rFonts w:ascii="Calibri" w:eastAsia="Calibri" w:hAnsi="Calibri" w:cs="Calibri"/>
            <w:i/>
            <w:iCs/>
            <w:color w:val="0563C1"/>
            <w:sz w:val="20"/>
            <w:szCs w:val="20"/>
            <w:u w:val="single"/>
            <w:lang w:val="fr-BE"/>
          </w:rPr>
          <w:t xml:space="preserve"> Être étranger en Belgique en 2016</w:t>
        </w:r>
      </w:hyperlink>
      <w:r w:rsidR="00A55EA2" w:rsidRPr="00A55EA2">
        <w:rPr>
          <w:rFonts w:ascii="Calibri" w:eastAsia="Calibri" w:hAnsi="Calibri" w:cs="Calibri"/>
          <w:sz w:val="20"/>
          <w:szCs w:val="20"/>
          <w:lang w:val="fr-BE"/>
        </w:rPr>
        <w:t>, pp. 28-31.</w:t>
      </w:r>
    </w:p>
    <w:p w14:paraId="5E807744" w14:textId="4B5F9A1D"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32</w:t>
      </w:r>
      <w:r w:rsidR="00A55EA2" w:rsidRPr="00A55EA2">
        <w:rPr>
          <w:rFonts w:ascii="Calibri" w:eastAsia="Calibri" w:hAnsi="Calibri" w:cs="Calibri"/>
          <w:sz w:val="20"/>
          <w:szCs w:val="20"/>
          <w:lang w:val="fr-BE"/>
        </w:rPr>
        <w:t xml:space="preserve"> Article 1er §1er al. 2 de la directive </w:t>
      </w:r>
      <w:proofErr w:type="spellStart"/>
      <w:r w:rsidR="00A55EA2" w:rsidRPr="00A55EA2">
        <w:rPr>
          <w:rFonts w:ascii="Calibri" w:eastAsia="Calibri" w:hAnsi="Calibri" w:cs="Calibri"/>
          <w:sz w:val="20"/>
          <w:szCs w:val="20"/>
          <w:lang w:val="fr-BE"/>
        </w:rPr>
        <w:t>Directive</w:t>
      </w:r>
      <w:proofErr w:type="spellEnd"/>
      <w:r w:rsidR="00A55EA2" w:rsidRPr="00A55EA2">
        <w:rPr>
          <w:rFonts w:ascii="Calibri" w:eastAsia="Calibri" w:hAnsi="Calibri" w:cs="Calibri"/>
          <w:sz w:val="20"/>
          <w:szCs w:val="20"/>
          <w:lang w:val="fr-BE"/>
        </w:rPr>
        <w:t xml:space="preserve"> 2012/29/UE du Parlement européen et du Conseil du 25 octobre 2012 établissant des normes minimales concernant les droits, le soutien et la protection des victimes de la criminalité.</w:t>
      </w:r>
    </w:p>
    <w:p w14:paraId="016C434C" w14:textId="11DE149F" w:rsidR="00A55EA2" w:rsidRPr="00A55EA2" w:rsidRDefault="00372729" w:rsidP="00A55EA2">
      <w:pPr>
        <w:keepNext/>
        <w:keepLines/>
        <w:spacing w:after="0" w:line="240" w:lineRule="auto"/>
        <w:jc w:val="both"/>
        <w:rPr>
          <w:rFonts w:ascii="Calibri" w:eastAsia="Calibri" w:hAnsi="Calibri" w:cs="Calibri"/>
          <w:sz w:val="20"/>
          <w:szCs w:val="20"/>
          <w:lang w:val="fr-BE"/>
        </w:rPr>
      </w:pPr>
      <w:r w:rsidRPr="00975B51">
        <w:rPr>
          <w:rFonts w:ascii="Calibri" w:eastAsia="Calibri" w:hAnsi="Calibri" w:cs="Calibri"/>
          <w:sz w:val="20"/>
          <w:szCs w:val="20"/>
          <w:vertAlign w:val="superscript"/>
          <w:lang w:val="en-US"/>
        </w:rPr>
        <w:lastRenderedPageBreak/>
        <w:t>33</w:t>
      </w:r>
      <w:r w:rsidR="00A55EA2" w:rsidRPr="00A55EA2">
        <w:rPr>
          <w:rFonts w:ascii="Calibri" w:eastAsia="Calibri" w:hAnsi="Calibri" w:cs="Calibri"/>
          <w:sz w:val="20"/>
          <w:szCs w:val="20"/>
          <w:lang w:val="en-US"/>
        </w:rPr>
        <w:t xml:space="preserve"> KEYGNAERT I. et al. (2021),  </w:t>
      </w:r>
      <w:hyperlink r:id="rId31" w:history="1">
        <w:r w:rsidR="00A55EA2" w:rsidRPr="00A55EA2">
          <w:rPr>
            <w:rFonts w:ascii="Calibri" w:eastAsia="Calibri" w:hAnsi="Calibri" w:cs="Calibri"/>
            <w:i/>
            <w:iCs/>
            <w:color w:val="0563C1"/>
            <w:sz w:val="20"/>
            <w:szCs w:val="20"/>
            <w:u w:val="single"/>
            <w:lang w:val="en-US"/>
          </w:rPr>
          <w:t>Understanding the Mechanisms, Nature, Magnitude and Impact of Sexual Violence in Belgium</w:t>
        </w:r>
        <w:r w:rsidR="00A55EA2" w:rsidRPr="00A55EA2">
          <w:rPr>
            <w:rFonts w:ascii="Calibri" w:eastAsia="Calibri" w:hAnsi="Calibri" w:cs="Calibri"/>
            <w:color w:val="0563C1"/>
            <w:sz w:val="20"/>
            <w:szCs w:val="20"/>
            <w:u w:val="single"/>
            <w:lang w:val="en-US"/>
          </w:rPr>
          <w:t xml:space="preserve">. </w:t>
        </w:r>
        <w:r w:rsidR="00A55EA2" w:rsidRPr="00A55EA2">
          <w:rPr>
            <w:rFonts w:ascii="Calibri" w:eastAsia="Calibri" w:hAnsi="Calibri" w:cs="Calibri"/>
            <w:i/>
            <w:iCs/>
            <w:color w:val="0563C1"/>
            <w:sz w:val="20"/>
            <w:szCs w:val="20"/>
            <w:u w:val="single"/>
            <w:lang w:val="fr-BE"/>
          </w:rPr>
          <w:t>Final Report</w:t>
        </w:r>
      </w:hyperlink>
      <w:r w:rsidR="00A55EA2" w:rsidRPr="00A55EA2">
        <w:rPr>
          <w:rFonts w:ascii="Calibri" w:eastAsia="Calibri" w:hAnsi="Calibri" w:cs="Calibri"/>
          <w:sz w:val="20"/>
          <w:szCs w:val="20"/>
          <w:lang w:val="fr-BE"/>
        </w:rPr>
        <w:t xml:space="preserve">, pp. 34-35.  </w:t>
      </w:r>
    </w:p>
    <w:p w14:paraId="315E7B0D" w14:textId="5A3CF586"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34</w:t>
      </w:r>
      <w:r w:rsidR="00A55EA2" w:rsidRPr="00A55EA2">
        <w:rPr>
          <w:rFonts w:ascii="Calibri" w:eastAsia="Calibri" w:hAnsi="Calibri" w:cs="Calibri"/>
          <w:sz w:val="20"/>
          <w:szCs w:val="20"/>
          <w:lang w:val="fr-BE"/>
        </w:rPr>
        <w:t xml:space="preserve"> Voir MYRIA (2020), </w:t>
      </w:r>
      <w:hyperlink r:id="rId32" w:anchor="Cahier%20%C2%AB%20Protection%20internationale%20%C2%BB" w:history="1">
        <w:r w:rsidR="00A55EA2" w:rsidRPr="00A55EA2">
          <w:rPr>
            <w:rFonts w:ascii="Calibri" w:eastAsia="Calibri" w:hAnsi="Calibri" w:cs="Calibri"/>
            <w:i/>
            <w:iCs/>
            <w:color w:val="0563C1"/>
            <w:sz w:val="20"/>
            <w:szCs w:val="20"/>
            <w:u w:val="single"/>
            <w:lang w:val="fr-BE"/>
          </w:rPr>
          <w:t>La migration en chiffres et en droits 2020. Cahier protection internationale</w:t>
        </w:r>
      </w:hyperlink>
      <w:r w:rsidR="00A55EA2" w:rsidRPr="00A55EA2">
        <w:rPr>
          <w:rFonts w:ascii="Calibri" w:eastAsia="Calibri" w:hAnsi="Calibri" w:cs="Calibri"/>
          <w:sz w:val="20"/>
          <w:szCs w:val="20"/>
          <w:lang w:val="fr-BE"/>
        </w:rPr>
        <w:t xml:space="preserve">, pp. 19-21. </w:t>
      </w:r>
    </w:p>
    <w:p w14:paraId="10A35D4C" w14:textId="1331E817"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35</w:t>
      </w:r>
      <w:r w:rsidR="00A55EA2" w:rsidRPr="00A55EA2">
        <w:rPr>
          <w:rFonts w:ascii="Calibri" w:eastAsia="Calibri" w:hAnsi="Calibri" w:cs="Calibri"/>
          <w:sz w:val="20"/>
          <w:szCs w:val="20"/>
          <w:lang w:val="fr-BE"/>
        </w:rPr>
        <w:t xml:space="preserve"> </w:t>
      </w:r>
      <w:r w:rsidR="00A55EA2" w:rsidRPr="00A55EA2">
        <w:rPr>
          <w:rFonts w:ascii="Calibri" w:eastAsia="Calibri" w:hAnsi="Calibri" w:cs="Calibri"/>
          <w:sz w:val="20"/>
          <w:szCs w:val="20"/>
          <w:lang w:val="fr-FR"/>
        </w:rPr>
        <w:t>Les rapports annuels de Myria sur la traite des êtres humains</w:t>
      </w:r>
      <w:r w:rsidR="00A55EA2" w:rsidRPr="00A55EA2">
        <w:rPr>
          <w:rFonts w:ascii="Calibri" w:eastAsia="Calibri" w:hAnsi="Calibri" w:cs="Calibri"/>
          <w:sz w:val="20"/>
          <w:szCs w:val="20"/>
          <w:vertAlign w:val="superscript"/>
          <w:lang w:val="fr-FR"/>
        </w:rPr>
        <w:t xml:space="preserve"> </w:t>
      </w:r>
      <w:r w:rsidR="00A55EA2" w:rsidRPr="00A55EA2">
        <w:rPr>
          <w:rFonts w:ascii="Calibri" w:eastAsia="Calibri" w:hAnsi="Calibri" w:cs="Calibri"/>
          <w:sz w:val="20"/>
          <w:szCs w:val="20"/>
          <w:lang w:val="fr-FR"/>
        </w:rPr>
        <w:t>reprennent les chiffres-clés qui lui sont transmis par les six acteurs susceptibles de jouer un rôle dans un dossier de traite.</w:t>
      </w:r>
      <w:r w:rsidR="00A55EA2" w:rsidRPr="00A55EA2">
        <w:rPr>
          <w:rFonts w:ascii="Calibri" w:eastAsia="Calibri" w:hAnsi="Calibri" w:cs="Calibri"/>
          <w:sz w:val="20"/>
          <w:szCs w:val="20"/>
          <w:lang w:val="fr-BE"/>
        </w:rPr>
        <w:t xml:space="preserve"> </w:t>
      </w:r>
      <w:proofErr w:type="spellStart"/>
      <w:r w:rsidR="00A55EA2" w:rsidRPr="00A55EA2">
        <w:rPr>
          <w:rFonts w:ascii="Calibri" w:eastAsia="Calibri" w:hAnsi="Calibri" w:cs="Calibri"/>
          <w:sz w:val="20"/>
          <w:szCs w:val="20"/>
          <w:lang w:val="fr-BE"/>
        </w:rPr>
        <w:t>Voy</w:t>
      </w:r>
      <w:proofErr w:type="spellEnd"/>
      <w:r w:rsidR="00A55EA2" w:rsidRPr="00A55EA2">
        <w:rPr>
          <w:rFonts w:ascii="Calibri" w:eastAsia="Calibri" w:hAnsi="Calibri" w:cs="Calibri"/>
          <w:sz w:val="20"/>
          <w:szCs w:val="20"/>
          <w:lang w:val="fr-BE"/>
        </w:rPr>
        <w:t xml:space="preserve">. à ce sujet notamment le rapport annuel traite et trafic des êtres humains de Myria 2018, </w:t>
      </w:r>
      <w:r w:rsidR="00A55EA2" w:rsidRPr="00A55EA2">
        <w:rPr>
          <w:rFonts w:ascii="Calibri" w:eastAsia="Calibri" w:hAnsi="Calibri" w:cs="Calibri"/>
          <w:i/>
          <w:iCs/>
          <w:sz w:val="20"/>
          <w:szCs w:val="20"/>
          <w:lang w:val="fr-BE"/>
        </w:rPr>
        <w:t>Mineurs en danger majeur</w:t>
      </w:r>
      <w:r w:rsidR="00A55EA2" w:rsidRPr="00A55EA2">
        <w:rPr>
          <w:rFonts w:ascii="Calibri" w:eastAsia="Calibri" w:hAnsi="Calibri" w:cs="Calibri"/>
          <w:sz w:val="20"/>
          <w:szCs w:val="20"/>
          <w:lang w:val="fr-BE"/>
        </w:rPr>
        <w:t>.</w:t>
      </w:r>
    </w:p>
    <w:p w14:paraId="663ED4BB" w14:textId="6F8796AB" w:rsidR="00A55EA2" w:rsidRPr="00A55EA2" w:rsidRDefault="00372729" w:rsidP="00A55EA2">
      <w:pPr>
        <w:keepNext/>
        <w:keepLines/>
        <w:spacing w:after="0" w:line="240" w:lineRule="auto"/>
        <w:jc w:val="both"/>
        <w:rPr>
          <w:rFonts w:ascii="Calibri" w:eastAsia="Calibri" w:hAnsi="Calibri" w:cs="Calibri"/>
          <w:color w:val="0070C0"/>
          <w:sz w:val="20"/>
          <w:szCs w:val="20"/>
          <w:lang w:val="fr-BE"/>
        </w:rPr>
      </w:pPr>
      <w:r>
        <w:rPr>
          <w:rFonts w:ascii="Calibri" w:eastAsia="Calibri" w:hAnsi="Calibri" w:cs="Calibri"/>
          <w:sz w:val="20"/>
          <w:szCs w:val="20"/>
          <w:vertAlign w:val="superscript"/>
          <w:lang w:val="fr-BE"/>
        </w:rPr>
        <w:t>36</w:t>
      </w:r>
      <w:r w:rsidR="00A55EA2" w:rsidRPr="00A55EA2">
        <w:rPr>
          <w:rFonts w:ascii="Calibri" w:eastAsia="Calibri" w:hAnsi="Calibri" w:cs="Calibri"/>
          <w:sz w:val="20"/>
          <w:szCs w:val="20"/>
          <w:lang w:val="fr-BE"/>
        </w:rPr>
        <w:t xml:space="preserve"> </w:t>
      </w:r>
      <w:r w:rsidR="00A55EA2" w:rsidRPr="00A55EA2">
        <w:rPr>
          <w:rFonts w:ascii="Calibri" w:eastAsia="Calibri" w:hAnsi="Calibri" w:cs="Arial"/>
          <w:sz w:val="20"/>
          <w:szCs w:val="20"/>
          <w:lang w:val="fr-BE"/>
        </w:rPr>
        <w:t xml:space="preserve">MYRIA (2018), </w:t>
      </w:r>
      <w:hyperlink r:id="rId33" w:history="1">
        <w:r w:rsidR="00A55EA2" w:rsidRPr="00A55EA2">
          <w:rPr>
            <w:rFonts w:ascii="Calibri" w:eastAsia="Calibri" w:hAnsi="Calibri" w:cs="Arial"/>
            <w:i/>
            <w:iCs/>
            <w:color w:val="0070C0"/>
            <w:sz w:val="20"/>
            <w:u w:val="single"/>
            <w:lang w:val="fr-BE"/>
          </w:rPr>
          <w:t>Rapport annuel traite et trafic des êtres humains 2018: Mineurs en danger majeur</w:t>
        </w:r>
      </w:hyperlink>
      <w:r w:rsidR="00A55EA2" w:rsidRPr="00A55EA2">
        <w:rPr>
          <w:rFonts w:ascii="Calibri" w:eastAsia="Calibri" w:hAnsi="Calibri" w:cs="Arial"/>
          <w:color w:val="0070C0"/>
          <w:sz w:val="20"/>
          <w:lang w:val="fr-BE"/>
        </w:rPr>
        <w:t>.</w:t>
      </w:r>
    </w:p>
    <w:p w14:paraId="13740143" w14:textId="553D2D9B"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37</w:t>
      </w:r>
      <w:r w:rsidR="00A55EA2" w:rsidRPr="00A55EA2">
        <w:rPr>
          <w:rFonts w:ascii="Calibri" w:eastAsia="Calibri" w:hAnsi="Calibri" w:cs="Calibri"/>
          <w:sz w:val="20"/>
          <w:szCs w:val="20"/>
          <w:lang w:val="fr-BE"/>
        </w:rPr>
        <w:t xml:space="preserve"> Loi du 21 mars 2022 modifiant le code pénal en ce qui concerne le droit pénal sexuel</w:t>
      </w:r>
      <w:r w:rsidR="00A55EA2" w:rsidRPr="00A55EA2">
        <w:rPr>
          <w:rFonts w:ascii="Calibri" w:eastAsia="Calibri" w:hAnsi="Calibri" w:cs="Calibri"/>
          <w:i/>
          <w:iCs/>
          <w:sz w:val="20"/>
          <w:szCs w:val="20"/>
          <w:lang w:val="fr-BE"/>
        </w:rPr>
        <w:t>, M.B</w:t>
      </w:r>
      <w:r w:rsidR="00A55EA2" w:rsidRPr="00A55EA2">
        <w:rPr>
          <w:rFonts w:ascii="Calibri" w:eastAsia="Calibri" w:hAnsi="Calibri" w:cs="Calibri"/>
          <w:sz w:val="20"/>
          <w:szCs w:val="20"/>
          <w:lang w:val="fr-BE"/>
        </w:rPr>
        <w:t>., 30 mars 2022.</w:t>
      </w:r>
    </w:p>
    <w:p w14:paraId="646111BF" w14:textId="7930058D"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38</w:t>
      </w:r>
      <w:r w:rsidR="00A55EA2" w:rsidRPr="00A55EA2">
        <w:rPr>
          <w:rFonts w:ascii="Calibri" w:eastAsia="Calibri" w:hAnsi="Calibri" w:cs="Calibri"/>
          <w:sz w:val="20"/>
          <w:szCs w:val="20"/>
          <w:lang w:val="fr-BE"/>
        </w:rPr>
        <w:t xml:space="preserve"> </w:t>
      </w:r>
      <w:proofErr w:type="spellStart"/>
      <w:r w:rsidR="00A55EA2" w:rsidRPr="00A55EA2">
        <w:rPr>
          <w:rFonts w:ascii="Calibri" w:eastAsia="Calibri" w:hAnsi="Calibri" w:cs="Calibri"/>
          <w:sz w:val="20"/>
          <w:szCs w:val="20"/>
          <w:lang w:val="fr-BE"/>
        </w:rPr>
        <w:t>Voy</w:t>
      </w:r>
      <w:proofErr w:type="spellEnd"/>
      <w:r w:rsidR="00A55EA2" w:rsidRPr="00A55EA2">
        <w:rPr>
          <w:rFonts w:ascii="Calibri" w:eastAsia="Calibri" w:hAnsi="Calibri" w:cs="Calibri"/>
          <w:sz w:val="20"/>
          <w:szCs w:val="20"/>
          <w:lang w:val="fr-BE"/>
        </w:rPr>
        <w:t xml:space="preserve">. à ce sujet MYRIA (2021), </w:t>
      </w:r>
      <w:hyperlink r:id="rId34" w:anchor=":~:text=Rapport%20annuel%20traite%20et%20trafic%20des%20%C3%AAtres%20humains%202021%20%3A%20Visiblement%20invisible,-23%20D%C3%A9cembre%202021&amp;text=Myria%2C%20le%20rapporteur%20national%20ind%C3%A9pendant,public%20d'%C3%A9valuation%20Visiblement%20invisible." w:history="1">
        <w:r w:rsidR="00A55EA2" w:rsidRPr="00A55EA2">
          <w:rPr>
            <w:rFonts w:ascii="Calibri" w:eastAsia="Calibri" w:hAnsi="Calibri" w:cs="Calibri"/>
            <w:i/>
            <w:iCs/>
            <w:color w:val="0563C1"/>
            <w:sz w:val="20"/>
            <w:szCs w:val="20"/>
            <w:u w:val="single"/>
            <w:lang w:val="fr-BE"/>
          </w:rPr>
          <w:t>Rapport annuel Traite et trafic des êtres humains 2021.</w:t>
        </w:r>
        <w:r w:rsidR="00A55EA2" w:rsidRPr="00A55EA2">
          <w:rPr>
            <w:rFonts w:ascii="Calibri" w:eastAsia="Calibri" w:hAnsi="Calibri" w:cs="Calibri"/>
            <w:color w:val="0563C1"/>
            <w:sz w:val="20"/>
            <w:szCs w:val="20"/>
            <w:u w:val="single"/>
            <w:lang w:val="fr-BE"/>
          </w:rPr>
          <w:t> </w:t>
        </w:r>
        <w:r w:rsidR="00A55EA2" w:rsidRPr="00A55EA2">
          <w:rPr>
            <w:rFonts w:ascii="Calibri" w:eastAsia="Calibri" w:hAnsi="Calibri" w:cs="Calibri"/>
            <w:i/>
            <w:iCs/>
            <w:color w:val="0563C1"/>
            <w:sz w:val="20"/>
            <w:szCs w:val="20"/>
            <w:u w:val="single"/>
            <w:lang w:val="fr-BE"/>
          </w:rPr>
          <w:t>Visiblement invisible</w:t>
        </w:r>
      </w:hyperlink>
      <w:r w:rsidR="00A55EA2" w:rsidRPr="00A55EA2">
        <w:rPr>
          <w:rFonts w:ascii="Calibri" w:eastAsia="Calibri" w:hAnsi="Calibri" w:cs="Calibri"/>
          <w:sz w:val="20"/>
          <w:szCs w:val="20"/>
          <w:lang w:val="fr-BE"/>
        </w:rPr>
        <w:t>.</w:t>
      </w:r>
    </w:p>
    <w:p w14:paraId="7AF2C53E" w14:textId="6A632163"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39</w:t>
      </w:r>
      <w:r w:rsidR="00A55EA2" w:rsidRPr="00A55EA2">
        <w:rPr>
          <w:rFonts w:ascii="Calibri" w:eastAsia="Calibri" w:hAnsi="Calibri" w:cs="Calibri"/>
          <w:sz w:val="20"/>
          <w:szCs w:val="20"/>
          <w:lang w:val="fr-BE"/>
        </w:rPr>
        <w:t xml:space="preserve"> SECRÉTAIRE D’ETAT À L’ASILE ET À LA MIGRATION,</w:t>
      </w:r>
      <w:hyperlink r:id="rId35" w:history="1">
        <w:r w:rsidR="00A55EA2" w:rsidRPr="00A55EA2">
          <w:rPr>
            <w:rFonts w:ascii="Calibri" w:eastAsia="Calibri" w:hAnsi="Calibri" w:cs="Calibri"/>
            <w:color w:val="0563C1"/>
            <w:sz w:val="20"/>
            <w:szCs w:val="20"/>
            <w:u w:val="single"/>
            <w:lang w:val="fr-BE"/>
          </w:rPr>
          <w:t xml:space="preserve"> </w:t>
        </w:r>
        <w:r w:rsidR="00A55EA2" w:rsidRPr="00A55EA2">
          <w:rPr>
            <w:rFonts w:ascii="Calibri" w:eastAsia="Calibri" w:hAnsi="Calibri" w:cs="Calibri"/>
            <w:i/>
            <w:iCs/>
            <w:color w:val="0563C1"/>
            <w:sz w:val="20"/>
            <w:szCs w:val="20"/>
            <w:u w:val="single"/>
            <w:lang w:val="fr-BE"/>
          </w:rPr>
          <w:t>Note de politique générale 2021-2022</w:t>
        </w:r>
      </w:hyperlink>
      <w:r w:rsidR="00A55EA2" w:rsidRPr="00A55EA2">
        <w:rPr>
          <w:rFonts w:ascii="Calibri" w:eastAsia="Calibri" w:hAnsi="Calibri" w:cs="Calibri"/>
          <w:color w:val="0563C1"/>
          <w:sz w:val="20"/>
          <w:szCs w:val="20"/>
          <w:u w:val="single"/>
          <w:lang w:val="fr-BE"/>
        </w:rPr>
        <w:t xml:space="preserve">, </w:t>
      </w:r>
      <w:r w:rsidR="00A55EA2" w:rsidRPr="00A55EA2">
        <w:rPr>
          <w:rFonts w:ascii="Calibri" w:eastAsia="Calibri" w:hAnsi="Calibri" w:cs="Calibri"/>
          <w:sz w:val="20"/>
          <w:szCs w:val="20"/>
          <w:lang w:val="fr-BE"/>
        </w:rPr>
        <w:t>ligne de force 9 : Activation et acquisition de compétences.</w:t>
      </w:r>
    </w:p>
    <w:p w14:paraId="4E85DB33" w14:textId="60136303"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40</w:t>
      </w:r>
      <w:r w:rsidR="00A55EA2" w:rsidRPr="00A55EA2">
        <w:rPr>
          <w:rFonts w:ascii="Calibri" w:eastAsia="Calibri" w:hAnsi="Calibri" w:cs="Calibri"/>
          <w:sz w:val="20"/>
          <w:szCs w:val="20"/>
          <w:lang w:val="fr-BE"/>
        </w:rPr>
        <w:t xml:space="preserve"> SECRÉTAIRE D’ETAT À L’ASILE ET À LA MIGRATION,</w:t>
      </w:r>
      <w:hyperlink r:id="rId36" w:history="1">
        <w:r w:rsidR="00A55EA2" w:rsidRPr="00A55EA2">
          <w:rPr>
            <w:rFonts w:ascii="Calibri" w:eastAsia="Calibri" w:hAnsi="Calibri" w:cs="Calibri"/>
            <w:color w:val="0563C1"/>
            <w:sz w:val="20"/>
            <w:szCs w:val="20"/>
            <w:u w:val="single"/>
            <w:lang w:val="fr-BE"/>
          </w:rPr>
          <w:t xml:space="preserve"> </w:t>
        </w:r>
        <w:r w:rsidR="00A55EA2" w:rsidRPr="00A55EA2">
          <w:rPr>
            <w:rFonts w:ascii="Calibri" w:eastAsia="Calibri" w:hAnsi="Calibri" w:cs="Calibri"/>
            <w:i/>
            <w:iCs/>
            <w:color w:val="0563C1"/>
            <w:sz w:val="20"/>
            <w:szCs w:val="20"/>
            <w:u w:val="single"/>
            <w:lang w:val="fr-BE"/>
          </w:rPr>
          <w:t>Note de politique générale 2021-2022</w:t>
        </w:r>
      </w:hyperlink>
      <w:r w:rsidR="00A55EA2" w:rsidRPr="00A55EA2">
        <w:rPr>
          <w:rFonts w:ascii="Calibri" w:eastAsia="Calibri" w:hAnsi="Calibri" w:cs="Calibri"/>
          <w:sz w:val="20"/>
          <w:szCs w:val="20"/>
          <w:lang w:val="fr-BE"/>
        </w:rPr>
        <w:t>, ligne de force 4.6 : Offrir une protection à ceux qui en ont besoin — Politique axée sur la dimension de genre.</w:t>
      </w:r>
    </w:p>
    <w:p w14:paraId="00372127" w14:textId="7346C290"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41</w:t>
      </w:r>
      <w:r w:rsidR="00A55EA2" w:rsidRPr="00A55EA2">
        <w:rPr>
          <w:rFonts w:ascii="Calibri" w:eastAsia="Calibri" w:hAnsi="Calibri" w:cs="Calibri"/>
          <w:sz w:val="20"/>
          <w:szCs w:val="20"/>
          <w:lang w:val="fr-BE"/>
        </w:rPr>
        <w:t xml:space="preserve"> L’OCDE estime que deux membres adultes de la famille de migrants sur trois sont des femme : OCDE (2017), </w:t>
      </w:r>
      <w:hyperlink r:id="rId37" w:history="1">
        <w:proofErr w:type="spellStart"/>
        <w:r w:rsidR="00A55EA2" w:rsidRPr="00A55EA2">
          <w:rPr>
            <w:rFonts w:ascii="Calibri" w:eastAsia="Calibri" w:hAnsi="Calibri" w:cs="Calibri"/>
            <w:i/>
            <w:iCs/>
            <w:color w:val="0563C1"/>
            <w:sz w:val="20"/>
            <w:szCs w:val="20"/>
            <w:u w:val="single"/>
            <w:lang w:val="fr-BE"/>
          </w:rPr>
          <w:t>Making</w:t>
        </w:r>
        <w:proofErr w:type="spellEnd"/>
        <w:r w:rsidR="00A55EA2" w:rsidRPr="00A55EA2">
          <w:rPr>
            <w:rFonts w:ascii="Calibri" w:eastAsia="Calibri" w:hAnsi="Calibri" w:cs="Calibri"/>
            <w:i/>
            <w:iCs/>
            <w:color w:val="0563C1"/>
            <w:sz w:val="20"/>
            <w:szCs w:val="20"/>
            <w:u w:val="single"/>
            <w:lang w:val="fr-BE"/>
          </w:rPr>
          <w:t xml:space="preserve"> </w:t>
        </w:r>
        <w:proofErr w:type="spellStart"/>
        <w:r w:rsidR="00A55EA2" w:rsidRPr="00A55EA2">
          <w:rPr>
            <w:rFonts w:ascii="Calibri" w:eastAsia="Calibri" w:hAnsi="Calibri" w:cs="Calibri"/>
            <w:i/>
            <w:iCs/>
            <w:color w:val="0563C1"/>
            <w:sz w:val="20"/>
            <w:szCs w:val="20"/>
            <w:u w:val="single"/>
            <w:lang w:val="fr-BE"/>
          </w:rPr>
          <w:t>integration</w:t>
        </w:r>
        <w:proofErr w:type="spellEnd"/>
        <w:r w:rsidR="00A55EA2" w:rsidRPr="00A55EA2">
          <w:rPr>
            <w:rFonts w:ascii="Calibri" w:eastAsia="Calibri" w:hAnsi="Calibri" w:cs="Calibri"/>
            <w:i/>
            <w:iCs/>
            <w:color w:val="0563C1"/>
            <w:sz w:val="20"/>
            <w:szCs w:val="20"/>
            <w:u w:val="single"/>
            <w:lang w:val="fr-BE"/>
          </w:rPr>
          <w:t xml:space="preserve"> </w:t>
        </w:r>
        <w:proofErr w:type="spellStart"/>
        <w:r w:rsidR="00A55EA2" w:rsidRPr="00A55EA2">
          <w:rPr>
            <w:rFonts w:ascii="Calibri" w:eastAsia="Calibri" w:hAnsi="Calibri" w:cs="Calibri"/>
            <w:i/>
            <w:iCs/>
            <w:color w:val="0563C1"/>
            <w:sz w:val="20"/>
            <w:szCs w:val="20"/>
            <w:u w:val="single"/>
            <w:lang w:val="fr-BE"/>
          </w:rPr>
          <w:t>work</w:t>
        </w:r>
        <w:proofErr w:type="spellEnd"/>
        <w:r w:rsidR="00A55EA2" w:rsidRPr="00A55EA2">
          <w:rPr>
            <w:rFonts w:ascii="Calibri" w:eastAsia="Calibri" w:hAnsi="Calibri" w:cs="Calibri"/>
            <w:i/>
            <w:iCs/>
            <w:color w:val="0563C1"/>
            <w:sz w:val="20"/>
            <w:szCs w:val="20"/>
            <w:u w:val="single"/>
            <w:lang w:val="fr-BE"/>
          </w:rPr>
          <w:t>:</w:t>
        </w:r>
      </w:hyperlink>
      <w:hyperlink r:id="rId38" w:history="1">
        <w:r w:rsidR="00A55EA2" w:rsidRPr="00A55EA2">
          <w:rPr>
            <w:rFonts w:ascii="Calibri" w:eastAsia="Calibri" w:hAnsi="Calibri" w:cs="Calibri"/>
            <w:i/>
            <w:iCs/>
            <w:color w:val="0563C1"/>
            <w:sz w:val="20"/>
            <w:szCs w:val="20"/>
            <w:u w:val="single"/>
            <w:lang w:val="fr-BE"/>
          </w:rPr>
          <w:t xml:space="preserve"> Family Migrants</w:t>
        </w:r>
      </w:hyperlink>
      <w:r w:rsidR="00A55EA2" w:rsidRPr="00A55EA2">
        <w:rPr>
          <w:rFonts w:ascii="Calibri" w:eastAsia="Calibri" w:hAnsi="Calibri" w:cs="Calibri"/>
          <w:sz w:val="20"/>
          <w:szCs w:val="20"/>
          <w:lang w:val="fr-BE"/>
        </w:rPr>
        <w:t>, p. 10. En Belgique, les données provenant de la base de données administrative du SPF Affaires étrangères relatives au regroupement familial au sens de l’article 10</w:t>
      </w:r>
      <w:r w:rsidR="00A55EA2" w:rsidRPr="00A55EA2">
        <w:rPr>
          <w:rFonts w:ascii="Calibri" w:eastAsia="Calibri" w:hAnsi="Calibri" w:cs="Calibri"/>
          <w:i/>
          <w:iCs/>
          <w:sz w:val="20"/>
          <w:szCs w:val="20"/>
          <w:lang w:val="fr-BE"/>
        </w:rPr>
        <w:t>bis</w:t>
      </w:r>
      <w:r w:rsidR="00A55EA2" w:rsidRPr="00A55EA2">
        <w:rPr>
          <w:rFonts w:ascii="Calibri" w:eastAsia="Calibri" w:hAnsi="Calibri" w:cs="Calibri"/>
          <w:sz w:val="20"/>
          <w:szCs w:val="20"/>
          <w:lang w:val="fr-BE"/>
        </w:rPr>
        <w:t xml:space="preserve"> §1 avec un étudiant d’un pays tiers illustrait que plus de 60% (2017 -62%, 2018-33%, 2019-68% , 2020-67%, 2021-64%) étaient des femmes.</w:t>
      </w:r>
    </w:p>
    <w:p w14:paraId="5DFF7EAD" w14:textId="0483C299"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42</w:t>
      </w:r>
      <w:r w:rsidR="00A55EA2" w:rsidRPr="00A55EA2">
        <w:rPr>
          <w:rFonts w:ascii="Calibri" w:eastAsia="Calibri" w:hAnsi="Calibri" w:cs="Calibri"/>
          <w:sz w:val="20"/>
          <w:szCs w:val="20"/>
          <w:lang w:val="fr-BE"/>
        </w:rPr>
        <w:t xml:space="preserve"> Résultats de l’enquête « </w:t>
      </w:r>
      <w:proofErr w:type="spellStart"/>
      <w:r w:rsidR="00A55EA2" w:rsidRPr="00A55EA2">
        <w:rPr>
          <w:rFonts w:ascii="Calibri" w:eastAsia="Calibri" w:hAnsi="Calibri" w:cs="Calibri"/>
          <w:sz w:val="20"/>
          <w:szCs w:val="20"/>
          <w:lang w:val="fr-BE"/>
        </w:rPr>
        <w:t>Etre</w:t>
      </w:r>
      <w:proofErr w:type="spellEnd"/>
      <w:r w:rsidR="00A55EA2" w:rsidRPr="00A55EA2">
        <w:rPr>
          <w:rFonts w:ascii="Calibri" w:eastAsia="Calibri" w:hAnsi="Calibri" w:cs="Calibri"/>
          <w:sz w:val="20"/>
          <w:szCs w:val="20"/>
          <w:lang w:val="fr-BE"/>
        </w:rPr>
        <w:t xml:space="preserve"> </w:t>
      </w:r>
      <w:proofErr w:type="spellStart"/>
      <w:r w:rsidR="00A55EA2" w:rsidRPr="00A55EA2">
        <w:rPr>
          <w:rFonts w:ascii="Calibri" w:eastAsia="Calibri" w:hAnsi="Calibri" w:cs="Calibri"/>
          <w:sz w:val="20"/>
          <w:szCs w:val="20"/>
          <w:lang w:val="fr-BE"/>
        </w:rPr>
        <w:t>aidant-es</w:t>
      </w:r>
      <w:proofErr w:type="spellEnd"/>
      <w:r w:rsidR="00A55EA2" w:rsidRPr="00A55EA2">
        <w:rPr>
          <w:rFonts w:ascii="Calibri" w:eastAsia="Calibri" w:hAnsi="Calibri" w:cs="Calibri"/>
          <w:sz w:val="20"/>
          <w:szCs w:val="20"/>
          <w:lang w:val="fr-BE"/>
        </w:rPr>
        <w:t xml:space="preserve"> proche et </w:t>
      </w:r>
      <w:proofErr w:type="spellStart"/>
      <w:r w:rsidR="00A55EA2" w:rsidRPr="00A55EA2">
        <w:rPr>
          <w:rFonts w:ascii="Calibri" w:eastAsia="Calibri" w:hAnsi="Calibri" w:cs="Calibri"/>
          <w:sz w:val="20"/>
          <w:szCs w:val="20"/>
          <w:lang w:val="fr-BE"/>
        </w:rPr>
        <w:t>monoparental-e</w:t>
      </w:r>
      <w:proofErr w:type="spellEnd"/>
      <w:r w:rsidR="00A55EA2" w:rsidRPr="00A55EA2">
        <w:rPr>
          <w:rFonts w:ascii="Calibri" w:eastAsia="Calibri" w:hAnsi="Calibri" w:cs="Calibri"/>
          <w:sz w:val="20"/>
          <w:szCs w:val="20"/>
          <w:lang w:val="fr-BE"/>
        </w:rPr>
        <w:t> », mené par “La Ligue des Familles” (ASBL pluraliste) entre le 16 février et le 6 mars 2015.</w:t>
      </w:r>
    </w:p>
    <w:p w14:paraId="2DABA4D1" w14:textId="6FC25D81"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43</w:t>
      </w:r>
      <w:r w:rsidR="00A55EA2" w:rsidRPr="00A55EA2">
        <w:rPr>
          <w:rFonts w:ascii="Calibri" w:eastAsia="Calibri" w:hAnsi="Calibri" w:cs="Calibri"/>
          <w:sz w:val="20"/>
          <w:szCs w:val="20"/>
          <w:lang w:val="fr-BE"/>
        </w:rPr>
        <w:t xml:space="preserve"> Loi du 12 mai 2014 relative à la reconnaissance des aidants proches, entrée en vigueur le 1er septembre 2020</w:t>
      </w:r>
    </w:p>
    <w:p w14:paraId="2CDEB25B" w14:textId="4EF6BA57" w:rsidR="00A55EA2" w:rsidRPr="00A55EA2" w:rsidRDefault="00372729" w:rsidP="00A55EA2">
      <w:pPr>
        <w:keepNext/>
        <w:keepLines/>
        <w:spacing w:after="0" w:line="240" w:lineRule="auto"/>
        <w:jc w:val="both"/>
        <w:rPr>
          <w:rFonts w:ascii="Calibri" w:eastAsia="Calibri" w:hAnsi="Calibri" w:cs="Calibri"/>
          <w:i/>
          <w:iCs/>
          <w:color w:val="0563C1"/>
          <w:sz w:val="20"/>
          <w:szCs w:val="20"/>
          <w:u w:val="single"/>
          <w:lang w:val="fr-BE"/>
        </w:rPr>
      </w:pPr>
      <w:r>
        <w:rPr>
          <w:rFonts w:ascii="Calibri" w:eastAsia="Calibri" w:hAnsi="Calibri" w:cs="Calibri"/>
          <w:sz w:val="20"/>
          <w:szCs w:val="20"/>
          <w:vertAlign w:val="superscript"/>
          <w:lang w:val="fr-BE"/>
        </w:rPr>
        <w:t>44</w:t>
      </w:r>
      <w:r w:rsidR="00A55EA2" w:rsidRPr="00A55EA2">
        <w:rPr>
          <w:rFonts w:ascii="Calibri" w:eastAsia="Calibri" w:hAnsi="Calibri" w:cs="Calibri"/>
          <w:sz w:val="20"/>
          <w:szCs w:val="20"/>
          <w:lang w:val="fr-BE"/>
        </w:rPr>
        <w:t xml:space="preserve"> ASBL AIDANTS PROCHES ET AIDANTS PROCHES BRUXELLES (2019), </w:t>
      </w:r>
      <w:r w:rsidR="00A55EA2" w:rsidRPr="00A55EA2">
        <w:rPr>
          <w:rFonts w:ascii="Calibri" w:eastAsia="Calibri" w:hAnsi="Calibri" w:cs="Calibri"/>
          <w:i/>
          <w:iCs/>
          <w:sz w:val="20"/>
          <w:szCs w:val="20"/>
          <w:lang w:val="fr-BE"/>
        </w:rPr>
        <w:fldChar w:fldCharType="begin"/>
      </w:r>
      <w:r w:rsidR="00A55EA2" w:rsidRPr="00A55EA2">
        <w:rPr>
          <w:rFonts w:ascii="Calibri" w:eastAsia="Calibri" w:hAnsi="Calibri" w:cs="Calibri"/>
          <w:i/>
          <w:iCs/>
          <w:sz w:val="20"/>
          <w:szCs w:val="20"/>
          <w:lang w:val="fr-BE"/>
        </w:rPr>
        <w:instrText xml:space="preserve"> HYPERLINK "https://wallonie.aidants-proches.be/wp-content/uploads/2019/04/04-01-19-memorandum-final-1.pdf" </w:instrText>
      </w:r>
      <w:r w:rsidR="00A55EA2" w:rsidRPr="00A55EA2">
        <w:rPr>
          <w:rFonts w:ascii="Calibri" w:eastAsia="Calibri" w:hAnsi="Calibri" w:cs="Calibri"/>
          <w:i/>
          <w:iCs/>
          <w:sz w:val="20"/>
          <w:szCs w:val="20"/>
          <w:lang w:val="fr-BE"/>
        </w:rPr>
        <w:fldChar w:fldCharType="separate"/>
      </w:r>
      <w:r w:rsidR="00A55EA2" w:rsidRPr="00A55EA2">
        <w:rPr>
          <w:rFonts w:ascii="Calibri" w:eastAsia="Calibri" w:hAnsi="Calibri" w:cs="Calibri"/>
          <w:i/>
          <w:iCs/>
          <w:color w:val="0563C1"/>
          <w:sz w:val="20"/>
          <w:szCs w:val="20"/>
          <w:u w:val="single"/>
          <w:lang w:val="fr-BE"/>
        </w:rPr>
        <w:t xml:space="preserve">10 actions pour la reconnaissance et le </w:t>
      </w:r>
    </w:p>
    <w:p w14:paraId="766D0B05" w14:textId="77777777" w:rsidR="00A55EA2" w:rsidRPr="00A55EA2" w:rsidRDefault="00A55EA2" w:rsidP="00A55EA2">
      <w:pPr>
        <w:keepNext/>
        <w:keepLines/>
        <w:spacing w:after="0" w:line="240" w:lineRule="auto"/>
        <w:jc w:val="both"/>
        <w:rPr>
          <w:rFonts w:ascii="Calibri" w:eastAsia="Calibri" w:hAnsi="Calibri" w:cs="Calibri"/>
          <w:sz w:val="20"/>
          <w:szCs w:val="20"/>
          <w:lang w:val="fr-BE"/>
        </w:rPr>
      </w:pPr>
      <w:r w:rsidRPr="00A55EA2">
        <w:rPr>
          <w:rFonts w:ascii="Calibri" w:eastAsia="Calibri" w:hAnsi="Calibri" w:cs="Calibri"/>
          <w:i/>
          <w:iCs/>
          <w:color w:val="0563C1"/>
          <w:sz w:val="20"/>
          <w:szCs w:val="20"/>
          <w:u w:val="single"/>
          <w:lang w:val="fr-BE"/>
        </w:rPr>
        <w:t>soutien des aidants proches</w:t>
      </w:r>
      <w:r w:rsidRPr="00A55EA2">
        <w:rPr>
          <w:rFonts w:ascii="Calibri" w:eastAsia="Calibri" w:hAnsi="Calibri" w:cs="Calibri"/>
          <w:i/>
          <w:iCs/>
          <w:sz w:val="20"/>
          <w:szCs w:val="20"/>
          <w:lang w:val="fr-BE"/>
        </w:rPr>
        <w:fldChar w:fldCharType="end"/>
      </w:r>
      <w:r w:rsidRPr="00A55EA2">
        <w:rPr>
          <w:rFonts w:ascii="Calibri" w:eastAsia="Calibri" w:hAnsi="Calibri" w:cs="Calibri"/>
          <w:sz w:val="20"/>
          <w:szCs w:val="20"/>
          <w:lang w:val="fr-BE"/>
        </w:rPr>
        <w:t xml:space="preserve">.  </w:t>
      </w:r>
    </w:p>
    <w:p w14:paraId="504CC756" w14:textId="7550929A"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45</w:t>
      </w:r>
      <w:r w:rsidR="00A55EA2" w:rsidRPr="00A55EA2">
        <w:rPr>
          <w:rFonts w:ascii="Calibri" w:eastAsia="Calibri" w:hAnsi="Calibri" w:cs="Calibri"/>
          <w:sz w:val="20"/>
          <w:szCs w:val="20"/>
          <w:lang w:val="fr-BE"/>
        </w:rPr>
        <w:t xml:space="preserve"> UNIA (2020), </w:t>
      </w:r>
      <w:hyperlink r:id="rId39" w:history="1">
        <w:r w:rsidR="00A55EA2" w:rsidRPr="00A55EA2">
          <w:rPr>
            <w:rFonts w:ascii="Calibri" w:eastAsia="Calibri" w:hAnsi="Calibri" w:cs="Calibri"/>
            <w:i/>
            <w:iCs/>
            <w:color w:val="0563C1"/>
            <w:sz w:val="20"/>
            <w:szCs w:val="20"/>
            <w:u w:val="single"/>
            <w:lang w:val="fr-BE"/>
          </w:rPr>
          <w:t>COVID et droits humains : impact sur les personnes handicapées et leurs proches</w:t>
        </w:r>
      </w:hyperlink>
      <w:r w:rsidR="00A55EA2" w:rsidRPr="00A55EA2">
        <w:rPr>
          <w:rFonts w:ascii="Calibri" w:eastAsia="Calibri" w:hAnsi="Calibri" w:cs="Calibri"/>
          <w:sz w:val="20"/>
          <w:szCs w:val="20"/>
          <w:lang w:val="fr-BE"/>
        </w:rPr>
        <w:t xml:space="preserve">. </w:t>
      </w:r>
    </w:p>
    <w:p w14:paraId="2C880649" w14:textId="58D95B7C"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46</w:t>
      </w:r>
      <w:r w:rsidR="00A55EA2" w:rsidRPr="00A55EA2">
        <w:rPr>
          <w:rFonts w:ascii="Calibri" w:eastAsia="Calibri" w:hAnsi="Calibri" w:cs="Calibri"/>
          <w:sz w:val="20"/>
          <w:szCs w:val="20"/>
          <w:lang w:val="fr-BE"/>
        </w:rPr>
        <w:t xml:space="preserve"> Cette recommandation a également été formulée par la Commission d’évaluation des lois fédérales : COMMISSION D’ÉVALUATION DES LOIS FÉDÉRALES TENDANT À LUTTER CONTRE LA DISCRIMINATION (2022), </w:t>
      </w:r>
      <w:hyperlink r:id="rId40" w:history="1">
        <w:r w:rsidR="00A55EA2" w:rsidRPr="00A55EA2">
          <w:rPr>
            <w:rFonts w:ascii="Calibri" w:eastAsia="Calibri" w:hAnsi="Calibri" w:cs="Calibri"/>
            <w:i/>
            <w:iCs/>
            <w:color w:val="0563C1"/>
            <w:sz w:val="20"/>
            <w:szCs w:val="20"/>
            <w:u w:val="single"/>
            <w:lang w:val="fr-BE"/>
          </w:rPr>
          <w:t>Rapport final - Combattre la discrimination, les discours de haine et les crimes de haine : une responsabilité partagée</w:t>
        </w:r>
      </w:hyperlink>
      <w:r w:rsidR="00A55EA2" w:rsidRPr="00A55EA2">
        <w:rPr>
          <w:rFonts w:ascii="Calibri" w:eastAsia="Calibri" w:hAnsi="Calibri" w:cs="Calibri"/>
          <w:sz w:val="20"/>
          <w:szCs w:val="20"/>
          <w:lang w:val="fr-BE"/>
        </w:rPr>
        <w:t xml:space="preserve">, p. 85. </w:t>
      </w:r>
    </w:p>
    <w:p w14:paraId="7965E267" w14:textId="30872753"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47</w:t>
      </w:r>
      <w:r w:rsidR="00A55EA2" w:rsidRPr="00A55EA2">
        <w:rPr>
          <w:rFonts w:ascii="Calibri" w:eastAsia="Calibri" w:hAnsi="Calibri" w:cs="Calibri"/>
          <w:sz w:val="20"/>
          <w:szCs w:val="20"/>
          <w:lang w:val="fr-BE"/>
        </w:rPr>
        <w:t xml:space="preserve"> art. 497/2, 15° Code Civil. </w:t>
      </w:r>
    </w:p>
    <w:p w14:paraId="54AB78FC" w14:textId="0D8BAE59"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48</w:t>
      </w:r>
      <w:r w:rsidR="00A55EA2" w:rsidRPr="00A55EA2">
        <w:rPr>
          <w:rFonts w:ascii="Calibri" w:eastAsia="Calibri" w:hAnsi="Calibri" w:cs="Calibri"/>
          <w:sz w:val="20"/>
          <w:szCs w:val="20"/>
          <w:lang w:val="fr-BE"/>
        </w:rPr>
        <w:t xml:space="preserve"> En 2020, il y a eu plusieurs décisions judiciaires relatives au port du foulard dans différents domaines (emploi, enseignement, loisirs). Cette jurisprudence va dans différentes directions et ne permet donc pas encore de clarifier les choses, même si quelques décisions de principe sont tombées. UNIA (2021), </w:t>
      </w:r>
      <w:hyperlink r:id="rId41" w:history="1">
        <w:r w:rsidR="00A55EA2" w:rsidRPr="00A55EA2">
          <w:rPr>
            <w:rFonts w:ascii="Calibri" w:eastAsia="Calibri" w:hAnsi="Calibri" w:cs="Calibri"/>
            <w:i/>
            <w:iCs/>
            <w:color w:val="0563C1"/>
            <w:sz w:val="20"/>
            <w:szCs w:val="20"/>
            <w:u w:val="single"/>
            <w:lang w:val="fr-BE"/>
          </w:rPr>
          <w:t>Rapport annuel 2020 : vulnérabilité des droits humains en temps de crise</w:t>
        </w:r>
      </w:hyperlink>
      <w:r w:rsidR="00A55EA2" w:rsidRPr="00A55EA2">
        <w:rPr>
          <w:rFonts w:ascii="Calibri" w:eastAsia="Calibri" w:hAnsi="Calibri" w:cs="Calibri"/>
          <w:sz w:val="20"/>
          <w:szCs w:val="20"/>
          <w:lang w:val="fr-BE"/>
        </w:rPr>
        <w:t>, pp. 40 - 44.</w:t>
      </w:r>
    </w:p>
    <w:p w14:paraId="514D4738" w14:textId="74B9AC96"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49</w:t>
      </w:r>
      <w:r w:rsidR="00A55EA2" w:rsidRPr="00A55EA2">
        <w:rPr>
          <w:rFonts w:ascii="Calibri" w:eastAsia="Calibri" w:hAnsi="Calibri" w:cs="Calibri"/>
          <w:sz w:val="20"/>
          <w:szCs w:val="20"/>
          <w:lang w:val="fr-BE"/>
        </w:rPr>
        <w:t xml:space="preserve"> Une circulaire de 2009 (Circulaire du 29 mai 2009 relative à l’identification d’étrangers en séjour irrégulier, </w:t>
      </w:r>
      <w:r w:rsidR="00A55EA2" w:rsidRPr="00A55EA2">
        <w:rPr>
          <w:rFonts w:ascii="Calibri" w:eastAsia="Calibri-Italic" w:hAnsi="Calibri" w:cs="Calibri"/>
          <w:i/>
          <w:sz w:val="20"/>
          <w:szCs w:val="20"/>
          <w:lang w:val="fr-BE"/>
        </w:rPr>
        <w:t>M.B.</w:t>
      </w:r>
      <w:r w:rsidR="00A55EA2" w:rsidRPr="00A55EA2">
        <w:rPr>
          <w:rFonts w:ascii="Calibri" w:eastAsia="Calibri" w:hAnsi="Calibri" w:cs="Calibri"/>
          <w:sz w:val="20"/>
          <w:szCs w:val="20"/>
          <w:lang w:val="fr-BE"/>
        </w:rPr>
        <w:t xml:space="preserve">, 15 juillet 2009) qui énonce que pour les femmes enceintes, un éloignement forcé ne peut plus être réalisé à partir de 28 semaines de grossesse ; la loi accueil  de 2007 (Article 7 §2, 2° de la loi accueil) qui prévoit une prolongation de l’aide matérielle à la femme enceinte au plus tôt à 7 mois de grossesse jusqu’au plus tard la fin du 2ème mois suivant l’accouchement ; et l’arrêté royal de 2002 sur le fonctionnement des centres fermés qui comporte un chapitre intitule «Naissance» (Voir les article 122 et 123 de l’AR du 2 août 2002 fixant le régime et les règles de fonctionnement applicables aux lieux situés sur le territoire belge, gérés par l'Office des étrangers, où un étranger est détenu, mis à la disposition du Gouvernement ou maintenu). </w:t>
      </w:r>
      <w:r w:rsidR="00A55EA2" w:rsidRPr="00A55EA2">
        <w:rPr>
          <w:rFonts w:ascii="Calibri" w:eastAsia="Calibri" w:hAnsi="Calibri" w:cs="Calibri"/>
          <w:sz w:val="20"/>
          <w:szCs w:val="20"/>
          <w:lang w:val="fr-BE" w:eastAsia="fr-BE"/>
        </w:rPr>
        <w:t>Le rapport de la Commission Vermeersch sur la politique de retour (</w:t>
      </w:r>
      <w:r w:rsidR="00A55EA2" w:rsidRPr="00A55EA2">
        <w:rPr>
          <w:rFonts w:ascii="Calibri" w:eastAsia="Calibri" w:hAnsi="Calibri" w:cs="Calibri"/>
          <w:sz w:val="20"/>
          <w:szCs w:val="20"/>
          <w:lang w:val="fr-BE"/>
        </w:rPr>
        <w:t>Commission chargée de l’évaluation des instructions en matière d’éloignement, Rapport final présenté au Ministre de l’Intérieur, 31 janvier 2005, p.79)</w:t>
      </w:r>
      <w:r w:rsidR="00A55EA2" w:rsidRPr="00A55EA2">
        <w:rPr>
          <w:rFonts w:ascii="Calibri" w:eastAsia="Calibri" w:hAnsi="Calibri" w:cs="Calibri"/>
          <w:sz w:val="20"/>
          <w:szCs w:val="20"/>
          <w:lang w:val="fr-BE" w:eastAsia="fr-BE"/>
        </w:rPr>
        <w:t>, qui n’a aucune valeur contraignante, a estimé possible un éloignement jusqu’à la 24ème semaine, même si la personne s’y oppose. Au-delà, l’éloignement ne peut avoir lieu que s’il n’y a pas d’opposition de la part de l’intéressée. En toute hypothèse, il estime qu’il ne pourra plus avoir lieu après 36 semaines. Une note interne de l’Office des étrangers estime un éloignement forcé possible jusqu’à 24 semaines et un éloignement consenti jusque 34 semaines (</w:t>
      </w:r>
      <w:r w:rsidR="00A55EA2" w:rsidRPr="00A55EA2">
        <w:rPr>
          <w:rFonts w:ascii="Calibri" w:eastAsia="Calibri" w:hAnsi="Calibri" w:cs="Calibri"/>
          <w:sz w:val="20"/>
          <w:szCs w:val="20"/>
          <w:lang w:val="fr-BE"/>
        </w:rPr>
        <w:t>OE, Note de service interne du 21 mars 2008)</w:t>
      </w:r>
      <w:r w:rsidR="00A55EA2" w:rsidRPr="00A55EA2">
        <w:rPr>
          <w:rFonts w:ascii="Calibri" w:eastAsia="Calibri" w:hAnsi="Calibri" w:cs="Calibri"/>
          <w:sz w:val="20"/>
          <w:szCs w:val="20"/>
          <w:lang w:val="fr-BE" w:eastAsia="fr-BE"/>
        </w:rPr>
        <w:t>.</w:t>
      </w:r>
    </w:p>
    <w:p w14:paraId="1CB209DC" w14:textId="74F48B86"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50</w:t>
      </w:r>
      <w:r w:rsidR="00A55EA2" w:rsidRPr="00A55EA2">
        <w:rPr>
          <w:rFonts w:ascii="Calibri" w:eastAsia="Calibri" w:hAnsi="Calibri" w:cs="Calibri"/>
          <w:sz w:val="20"/>
          <w:szCs w:val="20"/>
          <w:lang w:val="fr-BE"/>
        </w:rPr>
        <w:t xml:space="preserve"> Sur base de la notion d’impossibilité médicale de retour développée par l’ arrêt du 30 juin 1999 de la Cour constitutionnelle, n° 80/99.</w:t>
      </w:r>
    </w:p>
    <w:p w14:paraId="75310094" w14:textId="2226EC96"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51</w:t>
      </w:r>
      <w:r w:rsidR="00A55EA2" w:rsidRPr="00A55EA2">
        <w:rPr>
          <w:rFonts w:ascii="Calibri" w:eastAsia="Calibri" w:hAnsi="Calibri" w:cs="Calibri"/>
          <w:sz w:val="20"/>
          <w:szCs w:val="20"/>
          <w:lang w:val="fr-BE"/>
        </w:rPr>
        <w:t xml:space="preserve"> Sur la base des rapports annuels de chaque centre fermé, on observe que plusieurs femmes enceintes sont détenues chaque   année. Elles étaient 59 en 2017. On remarque également que, dans certains cas, l’éloignement a lieu au cours du troisième trimestre  de grossesse, c’est-à-dire après la 31ème semaine. D’après les explications reçues par l’OE, il s’agissait de personnes refoulées à la  frontière et ayant consenti à leur éloignement.</w:t>
      </w:r>
    </w:p>
    <w:p w14:paraId="73F02ECA" w14:textId="7BC34A98"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52</w:t>
      </w:r>
      <w:r w:rsidR="00A55EA2" w:rsidRPr="00A55EA2">
        <w:rPr>
          <w:rFonts w:ascii="Calibri" w:eastAsia="Calibri" w:hAnsi="Calibri" w:cs="Calibri"/>
          <w:sz w:val="20"/>
          <w:szCs w:val="20"/>
          <w:lang w:val="fr-BE"/>
        </w:rPr>
        <w:t xml:space="preserve"> Pour plus d’informations, voir Myria, </w:t>
      </w:r>
      <w:proofErr w:type="spellStart"/>
      <w:r w:rsidR="00A55EA2" w:rsidRPr="00A55EA2">
        <w:rPr>
          <w:rFonts w:ascii="Calibri" w:eastAsia="Calibri" w:hAnsi="Calibri" w:cs="Calibri"/>
          <w:i/>
          <w:iCs/>
          <w:sz w:val="20"/>
          <w:szCs w:val="20"/>
          <w:lang w:val="fr-BE"/>
        </w:rPr>
        <w:t>MyriaDoc</w:t>
      </w:r>
      <w:proofErr w:type="spellEnd"/>
      <w:r w:rsidR="00A55EA2" w:rsidRPr="00A55EA2">
        <w:rPr>
          <w:rFonts w:ascii="Calibri" w:eastAsia="Calibri" w:hAnsi="Calibri" w:cs="Calibri"/>
          <w:i/>
          <w:iCs/>
          <w:sz w:val="20"/>
          <w:szCs w:val="20"/>
          <w:lang w:val="fr-BE"/>
        </w:rPr>
        <w:t xml:space="preserve"> #8 Retour, détention et éloignement des étrangers en Belgique 2018</w:t>
      </w:r>
      <w:r w:rsidR="00A55EA2" w:rsidRPr="00A55EA2">
        <w:rPr>
          <w:rFonts w:ascii="Calibri" w:eastAsia="Calibri" w:hAnsi="Calibri" w:cs="Calibri"/>
          <w:sz w:val="20"/>
          <w:szCs w:val="20"/>
          <w:lang w:val="fr-BE"/>
        </w:rPr>
        <w:t xml:space="preserve">, pp. 45-48, </w:t>
      </w:r>
      <w:hyperlink r:id="rId42" w:history="1">
        <w:r w:rsidR="00A55EA2" w:rsidRPr="00A55EA2">
          <w:rPr>
            <w:rFonts w:ascii="Calibri" w:eastAsia="Calibri" w:hAnsi="Calibri" w:cs="Calibri"/>
            <w:color w:val="0563C1"/>
            <w:sz w:val="20"/>
            <w:szCs w:val="20"/>
            <w:u w:val="single"/>
            <w:lang w:val="fr-BE"/>
          </w:rPr>
          <w:t>https://www.myria.be/files/181205_Myriadoc_de%CC%81tention_2018.pdf</w:t>
        </w:r>
      </w:hyperlink>
      <w:r w:rsidR="00A55EA2" w:rsidRPr="00A55EA2">
        <w:rPr>
          <w:rFonts w:ascii="Calibri" w:eastAsia="Calibri" w:hAnsi="Calibri" w:cs="Calibri"/>
          <w:color w:val="0563C1"/>
          <w:sz w:val="20"/>
          <w:szCs w:val="20"/>
          <w:u w:val="single"/>
          <w:lang w:val="fr-BE"/>
        </w:rPr>
        <w:t>.</w:t>
      </w:r>
    </w:p>
    <w:p w14:paraId="603FF37E" w14:textId="4DEE239F"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53</w:t>
      </w:r>
      <w:r w:rsidR="00A55EA2" w:rsidRPr="00A55EA2">
        <w:rPr>
          <w:rFonts w:ascii="Calibri" w:eastAsia="Calibri" w:hAnsi="Calibri" w:cs="Calibri"/>
          <w:sz w:val="20"/>
          <w:szCs w:val="20"/>
          <w:lang w:val="fr-BE"/>
        </w:rPr>
        <w:t xml:space="preserve"> Article 12bis du Code de la nationalité belge. </w:t>
      </w:r>
    </w:p>
    <w:p w14:paraId="106D0936" w14:textId="4CC00F84"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lastRenderedPageBreak/>
        <w:t>54</w:t>
      </w:r>
      <w:r w:rsidR="00A55EA2" w:rsidRPr="00A55EA2">
        <w:rPr>
          <w:rFonts w:ascii="Calibri" w:eastAsia="Calibri" w:hAnsi="Calibri" w:cs="Calibri"/>
          <w:sz w:val="20"/>
          <w:szCs w:val="20"/>
          <w:lang w:val="fr-BE"/>
        </w:rPr>
        <w:t xml:space="preserve"> Article 16 du Code de la nationalité belge.</w:t>
      </w:r>
    </w:p>
    <w:p w14:paraId="42070754" w14:textId="16D934E2"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55</w:t>
      </w:r>
      <w:r w:rsidR="00A55EA2" w:rsidRPr="00A55EA2">
        <w:rPr>
          <w:rFonts w:ascii="Calibri" w:eastAsia="Calibri" w:hAnsi="Calibri" w:cs="Calibri"/>
          <w:sz w:val="20"/>
          <w:szCs w:val="20"/>
          <w:lang w:val="fr-BE"/>
        </w:rPr>
        <w:t xml:space="preserve"> Parmi l’ensemble des nouveaux Belges, les personnes issues d’Afrique du Nord, et notamment du Maroc ont été particulièrement touchées par ces changements de loi. Voir : Myria, </w:t>
      </w:r>
      <w:r w:rsidR="00A55EA2" w:rsidRPr="00A55EA2">
        <w:rPr>
          <w:rFonts w:ascii="Calibri" w:eastAsia="Calibri" w:hAnsi="Calibri" w:cs="Calibri"/>
          <w:i/>
          <w:iCs/>
          <w:sz w:val="20"/>
          <w:szCs w:val="20"/>
          <w:lang w:val="fr-BE"/>
        </w:rPr>
        <w:t xml:space="preserve">La migration en chiffres et en droits, </w:t>
      </w:r>
      <w:r w:rsidR="00A55EA2" w:rsidRPr="00A55EA2">
        <w:rPr>
          <w:rFonts w:ascii="Calibri" w:eastAsia="Calibri" w:hAnsi="Calibri" w:cs="Calibri"/>
          <w:sz w:val="20"/>
          <w:szCs w:val="20"/>
          <w:lang w:val="fr-BE"/>
        </w:rPr>
        <w:t>Cahier nationalité, 2021, pp.4-5.</w:t>
      </w:r>
    </w:p>
    <w:p w14:paraId="22B0E986" w14:textId="4A0A9099" w:rsidR="00A55EA2" w:rsidRPr="00A55EA2" w:rsidRDefault="00372729" w:rsidP="00A55EA2">
      <w:pPr>
        <w:keepNext/>
        <w:keepLines/>
        <w:spacing w:after="0" w:line="240" w:lineRule="auto"/>
        <w:jc w:val="both"/>
        <w:rPr>
          <w:rFonts w:ascii="Calibri" w:eastAsia="Calibri" w:hAnsi="Calibri" w:cs="Calibri"/>
          <w:sz w:val="20"/>
          <w:szCs w:val="20"/>
          <w:lang w:val="fr-BE"/>
        </w:rPr>
      </w:pPr>
      <w:r>
        <w:rPr>
          <w:rFonts w:ascii="Calibri" w:eastAsia="Calibri" w:hAnsi="Calibri" w:cs="Calibri"/>
          <w:sz w:val="20"/>
          <w:szCs w:val="20"/>
          <w:vertAlign w:val="superscript"/>
          <w:lang w:val="fr-BE"/>
        </w:rPr>
        <w:t>56</w:t>
      </w:r>
      <w:r w:rsidR="00A55EA2" w:rsidRPr="00A55EA2">
        <w:rPr>
          <w:rFonts w:ascii="Calibri" w:eastAsia="Calibri" w:hAnsi="Calibri" w:cs="Calibri"/>
          <w:sz w:val="20"/>
          <w:szCs w:val="20"/>
          <w:lang w:val="fr-BE"/>
        </w:rPr>
        <w:t xml:space="preserve"> </w:t>
      </w:r>
      <w:r w:rsidR="00A55EA2" w:rsidRPr="00A55EA2">
        <w:rPr>
          <w:rFonts w:ascii="Calibri" w:eastAsia="Times New Roman" w:hAnsi="Calibri" w:cs="Calibri"/>
          <w:sz w:val="20"/>
          <w:szCs w:val="20"/>
          <w:lang w:val="fr-BE"/>
        </w:rPr>
        <w:t>Art. 23, 23/1 et 23/2 du Code de la nationalité belge du 28 juin 1984.</w:t>
      </w:r>
    </w:p>
    <w:p w14:paraId="6A1C49C6" w14:textId="77777777" w:rsidR="009949B4" w:rsidRPr="00A55EA2" w:rsidRDefault="009949B4">
      <w:pPr>
        <w:rPr>
          <w:lang w:val="fr-BE"/>
        </w:rPr>
      </w:pPr>
    </w:p>
    <w:sectPr w:rsidR="009949B4" w:rsidRPr="00A55E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Italic">
    <w:altName w:val="MS Mincho"/>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EA2"/>
    <w:rsid w:val="00086D82"/>
    <w:rsid w:val="00372729"/>
    <w:rsid w:val="004640B7"/>
    <w:rsid w:val="006467AD"/>
    <w:rsid w:val="00975B51"/>
    <w:rsid w:val="009949B4"/>
    <w:rsid w:val="00A55EA2"/>
    <w:rsid w:val="00DF2007"/>
  </w:rsids>
  <m:mathPr>
    <m:mathFont m:val="Cambria Math"/>
    <m:brkBin m:val="before"/>
    <m:brkBinSub m:val="--"/>
    <m:smallFrac m:val="0"/>
    <m:dispDef/>
    <m:lMargin m:val="0"/>
    <m:rMargin m:val="0"/>
    <m:defJc m:val="centerGroup"/>
    <m:wrapIndent m:val="1440"/>
    <m:intLim m:val="subSup"/>
    <m:naryLim m:val="undOvr"/>
  </m:mathPr>
  <w:themeFontLang w:val="en-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3FA54"/>
  <w15:chartTrackingRefBased/>
  <w15:docId w15:val="{9FD5F521-ECC6-462E-ABC2-E06EAE715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3727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A55E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A55EA2"/>
    <w:rPr>
      <w:rFonts w:asciiTheme="majorHAnsi" w:eastAsiaTheme="majorEastAsia" w:hAnsiTheme="majorHAnsi" w:cstheme="majorBidi"/>
      <w:color w:val="2F5496" w:themeColor="accent1" w:themeShade="BF"/>
      <w:sz w:val="26"/>
      <w:szCs w:val="26"/>
    </w:rPr>
  </w:style>
  <w:style w:type="character" w:customStyle="1" w:styleId="Titre1Car">
    <w:name w:val="Titre 1 Car"/>
    <w:basedOn w:val="Policepardfaut"/>
    <w:link w:val="Titre1"/>
    <w:uiPriority w:val="9"/>
    <w:rsid w:val="0037272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a.be/fr/articles/le-taux-demploi-des-personnes-dorigine-etrangere-sameliore-mais-reste-a-la-traine" TargetMode="External"/><Relationship Id="rId18" Type="http://schemas.openxmlformats.org/officeDocument/2006/relationships/hyperlink" Target="https://www.unia.be/files/Documenten/Jaarrapport/CGKR_JV_discriminatie_FR.pdf" TargetMode="External"/><Relationship Id="rId26" Type="http://schemas.openxmlformats.org/officeDocument/2006/relationships/hyperlink" Target="https://www.unia.be/files/Article_19_en_GC5_FR_26052020.pdf" TargetMode="External"/><Relationship Id="rId39" Type="http://schemas.openxmlformats.org/officeDocument/2006/relationships/hyperlink" Target="https://www.unia.be/files/Documenten/Publicaties_docs/Resultats_consultation_impact_COVID_sur_les_personnes_handicapees_et_leurs_proches.pdf" TargetMode="External"/><Relationship Id="rId21" Type="http://schemas.openxmlformats.org/officeDocument/2006/relationships/hyperlink" Target="https://www.persephonevzw.org/stereotiepen-rond-vrouwen-met-een-handicap/" TargetMode="External"/><Relationship Id="rId34" Type="http://schemas.openxmlformats.org/officeDocument/2006/relationships/hyperlink" Target="https://www.myria.be/fr/publications/rapport-annuel-traite-et-trafic-des-etres-humains-2021-visiblement-invisible" TargetMode="External"/><Relationship Id="rId42" Type="http://schemas.openxmlformats.org/officeDocument/2006/relationships/hyperlink" Target="https://www.myria.be/files/181205_Myriadoc_de%CC%81tention_2018.pdf" TargetMode="External"/><Relationship Id="rId7" Type="http://schemas.openxmlformats.org/officeDocument/2006/relationships/hyperlink" Target="https://www.unia.be/fr/articles/unia-reconnu-internationalement-comme-institution-nationale-des-droits-de-lhomme" TargetMode="External"/><Relationship Id="rId2" Type="http://schemas.openxmlformats.org/officeDocument/2006/relationships/customXml" Target="../customXml/item2.xml"/><Relationship Id="rId16" Type="http://schemas.openxmlformats.org/officeDocument/2006/relationships/hyperlink" Target="https://eweta.be/quelques-chiffres/" TargetMode="External"/><Relationship Id="rId20" Type="http://schemas.openxmlformats.org/officeDocument/2006/relationships/hyperlink" Target="https://www.unia.be/files/Documenten/Publicaties_docs/Rapport-Consultation_2020-version_FR_int%C3%A9grale.pdf" TargetMode="External"/><Relationship Id="rId29" Type="http://schemas.openxmlformats.org/officeDocument/2006/relationships/hyperlink" Target="https://www.unia.be/files/Documenten/Jaarrapport/Rapport_annuel.pdf" TargetMode="External"/><Relationship Id="rId41" Type="http://schemas.openxmlformats.org/officeDocument/2006/relationships/hyperlink" Target="https://www.unia.be/fr/publications-et-statistiques/publications/rapport-annuel-20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fi.ibz.be/sites/default/files/2021-12/Rapport%20annuel%202020.pdf" TargetMode="External"/><Relationship Id="rId24" Type="http://schemas.openxmlformats.org/officeDocument/2006/relationships/hyperlink" Target="https://www.unia.be/fr/publications-et-statistiques/publications/consultation-des-personnes-handicapees-sur-le-respect-de-leurs-droits-2020" TargetMode="External"/><Relationship Id="rId32" Type="http://schemas.openxmlformats.org/officeDocument/2006/relationships/hyperlink" Target="https://www.myria.be/fr/publications/un-rapport-migration-2020-sous-forme-de-cahiers" TargetMode="External"/><Relationship Id="rId37" Type="http://schemas.openxmlformats.org/officeDocument/2006/relationships/hyperlink" Target="https://www.oecd-ilibrary.org/social-issues-migration-health/making-integration-work_9789264279520-en" TargetMode="External"/><Relationship Id="rId40" Type="http://schemas.openxmlformats.org/officeDocument/2006/relationships/hyperlink" Target="https://equal.belgium.be/sites/default/files/Commission%20Evaluation%20Lois%20Antidiscrimination%20-%20Rapport.pdf" TargetMode="External"/><Relationship Id="rId5" Type="http://schemas.openxmlformats.org/officeDocument/2006/relationships/settings" Target="settings.xml"/><Relationship Id="rId15" Type="http://schemas.openxmlformats.org/officeDocument/2006/relationships/hyperlink" Target="https://statbel.fgov.be/fr/nouvelles/les-personnes-handicapees-ou-souffrant-de-problemes-de-sante-de-longue-duree-ont-moins" TargetMode="External"/><Relationship Id="rId23" Type="http://schemas.openxmlformats.org/officeDocument/2006/relationships/hyperlink" Target="https://www.cffb.be/wp-content/uploads/2018/10/Handicap-violences-et-sexualit%C3%A9-au-prisme-du-genre-2018-avec-license.pdf" TargetMode="External"/><Relationship Id="rId28" Type="http://schemas.openxmlformats.org/officeDocument/2006/relationships/hyperlink" Target="https://www.enar-eu.org/wp-content/uploads/forgottenwomenpublication_lr_final_with_latest_corrections.pdf" TargetMode="External"/><Relationship Id="rId36" Type="http://schemas.openxmlformats.org/officeDocument/2006/relationships/hyperlink" Target="https://latribune.avocats.be/sites/latribune/files/55k2294022.pdf" TargetMode="External"/><Relationship Id="rId10" Type="http://schemas.openxmlformats.org/officeDocument/2006/relationships/hyperlink" Target="https://www.unia.be/files/Documenten/Publicaties_docs/Rapport_IEDCB-FR-1106.pdf" TargetMode="External"/><Relationship Id="rId19" Type="http://schemas.openxmlformats.org/officeDocument/2006/relationships/hyperlink" Target="https://www.mutations.fr/care-linjuste-disqualification-des-savoir-faire-des-femmes-travailleuses-du-care/" TargetMode="External"/><Relationship Id="rId31" Type="http://schemas.openxmlformats.org/officeDocument/2006/relationships/hyperlink" Target="https://www.belspo.be/belspo/brain-be/projects/FinalReports/UN-MENAMAIS_FinalRep_v2.pdf"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equalitydata.unia.be/fr" TargetMode="External"/><Relationship Id="rId14" Type="http://schemas.openxmlformats.org/officeDocument/2006/relationships/hyperlink" Target="https://www.unia.be/fr/publications-et-statistiques/publications/monitoring-socioeconomique-2019-marche-du-travail-et-origine" TargetMode="External"/><Relationship Id="rId22" Type="http://schemas.openxmlformats.org/officeDocument/2006/relationships/hyperlink" Target="https://www.mediateurfederal.be/sites/default/files/2022-02/Recommandation%20Statut%20parents%20enfants%20r%C3%A9fugi%C3%A9s.pdf" TargetMode="External"/><Relationship Id="rId27" Type="http://schemas.openxmlformats.org/officeDocument/2006/relationships/hyperlink" Target="http://www.garance.be/spip.php?article1377" TargetMode="External"/><Relationship Id="rId30" Type="http://schemas.openxmlformats.org/officeDocument/2006/relationships/hyperlink" Target="https://www.myria.be/files/Etre_etranger_en_2016-final.pdf" TargetMode="External"/><Relationship Id="rId35" Type="http://schemas.openxmlformats.org/officeDocument/2006/relationships/hyperlink" Target="https://latribune.avocats.be/sites/latribune/files/55k2294022.pdf" TargetMode="External"/><Relationship Id="rId43" Type="http://schemas.openxmlformats.org/officeDocument/2006/relationships/fontTable" Target="fontTable.xml"/><Relationship Id="rId8" Type="http://schemas.openxmlformats.org/officeDocument/2006/relationships/hyperlink" Target="https://www.unia.be/en/articles/a-new-project-to-improve-the-collection-and-processing-of-equality-data-in-belgium" TargetMode="External"/><Relationship Id="rId3" Type="http://schemas.openxmlformats.org/officeDocument/2006/relationships/customXml" Target="../customXml/item3.xml"/><Relationship Id="rId12" Type="http://schemas.openxmlformats.org/officeDocument/2006/relationships/hyperlink" Target="https://www.unia.be/files/Documenten/Publicaties_docs/Protocole_daccord_IEFH_-_UNIA.pdf" TargetMode="External"/><Relationship Id="rId17" Type="http://schemas.openxmlformats.org/officeDocument/2006/relationships/hyperlink" Target="https://fedweb.belgium.be/sites/default/files/downloads/annual%20report%20BCAPH%20CARPH%202021_FR.pdf" TargetMode="External"/><Relationship Id="rId25" Type="http://schemas.openxmlformats.org/officeDocument/2006/relationships/hyperlink" Target="http://hdl.handle.net/1854/LU-8598961" TargetMode="External"/><Relationship Id="rId33" Type="http://schemas.openxmlformats.org/officeDocument/2006/relationships/hyperlink" Target="https://www.myria.be/fr/publications/rapport-annuel-traite-et-trafic-des-etres-humains-2018-mineurs-en-danger-majeur" TargetMode="External"/><Relationship Id="rId38" Type="http://schemas.openxmlformats.org/officeDocument/2006/relationships/hyperlink" Target="https://www.oecd-ilibrary.org/social-issues-migration-health/making-integration-work_9789264279520-e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5CC28-962E-4E05-9646-BF8E6DC1BDB1}">
  <ds:schemaRefs>
    <ds:schemaRef ds:uri="e8454656-991d-4335-9b07-52d310787813"/>
    <ds:schemaRef ds:uri="http://schemas.openxmlformats.org/package/2006/metadata/core-properties"/>
    <ds:schemaRef ds:uri="http://schemas.microsoft.com/office/infopath/2007/PartnerControls"/>
    <ds:schemaRef ds:uri="http://purl.org/dc/elements/1.1/"/>
    <ds:schemaRef ds:uri="69a26fba-1af1-4028-91bb-a61aed73c4e8"/>
    <ds:schemaRef ds:uri="http://schemas.microsoft.com/office/2006/documentManagement/types"/>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B1DD571-49D5-4405-B890-F0222BE62492}"/>
</file>

<file path=customXml/itemProps3.xml><?xml version="1.0" encoding="utf-8"?>
<ds:datastoreItem xmlns:ds="http://schemas.openxmlformats.org/officeDocument/2006/customXml" ds:itemID="{EE17D5E2-5ED2-4A91-894F-E23BF2DFCA0C}"/>
</file>

<file path=docProps/app.xml><?xml version="1.0" encoding="utf-8"?>
<Properties xmlns="http://schemas.openxmlformats.org/officeDocument/2006/extended-properties" xmlns:vt="http://schemas.openxmlformats.org/officeDocument/2006/docPropsVTypes">
  <Template>Normal.dotm</Template>
  <TotalTime>8</TotalTime>
  <Pages>3</Pages>
  <Words>2161</Words>
  <Characters>12323</Characters>
  <Application>Microsoft Office Word</Application>
  <DocSecurity>0</DocSecurity>
  <Lines>102</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Van den BROECK</dc:creator>
  <cp:keywords/>
  <dc:description/>
  <cp:lastModifiedBy>Emilie Van den BROECK</cp:lastModifiedBy>
  <cp:revision>2</cp:revision>
  <dcterms:created xsi:type="dcterms:W3CDTF">2022-07-20T09:07:00Z</dcterms:created>
  <dcterms:modified xsi:type="dcterms:W3CDTF">2022-07-25T12:22:00Z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