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p>
        </w:tc>
        <w:tc>
          <w:tcPr>
            <w:tcW w:w="6095" w:type="dxa"/>
            <w:gridSpan w:val="2"/>
            <w:tcBorders>
              <w:bottom w:val="single" w:sz="4" w:space="0" w:color="auto"/>
            </w:tcBorders>
            <w:shd w:val="clear" w:color="auto" w:fill="auto"/>
            <w:vAlign w:val="bottom"/>
          </w:tcPr>
          <w:p w:rsidR="00B56E9C" w:rsidRPr="002E51B7" w:rsidRDefault="002035BB" w:rsidP="00F56329">
            <w:pPr>
              <w:jc w:val="right"/>
            </w:pPr>
            <w:r w:rsidRPr="002035BB">
              <w:rPr>
                <w:sz w:val="40"/>
              </w:rPr>
              <w:t>CEDAW</w:t>
            </w:r>
            <w:r>
              <w:t>/C/</w:t>
            </w:r>
            <w:r w:rsidR="00F56329">
              <w:t>OMN</w:t>
            </w:r>
            <w:r>
              <w:t>/Q/</w:t>
            </w:r>
            <w:r w:rsidR="00F56329">
              <w:t>2-3</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316264">
            <w:pPr>
              <w:spacing w:before="120"/>
              <w:jc w:val="center"/>
            </w:pPr>
          </w:p>
        </w:tc>
        <w:tc>
          <w:tcPr>
            <w:tcW w:w="5528" w:type="dxa"/>
            <w:gridSpan w:val="2"/>
            <w:tcBorders>
              <w:top w:val="single" w:sz="4" w:space="0" w:color="auto"/>
              <w:bottom w:val="single" w:sz="12" w:space="0" w:color="auto"/>
            </w:tcBorders>
            <w:shd w:val="clear" w:color="auto" w:fill="auto"/>
          </w:tcPr>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2035BB" w:rsidP="002035BB">
            <w:pPr>
              <w:spacing w:before="240" w:line="240" w:lineRule="exact"/>
            </w:pPr>
            <w:r>
              <w:t xml:space="preserve">Distr.: </w:t>
            </w:r>
            <w:r w:rsidR="00EC707C">
              <w:t>General</w:t>
            </w:r>
          </w:p>
          <w:p w:rsidR="002035BB" w:rsidRDefault="002035BB" w:rsidP="002035BB">
            <w:pPr>
              <w:spacing w:line="240" w:lineRule="exact"/>
            </w:pPr>
            <w:r>
              <w:t>10 March 2017</w:t>
            </w:r>
          </w:p>
          <w:p w:rsidR="002035BB" w:rsidRDefault="002035BB" w:rsidP="002035BB">
            <w:pPr>
              <w:spacing w:line="240" w:lineRule="exact"/>
            </w:pPr>
          </w:p>
          <w:p w:rsidR="002035BB" w:rsidRDefault="002035BB" w:rsidP="002035BB">
            <w:pPr>
              <w:spacing w:line="240" w:lineRule="exact"/>
            </w:pPr>
            <w:r>
              <w:t>Original: English</w:t>
            </w:r>
          </w:p>
          <w:p w:rsidR="00242FD0" w:rsidRDefault="00242FD0" w:rsidP="00242FD0">
            <w:pPr>
              <w:spacing w:line="240" w:lineRule="exact"/>
            </w:pPr>
          </w:p>
          <w:p w:rsidR="00242FD0" w:rsidRDefault="00242FD0" w:rsidP="00242FD0">
            <w:pPr>
              <w:spacing w:line="240" w:lineRule="exact"/>
            </w:pPr>
          </w:p>
          <w:p w:rsidR="00242FD0" w:rsidRDefault="00242FD0" w:rsidP="00242FD0">
            <w:pPr>
              <w:spacing w:line="240" w:lineRule="exact"/>
            </w:pPr>
            <w:r>
              <w:rPr>
                <w:b/>
                <w:bCs/>
                <w:sz w:val="18"/>
                <w:szCs w:val="18"/>
                <w:u w:val="single"/>
              </w:rPr>
              <w:t>ADVANCE UNEDITED VERSION</w:t>
            </w:r>
          </w:p>
        </w:tc>
      </w:tr>
    </w:tbl>
    <w:p w:rsidR="002035BB" w:rsidRDefault="002035BB" w:rsidP="002035BB">
      <w:pPr>
        <w:pStyle w:val="H1"/>
        <w:ind w:left="0" w:right="1260" w:firstLine="0"/>
      </w:pPr>
      <w:r>
        <w:t>Committee on the Elimination of Discrimination</w:t>
      </w:r>
      <w:r>
        <w:br/>
        <w:t>against Women</w:t>
      </w:r>
    </w:p>
    <w:p w:rsidR="002035BB" w:rsidRDefault="002035BB" w:rsidP="002035BB">
      <w:pPr>
        <w:rPr>
          <w:b/>
          <w:bCs/>
        </w:rPr>
      </w:pPr>
      <w:r>
        <w:rPr>
          <w:b/>
          <w:bCs/>
        </w:rPr>
        <w:t xml:space="preserve">Sixty-eighth </w:t>
      </w:r>
      <w:proofErr w:type="gramStart"/>
      <w:r>
        <w:rPr>
          <w:b/>
          <w:bCs/>
        </w:rPr>
        <w:t>session</w:t>
      </w:r>
      <w:proofErr w:type="gramEnd"/>
    </w:p>
    <w:p w:rsidR="002035BB" w:rsidRDefault="002035BB" w:rsidP="002035BB">
      <w:r>
        <w:t>23 October-17 November 2017</w:t>
      </w:r>
    </w:p>
    <w:p w:rsidR="002035BB" w:rsidRDefault="002035BB" w:rsidP="002035BB">
      <w:pPr>
        <w:rPr>
          <w:b/>
        </w:rPr>
      </w:pPr>
      <w:r>
        <w:t>Item 4 of the provisional agenda</w:t>
      </w:r>
    </w:p>
    <w:p w:rsidR="002035BB" w:rsidRDefault="002035BB" w:rsidP="002035BB">
      <w:pPr>
        <w:rPr>
          <w:b/>
        </w:rPr>
      </w:pPr>
      <w:r>
        <w:rPr>
          <w:b/>
        </w:rPr>
        <w:t>Consideration of reports submitted by States parties under</w:t>
      </w:r>
      <w:r>
        <w:rPr>
          <w:b/>
        </w:rPr>
        <w:br/>
        <w:t>article 18 of the Convention on the Elimination of All Forms</w:t>
      </w:r>
      <w:r>
        <w:rPr>
          <w:b/>
        </w:rPr>
        <w:br/>
        <w:t>of Discrimination against Women</w:t>
      </w:r>
    </w:p>
    <w:p w:rsidR="00F56329" w:rsidRPr="00F56329" w:rsidRDefault="00F56329" w:rsidP="00FC4AAD">
      <w:pPr>
        <w:pStyle w:val="HChG"/>
      </w:pPr>
      <w:r w:rsidRPr="00F56329">
        <w:tab/>
      </w:r>
      <w:r w:rsidRPr="00F56329">
        <w:tab/>
      </w:r>
      <w:r w:rsidR="00E14F79">
        <w:t>L</w:t>
      </w:r>
      <w:r w:rsidRPr="00F56329">
        <w:t>ist of issues in relation to the combined second and third periodic reports of Oman</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Constitutional and legislative framework</w:t>
      </w:r>
    </w:p>
    <w:p w:rsidR="00F56329" w:rsidRPr="00F56329" w:rsidRDefault="00F56329" w:rsidP="00FC4AAD">
      <w:pPr>
        <w:pStyle w:val="SingleTxtG"/>
        <w:numPr>
          <w:ilvl w:val="0"/>
          <w:numId w:val="20"/>
        </w:numPr>
        <w:ind w:left="1134" w:firstLine="0"/>
        <w:rPr>
          <w:rFonts w:eastAsia="Calibri"/>
          <w:w w:val="103"/>
        </w:rPr>
      </w:pPr>
      <w:r w:rsidRPr="00F56329">
        <w:rPr>
          <w:rFonts w:eastAsia="Calibri"/>
          <w:w w:val="103"/>
        </w:rPr>
        <w:t>It is stated in the report that article 17 of the Basic Law of the State (Constitution) prohibits discrimination among citizens on the basis of sex, and that efforts have been made to purge other laws and regulations of any discriminatory provisions based on sex (paras. 17 and 21)</w:t>
      </w:r>
      <w:r w:rsidR="00FC4AAD">
        <w:rPr>
          <w:rStyle w:val="FootnoteReference"/>
          <w:rFonts w:eastAsia="Calibri"/>
          <w:w w:val="103"/>
        </w:rPr>
        <w:footnoteReference w:id="2"/>
      </w:r>
      <w:r w:rsidRPr="00F56329">
        <w:rPr>
          <w:rFonts w:eastAsia="Calibri"/>
          <w:w w:val="103"/>
        </w:rPr>
        <w:t>. Please provide information on the efforts made towards adopting comprehensive anti-discrimination legislation that includes a definition</w:t>
      </w:r>
      <w:r w:rsidR="00A70FE7">
        <w:rPr>
          <w:rFonts w:eastAsia="Calibri"/>
          <w:w w:val="103"/>
        </w:rPr>
        <w:t xml:space="preserve"> of discrimination against women</w:t>
      </w:r>
      <w:r w:rsidRPr="00F56329">
        <w:rPr>
          <w:rFonts w:eastAsia="Calibri"/>
          <w:w w:val="103"/>
        </w:rPr>
        <w:t xml:space="preserve"> encompassing both direct and indirect discrimination in the public and private spheres</w:t>
      </w:r>
      <w:r w:rsidRPr="00F56329">
        <w:rPr>
          <w:rFonts w:eastAsia="Calibri"/>
          <w:b/>
          <w:bCs/>
          <w:w w:val="103"/>
        </w:rPr>
        <w:t> </w:t>
      </w:r>
      <w:r w:rsidRPr="00F56329">
        <w:rPr>
          <w:rFonts w:eastAsia="Calibri"/>
          <w:w w:val="103"/>
        </w:rPr>
        <w:t>and in all areas covered by the Convention in line with article 1 of the Convention (SDG Indicator 5.1.1). Please also indicate whether a comprehensive review of laws that discriminate against women and girls has been undertaken with a view to repealing them, in particular the discriminatory provisions of the Penal Code, the Personal Status Law, the Arbitration and Reconciliation Law and the Nationality Law. Please also provide information on the inclusion of any constitutional guarantees envisaged to allow laws that are incompatible with the Constitution and international obligations to be challenged.</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 xml:space="preserve">Reservations </w:t>
      </w:r>
    </w:p>
    <w:p w:rsidR="00F56329" w:rsidRPr="00F56329" w:rsidRDefault="00F56329" w:rsidP="00FC4AAD">
      <w:pPr>
        <w:pStyle w:val="SingleTxtG"/>
        <w:numPr>
          <w:ilvl w:val="0"/>
          <w:numId w:val="20"/>
        </w:numPr>
        <w:ind w:left="1134" w:firstLine="0"/>
        <w:rPr>
          <w:rFonts w:eastAsia="Calibri"/>
          <w:spacing w:val="4"/>
          <w:w w:val="102"/>
          <w:kern w:val="14"/>
          <w:lang w:val="en-US"/>
        </w:rPr>
      </w:pPr>
      <w:r w:rsidRPr="00F56329">
        <w:rPr>
          <w:rFonts w:eastAsia="Calibri"/>
          <w:spacing w:val="4"/>
          <w:w w:val="103"/>
          <w:kern w:val="14"/>
        </w:rPr>
        <w:t xml:space="preserve">The report mentions that the Council of Ministers agreed to withdraw the reservation to article 15 (4) of the Convention on </w:t>
      </w:r>
      <w:r w:rsidR="00A70FE7">
        <w:rPr>
          <w:rFonts w:eastAsia="Calibri"/>
          <w:spacing w:val="4"/>
          <w:w w:val="103"/>
          <w:kern w:val="14"/>
        </w:rPr>
        <w:t xml:space="preserve">the </w:t>
      </w:r>
      <w:r w:rsidRPr="00F56329">
        <w:rPr>
          <w:rFonts w:eastAsia="Calibri"/>
          <w:spacing w:val="4"/>
          <w:w w:val="103"/>
          <w:kern w:val="14"/>
        </w:rPr>
        <w:t xml:space="preserve">condition </w:t>
      </w:r>
      <w:r w:rsidR="00A70FE7">
        <w:rPr>
          <w:rFonts w:eastAsia="Calibri"/>
          <w:spacing w:val="4"/>
          <w:w w:val="103"/>
          <w:kern w:val="14"/>
        </w:rPr>
        <w:t>that</w:t>
      </w:r>
      <w:r w:rsidRPr="00F56329">
        <w:rPr>
          <w:rFonts w:eastAsia="Calibri"/>
          <w:spacing w:val="4"/>
          <w:w w:val="103"/>
          <w:kern w:val="14"/>
        </w:rPr>
        <w:t xml:space="preserve"> necessary measures to put into effect its decision according to the Basic Law of the State </w:t>
      </w:r>
      <w:r w:rsidR="00A70FE7">
        <w:rPr>
          <w:rFonts w:eastAsia="Calibri"/>
          <w:spacing w:val="4"/>
          <w:w w:val="103"/>
          <w:kern w:val="14"/>
        </w:rPr>
        <w:t xml:space="preserve">are adopted </w:t>
      </w:r>
      <w:r w:rsidRPr="00F56329">
        <w:rPr>
          <w:rFonts w:eastAsia="Calibri"/>
          <w:spacing w:val="4"/>
          <w:w w:val="103"/>
          <w:kern w:val="14"/>
        </w:rPr>
        <w:t>(para. 20). Please provide information on the steps taken to adopt such measures with a view to effectively lifting the reservation</w:t>
      </w:r>
      <w:r w:rsidRPr="00F56329">
        <w:rPr>
          <w:rFonts w:eastAsia="Calibri"/>
          <w:spacing w:val="4"/>
          <w:w w:val="102"/>
          <w:kern w:val="14"/>
        </w:rPr>
        <w:t xml:space="preserve">. </w:t>
      </w:r>
      <w:r w:rsidRPr="00F56329">
        <w:rPr>
          <w:rFonts w:eastAsia="Calibri"/>
          <w:spacing w:val="4"/>
          <w:w w:val="102"/>
          <w:kern w:val="14"/>
          <w:lang w:val="en-US"/>
        </w:rPr>
        <w:t>Ple</w:t>
      </w:r>
      <w:r w:rsidR="00753FC2">
        <w:rPr>
          <w:rFonts w:eastAsia="Calibri"/>
          <w:spacing w:val="4"/>
          <w:w w:val="102"/>
          <w:kern w:val="14"/>
          <w:lang w:val="en-US"/>
        </w:rPr>
        <w:t xml:space="preserve">ase </w:t>
      </w:r>
      <w:r w:rsidR="00F23DA3">
        <w:rPr>
          <w:rFonts w:eastAsia="Calibri"/>
          <w:spacing w:val="4"/>
          <w:w w:val="102"/>
          <w:kern w:val="14"/>
          <w:lang w:val="en-US"/>
        </w:rPr>
        <w:t xml:space="preserve">further </w:t>
      </w:r>
      <w:r w:rsidR="00753FC2">
        <w:rPr>
          <w:rFonts w:eastAsia="Calibri"/>
          <w:spacing w:val="4"/>
          <w:w w:val="102"/>
          <w:kern w:val="14"/>
          <w:lang w:val="en-US"/>
        </w:rPr>
        <w:t xml:space="preserve">describe the impact of the State party’s general </w:t>
      </w:r>
      <w:r w:rsidRPr="00F56329">
        <w:rPr>
          <w:rFonts w:eastAsia="Calibri"/>
          <w:spacing w:val="4"/>
          <w:w w:val="102"/>
          <w:kern w:val="14"/>
          <w:lang w:val="en-US"/>
        </w:rPr>
        <w:t xml:space="preserve">reservation </w:t>
      </w:r>
      <w:r w:rsidR="00753FC2">
        <w:rPr>
          <w:rFonts w:eastAsia="Calibri"/>
          <w:spacing w:val="4"/>
          <w:w w:val="102"/>
          <w:kern w:val="14"/>
          <w:lang w:val="en-US"/>
        </w:rPr>
        <w:t>to</w:t>
      </w:r>
      <w:r w:rsidR="00F23DA3">
        <w:rPr>
          <w:rFonts w:eastAsia="Calibri"/>
          <w:spacing w:val="4"/>
          <w:w w:val="102"/>
          <w:kern w:val="14"/>
        </w:rPr>
        <w:t xml:space="preserve"> “a</w:t>
      </w:r>
      <w:r w:rsidR="00F23DA3" w:rsidRPr="00F23DA3">
        <w:rPr>
          <w:rFonts w:eastAsia="Calibri"/>
          <w:spacing w:val="4"/>
          <w:w w:val="102"/>
          <w:kern w:val="14"/>
        </w:rPr>
        <w:t>ll provisions of the Convention not in accordance with the provisions of the Islamic sharia and legislation in force in the Sultanate of Oman</w:t>
      </w:r>
      <w:r w:rsidR="00F23DA3">
        <w:rPr>
          <w:rFonts w:eastAsia="Calibri"/>
          <w:spacing w:val="4"/>
          <w:w w:val="102"/>
          <w:kern w:val="14"/>
          <w:lang w:val="en-US"/>
        </w:rPr>
        <w:t>”</w:t>
      </w:r>
      <w:r w:rsidR="00753FC2">
        <w:rPr>
          <w:rFonts w:eastAsia="Calibri"/>
          <w:spacing w:val="4"/>
          <w:w w:val="102"/>
          <w:kern w:val="14"/>
          <w:lang w:val="en-US"/>
        </w:rPr>
        <w:t xml:space="preserve">, </w:t>
      </w:r>
      <w:r w:rsidRPr="00F56329">
        <w:rPr>
          <w:rFonts w:eastAsia="Calibri"/>
          <w:spacing w:val="4"/>
          <w:w w:val="102"/>
          <w:kern w:val="14"/>
          <w:lang w:val="en-US"/>
        </w:rPr>
        <w:t xml:space="preserve">on the </w:t>
      </w:r>
      <w:r w:rsidR="00753FC2">
        <w:rPr>
          <w:rFonts w:eastAsia="Calibri"/>
          <w:spacing w:val="4"/>
          <w:w w:val="102"/>
          <w:kern w:val="14"/>
          <w:lang w:val="en-US"/>
        </w:rPr>
        <w:t xml:space="preserve">full realization of the principle of equality between </w:t>
      </w:r>
      <w:r w:rsidR="00753FC2">
        <w:rPr>
          <w:rFonts w:eastAsia="Calibri"/>
          <w:spacing w:val="4"/>
          <w:w w:val="102"/>
          <w:kern w:val="14"/>
          <w:lang w:val="en-US"/>
        </w:rPr>
        <w:lastRenderedPageBreak/>
        <w:t>women and men as enshrined in the Convention</w:t>
      </w:r>
      <w:r w:rsidRPr="00F56329">
        <w:rPr>
          <w:rFonts w:eastAsia="Calibri"/>
          <w:spacing w:val="4"/>
          <w:w w:val="102"/>
          <w:kern w:val="14"/>
          <w:lang w:val="en-US"/>
        </w:rPr>
        <w:t xml:space="preserve">. Please also indicate whether a timeframe has been set to </w:t>
      </w:r>
      <w:r w:rsidR="00753FC2">
        <w:rPr>
          <w:rFonts w:eastAsia="Calibri"/>
          <w:spacing w:val="4"/>
          <w:w w:val="102"/>
          <w:kern w:val="14"/>
        </w:rPr>
        <w:t>undertake a review of the general</w:t>
      </w:r>
      <w:r w:rsidRPr="00F56329">
        <w:rPr>
          <w:rFonts w:eastAsia="Calibri"/>
          <w:spacing w:val="4"/>
          <w:w w:val="102"/>
          <w:kern w:val="14"/>
        </w:rPr>
        <w:t xml:space="preserve"> reservation</w:t>
      </w:r>
      <w:r w:rsidRPr="00F56329">
        <w:rPr>
          <w:rFonts w:eastAsia="Calibri"/>
          <w:spacing w:val="4"/>
          <w:w w:val="102"/>
          <w:kern w:val="14"/>
          <w:lang w:val="en-US"/>
        </w:rPr>
        <w:t>, as well as of the reservations to articles 9 (2) and 16 (a), (c) and (f), with a view to their withdrawal and in accordance with the pledge made by the State party in the framework of the second cycle of the universal periodic review (A/HRC/31/11/Add.1, paras. 129.36).</w:t>
      </w:r>
    </w:p>
    <w:p w:rsidR="00F56329" w:rsidRPr="00F56329" w:rsidRDefault="00FC4AAD" w:rsidP="00FC4AAD">
      <w:pPr>
        <w:pStyle w:val="H23G"/>
        <w:rPr>
          <w:rFonts w:eastAsia="Calibri"/>
          <w:w w:val="102"/>
          <w:lang w:val="en-US"/>
        </w:rPr>
      </w:pPr>
      <w:r>
        <w:rPr>
          <w:rFonts w:eastAsia="Calibri"/>
          <w:w w:val="102"/>
          <w:lang w:val="en-US"/>
        </w:rPr>
        <w:tab/>
      </w:r>
      <w:r>
        <w:rPr>
          <w:rFonts w:eastAsia="Calibri"/>
          <w:w w:val="102"/>
          <w:lang w:val="en-US"/>
        </w:rPr>
        <w:tab/>
      </w:r>
      <w:r w:rsidR="00F56329" w:rsidRPr="00F56329">
        <w:rPr>
          <w:rFonts w:eastAsia="Calibri"/>
          <w:w w:val="102"/>
          <w:lang w:val="en-US"/>
        </w:rPr>
        <w:t>Legal status of the Convention</w:t>
      </w:r>
    </w:p>
    <w:p w:rsidR="00F56329" w:rsidRPr="00F56329" w:rsidRDefault="00F56329" w:rsidP="00FC4AAD">
      <w:pPr>
        <w:pStyle w:val="SingleTxtG"/>
        <w:numPr>
          <w:ilvl w:val="0"/>
          <w:numId w:val="20"/>
        </w:numPr>
        <w:ind w:left="1134" w:firstLine="0"/>
        <w:rPr>
          <w:rFonts w:eastAsia="Calibri"/>
          <w:spacing w:val="4"/>
          <w:w w:val="102"/>
          <w:kern w:val="14"/>
        </w:rPr>
      </w:pPr>
      <w:r w:rsidRPr="00F56329">
        <w:rPr>
          <w:rFonts w:eastAsia="Calibri"/>
          <w:spacing w:val="4"/>
          <w:w w:val="102"/>
          <w:kern w:val="14"/>
        </w:rPr>
        <w:t xml:space="preserve">The report indicates that, according to article 80 of the Basic Law of the State, “all provisions of the Convention, excluding those to which there are reservations, are part of national legislation” (paras. 17 and 21). It further mentions a number of awareness-raising and training activities aimed at increasing </w:t>
      </w:r>
      <w:r w:rsidRPr="00F56329">
        <w:rPr>
          <w:rFonts w:eastAsia="Calibri"/>
          <w:spacing w:val="4"/>
          <w:w w:val="103"/>
          <w:kern w:val="14"/>
        </w:rPr>
        <w:t>knowledge</w:t>
      </w:r>
      <w:r w:rsidRPr="00F56329">
        <w:rPr>
          <w:rFonts w:eastAsia="Calibri"/>
          <w:spacing w:val="4"/>
          <w:w w:val="102"/>
          <w:kern w:val="14"/>
        </w:rPr>
        <w:t xml:space="preserve"> about the Convention among the judiciary (paras. 13-15). </w:t>
      </w:r>
      <w:r w:rsidR="00F23DA3">
        <w:rPr>
          <w:rFonts w:eastAsia="Calibri"/>
          <w:spacing w:val="4"/>
          <w:w w:val="102"/>
          <w:kern w:val="14"/>
        </w:rPr>
        <w:t xml:space="preserve">Please indicate if any impact assessment of such training has been undertaken and, if so, please inform on the outcome. </w:t>
      </w:r>
      <w:r w:rsidRPr="00F56329">
        <w:rPr>
          <w:rFonts w:eastAsia="Calibri"/>
          <w:spacing w:val="4"/>
          <w:w w:val="102"/>
          <w:kern w:val="14"/>
        </w:rPr>
        <w:t xml:space="preserve">Please specify whether such training has </w:t>
      </w:r>
      <w:r w:rsidR="00F23DA3">
        <w:rPr>
          <w:rFonts w:eastAsia="Calibri"/>
          <w:spacing w:val="4"/>
          <w:w w:val="102"/>
          <w:kern w:val="14"/>
        </w:rPr>
        <w:t xml:space="preserve">also </w:t>
      </w:r>
      <w:r w:rsidRPr="00F56329">
        <w:rPr>
          <w:rFonts w:eastAsia="Calibri"/>
          <w:spacing w:val="4"/>
          <w:w w:val="102"/>
          <w:kern w:val="14"/>
        </w:rPr>
        <w:t xml:space="preserve">been extended to religious courts’ officials. </w:t>
      </w:r>
    </w:p>
    <w:p w:rsidR="00F56329" w:rsidRPr="00F56329" w:rsidRDefault="00FC4AAD" w:rsidP="00FC4AAD">
      <w:pPr>
        <w:pStyle w:val="H23G"/>
        <w:rPr>
          <w:rFonts w:eastAsia="Calibri"/>
          <w:w w:val="103"/>
        </w:rPr>
      </w:pPr>
      <w:r>
        <w:rPr>
          <w:rFonts w:eastAsia="Calibri"/>
          <w:w w:val="103"/>
        </w:rPr>
        <w:tab/>
      </w:r>
      <w:r>
        <w:rPr>
          <w:rFonts w:eastAsia="Calibri"/>
          <w:w w:val="103"/>
        </w:rPr>
        <w:tab/>
      </w:r>
      <w:r w:rsidR="00F56329" w:rsidRPr="00F56329">
        <w:rPr>
          <w:rFonts w:eastAsia="Calibri"/>
          <w:w w:val="103"/>
        </w:rPr>
        <w:t xml:space="preserve">Access to justice </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Please provide information on awareness-raising campaigns and other measures taken to ensure that women, including disadvantaged groups of women, are aware of their rights under the Convention and are able to </w:t>
      </w:r>
      <w:r w:rsidR="00A70FE7">
        <w:rPr>
          <w:rFonts w:eastAsia="Calibri"/>
          <w:spacing w:val="4"/>
          <w:w w:val="103"/>
          <w:kern w:val="14"/>
        </w:rPr>
        <w:t>claim</w:t>
      </w:r>
      <w:r w:rsidR="00A70FE7" w:rsidRPr="00F56329">
        <w:rPr>
          <w:rFonts w:eastAsia="Calibri"/>
          <w:spacing w:val="4"/>
          <w:w w:val="103"/>
          <w:kern w:val="14"/>
        </w:rPr>
        <w:t xml:space="preserve"> </w:t>
      </w:r>
      <w:r w:rsidRPr="00F56329">
        <w:rPr>
          <w:rFonts w:eastAsia="Calibri"/>
          <w:spacing w:val="4"/>
          <w:w w:val="103"/>
          <w:kern w:val="14"/>
        </w:rPr>
        <w:t xml:space="preserve">those rights, </w:t>
      </w:r>
      <w:r w:rsidRPr="00F56329">
        <w:rPr>
          <w:rFonts w:eastAsia="Calibri"/>
          <w:spacing w:val="4"/>
          <w:w w:val="102"/>
          <w:kern w:val="14"/>
        </w:rPr>
        <w:t>including</w:t>
      </w:r>
      <w:r w:rsidRPr="00F56329">
        <w:rPr>
          <w:rFonts w:eastAsia="Calibri"/>
          <w:spacing w:val="4"/>
          <w:w w:val="103"/>
          <w:kern w:val="14"/>
        </w:rPr>
        <w:t xml:space="preserve"> through the lodging of complaints through the legal system when their rights have been violated. Please provide information on cases brought before the courts on discrimination against women and the outcomes of those cases. </w:t>
      </w:r>
      <w:r w:rsidR="00F23DA3" w:rsidRPr="00F23DA3">
        <w:rPr>
          <w:rFonts w:eastAsia="Calibri"/>
          <w:spacing w:val="4"/>
          <w:w w:val="103"/>
          <w:kern w:val="14"/>
        </w:rPr>
        <w:t xml:space="preserve">Please indicate whether the Convention has been invoked before the courts. </w:t>
      </w:r>
      <w:r w:rsidRPr="00F56329">
        <w:rPr>
          <w:rFonts w:eastAsia="Calibri"/>
          <w:spacing w:val="4"/>
          <w:w w:val="103"/>
          <w:kern w:val="14"/>
        </w:rPr>
        <w:t xml:space="preserve">Please also indicate the steps taken by the State party to ensure that women are not discriminated against by criminal, civil and religious courts, and that they have effective access to justice and remedy. Please indicate whether the State party is considering </w:t>
      </w:r>
      <w:proofErr w:type="gramStart"/>
      <w:r w:rsidR="00F23DA3">
        <w:rPr>
          <w:rFonts w:eastAsia="Calibri"/>
          <w:spacing w:val="4"/>
          <w:w w:val="103"/>
          <w:kern w:val="14"/>
        </w:rPr>
        <w:t>to establish</w:t>
      </w:r>
      <w:proofErr w:type="gramEnd"/>
      <w:r w:rsidRPr="00F56329">
        <w:rPr>
          <w:rFonts w:eastAsia="Calibri"/>
          <w:spacing w:val="4"/>
          <w:w w:val="103"/>
          <w:kern w:val="14"/>
        </w:rPr>
        <w:t xml:space="preserve"> a State-sponsored legal aid programme. </w:t>
      </w:r>
    </w:p>
    <w:p w:rsidR="00F56329" w:rsidRPr="00F56329" w:rsidRDefault="00F56329" w:rsidP="00FC4AAD">
      <w:pPr>
        <w:pStyle w:val="H23G"/>
        <w:rPr>
          <w:rFonts w:eastAsia="Calibri"/>
          <w:w w:val="103"/>
        </w:rPr>
      </w:pPr>
      <w:r w:rsidRPr="00F56329">
        <w:rPr>
          <w:rFonts w:eastAsia="Calibri"/>
          <w:w w:val="103"/>
        </w:rPr>
        <w:tab/>
      </w:r>
      <w:r w:rsidR="00FC4AAD">
        <w:rPr>
          <w:rFonts w:eastAsia="Calibri"/>
          <w:w w:val="103"/>
        </w:rPr>
        <w:tab/>
      </w:r>
      <w:r w:rsidRPr="00F56329">
        <w:rPr>
          <w:rFonts w:eastAsia="Calibri"/>
          <w:w w:val="103"/>
        </w:rPr>
        <w:t>National human rights institution</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The report indicates that the National Human Rights Commission, which was accredited with a “B” status from the Global Alliance of National Human rights Institutions in 2014, monitors and receives complaints from women, including working women, about human rights violations (para. 26). Please provide information regarding the number of such complaints received and the outcomes of such cases. Please indicate whether measures have been taken to raise awareness among women about the existence of the mechanism, and whether assistance is available to women </w:t>
      </w:r>
      <w:r w:rsidR="00F23DA3">
        <w:rPr>
          <w:rFonts w:eastAsia="Calibri"/>
          <w:spacing w:val="4"/>
          <w:w w:val="103"/>
          <w:kern w:val="14"/>
        </w:rPr>
        <w:t xml:space="preserve">in </w:t>
      </w:r>
      <w:r w:rsidRPr="00F56329">
        <w:rPr>
          <w:rFonts w:eastAsia="Calibri"/>
          <w:spacing w:val="4"/>
          <w:w w:val="103"/>
          <w:kern w:val="14"/>
        </w:rPr>
        <w:t>filing complaints.</w:t>
      </w:r>
      <w:r w:rsidRPr="00F56329">
        <w:t xml:space="preserve"> </w:t>
      </w:r>
      <w:r w:rsidRPr="00F56329">
        <w:rPr>
          <w:rFonts w:eastAsia="Calibri"/>
          <w:spacing w:val="4"/>
          <w:w w:val="103"/>
          <w:kern w:val="14"/>
        </w:rPr>
        <w:t>Please provide detailed information on the measures taken to ensure the independence of the Commission, in line with the principles relating to the status of national institutions for the promotion and protection of human rights (the Paris Principles). Please also provide information on its mandate in relation to women’s rights, and on its human, technical and financial resources.</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National machinery for the advancement of women</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The report indicates that the Ministry of Social Development has worked to provide specialized, experienced staff as well as a special budget to the Women’s Affairs Department and the Committee to Monitor Implementation of the Convention. It also mentions the completion of a national strategy for women entitled “Enhancing the Quality of Life” and the issuance of Ministerial Decree No. 150/2014 to form a steering committee to monitor its implementation (paras. 29-30). Please indicate whether the Women’s Affairs Department is now adequately </w:t>
      </w:r>
      <w:r w:rsidRPr="00F56329">
        <w:rPr>
          <w:rFonts w:eastAsia="Calibri"/>
          <w:spacing w:val="4"/>
          <w:w w:val="103"/>
          <w:kern w:val="14"/>
        </w:rPr>
        <w:lastRenderedPageBreak/>
        <w:t xml:space="preserve">equipped in terms of human, technical and financial resources to coordinate the policies and the mechanisms at the central and local levels, including by opening branch offices in all governorates, to achieve the full and uniform implementation of the Convention throughout the territory of the State party. Please provide information on the proportion of the national budget allocated to the </w:t>
      </w:r>
      <w:r w:rsidR="00F23DA3">
        <w:rPr>
          <w:rFonts w:eastAsia="Calibri"/>
          <w:spacing w:val="4"/>
          <w:w w:val="103"/>
          <w:kern w:val="14"/>
        </w:rPr>
        <w:t xml:space="preserve">national </w:t>
      </w:r>
      <w:r w:rsidRPr="00F56329">
        <w:rPr>
          <w:rFonts w:eastAsia="Calibri"/>
          <w:spacing w:val="4"/>
          <w:w w:val="103"/>
          <w:kern w:val="14"/>
        </w:rPr>
        <w:t xml:space="preserve">machinery. Please indicate whether the national strategy for women has been formally adopted and an action plan developed. If so, please indicate the timeframe as well as the resources allocated for its implementation. Please also clarify the role of the Women’s Affairs Department in such implementation. Please provide information on the measures taken to address the challenge posed by the fiscal system machinery in adopting gender </w:t>
      </w:r>
      <w:r w:rsidR="00F23DA3">
        <w:rPr>
          <w:rFonts w:eastAsia="Calibri"/>
          <w:spacing w:val="4"/>
          <w:w w:val="103"/>
          <w:kern w:val="14"/>
        </w:rPr>
        <w:t>responsive</w:t>
      </w:r>
      <w:r w:rsidRPr="00F56329">
        <w:rPr>
          <w:rFonts w:eastAsia="Calibri"/>
          <w:spacing w:val="4"/>
          <w:w w:val="103"/>
          <w:kern w:val="14"/>
        </w:rPr>
        <w:t xml:space="preserve"> budgets.</w:t>
      </w:r>
      <w:r w:rsidR="00F23DA3">
        <w:rPr>
          <w:rFonts w:eastAsia="Calibri"/>
          <w:spacing w:val="4"/>
          <w:w w:val="103"/>
          <w:kern w:val="14"/>
        </w:rPr>
        <w:t xml:space="preserve"> Please clarify the </w:t>
      </w:r>
      <w:r w:rsidR="00AE45C9">
        <w:rPr>
          <w:rFonts w:eastAsia="Calibri"/>
          <w:spacing w:val="4"/>
          <w:w w:val="103"/>
          <w:kern w:val="14"/>
        </w:rPr>
        <w:t xml:space="preserve">“new approach” in allocating budget to women’s sector </w:t>
      </w:r>
      <w:r w:rsidR="00AE45C9" w:rsidRPr="00AE45C9">
        <w:rPr>
          <w:rFonts w:eastAsia="Calibri"/>
          <w:spacing w:val="4"/>
          <w:w w:val="103"/>
          <w:kern w:val="14"/>
        </w:rPr>
        <w:t>(para. 31)</w:t>
      </w:r>
      <w:r w:rsidR="00AE45C9">
        <w:rPr>
          <w:rFonts w:eastAsia="Calibri"/>
          <w:spacing w:val="4"/>
          <w:w w:val="103"/>
          <w:kern w:val="14"/>
        </w:rPr>
        <w:t>.</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Civil society organizations</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The report indicates that there has been an increase in the number and geographical spread of Omani women’s associations throughout the Sultanate’s governorates (paras. 35 and 76). Please provide further information on the follow-up given to the recommendation made by the Committee (see</w:t>
      </w:r>
      <w:r w:rsidRPr="00F56329">
        <w:t xml:space="preserve"> CEDAW/C/OMN/CO/1</w:t>
      </w:r>
      <w:r w:rsidRPr="00F56329">
        <w:rPr>
          <w:rFonts w:eastAsia="Calibri"/>
          <w:spacing w:val="4"/>
          <w:w w:val="103"/>
          <w:kern w:val="14"/>
        </w:rPr>
        <w:t>, para. 32) and indicate the concrete measures taken to create and ensure an enabling environment, in which civil society and women’s rights organizations can freely operate, and the legal requirements for the registration and operation of non-governmental organizations, including those relating to women’s human rights. Please also indicate measures taken, including legislative measures, to ensure the diversity and independence of civil society organizations and freedom of expression for all sectors of society.</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Temporary special measures</w:t>
      </w:r>
    </w:p>
    <w:p w:rsidR="00F56329" w:rsidRPr="00F56329" w:rsidRDefault="00133EBA" w:rsidP="00FC4AAD">
      <w:pPr>
        <w:pStyle w:val="SingleTxtG"/>
        <w:numPr>
          <w:ilvl w:val="0"/>
          <w:numId w:val="20"/>
        </w:numPr>
        <w:ind w:left="1134" w:firstLine="0"/>
        <w:rPr>
          <w:rFonts w:eastAsia="Calibri"/>
          <w:spacing w:val="4"/>
          <w:w w:val="103"/>
          <w:kern w:val="14"/>
        </w:rPr>
      </w:pPr>
      <w:r>
        <w:rPr>
          <w:rFonts w:eastAsia="Calibri"/>
          <w:spacing w:val="4"/>
          <w:w w:val="103"/>
          <w:kern w:val="14"/>
        </w:rPr>
        <w:t>The report mentions that</w:t>
      </w:r>
      <w:r w:rsidR="00F56329" w:rsidRPr="00F56329">
        <w:rPr>
          <w:rFonts w:eastAsia="Calibri"/>
          <w:spacing w:val="4"/>
          <w:w w:val="103"/>
          <w:kern w:val="14"/>
        </w:rPr>
        <w:t xml:space="preserve"> measures </w:t>
      </w:r>
      <w:r>
        <w:rPr>
          <w:rFonts w:eastAsia="Calibri"/>
          <w:spacing w:val="4"/>
          <w:w w:val="103"/>
          <w:kern w:val="14"/>
        </w:rPr>
        <w:t xml:space="preserve">have been taken </w:t>
      </w:r>
      <w:r w:rsidR="00F56329" w:rsidRPr="00F56329">
        <w:rPr>
          <w:rFonts w:eastAsia="Calibri"/>
          <w:spacing w:val="4"/>
          <w:w w:val="103"/>
          <w:kern w:val="14"/>
        </w:rPr>
        <w:t>for achieving real gender equality in political and decision-making posts, including the issuance of decrees appointing women to the Council of State and to a number of leadership posts (para. 36). In the light of the Committee’s previous concluding observations (</w:t>
      </w:r>
      <w:hyperlink r:id="rId9" w:history="1">
        <w:r w:rsidR="00F56329" w:rsidRPr="00F56329">
          <w:rPr>
            <w:rFonts w:eastAsia="Calibri"/>
            <w:spacing w:val="4"/>
            <w:w w:val="103"/>
            <w:kern w:val="14"/>
          </w:rPr>
          <w:t>CEDAW/C/OMN/CO/1</w:t>
        </w:r>
      </w:hyperlink>
      <w:r w:rsidR="00F56329" w:rsidRPr="00F56329">
        <w:rPr>
          <w:rFonts w:eastAsia="Calibri"/>
          <w:spacing w:val="4"/>
          <w:w w:val="103"/>
          <w:kern w:val="14"/>
        </w:rPr>
        <w:t>, para. 22), please provide information on further steps taken to familiarize relevant officials and political representatives with the concept of temporary special measures described in article 4, paragraph 1, of the Convention, as elaborated in the Committee’s general recommendation No. 25 (2004), and indicate whether such temporary special measures, including quotas and other proactive measures, are envisaged to accelerate the full and equal participation of women in all areas covered by the Convention, particularly in the political and employment spheres.</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Stereotypes and harmful practices</w:t>
      </w:r>
    </w:p>
    <w:p w:rsidR="00FC4AAD"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It is indicated in the report that efforts have been undertaken to change gender stereotypes by promoting a balanced picture of the role of women and men in school curricula, textbooks and </w:t>
      </w:r>
      <w:r w:rsidR="00133EBA">
        <w:rPr>
          <w:rFonts w:eastAsia="Calibri"/>
          <w:spacing w:val="4"/>
          <w:w w:val="103"/>
          <w:kern w:val="14"/>
        </w:rPr>
        <w:t>visual</w:t>
      </w:r>
      <w:r w:rsidR="00133EBA" w:rsidRPr="00F56329">
        <w:rPr>
          <w:rFonts w:eastAsia="Calibri"/>
          <w:spacing w:val="4"/>
          <w:w w:val="103"/>
          <w:kern w:val="14"/>
        </w:rPr>
        <w:t xml:space="preserve"> </w:t>
      </w:r>
      <w:r w:rsidRPr="00F56329">
        <w:rPr>
          <w:rFonts w:eastAsia="Calibri"/>
          <w:spacing w:val="4"/>
          <w:w w:val="103"/>
          <w:kern w:val="14"/>
        </w:rPr>
        <w:t xml:space="preserve">representations of situations of daily life, incorporating concepts of women’s human rights in educational curricula for grades 1-12, and raising awareness through information programmes to emphasize equality in the roles of men and women (paras. 43-44). </w:t>
      </w:r>
      <w:r w:rsidR="00AE45C9">
        <w:rPr>
          <w:rFonts w:eastAsia="Calibri"/>
          <w:spacing w:val="4"/>
          <w:w w:val="103"/>
          <w:kern w:val="14"/>
        </w:rPr>
        <w:t xml:space="preserve">Please indicate if any impact assessment of such programmes has been undertaken and, if so, what is the outcome? </w:t>
      </w:r>
      <w:r w:rsidRPr="00F56329">
        <w:rPr>
          <w:rFonts w:eastAsia="Calibri"/>
          <w:spacing w:val="4"/>
          <w:w w:val="103"/>
          <w:kern w:val="14"/>
        </w:rPr>
        <w:t xml:space="preserve">Please provide information on further measures taken to eliminate the stereotypes that underpin deeply entrenched patriarchal attitudes and reinforce the subordination of women in society. Please provide information on the efforts made, through awareness-raising and educational campaigns targeting religious and community leaders, parents and teachers, to counter stereotypical attitudes towards women and girls. </w:t>
      </w:r>
    </w:p>
    <w:p w:rsidR="00F56329" w:rsidRPr="00F56329" w:rsidRDefault="00F56329" w:rsidP="00EC0DF8">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The report mentions that article 20 of the Child Act prohibits harmful traditional practices and provides sanctions for those promoting or assisting in such practices (para. 46), and that the minimum age of marriage is 18 years for both boys and girls (para. 181). However, the Committee was informed that female genital mutilation has not been explicitly criminalized in the Penal Code and is still widely practiced in the State party, and that a high proportion of girls have been reported to be married before 18, particularly in remote areas. </w:t>
      </w:r>
      <w:r w:rsidR="00EC0DF8">
        <w:rPr>
          <w:rFonts w:eastAsia="Calibri"/>
          <w:spacing w:val="4"/>
          <w:w w:val="103"/>
          <w:kern w:val="14"/>
        </w:rPr>
        <w:t>In line with j</w:t>
      </w:r>
      <w:r w:rsidR="00EC0DF8" w:rsidRPr="00EC0DF8">
        <w:rPr>
          <w:rFonts w:eastAsia="Calibri"/>
          <w:spacing w:val="4"/>
          <w:w w:val="103"/>
          <w:kern w:val="14"/>
        </w:rPr>
        <w:t>oint general recommendation No. 31 of the Committee on the Elimination of Discrimination against Women/general comment No. 18 of the Committee on the Rights of the Child on harmful practices</w:t>
      </w:r>
      <w:r w:rsidR="00EC0DF8">
        <w:rPr>
          <w:rFonts w:eastAsia="Calibri"/>
          <w:spacing w:val="4"/>
          <w:w w:val="103"/>
          <w:kern w:val="14"/>
        </w:rPr>
        <w:t>, p</w:t>
      </w:r>
      <w:r w:rsidRPr="00F56329">
        <w:rPr>
          <w:rFonts w:eastAsia="Calibri"/>
          <w:spacing w:val="4"/>
          <w:w w:val="103"/>
          <w:kern w:val="14"/>
        </w:rPr>
        <w:t>lease provide information on the steps taken to eliminate such harmful practices, including by explicitly criminalizing female genital mutilation and enforcing the legal minimum age of marriage set at 18 years, particularly in remote areas, raising awareness of the many negative consequences of these practices,</w:t>
      </w:r>
      <w:r w:rsidRPr="00F56329">
        <w:t xml:space="preserve"> </w:t>
      </w:r>
      <w:r w:rsidRPr="00F56329">
        <w:rPr>
          <w:rFonts w:eastAsia="Calibri"/>
          <w:spacing w:val="4"/>
          <w:w w:val="103"/>
          <w:kern w:val="14"/>
        </w:rPr>
        <w:t>targeting in particular parents, teachers, religious and community leaders, as well as health and education professionals, and ensuring that perpetrators are prosecuted and adequately punished.</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Violence against women</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The report indicates that the Penal Code contains provisions criminalizing rape as well as physical forms of violence, including beating, harming and wounding (para. 47). </w:t>
      </w:r>
      <w:r w:rsidRPr="00F56329">
        <w:rPr>
          <w:rFonts w:eastAsia="Calibri"/>
          <w:spacing w:val="2"/>
          <w:w w:val="102"/>
          <w:kern w:val="14"/>
        </w:rPr>
        <w:t xml:space="preserve">Please indicate whether steps have been taken to adopt a specific law on violence against women, including domestic and sexual violence, establish appropriate redress mechanisms accessible to all women, including domestic workers, and ensure that perpetrators are prosecuted and adequately punished. Please </w:t>
      </w:r>
      <w:r w:rsidR="00AE45C9">
        <w:rPr>
          <w:rFonts w:eastAsia="Calibri"/>
          <w:spacing w:val="2"/>
          <w:w w:val="102"/>
          <w:kern w:val="14"/>
        </w:rPr>
        <w:t xml:space="preserve">inform the Committee on measures envisaged </w:t>
      </w:r>
      <w:r w:rsidRPr="00F56329">
        <w:rPr>
          <w:rFonts w:eastAsia="Calibri"/>
          <w:spacing w:val="2"/>
          <w:w w:val="102"/>
          <w:kern w:val="14"/>
        </w:rPr>
        <w:t>to amend the Penal Code to criminalize marital rape</w:t>
      </w:r>
      <w:r w:rsidR="00D42891">
        <w:rPr>
          <w:rFonts w:eastAsia="Calibri"/>
          <w:spacing w:val="2"/>
          <w:w w:val="102"/>
          <w:kern w:val="14"/>
        </w:rPr>
        <w:t xml:space="preserve"> and </w:t>
      </w:r>
      <w:r w:rsidRPr="00F56329">
        <w:rPr>
          <w:rFonts w:eastAsia="Calibri"/>
          <w:spacing w:val="2"/>
          <w:w w:val="102"/>
          <w:kern w:val="14"/>
        </w:rPr>
        <w:t xml:space="preserve">non-penetrative forms of sexual assault, and to strengthen sanctions for crimes committed in the name of so-called </w:t>
      </w:r>
      <w:r w:rsidR="003F6716">
        <w:rPr>
          <w:rFonts w:eastAsia="Calibri"/>
          <w:spacing w:val="2"/>
          <w:w w:val="102"/>
          <w:kern w:val="14"/>
        </w:rPr>
        <w:t>“</w:t>
      </w:r>
      <w:r w:rsidRPr="00F56329">
        <w:rPr>
          <w:rFonts w:eastAsia="Calibri"/>
          <w:spacing w:val="2"/>
          <w:w w:val="102"/>
          <w:kern w:val="14"/>
        </w:rPr>
        <w:t>honour</w:t>
      </w:r>
      <w:r w:rsidR="003F6716">
        <w:rPr>
          <w:rFonts w:eastAsia="Calibri"/>
          <w:spacing w:val="2"/>
          <w:w w:val="102"/>
          <w:kern w:val="14"/>
        </w:rPr>
        <w:t>”</w:t>
      </w:r>
      <w:r w:rsidRPr="00F56329">
        <w:rPr>
          <w:rFonts w:eastAsia="Calibri"/>
          <w:spacing w:val="2"/>
          <w:w w:val="102"/>
          <w:kern w:val="14"/>
        </w:rPr>
        <w:t xml:space="preserve">. Please provide data, disaggregated by age, nationality and relationship between the victim and the perpetrator, on cases of violence against women, in particular domestic and sexual violence, reported since 2011, including the number of convictions and sentences imposed. </w:t>
      </w:r>
      <w:r w:rsidRPr="00F56329">
        <w:rPr>
          <w:rFonts w:eastAsia="Calibri"/>
          <w:spacing w:val="4"/>
          <w:w w:val="103"/>
          <w:kern w:val="14"/>
        </w:rPr>
        <w:t xml:space="preserve">Please also comment on </w:t>
      </w:r>
      <w:r w:rsidR="003F6716">
        <w:rPr>
          <w:rFonts w:eastAsia="Calibri"/>
          <w:spacing w:val="4"/>
          <w:w w:val="103"/>
          <w:kern w:val="14"/>
        </w:rPr>
        <w:t>reports received by the Committee</w:t>
      </w:r>
      <w:r w:rsidRPr="00F56329">
        <w:rPr>
          <w:rFonts w:eastAsia="Calibri"/>
          <w:spacing w:val="4"/>
          <w:w w:val="103"/>
          <w:kern w:val="14"/>
        </w:rPr>
        <w:t xml:space="preserve"> according to which women and girls who are victims of sexual abuse</w:t>
      </w:r>
      <w:r w:rsidRPr="00F56329">
        <w:t xml:space="preserve"> </w:t>
      </w:r>
      <w:r w:rsidRPr="00F56329">
        <w:rPr>
          <w:rFonts w:eastAsia="Calibri"/>
          <w:spacing w:val="4"/>
          <w:w w:val="103"/>
          <w:kern w:val="14"/>
        </w:rPr>
        <w:t xml:space="preserve">risk being punished along with the perpetrator if they press charges. </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Please provide further information on measures taken to ensure that women and girls who are victims of violence, including disadvantaged groups of women, have access to effective remedies and protection. Please also provide information on legal, medical and psychological assistance and rehabilitation for victims, in particular in rural areas, and on the number, capacity and geographical distribution of, and the conditions in, shelters. What measures have been taken to address cultural attitudes preventing</w:t>
      </w:r>
      <w:r w:rsidR="003F6716">
        <w:rPr>
          <w:rFonts w:eastAsia="Calibri"/>
          <w:spacing w:val="4"/>
          <w:w w:val="103"/>
          <w:kern w:val="14"/>
        </w:rPr>
        <w:t xml:space="preserve"> or discouraging</w:t>
      </w:r>
      <w:r w:rsidRPr="00F56329">
        <w:rPr>
          <w:rFonts w:eastAsia="Calibri"/>
          <w:spacing w:val="4"/>
          <w:w w:val="103"/>
          <w:kern w:val="14"/>
        </w:rPr>
        <w:t xml:space="preserve"> women from reporting cases of violence? What steps have been taken to systematically collect data on violence against women and girls in the State party?</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Trafficking and exploitation of prostitution</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The report states that a number of measures have been taken to address trafficking in persons, including the issuance of decrees to protect domestic workers from exploitation or trafficking and the provision of a temporary shelter, social and psychological programmes and legal aid to victims (paras. 52-57). However, the Committee received information about persistent cases of w</w:t>
      </w:r>
      <w:r w:rsidR="003F6716">
        <w:rPr>
          <w:rFonts w:eastAsia="Calibri"/>
          <w:spacing w:val="4"/>
          <w:w w:val="103"/>
          <w:kern w:val="14"/>
        </w:rPr>
        <w:t>omen and girls being trafficked</w:t>
      </w:r>
      <w:r w:rsidRPr="00F56329">
        <w:rPr>
          <w:rFonts w:eastAsia="Calibri"/>
          <w:spacing w:val="4"/>
          <w:w w:val="103"/>
          <w:kern w:val="14"/>
        </w:rPr>
        <w:t xml:space="preserve"> for the purpose of forced labour, forced prostitution and domestic servitude, as well as a decrease in prosecutions and convictions for trafficking. Please provide information on the measures adopted for the effective implementation of the Law on Combating Human Trafficking of 2008 and indicate whether the State party has developed a new national action plan to combat trafficking. Please provide information on the human, technical and financial resources allocated to the National Committee to Combat Human Trafficking (para. 59). Please also provide updated data, disaggregated by sex, age and nationality, on the number of victims of trafficking, specifying whether the victims were trafficked for labour or sexual exploitation purposes, and indicate the number of cases investigated, persons prosecuted and convicted and sentences imposed under the Act for the period under consideration. Please provide information on further measures taken to train government officials to recognize and respond appropriately to trafficking offences, expand public awareness programmes that promote the identification of victims and perpetrators, and raise awareness of preventative measures and aven</w:t>
      </w:r>
      <w:r w:rsidR="003F6716">
        <w:rPr>
          <w:rFonts w:eastAsia="Calibri"/>
          <w:spacing w:val="4"/>
          <w:w w:val="103"/>
          <w:kern w:val="14"/>
        </w:rPr>
        <w:t xml:space="preserve">ues for assistance and redress, including the provision of interpretation in the language of the victim. </w:t>
      </w:r>
      <w:r w:rsidRPr="00F56329">
        <w:rPr>
          <w:rFonts w:eastAsia="Calibri"/>
          <w:spacing w:val="4"/>
          <w:w w:val="103"/>
          <w:kern w:val="14"/>
        </w:rPr>
        <w:t xml:space="preserve">Please indicate the measures taken to ensure that victims of trafficking and sexual exploitation are never criminalized or deported for acts committed as a direct result of being trafficked, such as immigration violations or prostitution, and are provided with necessary assistance and protection. </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Participation in political and public life</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The report mentions several awareness-raising and training initiatives to promote the participation of women in political and public life. However, it is acknowledged that cultural and social factors impede women to access high-ranking and decision-making positions (para. 60), as only one per cent of the Consultative Council, 15.4 per cent of the Council of State (on the Sultan’s appointment), three per cent of the municipal councils, and 7.3 per cent of ambassadors are female, while three women currently hold the rank of minister and none has been appointed as judge (paras. 61-85). Please provide information on measures taken to address those obstacles to the advancement of women, including by raising the awareness of society as a whole of the importance of women’s participation in decision-making, and by further enhancing the capacity of women and encouraging their participation in political and public life. Please also indicate whether the State party envisages adopting laws and policies aimed at the promotion of women’s full and equal participation in decision-making in all areas of public, political and professional life, in particular by introducing temporary special measures</w:t>
      </w:r>
      <w:r w:rsidR="003F6716">
        <w:rPr>
          <w:rFonts w:eastAsia="Calibri"/>
          <w:spacing w:val="4"/>
          <w:w w:val="103"/>
          <w:kern w:val="14"/>
        </w:rPr>
        <w:t>, including quotas</w:t>
      </w:r>
      <w:r w:rsidRPr="00F56329">
        <w:rPr>
          <w:rFonts w:eastAsia="Calibri"/>
          <w:spacing w:val="4"/>
          <w:w w:val="103"/>
          <w:kern w:val="14"/>
        </w:rPr>
        <w:t>.</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Nationality</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It is indicated in the report that the new nationality law of 2014 provides, </w:t>
      </w:r>
      <w:r w:rsidRPr="00F56329">
        <w:rPr>
          <w:rFonts w:eastAsia="Calibri"/>
          <w:i/>
          <w:spacing w:val="4"/>
          <w:w w:val="103"/>
          <w:kern w:val="14"/>
        </w:rPr>
        <w:t>inter alia</w:t>
      </w:r>
      <w:r w:rsidRPr="00F56329">
        <w:rPr>
          <w:rFonts w:eastAsia="Calibri"/>
          <w:spacing w:val="4"/>
          <w:w w:val="103"/>
          <w:kern w:val="14"/>
        </w:rPr>
        <w:t xml:space="preserve">, for children born out of wedlock to unidentified parents and for those born to </w:t>
      </w:r>
      <w:proofErr w:type="gramStart"/>
      <w:r w:rsidRPr="00F56329">
        <w:rPr>
          <w:rFonts w:eastAsia="Calibri"/>
          <w:spacing w:val="4"/>
          <w:w w:val="103"/>
          <w:kern w:val="14"/>
        </w:rPr>
        <w:t>a</w:t>
      </w:r>
      <w:proofErr w:type="gramEnd"/>
      <w:r w:rsidRPr="00F56329">
        <w:rPr>
          <w:rFonts w:eastAsia="Calibri"/>
          <w:spacing w:val="4"/>
          <w:w w:val="103"/>
          <w:kern w:val="14"/>
        </w:rPr>
        <w:t xml:space="preserve"> </w:t>
      </w:r>
      <w:r w:rsidR="003F6716">
        <w:rPr>
          <w:rFonts w:eastAsia="Calibri"/>
          <w:spacing w:val="4"/>
          <w:w w:val="103"/>
          <w:kern w:val="14"/>
        </w:rPr>
        <w:t>Omani</w:t>
      </w:r>
      <w:r w:rsidRPr="00F56329">
        <w:rPr>
          <w:rFonts w:eastAsia="Calibri"/>
          <w:spacing w:val="4"/>
          <w:w w:val="103"/>
          <w:kern w:val="14"/>
        </w:rPr>
        <w:t xml:space="preserve"> mother and a foreign father who is either unknown or stateless to be granted Omani nationality (para. 95). Please indicate whether any steps are envisaged to remove the strict conditions placed by article 18 of the new law on an Omani mother married to a foreigner who wishes to pass her citizenship on to her children (para. 96), as well as the discriminatory provisions against women with regard to naturalization of their foreign spouses (paras. 98-99), in order to enable </w:t>
      </w:r>
      <w:r w:rsidR="003F6716">
        <w:rPr>
          <w:rFonts w:eastAsia="Calibri"/>
          <w:spacing w:val="4"/>
          <w:w w:val="103"/>
          <w:kern w:val="14"/>
        </w:rPr>
        <w:t>Omani</w:t>
      </w:r>
      <w:r w:rsidRPr="00F56329">
        <w:rPr>
          <w:rFonts w:eastAsia="Calibri"/>
          <w:spacing w:val="4"/>
          <w:w w:val="103"/>
          <w:kern w:val="14"/>
        </w:rPr>
        <w:t xml:space="preserve"> women to pass their nationality to their foreign spouses and their mutual children on an equal basis with men.</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Education</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The report mentions</w:t>
      </w:r>
      <w:r w:rsidRPr="00F56329">
        <w:rPr>
          <w:lang w:eastAsia="en-GB"/>
        </w:rPr>
        <w:t xml:space="preserve"> </w:t>
      </w:r>
      <w:r w:rsidRPr="00F56329">
        <w:rPr>
          <w:rFonts w:eastAsia="Calibri"/>
          <w:spacing w:val="4"/>
          <w:w w:val="103"/>
          <w:kern w:val="14"/>
        </w:rPr>
        <w:t>the high rates of enrolment of women and girls in all levels of education (paras. 105, 113-15), as well as the measures taken to reduce illiteracy rate (paras. 106-107) and to provide career and vocational programmes (paras. 108-109, 117). Please provide information on the measures taken to further reduce the female illiteracy rate and ensure girls’ access to extracurricular activities and sports activities in schools, especially in rural areas, and to remove discriminatory gender stereotypes from school curricul</w:t>
      </w:r>
      <w:r w:rsidR="003F6716">
        <w:rPr>
          <w:rFonts w:eastAsia="Calibri"/>
          <w:spacing w:val="4"/>
          <w:w w:val="103"/>
          <w:kern w:val="14"/>
        </w:rPr>
        <w:t>a</w:t>
      </w:r>
      <w:r w:rsidRPr="00F56329">
        <w:rPr>
          <w:rFonts w:eastAsia="Calibri"/>
          <w:spacing w:val="4"/>
          <w:w w:val="103"/>
          <w:kern w:val="14"/>
        </w:rPr>
        <w:t xml:space="preserve"> and textbooks. Please also provide information on efforts to reduce the dropout rate of girls, including by addressing the reasons behind the non-completion of schooling. Please indicate whether the State party envisages developing and implementing national strategies and action plans aimed at eliminating traditional stereotypes and structural barriers that might deter the enrolment of girls in non-traditional fields of education at the secondary and tertiary levels. Please describe steps taken in collaboration with the private sector to develop a market need-based, gender-sensitive career guidance programme. Please also provide information on measures taken to ensure that children of migrant women have access to affordable quality education. </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Employment</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The report mentions relevant articles of the Labour Law which affirms the prohibition of sex-discrimination in respect of the same work and prevents an employer from dismissing a female worker for absences due to maternity (para. 25). Please provide updated data on the percentage of women in the labour force disaggregated by field of activity in the public and private sectors and by occupation rate (full-time or part-time). Please provide information on steps taken to address the low participation rate of women in the labour market, especially in the private sector (para. 119), the gender wage gap in both the public and the private sectors, and the continuous horizontal and vertical gender segregation in the labour market. Please also clarify if the new draft Labour Law has been adopted, and whether it comprises a provision that entails equal pay for men and women for work of equal value</w:t>
      </w:r>
      <w:r w:rsidR="0087506D">
        <w:rPr>
          <w:rFonts w:eastAsia="Calibri"/>
          <w:spacing w:val="4"/>
          <w:w w:val="103"/>
          <w:kern w:val="14"/>
        </w:rPr>
        <w:t xml:space="preserve">, as well as an increase in the </w:t>
      </w:r>
      <w:r w:rsidRPr="00F56329">
        <w:rPr>
          <w:rFonts w:eastAsia="Calibri"/>
          <w:spacing w:val="4"/>
          <w:w w:val="103"/>
          <w:kern w:val="14"/>
        </w:rPr>
        <w:t xml:space="preserve">frequency and duration of maternity leave and the setting aside of time for female workers to nurse their </w:t>
      </w:r>
      <w:proofErr w:type="spellStart"/>
      <w:r w:rsidRPr="00F56329">
        <w:rPr>
          <w:rFonts w:eastAsia="Calibri"/>
          <w:spacing w:val="4"/>
          <w:w w:val="103"/>
          <w:kern w:val="14"/>
        </w:rPr>
        <w:t>newborns</w:t>
      </w:r>
      <w:proofErr w:type="spellEnd"/>
      <w:r w:rsidRPr="00F56329">
        <w:rPr>
          <w:rFonts w:eastAsia="Calibri"/>
          <w:spacing w:val="4"/>
          <w:w w:val="103"/>
          <w:kern w:val="14"/>
        </w:rPr>
        <w:t>, as requested by The General Federation of Oman Trade Unions (para. 25).</w:t>
      </w:r>
      <w:r w:rsidRPr="00F56329">
        <w:t xml:space="preserve"> </w:t>
      </w:r>
      <w:r w:rsidRPr="00F56329">
        <w:rPr>
          <w:rFonts w:eastAsia="Calibri"/>
          <w:spacing w:val="4"/>
          <w:w w:val="103"/>
          <w:kern w:val="14"/>
        </w:rPr>
        <w:t xml:space="preserve">Please provide information on further measures taken to provide working women with the necessary support services and to promote the concept of shared family responsibility in order to reconcile professional and family life. Please provide information on measures taken to ensure that the Labour Code covers all cases of sexual harassment in the workplace. </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Health</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It is reported that health indicators for women have improved significantly, particularly in terms of life expectancy, maternal mortality, health care coverage for pregnant women, births under medical supervision, and HIV/AIDS examination during pregnancy (para. 140). Please provide information on steps taken to address any disparities in delivering health services to women and to ensure </w:t>
      </w:r>
      <w:r w:rsidR="0087506D">
        <w:rPr>
          <w:rFonts w:eastAsia="Calibri"/>
          <w:spacing w:val="4"/>
          <w:w w:val="103"/>
          <w:kern w:val="14"/>
        </w:rPr>
        <w:t>quality</w:t>
      </w:r>
      <w:r w:rsidRPr="00F56329">
        <w:rPr>
          <w:rFonts w:eastAsia="Calibri"/>
          <w:spacing w:val="4"/>
          <w:w w:val="103"/>
          <w:kern w:val="14"/>
        </w:rPr>
        <w:t xml:space="preserve"> health services, including sexual and reproductive health services, in particular access to modern and emergency contraceptives, are provided to the largest possible segment of women </w:t>
      </w:r>
      <w:r w:rsidR="0087506D">
        <w:rPr>
          <w:rFonts w:eastAsia="Calibri"/>
          <w:spacing w:val="4"/>
          <w:w w:val="103"/>
          <w:kern w:val="14"/>
        </w:rPr>
        <w:t>both in urban and rural areas</w:t>
      </w:r>
      <w:r w:rsidRPr="00F56329">
        <w:rPr>
          <w:rFonts w:eastAsia="Calibri"/>
          <w:spacing w:val="4"/>
          <w:w w:val="103"/>
          <w:kern w:val="14"/>
        </w:rPr>
        <w:t xml:space="preserve">. Please indicate what steps the State party is taking to amend its legislation on abortion, with a view to including other grounds for performing legal abortions, in addition to threats to the life of the mother, in particular in cases of </w:t>
      </w:r>
      <w:r w:rsidR="00D82E31">
        <w:rPr>
          <w:rFonts w:eastAsia="Calibri"/>
          <w:spacing w:val="4"/>
          <w:w w:val="103"/>
          <w:kern w:val="14"/>
        </w:rPr>
        <w:t xml:space="preserve">serious </w:t>
      </w:r>
      <w:r w:rsidRPr="00F56329">
        <w:rPr>
          <w:rFonts w:eastAsia="Calibri"/>
          <w:spacing w:val="4"/>
          <w:w w:val="103"/>
          <w:kern w:val="14"/>
        </w:rPr>
        <w:t xml:space="preserve">foetal malformation and pregnancies arising from incest and rape (para. 137), as well as to remove punitive measures for women who undergo abortion. Please indicate the number of women who have been held in detention and sentenced for having undergone an abortion in the State party within the reporting period, including information on the length of such detention. Please indicate whether age-appropriate education on sexual and reproductive health and rights as well as responsible sexual behaviour has been integrated into the regular school curricula at both the primary and secondary levels as a </w:t>
      </w:r>
      <w:r w:rsidR="0087506D">
        <w:rPr>
          <w:rFonts w:eastAsia="Calibri"/>
          <w:spacing w:val="4"/>
          <w:w w:val="103"/>
          <w:kern w:val="14"/>
        </w:rPr>
        <w:t>separate</w:t>
      </w:r>
      <w:r w:rsidRPr="00F56329">
        <w:rPr>
          <w:rFonts w:eastAsia="Calibri"/>
          <w:spacing w:val="4"/>
          <w:w w:val="103"/>
          <w:kern w:val="14"/>
        </w:rPr>
        <w:t xml:space="preserve"> subject and is offered by teachers adequately trained (para. 110). </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Women migrant domestic workers</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Please provide information on measures taken or envisaged to reform the </w:t>
      </w:r>
      <w:proofErr w:type="spellStart"/>
      <w:r w:rsidRPr="00F56329">
        <w:rPr>
          <w:rFonts w:eastAsia="Calibri"/>
          <w:i/>
          <w:spacing w:val="4"/>
          <w:w w:val="103"/>
          <w:kern w:val="14"/>
        </w:rPr>
        <w:t>kafala</w:t>
      </w:r>
      <w:proofErr w:type="spellEnd"/>
      <w:r w:rsidRPr="00F56329">
        <w:rPr>
          <w:rFonts w:eastAsia="Calibri"/>
          <w:spacing w:val="4"/>
          <w:w w:val="103"/>
          <w:kern w:val="14"/>
        </w:rPr>
        <w:t xml:space="preserve"> system with a view to combatting exploitative working conditions of women and girls employed as domestic workers, including migrants, protecting them from economic and physical exploitation </w:t>
      </w:r>
      <w:r w:rsidR="0087506D">
        <w:rPr>
          <w:rFonts w:eastAsia="Calibri"/>
          <w:spacing w:val="4"/>
          <w:w w:val="103"/>
          <w:kern w:val="14"/>
        </w:rPr>
        <w:t xml:space="preserve">and abuse </w:t>
      </w:r>
      <w:r w:rsidRPr="00F56329">
        <w:rPr>
          <w:rFonts w:eastAsia="Calibri"/>
          <w:spacing w:val="4"/>
          <w:w w:val="103"/>
          <w:kern w:val="14"/>
        </w:rPr>
        <w:t xml:space="preserve">by their employers and ensuring their freedom to change employers without having to seek permission from their original sponsors. Please also indicate whether steps are envisaged to extend the ambit of the national labour laws to domestic workers, which would serve as a means of reducing their vulnerability to abuse and exploitation by employers and facilitate their enjoyment of all rights. Please provide information on </w:t>
      </w:r>
      <w:r w:rsidR="0087506D">
        <w:rPr>
          <w:rFonts w:eastAsia="Calibri"/>
          <w:spacing w:val="4"/>
          <w:w w:val="103"/>
          <w:kern w:val="14"/>
        </w:rPr>
        <w:t xml:space="preserve">proactive </w:t>
      </w:r>
      <w:r w:rsidRPr="00F56329">
        <w:rPr>
          <w:rFonts w:eastAsia="Calibri"/>
          <w:spacing w:val="4"/>
          <w:w w:val="103"/>
          <w:kern w:val="14"/>
        </w:rPr>
        <w:t>measures taken to intensify e</w:t>
      </w:r>
      <w:r w:rsidR="0087506D">
        <w:rPr>
          <w:rFonts w:eastAsia="Calibri"/>
          <w:spacing w:val="4"/>
          <w:w w:val="103"/>
          <w:kern w:val="14"/>
        </w:rPr>
        <w:t>fforts to prevent</w:t>
      </w:r>
      <w:r w:rsidRPr="00F56329">
        <w:rPr>
          <w:rFonts w:eastAsia="Calibri"/>
          <w:spacing w:val="4"/>
          <w:w w:val="103"/>
          <w:kern w:val="14"/>
        </w:rPr>
        <w:t xml:space="preserve"> abuse of migrant workers, including forced labour, </w:t>
      </w:r>
      <w:r w:rsidR="0087506D">
        <w:rPr>
          <w:rFonts w:eastAsia="Calibri"/>
          <w:spacing w:val="4"/>
          <w:w w:val="103"/>
          <w:kern w:val="14"/>
        </w:rPr>
        <w:t xml:space="preserve">and </w:t>
      </w:r>
      <w:r w:rsidRPr="00F56329">
        <w:rPr>
          <w:rFonts w:eastAsia="Calibri"/>
          <w:spacing w:val="4"/>
          <w:w w:val="103"/>
          <w:kern w:val="14"/>
        </w:rPr>
        <w:t>to</w:t>
      </w:r>
      <w:r w:rsidR="0087506D">
        <w:rPr>
          <w:rFonts w:eastAsia="Calibri"/>
          <w:spacing w:val="4"/>
          <w:w w:val="103"/>
          <w:kern w:val="14"/>
        </w:rPr>
        <w:t xml:space="preserve"> effectively investigate the cases and</w:t>
      </w:r>
      <w:r w:rsidRPr="00F56329">
        <w:rPr>
          <w:rFonts w:eastAsia="Calibri"/>
          <w:spacing w:val="4"/>
          <w:w w:val="103"/>
          <w:kern w:val="14"/>
        </w:rPr>
        <w:t xml:space="preserve"> prosecute </w:t>
      </w:r>
      <w:r w:rsidR="0087506D">
        <w:rPr>
          <w:rFonts w:eastAsia="Calibri"/>
          <w:spacing w:val="4"/>
          <w:w w:val="103"/>
          <w:kern w:val="14"/>
        </w:rPr>
        <w:t>perpetrators</w:t>
      </w:r>
      <w:r w:rsidRPr="00F56329">
        <w:rPr>
          <w:rFonts w:eastAsia="Calibri"/>
          <w:spacing w:val="4"/>
          <w:w w:val="103"/>
          <w:kern w:val="14"/>
        </w:rPr>
        <w:t>, and to increase the number of qualified and trained labour inspectors. Please provide information on specific steps taken by the State party to ensure that women domestic migrant workers are aware of their rights and have access to legal aid and protection, including shelters, as well as to effective legal recourse in criminal and civil courts. Please also indicate measures taken to effectively enforce the regulations prohibiting the confiscation of the passports of domestic workers. Please provide detailed information on the number of cases of arrest and prosecution for using forced labour, for being involved in trafficking for forced labour and for having mistreated a domestic worker, as well as information on the nature of the sanctions imposed in those cases.</w:t>
      </w:r>
      <w:r w:rsidR="00211A22">
        <w:rPr>
          <w:rFonts w:eastAsia="Calibri"/>
          <w:spacing w:val="4"/>
          <w:w w:val="103"/>
          <w:kern w:val="14"/>
        </w:rPr>
        <w:t xml:space="preserve"> </w:t>
      </w:r>
      <w:r w:rsidRPr="00F56329">
        <w:rPr>
          <w:rFonts w:eastAsia="Calibri"/>
          <w:spacing w:val="4"/>
          <w:w w:val="103"/>
          <w:kern w:val="14"/>
        </w:rPr>
        <w:t xml:space="preserve">Please also indicate </w:t>
      </w:r>
      <w:r w:rsidR="007D211D">
        <w:rPr>
          <w:rFonts w:eastAsia="Calibri"/>
          <w:spacing w:val="4"/>
          <w:w w:val="103"/>
          <w:kern w:val="14"/>
        </w:rPr>
        <w:t>if any steps</w:t>
      </w:r>
      <w:r w:rsidRPr="00F56329">
        <w:rPr>
          <w:rFonts w:eastAsia="Calibri"/>
          <w:spacing w:val="4"/>
          <w:w w:val="103"/>
          <w:kern w:val="14"/>
        </w:rPr>
        <w:t xml:space="preserve"> </w:t>
      </w:r>
      <w:r w:rsidR="007D211D">
        <w:rPr>
          <w:rFonts w:eastAsia="Calibri"/>
          <w:spacing w:val="4"/>
          <w:w w:val="103"/>
          <w:kern w:val="14"/>
        </w:rPr>
        <w:t>have been taken</w:t>
      </w:r>
      <w:r w:rsidRPr="00F56329">
        <w:rPr>
          <w:rFonts w:eastAsia="Calibri"/>
          <w:spacing w:val="4"/>
          <w:w w:val="103"/>
          <w:kern w:val="14"/>
        </w:rPr>
        <w:t xml:space="preserve"> to ratify the International Convention on the Protection of the Rights of All Migrant Workers and Members of Their Families</w:t>
      </w:r>
      <w:r w:rsidR="007D211D">
        <w:rPr>
          <w:rFonts w:eastAsia="Calibri"/>
          <w:spacing w:val="4"/>
          <w:w w:val="103"/>
          <w:kern w:val="14"/>
        </w:rPr>
        <w:t>, pursuant to the Committee’s previous concluding observations (</w:t>
      </w:r>
      <w:r w:rsidR="009840B6" w:rsidRPr="009840B6">
        <w:rPr>
          <w:rFonts w:eastAsia="Calibri"/>
          <w:spacing w:val="4"/>
          <w:w w:val="103"/>
          <w:kern w:val="14"/>
        </w:rPr>
        <w:t>CEDAW/C/OMN/CO/1</w:t>
      </w:r>
      <w:r w:rsidR="009840B6">
        <w:rPr>
          <w:rFonts w:eastAsia="Calibri"/>
          <w:spacing w:val="4"/>
          <w:w w:val="103"/>
          <w:kern w:val="14"/>
        </w:rPr>
        <w:t>, para. 50</w:t>
      </w:r>
      <w:r w:rsidR="007D211D">
        <w:rPr>
          <w:rFonts w:eastAsia="Calibri"/>
          <w:spacing w:val="4"/>
          <w:w w:val="103"/>
          <w:kern w:val="14"/>
        </w:rPr>
        <w:t>), as well as</w:t>
      </w:r>
      <w:r w:rsidRPr="00F56329">
        <w:rPr>
          <w:rFonts w:eastAsia="Calibri"/>
          <w:spacing w:val="4"/>
          <w:w w:val="103"/>
          <w:kern w:val="14"/>
        </w:rPr>
        <w:t xml:space="preserve"> the </w:t>
      </w:r>
      <w:r w:rsidR="007D211D">
        <w:rPr>
          <w:rFonts w:eastAsia="Calibri"/>
          <w:spacing w:val="4"/>
          <w:w w:val="103"/>
          <w:kern w:val="14"/>
        </w:rPr>
        <w:t xml:space="preserve">ILO Convention No. 189 on </w:t>
      </w:r>
      <w:r w:rsidRPr="00F56329">
        <w:rPr>
          <w:rFonts w:eastAsia="Calibri"/>
          <w:spacing w:val="4"/>
          <w:w w:val="103"/>
          <w:kern w:val="14"/>
        </w:rPr>
        <w:t>Domestic Workers.</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 xml:space="preserve">Equality before the law and in civil matters </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Please </w:t>
      </w:r>
      <w:r w:rsidR="007D211D">
        <w:rPr>
          <w:rFonts w:eastAsia="Calibri"/>
          <w:spacing w:val="4"/>
          <w:w w:val="103"/>
          <w:kern w:val="14"/>
        </w:rPr>
        <w:t>indicate if</w:t>
      </w:r>
      <w:r w:rsidRPr="00F56329">
        <w:rPr>
          <w:rFonts w:eastAsia="Calibri"/>
          <w:spacing w:val="4"/>
          <w:w w:val="103"/>
          <w:kern w:val="14"/>
        </w:rPr>
        <w:t xml:space="preserve"> </w:t>
      </w:r>
      <w:r w:rsidR="007D211D">
        <w:rPr>
          <w:rFonts w:eastAsia="Calibri"/>
          <w:spacing w:val="4"/>
          <w:w w:val="103"/>
          <w:kern w:val="14"/>
        </w:rPr>
        <w:t xml:space="preserve">the existing </w:t>
      </w:r>
      <w:r w:rsidRPr="00F56329">
        <w:rPr>
          <w:rFonts w:eastAsia="Calibri"/>
          <w:spacing w:val="4"/>
          <w:w w:val="103"/>
          <w:kern w:val="14"/>
        </w:rPr>
        <w:t xml:space="preserve">legal provisions, according to which a woman’s testimony is worth half that of a man before a court, in criminal matters and in some civil matters, </w:t>
      </w:r>
      <w:r w:rsidR="007D211D">
        <w:rPr>
          <w:rFonts w:eastAsia="Calibri"/>
          <w:spacing w:val="4"/>
          <w:w w:val="103"/>
          <w:kern w:val="14"/>
        </w:rPr>
        <w:t>would be reviewed and repealed</w:t>
      </w:r>
      <w:r w:rsidRPr="00F56329">
        <w:rPr>
          <w:rFonts w:eastAsia="Calibri"/>
          <w:spacing w:val="4"/>
          <w:w w:val="103"/>
          <w:kern w:val="14"/>
        </w:rPr>
        <w:t xml:space="preserve"> with the aim of eliminating gender-based discrimination and ensuring equality before the law. Please clarify whether relevant laws have been amended to guarantee women the same freedom of movement as men, in line with the Council of Ministers’ decision to withdraw the reservation to article 15 (4) of the Convention. Please comment on information received by the Committee according to which women are still required to have the permission of their father, husband or male guardian to obtain a passport and travel outside the country, in spite of the adoption of Royal Decree No. 11/2010 which amend</w:t>
      </w:r>
      <w:r w:rsidR="00D82E31">
        <w:rPr>
          <w:rFonts w:eastAsia="Calibri"/>
          <w:spacing w:val="4"/>
          <w:w w:val="103"/>
          <w:kern w:val="14"/>
        </w:rPr>
        <w:t>ed</w:t>
      </w:r>
      <w:r w:rsidRPr="00F56329">
        <w:rPr>
          <w:rFonts w:eastAsia="Calibri"/>
          <w:spacing w:val="4"/>
          <w:w w:val="103"/>
          <w:kern w:val="14"/>
        </w:rPr>
        <w:t xml:space="preserve"> the Passport Law to entitle a woman to obtain a passport without needing her guardian’s consent (para. 45).</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 xml:space="preserve">Marriage and family relations </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 xml:space="preserve">Please indicate the measures taken to repeal the provisions of the Personal Status Law which continue to discriminate against women, such as those relating to polygamy, divorce, custody of children and inheritance, and those which impose male guardianship over women. Please </w:t>
      </w:r>
      <w:r w:rsidR="007D211D">
        <w:rPr>
          <w:rFonts w:eastAsia="Calibri"/>
          <w:spacing w:val="4"/>
          <w:w w:val="103"/>
          <w:kern w:val="14"/>
        </w:rPr>
        <w:t>further indicate steps taken to repeal the legal provisions which</w:t>
      </w:r>
      <w:r w:rsidR="009840B6">
        <w:rPr>
          <w:rFonts w:eastAsia="Calibri"/>
          <w:spacing w:val="4"/>
          <w:w w:val="103"/>
          <w:kern w:val="14"/>
        </w:rPr>
        <w:t xml:space="preserve"> authorize</w:t>
      </w:r>
      <w:r w:rsidRPr="00F56329">
        <w:rPr>
          <w:rFonts w:eastAsia="Calibri"/>
          <w:spacing w:val="4"/>
          <w:w w:val="103"/>
          <w:kern w:val="14"/>
        </w:rPr>
        <w:t xml:space="preserve"> a man to unilaterally divorce his wife, whereas a woman who wishes to divorce her husband must apply for a court order, which may be granted only on limited grounds. Please also provide information on the outcome of the cases which were brought before </w:t>
      </w:r>
      <w:r w:rsidR="009840B6">
        <w:rPr>
          <w:rFonts w:eastAsia="Calibri"/>
          <w:spacing w:val="4"/>
          <w:w w:val="103"/>
          <w:kern w:val="14"/>
        </w:rPr>
        <w:t xml:space="preserve">the Sharia courts </w:t>
      </w:r>
      <w:r w:rsidRPr="00F56329">
        <w:rPr>
          <w:rFonts w:eastAsia="Calibri"/>
          <w:spacing w:val="4"/>
          <w:w w:val="103"/>
          <w:kern w:val="14"/>
        </w:rPr>
        <w:t>in application of Royal Decree No. 55/2010</w:t>
      </w:r>
      <w:r w:rsidR="009840B6">
        <w:rPr>
          <w:rFonts w:eastAsia="Calibri"/>
          <w:spacing w:val="4"/>
          <w:w w:val="103"/>
          <w:kern w:val="14"/>
        </w:rPr>
        <w:t xml:space="preserve">, as well as the 263 cases directly appealed to his Majesty the Sultan </w:t>
      </w:r>
      <w:r w:rsidRPr="00F56329">
        <w:rPr>
          <w:rFonts w:eastAsia="Calibri"/>
          <w:spacing w:val="4"/>
          <w:w w:val="103"/>
          <w:kern w:val="14"/>
        </w:rPr>
        <w:t xml:space="preserve">(para. 19). Please indicate whether the State party may consider the possibility of introducing an optional system of civil marriage and divorce available for all. Please also indicate the steps taken to bring the Personal Status Law in line with the Convention and other international legally binding instruments, taking into consideration the experience of countries with similar </w:t>
      </w:r>
      <w:r w:rsidR="009840B6">
        <w:rPr>
          <w:rFonts w:eastAsia="Calibri"/>
          <w:spacing w:val="4"/>
          <w:w w:val="103"/>
          <w:kern w:val="14"/>
        </w:rPr>
        <w:t xml:space="preserve">socio-cultural and </w:t>
      </w:r>
      <w:r w:rsidRPr="00F56329">
        <w:rPr>
          <w:rFonts w:eastAsia="Calibri"/>
          <w:spacing w:val="4"/>
          <w:w w:val="103"/>
          <w:kern w:val="14"/>
        </w:rPr>
        <w:t>religious</w:t>
      </w:r>
      <w:r w:rsidR="00211A22">
        <w:rPr>
          <w:rFonts w:eastAsia="Calibri"/>
          <w:spacing w:val="4"/>
          <w:w w:val="103"/>
          <w:kern w:val="14"/>
        </w:rPr>
        <w:t xml:space="preserve"> backgrounds and legal systems.</w:t>
      </w:r>
    </w:p>
    <w:p w:rsidR="00F56329" w:rsidRPr="00F56329" w:rsidRDefault="00F56329" w:rsidP="00FC4AAD">
      <w:pPr>
        <w:pStyle w:val="H23G"/>
        <w:rPr>
          <w:rFonts w:eastAsia="Calibri"/>
          <w:w w:val="103"/>
        </w:rPr>
      </w:pPr>
      <w:r w:rsidRPr="00F56329">
        <w:rPr>
          <w:rFonts w:eastAsia="Calibri"/>
          <w:w w:val="103"/>
        </w:rPr>
        <w:tab/>
      </w:r>
      <w:r w:rsidRPr="00F56329">
        <w:rPr>
          <w:rFonts w:eastAsia="Calibri"/>
          <w:w w:val="103"/>
        </w:rPr>
        <w:tab/>
        <w:t xml:space="preserve">Optional Protocol and amendment to article 20 (1) </w:t>
      </w:r>
    </w:p>
    <w:p w:rsidR="00F56329" w:rsidRPr="00F56329" w:rsidRDefault="00F56329" w:rsidP="00FC4AAD">
      <w:pPr>
        <w:pStyle w:val="SingleTxtG"/>
        <w:numPr>
          <w:ilvl w:val="0"/>
          <w:numId w:val="20"/>
        </w:numPr>
        <w:ind w:left="1134" w:firstLine="0"/>
        <w:rPr>
          <w:rFonts w:eastAsia="Calibri"/>
          <w:spacing w:val="4"/>
          <w:w w:val="103"/>
          <w:kern w:val="14"/>
        </w:rPr>
      </w:pPr>
      <w:r w:rsidRPr="00F56329">
        <w:rPr>
          <w:rFonts w:eastAsia="Calibri"/>
          <w:spacing w:val="4"/>
          <w:w w:val="103"/>
          <w:kern w:val="14"/>
        </w:rPr>
        <w:t>It is indicated in the report of the Working Group on the Universal Periodic Review that the State party did not support a recommendation that it ratify the Optional Protocol to the Convention (A/HRC/31/11/Add.1, paras. 129.39 and 129.40). Please indicate whether any progress has been made towards accession</w:t>
      </w:r>
      <w:r w:rsidR="00ED1BE3">
        <w:rPr>
          <w:rFonts w:eastAsia="Calibri"/>
          <w:spacing w:val="4"/>
          <w:w w:val="103"/>
          <w:kern w:val="14"/>
        </w:rPr>
        <w:t xml:space="preserve"> of the Optional Protocol</w:t>
      </w:r>
      <w:r w:rsidRPr="00F56329">
        <w:rPr>
          <w:rFonts w:eastAsia="Calibri"/>
          <w:spacing w:val="4"/>
          <w:w w:val="103"/>
          <w:kern w:val="14"/>
        </w:rPr>
        <w:t xml:space="preserve"> since the second cycle of the universal periodic review, in 2015, and towards the acceptance of the amendment to article 20, paragraph 1, of the Convention.</w:t>
      </w:r>
    </w:p>
    <w:p w:rsidR="0076656B" w:rsidRPr="009036C9" w:rsidRDefault="0076656B" w:rsidP="009036C9">
      <w:pPr>
        <w:pStyle w:val="SingleTxtG"/>
        <w:spacing w:before="240" w:after="0"/>
        <w:jc w:val="center"/>
        <w:rPr>
          <w:rFonts w:eastAsiaTheme="minorEastAsia"/>
          <w:b/>
          <w:u w:val="single"/>
        </w:rPr>
      </w:pPr>
      <w:r>
        <w:rPr>
          <w:rFonts w:eastAsiaTheme="minorEastAsia"/>
          <w:u w:val="single"/>
        </w:rPr>
        <w:tab/>
      </w:r>
      <w:r>
        <w:rPr>
          <w:rFonts w:eastAsiaTheme="minorEastAsia"/>
          <w:u w:val="single"/>
        </w:rPr>
        <w:tab/>
      </w:r>
      <w:r>
        <w:rPr>
          <w:rFonts w:eastAsiaTheme="minorEastAsia"/>
          <w:u w:val="single"/>
        </w:rPr>
        <w:tab/>
      </w:r>
    </w:p>
    <w:sectPr w:rsidR="0076656B" w:rsidRPr="009036C9" w:rsidSect="00211A2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088" w:rsidRDefault="000B0088"/>
  </w:endnote>
  <w:endnote w:type="continuationSeparator" w:id="0">
    <w:p w:rsidR="000B0088" w:rsidRDefault="000B0088"/>
  </w:endnote>
  <w:endnote w:type="continuationNotice" w:id="1">
    <w:p w:rsidR="000B0088" w:rsidRDefault="000B00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088" w:rsidRPr="002035BB" w:rsidRDefault="000B0088" w:rsidP="002035BB">
    <w:pPr>
      <w:pStyle w:val="Footer"/>
      <w:tabs>
        <w:tab w:val="right" w:pos="9638"/>
      </w:tabs>
    </w:pPr>
    <w:r w:rsidRPr="002035BB">
      <w:rPr>
        <w:b/>
        <w:sz w:val="18"/>
      </w:rPr>
      <w:fldChar w:fldCharType="begin"/>
    </w:r>
    <w:r w:rsidRPr="002035BB">
      <w:rPr>
        <w:b/>
        <w:sz w:val="18"/>
      </w:rPr>
      <w:instrText xml:space="preserve"> PAGE  \* MERGEFORMAT </w:instrText>
    </w:r>
    <w:r w:rsidRPr="002035BB">
      <w:rPr>
        <w:b/>
        <w:sz w:val="18"/>
      </w:rPr>
      <w:fldChar w:fldCharType="separate"/>
    </w:r>
    <w:r w:rsidR="00242FD0">
      <w:rPr>
        <w:b/>
        <w:noProof/>
        <w:sz w:val="18"/>
      </w:rPr>
      <w:t>8</w:t>
    </w:r>
    <w:r w:rsidRPr="002035B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088" w:rsidRPr="002035BB" w:rsidRDefault="000B0088" w:rsidP="002035BB">
    <w:pPr>
      <w:pStyle w:val="Footer"/>
      <w:tabs>
        <w:tab w:val="right" w:pos="9638"/>
      </w:tabs>
      <w:rPr>
        <w:b/>
        <w:sz w:val="18"/>
      </w:rPr>
    </w:pPr>
    <w:r>
      <w:tab/>
    </w:r>
    <w:r w:rsidRPr="002035BB">
      <w:rPr>
        <w:b/>
        <w:sz w:val="18"/>
      </w:rPr>
      <w:fldChar w:fldCharType="begin"/>
    </w:r>
    <w:r w:rsidRPr="002035BB">
      <w:rPr>
        <w:b/>
        <w:sz w:val="18"/>
      </w:rPr>
      <w:instrText xml:space="preserve"> PAGE  \* MERGEFORMAT </w:instrText>
    </w:r>
    <w:r w:rsidRPr="002035BB">
      <w:rPr>
        <w:b/>
        <w:sz w:val="18"/>
      </w:rPr>
      <w:fldChar w:fldCharType="separate"/>
    </w:r>
    <w:r w:rsidR="00242FD0">
      <w:rPr>
        <w:b/>
        <w:noProof/>
        <w:sz w:val="18"/>
      </w:rPr>
      <w:t>7</w:t>
    </w:r>
    <w:r w:rsidRPr="002035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088" w:rsidRPr="002035BB" w:rsidRDefault="000B0088" w:rsidP="009B4A1B">
    <w:pPr>
      <w:pStyle w:val="Footer"/>
      <w:rPr>
        <w:sz w:val="20"/>
      </w:rPr>
    </w:pPr>
    <w:r>
      <w:rPr>
        <w:noProof/>
        <w:lang w:val="en-US" w:eastAsia="zh-CN"/>
      </w:rPr>
      <w:drawing>
        <wp:anchor distT="0" distB="0" distL="114300" distR="114300" simplePos="0" relativeHeight="251657728" behindDoc="0" locked="1" layoutInCell="1" allowOverlap="1" wp14:anchorId="0F0C0113" wp14:editId="5A91E09C">
          <wp:simplePos x="0" y="0"/>
          <wp:positionH relativeFrom="column">
            <wp:posOffset>5148580</wp:posOffset>
          </wp:positionH>
          <wp:positionV relativeFrom="paragraph">
            <wp:posOffset>-108585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088" w:rsidRPr="000B175B" w:rsidRDefault="000B0088" w:rsidP="000B175B">
      <w:pPr>
        <w:tabs>
          <w:tab w:val="right" w:pos="2155"/>
        </w:tabs>
        <w:spacing w:after="80"/>
        <w:ind w:left="680"/>
        <w:rPr>
          <w:u w:val="single"/>
        </w:rPr>
      </w:pPr>
      <w:r>
        <w:rPr>
          <w:u w:val="single"/>
        </w:rPr>
        <w:tab/>
      </w:r>
    </w:p>
  </w:footnote>
  <w:footnote w:type="continuationSeparator" w:id="0">
    <w:p w:rsidR="000B0088" w:rsidRPr="00FC68B7" w:rsidRDefault="000B0088" w:rsidP="00FC68B7">
      <w:pPr>
        <w:tabs>
          <w:tab w:val="left" w:pos="2155"/>
        </w:tabs>
        <w:spacing w:after="80"/>
        <w:ind w:left="680"/>
        <w:rPr>
          <w:u w:val="single"/>
        </w:rPr>
      </w:pPr>
      <w:r>
        <w:rPr>
          <w:u w:val="single"/>
        </w:rPr>
        <w:tab/>
      </w:r>
    </w:p>
  </w:footnote>
  <w:footnote w:type="continuationNotice" w:id="1">
    <w:p w:rsidR="000B0088" w:rsidRDefault="000B0088"/>
  </w:footnote>
  <w:footnote w:id="2">
    <w:p w:rsidR="00FC4AAD" w:rsidRDefault="00FC4AAD" w:rsidP="00FC4AAD">
      <w:pPr>
        <w:pStyle w:val="FootnoteText"/>
        <w:widowControl w:val="0"/>
        <w:tabs>
          <w:tab w:val="clear" w:pos="1021"/>
          <w:tab w:val="right" w:pos="1020"/>
        </w:tabs>
        <w:rPr>
          <w:lang w:val="en-US"/>
        </w:rPr>
      </w:pPr>
      <w:r>
        <w:tab/>
      </w:r>
      <w:r>
        <w:rPr>
          <w:rStyle w:val="FootnoteReference"/>
        </w:rPr>
        <w:footnoteRef/>
      </w:r>
      <w:r>
        <w:tab/>
      </w:r>
      <w:r w:rsidRPr="00FC4AAD">
        <w:t>Unless otherwise indicated, paragraph numbers refer to the combined second and third periodic reports of Oman</w:t>
      </w:r>
      <w:r w:rsidRPr="00FC4AAD">
        <w:rPr>
          <w:lang w:val="en-US"/>
        </w:rPr>
        <w:t>.</w:t>
      </w:r>
    </w:p>
    <w:p w:rsidR="00242FD0" w:rsidRPr="00753FC2" w:rsidRDefault="00242FD0" w:rsidP="00242FD0">
      <w:pPr>
        <w:pStyle w:val="FootnoteText"/>
        <w:tabs>
          <w:tab w:val="clear" w:pos="1021"/>
          <w:tab w:val="right" w:pos="1020"/>
          <w:tab w:val="right" w:pos="1350"/>
          <w:tab w:val="left" w:pos="1440"/>
          <w:tab w:val="left" w:pos="1742"/>
          <w:tab w:val="left" w:pos="2218"/>
          <w:tab w:val="left" w:pos="2693"/>
          <w:tab w:val="left" w:pos="3182"/>
          <w:tab w:val="left" w:pos="3658"/>
          <w:tab w:val="left" w:pos="4133"/>
          <w:tab w:val="left" w:pos="4622"/>
          <w:tab w:val="left" w:pos="5098"/>
          <w:tab w:val="left" w:pos="5573"/>
          <w:tab w:val="left" w:pos="6048"/>
        </w:tabs>
        <w:ind w:left="1440" w:right="1260" w:hanging="576"/>
      </w:pPr>
      <w:r>
        <w:rPr>
          <w:rStyle w:val="FootnoteReference"/>
        </w:rPr>
        <w:tab/>
      </w:r>
      <w:r>
        <w:rPr>
          <w:i/>
        </w:rPr>
        <w:t>Note</w:t>
      </w:r>
      <w:r>
        <w:t>: The present document is being circulated in English, French and Spanish only.</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088" w:rsidRPr="002035BB" w:rsidRDefault="000B0088">
    <w:pPr>
      <w:pStyle w:val="Header"/>
    </w:pPr>
    <w:r>
      <w:t>CEDAW/C/</w:t>
    </w:r>
    <w:r w:rsidR="00F56329">
      <w:t>OMN/Q/2-3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088" w:rsidRPr="002035BB" w:rsidRDefault="000B0088" w:rsidP="002035BB">
    <w:pPr>
      <w:pStyle w:val="Header"/>
      <w:jc w:val="right"/>
    </w:pPr>
    <w:r>
      <w:t>CEDAW/C/</w:t>
    </w:r>
    <w:r w:rsidR="006810A6">
      <w:t>SGP</w:t>
    </w:r>
    <w:r>
      <w:t>/Q/</w:t>
    </w:r>
    <w:r w:rsidR="006810A6">
      <w:t>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2947A68"/>
    <w:multiLevelType w:val="hybridMultilevel"/>
    <w:tmpl w:val="22C40B6C"/>
    <w:lvl w:ilvl="0" w:tplc="58FAD30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98657D"/>
    <w:multiLevelType w:val="hybridMultilevel"/>
    <w:tmpl w:val="3C1C531A"/>
    <w:lvl w:ilvl="0" w:tplc="A8900D58">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5B13233"/>
    <w:multiLevelType w:val="hybridMultilevel"/>
    <w:tmpl w:val="41665EE2"/>
    <w:lvl w:ilvl="0" w:tplc="69D2233C">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F005C55"/>
    <w:multiLevelType w:val="hybridMultilevel"/>
    <w:tmpl w:val="F52AE6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474A15D4"/>
    <w:multiLevelType w:val="hybridMultilevel"/>
    <w:tmpl w:val="4B38FC0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95B6B52"/>
    <w:multiLevelType w:val="hybridMultilevel"/>
    <w:tmpl w:val="D13CA2CA"/>
    <w:lvl w:ilvl="0" w:tplc="A34C1AB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3"/>
  </w:num>
  <w:num w:numId="13">
    <w:abstractNumId w:val="11"/>
  </w:num>
  <w:num w:numId="14">
    <w:abstractNumId w:val="10"/>
  </w:num>
  <w:num w:numId="15">
    <w:abstractNumId w:val="20"/>
  </w:num>
  <w:num w:numId="16">
    <w:abstractNumId w:val="18"/>
  </w:num>
  <w:num w:numId="17">
    <w:abstractNumId w:val="12"/>
  </w:num>
  <w:num w:numId="18">
    <w:abstractNumId w:val="16"/>
  </w:num>
  <w:num w:numId="19">
    <w:abstractNumId w:val="14"/>
  </w:num>
  <w:num w:numId="20">
    <w:abstractNumId w:val="17"/>
  </w:num>
  <w:num w:numId="21">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readOnly" w:enforcement="1" w:cryptProviderType="rsaFull" w:cryptAlgorithmClass="hash" w:cryptAlgorithmType="typeAny" w:cryptAlgorithmSid="4" w:cryptSpinCount="100000" w:hash="8kDCP8oThDU2D/E/2zt02t+2VbI=" w:salt="c9nbMjNdnCxqhl6iO3+3Hw=="/>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5BB"/>
    <w:rsid w:val="0000351D"/>
    <w:rsid w:val="00004DA9"/>
    <w:rsid w:val="00022AA2"/>
    <w:rsid w:val="00024CA2"/>
    <w:rsid w:val="00032FF2"/>
    <w:rsid w:val="00050F6B"/>
    <w:rsid w:val="000551DC"/>
    <w:rsid w:val="00072C8C"/>
    <w:rsid w:val="000733B5"/>
    <w:rsid w:val="00077485"/>
    <w:rsid w:val="000931C0"/>
    <w:rsid w:val="00094B9A"/>
    <w:rsid w:val="000A5D3B"/>
    <w:rsid w:val="000B0088"/>
    <w:rsid w:val="000B175B"/>
    <w:rsid w:val="000B3A0F"/>
    <w:rsid w:val="000B4EF7"/>
    <w:rsid w:val="000C1462"/>
    <w:rsid w:val="000C2D2E"/>
    <w:rsid w:val="000E0415"/>
    <w:rsid w:val="00100CF7"/>
    <w:rsid w:val="001023FC"/>
    <w:rsid w:val="001103AA"/>
    <w:rsid w:val="00115F24"/>
    <w:rsid w:val="00122625"/>
    <w:rsid w:val="00133EBA"/>
    <w:rsid w:val="00137AD8"/>
    <w:rsid w:val="00137F1C"/>
    <w:rsid w:val="00141DFB"/>
    <w:rsid w:val="0014716A"/>
    <w:rsid w:val="00152B9E"/>
    <w:rsid w:val="00155467"/>
    <w:rsid w:val="00180D95"/>
    <w:rsid w:val="0018711F"/>
    <w:rsid w:val="00194A40"/>
    <w:rsid w:val="001B0E30"/>
    <w:rsid w:val="001B4B04"/>
    <w:rsid w:val="001C6663"/>
    <w:rsid w:val="001C7895"/>
    <w:rsid w:val="001D26DF"/>
    <w:rsid w:val="001D2A2A"/>
    <w:rsid w:val="001E2A5F"/>
    <w:rsid w:val="001E3498"/>
    <w:rsid w:val="001E5211"/>
    <w:rsid w:val="001E5AA0"/>
    <w:rsid w:val="001E7984"/>
    <w:rsid w:val="001F11F8"/>
    <w:rsid w:val="00202DA8"/>
    <w:rsid w:val="002035BB"/>
    <w:rsid w:val="0020644B"/>
    <w:rsid w:val="00206895"/>
    <w:rsid w:val="00211A22"/>
    <w:rsid w:val="00211E0B"/>
    <w:rsid w:val="00240FE6"/>
    <w:rsid w:val="00242FD0"/>
    <w:rsid w:val="00282106"/>
    <w:rsid w:val="00292F03"/>
    <w:rsid w:val="002B0464"/>
    <w:rsid w:val="002B6071"/>
    <w:rsid w:val="002C10CE"/>
    <w:rsid w:val="002C6D5C"/>
    <w:rsid w:val="002D2BE7"/>
    <w:rsid w:val="002E6445"/>
    <w:rsid w:val="002F175C"/>
    <w:rsid w:val="00316264"/>
    <w:rsid w:val="003229D8"/>
    <w:rsid w:val="003305AB"/>
    <w:rsid w:val="00352709"/>
    <w:rsid w:val="00363D6F"/>
    <w:rsid w:val="00370054"/>
    <w:rsid w:val="00371178"/>
    <w:rsid w:val="003A4810"/>
    <w:rsid w:val="003A6810"/>
    <w:rsid w:val="003C2CC4"/>
    <w:rsid w:val="003D4B23"/>
    <w:rsid w:val="003F6716"/>
    <w:rsid w:val="003F689E"/>
    <w:rsid w:val="00405DDC"/>
    <w:rsid w:val="00410C89"/>
    <w:rsid w:val="004325CB"/>
    <w:rsid w:val="0045495B"/>
    <w:rsid w:val="00464C1C"/>
    <w:rsid w:val="004727B6"/>
    <w:rsid w:val="00476BD0"/>
    <w:rsid w:val="00483AA6"/>
    <w:rsid w:val="004844F7"/>
    <w:rsid w:val="004A03CB"/>
    <w:rsid w:val="004C3294"/>
    <w:rsid w:val="004D25E4"/>
    <w:rsid w:val="00503C0D"/>
    <w:rsid w:val="00507211"/>
    <w:rsid w:val="00510305"/>
    <w:rsid w:val="00517B36"/>
    <w:rsid w:val="005420F2"/>
    <w:rsid w:val="00555B4B"/>
    <w:rsid w:val="00590F20"/>
    <w:rsid w:val="005A6CB1"/>
    <w:rsid w:val="005B3DB3"/>
    <w:rsid w:val="005B5E1E"/>
    <w:rsid w:val="005C6A79"/>
    <w:rsid w:val="005D4CD3"/>
    <w:rsid w:val="006001EE"/>
    <w:rsid w:val="00611FC4"/>
    <w:rsid w:val="006176FB"/>
    <w:rsid w:val="00625B72"/>
    <w:rsid w:val="00640B26"/>
    <w:rsid w:val="006633E2"/>
    <w:rsid w:val="00672FA2"/>
    <w:rsid w:val="006810A6"/>
    <w:rsid w:val="006851A3"/>
    <w:rsid w:val="00693509"/>
    <w:rsid w:val="00697526"/>
    <w:rsid w:val="006A1360"/>
    <w:rsid w:val="006B4BDB"/>
    <w:rsid w:val="006C70BD"/>
    <w:rsid w:val="006C738E"/>
    <w:rsid w:val="006E564B"/>
    <w:rsid w:val="007138E3"/>
    <w:rsid w:val="007171F3"/>
    <w:rsid w:val="0072632A"/>
    <w:rsid w:val="007361DF"/>
    <w:rsid w:val="007500B4"/>
    <w:rsid w:val="00753FC2"/>
    <w:rsid w:val="0076656B"/>
    <w:rsid w:val="00775D1A"/>
    <w:rsid w:val="007A06F9"/>
    <w:rsid w:val="007B112D"/>
    <w:rsid w:val="007B6BA5"/>
    <w:rsid w:val="007C3390"/>
    <w:rsid w:val="007C4F4B"/>
    <w:rsid w:val="007D211D"/>
    <w:rsid w:val="007D777F"/>
    <w:rsid w:val="007E3C51"/>
    <w:rsid w:val="007E61A6"/>
    <w:rsid w:val="007F6462"/>
    <w:rsid w:val="007F64B8"/>
    <w:rsid w:val="007F6611"/>
    <w:rsid w:val="008056A1"/>
    <w:rsid w:val="00820462"/>
    <w:rsid w:val="00820FB1"/>
    <w:rsid w:val="008242D7"/>
    <w:rsid w:val="00832D01"/>
    <w:rsid w:val="00870240"/>
    <w:rsid w:val="0087506D"/>
    <w:rsid w:val="00885E17"/>
    <w:rsid w:val="00893451"/>
    <w:rsid w:val="008979B1"/>
    <w:rsid w:val="008A0FEA"/>
    <w:rsid w:val="008A6B25"/>
    <w:rsid w:val="008A6C4F"/>
    <w:rsid w:val="008B2335"/>
    <w:rsid w:val="008F13F5"/>
    <w:rsid w:val="00902CF6"/>
    <w:rsid w:val="009036C9"/>
    <w:rsid w:val="00911700"/>
    <w:rsid w:val="00921F2C"/>
    <w:rsid w:val="009223CA"/>
    <w:rsid w:val="009263E6"/>
    <w:rsid w:val="009369F6"/>
    <w:rsid w:val="00940F93"/>
    <w:rsid w:val="00947E0F"/>
    <w:rsid w:val="00953250"/>
    <w:rsid w:val="00953906"/>
    <w:rsid w:val="009603EF"/>
    <w:rsid w:val="00972A16"/>
    <w:rsid w:val="009840B6"/>
    <w:rsid w:val="00984B28"/>
    <w:rsid w:val="009927A7"/>
    <w:rsid w:val="00994B5D"/>
    <w:rsid w:val="00996904"/>
    <w:rsid w:val="009B4A1B"/>
    <w:rsid w:val="009C0638"/>
    <w:rsid w:val="009C0EE8"/>
    <w:rsid w:val="009C14AA"/>
    <w:rsid w:val="009C22ED"/>
    <w:rsid w:val="009C4FE3"/>
    <w:rsid w:val="009E424A"/>
    <w:rsid w:val="009E7550"/>
    <w:rsid w:val="009F3088"/>
    <w:rsid w:val="00A01489"/>
    <w:rsid w:val="00A1225F"/>
    <w:rsid w:val="00A229BA"/>
    <w:rsid w:val="00A341DD"/>
    <w:rsid w:val="00A4570E"/>
    <w:rsid w:val="00A61CCD"/>
    <w:rsid w:val="00A70FE7"/>
    <w:rsid w:val="00A717B7"/>
    <w:rsid w:val="00A72F22"/>
    <w:rsid w:val="00A748A6"/>
    <w:rsid w:val="00A763D1"/>
    <w:rsid w:val="00A776B4"/>
    <w:rsid w:val="00A8799D"/>
    <w:rsid w:val="00A94361"/>
    <w:rsid w:val="00AA56A9"/>
    <w:rsid w:val="00AA7C8E"/>
    <w:rsid w:val="00AC1552"/>
    <w:rsid w:val="00AC711A"/>
    <w:rsid w:val="00AE45C9"/>
    <w:rsid w:val="00B06775"/>
    <w:rsid w:val="00B17EF9"/>
    <w:rsid w:val="00B30179"/>
    <w:rsid w:val="00B56E9C"/>
    <w:rsid w:val="00B64B1F"/>
    <w:rsid w:val="00B6553F"/>
    <w:rsid w:val="00B6594D"/>
    <w:rsid w:val="00B71BA7"/>
    <w:rsid w:val="00B74C30"/>
    <w:rsid w:val="00B81E12"/>
    <w:rsid w:val="00B82441"/>
    <w:rsid w:val="00BC74E9"/>
    <w:rsid w:val="00BE2864"/>
    <w:rsid w:val="00BF5B97"/>
    <w:rsid w:val="00BF68A8"/>
    <w:rsid w:val="00C06C88"/>
    <w:rsid w:val="00C3206E"/>
    <w:rsid w:val="00C463DD"/>
    <w:rsid w:val="00C4724C"/>
    <w:rsid w:val="00C475AB"/>
    <w:rsid w:val="00C53A77"/>
    <w:rsid w:val="00C629A0"/>
    <w:rsid w:val="00C745C3"/>
    <w:rsid w:val="00C75FB9"/>
    <w:rsid w:val="00CB6F12"/>
    <w:rsid w:val="00CC00AC"/>
    <w:rsid w:val="00CC0E3A"/>
    <w:rsid w:val="00CC2460"/>
    <w:rsid w:val="00CC24D2"/>
    <w:rsid w:val="00CE4A8F"/>
    <w:rsid w:val="00CF4D23"/>
    <w:rsid w:val="00D00105"/>
    <w:rsid w:val="00D14447"/>
    <w:rsid w:val="00D15374"/>
    <w:rsid w:val="00D2031B"/>
    <w:rsid w:val="00D218CB"/>
    <w:rsid w:val="00D22D37"/>
    <w:rsid w:val="00D24A04"/>
    <w:rsid w:val="00D2515A"/>
    <w:rsid w:val="00D25FE2"/>
    <w:rsid w:val="00D356EE"/>
    <w:rsid w:val="00D35D51"/>
    <w:rsid w:val="00D42891"/>
    <w:rsid w:val="00D42E30"/>
    <w:rsid w:val="00D43252"/>
    <w:rsid w:val="00D51E7F"/>
    <w:rsid w:val="00D657DD"/>
    <w:rsid w:val="00D66D0F"/>
    <w:rsid w:val="00D7767E"/>
    <w:rsid w:val="00D8030B"/>
    <w:rsid w:val="00D82E31"/>
    <w:rsid w:val="00D978C6"/>
    <w:rsid w:val="00DA3C1C"/>
    <w:rsid w:val="00DD1A91"/>
    <w:rsid w:val="00DE0130"/>
    <w:rsid w:val="00DF4462"/>
    <w:rsid w:val="00DF6175"/>
    <w:rsid w:val="00E109FB"/>
    <w:rsid w:val="00E14F79"/>
    <w:rsid w:val="00E20A6E"/>
    <w:rsid w:val="00E474D6"/>
    <w:rsid w:val="00E50C0C"/>
    <w:rsid w:val="00E61D3D"/>
    <w:rsid w:val="00E63389"/>
    <w:rsid w:val="00E71BC8"/>
    <w:rsid w:val="00E7260F"/>
    <w:rsid w:val="00E81E72"/>
    <w:rsid w:val="00E96624"/>
    <w:rsid w:val="00E96630"/>
    <w:rsid w:val="00EC0DF8"/>
    <w:rsid w:val="00EC6BD9"/>
    <w:rsid w:val="00EC707C"/>
    <w:rsid w:val="00ED1BE3"/>
    <w:rsid w:val="00ED32A3"/>
    <w:rsid w:val="00ED616A"/>
    <w:rsid w:val="00ED7A2A"/>
    <w:rsid w:val="00EF1D7F"/>
    <w:rsid w:val="00EF7C73"/>
    <w:rsid w:val="00F07E1D"/>
    <w:rsid w:val="00F131B6"/>
    <w:rsid w:val="00F20450"/>
    <w:rsid w:val="00F23DA3"/>
    <w:rsid w:val="00F2682D"/>
    <w:rsid w:val="00F32B3C"/>
    <w:rsid w:val="00F34583"/>
    <w:rsid w:val="00F36190"/>
    <w:rsid w:val="00F3680F"/>
    <w:rsid w:val="00F504DF"/>
    <w:rsid w:val="00F56329"/>
    <w:rsid w:val="00FA271C"/>
    <w:rsid w:val="00FB1F09"/>
    <w:rsid w:val="00FB40FB"/>
    <w:rsid w:val="00FC4AAD"/>
    <w:rsid w:val="00FC68B7"/>
    <w:rsid w:val="00FF1CC8"/>
    <w:rsid w:val="00FF384E"/>
    <w:rsid w:val="00FF53F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2035B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EF7C7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F7C73"/>
    <w:rPr>
      <w:rFonts w:ascii="Tahoma" w:hAnsi="Tahoma" w:cs="Tahoma"/>
      <w:sz w:val="16"/>
      <w:szCs w:val="16"/>
      <w:lang w:eastAsia="en-US"/>
    </w:rPr>
  </w:style>
  <w:style w:type="character" w:customStyle="1" w:styleId="SingleTxtGChar">
    <w:name w:val="_ Single Txt_G Char"/>
    <w:link w:val="SingleTxtG"/>
    <w:locked/>
    <w:rsid w:val="006810A6"/>
    <w:rPr>
      <w:lang w:eastAsia="en-US"/>
    </w:rPr>
  </w:style>
  <w:style w:type="paragraph" w:customStyle="1" w:styleId="SingleTxt">
    <w:name w:val="__Single Txt"/>
    <w:basedOn w:val="Normal"/>
    <w:rsid w:val="006810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styleId="ListParagraph">
    <w:name w:val="List Paragraph"/>
    <w:basedOn w:val="Normal"/>
    <w:uiPriority w:val="34"/>
    <w:qFormat/>
    <w:rsid w:val="00F23DA3"/>
    <w:pPr>
      <w:ind w:left="720"/>
      <w:contextualSpacing/>
    </w:p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 Char"/>
    <w:basedOn w:val="DefaultParagraphFont"/>
    <w:link w:val="FootnoteText"/>
    <w:rsid w:val="00242FD0"/>
    <w:rPr>
      <w:sz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customStyle="1" w:styleId="H1">
    <w:name w:val="_ H_1"/>
    <w:basedOn w:val="Normal"/>
    <w:next w:val="Normal"/>
    <w:rsid w:val="002035B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BalloonText">
    <w:name w:val="Balloon Text"/>
    <w:basedOn w:val="Normal"/>
    <w:link w:val="BalloonTextChar"/>
    <w:rsid w:val="00EF7C7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F7C73"/>
    <w:rPr>
      <w:rFonts w:ascii="Tahoma" w:hAnsi="Tahoma" w:cs="Tahoma"/>
      <w:sz w:val="16"/>
      <w:szCs w:val="16"/>
      <w:lang w:eastAsia="en-US"/>
    </w:rPr>
  </w:style>
  <w:style w:type="character" w:customStyle="1" w:styleId="SingleTxtGChar">
    <w:name w:val="_ Single Txt_G Char"/>
    <w:link w:val="SingleTxtG"/>
    <w:locked/>
    <w:rsid w:val="006810A6"/>
    <w:rPr>
      <w:lang w:eastAsia="en-US"/>
    </w:rPr>
  </w:style>
  <w:style w:type="paragraph" w:customStyle="1" w:styleId="SingleTxt">
    <w:name w:val="__Single Txt"/>
    <w:basedOn w:val="Normal"/>
    <w:rsid w:val="006810A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styleId="ListParagraph">
    <w:name w:val="List Paragraph"/>
    <w:basedOn w:val="Normal"/>
    <w:uiPriority w:val="34"/>
    <w:qFormat/>
    <w:rsid w:val="00F23DA3"/>
    <w:pPr>
      <w:ind w:left="720"/>
      <w:contextualSpacing/>
    </w:p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 Char"/>
    <w:basedOn w:val="DefaultParagraphFont"/>
    <w:link w:val="FootnoteText"/>
    <w:rsid w:val="00242FD0"/>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undocs.org/CEDAW/C/JOR/CO/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BEA45B-407F-49F6-A82C-456CB4129011}"/>
</file>

<file path=customXml/itemProps2.xml><?xml version="1.0" encoding="utf-8"?>
<ds:datastoreItem xmlns:ds="http://schemas.openxmlformats.org/officeDocument/2006/customXml" ds:itemID="{47FB6D06-9D00-4140-872E-ACE172D1291C}"/>
</file>

<file path=customXml/itemProps3.xml><?xml version="1.0" encoding="utf-8"?>
<ds:datastoreItem xmlns:ds="http://schemas.openxmlformats.org/officeDocument/2006/customXml" ds:itemID="{0E081753-FDAD-44B9-9F7F-3368C816EE75}"/>
</file>

<file path=customXml/itemProps4.xml><?xml version="1.0" encoding="utf-8"?>
<ds:datastoreItem xmlns:ds="http://schemas.openxmlformats.org/officeDocument/2006/customXml" ds:itemID="{D6A45CB6-5E43-4477-B1A6-00F66E299BB7}"/>
</file>

<file path=docProps/app.xml><?xml version="1.0" encoding="utf-8"?>
<Properties xmlns="http://schemas.openxmlformats.org/officeDocument/2006/extended-properties" xmlns:vt="http://schemas.openxmlformats.org/officeDocument/2006/docPropsVTypes">
  <Template>CEDAW_E.dotm</Template>
  <TotalTime>4</TotalTime>
  <Pages>8</Pages>
  <Words>3877</Words>
  <Characters>22102</Characters>
  <Application>Microsoft Office Word</Application>
  <DocSecurity>8</DocSecurity>
  <Lines>184</Lines>
  <Paragraphs>51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25928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Irene del Pilar Sandoval</dc:creator>
  <cp:lastModifiedBy>Irene del Pilar Sandoval</cp:lastModifiedBy>
  <cp:revision>4</cp:revision>
  <cp:lastPrinted>2017-03-08T08:26:00Z</cp:lastPrinted>
  <dcterms:created xsi:type="dcterms:W3CDTF">2017-03-10T14:02:00Z</dcterms:created>
  <dcterms:modified xsi:type="dcterms:W3CDTF">2017-04-05T15:37:00Z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