
<file path=[Content_Types].xml><?xml version="1.0" encoding="utf-8"?>
<Types xmlns="http://schemas.openxmlformats.org/package/2006/content-types">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141.</w:t>
      </w:r>
      <w:r w:rsidDel="00000000" w:rsidR="00000000" w:rsidRPr="00000000">
        <w:rPr>
          <w:rFonts w:ascii="Times New Roman" w:cs="Times New Roman" w:eastAsia="Times New Roman" w:hAnsi="Times New Roman"/>
          <w:b w:val="1"/>
          <w:i w:val="1"/>
          <w:sz w:val="24"/>
          <w:szCs w:val="24"/>
          <w:vertAlign w:val="superscript"/>
          <w:rtl w:val="0"/>
        </w:rPr>
        <w:t xml:space="preserve">o</w:t>
      </w:r>
      <w:r w:rsidDel="00000000" w:rsidR="00000000" w:rsidRPr="00000000">
        <w:rPr>
          <w:rFonts w:ascii="Times New Roman" w:cs="Times New Roman" w:eastAsia="Times New Roman" w:hAnsi="Times New Roman"/>
          <w:b w:val="1"/>
          <w:i w:val="1"/>
          <w:sz w:val="24"/>
          <w:szCs w:val="24"/>
          <w:rtl w:val="0"/>
        </w:rPr>
        <w:t xml:space="preserve"> periodo de sesiones del Comité de Derechos Humanos</w:t>
      </w:r>
    </w:p>
    <w:p w:rsidR="00000000" w:rsidDel="00000000" w:rsidP="00000000" w:rsidRDefault="00000000" w:rsidRPr="00000000" w14:paraId="00000002">
      <w:pPr>
        <w:spacing w:after="0" w:line="360" w:lineRule="auto"/>
        <w:jc w:val="cente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03">
      <w:pPr>
        <w:spacing w:after="0" w:line="360" w:lineRule="auto"/>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Diálogo interactivo para examinar</w:t>
      </w:r>
    </w:p>
    <w:p w:rsidR="00000000" w:rsidDel="00000000" w:rsidP="00000000" w:rsidRDefault="00000000" w:rsidRPr="00000000" w14:paraId="00000004">
      <w:pPr>
        <w:spacing w:after="0" w:line="360" w:lineRule="auto"/>
        <w:jc w:val="cente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sz w:val="24"/>
          <w:szCs w:val="24"/>
          <w:rtl w:val="0"/>
        </w:rPr>
        <w:t xml:space="preserve">el Tercer Informe del Estado de Honduras </w:t>
      </w:r>
      <w:r w:rsidDel="00000000" w:rsidR="00000000" w:rsidRPr="00000000">
        <w:rPr>
          <w:rFonts w:ascii="Times New Roman" w:cs="Times New Roman" w:eastAsia="Times New Roman" w:hAnsi="Times New Roman"/>
          <w:b w:val="1"/>
          <w:i w:val="1"/>
          <w:color w:val="000000"/>
          <w:sz w:val="24"/>
          <w:szCs w:val="24"/>
          <w:rtl w:val="0"/>
        </w:rPr>
        <w:t xml:space="preserve">relativo al Pacto Internacional</w:t>
      </w:r>
    </w:p>
    <w:p w:rsidR="00000000" w:rsidDel="00000000" w:rsidP="00000000" w:rsidRDefault="00000000" w:rsidRPr="00000000" w14:paraId="00000005">
      <w:pPr>
        <w:spacing w:after="0" w:line="360" w:lineRule="auto"/>
        <w:jc w:val="cente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de Derechos Civiles y Políticos (</w:t>
      </w:r>
      <w:r w:rsidDel="00000000" w:rsidR="00000000" w:rsidRPr="00000000">
        <w:rPr>
          <w:rFonts w:ascii="Times New Roman" w:cs="Times New Roman" w:eastAsia="Times New Roman" w:hAnsi="Times New Roman"/>
          <w:b w:val="1"/>
          <w:i w:val="1"/>
          <w:sz w:val="24"/>
          <w:szCs w:val="24"/>
          <w:rtl w:val="0"/>
        </w:rPr>
        <w:t xml:space="preserve">CCPR/C/HND/3</w:t>
      </w:r>
      <w:r w:rsidDel="00000000" w:rsidR="00000000" w:rsidRPr="00000000">
        <w:rPr>
          <w:rFonts w:ascii="Times New Roman" w:cs="Times New Roman" w:eastAsia="Times New Roman" w:hAnsi="Times New Roman"/>
          <w:b w:val="1"/>
          <w:i w:val="1"/>
          <w:color w:val="000000"/>
          <w:sz w:val="24"/>
          <w:szCs w:val="24"/>
          <w:rtl w:val="0"/>
        </w:rPr>
        <w:t xml:space="preserve">)</w:t>
      </w:r>
    </w:p>
    <w:p w:rsidR="00000000" w:rsidDel="00000000" w:rsidP="00000000" w:rsidRDefault="00000000" w:rsidRPr="00000000" w14:paraId="00000006">
      <w:pPr>
        <w:spacing w:after="0" w:line="360" w:lineRule="auto"/>
        <w:jc w:val="cente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07">
      <w:pPr>
        <w:spacing w:after="0" w:line="36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Jueves 04 de julio de 2024, Ginebra, Suiza</w:t>
      </w:r>
    </w:p>
    <w:p w:rsidR="00000000" w:rsidDel="00000000" w:rsidP="00000000" w:rsidRDefault="00000000" w:rsidRPr="00000000" w14:paraId="00000008">
      <w:pPr>
        <w:spacing w:after="0" w:line="360" w:lineRule="auto"/>
        <w:jc w:val="cente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09">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Intervención del Estado de Honduras</w:t>
      </w:r>
    </w:p>
    <w:p w:rsidR="00000000" w:rsidDel="00000000" w:rsidP="00000000" w:rsidRDefault="00000000" w:rsidRPr="00000000" w14:paraId="0000000A">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 E. ANGÉLICA LIZETH ÁLVAREZ</w:t>
      </w:r>
    </w:p>
    <w:p w:rsidR="00000000" w:rsidDel="00000000" w:rsidP="00000000" w:rsidRDefault="00000000" w:rsidRPr="00000000" w14:paraId="0000000B">
      <w:pPr>
        <w:spacing w:after="0" w:line="360" w:lineRule="auto"/>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Secretaria de Estado en el Despacho de Derechos Humanos</w:t>
      </w:r>
    </w:p>
    <w:p w:rsidR="00000000" w:rsidDel="00000000" w:rsidP="00000000" w:rsidRDefault="00000000" w:rsidRPr="00000000" w14:paraId="0000000C">
      <w:pPr>
        <w:spacing w:after="0" w:line="36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0D">
      <w:pPr>
        <w:spacing w:after="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Buenas tardes,</w:t>
      </w:r>
    </w:p>
    <w:p w:rsidR="00000000" w:rsidDel="00000000" w:rsidP="00000000" w:rsidRDefault="00000000" w:rsidRPr="00000000" w14:paraId="0000000E">
      <w:pPr>
        <w:spacing w:after="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señora presidenta,</w:t>
      </w:r>
    </w:p>
    <w:p w:rsidR="00000000" w:rsidDel="00000000" w:rsidP="00000000" w:rsidRDefault="00000000" w:rsidRPr="00000000" w14:paraId="0000000F">
      <w:pPr>
        <w:spacing w:after="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señoras y señores miembros del comité,</w:t>
      </w:r>
    </w:p>
    <w:p w:rsidR="00000000" w:rsidDel="00000000" w:rsidP="00000000" w:rsidRDefault="00000000" w:rsidRPr="00000000" w14:paraId="00000010">
      <w:pPr>
        <w:spacing w:after="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expertos, invitados especiales y demás presentes que nos acompañan. </w:t>
      </w:r>
    </w:p>
    <w:p w:rsidR="00000000" w:rsidDel="00000000" w:rsidP="00000000" w:rsidRDefault="00000000" w:rsidRPr="00000000" w14:paraId="00000011">
      <w:pPr>
        <w:spacing w:after="0" w:line="36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mi condición de Secretaria en el Despacho de Derechos Humanos y Jefa de delegación, me honro en comparecer ante este comité, en representación del Estado de Honduras y del Gobierno Solidario de la Presidenta Xiomara Castro, para sustentar: el </w:t>
      </w:r>
      <w:r w:rsidDel="00000000" w:rsidR="00000000" w:rsidRPr="00000000">
        <w:rPr>
          <w:rFonts w:ascii="Times New Roman" w:cs="Times New Roman" w:eastAsia="Times New Roman" w:hAnsi="Times New Roman"/>
          <w:i w:val="1"/>
          <w:sz w:val="24"/>
          <w:szCs w:val="24"/>
          <w:rtl w:val="0"/>
        </w:rPr>
        <w:t xml:space="preserve">Tercer informe de país</w:t>
      </w:r>
      <w:r w:rsidDel="00000000" w:rsidR="00000000" w:rsidRPr="00000000">
        <w:rPr>
          <w:rFonts w:ascii="Times New Roman" w:cs="Times New Roman" w:eastAsia="Times New Roman" w:hAnsi="Times New Roman"/>
          <w:sz w:val="24"/>
          <w:szCs w:val="24"/>
          <w:rtl w:val="0"/>
        </w:rPr>
        <w:t xml:space="preserve"> relativo al Pacto Internacional de Derechos Civiles y Políticos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presentado en enero de 2022, la respuesta del Estado a la lista de cuestiones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presentada en marzo de 2024, y para informar sobre las medidas adoptadas y principales avances para garantizar el goce pleno y efectivo de los derechos humanos de la población hondureña. </w:t>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ANTECEDENTE</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 año se conmemoró el 15 aniversario del Golpe de Estado, hecho que marcó un retroceso para los derechos humanos, así como el punto de partida de una dictadura en la que se confabuló la oligarquía nacional y el narcotráfico para tomar el control del Estado. A este contexto adverso, se sumó el impacto del COVID 19 y las tormentas Eta e Iota, que dejaron en evidencia la negligencia del gobierno de turno, así como las condiciones de vulnerabilidad de nuestro país ante el cambio climático.  </w:t>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elecciones de 2021 marcaron un precedente histórico, el fin de la narco dictadura, el rompimiento del bipartidismo y el inicio del mandato de la primera mujer presidenta en nuestro país, electa en el proceso electoral más concurrido y democrático de Honduras. </w:t>
      </w:r>
    </w:p>
    <w:p w:rsidR="00000000" w:rsidDel="00000000" w:rsidP="00000000" w:rsidRDefault="00000000" w:rsidRPr="00000000" w14:paraId="00000018">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MARCO INSTITUCIONAL</w:t>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 afrontar la situación heredada, la presidenta Castro ha asumido la tarea de restaurar la debilitada administración pública, suprimiendo 23 instituciones que facilitaron una red de corrupción en el Estado y, en su lugar, creando instituciones que contribuyen al establecimiento de una administración pública transparente y eficaz. Destaca, la creación de la Secretaría de Desarrollo Social</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la Secretaría en Asuntos de la Mujer, la Secretaría de Transparencia y Lucha contra la Corrupción, la Secretaría de las Culturas, las Artes y los Patrimonios de los Pueblos de Honduras, la Secretaría de Niñez, Adolescencia y Familia </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y la Coordinación Nacional de los Pueblos Originarios y Afrohondureños.</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 la reconstrucción del Estado de derecho se han derogado las siguientes leyes que violentaban los derechos humanos: </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Ley Orgánica de las Zonas de Empleo y Desarrollo Económico (ZEDE)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Ley</w:t>
      </w:r>
      <w:r w:rsidDel="00000000" w:rsidR="00000000" w:rsidRPr="00000000">
        <w:rPr>
          <w:rFonts w:ascii="Times New Roman" w:cs="Times New Roman" w:eastAsia="Times New Roman" w:hAnsi="Times New Roman"/>
          <w:sz w:val="24"/>
          <w:szCs w:val="24"/>
          <w:rtl w:val="0"/>
        </w:rPr>
        <w:t xml:space="preserve"> para la Clasificación de Documentos Públicos relacionados con la Seguridad y Defensa Nacional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derogaron los corruptos fideicomisos que vulneraban las finanzas públicas, </w:t>
      </w:r>
    </w:p>
    <w:p w:rsidR="00000000" w:rsidDel="00000000" w:rsidP="00000000" w:rsidRDefault="00000000" w:rsidRPr="00000000" w14:paraId="0000001E">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Además, se presentó ante el Congreso Nacional el proyecto de Ley de Justicia Tributaria a fin de que el Estado disponga de los recursos necesarios para garantizar los derechos humanos. </w:t>
      </w:r>
    </w:p>
    <w:p w:rsidR="00000000" w:rsidDel="00000000" w:rsidP="00000000" w:rsidRDefault="00000000" w:rsidRPr="00000000" w14:paraId="0000001F">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LUCHA CONTRA LA IMPUNIDAD Y VIOLACIONES A LOS DERECHOS HUMANOS EN EL PASADO</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Respecto a las violaciones de derechos humanos cometidas en el pasado, de 2022 a la fecha se han establecido las siguientes medidas:</w:t>
      </w:r>
    </w:p>
    <w:p w:rsidR="00000000" w:rsidDel="00000000" w:rsidP="00000000" w:rsidRDefault="00000000" w:rsidRPr="00000000" w14:paraId="000000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aprobación de la Ley para la Reconstrucción del Estado Constitucional de Derecho y para que los Hechos no se Repitan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Creación del Programa Social de Atención a las Familias de los Mártires de la Resistencia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8"/>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creó el Programa de Memoria, Verdad, Reparación, Justicia y no Repetición para la Reconciliación y Refundación de Honduras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9"/>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para garantizar el derecho a la verdad de las víctimas de la doctrina de la seguridad nacional, el Golpe de Estado, los fraudes electorales y la instauración de la narcodictadura. </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inauguró el Museo de la Memoria y Reconciliación, </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creó el Centro Nacional de la Memoria Histórica.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SEGURIDAD</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materia de seguridad, la presidenta Castro asumió </w:t>
      </w:r>
      <w:r w:rsidDel="00000000" w:rsidR="00000000" w:rsidRPr="00000000">
        <w:rPr>
          <w:rFonts w:ascii="Times New Roman" w:cs="Times New Roman" w:eastAsia="Times New Roman" w:hAnsi="Times New Roman"/>
          <w:sz w:val="24"/>
          <w:szCs w:val="24"/>
          <w:rtl w:val="0"/>
        </w:rPr>
        <w:t xml:space="preserve">el país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 una tasa de homicidios de 41.71 por cada cien mil habitantes, gracias a las medidas implementadas, se ha logrado una significativa reducción de los índices de homicidios. En 2022, la tasa anual de homicidios fue de 38.14 por cada cien mil habitantes, mientras que, en 2023, esta se redujo a 34.03, es decir, una reducción de 7.71 puntos en apenas 2 años de gobierno. Con las medidas implementadas a la fecha, esta tendencia </w:t>
      </w:r>
      <w:r w:rsidDel="00000000" w:rsidR="00000000" w:rsidRPr="00000000">
        <w:rPr>
          <w:rFonts w:ascii="Times New Roman" w:cs="Times New Roman" w:eastAsia="Times New Roman" w:hAnsi="Times New Roman"/>
          <w:sz w:val="24"/>
          <w:szCs w:val="24"/>
          <w:rtl w:val="0"/>
        </w:rPr>
        <w:t xml:space="preserve">continuará</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la baja en el 2024.</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combatir al crimen organizado, la extorsión de maras y pandillas y los delitos conexos, en 2022 se creó la Dirección Policial Anti-Maras y Pandillas contra el Crimen Organizado (DIPAMPCO). De igual forma, como medida temporal y de emergencia, en respuesta a la grave situación de violenci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 en diciembre de 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022 se estableció el Estado de Excepción, que permite implementar una estrategia más efectiva en la lucha contra el crimen organizado. Además, se construyeron cinco jefaturas policiales, se adquirió equipo logístico y tecnológico y se modernizaron diferentes procedimientos administrativos.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gobierno de la Presidenta Castro, caracterizado por su política de no represión a la protesta social, y en atención a los compromisos y recomendaciones internacionales aprobó el Manual del Uso de la Fuerza y Armas de Fuego de la Policía Nacional de Honduras. Este ofrece parámetros legales que orientan a los agentes policiales respecto al uso apropiado de la fuerza y las armas de fuego.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spacing w:after="0" w:line="360" w:lineRule="auto"/>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Entre 2021 a 2023, la Secretaría de Defensa Nacional incrementó cinco veces más su formación  en materia de formación de Derechos Humanos, Derecho Internacional Humanitario, Uso de la Fuerza y Equidad de Género. Además, destaca la creación de departamentos, unidades y secciones de DDHH en cada una de las fuerzas (aérea, naval, ejército, PMOP), de igual forma, se crearon unidades de género en cada una de las fuerzas. Adicionalmente, la Secretaría de Defensa cuenta con 77 instructores formados en el uso de la fuerza mediante el Comité Internacional de la Cruz Roja (CICR) a través del curso: Training of Trainers.</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PRIVADOS DE LIBERTAD</w:t>
      </w:r>
    </w:p>
    <w:p w:rsidR="00000000" w:rsidDel="00000000" w:rsidP="00000000" w:rsidRDefault="00000000" w:rsidRPr="00000000" w14:paraId="00000031">
      <w:pPr>
        <w:spacing w:after="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cuanto, a las condiciones de las personas privadas de libertad, debido a los actos de violencia suscitados en diferentes centros penales, incluido los lamentables hechos de la Penitenciaría Nacional Femenina de Adaptación Social, en el que 46 mujeres perdieron la vida de forma violenta, se adoptaron medidas de emergencia, decretándose la intervención de los centros penales e instruyéndose a la Policía Militar a tomar el control de los mismos. </w:t>
      </w:r>
    </w:p>
    <w:p w:rsidR="00000000" w:rsidDel="00000000" w:rsidP="00000000" w:rsidRDefault="00000000" w:rsidRPr="00000000" w14:paraId="00000032">
      <w:pPr>
        <w:spacing w:after="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lo que refiere al acceso a la justicia de las personas privadas de libertad, además de conocer y verificar su condición jurídica, la Policía Militar y el Instituto Nacional Penitenciario, con la Coordinación Nacional de Jueces de Ejecución, Ministerio Público y Defensa Pública llevaron a cabo el enrolamiento de expedientes criminales de 4,032 personas privadas de libertad del Centro Penitenciario Nacional de Támara, a fin de disminuir el hacinamiento, esta medida se replica en otros centros del país.</w:t>
      </w:r>
    </w:p>
    <w:p w:rsidR="00000000" w:rsidDel="00000000" w:rsidP="00000000" w:rsidRDefault="00000000" w:rsidRPr="00000000" w14:paraId="00000033">
      <w:pPr>
        <w:spacing w:after="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decreto de emergencia también instruyó a la Policía Militar a formar nuevos agentes penitenciarios. En 2023 se graduó a 28 miembros de la primera promoción del Curso de Formación para Oficiales Penitenciarios, y a la fecha se han graduado 2048 efectivos con el Curso Básico de Formación para Agentes Penitenciarios. </w:t>
      </w:r>
    </w:p>
    <w:p w:rsidR="00000000" w:rsidDel="00000000" w:rsidP="00000000" w:rsidRDefault="00000000" w:rsidRPr="00000000" w14:paraId="00000034">
      <w:pPr>
        <w:spacing w:after="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atención a las obligaciones internacionales y la normativa nacional que establece que las cárceles deben ser espacios dedicados a la rehabilitación de la población penitenciaria, en febrero del presente año se lanzó, el Programa de Las Tres “R” (Rehabilitación, Reeducación, y Reinserción). De igual manera, se creó la marca penitenciaria "La Libertad", una iniciativa destinada a facilitar a las personas privadas de libertad la comercialización de los bienes que producen durante el cumplimiento de su sentencia. </w:t>
      </w:r>
    </w:p>
    <w:p w:rsidR="00000000" w:rsidDel="00000000" w:rsidP="00000000" w:rsidRDefault="00000000" w:rsidRPr="00000000" w14:paraId="00000035">
      <w:pPr>
        <w:spacing w:after="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el fin de garantizar una atención integral, se ha implementado estrategias de coordinación interinstitucional, destacando la colaboración con el Registro Nacional de las Personas, para la identificación fidedigna de los privados de libertad, además, se ha llevado a cabo una revisión de expedientes para reducir la mora judicial y los índices de hacinamiento. Se instaló la mesa interinstitucional de seguimiento al PCM 28-2023, con el objetivo de colaborar en la garantía de los derechos humanos. </w:t>
      </w:r>
    </w:p>
    <w:p w:rsidR="00000000" w:rsidDel="00000000" w:rsidP="00000000" w:rsidRDefault="00000000" w:rsidRPr="00000000" w14:paraId="00000036">
      <w:pPr>
        <w:spacing w:after="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estas medidas se suma la ampliación de 1,378.16 millones de lempiras al presupuesto del Instituto Nacional Penitenciario, esto representa un incremento del 125% respecto al 2021. Esto permitirá una atención integral a las personas privadas de libertad. </w:t>
      </w:r>
    </w:p>
    <w:p w:rsidR="00000000" w:rsidDel="00000000" w:rsidP="00000000" w:rsidRDefault="00000000" w:rsidRPr="00000000" w14:paraId="00000037">
      <w:pPr>
        <w:spacing w:after="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PUEBLOS INDÍGENAS, ORIGINARIOS Y AFRODESCENDIENTES, CAMPESINOS Y CONFLICTO AGRARIO.</w:t>
      </w:r>
    </w:p>
    <w:p w:rsidR="00000000" w:rsidDel="00000000" w:rsidP="00000000" w:rsidRDefault="00000000" w:rsidRPr="00000000" w14:paraId="00000038">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atención a las violaciones de derechos humanos de personas campesinas y defensoras del medio ambiente, se informa a este comité los siguientes avances:</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Suscripción de un acuerdo con la Coordinadora de Organizaciones Populares del Aguán (COPA) y la Plataforma Agraria para investigar las violaciones a los derechos humanos relacionadas con la tenencia de la tierra en el Bajo Aguán. </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creó la Comisión de Seguridad Agraria y Acceso a la Tierra</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creó la Comisión Intersectorial de Alto Nivel para el Cumplimiento de las Sentencias Internacionales emitidas por la Corte Interamericana de Derechos Humanos, en los casos “Comunidad Garífuna Triunfo de la Cruz y sus miembros vs. Honduras” y “Comunidad Garífuna de Punta Piedra y sus miembros vs. Honduras”</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Creación del Parque Nacional de Montaña de Botaderos, Carlos Escaleras Mejía vía Decreto Legislativo </w:t>
      </w:r>
      <w:r w:rsidDel="00000000" w:rsidR="00000000" w:rsidRPr="00000000">
        <w:rPr>
          <w:rFonts w:ascii="Times New Roman" w:cs="Times New Roman" w:eastAsia="Times New Roman" w:hAnsi="Times New Roman"/>
          <w:sz w:val="24"/>
          <w:szCs w:val="24"/>
          <w:rtl w:val="0"/>
        </w:rPr>
        <w:t xml:space="preserve">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- 2024</w:t>
      </w:r>
    </w:p>
    <w:p w:rsidR="00000000" w:rsidDel="00000000" w:rsidP="00000000" w:rsidRDefault="00000000" w:rsidRPr="00000000" w14:paraId="0000003D">
      <w:pPr>
        <w:spacing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MIGRACIÓN  O DESPLAZAMIENTO INTERNO?</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Reconocemos la migración como un derecho humano, en ese sentido se otorgó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amnistías migratorias a las personas </w:t>
      </w:r>
      <w:r w:rsidDel="00000000" w:rsidR="00000000" w:rsidRPr="00000000">
        <w:rPr>
          <w:rFonts w:ascii="Times New Roman" w:cs="Times New Roman" w:eastAsia="Times New Roman" w:hAnsi="Times New Roman"/>
          <w:sz w:val="24"/>
          <w:szCs w:val="24"/>
          <w:rtl w:val="0"/>
        </w:rPr>
        <w:t xml:space="preserve">en tránsito por el país</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exonerándolos del pago de la sanción administrativa por ingreso irregular</w:t>
      </w:r>
      <w:r w:rsidDel="00000000" w:rsidR="00000000" w:rsidRPr="00000000">
        <w:rPr>
          <w:rFonts w:ascii="Times New Roman" w:cs="Times New Roman" w:eastAsia="Times New Roman" w:hAnsi="Times New Roman"/>
          <w:b w:val="0"/>
          <w:i w:val="0"/>
          <w:smallCaps w:val="0"/>
          <w:strike w:val="0"/>
          <w:color w:val="000000"/>
          <w:sz w:val="24"/>
          <w:szCs w:val="24"/>
          <w:u w:val="none"/>
          <w:vertAlign w:val="superscript"/>
        </w:rPr>
        <w:footnoteReference w:customMarkFollows="0" w:id="10"/>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Además, se construyó e inauguró el Centro de Atención al Migrante Irregular “Francisco Paz’, con capacidad para alojar a 400 personas y atender a 2,000 en control migratorio diariamente. De igual forma, el modelo de Policía Comunitaria se ha extendido para brindar protección a migrantes en tránsito por el país, ofreciendo servicios médicos y alimentos, esto es evidencia de la transformación de la respuesta del Estado de Honduras a la migración irregular, dejando atrás el enfoque de contención, para dar paso al enfoque de protección</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aprobó la Ley para la Prevención, Atención y Protección de las Personas Desplazadas Internamente, para atender a esta población.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Además, con el asesoramiento </w:t>
      </w:r>
      <w:r w:rsidDel="00000000" w:rsidR="00000000" w:rsidRPr="00000000">
        <w:rPr>
          <w:rFonts w:ascii="Times New Roman" w:cs="Times New Roman" w:eastAsia="Times New Roman" w:hAnsi="Times New Roman"/>
          <w:sz w:val="24"/>
          <w:szCs w:val="24"/>
          <w:rtl w:val="0"/>
        </w:rPr>
        <w:t xml:space="preserve">del Alto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Comisionado de las Naciones Unidas para los Refugiados (ACNUR), se elaboró un protocolo para la prevención de futuros conflictos sociales y desplazamientos.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VIOLENCIA CONTRA LA MUJER Y VIOLENCIA DOMÉSTICA</w:t>
      </w:r>
    </w:p>
    <w:p w:rsidR="00000000" w:rsidDel="00000000" w:rsidP="00000000" w:rsidRDefault="00000000" w:rsidRPr="00000000" w14:paraId="00000044">
      <w:pPr>
        <w:spacing w:after="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Respecto a la violencia contra la mujer y violencia doméstica, me complace informar a este comité la aprobación de la Ley de Casas Refugio para Mujeres Víctimas Sobrevivientes de Violencia en Honduras</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la presentación ante la Comisión de Equidad de Género del Congreso Nacional del proyecto de Ley de Alerta Morada, además, la Secretaría de Seguridad elaboró el Reglamento de la Ley de Alerta Temprana Amber</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y actualmente se trabaja en la elaboración del protocolo de aplicación de esta ley.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ACCESO A LA JUSTICIA, INDEPENDENCIA E IMPARCIALIDAD DEL PODER JUDICIAL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materia de justicia se ha innovado en diferentes áreas, destacando la aprobación de la Ley de Gestión Electrónica de Procesos Judiciales, que dio vida al Sistema del Expediente Judicial Electrónico. Se </w:t>
      </w:r>
      <w:r w:rsidDel="00000000" w:rsidR="00000000" w:rsidRPr="00000000">
        <w:rPr>
          <w:rFonts w:ascii="Times New Roman" w:cs="Times New Roman" w:eastAsia="Times New Roman" w:hAnsi="Times New Roman"/>
          <w:sz w:val="24"/>
          <w:szCs w:val="24"/>
          <w:rtl w:val="0"/>
        </w:rPr>
        <w:t xml:space="preserve">han fortalecido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los </w:t>
      </w:r>
      <w:r w:rsidDel="00000000" w:rsidR="00000000" w:rsidRPr="00000000">
        <w:rPr>
          <w:rFonts w:ascii="Times New Roman" w:cs="Times New Roman" w:eastAsia="Times New Roman" w:hAnsi="Times New Roman"/>
          <w:sz w:val="24"/>
          <w:szCs w:val="24"/>
          <w:rtl w:val="0"/>
        </w:rPr>
        <w:t xml:space="preserve">mecanismos de transparencia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 la implementación de herramientas tecnológicas, se creó la biblioteca virtual, el sistema de indexación jurisprudencial, el Módulo de Estadísticas Judiciales, y el servicio virtual de alertas migratorias.</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 el fin de avanzar en la reducción de la mora judicial, se celebran a diario audiencias virtuales en conexión con los 24 centros penitenciarios del país, destaca también el Modelo de Gestión por Audiencias (MGA) implementado en varios despachos judiciales del país. De igual forma se ha creado juzgados de letras y tribunales de sentencia en lugares de difícil acceso, como en Puerto Lempira, Gracias a Dios, y en Roatán, Islas de la Bahía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 importante destacar la apertura de la Oficina Regional de la Unidad de Seguimiento y Reporte de Desaparecidos en la ciudad de San Pedro Sula, Cortés y la actualización del Manual Único de Investigación Criminal.  Siendo estas medidas significativas para prevenir y proteger a las personas a través del fortalecimiento de la investigación criminal y encontrar personas desaparecidas, que también pueden ser posibles víctimas de tortura, tratos crueles, inhumanos y degradantes. En agosto de 2023 se aprobó la Ley del Sistema Nacional de Bases de Datos de ADN,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para fortalecer la investigación criminal que permita determinar el paradero de personas desaparecidas.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CIERRE</w:t>
      </w:r>
    </w:p>
    <w:p w:rsidR="00000000" w:rsidDel="00000000" w:rsidP="00000000" w:rsidRDefault="00000000" w:rsidRPr="00000000" w14:paraId="0000004C">
      <w:pPr>
        <w:spacing w:after="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Estado de Honduras reconoce que existen grandes retos y desafíos para continuar avanzando en materia de derechos humanos, sin embargo, los avances logrados en apenas dos años y seis meses, que serán expuestos en este diálogo franco y sincero, ratifican el compromiso del gobierno de la presidenta Xiomara Castro con los derechos humanos, la transparencia y la rendición de cuentas, en ese sentido, expreso a este comité la voluntad de nuestro país en no abandonar este compromiso, y seguir trabajando en la garantía de los derechos humanos de las y los hondureños.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¡Muchas Gracias!</w:t>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CCPR/C/HND/3. Publicado por el Comité el 06 de enero de 2023. Disponible en: </w:t>
      </w:r>
      <w:hyperlink r:id="rId1">
        <w:r w:rsidDel="00000000" w:rsidR="00000000" w:rsidRPr="00000000">
          <w:rPr>
            <w:rFonts w:ascii="Times New Roman" w:cs="Times New Roman" w:eastAsia="Times New Roman" w:hAnsi="Times New Roman"/>
            <w:b w:val="0"/>
            <w:i w:val="0"/>
            <w:smallCaps w:val="0"/>
            <w:strike w:val="0"/>
            <w:color w:val="0563c1"/>
            <w:sz w:val="20"/>
            <w:szCs w:val="20"/>
            <w:u w:val="none"/>
            <w:shd w:fill="auto" w:val="clear"/>
            <w:vertAlign w:val="baseline"/>
            <w:rtl w:val="0"/>
          </w:rPr>
          <w:t xml:space="preserve">https://tbinternet.ohchr.org/_layouts/15/treatybodyexternal/Download.aspx?symbolno=CCPR%2FC%2FHND%2F3&amp;Lang=en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bookmarkStart w:colFirst="0" w:colLast="0" w:name="_heading=h.gjdgxs" w:id="0"/>
      <w:bookmarkEnd w:id="0"/>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CCPR/C/HND/RQ/3. Publicado por el Comité el 21 de marzo de 2024. Disponible en: </w:t>
      </w:r>
      <w:hyperlink r:id="rId2">
        <w:r w:rsidDel="00000000" w:rsidR="00000000" w:rsidRPr="00000000">
          <w:rPr>
            <w:rFonts w:ascii="Times New Roman" w:cs="Times New Roman" w:eastAsia="Times New Roman" w:hAnsi="Times New Roman"/>
            <w:b w:val="0"/>
            <w:i w:val="0"/>
            <w:smallCaps w:val="0"/>
            <w:strike w:val="0"/>
            <w:color w:val="0563c1"/>
            <w:sz w:val="20"/>
            <w:szCs w:val="20"/>
            <w:u w:val="none"/>
            <w:shd w:fill="auto" w:val="clear"/>
            <w:vertAlign w:val="baseline"/>
            <w:rtl w:val="0"/>
          </w:rPr>
          <w:t xml:space="preserve">https://tbinternet.ohchr.org/_layouts/15/treatybodyexternal/Download.aspx?symbolno=CCPR%2FC%2FHND%2FRQ%2F3&amp;Lang=en</w:t>
        </w:r>
      </w:hyperlink>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r w:rsidDel="00000000" w:rsidR="00000000" w:rsidRPr="00000000">
        <w:rPr>
          <w:rtl w:val="0"/>
        </w:rPr>
      </w:r>
    </w:p>
  </w:footnote>
  <w:footnote w:id="2">
    <w:p w:rsidR="00000000" w:rsidDel="00000000" w:rsidP="00000000" w:rsidRDefault="00000000" w:rsidRPr="00000000" w14:paraId="00000051">
      <w:pPr>
        <w:spacing w:after="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Creada mediante Decreto Ejecutivo PCM-05-2022. Gaceta 35,892.</w:t>
      </w:r>
    </w:p>
  </w:footnote>
  <w:footnote w:id="3">
    <w:p w:rsidR="00000000" w:rsidDel="00000000" w:rsidP="00000000" w:rsidRDefault="00000000" w:rsidRPr="00000000" w14:paraId="00000052">
      <w:pPr>
        <w:spacing w:after="0"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vertAlign w:val="superscript"/>
          <w:rtl w:val="0"/>
        </w:rPr>
        <w:t xml:space="preserve">  </w:t>
      </w:r>
      <w:r w:rsidDel="00000000" w:rsidR="00000000" w:rsidRPr="00000000">
        <w:rPr>
          <w:rFonts w:ascii="Times New Roman" w:cs="Times New Roman" w:eastAsia="Times New Roman" w:hAnsi="Times New Roman"/>
          <w:sz w:val="20"/>
          <w:szCs w:val="20"/>
          <w:rtl w:val="0"/>
        </w:rPr>
        <w:t xml:space="preserve">Creada mediante Decreto Ejecutivo PCM-41-2023, Gaceta 36,357 del 13 de octubre de 2023.</w:t>
      </w:r>
    </w:p>
  </w:footnote>
  <w:footnote w:id="4">
    <w:p w:rsidR="00000000" w:rsidDel="00000000" w:rsidP="00000000" w:rsidRDefault="00000000" w:rsidRPr="00000000" w14:paraId="00000053">
      <w:pPr>
        <w:spacing w:after="0"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Creada mediante Decreto Ejecutivo PCM-19-2022, Gaceta 35,999.</w:t>
      </w:r>
    </w:p>
  </w:footnote>
  <w:footnote w:id="5">
    <w:p w:rsidR="00000000" w:rsidDel="00000000" w:rsidP="00000000" w:rsidRDefault="00000000" w:rsidRPr="00000000" w14:paraId="00000054">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Decreto Legislativo 33-2022, Gaceta 35,907.</w:t>
      </w:r>
      <w:hyperlink r:id="rId3">
        <w:r w:rsidDel="00000000" w:rsidR="00000000" w:rsidRPr="00000000">
          <w:rPr>
            <w:rFonts w:ascii="Times New Roman" w:cs="Times New Roman" w:eastAsia="Times New Roman" w:hAnsi="Times New Roman"/>
            <w:sz w:val="20"/>
            <w:szCs w:val="20"/>
            <w:rtl w:val="0"/>
          </w:rPr>
          <w:t xml:space="preserve"> </w:t>
        </w:r>
      </w:hyperlink>
      <w:hyperlink r:id="rId4">
        <w:r w:rsidDel="00000000" w:rsidR="00000000" w:rsidRPr="00000000">
          <w:rPr>
            <w:rFonts w:ascii="Times New Roman" w:cs="Times New Roman" w:eastAsia="Times New Roman" w:hAnsi="Times New Roman"/>
            <w:color w:val="1155cc"/>
            <w:sz w:val="20"/>
            <w:szCs w:val="20"/>
            <w:rtl w:val="0"/>
          </w:rPr>
          <w:t xml:space="preserve">https://www.tsc.gob.hn/web/leyes/Decreto-33-2022.pdf</w:t>
        </w:r>
      </w:hyperlink>
      <w:r w:rsidDel="00000000" w:rsidR="00000000" w:rsidRPr="00000000">
        <w:rPr>
          <w:rtl w:val="0"/>
        </w:rPr>
      </w:r>
    </w:p>
  </w:footnote>
  <w:footnote w:id="6">
    <w:p w:rsidR="00000000" w:rsidDel="00000000" w:rsidP="00000000" w:rsidRDefault="00000000" w:rsidRPr="00000000" w14:paraId="00000055">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Decreto 12-2022, Gaceta 35,873. Ley para la Clasificación de Documentos Públicos relacionados con la Seguridad y Defensa Nacional</w:t>
      </w:r>
    </w:p>
  </w:footnote>
  <w:footnote w:id="7">
    <w:p w:rsidR="00000000" w:rsidDel="00000000" w:rsidP="00000000" w:rsidRDefault="00000000" w:rsidRPr="00000000" w14:paraId="00000056">
      <w:pPr>
        <w:spacing w:after="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Decreto Legislativo n.° 4-2022, Gaceta 35,840 del 4 de febrero de 2022</w:t>
      </w:r>
    </w:p>
  </w:footnote>
  <w:footnote w:id="8">
    <w:p w:rsidR="00000000" w:rsidDel="00000000" w:rsidP="00000000" w:rsidRDefault="00000000" w:rsidRPr="00000000" w14:paraId="00000057">
      <w:pPr>
        <w:spacing w:after="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Decreto PCM-017-2022.</w:t>
      </w:r>
      <w:hyperlink r:id="rId5">
        <w:r w:rsidDel="00000000" w:rsidR="00000000" w:rsidRPr="00000000">
          <w:rPr>
            <w:rFonts w:ascii="Times New Roman" w:cs="Times New Roman" w:eastAsia="Times New Roman" w:hAnsi="Times New Roman"/>
            <w:sz w:val="20"/>
            <w:szCs w:val="20"/>
            <w:rtl w:val="0"/>
          </w:rPr>
          <w:t xml:space="preserve"> </w:t>
        </w:r>
      </w:hyperlink>
      <w:hyperlink r:id="rId6">
        <w:r w:rsidDel="00000000" w:rsidR="00000000" w:rsidRPr="00000000">
          <w:rPr>
            <w:rFonts w:ascii="Times New Roman" w:cs="Times New Roman" w:eastAsia="Times New Roman" w:hAnsi="Times New Roman"/>
            <w:color w:val="1155cc"/>
            <w:sz w:val="20"/>
            <w:szCs w:val="20"/>
            <w:rtl w:val="0"/>
          </w:rPr>
          <w:t xml:space="preserve">https://www.poderpopular.hn/vernoticias.php?id_noticia=7611</w:t>
        </w:r>
      </w:hyperlink>
      <w:r w:rsidDel="00000000" w:rsidR="00000000" w:rsidRPr="00000000">
        <w:rPr>
          <w:rtl w:val="0"/>
        </w:rPr>
      </w:r>
    </w:p>
  </w:footnote>
  <w:footnote w:id="9">
    <w:p w:rsidR="00000000" w:rsidDel="00000000" w:rsidP="00000000" w:rsidRDefault="00000000" w:rsidRPr="00000000" w14:paraId="00000058">
      <w:pPr>
        <w:spacing w:after="0" w:lineRule="auto"/>
        <w:rPr>
          <w:rFonts w:ascii="Cambria" w:cs="Cambria" w:eastAsia="Cambria" w:hAnsi="Cambria"/>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Decreto Ejecutivo n.° PCM 13-2023, Gaceta 36,185 del 21 de marzo de 2023</w:t>
      </w:r>
      <w:r w:rsidDel="00000000" w:rsidR="00000000" w:rsidRPr="00000000">
        <w:rPr>
          <w:rtl w:val="0"/>
        </w:rPr>
      </w:r>
    </w:p>
  </w:footnote>
  <w:footnote w:id="10">
    <w:p w:rsidR="00000000" w:rsidDel="00000000" w:rsidP="00000000" w:rsidRDefault="00000000" w:rsidRPr="00000000" w14:paraId="00000059">
      <w:pPr>
        <w:spacing w:after="0"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Decreto Legislativo n.° 42-2022, Gaceta 35,989 del 30 de julio del 2022; ver también, Decreto Legislativo n.° 79-20, Gaceta 35,993 del 4 de agosto del 2022.</w:t>
      </w:r>
    </w:p>
  </w:footnote>
  <w:footnote w:id="11">
    <w:p w:rsidR="00000000" w:rsidDel="00000000" w:rsidP="00000000" w:rsidRDefault="00000000" w:rsidRPr="00000000" w14:paraId="0000005A">
      <w:pPr>
        <w:spacing w:after="0"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Decreto Legislativo n.° 154-2022, Gaceta 36,184 del 20 de marzo de 2023.</w:t>
      </w:r>
    </w:p>
  </w:footnote>
  <w:footnote w:id="14">
    <w:p w:rsidR="00000000" w:rsidDel="00000000" w:rsidP="00000000" w:rsidRDefault="00000000" w:rsidRPr="00000000" w14:paraId="0000005B">
      <w:pPr>
        <w:spacing w:after="0"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Consultado de la Memoria Anual 2022 del Poder Judicial.</w:t>
      </w:r>
      <w:r w:rsidDel="00000000" w:rsidR="00000000" w:rsidRPr="00000000">
        <w:rPr>
          <w:rFonts w:ascii="Calibri" w:cs="Calibri" w:eastAsia="Calibri" w:hAnsi="Calibri"/>
          <w:sz w:val="18"/>
          <w:szCs w:val="18"/>
          <w:rtl w:val="0"/>
        </w:rPr>
        <w:t xml:space="preserve"> </w:t>
      </w:r>
    </w:p>
  </w:footnote>
  <w:footnote w:id="15">
    <w:p w:rsidR="00000000" w:rsidDel="00000000" w:rsidP="00000000" w:rsidRDefault="00000000" w:rsidRPr="00000000" w14:paraId="0000005C">
      <w:pPr>
        <w:spacing w:after="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Decreto Legislativo n.° 57-2023, Gaceta 36,322 del 31 de agosto de 2023</w:t>
      </w:r>
    </w:p>
  </w:footnote>
  <w:footnote w:id="12">
    <w:p w:rsidR="00000000" w:rsidDel="00000000" w:rsidP="00000000" w:rsidRDefault="00000000" w:rsidRPr="00000000" w14:paraId="0000005D">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Publicado en el Diario Oficial La Gaceta no. 36,521, del 29 de abril de 2024.</w:t>
      </w:r>
    </w:p>
  </w:footnote>
  <w:footnote w:id="13">
    <w:p w:rsidR="00000000" w:rsidDel="00000000" w:rsidP="00000000" w:rsidRDefault="00000000" w:rsidRPr="00000000" w14:paraId="0000005E">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Publicada en el Diario Oficial La Gaceta no. 36,537, del 18 de mayo de 2024.</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H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pPr>
      <w:spacing w:after="160" w:line="259" w:lineRule="auto"/>
    </w:pPr>
    <w:rPr>
      <w:rFonts w:ascii="Calibri" w:cs="Calibri" w:eastAsia="Calibri" w:hAnsi="Calibri"/>
      <w:sz w:val="22"/>
      <w:szCs w:val="22"/>
      <w:lang w:eastAsia="es-HN"/>
    </w:rPr>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Textodeglobo">
    <w:name w:val="Balloon Text"/>
    <w:basedOn w:val="Normal"/>
    <w:link w:val="TextodegloboCar"/>
    <w:uiPriority w:val="99"/>
    <w:semiHidden w:val="1"/>
    <w:unhideWhenUsed w:val="1"/>
    <w:qFormat w:val="1"/>
    <w:pPr>
      <w:spacing w:after="0" w:line="240" w:lineRule="auto"/>
    </w:pPr>
    <w:rPr>
      <w:rFonts w:ascii="Segoe UI" w:cs="Segoe UI" w:hAnsi="Segoe UI"/>
      <w:sz w:val="18"/>
      <w:szCs w:val="18"/>
    </w:rPr>
  </w:style>
  <w:style w:type="character" w:styleId="Refdecomentario">
    <w:name w:val="annotation reference"/>
    <w:basedOn w:val="Fuentedeprrafopredeter"/>
    <w:uiPriority w:val="99"/>
    <w:semiHidden w:val="1"/>
    <w:unhideWhenUsed w:val="1"/>
    <w:qFormat w:val="1"/>
    <w:rPr>
      <w:sz w:val="16"/>
      <w:szCs w:val="16"/>
    </w:rPr>
  </w:style>
  <w:style w:type="paragraph" w:styleId="Textocomentario">
    <w:name w:val="annotation text"/>
    <w:basedOn w:val="Normal"/>
    <w:link w:val="TextocomentarioCar"/>
    <w:uiPriority w:val="99"/>
    <w:semiHidden w:val="1"/>
    <w:unhideWhenUsed w:val="1"/>
    <w:qFormat w:val="1"/>
    <w:pPr>
      <w:spacing w:line="240" w:lineRule="auto"/>
    </w:pPr>
    <w:rPr>
      <w:sz w:val="20"/>
      <w:szCs w:val="20"/>
    </w:rPr>
  </w:style>
  <w:style w:type="paragraph" w:styleId="Asuntodelcomentario">
    <w:name w:val="annotation subject"/>
    <w:basedOn w:val="Textocomentario"/>
    <w:next w:val="Textocomentario"/>
    <w:link w:val="AsuntodelcomentarioCar"/>
    <w:uiPriority w:val="99"/>
    <w:semiHidden w:val="1"/>
    <w:unhideWhenUsed w:val="1"/>
    <w:qFormat w:val="1"/>
    <w:rPr>
      <w:b w:val="1"/>
      <w:bCs w:val="1"/>
    </w:rPr>
  </w:style>
  <w:style w:type="character" w:styleId="Refdenotaalpie">
    <w:name w:val="footnote reference"/>
    <w:basedOn w:val="Fuentedeprrafopredeter"/>
    <w:uiPriority w:val="99"/>
    <w:unhideWhenUsed w:val="1"/>
    <w:qFormat w:val="1"/>
    <w:rPr>
      <w:vertAlign w:val="superscript"/>
    </w:rPr>
  </w:style>
  <w:style w:type="paragraph" w:styleId="Textonotapie">
    <w:name w:val="footnote text"/>
    <w:basedOn w:val="Normal"/>
    <w:uiPriority w:val="99"/>
    <w:unhideWhenUsed w:val="1"/>
    <w:qFormat w:val="1"/>
    <w:pPr>
      <w:spacing w:after="0" w:line="240" w:lineRule="auto"/>
    </w:pPr>
    <w:rPr>
      <w:sz w:val="20"/>
      <w:szCs w:val="20"/>
    </w:rPr>
  </w:style>
  <w:style w:type="character" w:styleId="Hipervnculo">
    <w:name w:val="Hyperlink"/>
    <w:basedOn w:val="Fuentedeprrafopredeter"/>
    <w:uiPriority w:val="99"/>
    <w:unhideWhenUsed w:val="1"/>
    <w:qFormat w:val="1"/>
    <w:rPr>
      <w:color w:val="0563c1" w:themeColor="hyperlink"/>
      <w:u w:val="single"/>
    </w:rPr>
  </w:style>
  <w:style w:type="paragraph" w:styleId="NormalWeb">
    <w:name w:val="Normal (Web)"/>
    <w:basedOn w:val="Normal"/>
    <w:uiPriority w:val="99"/>
    <w:semiHidden w:val="1"/>
    <w:unhideWhenUsed w:val="1"/>
    <w:qFormat w:val="1"/>
    <w:pPr>
      <w:spacing w:after="100" w:afterAutospacing="1" w:before="100" w:beforeAutospacing="1" w:line="240" w:lineRule="auto"/>
    </w:pPr>
    <w:rPr>
      <w:rFonts w:ascii="Times New Roman" w:cs="Times New Roman" w:eastAsia="Times New Roman" w:hAnsi="Times New Roman"/>
      <w:sz w:val="24"/>
      <w:szCs w:val="24"/>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1" w:customStyle="1">
    <w:name w:val="Table Normal1"/>
    <w:qFormat w:val="1"/>
    <w:tblPr>
      <w:tblCellMar>
        <w:top w:w="0.0" w:type="dxa"/>
        <w:left w:w="0.0" w:type="dxa"/>
        <w:bottom w:w="0.0" w:type="dxa"/>
        <w:right w:w="0.0" w:type="dxa"/>
      </w:tblCellMar>
    </w:tblPr>
  </w:style>
  <w:style w:type="character" w:styleId="TextodegloboCar" w:customStyle="1">
    <w:name w:val="Texto de globo Car"/>
    <w:basedOn w:val="Fuentedeprrafopredeter"/>
    <w:link w:val="Textodeglobo"/>
    <w:uiPriority w:val="99"/>
    <w:semiHidden w:val="1"/>
    <w:qFormat w:val="1"/>
    <w:rPr>
      <w:rFonts w:ascii="Segoe UI" w:cs="Segoe UI" w:hAnsi="Segoe UI"/>
      <w:sz w:val="18"/>
      <w:szCs w:val="18"/>
      <w:lang w:val="es-HN"/>
    </w:rPr>
  </w:style>
  <w:style w:type="character" w:styleId="TextocomentarioCar" w:customStyle="1">
    <w:name w:val="Texto comentario Car"/>
    <w:basedOn w:val="Fuentedeprrafopredeter"/>
    <w:link w:val="Textocomentario"/>
    <w:uiPriority w:val="99"/>
    <w:semiHidden w:val="1"/>
    <w:qFormat w:val="1"/>
    <w:rPr>
      <w:sz w:val="20"/>
      <w:szCs w:val="20"/>
      <w:lang w:val="es-HN"/>
    </w:rPr>
  </w:style>
  <w:style w:type="character" w:styleId="AsuntodelcomentarioCar" w:customStyle="1">
    <w:name w:val="Asunto del comentario Car"/>
    <w:basedOn w:val="TextocomentarioCar"/>
    <w:link w:val="Asuntodelcomentario"/>
    <w:uiPriority w:val="99"/>
    <w:semiHidden w:val="1"/>
    <w:qFormat w:val="1"/>
    <w:rPr>
      <w:b w:val="1"/>
      <w:bCs w:val="1"/>
      <w:sz w:val="20"/>
      <w:szCs w:val="20"/>
      <w:lang w:val="es-HN"/>
    </w:rPr>
  </w:style>
  <w:style w:type="paragraph" w:styleId="Prrafodelista">
    <w:name w:val="List Paragraph"/>
    <w:basedOn w:val="Normal"/>
    <w:uiPriority w:val="34"/>
    <w:qFormat w:val="1"/>
    <w:pPr>
      <w:ind w:left="720"/>
      <w:contextualSpacing w:val="1"/>
    </w:pPr>
  </w:style>
  <w:style w:type="character" w:styleId="Hipervnculovisitado">
    <w:name w:val="FollowedHyperlink"/>
    <w:basedOn w:val="Fuentedeprrafopredeter"/>
    <w:uiPriority w:val="99"/>
    <w:semiHidden w:val="1"/>
    <w:unhideWhenUsed w:val="1"/>
    <w:rsid w:val="007147E2"/>
    <w:rPr>
      <w:color w:val="954f72" w:themeColor="followedHyperlink"/>
      <w:u w:val="single"/>
    </w:rPr>
  </w:style>
  <w:style w:type="paragraph" w:styleId="Encabezado">
    <w:name w:val="header"/>
    <w:basedOn w:val="Normal"/>
    <w:link w:val="EncabezadoCar"/>
    <w:uiPriority w:val="99"/>
    <w:unhideWhenUsed w:val="1"/>
    <w:rsid w:val="000A4F46"/>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0A4F46"/>
    <w:rPr>
      <w:rFonts w:ascii="Calibri" w:cs="Calibri" w:eastAsia="Calibri" w:hAnsi="Calibri"/>
      <w:sz w:val="22"/>
      <w:szCs w:val="22"/>
      <w:lang w:eastAsia="es-HN"/>
    </w:rPr>
  </w:style>
  <w:style w:type="paragraph" w:styleId="Piedepgina">
    <w:name w:val="footer"/>
    <w:basedOn w:val="Normal"/>
    <w:link w:val="PiedepginaCar"/>
    <w:uiPriority w:val="99"/>
    <w:unhideWhenUsed w:val="1"/>
    <w:rsid w:val="000A4F46"/>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0A4F46"/>
    <w:rPr>
      <w:rFonts w:ascii="Calibri" w:cs="Calibri" w:eastAsia="Calibri" w:hAnsi="Calibri"/>
      <w:sz w:val="22"/>
      <w:szCs w:val="22"/>
      <w:lang w:eastAsia="es-HN"/>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3" Type="http://schemas.openxmlformats.org/officeDocument/2006/relationships/footer" Target="footer3.xml"/><Relationship Id="rId8" Type="http://schemas.openxmlformats.org/officeDocument/2006/relationships/header" Target="header1.xml"/><Relationship Id="rId3" Type="http://schemas.openxmlformats.org/officeDocument/2006/relationships/fontTable" Target="fontTable.xml"/><Relationship Id="rId12" Type="http://schemas.openxmlformats.org/officeDocument/2006/relationships/footer" Target="footer2.xml"/><Relationship Id="rId7" Type="http://schemas.openxmlformats.org/officeDocument/2006/relationships/customXml" Target="../customXML/item1.xml"/><Relationship Id="rId2" Type="http://schemas.openxmlformats.org/officeDocument/2006/relationships/settings" Target="settings.xml"/><Relationship Id="rId11" Type="http://schemas.openxmlformats.org/officeDocument/2006/relationships/footer" Target="footer1.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CCPR%2FC%2FHND%2F3&amp;Lang=en" TargetMode="External"/><Relationship Id="rId2" Type="http://schemas.openxmlformats.org/officeDocument/2006/relationships/hyperlink" Target="https://tbinternet.ohchr.org/_layouts/15/treatybodyexternal/Download.aspx?symbolno=CCPR%2FC%2FHND%2FRQ%2F3&amp;Lang=en" TargetMode="External"/><Relationship Id="rId3" Type="http://schemas.openxmlformats.org/officeDocument/2006/relationships/hyperlink" Target="https://www.tsc.gob.hn/web/leyes/Decreto-33-2022.pdf" TargetMode="External"/><Relationship Id="rId4" Type="http://schemas.openxmlformats.org/officeDocument/2006/relationships/hyperlink" Target="https://www.tsc.gob.hn/web/leyes/Decreto-33-2022.pdf" TargetMode="External"/><Relationship Id="rId5" Type="http://schemas.openxmlformats.org/officeDocument/2006/relationships/hyperlink" Target="https://www.poderpopular.hn/vernoticias.php?id_noticia=7611" TargetMode="External"/><Relationship Id="rId6" Type="http://schemas.openxmlformats.org/officeDocument/2006/relationships/hyperlink" Target="https://www.poderpopular.hn/vernoticias.php?id_noticia=761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upSnUoVqQixZNXEXJKa0XOCtWw==">CgMxLjAyCGguZ2pkZ3hzOAByITFjdURrRjBjN0pJbFFHUjljcWk0ZTUtcmRGdjVHT2QtMw==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7A37806E-322D-47C8-9125-5A9C19C3D0AB}"/>
</file>

<file path=customXML/itemProps3.xml><?xml version="1.0" encoding="utf-8"?>
<ds:datastoreItem xmlns:ds="http://schemas.openxmlformats.org/officeDocument/2006/customXml" ds:itemID="{36E44D22-B384-4234-9DF0-A9062F438917}"/>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2024-07-01T19:38:00.0000000Z</dcterms:created>
  <dc:creator>Windows 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D7D41F33B80B4ACDA22D493432062DBA_13</vt:lpwstr>
  </property>
</Properties>
</file>