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CB88B" w14:textId="77777777" w:rsidR="007F355F" w:rsidRDefault="007F355F" w:rsidP="007F355F">
      <w:pPr>
        <w:spacing w:after="0" w:line="240" w:lineRule="auto"/>
        <w:rPr>
          <w:rFonts w:ascii="Arial" w:eastAsia="Times New Roman" w:hAnsi="Arial" w:cs="Arial"/>
          <w:b/>
          <w:bCs/>
          <w:i/>
          <w:iCs/>
          <w:color w:val="222222"/>
          <w:kern w:val="0"/>
          <w:sz w:val="24"/>
          <w:szCs w:val="24"/>
          <w:shd w:val="clear" w:color="auto" w:fill="FFFFFF"/>
          <w:lang w:val="sr-Latn-BA" w:eastAsia="sr-Latn-BA"/>
          <w14:ligatures w14:val="none"/>
        </w:rPr>
      </w:pPr>
      <w:r w:rsidRPr="007F355F">
        <w:rPr>
          <w:rFonts w:ascii="Arial" w:eastAsia="Times New Roman" w:hAnsi="Arial" w:cs="Arial"/>
          <w:b/>
          <w:bCs/>
          <w:i/>
          <w:iCs/>
          <w:color w:val="222222"/>
          <w:kern w:val="0"/>
          <w:sz w:val="24"/>
          <w:szCs w:val="24"/>
          <w:shd w:val="clear" w:color="auto" w:fill="FFFFFF"/>
          <w:lang w:val="sr-Latn-BA" w:eastAsia="sr-Latn-BA"/>
          <w14:ligatures w14:val="none"/>
        </w:rPr>
        <w:t>Submission to the Committee on the Elimination of Racial Discrimination (CERD)</w:t>
      </w:r>
    </w:p>
    <w:p w14:paraId="7605375E" w14:textId="77777777" w:rsidR="007F355F" w:rsidRPr="007F355F" w:rsidRDefault="007F355F" w:rsidP="007F355F">
      <w:pPr>
        <w:spacing w:after="0" w:line="240" w:lineRule="auto"/>
        <w:rPr>
          <w:rFonts w:ascii="Times New Roman" w:eastAsia="Times New Roman" w:hAnsi="Times New Roman" w:cs="Times New Roman"/>
          <w:b/>
          <w:bCs/>
          <w:i/>
          <w:iCs/>
          <w:kern w:val="0"/>
          <w:sz w:val="24"/>
          <w:szCs w:val="24"/>
          <w:lang w:val="sr-Latn-BA" w:eastAsia="sr-Latn-BA"/>
          <w14:ligatures w14:val="none"/>
        </w:rPr>
      </w:pPr>
    </w:p>
    <w:p w14:paraId="1A90BACA"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Follow-up information on Bosnia and Herzegovina</w:t>
      </w:r>
    </w:p>
    <w:p w14:paraId="3D5A8876"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Concluding observations: CERD/C/BIH/CO/14-15</w:t>
      </w:r>
    </w:p>
    <w:p w14:paraId="05D17C7B"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5531EFBB" w14:textId="77777777" w:rsid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Executive Summary</w:t>
      </w:r>
    </w:p>
    <w:p w14:paraId="529FCAA0"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77C6C31B"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Helsinški odbor za ljudska prava respectfully submits this information to the Committee on the Elimination of Racial Discrimination (CERD) in the context of the follow-up procedure concerning Bosnia and Herzegovina.</w:t>
      </w:r>
    </w:p>
    <w:p w14:paraId="1F37CB69"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This submission addresses the implementation of recommendations contained in paragraphs 20(b), 22(a) and 32(d) of the Committee’s concluding observations (CERD/C/BIH/CO/14-15), taking into account the State party’s follow-up report (CERD/C/BIH/FCO/14-15).</w:t>
      </w:r>
    </w:p>
    <w:p w14:paraId="3A834480"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While the State party reports a range of legislative, policy and institutional measures, the Helsinki Committee notes that these measures remain predominantly procedural and are not consistently supported by evidence of measurable outcomes. The Committee may wish to note with concern that structural forms of discrimination appear to persist, particularly in relation to political participation, access to education and the protection of migrants, asylum-seekers and refugees.</w:t>
      </w:r>
    </w:p>
    <w:p w14:paraId="58E7B5AB" w14:textId="77777777" w:rsid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These findings are consistent with broader assessments of the human rights situation in Bosnia and Herzegovina, including those of UN Human Rights Council and Council of Europe monitoring mechanisms, which continue to identify systemic challenges related to equality and non-discrimination.</w:t>
      </w:r>
    </w:p>
    <w:p w14:paraId="7EA6DD70"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C3152C9" w14:textId="56D94121" w:rsidR="007F355F" w:rsidRPr="00077D5E" w:rsidRDefault="00077D5E" w:rsidP="00077D5E">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Pr>
          <w:rFonts w:ascii="Arial" w:eastAsia="Times New Roman" w:hAnsi="Arial" w:cs="Arial"/>
          <w:color w:val="222222"/>
          <w:kern w:val="0"/>
          <w:sz w:val="24"/>
          <w:szCs w:val="24"/>
          <w:lang w:val="sr-Latn-BA" w:eastAsia="sr-Latn-BA"/>
          <w14:ligatures w14:val="none"/>
        </w:rPr>
        <w:t>1.</w:t>
      </w:r>
      <w:r w:rsidR="007F355F" w:rsidRPr="00077D5E">
        <w:rPr>
          <w:rFonts w:ascii="Arial" w:eastAsia="Times New Roman" w:hAnsi="Arial" w:cs="Arial"/>
          <w:color w:val="222222"/>
          <w:kern w:val="0"/>
          <w:sz w:val="24"/>
          <w:szCs w:val="24"/>
          <w:lang w:val="sr-Latn-BA" w:eastAsia="sr-Latn-BA"/>
          <w14:ligatures w14:val="none"/>
        </w:rPr>
        <w:t>Introduction</w:t>
      </w:r>
    </w:p>
    <w:p w14:paraId="6755B8B5" w14:textId="77777777" w:rsidR="007F355F" w:rsidRPr="007F355F" w:rsidRDefault="007F355F" w:rsidP="007F355F">
      <w:pPr>
        <w:pStyle w:val="ListParagraph"/>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B41D7EA"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Helsinški odbor za ljudska prava (Helsinki Committee for Human Rights) is an independent civil society organization engaged in the monitoring and promotion of human rights in Bosnia and Herzegovina.</w:t>
      </w:r>
    </w:p>
    <w:p w14:paraId="4804FF41"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This submission is provided within the framework of the CERD follow-up procedure and focuses on the implementation of recommendations contained in paragraphs 20(b), 22(a) and 32(d) of the Committee’s concluding observations.</w:t>
      </w:r>
    </w:p>
    <w:p w14:paraId="02C132E3" w14:textId="77777777" w:rsid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While structured around these specific recommendations, the submission reflects broader structural challenges related to discrimination and unequal access to rights, as documented in international and regional monitoring processes.</w:t>
      </w:r>
    </w:p>
    <w:p w14:paraId="382CD553" w14:textId="77777777" w:rsidR="00077D5E" w:rsidRDefault="00077D5E" w:rsidP="00077D5E">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48C9F2E0" w14:textId="524833FB" w:rsidR="007F355F" w:rsidRPr="00077D5E" w:rsidRDefault="00077D5E" w:rsidP="00077D5E">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Pr>
          <w:rFonts w:ascii="Arial" w:eastAsia="Times New Roman" w:hAnsi="Arial" w:cs="Arial"/>
          <w:color w:val="222222"/>
          <w:kern w:val="0"/>
          <w:sz w:val="24"/>
          <w:szCs w:val="24"/>
          <w:lang w:val="sr-Latn-BA" w:eastAsia="sr-Latn-BA"/>
          <w14:ligatures w14:val="none"/>
        </w:rPr>
        <w:t>2.</w:t>
      </w:r>
      <w:r w:rsidR="007F355F" w:rsidRPr="00077D5E">
        <w:rPr>
          <w:rFonts w:ascii="Arial" w:eastAsia="Times New Roman" w:hAnsi="Arial" w:cs="Arial"/>
          <w:color w:val="222222"/>
          <w:kern w:val="0"/>
          <w:sz w:val="24"/>
          <w:szCs w:val="24"/>
          <w:lang w:val="sr-Latn-BA" w:eastAsia="sr-Latn-BA"/>
          <w14:ligatures w14:val="none"/>
        </w:rPr>
        <w:t>Methodology</w:t>
      </w:r>
    </w:p>
    <w:p w14:paraId="4DEC18A1" w14:textId="77777777" w:rsidR="007F355F" w:rsidRPr="007F355F" w:rsidRDefault="007F355F" w:rsidP="007F355F">
      <w:pPr>
        <w:pStyle w:val="ListParagraph"/>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06774F00"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This submission is based on:</w:t>
      </w:r>
    </w:p>
    <w:p w14:paraId="2A1E7264"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analysis of the State party follow-up report (CERD/C/BIH/FCO/14-15)</w:t>
      </w:r>
    </w:p>
    <w:p w14:paraId="23C85C3A" w14:textId="54F7E63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publicly available official information</w:t>
      </w:r>
      <w:r>
        <w:rPr>
          <w:rFonts w:ascii="Arial" w:eastAsia="Times New Roman" w:hAnsi="Arial" w:cs="Arial"/>
          <w:color w:val="222222"/>
          <w:kern w:val="0"/>
          <w:sz w:val="24"/>
          <w:szCs w:val="24"/>
          <w:lang w:val="sr-Latn-BA" w:eastAsia="sr-Latn-BA"/>
          <w14:ligatures w14:val="none"/>
        </w:rPr>
        <w:t>,</w:t>
      </w:r>
      <w:r w:rsidRPr="007F355F">
        <w:rPr>
          <w:rFonts w:ascii="Arial" w:eastAsia="Times New Roman" w:hAnsi="Arial" w:cs="Arial"/>
          <w:color w:val="222222"/>
          <w:kern w:val="0"/>
          <w:sz w:val="24"/>
          <w:szCs w:val="24"/>
          <w:lang w:val="sr-Latn-BA" w:eastAsia="sr-Latn-BA"/>
          <w14:ligatures w14:val="none"/>
        </w:rPr>
        <w:t>civil society monitoring</w:t>
      </w:r>
      <w:r>
        <w:rPr>
          <w:rFonts w:ascii="Arial" w:eastAsia="Times New Roman" w:hAnsi="Arial" w:cs="Arial"/>
          <w:color w:val="222222"/>
          <w:kern w:val="0"/>
          <w:sz w:val="24"/>
          <w:szCs w:val="24"/>
          <w:lang w:val="sr-Latn-BA" w:eastAsia="sr-Latn-BA"/>
          <w14:ligatures w14:val="none"/>
        </w:rPr>
        <w:t xml:space="preserve">, </w:t>
      </w:r>
      <w:r w:rsidRPr="007F355F">
        <w:rPr>
          <w:rFonts w:ascii="Arial" w:eastAsia="Times New Roman" w:hAnsi="Arial" w:cs="Arial"/>
          <w:color w:val="222222"/>
          <w:kern w:val="0"/>
          <w:sz w:val="24"/>
          <w:szCs w:val="24"/>
          <w:lang w:val="sr-Latn-BA" w:eastAsia="sr-Latn-BA"/>
          <w14:ligatures w14:val="none"/>
        </w:rPr>
        <w:t>relevant international and regional human rights standards</w:t>
      </w:r>
      <w:r>
        <w:rPr>
          <w:rFonts w:ascii="Arial" w:eastAsia="Times New Roman" w:hAnsi="Arial" w:cs="Arial"/>
          <w:color w:val="222222"/>
          <w:kern w:val="0"/>
          <w:sz w:val="24"/>
          <w:szCs w:val="24"/>
          <w:lang w:val="sr-Latn-BA" w:eastAsia="sr-Latn-BA"/>
          <w14:ligatures w14:val="none"/>
        </w:rPr>
        <w:t>.</w:t>
      </w:r>
    </w:p>
    <w:p w14:paraId="5886D1F8"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Helsinki Committee applies a structured analytical approach, assessing not only the existence of reported measures, but also their effectiveness, sustainability and impact on the enjoyment of rights by affected groups.</w:t>
      </w:r>
    </w:p>
    <w:p w14:paraId="4731FA13" w14:textId="77777777" w:rsid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lastRenderedPageBreak/>
        <w:t>Particular attention is given to the distinction between formal commitments and their practical implementation.</w:t>
      </w:r>
    </w:p>
    <w:p w14:paraId="4FED68C4" w14:textId="77777777" w:rsidR="00EC3B55" w:rsidRPr="007F355F" w:rsidRDefault="00EC3B55"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35382B7" w14:textId="7F2F62BC" w:rsidR="007F355F" w:rsidRPr="00077D5E" w:rsidRDefault="00077D5E" w:rsidP="00077D5E">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Pr>
          <w:rFonts w:ascii="Arial" w:eastAsia="Times New Roman" w:hAnsi="Arial" w:cs="Arial"/>
          <w:color w:val="222222"/>
          <w:kern w:val="0"/>
          <w:sz w:val="24"/>
          <w:szCs w:val="24"/>
          <w:lang w:val="sr-Latn-BA" w:eastAsia="sr-Latn-BA"/>
          <w14:ligatures w14:val="none"/>
        </w:rPr>
        <w:t xml:space="preserve"> 3.</w:t>
      </w:r>
      <w:r w:rsidR="007F355F" w:rsidRPr="00077D5E">
        <w:rPr>
          <w:rFonts w:ascii="Arial" w:eastAsia="Times New Roman" w:hAnsi="Arial" w:cs="Arial"/>
          <w:color w:val="222222"/>
          <w:kern w:val="0"/>
          <w:sz w:val="24"/>
          <w:szCs w:val="24"/>
          <w:lang w:val="sr-Latn-BA" w:eastAsia="sr-Latn-BA"/>
          <w14:ligatures w14:val="none"/>
        </w:rPr>
        <w:t xml:space="preserve">Follow-up to paragraph 20(b): Participation of national minorities in political and </w:t>
      </w:r>
      <w:r>
        <w:rPr>
          <w:rFonts w:ascii="Arial" w:eastAsia="Times New Roman" w:hAnsi="Arial" w:cs="Arial"/>
          <w:color w:val="222222"/>
          <w:kern w:val="0"/>
          <w:sz w:val="24"/>
          <w:szCs w:val="24"/>
          <w:lang w:val="sr-Latn-BA" w:eastAsia="sr-Latn-BA"/>
          <w14:ligatures w14:val="none"/>
        </w:rPr>
        <w:t xml:space="preserve"> </w:t>
      </w:r>
      <w:r w:rsidR="007F355F" w:rsidRPr="00077D5E">
        <w:rPr>
          <w:rFonts w:ascii="Arial" w:eastAsia="Times New Roman" w:hAnsi="Arial" w:cs="Arial"/>
          <w:color w:val="222222"/>
          <w:kern w:val="0"/>
          <w:sz w:val="24"/>
          <w:szCs w:val="24"/>
          <w:lang w:val="sr-Latn-BA" w:eastAsia="sr-Latn-BA"/>
          <w14:ligatures w14:val="none"/>
        </w:rPr>
        <w:t>public life</w:t>
      </w:r>
    </w:p>
    <w:p w14:paraId="689B94BF" w14:textId="77777777" w:rsidR="00EC3B55" w:rsidRPr="00EC3B55" w:rsidRDefault="00EC3B55" w:rsidP="00EC3B55">
      <w:pPr>
        <w:pStyle w:val="ListParagraph"/>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5CAA231"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recommended that Bosnia and Herzegovina ensure effective participation of national minorities in political and public life, including through the elimination of discriminatory constitutional and electoral provisions.</w:t>
      </w:r>
    </w:p>
    <w:p w14:paraId="19BCE102"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State party’s follow-up report refers to ongoing institutional processes; however, it does not provide evidence of concrete outcomes or adopted reforms addressing structural barriers.</w:t>
      </w:r>
    </w:p>
    <w:p w14:paraId="7E10CDD5"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In this regard, the Committee may wish to note with concern that judgments of the European Court of Human Rights concerning discrimination in the electoral framework remain unimplemented. The Committee may further note with concern that individuals who do not identify with constituent peoples, as well as certain categories of citizens depending on their place of residence, continue to face restrictions in the exercise of political rights.</w:t>
      </w:r>
    </w:p>
    <w:p w14:paraId="65B568DA"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may also wish to regret the absence of disaggregated data on the participation of national minorities in political and public life, including representation in elected bodies and public administration.</w:t>
      </w:r>
    </w:p>
    <w:p w14:paraId="7B84526D"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In light of the above, the Committee may consider that the limited progress in addressing discriminatory constitutional arrangements raises concerns under articles 2 and 5 of the Convention, particularly with regard to equal participation in public affairs.</w:t>
      </w:r>
    </w:p>
    <w:p w14:paraId="69BF3864" w14:textId="73DA4A17" w:rsid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may wish to request:</w:t>
      </w:r>
      <w:r w:rsidR="00EC3B55">
        <w:rPr>
          <w:rFonts w:ascii="Arial" w:eastAsia="Times New Roman" w:hAnsi="Arial" w:cs="Arial"/>
          <w:color w:val="222222"/>
          <w:kern w:val="0"/>
          <w:sz w:val="24"/>
          <w:szCs w:val="24"/>
          <w:lang w:val="sr-Latn-BA" w:eastAsia="sr-Latn-BA"/>
          <w14:ligatures w14:val="none"/>
        </w:rPr>
        <w:t xml:space="preserve"> </w:t>
      </w:r>
      <w:r w:rsidRPr="007F355F">
        <w:rPr>
          <w:rFonts w:ascii="Arial" w:eastAsia="Times New Roman" w:hAnsi="Arial" w:cs="Arial"/>
          <w:color w:val="222222"/>
          <w:kern w:val="0"/>
          <w:sz w:val="24"/>
          <w:szCs w:val="24"/>
          <w:lang w:val="sr-Latn-BA" w:eastAsia="sr-Latn-BA"/>
          <w14:ligatures w14:val="none"/>
        </w:rPr>
        <w:t>concrete, time-bound steps to eliminate discriminatory constitutional and electoral provisions</w:t>
      </w:r>
      <w:r w:rsidR="00EC3B55">
        <w:rPr>
          <w:rFonts w:ascii="Arial" w:eastAsia="Times New Roman" w:hAnsi="Arial" w:cs="Arial"/>
          <w:color w:val="222222"/>
          <w:kern w:val="0"/>
          <w:sz w:val="24"/>
          <w:szCs w:val="24"/>
          <w:lang w:val="sr-Latn-BA" w:eastAsia="sr-Latn-BA"/>
          <w14:ligatures w14:val="none"/>
        </w:rPr>
        <w:t xml:space="preserve">, </w:t>
      </w:r>
      <w:r w:rsidRPr="007F355F">
        <w:rPr>
          <w:rFonts w:ascii="Arial" w:eastAsia="Times New Roman" w:hAnsi="Arial" w:cs="Arial"/>
          <w:color w:val="222222"/>
          <w:kern w:val="0"/>
          <w:sz w:val="24"/>
          <w:szCs w:val="24"/>
          <w:lang w:val="sr-Latn-BA" w:eastAsia="sr-Latn-BA"/>
          <w14:ligatures w14:val="none"/>
        </w:rPr>
        <w:t>data on representation of national minorities in political and public institutions</w:t>
      </w:r>
      <w:r w:rsidR="00EC3B55">
        <w:rPr>
          <w:rFonts w:ascii="Arial" w:eastAsia="Times New Roman" w:hAnsi="Arial" w:cs="Arial"/>
          <w:color w:val="222222"/>
          <w:kern w:val="0"/>
          <w:sz w:val="24"/>
          <w:szCs w:val="24"/>
          <w:lang w:val="sr-Latn-BA" w:eastAsia="sr-Latn-BA"/>
          <w14:ligatures w14:val="none"/>
        </w:rPr>
        <w:t xml:space="preserve">, </w:t>
      </w:r>
      <w:r w:rsidRPr="007F355F">
        <w:rPr>
          <w:rFonts w:ascii="Arial" w:eastAsia="Times New Roman" w:hAnsi="Arial" w:cs="Arial"/>
          <w:color w:val="222222"/>
          <w:kern w:val="0"/>
          <w:sz w:val="24"/>
          <w:szCs w:val="24"/>
          <w:lang w:val="sr-Latn-BA" w:eastAsia="sr-Latn-BA"/>
          <w14:ligatures w14:val="none"/>
        </w:rPr>
        <w:t>information on measures taken to ensure implementation of relevant judicial decisions</w:t>
      </w:r>
      <w:r w:rsidR="00EC3B55">
        <w:rPr>
          <w:rFonts w:ascii="Arial" w:eastAsia="Times New Roman" w:hAnsi="Arial" w:cs="Arial"/>
          <w:color w:val="222222"/>
          <w:kern w:val="0"/>
          <w:sz w:val="24"/>
          <w:szCs w:val="24"/>
          <w:lang w:val="sr-Latn-BA" w:eastAsia="sr-Latn-BA"/>
          <w14:ligatures w14:val="none"/>
        </w:rPr>
        <w:t>.</w:t>
      </w:r>
    </w:p>
    <w:p w14:paraId="33BABE65" w14:textId="77777777" w:rsidR="00EC3B55" w:rsidRPr="007F355F" w:rsidRDefault="00EC3B55"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67E35414" w14:textId="18F13939" w:rsidR="007F355F" w:rsidRPr="00077D5E" w:rsidRDefault="00077D5E" w:rsidP="00077D5E">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Pr>
          <w:rFonts w:ascii="Arial" w:eastAsia="Times New Roman" w:hAnsi="Arial" w:cs="Arial"/>
          <w:color w:val="222222"/>
          <w:kern w:val="0"/>
          <w:sz w:val="24"/>
          <w:szCs w:val="24"/>
          <w:lang w:val="sr-Latn-BA" w:eastAsia="sr-Latn-BA"/>
          <w14:ligatures w14:val="none"/>
        </w:rPr>
        <w:t>4.</w:t>
      </w:r>
      <w:r w:rsidR="007F355F" w:rsidRPr="00077D5E">
        <w:rPr>
          <w:rFonts w:ascii="Arial" w:eastAsia="Times New Roman" w:hAnsi="Arial" w:cs="Arial"/>
          <w:color w:val="222222"/>
          <w:kern w:val="0"/>
          <w:sz w:val="24"/>
          <w:szCs w:val="24"/>
          <w:lang w:val="sr-Latn-BA" w:eastAsia="sr-Latn-BA"/>
          <w14:ligatures w14:val="none"/>
        </w:rPr>
        <w:t>Follow-up to paragraph 22(a): Right to education</w:t>
      </w:r>
    </w:p>
    <w:p w14:paraId="5523C06B" w14:textId="77777777" w:rsidR="00EC3B55" w:rsidRPr="00EC3B55" w:rsidRDefault="00EC3B55" w:rsidP="00EC3B55">
      <w:pPr>
        <w:shd w:val="clear" w:color="auto" w:fill="FFFFFF"/>
        <w:spacing w:after="0" w:line="240" w:lineRule="auto"/>
        <w:ind w:left="360"/>
        <w:rPr>
          <w:rFonts w:ascii="Arial" w:eastAsia="Times New Roman" w:hAnsi="Arial" w:cs="Arial"/>
          <w:color w:val="222222"/>
          <w:kern w:val="0"/>
          <w:sz w:val="24"/>
          <w:szCs w:val="24"/>
          <w:lang w:val="sr-Latn-BA" w:eastAsia="sr-Latn-BA"/>
          <w14:ligatures w14:val="none"/>
        </w:rPr>
      </w:pPr>
    </w:p>
    <w:p w14:paraId="171D77DB"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recommended that Bosnia and Herzegovina ensure equal access to education without discrimination, including by addressing segregation and disparities affecting vulnerable groups.</w:t>
      </w:r>
    </w:p>
    <w:p w14:paraId="608BD84F"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State party reports various measures aimed at promoting inclusive education. However, the Committee may wish to note with concern the lack of evidence demonstrating the effectiveness and impact of these measures.</w:t>
      </w:r>
    </w:p>
    <w:p w14:paraId="6FF6410A"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Available information indicates that Roma children continue to be disproportionately affected by early school dropout and barriers to access and completion of education. The Committee may further note with concern that structural challenges, including forms of segregation and unequal access to education, remain present in different parts of the country, as documented by OSCE Mission to Bosnia and Herzegovina.</w:t>
      </w:r>
    </w:p>
    <w:p w14:paraId="5529FD84"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may regret the absence of comprehensive disaggregated data on access to, retention in and completion of education, including data disaggregated by ethnicity, gender and geographic location.</w:t>
      </w:r>
    </w:p>
    <w:p w14:paraId="46EF858C"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lastRenderedPageBreak/>
        <w:t>In the absence of such data and impact assessments, it is difficult to conclude that reported measures have effectively reduced discrimination in practice.</w:t>
      </w:r>
    </w:p>
    <w:p w14:paraId="6DE32878"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These concerns are directly relevant to the State party’s obligations under article 5 of the Convention, as further elaborated in CERD General Recommendation No. 34 on Roma and General Recommendation No. 32 on special measures.</w:t>
      </w:r>
    </w:p>
    <w:p w14:paraId="75134B75" w14:textId="474D31AF" w:rsid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may wish to request:</w:t>
      </w:r>
      <w:r w:rsidR="00EC3B55">
        <w:rPr>
          <w:rFonts w:ascii="Arial" w:eastAsia="Times New Roman" w:hAnsi="Arial" w:cs="Arial"/>
          <w:color w:val="222222"/>
          <w:kern w:val="0"/>
          <w:sz w:val="24"/>
          <w:szCs w:val="24"/>
          <w:lang w:val="sr-Latn-BA" w:eastAsia="sr-Latn-BA"/>
          <w14:ligatures w14:val="none"/>
        </w:rPr>
        <w:t xml:space="preserve"> </w:t>
      </w:r>
      <w:r w:rsidRPr="007F355F">
        <w:rPr>
          <w:rFonts w:ascii="Arial" w:eastAsia="Times New Roman" w:hAnsi="Arial" w:cs="Arial"/>
          <w:color w:val="222222"/>
          <w:kern w:val="0"/>
          <w:sz w:val="24"/>
          <w:szCs w:val="24"/>
          <w:lang w:val="sr-Latn-BA" w:eastAsia="sr-Latn-BA"/>
          <w14:ligatures w14:val="none"/>
        </w:rPr>
        <w:t>disaggregated data on access to, retention in and completion of education</w:t>
      </w:r>
      <w:r w:rsidR="00EC3B55">
        <w:rPr>
          <w:rFonts w:ascii="Arial" w:eastAsia="Times New Roman" w:hAnsi="Arial" w:cs="Arial"/>
          <w:color w:val="222222"/>
          <w:kern w:val="0"/>
          <w:sz w:val="24"/>
          <w:szCs w:val="24"/>
          <w:lang w:val="sr-Latn-BA" w:eastAsia="sr-Latn-BA"/>
          <w14:ligatures w14:val="none"/>
        </w:rPr>
        <w:t xml:space="preserve">, </w:t>
      </w:r>
      <w:r w:rsidRPr="007F355F">
        <w:rPr>
          <w:rFonts w:ascii="Arial" w:eastAsia="Times New Roman" w:hAnsi="Arial" w:cs="Arial"/>
          <w:color w:val="222222"/>
          <w:kern w:val="0"/>
          <w:sz w:val="24"/>
          <w:szCs w:val="24"/>
          <w:lang w:val="sr-Latn-BA" w:eastAsia="sr-Latn-BA"/>
          <w14:ligatures w14:val="none"/>
        </w:rPr>
        <w:t>targeted and adequately resourced measures addressing dropout among Roma children</w:t>
      </w:r>
      <w:r w:rsidR="00EC3B55">
        <w:rPr>
          <w:rFonts w:ascii="Arial" w:eastAsia="Times New Roman" w:hAnsi="Arial" w:cs="Arial"/>
          <w:color w:val="222222"/>
          <w:kern w:val="0"/>
          <w:sz w:val="24"/>
          <w:szCs w:val="24"/>
          <w:lang w:val="sr-Latn-BA" w:eastAsia="sr-Latn-BA"/>
          <w14:ligatures w14:val="none"/>
        </w:rPr>
        <w:t xml:space="preserve">, </w:t>
      </w:r>
      <w:r w:rsidRPr="007F355F">
        <w:rPr>
          <w:rFonts w:ascii="Arial" w:eastAsia="Times New Roman" w:hAnsi="Arial" w:cs="Arial"/>
          <w:color w:val="222222"/>
          <w:kern w:val="0"/>
          <w:sz w:val="24"/>
          <w:szCs w:val="24"/>
          <w:lang w:val="sr-Latn-BA" w:eastAsia="sr-Latn-BA"/>
          <w14:ligatures w14:val="none"/>
        </w:rPr>
        <w:t>assessment of the effectiveness of inclusive education policies</w:t>
      </w:r>
      <w:r w:rsidR="00EC3B55">
        <w:rPr>
          <w:rFonts w:ascii="Arial" w:eastAsia="Times New Roman" w:hAnsi="Arial" w:cs="Arial"/>
          <w:color w:val="222222"/>
          <w:kern w:val="0"/>
          <w:sz w:val="24"/>
          <w:szCs w:val="24"/>
          <w:lang w:val="sr-Latn-BA" w:eastAsia="sr-Latn-BA"/>
          <w14:ligatures w14:val="none"/>
        </w:rPr>
        <w:t xml:space="preserve">, </w:t>
      </w:r>
      <w:r w:rsidRPr="007F355F">
        <w:rPr>
          <w:rFonts w:ascii="Arial" w:eastAsia="Times New Roman" w:hAnsi="Arial" w:cs="Arial"/>
          <w:color w:val="222222"/>
          <w:kern w:val="0"/>
          <w:sz w:val="24"/>
          <w:szCs w:val="24"/>
          <w:lang w:val="sr-Latn-BA" w:eastAsia="sr-Latn-BA"/>
          <w14:ligatures w14:val="none"/>
        </w:rPr>
        <w:t>concrete steps taken to address segregation in education</w:t>
      </w:r>
      <w:r w:rsidR="00077D5E">
        <w:rPr>
          <w:rFonts w:ascii="Arial" w:eastAsia="Times New Roman" w:hAnsi="Arial" w:cs="Arial"/>
          <w:color w:val="222222"/>
          <w:kern w:val="0"/>
          <w:sz w:val="24"/>
          <w:szCs w:val="24"/>
          <w:lang w:val="sr-Latn-BA" w:eastAsia="sr-Latn-BA"/>
          <w14:ligatures w14:val="none"/>
        </w:rPr>
        <w:t>.</w:t>
      </w:r>
    </w:p>
    <w:p w14:paraId="4F3379CC" w14:textId="77777777" w:rsidR="00077D5E" w:rsidRPr="007F355F" w:rsidRDefault="00077D5E"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0042C3D0" w14:textId="3D9A3301" w:rsidR="007F355F" w:rsidRPr="00077D5E" w:rsidRDefault="00077D5E" w:rsidP="00077D5E">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Pr>
          <w:rFonts w:ascii="Arial" w:eastAsia="Times New Roman" w:hAnsi="Arial" w:cs="Arial"/>
          <w:color w:val="222222"/>
          <w:kern w:val="0"/>
          <w:sz w:val="24"/>
          <w:szCs w:val="24"/>
          <w:lang w:val="sr-Latn-BA" w:eastAsia="sr-Latn-BA"/>
          <w14:ligatures w14:val="none"/>
        </w:rPr>
        <w:t>5.</w:t>
      </w:r>
      <w:r w:rsidR="007F355F" w:rsidRPr="00077D5E">
        <w:rPr>
          <w:rFonts w:ascii="Arial" w:eastAsia="Times New Roman" w:hAnsi="Arial" w:cs="Arial"/>
          <w:color w:val="222222"/>
          <w:kern w:val="0"/>
          <w:sz w:val="24"/>
          <w:szCs w:val="24"/>
          <w:lang w:val="sr-Latn-BA" w:eastAsia="sr-Latn-BA"/>
          <w14:ligatures w14:val="none"/>
        </w:rPr>
        <w:t>Follow-up to paragraph 32(d): Migrants, asylum-seekers and refugees</w:t>
      </w:r>
    </w:p>
    <w:p w14:paraId="630B16C6" w14:textId="77777777" w:rsidR="00077D5E" w:rsidRPr="00077D5E" w:rsidRDefault="00077D5E" w:rsidP="00077D5E">
      <w:pPr>
        <w:pStyle w:val="ListParagraph"/>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C5EC33A"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recommended that Bosnia and Herzegovina ensure adequate protection of migrants, asylum-seekers and refugees, including access to basic services and protection against discrimination.</w:t>
      </w:r>
    </w:p>
    <w:p w14:paraId="7A74588B"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State party’s report provides an overview of the legal and institutional framework. However, the Committee may wish to note with concern the limited information on the practical implementation of these measures and their impact on the enjoyment of rights.</w:t>
      </w:r>
    </w:p>
    <w:p w14:paraId="5C75B7DE"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Available information suggests that challenges remain in ensuring consistent access to healthcare, education, legal assistance and adequate living conditions, particularly for vulnerable groups, including children and unaccompanied minors.</w:t>
      </w:r>
    </w:p>
    <w:p w14:paraId="2B1BA4BA"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may further note with concern the absence of comprehensive and disaggregated data, which limits the ability to assess the effectiveness of reception and protection measures.</w:t>
      </w:r>
    </w:p>
    <w:p w14:paraId="5E8B4EAE"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may consider that the limited progress in ensuring effective protection raises concerns under the Convention, particularly in light of CERD General Recommendation No. 30 on non-citizens.</w:t>
      </w:r>
    </w:p>
    <w:p w14:paraId="2156649F"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may wish to request:</w:t>
      </w:r>
    </w:p>
    <w:p w14:paraId="0A5EE176"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detailed information on access to healthcare, education and legal assistance</w:t>
      </w:r>
    </w:p>
    <w:p w14:paraId="74FC1A18"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data on vulnerable groups, including children and unaccompanied minors</w:t>
      </w:r>
    </w:p>
    <w:p w14:paraId="06820DB2"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assessment of the effectiveness and adequacy of reception conditions</w:t>
      </w:r>
    </w:p>
    <w:p w14:paraId="46542C9F" w14:textId="77777777" w:rsid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information on measures aimed at ensuring longer-term protection and inclusion</w:t>
      </w:r>
    </w:p>
    <w:p w14:paraId="1DF159CD" w14:textId="77777777" w:rsidR="00077D5E" w:rsidRPr="007F355F" w:rsidRDefault="00077D5E"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2640AA21" w14:textId="77777777" w:rsid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6. Conclusion</w:t>
      </w:r>
    </w:p>
    <w:p w14:paraId="04D35308" w14:textId="77777777" w:rsidR="00077D5E" w:rsidRPr="007F355F" w:rsidRDefault="00077D5E"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p>
    <w:p w14:paraId="19CB69B7"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Helsinki Committee considers that the Committee may wish to note with concern that progress in implementing the relevant recommendations remains limited.</w:t>
      </w:r>
    </w:p>
    <w:p w14:paraId="2BA34E06" w14:textId="77777777" w:rsidR="007F355F" w:rsidRPr="007F355F" w:rsidRDefault="007F355F" w:rsidP="007F355F">
      <w:pPr>
        <w:shd w:val="clear" w:color="auto" w:fill="FFFFFF"/>
        <w:spacing w:after="0" w:line="240" w:lineRule="auto"/>
        <w:rPr>
          <w:rFonts w:ascii="Arial" w:eastAsia="Times New Roman" w:hAnsi="Arial" w:cs="Arial"/>
          <w:color w:val="222222"/>
          <w:kern w:val="0"/>
          <w:sz w:val="24"/>
          <w:szCs w:val="24"/>
          <w:lang w:val="sr-Latn-BA" w:eastAsia="sr-Latn-BA"/>
          <w14:ligatures w14:val="none"/>
        </w:rPr>
      </w:pPr>
      <w:r w:rsidRPr="007F355F">
        <w:rPr>
          <w:rFonts w:ascii="Arial" w:eastAsia="Times New Roman" w:hAnsi="Arial" w:cs="Arial"/>
          <w:color w:val="222222"/>
          <w:kern w:val="0"/>
          <w:sz w:val="24"/>
          <w:szCs w:val="24"/>
          <w:lang w:val="sr-Latn-BA" w:eastAsia="sr-Latn-BA"/>
          <w14:ligatures w14:val="none"/>
        </w:rPr>
        <w:t>The Committee may further consider that the absence of measurable outcomes, combined with persistent structural challenges, indicates the need for strengthened, coordinated and time-bound measures to ensure effective implementation of the Convention.</w:t>
      </w:r>
    </w:p>
    <w:p w14:paraId="79ECB068" w14:textId="77777777" w:rsidR="008820F4" w:rsidRDefault="008820F4"/>
    <w:sectPr w:rsidR="008820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7AF2"/>
    <w:multiLevelType w:val="hybridMultilevel"/>
    <w:tmpl w:val="B64E54C2"/>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15:restartNumberingAfterBreak="0">
    <w:nsid w:val="00B97A40"/>
    <w:multiLevelType w:val="hybridMultilevel"/>
    <w:tmpl w:val="CB26239C"/>
    <w:lvl w:ilvl="0" w:tplc="181A000F">
      <w:start w:val="4"/>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 w15:restartNumberingAfterBreak="0">
    <w:nsid w:val="39E422CD"/>
    <w:multiLevelType w:val="hybridMultilevel"/>
    <w:tmpl w:val="AF1C4E6C"/>
    <w:lvl w:ilvl="0" w:tplc="181A000F">
      <w:start w:val="4"/>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3" w15:restartNumberingAfterBreak="0">
    <w:nsid w:val="54627EB6"/>
    <w:multiLevelType w:val="hybridMultilevel"/>
    <w:tmpl w:val="E46496B8"/>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4" w15:restartNumberingAfterBreak="0">
    <w:nsid w:val="55283736"/>
    <w:multiLevelType w:val="hybridMultilevel"/>
    <w:tmpl w:val="2FBA76C6"/>
    <w:lvl w:ilvl="0" w:tplc="181A000F">
      <w:start w:val="2"/>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5" w15:restartNumberingAfterBreak="0">
    <w:nsid w:val="5FF747E4"/>
    <w:multiLevelType w:val="hybridMultilevel"/>
    <w:tmpl w:val="3B963A40"/>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6" w15:restartNumberingAfterBreak="0">
    <w:nsid w:val="7DF85ED0"/>
    <w:multiLevelType w:val="hybridMultilevel"/>
    <w:tmpl w:val="7E90CEF6"/>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num w:numId="1" w16cid:durableId="912590578">
    <w:abstractNumId w:val="5"/>
  </w:num>
  <w:num w:numId="2" w16cid:durableId="631859906">
    <w:abstractNumId w:val="3"/>
  </w:num>
  <w:num w:numId="3" w16cid:durableId="19935549">
    <w:abstractNumId w:val="6"/>
  </w:num>
  <w:num w:numId="4" w16cid:durableId="976954322">
    <w:abstractNumId w:val="0"/>
  </w:num>
  <w:num w:numId="5" w16cid:durableId="179509658">
    <w:abstractNumId w:val="1"/>
  </w:num>
  <w:num w:numId="6" w16cid:durableId="641274190">
    <w:abstractNumId w:val="4"/>
  </w:num>
  <w:num w:numId="7" w16cid:durableId="8165342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A0D"/>
    <w:rsid w:val="00076F32"/>
    <w:rsid w:val="00077D5E"/>
    <w:rsid w:val="00387A0D"/>
    <w:rsid w:val="007F355F"/>
    <w:rsid w:val="008820F4"/>
    <w:rsid w:val="00B93DF0"/>
    <w:rsid w:val="00CA3971"/>
    <w:rsid w:val="00EC3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E4EC"/>
  <w15:chartTrackingRefBased/>
  <w15:docId w15:val="{F60BE22E-A16C-4BD8-A728-289976CD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A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7A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7A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7A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7A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7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A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7A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7A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7A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7A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7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A0D"/>
    <w:rPr>
      <w:rFonts w:eastAsiaTheme="majorEastAsia" w:cstheme="majorBidi"/>
      <w:color w:val="272727" w:themeColor="text1" w:themeTint="D8"/>
    </w:rPr>
  </w:style>
  <w:style w:type="paragraph" w:styleId="Title">
    <w:name w:val="Title"/>
    <w:basedOn w:val="Normal"/>
    <w:next w:val="Normal"/>
    <w:link w:val="TitleChar"/>
    <w:uiPriority w:val="10"/>
    <w:qFormat/>
    <w:rsid w:val="00387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A0D"/>
    <w:pPr>
      <w:spacing w:before="160"/>
      <w:jc w:val="center"/>
    </w:pPr>
    <w:rPr>
      <w:i/>
      <w:iCs/>
      <w:color w:val="404040" w:themeColor="text1" w:themeTint="BF"/>
    </w:rPr>
  </w:style>
  <w:style w:type="character" w:customStyle="1" w:styleId="QuoteChar">
    <w:name w:val="Quote Char"/>
    <w:basedOn w:val="DefaultParagraphFont"/>
    <w:link w:val="Quote"/>
    <w:uiPriority w:val="29"/>
    <w:rsid w:val="00387A0D"/>
    <w:rPr>
      <w:i/>
      <w:iCs/>
      <w:color w:val="404040" w:themeColor="text1" w:themeTint="BF"/>
    </w:rPr>
  </w:style>
  <w:style w:type="paragraph" w:styleId="ListParagraph">
    <w:name w:val="List Paragraph"/>
    <w:basedOn w:val="Normal"/>
    <w:uiPriority w:val="34"/>
    <w:qFormat/>
    <w:rsid w:val="00387A0D"/>
    <w:pPr>
      <w:ind w:left="720"/>
      <w:contextualSpacing/>
    </w:pPr>
  </w:style>
  <w:style w:type="character" w:styleId="IntenseEmphasis">
    <w:name w:val="Intense Emphasis"/>
    <w:basedOn w:val="DefaultParagraphFont"/>
    <w:uiPriority w:val="21"/>
    <w:qFormat/>
    <w:rsid w:val="00387A0D"/>
    <w:rPr>
      <w:i/>
      <w:iCs/>
      <w:color w:val="2F5496" w:themeColor="accent1" w:themeShade="BF"/>
    </w:rPr>
  </w:style>
  <w:style w:type="paragraph" w:styleId="IntenseQuote">
    <w:name w:val="Intense Quote"/>
    <w:basedOn w:val="Normal"/>
    <w:next w:val="Normal"/>
    <w:link w:val="IntenseQuoteChar"/>
    <w:uiPriority w:val="30"/>
    <w:qFormat/>
    <w:rsid w:val="00387A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7A0D"/>
    <w:rPr>
      <w:i/>
      <w:iCs/>
      <w:color w:val="2F5496" w:themeColor="accent1" w:themeShade="BF"/>
    </w:rPr>
  </w:style>
  <w:style w:type="character" w:styleId="IntenseReference">
    <w:name w:val="Intense Reference"/>
    <w:basedOn w:val="DefaultParagraphFont"/>
    <w:uiPriority w:val="32"/>
    <w:qFormat/>
    <w:rsid w:val="00387A0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2026-05-28T09:18:09+00:00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C8D97D7-2A61-450F-A5EF-1DFEF2B4EAAE}"/>
</file>

<file path=customXml/itemProps2.xml><?xml version="1.0" encoding="utf-8"?>
<ds:datastoreItem xmlns:ds="http://schemas.openxmlformats.org/officeDocument/2006/customXml" ds:itemID="{7B0C8666-C8F6-46E3-A660-7BD9BA7D68EE}"/>
</file>

<file path=customXml/itemProps3.xml><?xml version="1.0" encoding="utf-8"?>
<ds:datastoreItem xmlns:ds="http://schemas.openxmlformats.org/officeDocument/2006/customXml" ds:itemID="{FAD200DF-5942-40FB-818D-0045BBFDC15B}"/>
</file>

<file path=docProps/app.xml><?xml version="1.0" encoding="utf-8"?>
<Properties xmlns="http://schemas.openxmlformats.org/officeDocument/2006/extended-properties" xmlns:vt="http://schemas.openxmlformats.org/officeDocument/2006/docPropsVTypes">
  <Template>Normal</Template>
  <TotalTime>14</TotalTime>
  <Pages>1</Pages>
  <Words>1211</Words>
  <Characters>6904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branko todorovic</dc:creator>
  <cp:keywords/>
  <dc:description/>
  <cp:lastModifiedBy>branko todorovic</cp:lastModifiedBy>
  <cp:revision>3</cp:revision>
  <dcterms:created xsi:type="dcterms:W3CDTF">2026-04-14T20:56:00Z</dcterms:created>
  <dcterms:modified xsi:type="dcterms:W3CDTF">2026-04-14T21:10:00Z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