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1018AE" w14:textId="0A18CDCB" w:rsidR="000918EE" w:rsidRDefault="000918EE" w:rsidP="000645BB">
      <w:pPr>
        <w:tabs>
          <w:tab w:val="right" w:pos="5040"/>
        </w:tabs>
        <w:rPr>
          <w:noProof/>
        </w:rPr>
      </w:pPr>
      <w:r>
        <w:rPr>
          <w:noProof/>
        </w:rPr>
        <w:t xml:space="preserve">     </w:t>
      </w:r>
    </w:p>
    <w:p w14:paraId="0B485BC3" w14:textId="4CE1EDAD" w:rsidR="000924BF" w:rsidRDefault="000924BF" w:rsidP="000645BB">
      <w:pPr>
        <w:tabs>
          <w:tab w:val="right" w:pos="5040"/>
        </w:tabs>
        <w:rPr>
          <w:rFonts w:ascii="Sakkal Majalla" w:hAnsi="Sakkal Majalla" w:cs="Sakkal Majalla"/>
          <w:sz w:val="40"/>
          <w:szCs w:val="40"/>
          <w:rtl/>
          <w:lang w:bidi="ar-JO"/>
        </w:rPr>
      </w:pPr>
    </w:p>
    <w:p w14:paraId="4D2E9DA0" w14:textId="52E00C29" w:rsidR="000918EE" w:rsidRDefault="000918EE" w:rsidP="000645BB">
      <w:pPr>
        <w:jc w:val="center"/>
        <w:rPr>
          <w:rFonts w:ascii="Times New Roman" w:hAnsi="Times New Roman" w:cs="Times New Roman"/>
          <w:b/>
          <w:bCs/>
          <w:sz w:val="24"/>
          <w:szCs w:val="24"/>
          <w:lang w:bidi="ar-JO"/>
        </w:rPr>
      </w:pPr>
    </w:p>
    <w:p w14:paraId="153F669D" w14:textId="77777777" w:rsidR="000918EE" w:rsidRDefault="000918EE" w:rsidP="000645BB">
      <w:pPr>
        <w:jc w:val="center"/>
        <w:rPr>
          <w:rFonts w:ascii="Times New Roman" w:hAnsi="Times New Roman" w:cs="Times New Roman"/>
          <w:b/>
          <w:bCs/>
          <w:sz w:val="24"/>
          <w:szCs w:val="24"/>
          <w:lang w:bidi="ar-JO"/>
        </w:rPr>
      </w:pPr>
    </w:p>
    <w:p w14:paraId="34AECEF2" w14:textId="77777777" w:rsidR="000918EE" w:rsidRDefault="000918EE" w:rsidP="000645BB">
      <w:pPr>
        <w:jc w:val="center"/>
        <w:rPr>
          <w:rFonts w:ascii="Times New Roman" w:hAnsi="Times New Roman" w:cs="Times New Roman"/>
          <w:b/>
          <w:bCs/>
          <w:sz w:val="24"/>
          <w:szCs w:val="24"/>
          <w:lang w:bidi="ar-JO"/>
        </w:rPr>
      </w:pPr>
    </w:p>
    <w:p w14:paraId="3B8D06B7" w14:textId="77777777" w:rsidR="000918EE" w:rsidRDefault="000918EE" w:rsidP="000645BB">
      <w:pPr>
        <w:jc w:val="center"/>
        <w:rPr>
          <w:rFonts w:ascii="Times New Roman" w:hAnsi="Times New Roman" w:cs="Times New Roman"/>
          <w:b/>
          <w:bCs/>
          <w:sz w:val="24"/>
          <w:szCs w:val="24"/>
          <w:lang w:bidi="ar-JO"/>
        </w:rPr>
      </w:pPr>
    </w:p>
    <w:p w14:paraId="1B99FE7C" w14:textId="77777777" w:rsidR="00D21F1C" w:rsidRDefault="00D21F1C" w:rsidP="000645BB">
      <w:pPr>
        <w:jc w:val="center"/>
        <w:rPr>
          <w:rFonts w:ascii="Times New Roman" w:hAnsi="Times New Roman" w:cs="Times New Roman"/>
          <w:b/>
          <w:bCs/>
          <w:sz w:val="24"/>
          <w:szCs w:val="24"/>
          <w:lang w:bidi="ar-JO"/>
        </w:rPr>
      </w:pPr>
    </w:p>
    <w:p w14:paraId="54B75571" w14:textId="40931F1F" w:rsidR="00D21F1C" w:rsidRDefault="00441D80" w:rsidP="000645BB">
      <w:pPr>
        <w:jc w:val="center"/>
        <w:rPr>
          <w:rFonts w:ascii="Times New Roman" w:hAnsi="Times New Roman" w:cs="Times New Roman"/>
          <w:b/>
          <w:bCs/>
          <w:sz w:val="24"/>
          <w:szCs w:val="24"/>
          <w:lang w:bidi="ar-JO"/>
        </w:rPr>
      </w:pPr>
      <w:r>
        <w:rPr>
          <w:rFonts w:ascii="Times New Roman" w:hAnsi="Times New Roman" w:cs="Times New Roman"/>
          <w:b/>
          <w:bCs/>
          <w:sz w:val="24"/>
          <w:szCs w:val="24"/>
          <w:lang w:bidi="ar-JO"/>
        </w:rPr>
        <w:t xml:space="preserve">Joint Report submitted by the Independent </w:t>
      </w:r>
      <w:r w:rsidR="006B325E">
        <w:rPr>
          <w:rFonts w:ascii="Times New Roman" w:hAnsi="Times New Roman" w:cs="Times New Roman"/>
          <w:b/>
          <w:bCs/>
          <w:sz w:val="24"/>
          <w:szCs w:val="24"/>
          <w:lang w:bidi="ar-JO"/>
        </w:rPr>
        <w:t xml:space="preserve">Palestinian </w:t>
      </w:r>
      <w:r>
        <w:rPr>
          <w:rFonts w:ascii="Times New Roman" w:hAnsi="Times New Roman" w:cs="Times New Roman"/>
          <w:b/>
          <w:bCs/>
          <w:sz w:val="24"/>
          <w:szCs w:val="24"/>
          <w:lang w:bidi="ar-JO"/>
        </w:rPr>
        <w:t xml:space="preserve">Coalitions and Organizations of the Cultural Sector </w:t>
      </w:r>
      <w:r w:rsidR="0024374E">
        <w:rPr>
          <w:rFonts w:ascii="Times New Roman" w:hAnsi="Times New Roman" w:cs="Times New Roman"/>
          <w:b/>
          <w:bCs/>
          <w:sz w:val="24"/>
          <w:szCs w:val="24"/>
          <w:lang w:bidi="ar-JO"/>
        </w:rPr>
        <w:t xml:space="preserve">to </w:t>
      </w:r>
      <w:r w:rsidR="000E32CD">
        <w:rPr>
          <w:rFonts w:ascii="Times New Roman" w:hAnsi="Times New Roman" w:cs="Times New Roman"/>
          <w:b/>
          <w:bCs/>
          <w:sz w:val="24"/>
          <w:szCs w:val="24"/>
          <w:lang w:bidi="ar-JO"/>
        </w:rPr>
        <w:t xml:space="preserve">the </w:t>
      </w:r>
      <w:r w:rsidR="0024374E">
        <w:rPr>
          <w:rFonts w:ascii="Times New Roman" w:hAnsi="Times New Roman" w:cs="Times New Roman"/>
          <w:b/>
          <w:bCs/>
          <w:sz w:val="24"/>
          <w:szCs w:val="24"/>
          <w:lang w:bidi="ar-JO"/>
        </w:rPr>
        <w:t xml:space="preserve">United Nations Committee on Economic, Social, and Cultural Rights </w:t>
      </w:r>
    </w:p>
    <w:p w14:paraId="55FEFA3D" w14:textId="1C4D720E" w:rsidR="0024374E" w:rsidRDefault="0024374E" w:rsidP="007E7D19">
      <w:pPr>
        <w:jc w:val="center"/>
        <w:rPr>
          <w:rFonts w:ascii="Times New Roman" w:hAnsi="Times New Roman" w:cs="Times New Roman"/>
          <w:b/>
          <w:bCs/>
          <w:sz w:val="24"/>
          <w:szCs w:val="24"/>
        </w:rPr>
      </w:pPr>
      <w:r>
        <w:rPr>
          <w:rFonts w:ascii="Times New Roman" w:hAnsi="Times New Roman" w:cs="Times New Roman"/>
          <w:b/>
          <w:bCs/>
          <w:sz w:val="24"/>
          <w:szCs w:val="24"/>
        </w:rPr>
        <w:t xml:space="preserve">About the Cultural Rights in the OPT </w:t>
      </w:r>
    </w:p>
    <w:p w14:paraId="049B8FD1" w14:textId="2E8EFB15" w:rsidR="0024374E" w:rsidRDefault="0024374E" w:rsidP="000645BB">
      <w:pPr>
        <w:jc w:val="center"/>
        <w:rPr>
          <w:rFonts w:ascii="Times New Roman" w:hAnsi="Times New Roman" w:cs="Times New Roman"/>
          <w:b/>
          <w:bCs/>
          <w:sz w:val="24"/>
          <w:szCs w:val="24"/>
        </w:rPr>
      </w:pPr>
      <w:r>
        <w:rPr>
          <w:rFonts w:ascii="Times New Roman" w:hAnsi="Times New Roman" w:cs="Times New Roman"/>
          <w:b/>
          <w:bCs/>
          <w:sz w:val="24"/>
          <w:szCs w:val="24"/>
        </w:rPr>
        <w:t>(Article 15)</w:t>
      </w:r>
    </w:p>
    <w:p w14:paraId="3E430DF3" w14:textId="77777777" w:rsidR="0024374E" w:rsidRDefault="0024374E" w:rsidP="000645BB">
      <w:pPr>
        <w:jc w:val="center"/>
        <w:rPr>
          <w:rFonts w:ascii="Times New Roman" w:hAnsi="Times New Roman" w:cs="Times New Roman"/>
          <w:b/>
          <w:bCs/>
          <w:sz w:val="24"/>
          <w:szCs w:val="24"/>
        </w:rPr>
      </w:pPr>
    </w:p>
    <w:p w14:paraId="2D7AFB65" w14:textId="720D312B" w:rsidR="0024374E" w:rsidRDefault="0024374E" w:rsidP="000645BB">
      <w:pPr>
        <w:jc w:val="center"/>
        <w:rPr>
          <w:rFonts w:ascii="Times New Roman" w:hAnsi="Times New Roman" w:cs="Times New Roman"/>
          <w:b/>
          <w:bCs/>
          <w:sz w:val="24"/>
          <w:szCs w:val="24"/>
        </w:rPr>
      </w:pPr>
      <w:r>
        <w:rPr>
          <w:rFonts w:ascii="Times New Roman" w:hAnsi="Times New Roman" w:cs="Times New Roman"/>
          <w:b/>
          <w:bCs/>
          <w:sz w:val="24"/>
          <w:szCs w:val="24"/>
        </w:rPr>
        <w:t>Contact</w:t>
      </w:r>
    </w:p>
    <w:p w14:paraId="24EFDCE6" w14:textId="37E8F42E" w:rsidR="00DC2521" w:rsidRDefault="00572A3F" w:rsidP="000645BB">
      <w:pPr>
        <w:jc w:val="center"/>
        <w:rPr>
          <w:rFonts w:ascii="Times New Roman" w:hAnsi="Times New Roman" w:cs="Times New Roman"/>
          <w:b/>
          <w:bCs/>
          <w:sz w:val="24"/>
          <w:szCs w:val="24"/>
        </w:rPr>
      </w:pPr>
      <w:r>
        <w:rPr>
          <w:rFonts w:ascii="Times New Roman" w:hAnsi="Times New Roman" w:cs="Times New Roman"/>
          <w:b/>
          <w:bCs/>
          <w:sz w:val="24"/>
          <w:szCs w:val="24"/>
        </w:rPr>
        <w:t xml:space="preserve">Coalition of Independent Palestinian Cultural Organizations </w:t>
      </w:r>
    </w:p>
    <w:p w14:paraId="5B2C4449" w14:textId="5850C312" w:rsidR="00DC2521" w:rsidRDefault="00572A3F" w:rsidP="000645BB">
      <w:pPr>
        <w:jc w:val="center"/>
        <w:rPr>
          <w:rFonts w:ascii="Times New Roman" w:hAnsi="Times New Roman" w:cs="Times New Roman"/>
          <w:b/>
          <w:bCs/>
          <w:sz w:val="24"/>
          <w:szCs w:val="24"/>
          <w:lang w:bidi="ar-JO"/>
        </w:rPr>
      </w:pPr>
      <w:r w:rsidRPr="00572A3F">
        <w:rPr>
          <w:rFonts w:ascii="Times New Roman" w:hAnsi="Times New Roman" w:cs="Times New Roman"/>
          <w:b/>
          <w:bCs/>
          <w:sz w:val="24"/>
          <w:szCs w:val="24"/>
          <w:lang w:bidi="ar-JO"/>
        </w:rPr>
        <w:t>culturalcoalitionpalestine@gmail.com</w:t>
      </w:r>
    </w:p>
    <w:p w14:paraId="49DEB750" w14:textId="77777777" w:rsidR="00572A3F" w:rsidRDefault="00572A3F" w:rsidP="000645BB">
      <w:pPr>
        <w:jc w:val="center"/>
        <w:rPr>
          <w:rFonts w:ascii="Times New Roman" w:hAnsi="Times New Roman" w:cs="Times New Roman"/>
          <w:b/>
          <w:bCs/>
          <w:sz w:val="24"/>
          <w:szCs w:val="24"/>
        </w:rPr>
      </w:pPr>
    </w:p>
    <w:p w14:paraId="1A3F4D97" w14:textId="77777777" w:rsidR="00572A3F" w:rsidRDefault="00572A3F" w:rsidP="000645BB">
      <w:pPr>
        <w:jc w:val="center"/>
        <w:rPr>
          <w:rFonts w:ascii="Times New Roman" w:hAnsi="Times New Roman" w:cs="Times New Roman"/>
          <w:b/>
          <w:bCs/>
          <w:sz w:val="24"/>
          <w:szCs w:val="24"/>
        </w:rPr>
      </w:pPr>
    </w:p>
    <w:p w14:paraId="02FBB301" w14:textId="77777777" w:rsidR="00572A3F" w:rsidRDefault="00572A3F" w:rsidP="000645BB">
      <w:pPr>
        <w:jc w:val="center"/>
        <w:rPr>
          <w:rFonts w:ascii="Times New Roman" w:hAnsi="Times New Roman" w:cs="Times New Roman"/>
          <w:b/>
          <w:bCs/>
          <w:sz w:val="24"/>
          <w:szCs w:val="24"/>
        </w:rPr>
      </w:pPr>
    </w:p>
    <w:p w14:paraId="6F53199E" w14:textId="09906191" w:rsidR="00DC2521" w:rsidRDefault="00DC2521" w:rsidP="000645BB">
      <w:pPr>
        <w:jc w:val="center"/>
        <w:rPr>
          <w:rFonts w:ascii="Times New Roman" w:hAnsi="Times New Roman" w:cs="Times New Roman"/>
          <w:b/>
          <w:bCs/>
          <w:sz w:val="24"/>
          <w:szCs w:val="24"/>
        </w:rPr>
      </w:pPr>
      <w:r>
        <w:rPr>
          <w:rFonts w:ascii="Times New Roman" w:hAnsi="Times New Roman" w:cs="Times New Roman"/>
          <w:b/>
          <w:bCs/>
          <w:sz w:val="24"/>
          <w:szCs w:val="24"/>
        </w:rPr>
        <w:t>Report Prepared by:</w:t>
      </w:r>
    </w:p>
    <w:p w14:paraId="6EE4C6D4" w14:textId="77777777" w:rsidR="00DC2521" w:rsidRDefault="00DC2521" w:rsidP="000645BB">
      <w:pPr>
        <w:jc w:val="center"/>
        <w:rPr>
          <w:rFonts w:ascii="Times New Roman" w:hAnsi="Times New Roman" w:cs="Times New Roman"/>
          <w:b/>
          <w:bCs/>
          <w:sz w:val="24"/>
          <w:szCs w:val="24"/>
        </w:rPr>
      </w:pPr>
      <w:r>
        <w:rPr>
          <w:rFonts w:ascii="Times New Roman" w:hAnsi="Times New Roman" w:cs="Times New Roman"/>
          <w:b/>
          <w:bCs/>
          <w:sz w:val="24"/>
          <w:szCs w:val="24"/>
        </w:rPr>
        <w:t xml:space="preserve">Dr. Issam Abdeen </w:t>
      </w:r>
    </w:p>
    <w:p w14:paraId="426DAF0C" w14:textId="77777777" w:rsidR="00DC2521" w:rsidRDefault="00DC2521" w:rsidP="000645BB">
      <w:pPr>
        <w:jc w:val="center"/>
        <w:rPr>
          <w:rFonts w:ascii="Times New Roman" w:hAnsi="Times New Roman" w:cs="Times New Roman"/>
          <w:b/>
          <w:bCs/>
          <w:sz w:val="24"/>
          <w:szCs w:val="24"/>
        </w:rPr>
      </w:pPr>
      <w:r>
        <w:rPr>
          <w:rFonts w:ascii="Times New Roman" w:hAnsi="Times New Roman" w:cs="Times New Roman"/>
          <w:b/>
          <w:bCs/>
          <w:sz w:val="24"/>
          <w:szCs w:val="24"/>
        </w:rPr>
        <w:t xml:space="preserve">Expert in Rights and Legal Issues </w:t>
      </w:r>
    </w:p>
    <w:p w14:paraId="60AFB79E" w14:textId="77777777" w:rsidR="00DC2521" w:rsidRDefault="00DC2521" w:rsidP="000645BB">
      <w:pPr>
        <w:jc w:val="center"/>
        <w:rPr>
          <w:rFonts w:ascii="Times New Roman" w:hAnsi="Times New Roman" w:cs="Times New Roman"/>
          <w:b/>
          <w:bCs/>
          <w:sz w:val="24"/>
          <w:szCs w:val="24"/>
        </w:rPr>
      </w:pPr>
      <w:r>
        <w:rPr>
          <w:rFonts w:ascii="Times New Roman" w:hAnsi="Times New Roman" w:cs="Times New Roman"/>
          <w:b/>
          <w:bCs/>
          <w:sz w:val="24"/>
          <w:szCs w:val="24"/>
        </w:rPr>
        <w:t xml:space="preserve">August 2023 </w:t>
      </w:r>
    </w:p>
    <w:p w14:paraId="1A96E119" w14:textId="10B02D40" w:rsidR="000918EE" w:rsidRDefault="00DC2521" w:rsidP="000645BB">
      <w:pPr>
        <w:jc w:val="center"/>
        <w:rPr>
          <w:rFonts w:ascii="Times New Roman" w:hAnsi="Times New Roman" w:cs="Times New Roman"/>
          <w:b/>
          <w:bCs/>
          <w:sz w:val="24"/>
          <w:szCs w:val="24"/>
        </w:rPr>
      </w:pPr>
      <w:r>
        <w:rPr>
          <w:rFonts w:ascii="Times New Roman" w:hAnsi="Times New Roman" w:cs="Times New Roman"/>
          <w:b/>
          <w:bCs/>
          <w:sz w:val="24"/>
          <w:szCs w:val="24"/>
        </w:rPr>
        <w:t xml:space="preserve"> </w:t>
      </w:r>
    </w:p>
    <w:p w14:paraId="51C49D95" w14:textId="77777777" w:rsidR="00DC2521" w:rsidRDefault="00DC2521" w:rsidP="000645BB">
      <w:pPr>
        <w:jc w:val="center"/>
        <w:rPr>
          <w:rFonts w:ascii="Times New Roman" w:hAnsi="Times New Roman" w:cs="Times New Roman"/>
          <w:b/>
          <w:bCs/>
          <w:sz w:val="24"/>
          <w:szCs w:val="24"/>
        </w:rPr>
      </w:pPr>
    </w:p>
    <w:p w14:paraId="7EDE32D8" w14:textId="77777777" w:rsidR="00DC2521" w:rsidRDefault="00DC2521" w:rsidP="000645BB">
      <w:pPr>
        <w:jc w:val="center"/>
        <w:rPr>
          <w:rFonts w:ascii="Times New Roman" w:hAnsi="Times New Roman" w:cs="Times New Roman"/>
          <w:b/>
          <w:bCs/>
          <w:sz w:val="24"/>
          <w:szCs w:val="24"/>
        </w:rPr>
      </w:pPr>
    </w:p>
    <w:p w14:paraId="2D5180E1" w14:textId="77777777" w:rsidR="00DC2521" w:rsidRDefault="00DC2521" w:rsidP="000645BB">
      <w:pPr>
        <w:jc w:val="center"/>
        <w:rPr>
          <w:rFonts w:ascii="Times New Roman" w:hAnsi="Times New Roman" w:cs="Times New Roman"/>
          <w:b/>
          <w:bCs/>
          <w:sz w:val="24"/>
          <w:szCs w:val="24"/>
        </w:rPr>
      </w:pPr>
    </w:p>
    <w:p w14:paraId="2ACA0DAF" w14:textId="77777777" w:rsidR="00DC2521" w:rsidRDefault="00DC2521" w:rsidP="000645BB">
      <w:pPr>
        <w:jc w:val="center"/>
        <w:rPr>
          <w:rFonts w:ascii="Times New Roman" w:hAnsi="Times New Roman" w:cs="Times New Roman"/>
          <w:b/>
          <w:bCs/>
          <w:sz w:val="24"/>
          <w:szCs w:val="24"/>
          <w:lang w:bidi="ar-JO"/>
        </w:rPr>
      </w:pPr>
    </w:p>
    <w:p w14:paraId="05254C6B" w14:textId="77777777" w:rsidR="000918EE" w:rsidRDefault="000918EE" w:rsidP="000645BB">
      <w:pPr>
        <w:jc w:val="center"/>
        <w:rPr>
          <w:rFonts w:ascii="Times New Roman" w:hAnsi="Times New Roman" w:cs="Times New Roman"/>
          <w:b/>
          <w:bCs/>
          <w:sz w:val="24"/>
          <w:szCs w:val="24"/>
          <w:lang w:bidi="ar-JO"/>
        </w:rPr>
      </w:pPr>
    </w:p>
    <w:p w14:paraId="247BB32A" w14:textId="16F3B647" w:rsidR="00DC2521" w:rsidRPr="005B43D5" w:rsidRDefault="007E7D19" w:rsidP="000645BB">
      <w:pPr>
        <w:jc w:val="center"/>
        <w:rPr>
          <w:rFonts w:cstheme="minorHAnsi"/>
          <w:b/>
          <w:bCs/>
          <w:sz w:val="24"/>
          <w:szCs w:val="24"/>
          <w:lang w:bidi="ar-JO"/>
        </w:rPr>
      </w:pPr>
      <w:r>
        <w:rPr>
          <w:rFonts w:cstheme="minorHAnsi"/>
          <w:b/>
          <w:bCs/>
          <w:sz w:val="24"/>
          <w:szCs w:val="24"/>
          <w:lang w:bidi="ar-JO"/>
        </w:rPr>
        <w:lastRenderedPageBreak/>
        <w:t xml:space="preserve"> Contents</w:t>
      </w:r>
    </w:p>
    <w:p w14:paraId="35597843" w14:textId="6E4D9729" w:rsidR="00DC2521" w:rsidRPr="005B43D5" w:rsidRDefault="00DC2521" w:rsidP="000645BB">
      <w:pPr>
        <w:pStyle w:val="ListParagraph"/>
        <w:numPr>
          <w:ilvl w:val="0"/>
          <w:numId w:val="2"/>
        </w:numPr>
        <w:rPr>
          <w:rFonts w:cstheme="minorHAnsi"/>
          <w:sz w:val="24"/>
          <w:szCs w:val="24"/>
          <w:lang w:bidi="ar-JO"/>
        </w:rPr>
      </w:pPr>
      <w:r w:rsidRPr="005B43D5">
        <w:rPr>
          <w:rFonts w:cstheme="minorHAnsi"/>
          <w:sz w:val="24"/>
          <w:szCs w:val="24"/>
          <w:lang w:bidi="ar-JO"/>
        </w:rPr>
        <w:t xml:space="preserve">Executive Summary </w:t>
      </w:r>
    </w:p>
    <w:p w14:paraId="31ACF708" w14:textId="3041792B" w:rsidR="00DC2521" w:rsidRPr="005B43D5" w:rsidRDefault="00DC2521" w:rsidP="000645BB">
      <w:pPr>
        <w:pStyle w:val="ListParagraph"/>
        <w:numPr>
          <w:ilvl w:val="0"/>
          <w:numId w:val="2"/>
        </w:numPr>
        <w:rPr>
          <w:rFonts w:cstheme="minorHAnsi"/>
          <w:sz w:val="24"/>
          <w:szCs w:val="24"/>
          <w:lang w:bidi="ar-JO"/>
        </w:rPr>
      </w:pPr>
      <w:r w:rsidRPr="005B43D5">
        <w:rPr>
          <w:rFonts w:cstheme="minorHAnsi"/>
          <w:sz w:val="24"/>
          <w:szCs w:val="24"/>
          <w:lang w:bidi="ar-JO"/>
        </w:rPr>
        <w:t xml:space="preserve">Introduction and Methodology </w:t>
      </w:r>
    </w:p>
    <w:p w14:paraId="0243C786" w14:textId="40874CB1" w:rsidR="00DC2521" w:rsidRPr="005B43D5" w:rsidRDefault="0092777C" w:rsidP="000645BB">
      <w:pPr>
        <w:pStyle w:val="ListParagraph"/>
        <w:numPr>
          <w:ilvl w:val="0"/>
          <w:numId w:val="2"/>
        </w:numPr>
        <w:rPr>
          <w:rFonts w:cstheme="minorHAnsi"/>
          <w:sz w:val="24"/>
          <w:szCs w:val="24"/>
          <w:lang w:bidi="ar-JO"/>
        </w:rPr>
      </w:pPr>
      <w:r w:rsidRPr="005B43D5">
        <w:rPr>
          <w:rFonts w:cstheme="minorHAnsi"/>
          <w:sz w:val="24"/>
          <w:szCs w:val="24"/>
          <w:lang w:bidi="ar-JO"/>
        </w:rPr>
        <w:t xml:space="preserve">The Position of the Covenant within the Local Palestinian Legislation </w:t>
      </w:r>
    </w:p>
    <w:p w14:paraId="1D39CB05" w14:textId="31D32F1C" w:rsidR="0092777C" w:rsidRPr="005B43D5" w:rsidRDefault="0092777C" w:rsidP="000645BB">
      <w:pPr>
        <w:pStyle w:val="ListParagraph"/>
        <w:numPr>
          <w:ilvl w:val="0"/>
          <w:numId w:val="2"/>
        </w:numPr>
        <w:rPr>
          <w:rFonts w:cstheme="minorHAnsi"/>
          <w:sz w:val="24"/>
          <w:szCs w:val="24"/>
          <w:lang w:bidi="ar-JO"/>
        </w:rPr>
      </w:pPr>
      <w:r w:rsidRPr="005B43D5">
        <w:rPr>
          <w:rFonts w:cstheme="minorHAnsi"/>
          <w:sz w:val="24"/>
          <w:szCs w:val="24"/>
          <w:lang w:bidi="ar-JO"/>
        </w:rPr>
        <w:t xml:space="preserve">The Apartheid Regime affects the Cultural Sector in Palestine </w:t>
      </w:r>
    </w:p>
    <w:p w14:paraId="1EFD2D4B" w14:textId="774272D8" w:rsidR="0092777C" w:rsidRPr="005B43D5" w:rsidRDefault="0092777C" w:rsidP="007E7D19">
      <w:pPr>
        <w:pStyle w:val="ListParagraph"/>
        <w:numPr>
          <w:ilvl w:val="0"/>
          <w:numId w:val="2"/>
        </w:numPr>
        <w:rPr>
          <w:rFonts w:cstheme="minorHAnsi"/>
          <w:sz w:val="24"/>
          <w:szCs w:val="24"/>
          <w:lang w:bidi="ar-JO"/>
        </w:rPr>
      </w:pPr>
      <w:r w:rsidRPr="005B43D5">
        <w:rPr>
          <w:rFonts w:cstheme="minorHAnsi"/>
          <w:sz w:val="24"/>
          <w:szCs w:val="24"/>
          <w:lang w:bidi="ar-JO"/>
        </w:rPr>
        <w:t>The Israeli Occupation Army Attack on Jenin Refugee Camp and target</w:t>
      </w:r>
      <w:r w:rsidR="007E7D19">
        <w:rPr>
          <w:rFonts w:cstheme="minorHAnsi"/>
          <w:sz w:val="24"/>
          <w:szCs w:val="24"/>
          <w:lang w:bidi="ar-JO"/>
        </w:rPr>
        <w:t xml:space="preserve">ing </w:t>
      </w:r>
      <w:r w:rsidRPr="005B43D5">
        <w:rPr>
          <w:rFonts w:cstheme="minorHAnsi"/>
          <w:sz w:val="24"/>
          <w:szCs w:val="24"/>
          <w:lang w:bidi="ar-JO"/>
        </w:rPr>
        <w:t xml:space="preserve">the cultural organizations </w:t>
      </w:r>
    </w:p>
    <w:p w14:paraId="1464BAB5" w14:textId="0F328D8C" w:rsidR="0089474B" w:rsidRPr="005B43D5" w:rsidRDefault="0092777C" w:rsidP="000645BB">
      <w:pPr>
        <w:pStyle w:val="ListParagraph"/>
        <w:numPr>
          <w:ilvl w:val="0"/>
          <w:numId w:val="2"/>
        </w:numPr>
        <w:rPr>
          <w:rFonts w:cstheme="minorHAnsi"/>
          <w:sz w:val="24"/>
          <w:szCs w:val="24"/>
          <w:lang w:bidi="ar-JO"/>
        </w:rPr>
      </w:pPr>
      <w:r w:rsidRPr="005B43D5">
        <w:rPr>
          <w:rFonts w:cstheme="minorHAnsi"/>
          <w:sz w:val="24"/>
          <w:szCs w:val="24"/>
          <w:lang w:bidi="ar-JO"/>
        </w:rPr>
        <w:t xml:space="preserve">Palestinian Prisoners in </w:t>
      </w:r>
      <w:r w:rsidR="00572A3F" w:rsidRPr="005B43D5">
        <w:rPr>
          <w:rFonts w:cstheme="minorHAnsi"/>
          <w:sz w:val="24"/>
          <w:szCs w:val="24"/>
          <w:lang w:bidi="ar-JO"/>
        </w:rPr>
        <w:t>the Israeli</w:t>
      </w:r>
      <w:r w:rsidRPr="005B43D5">
        <w:rPr>
          <w:rFonts w:cstheme="minorHAnsi"/>
          <w:sz w:val="24"/>
          <w:szCs w:val="24"/>
          <w:lang w:bidi="ar-JO"/>
        </w:rPr>
        <w:t xml:space="preserve"> Prisons, Prisons</w:t>
      </w:r>
      <w:r w:rsidR="007E7D19">
        <w:rPr>
          <w:rFonts w:cstheme="minorHAnsi"/>
          <w:sz w:val="24"/>
          <w:szCs w:val="24"/>
          <w:lang w:bidi="ar-JO"/>
        </w:rPr>
        <w:t>’</w:t>
      </w:r>
      <w:r w:rsidRPr="005B43D5">
        <w:rPr>
          <w:rFonts w:cstheme="minorHAnsi"/>
          <w:sz w:val="24"/>
          <w:szCs w:val="24"/>
          <w:lang w:bidi="ar-JO"/>
        </w:rPr>
        <w:t xml:space="preserve"> </w:t>
      </w:r>
      <w:r w:rsidR="0089474B" w:rsidRPr="005B43D5">
        <w:rPr>
          <w:rFonts w:cstheme="minorHAnsi"/>
          <w:sz w:val="24"/>
          <w:szCs w:val="24"/>
          <w:lang w:bidi="ar-JO"/>
        </w:rPr>
        <w:t>Literature</w:t>
      </w:r>
      <w:r w:rsidRPr="005B43D5">
        <w:rPr>
          <w:rFonts w:cstheme="minorHAnsi"/>
          <w:sz w:val="24"/>
          <w:szCs w:val="24"/>
          <w:lang w:bidi="ar-JO"/>
        </w:rPr>
        <w:t xml:space="preserve">, and Prisoner Walid </w:t>
      </w:r>
      <w:r w:rsidR="0089474B" w:rsidRPr="005B43D5">
        <w:rPr>
          <w:rFonts w:cstheme="minorHAnsi"/>
          <w:sz w:val="24"/>
          <w:szCs w:val="24"/>
          <w:lang w:bidi="ar-JO"/>
        </w:rPr>
        <w:t>Daqqa</w:t>
      </w:r>
    </w:p>
    <w:p w14:paraId="7A5C2DCA" w14:textId="77777777" w:rsidR="0089474B" w:rsidRPr="005B43D5" w:rsidRDefault="0089474B" w:rsidP="000645BB">
      <w:pPr>
        <w:pStyle w:val="ListParagraph"/>
        <w:numPr>
          <w:ilvl w:val="0"/>
          <w:numId w:val="2"/>
        </w:numPr>
        <w:rPr>
          <w:rFonts w:cstheme="minorHAnsi"/>
          <w:sz w:val="24"/>
          <w:szCs w:val="24"/>
          <w:lang w:bidi="ar-JO"/>
        </w:rPr>
      </w:pPr>
      <w:r w:rsidRPr="005B43D5">
        <w:rPr>
          <w:rFonts w:cstheme="minorHAnsi"/>
          <w:sz w:val="24"/>
          <w:szCs w:val="24"/>
          <w:lang w:bidi="ar-JO"/>
        </w:rPr>
        <w:t xml:space="preserve">The deterioration of the Palestinian political regime and the impact on the rights and culture </w:t>
      </w:r>
    </w:p>
    <w:p w14:paraId="63CEF391" w14:textId="79338615" w:rsidR="00392B77" w:rsidRPr="005B43D5" w:rsidRDefault="00392B77" w:rsidP="000645BB">
      <w:pPr>
        <w:pStyle w:val="ListParagraph"/>
        <w:numPr>
          <w:ilvl w:val="0"/>
          <w:numId w:val="2"/>
        </w:numPr>
        <w:rPr>
          <w:rFonts w:cstheme="minorHAnsi"/>
          <w:sz w:val="24"/>
          <w:szCs w:val="24"/>
          <w:lang w:bidi="ar-JO"/>
        </w:rPr>
      </w:pPr>
      <w:r w:rsidRPr="005B43D5">
        <w:rPr>
          <w:rFonts w:cstheme="minorHAnsi"/>
          <w:sz w:val="24"/>
          <w:szCs w:val="24"/>
          <w:lang w:bidi="ar-JO"/>
        </w:rPr>
        <w:t xml:space="preserve">The </w:t>
      </w:r>
      <w:r w:rsidR="00FE6C2E" w:rsidRPr="005B43D5">
        <w:rPr>
          <w:rFonts w:cstheme="minorHAnsi"/>
          <w:sz w:val="24"/>
          <w:szCs w:val="24"/>
          <w:lang w:bidi="ar-JO"/>
        </w:rPr>
        <w:t xml:space="preserve">Increasing </w:t>
      </w:r>
      <w:r w:rsidRPr="005B43D5">
        <w:rPr>
          <w:rFonts w:cstheme="minorHAnsi"/>
          <w:sz w:val="24"/>
          <w:szCs w:val="24"/>
          <w:lang w:bidi="ar-JO"/>
        </w:rPr>
        <w:t xml:space="preserve">Palestinian violations against the Independent Cultural Organizations </w:t>
      </w:r>
    </w:p>
    <w:p w14:paraId="0A772B3C" w14:textId="63C8E65F" w:rsidR="00983DAD" w:rsidRPr="005B43D5" w:rsidRDefault="00392B77" w:rsidP="007E7D19">
      <w:pPr>
        <w:pStyle w:val="ListParagraph"/>
        <w:numPr>
          <w:ilvl w:val="1"/>
          <w:numId w:val="2"/>
        </w:numPr>
        <w:rPr>
          <w:rFonts w:cstheme="minorHAnsi"/>
          <w:sz w:val="24"/>
          <w:szCs w:val="24"/>
          <w:lang w:bidi="ar-JO"/>
        </w:rPr>
      </w:pPr>
      <w:r w:rsidRPr="005B43D5">
        <w:rPr>
          <w:rFonts w:cstheme="minorHAnsi"/>
          <w:sz w:val="24"/>
          <w:szCs w:val="24"/>
          <w:lang w:bidi="ar-JO"/>
        </w:rPr>
        <w:t>Attack against</w:t>
      </w:r>
      <w:r w:rsidR="00FE6C2E" w:rsidRPr="005B43D5">
        <w:rPr>
          <w:rFonts w:cstheme="minorHAnsi"/>
          <w:sz w:val="24"/>
          <w:szCs w:val="24"/>
          <w:lang w:bidi="ar-JO"/>
        </w:rPr>
        <w:t xml:space="preserve"> </w:t>
      </w:r>
      <w:r w:rsidR="000E32CD">
        <w:rPr>
          <w:rFonts w:cstheme="minorHAnsi"/>
          <w:sz w:val="24"/>
          <w:szCs w:val="24"/>
          <w:lang w:bidi="ar-JO"/>
        </w:rPr>
        <w:t>Al-</w:t>
      </w:r>
      <w:r w:rsidR="00983DAD" w:rsidRPr="005B43D5">
        <w:rPr>
          <w:rFonts w:cstheme="minorHAnsi"/>
          <w:sz w:val="24"/>
          <w:szCs w:val="24"/>
          <w:lang w:bidi="ar-JO"/>
        </w:rPr>
        <w:t xml:space="preserve">Mustawdaa Cultural Center </w:t>
      </w:r>
    </w:p>
    <w:p w14:paraId="060073D5" w14:textId="3CB32630" w:rsidR="00983DAD" w:rsidRPr="005B43D5" w:rsidRDefault="00983DAD" w:rsidP="007E7D19">
      <w:pPr>
        <w:pStyle w:val="ListParagraph"/>
        <w:numPr>
          <w:ilvl w:val="1"/>
          <w:numId w:val="2"/>
        </w:numPr>
        <w:rPr>
          <w:rFonts w:cstheme="minorHAnsi"/>
          <w:sz w:val="24"/>
          <w:szCs w:val="24"/>
          <w:lang w:bidi="ar-JO"/>
        </w:rPr>
      </w:pPr>
      <w:r w:rsidRPr="005B43D5">
        <w:rPr>
          <w:rFonts w:cstheme="minorHAnsi"/>
          <w:sz w:val="24"/>
          <w:szCs w:val="24"/>
          <w:lang w:bidi="ar-JO"/>
        </w:rPr>
        <w:t xml:space="preserve">Attack against Ashtar </w:t>
      </w:r>
      <w:r w:rsidRPr="005B43D5">
        <w:rPr>
          <w:rFonts w:cstheme="minorHAnsi"/>
          <w:sz w:val="24"/>
          <w:szCs w:val="24"/>
        </w:rPr>
        <w:t xml:space="preserve">for Theater Production and Training and attacking the March arranged by the organization </w:t>
      </w:r>
    </w:p>
    <w:p w14:paraId="2F9AF85F" w14:textId="3FCCCC77" w:rsidR="008349EC" w:rsidRPr="005B43D5" w:rsidRDefault="00983DAD" w:rsidP="007E7D19">
      <w:pPr>
        <w:pStyle w:val="ListParagraph"/>
        <w:numPr>
          <w:ilvl w:val="1"/>
          <w:numId w:val="2"/>
        </w:numPr>
        <w:rPr>
          <w:rFonts w:cstheme="minorHAnsi"/>
          <w:sz w:val="24"/>
          <w:szCs w:val="24"/>
          <w:lang w:bidi="ar-JO"/>
        </w:rPr>
      </w:pPr>
      <w:r w:rsidRPr="005B43D5">
        <w:rPr>
          <w:rFonts w:cstheme="minorHAnsi"/>
          <w:sz w:val="24"/>
          <w:szCs w:val="24"/>
        </w:rPr>
        <w:t xml:space="preserve">Attack against </w:t>
      </w:r>
      <w:r w:rsidR="008349EC" w:rsidRPr="005B43D5">
        <w:rPr>
          <w:rFonts w:cstheme="minorHAnsi"/>
          <w:sz w:val="24"/>
          <w:szCs w:val="24"/>
        </w:rPr>
        <w:t xml:space="preserve">A. M. Qattan Foundation </w:t>
      </w:r>
    </w:p>
    <w:p w14:paraId="71C5D9F9" w14:textId="2ECCC095" w:rsidR="00CA41C2" w:rsidRDefault="008349EC" w:rsidP="007E7D19">
      <w:pPr>
        <w:pStyle w:val="ListParagraph"/>
        <w:numPr>
          <w:ilvl w:val="1"/>
          <w:numId w:val="2"/>
        </w:numPr>
        <w:rPr>
          <w:rFonts w:cstheme="minorHAnsi"/>
          <w:sz w:val="24"/>
          <w:szCs w:val="24"/>
          <w:lang w:bidi="ar-JO"/>
        </w:rPr>
      </w:pPr>
      <w:r w:rsidRPr="005B43D5">
        <w:rPr>
          <w:rFonts w:cstheme="minorHAnsi"/>
          <w:sz w:val="24"/>
          <w:szCs w:val="24"/>
        </w:rPr>
        <w:t xml:space="preserve">Attack against Tamer Institute for Community </w:t>
      </w:r>
      <w:r w:rsidR="00CA41C2" w:rsidRPr="005B43D5">
        <w:rPr>
          <w:rFonts w:cstheme="minorHAnsi"/>
          <w:sz w:val="24"/>
          <w:szCs w:val="24"/>
        </w:rPr>
        <w:t xml:space="preserve">Education </w:t>
      </w:r>
    </w:p>
    <w:p w14:paraId="4EE86042" w14:textId="6FBA4A58" w:rsidR="00ED37FC" w:rsidRDefault="00ED37FC" w:rsidP="007E7D19">
      <w:pPr>
        <w:pStyle w:val="ListParagraph"/>
        <w:numPr>
          <w:ilvl w:val="1"/>
          <w:numId w:val="2"/>
        </w:numPr>
        <w:rPr>
          <w:rFonts w:cstheme="minorHAnsi"/>
          <w:sz w:val="24"/>
          <w:szCs w:val="24"/>
          <w:lang w:bidi="ar-JO"/>
        </w:rPr>
      </w:pPr>
      <w:r>
        <w:rPr>
          <w:rFonts w:cstheme="minorHAnsi"/>
          <w:sz w:val="24"/>
          <w:szCs w:val="24"/>
        </w:rPr>
        <w:t>Attack against SHASHAT- Women Cinema</w:t>
      </w:r>
    </w:p>
    <w:p w14:paraId="58C30FEC" w14:textId="4A80ED6F" w:rsidR="00ED37FC" w:rsidRPr="005B43D5" w:rsidRDefault="00105CF6" w:rsidP="007E7D19">
      <w:pPr>
        <w:pStyle w:val="ListParagraph"/>
        <w:numPr>
          <w:ilvl w:val="1"/>
          <w:numId w:val="2"/>
        </w:numPr>
        <w:rPr>
          <w:rFonts w:cstheme="minorHAnsi"/>
          <w:sz w:val="24"/>
          <w:szCs w:val="24"/>
          <w:lang w:bidi="ar-JO"/>
        </w:rPr>
      </w:pPr>
      <w:r>
        <w:rPr>
          <w:rFonts w:cstheme="minorHAnsi"/>
          <w:sz w:val="24"/>
          <w:szCs w:val="24"/>
        </w:rPr>
        <w:t xml:space="preserve">Attack against Khalil Sakakini Center </w:t>
      </w:r>
    </w:p>
    <w:p w14:paraId="355C0533" w14:textId="0004D552" w:rsidR="00CA41C2" w:rsidRPr="005B43D5" w:rsidRDefault="00CA41C2" w:rsidP="007E7D19">
      <w:pPr>
        <w:pStyle w:val="ListParagraph"/>
        <w:numPr>
          <w:ilvl w:val="1"/>
          <w:numId w:val="2"/>
        </w:numPr>
        <w:rPr>
          <w:rFonts w:cstheme="minorHAnsi"/>
          <w:sz w:val="24"/>
          <w:szCs w:val="24"/>
          <w:lang w:bidi="ar-JO"/>
        </w:rPr>
      </w:pPr>
      <w:r w:rsidRPr="005B43D5">
        <w:rPr>
          <w:rFonts w:cstheme="minorHAnsi"/>
          <w:sz w:val="24"/>
          <w:szCs w:val="24"/>
        </w:rPr>
        <w:t xml:space="preserve">Attack against Palestinian female artists and activists </w:t>
      </w:r>
    </w:p>
    <w:p w14:paraId="63685E9A" w14:textId="77777777" w:rsidR="00E67CD3" w:rsidRPr="005B43D5" w:rsidRDefault="00E67CD3" w:rsidP="000645BB">
      <w:pPr>
        <w:pStyle w:val="ListParagraph"/>
        <w:numPr>
          <w:ilvl w:val="0"/>
          <w:numId w:val="2"/>
        </w:numPr>
        <w:rPr>
          <w:rFonts w:cstheme="minorHAnsi"/>
          <w:sz w:val="24"/>
          <w:szCs w:val="24"/>
          <w:lang w:bidi="ar-JO"/>
        </w:rPr>
      </w:pPr>
      <w:r w:rsidRPr="005B43D5">
        <w:rPr>
          <w:rFonts w:cstheme="minorHAnsi"/>
          <w:sz w:val="24"/>
          <w:szCs w:val="24"/>
          <w:lang w:bidi="ar-JO"/>
        </w:rPr>
        <w:t xml:space="preserve">Shrinking the Cultural- Civic Space and the role of Legislation and Public Policies in this regard </w:t>
      </w:r>
    </w:p>
    <w:p w14:paraId="0417261D" w14:textId="7EF80317" w:rsidR="00E67CD3" w:rsidRPr="005B43D5" w:rsidRDefault="00E67CD3" w:rsidP="00FB1E82">
      <w:pPr>
        <w:pStyle w:val="ListParagraph"/>
        <w:numPr>
          <w:ilvl w:val="1"/>
          <w:numId w:val="2"/>
        </w:numPr>
        <w:rPr>
          <w:rFonts w:cstheme="minorHAnsi"/>
          <w:sz w:val="24"/>
          <w:szCs w:val="24"/>
          <w:lang w:bidi="ar-JO"/>
        </w:rPr>
      </w:pPr>
      <w:r w:rsidRPr="005B43D5">
        <w:rPr>
          <w:rFonts w:cstheme="minorHAnsi"/>
          <w:sz w:val="24"/>
          <w:szCs w:val="24"/>
          <w:lang w:bidi="ar-JO"/>
        </w:rPr>
        <w:t>No</w:t>
      </w:r>
      <w:r w:rsidR="00FB1E82">
        <w:rPr>
          <w:rFonts w:cstheme="minorHAnsi"/>
          <w:sz w:val="24"/>
          <w:szCs w:val="24"/>
          <w:lang w:bidi="ar-JO"/>
        </w:rPr>
        <w:t>t</w:t>
      </w:r>
      <w:r w:rsidRPr="005B43D5">
        <w:rPr>
          <w:rFonts w:cstheme="minorHAnsi"/>
          <w:sz w:val="24"/>
          <w:szCs w:val="24"/>
          <w:lang w:bidi="ar-JO"/>
        </w:rPr>
        <w:t>-for</w:t>
      </w:r>
      <w:r w:rsidR="007E7D19">
        <w:rPr>
          <w:rFonts w:cstheme="minorHAnsi"/>
          <w:sz w:val="24"/>
          <w:szCs w:val="24"/>
          <w:lang w:bidi="ar-JO"/>
        </w:rPr>
        <w:t>-</w:t>
      </w:r>
      <w:r w:rsidRPr="005B43D5">
        <w:rPr>
          <w:rFonts w:cstheme="minorHAnsi"/>
          <w:sz w:val="24"/>
          <w:szCs w:val="24"/>
          <w:lang w:bidi="ar-JO"/>
        </w:rPr>
        <w:t xml:space="preserve">Profit Companies </w:t>
      </w:r>
    </w:p>
    <w:p w14:paraId="43A60EBA" w14:textId="23FAC829" w:rsidR="00825D27" w:rsidRPr="005B43D5" w:rsidRDefault="00825D27" w:rsidP="000645BB">
      <w:pPr>
        <w:pStyle w:val="ListParagraph"/>
        <w:numPr>
          <w:ilvl w:val="1"/>
          <w:numId w:val="2"/>
        </w:numPr>
        <w:rPr>
          <w:rFonts w:cstheme="minorHAnsi"/>
          <w:sz w:val="24"/>
          <w:szCs w:val="24"/>
          <w:lang w:bidi="ar-JO"/>
        </w:rPr>
      </w:pPr>
      <w:r w:rsidRPr="005B43D5">
        <w:rPr>
          <w:rFonts w:cstheme="minorHAnsi"/>
          <w:sz w:val="24"/>
          <w:szCs w:val="24"/>
          <w:lang w:bidi="ar-JO"/>
        </w:rPr>
        <w:t xml:space="preserve">Charitable and </w:t>
      </w:r>
      <w:r w:rsidR="007E7D19" w:rsidRPr="005B43D5">
        <w:rPr>
          <w:rFonts w:cstheme="minorHAnsi"/>
          <w:sz w:val="24"/>
          <w:szCs w:val="24"/>
          <w:lang w:bidi="ar-JO"/>
        </w:rPr>
        <w:t>Civic</w:t>
      </w:r>
      <w:r w:rsidRPr="005B43D5">
        <w:rPr>
          <w:rFonts w:cstheme="minorHAnsi"/>
          <w:sz w:val="24"/>
          <w:szCs w:val="24"/>
          <w:lang w:bidi="ar-JO"/>
        </w:rPr>
        <w:t xml:space="preserve"> Organizations </w:t>
      </w:r>
    </w:p>
    <w:p w14:paraId="6C081FEC" w14:textId="77777777" w:rsidR="00825D27" w:rsidRPr="005B43D5" w:rsidRDefault="00825D27" w:rsidP="000645BB">
      <w:pPr>
        <w:pStyle w:val="ListParagraph"/>
        <w:numPr>
          <w:ilvl w:val="1"/>
          <w:numId w:val="2"/>
        </w:numPr>
        <w:rPr>
          <w:rFonts w:cstheme="minorHAnsi"/>
          <w:sz w:val="24"/>
          <w:szCs w:val="24"/>
          <w:lang w:bidi="ar-JO"/>
        </w:rPr>
      </w:pPr>
      <w:r w:rsidRPr="005B43D5">
        <w:rPr>
          <w:rFonts w:cstheme="minorHAnsi"/>
          <w:sz w:val="24"/>
          <w:szCs w:val="24"/>
          <w:lang w:bidi="ar-JO"/>
        </w:rPr>
        <w:t xml:space="preserve">Combating Money Laundry and Financing Terrorism </w:t>
      </w:r>
    </w:p>
    <w:p w14:paraId="69E02430" w14:textId="77777777" w:rsidR="00402006" w:rsidRPr="005B43D5" w:rsidRDefault="00402006" w:rsidP="000645BB">
      <w:pPr>
        <w:pStyle w:val="ListParagraph"/>
        <w:numPr>
          <w:ilvl w:val="1"/>
          <w:numId w:val="2"/>
        </w:numPr>
        <w:rPr>
          <w:rFonts w:cstheme="minorHAnsi"/>
          <w:sz w:val="24"/>
          <w:szCs w:val="24"/>
          <w:lang w:bidi="ar-JO"/>
        </w:rPr>
      </w:pPr>
      <w:r w:rsidRPr="005B43D5">
        <w:rPr>
          <w:rFonts w:cstheme="minorHAnsi"/>
          <w:sz w:val="24"/>
          <w:szCs w:val="24"/>
          <w:lang w:bidi="ar-JO"/>
        </w:rPr>
        <w:t xml:space="preserve">The Policy of Unconditional Funding </w:t>
      </w:r>
    </w:p>
    <w:p w14:paraId="09609761" w14:textId="3B509786" w:rsidR="00402006" w:rsidRPr="005B43D5" w:rsidRDefault="007E7D19" w:rsidP="007E7D19">
      <w:pPr>
        <w:pStyle w:val="ListParagraph"/>
        <w:numPr>
          <w:ilvl w:val="1"/>
          <w:numId w:val="2"/>
        </w:numPr>
        <w:rPr>
          <w:rFonts w:cstheme="minorHAnsi"/>
          <w:sz w:val="24"/>
          <w:szCs w:val="24"/>
          <w:lang w:bidi="ar-JO"/>
        </w:rPr>
      </w:pPr>
      <w:r>
        <w:rPr>
          <w:rFonts w:cstheme="minorHAnsi"/>
          <w:sz w:val="24"/>
          <w:szCs w:val="24"/>
          <w:lang w:bidi="ar-JO"/>
        </w:rPr>
        <w:t xml:space="preserve">Union </w:t>
      </w:r>
      <w:r w:rsidR="00402006" w:rsidRPr="005B43D5">
        <w:rPr>
          <w:rFonts w:cstheme="minorHAnsi"/>
          <w:sz w:val="24"/>
          <w:szCs w:val="24"/>
          <w:lang w:bidi="ar-JO"/>
        </w:rPr>
        <w:t xml:space="preserve">Organizing and Democratizing </w:t>
      </w:r>
      <w:r>
        <w:rPr>
          <w:rFonts w:cstheme="minorHAnsi"/>
          <w:sz w:val="24"/>
          <w:szCs w:val="24"/>
        </w:rPr>
        <w:t xml:space="preserve">the </w:t>
      </w:r>
      <w:r w:rsidR="00402006" w:rsidRPr="005B43D5">
        <w:rPr>
          <w:rFonts w:cstheme="minorHAnsi"/>
          <w:sz w:val="24"/>
          <w:szCs w:val="24"/>
        </w:rPr>
        <w:t xml:space="preserve">General Union of Palestinian Artists </w:t>
      </w:r>
    </w:p>
    <w:p w14:paraId="0DC3058A" w14:textId="049C9201" w:rsidR="0092777C" w:rsidRPr="005B43D5" w:rsidRDefault="0092777C" w:rsidP="000645BB">
      <w:pPr>
        <w:pStyle w:val="ListParagraph"/>
        <w:numPr>
          <w:ilvl w:val="1"/>
          <w:numId w:val="2"/>
        </w:numPr>
        <w:rPr>
          <w:rFonts w:cstheme="minorHAnsi"/>
          <w:sz w:val="24"/>
          <w:szCs w:val="24"/>
          <w:lang w:bidi="ar-JO"/>
        </w:rPr>
      </w:pPr>
      <w:r w:rsidRPr="005B43D5">
        <w:rPr>
          <w:rFonts w:cstheme="minorHAnsi"/>
          <w:sz w:val="24"/>
          <w:szCs w:val="24"/>
          <w:lang w:bidi="ar-JO"/>
        </w:rPr>
        <w:t xml:space="preserve"> </w:t>
      </w:r>
      <w:r w:rsidR="005B43D5" w:rsidRPr="005B43D5">
        <w:rPr>
          <w:rFonts w:cstheme="minorHAnsi"/>
          <w:sz w:val="24"/>
          <w:szCs w:val="24"/>
          <w:lang w:bidi="ar-JO"/>
        </w:rPr>
        <w:t xml:space="preserve">Sectorial Plan of the Cultural and Heritage Sectors </w:t>
      </w:r>
    </w:p>
    <w:p w14:paraId="0599DBAD" w14:textId="47355284" w:rsidR="005B43D5" w:rsidRPr="005B43D5" w:rsidRDefault="005B43D5" w:rsidP="000645BB">
      <w:pPr>
        <w:pStyle w:val="ListParagraph"/>
        <w:numPr>
          <w:ilvl w:val="0"/>
          <w:numId w:val="2"/>
        </w:numPr>
        <w:rPr>
          <w:rFonts w:cstheme="minorHAnsi"/>
          <w:sz w:val="24"/>
          <w:szCs w:val="24"/>
          <w:lang w:bidi="ar-JO"/>
        </w:rPr>
      </w:pPr>
      <w:r w:rsidRPr="005B43D5">
        <w:rPr>
          <w:rFonts w:cstheme="minorHAnsi"/>
          <w:sz w:val="24"/>
          <w:szCs w:val="24"/>
          <w:lang w:bidi="ar-JO"/>
        </w:rPr>
        <w:t xml:space="preserve">The Independent International Commission of Inquiry and the Cultural Sector </w:t>
      </w:r>
    </w:p>
    <w:p w14:paraId="6A78D9AD" w14:textId="77777777" w:rsidR="005B43D5" w:rsidRPr="005B43D5" w:rsidRDefault="005B43D5" w:rsidP="000645BB">
      <w:pPr>
        <w:ind w:left="360"/>
        <w:rPr>
          <w:rFonts w:cstheme="minorHAnsi"/>
          <w:sz w:val="24"/>
          <w:szCs w:val="24"/>
          <w:lang w:bidi="ar-JO"/>
        </w:rPr>
      </w:pPr>
    </w:p>
    <w:p w14:paraId="38BF94EC" w14:textId="77777777" w:rsidR="005B43D5" w:rsidRPr="005B43D5" w:rsidRDefault="005B43D5" w:rsidP="000645BB">
      <w:pPr>
        <w:ind w:left="360"/>
        <w:rPr>
          <w:rFonts w:cstheme="minorHAnsi"/>
          <w:sz w:val="24"/>
          <w:szCs w:val="24"/>
          <w:lang w:bidi="ar-JO"/>
        </w:rPr>
      </w:pPr>
    </w:p>
    <w:p w14:paraId="28C0E360" w14:textId="77777777" w:rsidR="005B43D5" w:rsidRPr="005B43D5" w:rsidRDefault="005B43D5" w:rsidP="000645BB">
      <w:pPr>
        <w:ind w:left="360"/>
        <w:rPr>
          <w:rFonts w:cstheme="minorHAnsi"/>
          <w:sz w:val="24"/>
          <w:szCs w:val="24"/>
          <w:lang w:bidi="ar-JO"/>
        </w:rPr>
      </w:pPr>
    </w:p>
    <w:p w14:paraId="0ADF91DA" w14:textId="77777777" w:rsidR="005B43D5" w:rsidRPr="005B43D5" w:rsidRDefault="005B43D5" w:rsidP="000645BB">
      <w:pPr>
        <w:ind w:left="360"/>
        <w:rPr>
          <w:rFonts w:cstheme="minorHAnsi"/>
          <w:sz w:val="24"/>
          <w:szCs w:val="24"/>
          <w:lang w:bidi="ar-JO"/>
        </w:rPr>
      </w:pPr>
    </w:p>
    <w:p w14:paraId="7F4397B5" w14:textId="2D3AA361" w:rsidR="005B43D5" w:rsidRDefault="005B43D5" w:rsidP="00572A3F">
      <w:pPr>
        <w:rPr>
          <w:rFonts w:cstheme="minorHAnsi"/>
          <w:sz w:val="24"/>
          <w:szCs w:val="24"/>
          <w:lang w:bidi="ar-JO"/>
        </w:rPr>
      </w:pPr>
    </w:p>
    <w:p w14:paraId="3D9A840D" w14:textId="77777777" w:rsidR="00572A3F" w:rsidRPr="005B43D5" w:rsidRDefault="00572A3F" w:rsidP="00572A3F">
      <w:pPr>
        <w:rPr>
          <w:rFonts w:cstheme="minorHAnsi"/>
          <w:sz w:val="24"/>
          <w:szCs w:val="24"/>
          <w:lang w:bidi="ar-JO"/>
        </w:rPr>
      </w:pPr>
    </w:p>
    <w:p w14:paraId="5F1FFF4D" w14:textId="77777777" w:rsidR="005B43D5" w:rsidRPr="005B43D5" w:rsidRDefault="005B43D5" w:rsidP="000645BB">
      <w:pPr>
        <w:ind w:left="360"/>
        <w:rPr>
          <w:rFonts w:cstheme="minorHAnsi"/>
          <w:sz w:val="24"/>
          <w:szCs w:val="24"/>
          <w:lang w:bidi="ar-JO"/>
        </w:rPr>
      </w:pPr>
    </w:p>
    <w:p w14:paraId="6992133F" w14:textId="77777777" w:rsidR="005B43D5" w:rsidRPr="005B43D5" w:rsidRDefault="005B43D5" w:rsidP="000645BB">
      <w:pPr>
        <w:ind w:left="360"/>
        <w:rPr>
          <w:rFonts w:cstheme="minorHAnsi"/>
          <w:sz w:val="24"/>
          <w:szCs w:val="24"/>
          <w:lang w:bidi="ar-JO"/>
        </w:rPr>
      </w:pPr>
    </w:p>
    <w:p w14:paraId="15668CD7" w14:textId="1512BAA5" w:rsidR="005B43D5" w:rsidRDefault="007E7D19" w:rsidP="000645BB">
      <w:pPr>
        <w:pStyle w:val="ListParagraph"/>
        <w:numPr>
          <w:ilvl w:val="0"/>
          <w:numId w:val="3"/>
        </w:numPr>
        <w:rPr>
          <w:rFonts w:cstheme="minorHAnsi"/>
          <w:b/>
          <w:bCs/>
          <w:sz w:val="24"/>
          <w:szCs w:val="24"/>
          <w:lang w:bidi="ar-JO"/>
        </w:rPr>
      </w:pPr>
      <w:r>
        <w:rPr>
          <w:rFonts w:cstheme="minorHAnsi"/>
          <w:b/>
          <w:bCs/>
          <w:sz w:val="24"/>
          <w:szCs w:val="24"/>
          <w:lang w:bidi="ar-JO"/>
        </w:rPr>
        <w:lastRenderedPageBreak/>
        <w:t xml:space="preserve"> </w:t>
      </w:r>
      <w:r w:rsidR="005B43D5" w:rsidRPr="005B43D5">
        <w:rPr>
          <w:rFonts w:cstheme="minorHAnsi"/>
          <w:b/>
          <w:bCs/>
          <w:sz w:val="24"/>
          <w:szCs w:val="24"/>
          <w:lang w:bidi="ar-JO"/>
        </w:rPr>
        <w:t>Executive Summary:</w:t>
      </w:r>
    </w:p>
    <w:p w14:paraId="0F5A2FCD" w14:textId="655F7557" w:rsidR="00ED2B30" w:rsidRDefault="007E7D19" w:rsidP="00C3352B">
      <w:pPr>
        <w:pStyle w:val="NoSpacing"/>
        <w:jc w:val="both"/>
        <w:rPr>
          <w:rFonts w:cstheme="minorHAnsi"/>
          <w:spacing w:val="4"/>
        </w:rPr>
      </w:pPr>
      <w:r>
        <w:rPr>
          <w:rFonts w:cstheme="minorHAnsi"/>
          <w:lang w:bidi="ar-JO"/>
        </w:rPr>
        <w:t xml:space="preserve">1. </w:t>
      </w:r>
      <w:r w:rsidR="00D471B1" w:rsidRPr="00DB59C8">
        <w:rPr>
          <w:rFonts w:cstheme="minorHAnsi"/>
          <w:lang w:bidi="ar-JO"/>
        </w:rPr>
        <w:t>The current report, submitted by the independent cu</w:t>
      </w:r>
      <w:r w:rsidR="00D471B1" w:rsidRPr="00DB59C8">
        <w:rPr>
          <w:lang w:bidi="ar-JO"/>
        </w:rPr>
        <w:t xml:space="preserve">ltural and artistic coalitions, organizations, and personnel, to your Esteemed Committee, highlights the wide systematic attacks and violations that were committed against the Palestinian cultural sector.  The attacks were committed by the Israeli colonialism Apartheid regime, the State of Palestine, and the Status Quo Government in </w:t>
      </w:r>
      <w:r w:rsidR="00C3352B">
        <w:rPr>
          <w:lang w:bidi="ar-JO"/>
        </w:rPr>
        <w:t xml:space="preserve">the </w:t>
      </w:r>
      <w:r w:rsidR="00D471B1" w:rsidRPr="00DB59C8">
        <w:rPr>
          <w:lang w:bidi="ar-JO"/>
        </w:rPr>
        <w:t xml:space="preserve">Gaza Strip. Additionally, the report highlights the shrinking cultural and civic space in the Occupied Palestinian Territory (OPT). </w:t>
      </w:r>
      <w:r w:rsidR="00D471B1" w:rsidRPr="00DB59C8">
        <w:t xml:space="preserve">The report features a highly significant recommendation that has been put forth to your committee. </w:t>
      </w:r>
      <w:r w:rsidRPr="00DB59C8">
        <w:t>Th</w:t>
      </w:r>
      <w:r>
        <w:t xml:space="preserve">ese </w:t>
      </w:r>
      <w:r w:rsidRPr="00DB59C8">
        <w:t>recommendations</w:t>
      </w:r>
      <w:r w:rsidR="00D471B1" w:rsidRPr="00DB59C8">
        <w:t xml:space="preserve"> aim to enhance the depth of the constructive dialogue that the committee will engage in</w:t>
      </w:r>
      <w:r>
        <w:t>,</w:t>
      </w:r>
      <w:r w:rsidR="00D471B1" w:rsidRPr="00DB59C8">
        <w:t xml:space="preserve"> with the state party (State of Palestine</w:t>
      </w:r>
      <w:r>
        <w:t>- SoP)</w:t>
      </w:r>
      <w:r w:rsidR="00D471B1" w:rsidRPr="00DB59C8">
        <w:t xml:space="preserve">). The objective is to ensure the effective implementation of the Covenant's articles, with a particular focus on cultural rights. Furthermore, the report suggests including concluding remarks that underscore the </w:t>
      </w:r>
      <w:r w:rsidR="00C3352B">
        <w:t>SoP's</w:t>
      </w:r>
      <w:r>
        <w:t xml:space="preserve"> </w:t>
      </w:r>
      <w:r w:rsidR="00D471B1" w:rsidRPr="00DB59C8">
        <w:t xml:space="preserve">dedication to fulfilling its commitments </w:t>
      </w:r>
      <w:r w:rsidR="000E32CD">
        <w:t>to</w:t>
      </w:r>
      <w:r w:rsidR="00D471B1" w:rsidRPr="00DB59C8">
        <w:t xml:space="preserve"> safeguarding and upholding cultural rights. </w:t>
      </w:r>
      <w:r w:rsidR="00DB59C8" w:rsidRPr="00DB59C8">
        <w:t>The recommendation</w:t>
      </w:r>
      <w:r>
        <w:t>s become</w:t>
      </w:r>
      <w:r w:rsidR="00DB59C8" w:rsidRPr="00DB59C8">
        <w:t xml:space="preserve"> more significant once considering that cultural rights ha</w:t>
      </w:r>
      <w:r w:rsidR="000E32CD">
        <w:t>ve</w:t>
      </w:r>
      <w:r w:rsidR="00DB59C8" w:rsidRPr="00DB59C8">
        <w:t xml:space="preserve"> witnessed a wide escalation </w:t>
      </w:r>
      <w:r>
        <w:t>of</w:t>
      </w:r>
      <w:r w:rsidR="00DB59C8" w:rsidRPr="00DB59C8">
        <w:t xml:space="preserve"> violations since the year 2022. The Coalition of Cultural </w:t>
      </w:r>
      <w:r w:rsidR="000E32CD">
        <w:t>O</w:t>
      </w:r>
      <w:r w:rsidR="00DB59C8" w:rsidRPr="00DB59C8">
        <w:t>rganizations views with deep concern ignoring the profound violations that the cultural sector faced, with the report of the S</w:t>
      </w:r>
      <w:r>
        <w:t xml:space="preserve">oP </w:t>
      </w:r>
      <w:r w:rsidR="00DB59C8" w:rsidRPr="00DB59C8">
        <w:t>and within the list of issues presented by your esteemed</w:t>
      </w:r>
      <w:r>
        <w:t xml:space="preserve"> committee to the state party. T</w:t>
      </w:r>
      <w:r w:rsidR="00DB59C8" w:rsidRPr="00DB59C8">
        <w:t xml:space="preserve">hese issues were </w:t>
      </w:r>
      <w:r>
        <w:t>ignored</w:t>
      </w:r>
      <w:r w:rsidR="005F0CCF">
        <w:t xml:space="preserve"> </w:t>
      </w:r>
      <w:r>
        <w:t xml:space="preserve">although </w:t>
      </w:r>
      <w:r w:rsidR="00DB59C8" w:rsidRPr="00DB59C8">
        <w:t>they were included in the report of the United Nations Independent International Commission of Inquiry on the Occupied Palestinian Territory, including East Jerusalem, and in Israel that the United Nations Human Rights Council formed, especially the report published in the year 2023 (A/HRC/53/22). The report states that: “The rights of civil society members are being violated by all entities in Israel and the Occupied Palestinian Territory, UN Commission of Inquiry says; Israeli Government restrictions intrinsically linked to occupation”</w:t>
      </w:r>
      <w:r w:rsidR="00DB59C8">
        <w:rPr>
          <w:rFonts w:eastAsia="Times New Roman" w:cstheme="minorHAnsi"/>
          <w:color w:val="4A4A4A"/>
          <w:spacing w:val="8"/>
          <w:kern w:val="36"/>
        </w:rPr>
        <w:t xml:space="preserve">. </w:t>
      </w:r>
      <w:r w:rsidR="00ED2B30">
        <w:rPr>
          <w:rFonts w:eastAsia="Times New Roman" w:cstheme="minorHAnsi"/>
          <w:spacing w:val="8"/>
          <w:kern w:val="36"/>
        </w:rPr>
        <w:t xml:space="preserve">The same issues were noted by </w:t>
      </w:r>
      <w:r>
        <w:rPr>
          <w:rFonts w:eastAsia="Times New Roman" w:cstheme="minorHAnsi"/>
          <w:spacing w:val="8"/>
          <w:kern w:val="36"/>
        </w:rPr>
        <w:t>Commissioner</w:t>
      </w:r>
      <w:r w:rsidR="00ED2B30">
        <w:rPr>
          <w:rFonts w:eastAsia="Times New Roman" w:cstheme="minorHAnsi"/>
          <w:spacing w:val="8"/>
          <w:kern w:val="36"/>
        </w:rPr>
        <w:t xml:space="preserve"> Mr. </w:t>
      </w:r>
      <w:r w:rsidR="00ED2B30" w:rsidRPr="00ED2B30">
        <w:rPr>
          <w:rFonts w:cstheme="minorHAnsi"/>
          <w:spacing w:val="4"/>
        </w:rPr>
        <w:t>Miloon Kothari</w:t>
      </w:r>
      <w:r w:rsidR="00ED2B30">
        <w:rPr>
          <w:rFonts w:eastAsia="Times New Roman" w:cstheme="minorHAnsi"/>
          <w:spacing w:val="8"/>
          <w:kern w:val="36"/>
        </w:rPr>
        <w:t xml:space="preserve"> who said: </w:t>
      </w:r>
      <w:r w:rsidR="00ED2B30" w:rsidRPr="00ED2B30">
        <w:rPr>
          <w:rFonts w:eastAsia="Times New Roman" w:cstheme="minorHAnsi"/>
          <w:spacing w:val="8"/>
          <w:kern w:val="36"/>
        </w:rPr>
        <w:t>“</w:t>
      </w:r>
      <w:r w:rsidR="00ED2B30" w:rsidRPr="00ED2B30">
        <w:rPr>
          <w:rFonts w:cstheme="minorHAnsi"/>
          <w:spacing w:val="4"/>
        </w:rPr>
        <w:t>We are very concerned regarding the restrictions imposed on the right to cultural life and cultural expression that we detailed in our report. We are concerned regarding the statements given by the Israeli politicians who called for abolishing the elements of the Palestinians</w:t>
      </w:r>
      <w:r w:rsidR="000E32CD">
        <w:rPr>
          <w:rFonts w:cstheme="minorHAnsi"/>
          <w:spacing w:val="4"/>
        </w:rPr>
        <w:t>'</w:t>
      </w:r>
      <w:r w:rsidR="00ED2B30" w:rsidRPr="00ED2B30">
        <w:rPr>
          <w:rFonts w:cstheme="minorHAnsi"/>
          <w:spacing w:val="4"/>
        </w:rPr>
        <w:t xml:space="preserve"> culture and identity”.</w:t>
      </w:r>
      <w:r w:rsidR="00ED2B30">
        <w:rPr>
          <w:rFonts w:cstheme="minorHAnsi"/>
          <w:spacing w:val="4"/>
        </w:rPr>
        <w:t xml:space="preserve"> </w:t>
      </w:r>
      <w:r w:rsidR="00ED2B30" w:rsidRPr="00ED2B30">
        <w:rPr>
          <w:rFonts w:cstheme="minorHAnsi"/>
          <w:spacing w:val="4"/>
        </w:rPr>
        <w:t>The report concluded that the</w:t>
      </w:r>
      <w:r w:rsidR="00ED2B30">
        <w:rPr>
          <w:rFonts w:cstheme="minorHAnsi"/>
          <w:spacing w:val="4"/>
        </w:rPr>
        <w:t xml:space="preserve"> measures taken by the Israeli and Palestinian authorities to narrow the space for freedom of opinion within the cultural field, affect artists, </w:t>
      </w:r>
      <w:r w:rsidR="000E32CD">
        <w:rPr>
          <w:rFonts w:cstheme="minorHAnsi"/>
          <w:spacing w:val="4"/>
        </w:rPr>
        <w:t xml:space="preserve">and </w:t>
      </w:r>
      <w:r w:rsidR="00ED2B30">
        <w:rPr>
          <w:rFonts w:cstheme="minorHAnsi"/>
          <w:spacing w:val="4"/>
        </w:rPr>
        <w:t xml:space="preserve">art activists, and stand as </w:t>
      </w:r>
      <w:r w:rsidR="000E32CD">
        <w:rPr>
          <w:rFonts w:cstheme="minorHAnsi"/>
          <w:spacing w:val="4"/>
        </w:rPr>
        <w:t xml:space="preserve">a </w:t>
      </w:r>
      <w:r w:rsidR="00ED2B30">
        <w:rPr>
          <w:rFonts w:cstheme="minorHAnsi"/>
          <w:spacing w:val="4"/>
        </w:rPr>
        <w:t xml:space="preserve">violation of cultural rights”. </w:t>
      </w:r>
    </w:p>
    <w:p w14:paraId="7117A856" w14:textId="73C6BB2D" w:rsidR="00DB59C8" w:rsidRDefault="00ED2B30" w:rsidP="00960B6F">
      <w:pPr>
        <w:pStyle w:val="NoSpacing"/>
        <w:jc w:val="both"/>
        <w:rPr>
          <w:rFonts w:eastAsia="Times New Roman" w:cstheme="minorHAnsi"/>
          <w:spacing w:val="8"/>
          <w:kern w:val="36"/>
        </w:rPr>
      </w:pPr>
      <w:r>
        <w:rPr>
          <w:rFonts w:cstheme="minorHAnsi"/>
          <w:spacing w:val="4"/>
        </w:rPr>
        <w:t xml:space="preserve">2. </w:t>
      </w:r>
      <w:r w:rsidR="00BF490A">
        <w:rPr>
          <w:rFonts w:cstheme="minorHAnsi"/>
          <w:spacing w:val="4"/>
        </w:rPr>
        <w:t>The conclusions of the report</w:t>
      </w:r>
      <w:r w:rsidR="007E7D19">
        <w:rPr>
          <w:rFonts w:cstheme="minorHAnsi"/>
          <w:spacing w:val="4"/>
        </w:rPr>
        <w:t>,</w:t>
      </w:r>
      <w:r w:rsidR="00BF490A">
        <w:rPr>
          <w:rFonts w:cstheme="minorHAnsi"/>
          <w:spacing w:val="4"/>
        </w:rPr>
        <w:t xml:space="preserve"> issued by </w:t>
      </w:r>
      <w:r w:rsidR="00BF490A" w:rsidRPr="00DB59C8">
        <w:t>the United Nations Independent International Commission of Inquiry on the Occupied Palestinian Territory, including East Jerusalem, and Israel</w:t>
      </w:r>
      <w:r w:rsidR="00BF490A">
        <w:t xml:space="preserve">, included in the report presented to your committee, highlighted shrinking the </w:t>
      </w:r>
      <w:r w:rsidR="00960B6F">
        <w:t>civic-cultural</w:t>
      </w:r>
      <w:r w:rsidR="00BF490A">
        <w:t xml:space="preserve"> space in the O</w:t>
      </w:r>
      <w:r w:rsidR="007E7D19">
        <w:t>PT</w:t>
      </w:r>
      <w:r w:rsidR="00BF490A">
        <w:t xml:space="preserve">. Both the State of Palestine and the Status Quo Government in </w:t>
      </w:r>
      <w:r w:rsidR="00960B6F">
        <w:t xml:space="preserve">the </w:t>
      </w:r>
      <w:r w:rsidR="00BF490A">
        <w:t xml:space="preserve">Gaza Strip practice shrinking the </w:t>
      </w:r>
      <w:r w:rsidR="00960B6F">
        <w:t>civic-cultural</w:t>
      </w:r>
      <w:r w:rsidR="00BF490A">
        <w:t xml:space="preserve"> space, through the issued laws and legislation that targeted the Palestinian civil society organizations, their activities, and the resources of fund of these organizations. </w:t>
      </w:r>
      <w:r w:rsidRPr="00ED2B30">
        <w:rPr>
          <w:rFonts w:cstheme="minorHAnsi"/>
          <w:spacing w:val="4"/>
        </w:rPr>
        <w:t xml:space="preserve"> </w:t>
      </w:r>
      <w:r w:rsidR="00BF490A" w:rsidRPr="00BF490A">
        <w:rPr>
          <w:rFonts w:ascii="Calibri" w:hAnsi="Calibri" w:cs="Calibri"/>
          <w:spacing w:val="4"/>
        </w:rPr>
        <w:t>Additionally, the conclusions of the report</w:t>
      </w:r>
      <w:r w:rsidR="00BF490A">
        <w:rPr>
          <w:rFonts w:eastAsia="Times New Roman" w:cstheme="minorHAnsi"/>
          <w:spacing w:val="8"/>
          <w:kern w:val="36"/>
        </w:rPr>
        <w:t xml:space="preserve">, </w:t>
      </w:r>
      <w:r w:rsidR="0065684B">
        <w:rPr>
          <w:rFonts w:eastAsia="Times New Roman" w:cstheme="minorHAnsi"/>
          <w:spacing w:val="8"/>
          <w:kern w:val="36"/>
        </w:rPr>
        <w:t xml:space="preserve">highlighted the impact of banning general elections and banning forming a Legislative Council, on realizing the rights endorsed within the Covenant, including the cultural rights. </w:t>
      </w:r>
      <w:r w:rsidR="0010061A">
        <w:rPr>
          <w:rFonts w:eastAsia="Times New Roman" w:cstheme="minorHAnsi"/>
          <w:spacing w:val="8"/>
          <w:kern w:val="36"/>
        </w:rPr>
        <w:t>The conclusions included mentioning the profound systematic violations committed against the cultural organization in the O</w:t>
      </w:r>
      <w:r w:rsidR="007E7D19">
        <w:rPr>
          <w:rFonts w:eastAsia="Times New Roman" w:cstheme="minorHAnsi"/>
          <w:spacing w:val="8"/>
          <w:kern w:val="36"/>
        </w:rPr>
        <w:t>PT</w:t>
      </w:r>
      <w:r w:rsidR="0010061A">
        <w:rPr>
          <w:rFonts w:eastAsia="Times New Roman" w:cstheme="minorHAnsi"/>
          <w:spacing w:val="8"/>
          <w:kern w:val="36"/>
        </w:rPr>
        <w:t xml:space="preserve">. The violations included dangerous physical assaults as well as threatening, incitement, and promoting hate speech online and through social media platforms in response to some art and cultural activities initiated by these organizations. All these violations took place </w:t>
      </w:r>
      <w:r w:rsidR="000E32CD">
        <w:rPr>
          <w:rFonts w:eastAsia="Times New Roman" w:cstheme="minorHAnsi"/>
          <w:spacing w:val="8"/>
          <w:kern w:val="36"/>
        </w:rPr>
        <w:t>in</w:t>
      </w:r>
      <w:r w:rsidR="0010061A">
        <w:rPr>
          <w:rFonts w:eastAsia="Times New Roman" w:cstheme="minorHAnsi"/>
          <w:spacing w:val="8"/>
          <w:kern w:val="36"/>
        </w:rPr>
        <w:t xml:space="preserve"> the absence of any kind of legal protection provided by the law enforcement bodies and the official Palestinian institutions. There ha</w:t>
      </w:r>
      <w:r w:rsidR="000E32CD">
        <w:rPr>
          <w:rFonts w:eastAsia="Times New Roman" w:cstheme="minorHAnsi"/>
          <w:spacing w:val="8"/>
          <w:kern w:val="36"/>
        </w:rPr>
        <w:t>s</w:t>
      </w:r>
      <w:r w:rsidR="0010061A">
        <w:rPr>
          <w:rFonts w:eastAsia="Times New Roman" w:cstheme="minorHAnsi"/>
          <w:spacing w:val="8"/>
          <w:kern w:val="36"/>
        </w:rPr>
        <w:t xml:space="preserve"> been no kind of accountability for the perpetrators and the victims are denied justice. </w:t>
      </w:r>
    </w:p>
    <w:p w14:paraId="5B86D111" w14:textId="73EDBDC9" w:rsidR="00AA3283" w:rsidRPr="00C3352B" w:rsidRDefault="0010061A" w:rsidP="00366D2B">
      <w:pPr>
        <w:jc w:val="both"/>
      </w:pPr>
      <w:r>
        <w:rPr>
          <w:rFonts w:eastAsia="Times New Roman"/>
          <w:spacing w:val="8"/>
          <w:kern w:val="36"/>
        </w:rPr>
        <w:t>3</w:t>
      </w:r>
      <w:r w:rsidRPr="00C3352B">
        <w:t>. The report of The Independent International Commission of Inquiry highlighted the assaults and attacks that the cultural activists and artists were subject to in the OPT. The attacks and assaults are detailed in the current report</w:t>
      </w:r>
      <w:r w:rsidR="00B34BD2" w:rsidRPr="00C3352B">
        <w:t>. T</w:t>
      </w:r>
      <w:r w:rsidRPr="00C3352B">
        <w:t xml:space="preserve">he report includes detailed information about the systematic attacks, conducted by groups of persons who reject the idea of sexual rights, against some independent Palestinian organizations, cultural activists, and artists. The attacks took several forms including brutal physical </w:t>
      </w:r>
      <w:r w:rsidRPr="00C3352B">
        <w:lastRenderedPageBreak/>
        <w:t xml:space="preserve">attacks, attacking the premises of the targeted organizations, </w:t>
      </w:r>
      <w:r w:rsidR="00C3352B">
        <w:t>threats</w:t>
      </w:r>
      <w:r w:rsidRPr="00C3352B">
        <w:t xml:space="preserve">, incitement, and thousands of hate posts through social media against the cultural institutions, cultural activists, and artists. The police did not initiate in protecting the attacked although the police forces were in presence more than one time when the attacks </w:t>
      </w:r>
      <w:r w:rsidR="00B34BD2" w:rsidRPr="00C3352B">
        <w:t>happened</w:t>
      </w:r>
      <w:r w:rsidRPr="00C3352B">
        <w:t xml:space="preserve">. </w:t>
      </w:r>
      <w:r w:rsidR="00AA3283" w:rsidRPr="00C3352B">
        <w:t>The S</w:t>
      </w:r>
      <w:r w:rsidR="00B34BD2" w:rsidRPr="00C3352B">
        <w:t xml:space="preserve">oP </w:t>
      </w:r>
      <w:r w:rsidR="00AA3283" w:rsidRPr="00C3352B">
        <w:t xml:space="preserve">did not fulfill its commitments, </w:t>
      </w:r>
      <w:r w:rsidR="00C3352B">
        <w:t>to</w:t>
      </w:r>
      <w:r w:rsidR="00AA3283" w:rsidRPr="00C3352B">
        <w:t xml:space="preserve"> protecting cultural rights and freedom of opinion and creativity, according to the Covenant</w:t>
      </w:r>
      <w:r w:rsidR="00B34BD2" w:rsidRPr="00C3352B">
        <w:t>,</w:t>
      </w:r>
      <w:r w:rsidR="00AA3283" w:rsidRPr="00C3352B">
        <w:t xml:space="preserve"> though it acceded to it</w:t>
      </w:r>
      <w:r w:rsidR="00B34BD2" w:rsidRPr="00C3352B">
        <w:t>,</w:t>
      </w:r>
      <w:r w:rsidR="00AA3283" w:rsidRPr="00C3352B">
        <w:t xml:space="preserve"> without reservations</w:t>
      </w:r>
      <w:r w:rsidR="00B34BD2" w:rsidRPr="00C3352B">
        <w:t>,</w:t>
      </w:r>
      <w:r w:rsidR="00AA3283" w:rsidRPr="00C3352B">
        <w:t xml:space="preserve"> and the Covenant stresses protecting these rights. </w:t>
      </w:r>
    </w:p>
    <w:p w14:paraId="38275D21" w14:textId="312EE0B4" w:rsidR="00AA3283" w:rsidRPr="00C3352B" w:rsidRDefault="00AA3283" w:rsidP="00C3352B">
      <w:r w:rsidRPr="00C3352B">
        <w:t xml:space="preserve">4. The Coalition of the cultural sector organizations and several cultural ad artist personnel active in the OPT, urge your esteemed committee to see (seriously and in priority) the recommendations stated in the current report. We wish that our raised concerns would be discussed with the delegation of the </w:t>
      </w:r>
      <w:r w:rsidR="00B34BD2" w:rsidRPr="00C3352B">
        <w:t xml:space="preserve">SoP </w:t>
      </w:r>
      <w:r w:rsidRPr="00C3352B">
        <w:t xml:space="preserve">and within the concluding remarks that would be presented following </w:t>
      </w:r>
      <w:r w:rsidR="000E32CD" w:rsidRPr="00C3352B">
        <w:t xml:space="preserve">the </w:t>
      </w:r>
      <w:r w:rsidRPr="00C3352B">
        <w:t xml:space="preserve">completion of the discussion.  </w:t>
      </w:r>
    </w:p>
    <w:p w14:paraId="6173BB81" w14:textId="1C052909" w:rsidR="00AA3283" w:rsidRDefault="00AA3283" w:rsidP="00B34BD2">
      <w:pPr>
        <w:pStyle w:val="NoSpacing"/>
        <w:jc w:val="both"/>
        <w:rPr>
          <w:rFonts w:cstheme="minorHAnsi"/>
          <w:sz w:val="24"/>
          <w:szCs w:val="24"/>
          <w:lang w:bidi="ar-JO"/>
        </w:rPr>
      </w:pPr>
      <w:r w:rsidRPr="00B34BD2">
        <w:rPr>
          <w:rFonts w:cstheme="minorHAnsi"/>
          <w:b/>
          <w:bCs/>
          <w:sz w:val="24"/>
          <w:szCs w:val="24"/>
          <w:lang w:bidi="ar-JO"/>
        </w:rPr>
        <w:t>2. Introduction and Methodology</w:t>
      </w:r>
      <w:r>
        <w:rPr>
          <w:rFonts w:cstheme="minorHAnsi"/>
          <w:sz w:val="24"/>
          <w:szCs w:val="24"/>
          <w:lang w:bidi="ar-JO"/>
        </w:rPr>
        <w:t xml:space="preserve">: </w:t>
      </w:r>
    </w:p>
    <w:p w14:paraId="7DF46EF2" w14:textId="5E1970AF" w:rsidR="00F11919" w:rsidRPr="007644D1" w:rsidRDefault="00AA3283" w:rsidP="00960B6F">
      <w:pPr>
        <w:pStyle w:val="NoSpacing"/>
        <w:jc w:val="both"/>
      </w:pPr>
      <w:r>
        <w:rPr>
          <w:rFonts w:cstheme="minorHAnsi"/>
          <w:sz w:val="24"/>
          <w:szCs w:val="24"/>
          <w:lang w:bidi="ar-JO"/>
        </w:rPr>
        <w:t>5.</w:t>
      </w:r>
      <w:r w:rsidRPr="00AA3283">
        <w:rPr>
          <w:rFonts w:cstheme="minorHAnsi"/>
          <w:lang w:bidi="ar-JO"/>
        </w:rPr>
        <w:t xml:space="preserve"> </w:t>
      </w:r>
      <w:r w:rsidRPr="007644D1">
        <w:t xml:space="preserve">The present parallel report, </w:t>
      </w:r>
      <w:r w:rsidR="00B34BD2" w:rsidRPr="007644D1">
        <w:t xml:space="preserve">submitted </w:t>
      </w:r>
      <w:r w:rsidRPr="007644D1">
        <w:t xml:space="preserve">by </w:t>
      </w:r>
      <w:r w:rsidR="0093525B" w:rsidRPr="007644D1">
        <w:t>the I</w:t>
      </w:r>
      <w:r w:rsidRPr="007644D1">
        <w:t xml:space="preserve">ndependent cultural coalitions, organizations, cultural personnel, and artists engaged in </w:t>
      </w:r>
      <w:r w:rsidR="0093525B" w:rsidRPr="007644D1">
        <w:t xml:space="preserve">the Palestinian cultural sector </w:t>
      </w:r>
      <w:r w:rsidRPr="007644D1">
        <w:t>(hereafter referred to as the "Partners"), concerning the cultural rights outlined in Article 15 of the I</w:t>
      </w:r>
      <w:r w:rsidR="00B34BD2" w:rsidRPr="007644D1">
        <w:t>CESCR</w:t>
      </w:r>
      <w:r w:rsidRPr="007644D1">
        <w:t>, draws upon the initial report submitted by the S</w:t>
      </w:r>
      <w:r w:rsidR="00B34BD2" w:rsidRPr="007644D1">
        <w:t xml:space="preserve">oP </w:t>
      </w:r>
      <w:r w:rsidR="000E32CD" w:rsidRPr="007644D1">
        <w:t>following</w:t>
      </w:r>
      <w:r w:rsidRPr="007644D1">
        <w:t xml:space="preserve"> the provisions of Articles 16 and 17 of the Covenant. The state party report was due </w:t>
      </w:r>
      <w:r w:rsidR="000E32CD" w:rsidRPr="007644D1">
        <w:t>i</w:t>
      </w:r>
      <w:r w:rsidRPr="007644D1">
        <w:t xml:space="preserve">n 2016 and the Committee received </w:t>
      </w:r>
      <w:r w:rsidR="00B34BD2" w:rsidRPr="007644D1">
        <w:t>it on</w:t>
      </w:r>
      <w:r w:rsidRPr="007644D1">
        <w:t xml:space="preserve"> November 16, 2020 (E/C.12/PSE/1) and</w:t>
      </w:r>
      <w:r w:rsidR="00960B6F">
        <w:t xml:space="preserve"> </w:t>
      </w:r>
      <w:r w:rsidR="00B34BD2" w:rsidRPr="007644D1">
        <w:t>built also on</w:t>
      </w:r>
      <w:r w:rsidRPr="007644D1">
        <w:t xml:space="preserve"> the list of issues presented </w:t>
      </w:r>
      <w:r w:rsidR="00960B6F">
        <w:t>by</w:t>
      </w:r>
      <w:r w:rsidRPr="007644D1">
        <w:t xml:space="preserve"> your committee to the state party on November 16, 2021 (E/C.12/PSE/Q/1). It is built also on the response of the S</w:t>
      </w:r>
      <w:r w:rsidR="0093525B" w:rsidRPr="007644D1">
        <w:t xml:space="preserve">oP </w:t>
      </w:r>
      <w:r w:rsidRPr="007644D1">
        <w:t xml:space="preserve">to the list of issues </w:t>
      </w:r>
      <w:r w:rsidR="000E32CD" w:rsidRPr="007644D1">
        <w:t xml:space="preserve">regarding </w:t>
      </w:r>
      <w:r w:rsidRPr="007644D1">
        <w:t xml:space="preserve">its first initial report (E/C.12/GC/21). The report sees also comment number 21 issued by your committee on November 9, 2009, regarding Article 15 related to cultural rights (E/C.12/GC/21).  </w:t>
      </w:r>
      <w:r w:rsidR="00F11919" w:rsidRPr="007644D1">
        <w:t xml:space="preserve">The report is based also on the findings of the United Nations Committees of Inquiry and Committees of </w:t>
      </w:r>
      <w:r w:rsidR="0093525B" w:rsidRPr="007644D1">
        <w:t>fact-findings</w:t>
      </w:r>
      <w:r w:rsidR="00F11919" w:rsidRPr="007644D1">
        <w:t xml:space="preserve"> in the Opt. Furthermore, the violations against the cultural rights that were documented by the Partner organizations, were revised for the sake of preparing the report. The report does not reflect the actual violations committed against the cultural, sector by the Occupation State (referred to </w:t>
      </w:r>
      <w:r w:rsidR="000E32CD" w:rsidRPr="007644D1">
        <w:t xml:space="preserve">in </w:t>
      </w:r>
      <w:r w:rsidR="00F11919" w:rsidRPr="007644D1">
        <w:t>the report as Israel, the Zionist Colonial state</w:t>
      </w:r>
      <w:r w:rsidR="000E32CD" w:rsidRPr="007644D1">
        <w:t>,</w:t>
      </w:r>
      <w:r w:rsidR="00F11919" w:rsidRPr="007644D1">
        <w:t xml:space="preserve"> and the Apartheid Regime) and the violations committed by the S</w:t>
      </w:r>
      <w:r w:rsidR="0093525B" w:rsidRPr="007644D1">
        <w:t>oP</w:t>
      </w:r>
      <w:r w:rsidR="00F11919" w:rsidRPr="007644D1">
        <w:t>. The report includes a group of intensive and centered recommendations that would contribute to enhanc</w:t>
      </w:r>
      <w:r w:rsidR="000E32CD" w:rsidRPr="007644D1">
        <w:t>ing</w:t>
      </w:r>
      <w:r w:rsidR="00F11919" w:rsidRPr="007644D1">
        <w:t xml:space="preserve"> the constructive dialogue and discussion between the Committee and the state party to fulfill its commitments under the mandate of the Covenant, including protecting cultural rights. </w:t>
      </w:r>
    </w:p>
    <w:p w14:paraId="1B2321D4" w14:textId="75B11853" w:rsidR="000B0365" w:rsidRDefault="00F11919" w:rsidP="009355D8">
      <w:pPr>
        <w:pStyle w:val="NoSpacing"/>
        <w:jc w:val="both"/>
        <w:rPr>
          <w:rFonts w:cstheme="minorHAnsi"/>
          <w:lang w:bidi="ar-JO"/>
        </w:rPr>
      </w:pPr>
      <w:r>
        <w:rPr>
          <w:rFonts w:cstheme="minorHAnsi"/>
          <w:sz w:val="24"/>
          <w:szCs w:val="24"/>
          <w:lang w:bidi="ar-JO"/>
        </w:rPr>
        <w:t xml:space="preserve">6. </w:t>
      </w:r>
      <w:r w:rsidRPr="00F11919">
        <w:rPr>
          <w:rFonts w:cstheme="minorHAnsi"/>
          <w:lang w:bidi="ar-JO"/>
        </w:rPr>
        <w:t xml:space="preserve">The partners urge your committee to see the wide context of the prolonged Israeli Zionist Colonial Occupation that is based on utilizing force to annex the Palestinian land. Additionally, to see the Apartheid regime that seeks </w:t>
      </w:r>
      <w:r w:rsidR="000E32CD">
        <w:rPr>
          <w:rFonts w:cstheme="minorHAnsi"/>
          <w:lang w:bidi="ar-JO"/>
        </w:rPr>
        <w:t>to divide</w:t>
      </w:r>
      <w:r w:rsidRPr="00F11919">
        <w:rPr>
          <w:rFonts w:cstheme="minorHAnsi"/>
          <w:lang w:bidi="ar-JO"/>
        </w:rPr>
        <w:t xml:space="preserve"> Palestinians into groups: </w:t>
      </w:r>
      <w:r w:rsidR="0093525B">
        <w:rPr>
          <w:rFonts w:cstheme="minorHAnsi"/>
          <w:lang w:bidi="ar-JO"/>
        </w:rPr>
        <w:t>(</w:t>
      </w:r>
      <w:r w:rsidRPr="00F11919">
        <w:rPr>
          <w:rFonts w:cstheme="minorHAnsi"/>
          <w:lang w:bidi="ar-JO"/>
        </w:rPr>
        <w:t xml:space="preserve">West Bank, Jerusalem, Gaza Strip, Diaspora, and Palestinians inside 1948 territory), which stands as a crime against humanity in accordance with International Criminal Law. </w:t>
      </w:r>
      <w:r w:rsidR="0093525B">
        <w:rPr>
          <w:rFonts w:cstheme="minorHAnsi"/>
          <w:lang w:bidi="ar-JO"/>
        </w:rPr>
        <w:t>T</w:t>
      </w:r>
      <w:r w:rsidRPr="00F11919">
        <w:rPr>
          <w:rFonts w:cstheme="minorHAnsi"/>
          <w:lang w:bidi="ar-JO"/>
        </w:rPr>
        <w:t>he partners invite the committee to see the Israeli denial of the Nakba that Palestinians passed through</w:t>
      </w:r>
      <w:r w:rsidR="000E32CD">
        <w:rPr>
          <w:rFonts w:cstheme="minorHAnsi"/>
          <w:lang w:bidi="ar-JO"/>
        </w:rPr>
        <w:t>,</w:t>
      </w:r>
      <w:r w:rsidRPr="00F11919">
        <w:rPr>
          <w:rFonts w:cstheme="minorHAnsi"/>
          <w:lang w:bidi="ar-JO"/>
        </w:rPr>
        <w:t xml:space="preserve"> as well as denying the uprooting of Palestinians and </w:t>
      </w:r>
      <w:r w:rsidRPr="00F11919">
        <w:rPr>
          <w:rFonts w:cstheme="minorHAnsi"/>
        </w:rPr>
        <w:t xml:space="preserve">plundering </w:t>
      </w:r>
      <w:r w:rsidR="000E32CD">
        <w:rPr>
          <w:rFonts w:cstheme="minorHAnsi"/>
        </w:rPr>
        <w:t xml:space="preserve">of </w:t>
      </w:r>
      <w:r w:rsidRPr="00F11919">
        <w:rPr>
          <w:rFonts w:cstheme="minorHAnsi"/>
        </w:rPr>
        <w:t>Palestinians</w:t>
      </w:r>
      <w:r w:rsidR="000E32CD">
        <w:rPr>
          <w:rFonts w:cstheme="minorHAnsi"/>
        </w:rPr>
        <w:t>'</w:t>
      </w:r>
      <w:r w:rsidRPr="00F11919">
        <w:rPr>
          <w:rFonts w:cstheme="minorHAnsi"/>
        </w:rPr>
        <w:t xml:space="preserve"> natural resources</w:t>
      </w:r>
      <w:r>
        <w:rPr>
          <w:rFonts w:cstheme="minorHAnsi"/>
        </w:rPr>
        <w:t xml:space="preserve"> as well as obliteration of the Palestinians</w:t>
      </w:r>
      <w:r w:rsidR="000E32CD">
        <w:rPr>
          <w:rFonts w:cstheme="minorHAnsi"/>
        </w:rPr>
        <w:t>'</w:t>
      </w:r>
      <w:r>
        <w:rPr>
          <w:rFonts w:cstheme="minorHAnsi"/>
        </w:rPr>
        <w:t xml:space="preserve"> national and cultural identity. </w:t>
      </w:r>
      <w:r w:rsidR="0093525B">
        <w:rPr>
          <w:rFonts w:cstheme="minorHAnsi"/>
        </w:rPr>
        <w:t xml:space="preserve">Israel </w:t>
      </w:r>
      <w:r>
        <w:rPr>
          <w:rFonts w:cstheme="minorHAnsi"/>
        </w:rPr>
        <w:t xml:space="preserve">is denying Palestinians </w:t>
      </w:r>
      <w:r w:rsidR="000E32CD">
        <w:rPr>
          <w:rFonts w:cstheme="minorHAnsi"/>
        </w:rPr>
        <w:t xml:space="preserve">the </w:t>
      </w:r>
      <w:r>
        <w:rPr>
          <w:rFonts w:cstheme="minorHAnsi"/>
        </w:rPr>
        <w:t>right to self-determination</w:t>
      </w:r>
      <w:r w:rsidR="0093525B">
        <w:rPr>
          <w:rFonts w:cstheme="minorHAnsi"/>
        </w:rPr>
        <w:t>,</w:t>
      </w:r>
      <w:r>
        <w:rPr>
          <w:rFonts w:cstheme="minorHAnsi"/>
        </w:rPr>
        <w:t xml:space="preserve"> </w:t>
      </w:r>
      <w:r w:rsidR="000E32CD">
        <w:rPr>
          <w:rFonts w:cstheme="minorHAnsi"/>
        </w:rPr>
        <w:t>which</w:t>
      </w:r>
      <w:r>
        <w:rPr>
          <w:rFonts w:cstheme="minorHAnsi"/>
        </w:rPr>
        <w:t xml:space="preserve"> is an inalienable right </w:t>
      </w:r>
      <w:r w:rsidR="0093525B">
        <w:rPr>
          <w:rFonts w:cstheme="minorHAnsi"/>
        </w:rPr>
        <w:t xml:space="preserve">according to </w:t>
      </w:r>
      <w:r>
        <w:rPr>
          <w:rFonts w:cstheme="minorHAnsi"/>
        </w:rPr>
        <w:t xml:space="preserve">International Law and should be respected for all. The practices of the occupation represent an ongoing crime under the International Criminal Law and are not subject to statute of limitations. </w:t>
      </w:r>
      <w:r w:rsidRPr="00F11919">
        <w:rPr>
          <w:rFonts w:cstheme="minorHAnsi"/>
        </w:rPr>
        <w:t xml:space="preserve"> </w:t>
      </w:r>
      <w:r>
        <w:rPr>
          <w:rFonts w:cstheme="minorHAnsi"/>
        </w:rPr>
        <w:t xml:space="preserve">The Partners refer you to the conclusion remarks expressed by your committee to the state party (Israel) regarding the inapplicability </w:t>
      </w:r>
      <w:r w:rsidR="000E32CD">
        <w:rPr>
          <w:rFonts w:cstheme="minorHAnsi"/>
        </w:rPr>
        <w:t>o</w:t>
      </w:r>
      <w:r>
        <w:rPr>
          <w:rFonts w:cstheme="minorHAnsi"/>
        </w:rPr>
        <w:t xml:space="preserve">f the Covenant’s articles on the OPT that is under the control of Israel. Israel does not apply the Covenant to the Palestinian Territory under its control </w:t>
      </w:r>
      <w:r w:rsidR="0093525B">
        <w:rPr>
          <w:rFonts w:cstheme="minorHAnsi"/>
        </w:rPr>
        <w:t>in violations of the constant ru</w:t>
      </w:r>
      <w:r>
        <w:rPr>
          <w:rFonts w:cstheme="minorHAnsi"/>
        </w:rPr>
        <w:t xml:space="preserve">les of International Law and the reports developed by the Treaties’ Commissions and the Special UN Rapporteurs and the Secretary-General and the United Nations Commission and the advisory opinion of the International Justice Court-Hague (2004). Additionally, Israel </w:t>
      </w:r>
      <w:r w:rsidRPr="000B0365">
        <w:rPr>
          <w:rFonts w:cstheme="minorHAnsi"/>
        </w:rPr>
        <w:t>denies the applicability of the other</w:t>
      </w:r>
      <w:r w:rsidR="00912BDB" w:rsidRPr="000B0365">
        <w:rPr>
          <w:rFonts w:cstheme="minorHAnsi"/>
        </w:rPr>
        <w:t xml:space="preserve"> Core</w:t>
      </w:r>
      <w:r w:rsidRPr="000B0365">
        <w:rPr>
          <w:rFonts w:cstheme="minorHAnsi"/>
        </w:rPr>
        <w:t xml:space="preserve"> Human Rights Conventions and treaties</w:t>
      </w:r>
      <w:r w:rsidR="00912BDB" w:rsidRPr="000B0365">
        <w:rPr>
          <w:rFonts w:cstheme="minorHAnsi"/>
        </w:rPr>
        <w:t>,</w:t>
      </w:r>
      <w:r w:rsidRPr="000B0365">
        <w:rPr>
          <w:rFonts w:cstheme="minorHAnsi"/>
        </w:rPr>
        <w:t xml:space="preserve"> on the OPT. </w:t>
      </w:r>
      <w:r w:rsidR="00912BDB" w:rsidRPr="000B0365">
        <w:rPr>
          <w:rFonts w:cstheme="minorHAnsi"/>
        </w:rPr>
        <w:t>The denial of Palestinians</w:t>
      </w:r>
      <w:r w:rsidR="000E32CD">
        <w:rPr>
          <w:rFonts w:cstheme="minorHAnsi"/>
        </w:rPr>
        <w:t>'</w:t>
      </w:r>
      <w:r w:rsidR="00912BDB" w:rsidRPr="000B0365">
        <w:rPr>
          <w:rFonts w:cstheme="minorHAnsi"/>
        </w:rPr>
        <w:t xml:space="preserve"> rights in the reports submitted by the state party for the Covenant and other conventions and treaties to which it had acceded, </w:t>
      </w:r>
      <w:r w:rsidR="00912BDB" w:rsidRPr="000B0365">
        <w:rPr>
          <w:rFonts w:cstheme="minorHAnsi"/>
        </w:rPr>
        <w:lastRenderedPageBreak/>
        <w:t xml:space="preserve">serves in itself, another indication of the nature of the colonial and apartheid regime of </w:t>
      </w:r>
      <w:r w:rsidR="0093525B">
        <w:rPr>
          <w:rFonts w:cstheme="minorHAnsi"/>
        </w:rPr>
        <w:t>Israel,</w:t>
      </w:r>
      <w:r w:rsidR="00912BDB" w:rsidRPr="000B0365">
        <w:rPr>
          <w:rFonts w:cstheme="minorHAnsi"/>
        </w:rPr>
        <w:t xml:space="preserve"> according to the international conventions and treaties to eliminate apartheid.</w:t>
      </w:r>
      <w:r w:rsidR="00FF30CC" w:rsidRPr="000B0365">
        <w:rPr>
          <w:rFonts w:cstheme="minorHAnsi"/>
        </w:rPr>
        <w:t xml:space="preserve"> Apartheid is a crime </w:t>
      </w:r>
      <w:r w:rsidR="000B0365" w:rsidRPr="000B0365">
        <w:rPr>
          <w:rFonts w:cstheme="minorHAnsi"/>
        </w:rPr>
        <w:t>that requires punishment</w:t>
      </w:r>
      <w:r w:rsidR="000B0365" w:rsidRPr="000B0365">
        <w:rPr>
          <w:rFonts w:cstheme="minorHAnsi"/>
          <w:b/>
          <w:bCs/>
          <w:lang w:bidi="ar-JO"/>
        </w:rPr>
        <w:t xml:space="preserve"> </w:t>
      </w:r>
      <w:r w:rsidR="000B0365" w:rsidRPr="000B0365">
        <w:rPr>
          <w:rFonts w:cstheme="minorHAnsi"/>
          <w:lang w:bidi="ar-JO"/>
        </w:rPr>
        <w:t xml:space="preserve">according to the International Convention on Elimination </w:t>
      </w:r>
      <w:r w:rsidR="000E32CD">
        <w:rPr>
          <w:rFonts w:cstheme="minorHAnsi"/>
          <w:lang w:bidi="ar-JO"/>
        </w:rPr>
        <w:t xml:space="preserve">of </w:t>
      </w:r>
      <w:r w:rsidR="000B0365" w:rsidRPr="000B0365">
        <w:rPr>
          <w:rFonts w:cstheme="minorHAnsi"/>
          <w:lang w:bidi="ar-JO"/>
        </w:rPr>
        <w:t xml:space="preserve">all </w:t>
      </w:r>
      <w:r w:rsidR="000E32CD">
        <w:rPr>
          <w:rFonts w:cstheme="minorHAnsi"/>
          <w:lang w:bidi="ar-JO"/>
        </w:rPr>
        <w:t>F</w:t>
      </w:r>
      <w:r w:rsidR="000B0365" w:rsidRPr="000B0365">
        <w:rPr>
          <w:rFonts w:cstheme="minorHAnsi"/>
          <w:lang w:bidi="ar-JO"/>
        </w:rPr>
        <w:t>orms of Racial Discrimination. Additionally, it is criminalized according to the Statute of the International Criminal Court. The Partners urge your committee to address Israel “as a State of Zionist Colonialism and Apartheid Regime”, within the concluding remarks on its report and within the concluding remarks on the reports of the S</w:t>
      </w:r>
      <w:r w:rsidR="0093525B">
        <w:rPr>
          <w:rFonts w:cstheme="minorHAnsi"/>
          <w:lang w:bidi="ar-JO"/>
        </w:rPr>
        <w:t xml:space="preserve">oP </w:t>
      </w:r>
      <w:r w:rsidR="000B0365" w:rsidRPr="000B0365">
        <w:rPr>
          <w:rFonts w:cstheme="minorHAnsi"/>
          <w:lang w:bidi="ar-JO"/>
        </w:rPr>
        <w:t xml:space="preserve">to deliver a clear message that accords with the </w:t>
      </w:r>
      <w:r w:rsidR="000B0365">
        <w:rPr>
          <w:rFonts w:cstheme="minorHAnsi"/>
          <w:lang w:bidi="ar-JO"/>
        </w:rPr>
        <w:t>position of your committee and other international comm</w:t>
      </w:r>
      <w:r w:rsidR="004329E2">
        <w:rPr>
          <w:rFonts w:cstheme="minorHAnsi"/>
          <w:lang w:bidi="ar-JO"/>
        </w:rPr>
        <w:t xml:space="preserve">ittees. The requested message should be according to </w:t>
      </w:r>
      <w:r w:rsidR="000B0365">
        <w:rPr>
          <w:rFonts w:cstheme="minorHAnsi"/>
          <w:lang w:bidi="ar-JO"/>
        </w:rPr>
        <w:t>the positions o</w:t>
      </w:r>
      <w:r w:rsidR="000E32CD">
        <w:rPr>
          <w:rFonts w:cstheme="minorHAnsi"/>
          <w:lang w:bidi="ar-JO"/>
        </w:rPr>
        <w:t>f</w:t>
      </w:r>
      <w:r w:rsidR="000B0365">
        <w:rPr>
          <w:rFonts w:cstheme="minorHAnsi"/>
          <w:lang w:bidi="ar-JO"/>
        </w:rPr>
        <w:t xml:space="preserve"> the International Committees of Inquiry and Fact</w:t>
      </w:r>
      <w:r w:rsidR="000E32CD">
        <w:rPr>
          <w:rFonts w:cstheme="minorHAnsi"/>
          <w:lang w:bidi="ar-JO"/>
        </w:rPr>
        <w:t>-</w:t>
      </w:r>
      <w:r w:rsidR="000B0365">
        <w:rPr>
          <w:rFonts w:cstheme="minorHAnsi"/>
          <w:lang w:bidi="ar-JO"/>
        </w:rPr>
        <w:t>Finding Committees, that escaping punishment would not last forever. The Partners recommend your committee to see the destructive impact of the Israeli Colonial and Apartheid Regime, on the Palestinians</w:t>
      </w:r>
      <w:r w:rsidR="004329E2">
        <w:rPr>
          <w:rFonts w:cstheme="minorHAnsi"/>
          <w:lang w:bidi="ar-JO"/>
        </w:rPr>
        <w:t>'</w:t>
      </w:r>
      <w:r w:rsidR="000B0365">
        <w:rPr>
          <w:rFonts w:cstheme="minorHAnsi"/>
          <w:lang w:bidi="ar-JO"/>
        </w:rPr>
        <w:t xml:space="preserve"> cultural heritage and national identity. The Palestinian identity is subject to an attempt of abolishing through the various practices and policies of the occupation, as it was stated in the report of the Independent International Commission of Inquiry and the Partners demand your committee to include these issues within its concluding remarks. </w:t>
      </w:r>
    </w:p>
    <w:p w14:paraId="4990BA54" w14:textId="088AE36F" w:rsidR="000B0365" w:rsidRDefault="000B0365" w:rsidP="0093525B">
      <w:pPr>
        <w:pStyle w:val="NoSpacing"/>
        <w:jc w:val="both"/>
        <w:rPr>
          <w:rFonts w:cstheme="minorHAnsi"/>
        </w:rPr>
      </w:pPr>
      <w:r>
        <w:rPr>
          <w:rFonts w:cstheme="minorHAnsi"/>
          <w:lang w:bidi="ar-JO"/>
        </w:rPr>
        <w:t xml:space="preserve">7. </w:t>
      </w:r>
      <w:r w:rsidR="0093525B">
        <w:rPr>
          <w:rFonts w:cstheme="minorHAnsi"/>
          <w:lang w:bidi="ar-JO"/>
        </w:rPr>
        <w:t xml:space="preserve"> </w:t>
      </w:r>
      <w:r>
        <w:rPr>
          <w:rFonts w:cstheme="minorHAnsi"/>
          <w:lang w:bidi="ar-JO"/>
        </w:rPr>
        <w:t>Gaza Strip</w:t>
      </w:r>
      <w:r w:rsidR="0093525B">
        <w:rPr>
          <w:rFonts w:cstheme="minorHAnsi"/>
          <w:lang w:bidi="ar-JO"/>
        </w:rPr>
        <w:t>,</w:t>
      </w:r>
      <w:r>
        <w:rPr>
          <w:rFonts w:cstheme="minorHAnsi"/>
          <w:lang w:bidi="ar-JO"/>
        </w:rPr>
        <w:t xml:space="preserve"> </w:t>
      </w:r>
      <w:r w:rsidR="004329E2">
        <w:rPr>
          <w:rFonts w:cstheme="minorHAnsi"/>
          <w:lang w:bidi="ar-JO"/>
        </w:rPr>
        <w:t>which</w:t>
      </w:r>
      <w:r>
        <w:rPr>
          <w:rFonts w:cstheme="minorHAnsi"/>
          <w:lang w:bidi="ar-JO"/>
        </w:rPr>
        <w:t xml:space="preserve"> is no more than 360 km</w:t>
      </w:r>
      <w:r w:rsidRPr="000B0365">
        <w:rPr>
          <w:rFonts w:cstheme="minorHAnsi"/>
          <w:vertAlign w:val="superscript"/>
          <w:lang w:bidi="ar-JO"/>
        </w:rPr>
        <w:t>2</w:t>
      </w:r>
      <w:r>
        <w:rPr>
          <w:rFonts w:cstheme="minorHAnsi"/>
          <w:lang w:bidi="ar-JO"/>
        </w:rPr>
        <w:t xml:space="preserve"> and inhabited by approximately 2 million persons (most of whom are refugees), is subject to restricted siege and slow death systematic policy imposed by the occupation </w:t>
      </w:r>
      <w:r w:rsidR="004329E2">
        <w:rPr>
          <w:rFonts w:cstheme="minorHAnsi"/>
          <w:lang w:bidi="ar-JO"/>
        </w:rPr>
        <w:t>for</w:t>
      </w:r>
      <w:r>
        <w:rPr>
          <w:rFonts w:cstheme="minorHAnsi"/>
          <w:lang w:bidi="ar-JO"/>
        </w:rPr>
        <w:t xml:space="preserve"> over 16 years, in a kind of collective punishment that violates the International Law. The sieged Gaza Strip had been subject to more than 15 Israeli military aggressions using </w:t>
      </w:r>
      <w:r>
        <w:rPr>
          <w:rFonts w:cstheme="minorHAnsi"/>
        </w:rPr>
        <w:t xml:space="preserve">air force and other heavy weapons. The year 2023 alone, witnessed 3 attacks. The result was </w:t>
      </w:r>
      <w:r w:rsidR="004329E2">
        <w:rPr>
          <w:rFonts w:cstheme="minorHAnsi"/>
        </w:rPr>
        <w:t xml:space="preserve">the </w:t>
      </w:r>
      <w:r>
        <w:rPr>
          <w:rFonts w:cstheme="minorHAnsi"/>
        </w:rPr>
        <w:t xml:space="preserve">killing </w:t>
      </w:r>
      <w:r w:rsidR="004329E2">
        <w:rPr>
          <w:rFonts w:cstheme="minorHAnsi"/>
        </w:rPr>
        <w:t xml:space="preserve">of </w:t>
      </w:r>
      <w:r>
        <w:rPr>
          <w:rFonts w:cstheme="minorHAnsi"/>
        </w:rPr>
        <w:t>thousands of Palestinians including women and children as well as thousands of injured persons and hundreds of persons who were caused disability</w:t>
      </w:r>
      <w:r w:rsidR="0093525B">
        <w:rPr>
          <w:rFonts w:cstheme="minorHAnsi"/>
        </w:rPr>
        <w:t>.</w:t>
      </w:r>
      <w:r>
        <w:rPr>
          <w:rFonts w:cstheme="minorHAnsi"/>
        </w:rPr>
        <w:t xml:space="preserve"> The attacks of </w:t>
      </w:r>
      <w:r w:rsidR="0093525B">
        <w:rPr>
          <w:rFonts w:cstheme="minorHAnsi"/>
        </w:rPr>
        <w:t xml:space="preserve">Israel </w:t>
      </w:r>
      <w:r>
        <w:rPr>
          <w:rFonts w:cstheme="minorHAnsi"/>
        </w:rPr>
        <w:t xml:space="preserve">resulted in </w:t>
      </w:r>
      <w:r w:rsidR="009B4C5B">
        <w:rPr>
          <w:rFonts w:cstheme="minorHAnsi"/>
        </w:rPr>
        <w:t xml:space="preserve">the </w:t>
      </w:r>
      <w:r w:rsidR="0093525B">
        <w:rPr>
          <w:rFonts w:cstheme="minorHAnsi"/>
        </w:rPr>
        <w:t>mass</w:t>
      </w:r>
      <w:r>
        <w:rPr>
          <w:rFonts w:cstheme="minorHAnsi"/>
        </w:rPr>
        <w:t xml:space="preserve"> destruction of the infrastructure that affected the various sectors, including the cultural sector</w:t>
      </w:r>
      <w:r w:rsidR="0093525B">
        <w:rPr>
          <w:rFonts w:cstheme="minorHAnsi"/>
        </w:rPr>
        <w:t>,</w:t>
      </w:r>
      <w:r>
        <w:rPr>
          <w:rFonts w:cstheme="minorHAnsi"/>
        </w:rPr>
        <w:t xml:space="preserve"> </w:t>
      </w:r>
      <w:r w:rsidR="004329E2">
        <w:rPr>
          <w:rFonts w:cstheme="minorHAnsi"/>
        </w:rPr>
        <w:t>which</w:t>
      </w:r>
      <w:r>
        <w:rPr>
          <w:rFonts w:cstheme="minorHAnsi"/>
        </w:rPr>
        <w:t xml:space="preserve"> was physically harmed. The Israeli aggressions stand as war crimes and crimes against humanity, according to the International Criminal Law. Several international reports and the reports of UN commissions affirmed that </w:t>
      </w:r>
      <w:r w:rsidR="004329E2">
        <w:rPr>
          <w:rFonts w:cstheme="minorHAnsi"/>
        </w:rPr>
        <w:t>the seizing</w:t>
      </w:r>
      <w:r>
        <w:rPr>
          <w:rFonts w:cstheme="minorHAnsi"/>
        </w:rPr>
        <w:t xml:space="preserve"> Gaza Strip is not appropriate for human beings living and emphasized the necessity to lift the siege imposed on </w:t>
      </w:r>
      <w:r w:rsidR="004329E2">
        <w:rPr>
          <w:rFonts w:cstheme="minorHAnsi"/>
        </w:rPr>
        <w:t xml:space="preserve">the </w:t>
      </w:r>
      <w:r>
        <w:rPr>
          <w:rFonts w:cstheme="minorHAnsi"/>
        </w:rPr>
        <w:t>Gaza Strip by the Israeli occupation</w:t>
      </w:r>
      <w:r w:rsidR="0093525B">
        <w:rPr>
          <w:rFonts w:cstheme="minorHAnsi"/>
        </w:rPr>
        <w:t>,</w:t>
      </w:r>
      <w:r>
        <w:rPr>
          <w:rFonts w:cstheme="minorHAnsi"/>
        </w:rPr>
        <w:t xml:space="preserve"> taking into consideration that such </w:t>
      </w:r>
      <w:r w:rsidR="004329E2">
        <w:rPr>
          <w:rFonts w:cstheme="minorHAnsi"/>
        </w:rPr>
        <w:t xml:space="preserve">a </w:t>
      </w:r>
      <w:r>
        <w:rPr>
          <w:rFonts w:cstheme="minorHAnsi"/>
        </w:rPr>
        <w:t xml:space="preserve">siege violates the International Law itself. The internal Political division between Palestinians increased the suffering of people and caused </w:t>
      </w:r>
      <w:r w:rsidR="004329E2">
        <w:rPr>
          <w:rFonts w:cstheme="minorHAnsi"/>
        </w:rPr>
        <w:t xml:space="preserve">the </w:t>
      </w:r>
      <w:r>
        <w:rPr>
          <w:rFonts w:cstheme="minorHAnsi"/>
        </w:rPr>
        <w:t xml:space="preserve">destruction of the entire human rights set in </w:t>
      </w:r>
      <w:r w:rsidR="009B4C5B">
        <w:rPr>
          <w:rFonts w:cstheme="minorHAnsi"/>
        </w:rPr>
        <w:t xml:space="preserve">the </w:t>
      </w:r>
      <w:r>
        <w:rPr>
          <w:rFonts w:cstheme="minorHAnsi"/>
        </w:rPr>
        <w:t>Gaza Strip and increased the percentages of unemployment and poverty and los</w:t>
      </w:r>
      <w:r w:rsidR="004329E2">
        <w:rPr>
          <w:rFonts w:cstheme="minorHAnsi"/>
        </w:rPr>
        <w:t>s of</w:t>
      </w:r>
      <w:r>
        <w:rPr>
          <w:rFonts w:cstheme="minorHAnsi"/>
        </w:rPr>
        <w:t xml:space="preserve"> hope of the possibility for a decent life by the residents of </w:t>
      </w:r>
      <w:r w:rsidR="004329E2">
        <w:rPr>
          <w:rFonts w:cstheme="minorHAnsi"/>
        </w:rPr>
        <w:t xml:space="preserve">the </w:t>
      </w:r>
      <w:r>
        <w:rPr>
          <w:rFonts w:cstheme="minorHAnsi"/>
        </w:rPr>
        <w:t xml:space="preserve">Gaza Strip. </w:t>
      </w:r>
    </w:p>
    <w:p w14:paraId="7A797BAC" w14:textId="1104C8BD" w:rsidR="00137CB0" w:rsidRDefault="000B0365" w:rsidP="009B4C5B">
      <w:pPr>
        <w:pStyle w:val="NoSpacing"/>
        <w:jc w:val="both"/>
        <w:rPr>
          <w:rFonts w:cstheme="minorHAnsi"/>
        </w:rPr>
      </w:pPr>
      <w:r>
        <w:rPr>
          <w:rFonts w:cstheme="minorHAnsi"/>
        </w:rPr>
        <w:t>8.   The partners</w:t>
      </w:r>
      <w:r w:rsidR="00C86CF0">
        <w:rPr>
          <w:rFonts w:cstheme="minorHAnsi"/>
        </w:rPr>
        <w:t xml:space="preserve"> urge you</w:t>
      </w:r>
      <w:r w:rsidR="004329E2">
        <w:rPr>
          <w:rFonts w:cstheme="minorHAnsi"/>
        </w:rPr>
        <w:t>r</w:t>
      </w:r>
      <w:r w:rsidR="00C86CF0">
        <w:rPr>
          <w:rFonts w:cstheme="minorHAnsi"/>
        </w:rPr>
        <w:t xml:space="preserve"> committee to give special attention to the dire situation of the economic, social, and cultural rights in </w:t>
      </w:r>
      <w:r w:rsidR="009B4C5B">
        <w:rPr>
          <w:rFonts w:cstheme="minorHAnsi"/>
        </w:rPr>
        <w:t xml:space="preserve">the </w:t>
      </w:r>
      <w:r w:rsidR="00C86CF0">
        <w:rPr>
          <w:rFonts w:cstheme="minorHAnsi"/>
        </w:rPr>
        <w:t xml:space="preserve">Gaza Strip and the impact of such </w:t>
      </w:r>
      <w:r w:rsidR="009B4C5B">
        <w:rPr>
          <w:rFonts w:cstheme="minorHAnsi"/>
        </w:rPr>
        <w:t xml:space="preserve">a </w:t>
      </w:r>
      <w:r w:rsidR="00C86CF0">
        <w:rPr>
          <w:rFonts w:cstheme="minorHAnsi"/>
        </w:rPr>
        <w:t>situation on the cultural sector (physically and non-physically)</w:t>
      </w:r>
      <w:r w:rsidR="00137CB0">
        <w:rPr>
          <w:rFonts w:cstheme="minorHAnsi"/>
        </w:rPr>
        <w:t>. Additionally, your committee is invited to see the impact o</w:t>
      </w:r>
      <w:r w:rsidR="004329E2">
        <w:rPr>
          <w:rFonts w:cstheme="minorHAnsi"/>
        </w:rPr>
        <w:t>f</w:t>
      </w:r>
      <w:r w:rsidR="00137CB0">
        <w:rPr>
          <w:rFonts w:cstheme="minorHAnsi"/>
        </w:rPr>
        <w:t xml:space="preserve"> Israeli practices on the cultural institutions active in </w:t>
      </w:r>
      <w:r w:rsidR="009B4C5B">
        <w:rPr>
          <w:rFonts w:cstheme="minorHAnsi"/>
        </w:rPr>
        <w:t xml:space="preserve">the </w:t>
      </w:r>
      <w:r w:rsidR="00137CB0">
        <w:rPr>
          <w:rFonts w:cstheme="minorHAnsi"/>
        </w:rPr>
        <w:t>Gaza Strip. The Partners invite your esteemed committee to highlight the Apartheid Regime that Israel applies against Palestinians. The Partners demand your committee to request the S</w:t>
      </w:r>
      <w:r w:rsidR="0093525B">
        <w:rPr>
          <w:rFonts w:cstheme="minorHAnsi"/>
        </w:rPr>
        <w:t xml:space="preserve">oP </w:t>
      </w:r>
      <w:r w:rsidR="00137CB0">
        <w:rPr>
          <w:rFonts w:cstheme="minorHAnsi"/>
        </w:rPr>
        <w:t xml:space="preserve">to provide detailed information and classified statistics about the economic, social, and cultural rights in </w:t>
      </w:r>
      <w:r w:rsidR="009B4C5B">
        <w:rPr>
          <w:rFonts w:cstheme="minorHAnsi"/>
        </w:rPr>
        <w:t xml:space="preserve">the </w:t>
      </w:r>
      <w:r w:rsidR="00137CB0">
        <w:rPr>
          <w:rFonts w:cstheme="minorHAnsi"/>
        </w:rPr>
        <w:t xml:space="preserve">Gaza Strip. Additionally, to </w:t>
      </w:r>
      <w:r w:rsidR="009B4C5B">
        <w:rPr>
          <w:rFonts w:cstheme="minorHAnsi"/>
        </w:rPr>
        <w:t>urge</w:t>
      </w:r>
      <w:r w:rsidR="00137CB0">
        <w:rPr>
          <w:rFonts w:cstheme="minorHAnsi"/>
        </w:rPr>
        <w:t xml:space="preserve"> the S</w:t>
      </w:r>
      <w:r w:rsidR="0093525B">
        <w:rPr>
          <w:rFonts w:cstheme="minorHAnsi"/>
        </w:rPr>
        <w:t xml:space="preserve">oP </w:t>
      </w:r>
      <w:r w:rsidR="00137CB0">
        <w:rPr>
          <w:rFonts w:cstheme="minorHAnsi"/>
        </w:rPr>
        <w:t xml:space="preserve">to highlight the invested efforts, including assigning budgets, to enable the residents of </w:t>
      </w:r>
      <w:r w:rsidR="00A65D1F">
        <w:rPr>
          <w:rFonts w:cstheme="minorHAnsi"/>
        </w:rPr>
        <w:t xml:space="preserve">the </w:t>
      </w:r>
      <w:r w:rsidR="00137CB0">
        <w:rPr>
          <w:rFonts w:cstheme="minorHAnsi"/>
        </w:rPr>
        <w:t>Gaza Strip to enjoy the rights endorsed within the Covenant. Furthermore, to ask the S</w:t>
      </w:r>
      <w:r w:rsidR="0093525B">
        <w:rPr>
          <w:rFonts w:cstheme="minorHAnsi"/>
        </w:rPr>
        <w:t xml:space="preserve">oP </w:t>
      </w:r>
      <w:r w:rsidR="00137CB0">
        <w:rPr>
          <w:rFonts w:cstheme="minorHAnsi"/>
        </w:rPr>
        <w:t xml:space="preserve">to present the efforts invested to protect and empower the cultural sector and institutions in </w:t>
      </w:r>
      <w:r w:rsidR="00A65D1F">
        <w:rPr>
          <w:rFonts w:cstheme="minorHAnsi"/>
        </w:rPr>
        <w:t xml:space="preserve">the </w:t>
      </w:r>
      <w:r w:rsidR="00137CB0">
        <w:rPr>
          <w:rFonts w:cstheme="minorHAnsi"/>
        </w:rPr>
        <w:t xml:space="preserve">Gaza Strip, as well as </w:t>
      </w:r>
      <w:r w:rsidR="00A65D1F">
        <w:rPr>
          <w:rFonts w:cstheme="minorHAnsi"/>
        </w:rPr>
        <w:t>highlight</w:t>
      </w:r>
      <w:r w:rsidR="00137CB0">
        <w:rPr>
          <w:rFonts w:cstheme="minorHAnsi"/>
        </w:rPr>
        <w:t xml:space="preserve"> the progress made on the legislative, institutional, and practical levels regarding maintaining the cultural sector in </w:t>
      </w:r>
      <w:r w:rsidR="00A65D1F">
        <w:rPr>
          <w:rFonts w:cstheme="minorHAnsi"/>
        </w:rPr>
        <w:t xml:space="preserve">the </w:t>
      </w:r>
      <w:r w:rsidR="00137CB0">
        <w:rPr>
          <w:rFonts w:cstheme="minorHAnsi"/>
        </w:rPr>
        <w:t xml:space="preserve">Gaza Strip. </w:t>
      </w:r>
    </w:p>
    <w:p w14:paraId="7F95A1FE" w14:textId="77777777" w:rsidR="00572A3F" w:rsidRDefault="00572A3F" w:rsidP="009B4C5B">
      <w:pPr>
        <w:pStyle w:val="NoSpacing"/>
        <w:jc w:val="both"/>
        <w:rPr>
          <w:rFonts w:cstheme="minorHAnsi"/>
        </w:rPr>
      </w:pPr>
    </w:p>
    <w:p w14:paraId="502E2CA7" w14:textId="5274E682" w:rsidR="00137CB0" w:rsidRPr="0093525B" w:rsidRDefault="00137CB0" w:rsidP="000645BB">
      <w:pPr>
        <w:pStyle w:val="NoSpacing"/>
        <w:jc w:val="both"/>
        <w:rPr>
          <w:rFonts w:cstheme="minorHAnsi"/>
          <w:b/>
          <w:bCs/>
        </w:rPr>
      </w:pPr>
      <w:r w:rsidRPr="0093525B">
        <w:rPr>
          <w:rFonts w:cstheme="minorHAnsi"/>
          <w:b/>
          <w:bCs/>
        </w:rPr>
        <w:t xml:space="preserve">3. The Position of the Covenant within the Palestinian Legal </w:t>
      </w:r>
      <w:r w:rsidR="00FE1DFF">
        <w:rPr>
          <w:rFonts w:cstheme="minorHAnsi"/>
          <w:b/>
          <w:bCs/>
        </w:rPr>
        <w:t>Framework</w:t>
      </w:r>
      <w:r w:rsidRPr="0093525B">
        <w:rPr>
          <w:rFonts w:cstheme="minorHAnsi"/>
          <w:b/>
          <w:bCs/>
        </w:rPr>
        <w:t>:</w:t>
      </w:r>
    </w:p>
    <w:p w14:paraId="5EF81929" w14:textId="69BBF9C4" w:rsidR="000B0365" w:rsidRDefault="00137CB0" w:rsidP="000519B8">
      <w:pPr>
        <w:pStyle w:val="NoSpacing"/>
        <w:jc w:val="both"/>
        <w:rPr>
          <w:rFonts w:cstheme="minorHAnsi"/>
        </w:rPr>
      </w:pPr>
      <w:r>
        <w:rPr>
          <w:rFonts w:cstheme="minorHAnsi"/>
        </w:rPr>
        <w:t xml:space="preserve">9.  The </w:t>
      </w:r>
      <w:r w:rsidR="0093525B">
        <w:rPr>
          <w:rFonts w:cstheme="minorHAnsi"/>
        </w:rPr>
        <w:t xml:space="preserve">ICESCR hadn’t </w:t>
      </w:r>
      <w:r>
        <w:rPr>
          <w:rFonts w:cstheme="minorHAnsi"/>
        </w:rPr>
        <w:t>been published in the Official Gazette yet, though the S</w:t>
      </w:r>
      <w:r w:rsidR="0093525B">
        <w:rPr>
          <w:rFonts w:cstheme="minorHAnsi"/>
        </w:rPr>
        <w:t xml:space="preserve">oP </w:t>
      </w:r>
      <w:r>
        <w:rPr>
          <w:rFonts w:cstheme="minorHAnsi"/>
        </w:rPr>
        <w:t>acceded to</w:t>
      </w:r>
      <w:r w:rsidR="0093525B">
        <w:rPr>
          <w:rFonts w:cstheme="minorHAnsi"/>
        </w:rPr>
        <w:t xml:space="preserve"> it </w:t>
      </w:r>
      <w:r w:rsidR="00A65D1F">
        <w:rPr>
          <w:rFonts w:cstheme="minorHAnsi"/>
        </w:rPr>
        <w:t xml:space="preserve">in </w:t>
      </w:r>
      <w:r w:rsidR="0093525B">
        <w:rPr>
          <w:rFonts w:cstheme="minorHAnsi"/>
        </w:rPr>
        <w:t>early</w:t>
      </w:r>
      <w:r>
        <w:rPr>
          <w:rFonts w:cstheme="minorHAnsi"/>
        </w:rPr>
        <w:t xml:space="preserve"> April 2014.</w:t>
      </w:r>
      <w:r w:rsidR="001C3FDF">
        <w:rPr>
          <w:rFonts w:cstheme="minorHAnsi"/>
        </w:rPr>
        <w:t xml:space="preserve"> The S</w:t>
      </w:r>
      <w:r w:rsidR="0093525B">
        <w:rPr>
          <w:rFonts w:cstheme="minorHAnsi"/>
        </w:rPr>
        <w:t xml:space="preserve">oP </w:t>
      </w:r>
      <w:r w:rsidR="001C3FDF">
        <w:rPr>
          <w:rFonts w:cstheme="minorHAnsi"/>
        </w:rPr>
        <w:t xml:space="preserve">published the Convention to Eliminate all </w:t>
      </w:r>
      <w:r w:rsidR="00A65D1F">
        <w:rPr>
          <w:rFonts w:cstheme="minorHAnsi"/>
        </w:rPr>
        <w:t>Forms</w:t>
      </w:r>
      <w:r w:rsidR="001C3FDF">
        <w:rPr>
          <w:rFonts w:cstheme="minorHAnsi"/>
        </w:rPr>
        <w:t xml:space="preserve"> of Racial Discrimination (CERD), to which it had exceeded, in the Official Gazette but </w:t>
      </w:r>
      <w:r w:rsidR="0093525B">
        <w:rPr>
          <w:rFonts w:cstheme="minorHAnsi"/>
        </w:rPr>
        <w:t xml:space="preserve">hadn’t </w:t>
      </w:r>
      <w:r w:rsidR="00A65D1F">
        <w:rPr>
          <w:rFonts w:cstheme="minorHAnsi"/>
        </w:rPr>
        <w:t>published</w:t>
      </w:r>
      <w:r w:rsidR="001C3FDF">
        <w:rPr>
          <w:rFonts w:cstheme="minorHAnsi"/>
        </w:rPr>
        <w:t xml:space="preserve"> the Covenant yet. CERD was published in the official gazette according to the decree</w:t>
      </w:r>
      <w:r w:rsidR="0093525B">
        <w:rPr>
          <w:rFonts w:cstheme="minorHAnsi"/>
        </w:rPr>
        <w:t>-</w:t>
      </w:r>
      <w:r w:rsidR="001C3FDF">
        <w:rPr>
          <w:rFonts w:cstheme="minorHAnsi"/>
        </w:rPr>
        <w:t xml:space="preserve">law (14/ 2021) that was published in the official gazette on 26/5/2021. The Convention of Child </w:t>
      </w:r>
      <w:r w:rsidR="00A65D1F">
        <w:rPr>
          <w:rFonts w:cstheme="minorHAnsi"/>
        </w:rPr>
        <w:t>Rights</w:t>
      </w:r>
      <w:r w:rsidR="001C3FDF">
        <w:rPr>
          <w:rFonts w:cstheme="minorHAnsi"/>
        </w:rPr>
        <w:t xml:space="preserve"> (CRC) was also published in the official gazette according to </w:t>
      </w:r>
      <w:r w:rsidR="001C3FDF">
        <w:rPr>
          <w:rFonts w:cstheme="minorHAnsi"/>
        </w:rPr>
        <w:lastRenderedPageBreak/>
        <w:t xml:space="preserve">the </w:t>
      </w:r>
      <w:r w:rsidR="0093525B">
        <w:rPr>
          <w:rFonts w:cstheme="minorHAnsi"/>
        </w:rPr>
        <w:t xml:space="preserve">decree-law </w:t>
      </w:r>
      <w:r w:rsidR="001C3FDF">
        <w:rPr>
          <w:rFonts w:cstheme="minorHAnsi"/>
        </w:rPr>
        <w:t xml:space="preserve">(25/ 2021) that was published in the official gazette on 27/7/2021. Other </w:t>
      </w:r>
      <w:r w:rsidR="0093525B">
        <w:rPr>
          <w:rFonts w:cstheme="minorHAnsi"/>
        </w:rPr>
        <w:t>conventions,</w:t>
      </w:r>
      <w:r w:rsidR="001C3FDF">
        <w:rPr>
          <w:rFonts w:cstheme="minorHAnsi"/>
        </w:rPr>
        <w:t xml:space="preserve"> to which the S</w:t>
      </w:r>
      <w:r w:rsidR="0093525B">
        <w:rPr>
          <w:rFonts w:cstheme="minorHAnsi"/>
        </w:rPr>
        <w:t xml:space="preserve">oP </w:t>
      </w:r>
      <w:r w:rsidR="001C3FDF">
        <w:rPr>
          <w:rFonts w:cstheme="minorHAnsi"/>
        </w:rPr>
        <w:t>had acceded, were also published in the official gazette. It is unjustified that the Covenant had not been published</w:t>
      </w:r>
      <w:r w:rsidR="0093525B">
        <w:rPr>
          <w:rFonts w:cstheme="minorHAnsi"/>
        </w:rPr>
        <w:t xml:space="preserve"> </w:t>
      </w:r>
      <w:r w:rsidR="001C3FDF">
        <w:rPr>
          <w:rFonts w:cstheme="minorHAnsi"/>
        </w:rPr>
        <w:t>till now and it means that the rights endorsed in it, including the rights under Article 15 (cultural rights)</w:t>
      </w:r>
      <w:r w:rsidR="0093525B">
        <w:rPr>
          <w:rFonts w:cstheme="minorHAnsi"/>
        </w:rPr>
        <w:t>,</w:t>
      </w:r>
      <w:r w:rsidR="001C3FDF">
        <w:rPr>
          <w:rFonts w:cstheme="minorHAnsi"/>
        </w:rPr>
        <w:t xml:space="preserve"> are not obligatory to the S</w:t>
      </w:r>
      <w:r w:rsidR="0093525B">
        <w:rPr>
          <w:rFonts w:cstheme="minorHAnsi"/>
        </w:rPr>
        <w:t xml:space="preserve">oP </w:t>
      </w:r>
      <w:r w:rsidR="001C3FDF">
        <w:rPr>
          <w:rFonts w:cstheme="minorHAnsi"/>
        </w:rPr>
        <w:t>though it had acceded to the Covenant 9 years ago. Moreover, the S</w:t>
      </w:r>
      <w:r w:rsidR="0093525B">
        <w:rPr>
          <w:rFonts w:cstheme="minorHAnsi"/>
        </w:rPr>
        <w:t xml:space="preserve">oP </w:t>
      </w:r>
      <w:r w:rsidR="001C3FDF">
        <w:rPr>
          <w:rFonts w:cstheme="minorHAnsi"/>
        </w:rPr>
        <w:t>had not yet acceded to the optional protocol annexed to the Covenant. Your committee asked the state party (in item 1 of the List of Issues)</w:t>
      </w:r>
      <w:r>
        <w:rPr>
          <w:rFonts w:cstheme="minorHAnsi"/>
        </w:rPr>
        <w:t xml:space="preserve"> </w:t>
      </w:r>
      <w:r w:rsidR="001C3FDF">
        <w:rPr>
          <w:rFonts w:cstheme="minorHAnsi"/>
        </w:rPr>
        <w:t xml:space="preserve">to “explain the position of the Covenant within the local legal set and explain the legal effect of the Constitutional Court two Resolution: (4/ 2017) dated 19/11/2017 and Resolution (5/ 2017), dated 12/3/2018.  </w:t>
      </w:r>
      <w:r w:rsidR="00572A3F">
        <w:rPr>
          <w:rFonts w:cstheme="minorHAnsi"/>
        </w:rPr>
        <w:t>Additionally, asked</w:t>
      </w:r>
      <w:r w:rsidR="001C3FDF">
        <w:rPr>
          <w:rFonts w:cstheme="minorHAnsi"/>
        </w:rPr>
        <w:t xml:space="preserve"> the state party to present </w:t>
      </w:r>
      <w:r w:rsidR="00A65D1F">
        <w:rPr>
          <w:rFonts w:cstheme="minorHAnsi"/>
        </w:rPr>
        <w:t>proof</w:t>
      </w:r>
      <w:r w:rsidR="001C3FDF">
        <w:rPr>
          <w:rFonts w:cstheme="minorHAnsi"/>
        </w:rPr>
        <w:t xml:space="preserve"> of referring to the </w:t>
      </w:r>
      <w:r w:rsidR="00A65D1F">
        <w:rPr>
          <w:rFonts w:cstheme="minorHAnsi"/>
        </w:rPr>
        <w:t>Articles</w:t>
      </w:r>
      <w:r w:rsidR="001C3FDF">
        <w:rPr>
          <w:rFonts w:cstheme="minorHAnsi"/>
        </w:rPr>
        <w:t xml:space="preserve"> of the Covenant in front of the courts in the West Bank and Gaza Strip or proofs that t</w:t>
      </w:r>
      <w:r w:rsidR="0093525B">
        <w:rPr>
          <w:rFonts w:cstheme="minorHAnsi"/>
        </w:rPr>
        <w:t>hese courts ruled to a</w:t>
      </w:r>
      <w:r w:rsidR="001C3FDF">
        <w:rPr>
          <w:rFonts w:cstheme="minorHAnsi"/>
        </w:rPr>
        <w:t xml:space="preserve">pply the Articles of the Covenant”. The state party replied to your committee in items 4 and 5 that the conclusion of the Constitutional Court about the necessity to respect the national, religious, and cultural identity of Palestinians, does not stand as a restriction on abiding with the Articles of the Covenant or its supremacy over national legal set. According to the response of the state party, the resolutions of the Constitutional Court mean that the issue </w:t>
      </w:r>
      <w:r w:rsidR="0093525B">
        <w:rPr>
          <w:rFonts w:cstheme="minorHAnsi"/>
        </w:rPr>
        <w:t xml:space="preserve">is </w:t>
      </w:r>
      <w:r w:rsidR="001C3FDF">
        <w:rPr>
          <w:rFonts w:cstheme="minorHAnsi"/>
        </w:rPr>
        <w:t>left to the national judiciary system to decide regarding the Articles of the Covenant and that the international conventions and treaties were referred to in front of the national courts.  The Partners affirm here that the restrictions imposed by the Constitutional Court</w:t>
      </w:r>
      <w:r w:rsidR="00C151B6">
        <w:rPr>
          <w:rFonts w:cstheme="minorHAnsi"/>
        </w:rPr>
        <w:t xml:space="preserve"> hallows the international conventions</w:t>
      </w:r>
      <w:r w:rsidR="0093525B">
        <w:rPr>
          <w:rFonts w:cstheme="minorHAnsi"/>
        </w:rPr>
        <w:t xml:space="preserve">, including the Covenant, from their contents. </w:t>
      </w:r>
      <w:r w:rsidR="00C151B6">
        <w:rPr>
          <w:rFonts w:cstheme="minorHAnsi"/>
        </w:rPr>
        <w:t>Such act violates the Palestinian</w:t>
      </w:r>
      <w:r w:rsidR="0093525B">
        <w:rPr>
          <w:rFonts w:cstheme="minorHAnsi"/>
        </w:rPr>
        <w:t xml:space="preserve"> Basic Law</w:t>
      </w:r>
      <w:r w:rsidR="0051366D">
        <w:rPr>
          <w:rFonts w:cstheme="minorHAnsi"/>
        </w:rPr>
        <w:t xml:space="preserve"> and the Constitutional Court Law (3/ 2006), which does not authorize the Court for such </w:t>
      </w:r>
      <w:r w:rsidR="00DA6950">
        <w:rPr>
          <w:rFonts w:cstheme="minorHAnsi"/>
        </w:rPr>
        <w:t xml:space="preserve">a </w:t>
      </w:r>
      <w:r w:rsidR="0051366D">
        <w:rPr>
          <w:rFonts w:cstheme="minorHAnsi"/>
        </w:rPr>
        <w:t xml:space="preserve">role.  No judiciary decision had been issued by any Palestinian court based on the rules and Articles of the Covenant. Additionally, there is no any judiciary decision that rules to protect the cultural rights and the freedom of cultural activities, or the cultural activists, that witnessed profound violations, especially during the Summer of 2022. The Partners </w:t>
      </w:r>
      <w:r w:rsidR="00572A3F">
        <w:rPr>
          <w:rFonts w:cstheme="minorHAnsi"/>
        </w:rPr>
        <w:t>ask your</w:t>
      </w:r>
      <w:r w:rsidR="0051366D">
        <w:rPr>
          <w:rFonts w:cstheme="minorHAnsi"/>
        </w:rPr>
        <w:t xml:space="preserve"> committee to demand the S</w:t>
      </w:r>
      <w:r w:rsidR="0093525B">
        <w:rPr>
          <w:rFonts w:cstheme="minorHAnsi"/>
        </w:rPr>
        <w:t xml:space="preserve">oP </w:t>
      </w:r>
      <w:r w:rsidR="0051366D">
        <w:rPr>
          <w:rFonts w:cstheme="minorHAnsi"/>
        </w:rPr>
        <w:t>to start, immediately, revising the rulings of the Constitutional Court regarding implementing the state party’s commitments under the international conventions and treaties. Additionally, to ask the state party to present the judiciary rulings to protect the cultural rights and maintain the freedom of those working in the cul</w:t>
      </w:r>
      <w:r w:rsidR="0093525B">
        <w:rPr>
          <w:rFonts w:cstheme="minorHAnsi"/>
        </w:rPr>
        <w:t>tural activities, based on the A</w:t>
      </w:r>
      <w:r w:rsidR="0051366D">
        <w:rPr>
          <w:rFonts w:cstheme="minorHAnsi"/>
        </w:rPr>
        <w:t xml:space="preserve">rticles of the Covenant as well as presenting the measures taken to implement the Covenant on ground. The Partners urge your committee to demand the state party to publish the Covenant in the official gazette and highlight the mechanisms and procedures taken to ensure </w:t>
      </w:r>
      <w:r w:rsidR="0093525B">
        <w:rPr>
          <w:rFonts w:cstheme="minorHAnsi"/>
        </w:rPr>
        <w:t xml:space="preserve">its </w:t>
      </w:r>
      <w:r w:rsidR="0051366D">
        <w:rPr>
          <w:rFonts w:cstheme="minorHAnsi"/>
        </w:rPr>
        <w:t>effective implementation</w:t>
      </w:r>
      <w:r w:rsidR="0093525B">
        <w:rPr>
          <w:rFonts w:cstheme="minorHAnsi"/>
        </w:rPr>
        <w:t>.</w:t>
      </w:r>
      <w:r w:rsidR="0051366D">
        <w:rPr>
          <w:rFonts w:cstheme="minorHAnsi"/>
        </w:rPr>
        <w:t xml:space="preserve"> </w:t>
      </w:r>
    </w:p>
    <w:p w14:paraId="73477202" w14:textId="77777777" w:rsidR="00572A3F" w:rsidRDefault="00572A3F" w:rsidP="000519B8">
      <w:pPr>
        <w:pStyle w:val="NoSpacing"/>
        <w:jc w:val="both"/>
        <w:rPr>
          <w:rFonts w:cstheme="minorHAnsi"/>
        </w:rPr>
      </w:pPr>
    </w:p>
    <w:p w14:paraId="543053C7" w14:textId="5BEF16EC" w:rsidR="0051366D" w:rsidRDefault="0051366D" w:rsidP="000645BB">
      <w:pPr>
        <w:pStyle w:val="NoSpacing"/>
        <w:jc w:val="both"/>
        <w:rPr>
          <w:rFonts w:cstheme="minorHAnsi"/>
        </w:rPr>
      </w:pPr>
      <w:r w:rsidRPr="005E289F">
        <w:rPr>
          <w:rFonts w:cstheme="minorHAnsi"/>
          <w:b/>
          <w:bCs/>
        </w:rPr>
        <w:t>4. T</w:t>
      </w:r>
      <w:r w:rsidRPr="0093525B">
        <w:rPr>
          <w:rFonts w:cstheme="minorHAnsi"/>
          <w:b/>
          <w:bCs/>
        </w:rPr>
        <w:t>he Apartheid Regime Affects the Cultural Sector</w:t>
      </w:r>
      <w:r>
        <w:rPr>
          <w:rFonts w:cstheme="minorHAnsi"/>
        </w:rPr>
        <w:t>:</w:t>
      </w:r>
    </w:p>
    <w:p w14:paraId="364EE8E5" w14:textId="0D5CD6F2" w:rsidR="00512D2E" w:rsidRDefault="0051366D" w:rsidP="00DA6950">
      <w:pPr>
        <w:pStyle w:val="NoSpacing"/>
        <w:jc w:val="both"/>
        <w:rPr>
          <w:rFonts w:cstheme="minorHAnsi"/>
        </w:rPr>
      </w:pPr>
      <w:r>
        <w:rPr>
          <w:rFonts w:cstheme="minorHAnsi"/>
        </w:rPr>
        <w:t>10. The Palestinian Cultural Heritage (</w:t>
      </w:r>
      <w:r w:rsidR="00A60B95">
        <w:rPr>
          <w:rFonts w:cstheme="minorHAnsi"/>
        </w:rPr>
        <w:t>both tangible and intangible</w:t>
      </w:r>
      <w:r>
        <w:rPr>
          <w:rFonts w:cstheme="minorHAnsi"/>
        </w:rPr>
        <w:t>), is subject to wide systematic violations by the Israeli authorities and the militias of the Israeli settlers. Such violations threaten the Palestinian archeological sites, cultural institutions, and Palestinian civilians themselves. UNESCO included fo</w:t>
      </w:r>
      <w:r w:rsidR="006C0B23">
        <w:rPr>
          <w:rFonts w:cstheme="minorHAnsi"/>
        </w:rPr>
        <w:t>u</w:t>
      </w:r>
      <w:r>
        <w:rPr>
          <w:rFonts w:cstheme="minorHAnsi"/>
        </w:rPr>
        <w:t xml:space="preserve">r Palestinian localities on the World Heritage List: </w:t>
      </w:r>
      <w:r w:rsidR="00A60B95">
        <w:rPr>
          <w:rFonts w:cstheme="minorHAnsi"/>
        </w:rPr>
        <w:t>Hebron/ Al-Khalil Old Town</w:t>
      </w:r>
      <w:r>
        <w:rPr>
          <w:rFonts w:cstheme="minorHAnsi"/>
        </w:rPr>
        <w:t xml:space="preserve"> (2017), Bethlehem, </w:t>
      </w:r>
      <w:r w:rsidR="00A60B95">
        <w:rPr>
          <w:rFonts w:cstheme="minorHAnsi"/>
        </w:rPr>
        <w:t>Birthplace of Jesus: Church of Nativity and Pilgrimage Route</w:t>
      </w:r>
      <w:r>
        <w:rPr>
          <w:rFonts w:cstheme="minorHAnsi"/>
        </w:rPr>
        <w:t xml:space="preserve"> (2012), and Bat</w:t>
      </w:r>
      <w:r w:rsidR="00A60B95">
        <w:rPr>
          <w:rFonts w:cstheme="minorHAnsi"/>
        </w:rPr>
        <w:t>ti</w:t>
      </w:r>
      <w:r>
        <w:rPr>
          <w:rFonts w:cstheme="minorHAnsi"/>
        </w:rPr>
        <w:t xml:space="preserve">r: Palestine the </w:t>
      </w:r>
      <w:r w:rsidR="00A60B95">
        <w:rPr>
          <w:rFonts w:cstheme="minorHAnsi"/>
        </w:rPr>
        <w:t>L</w:t>
      </w:r>
      <w:r>
        <w:rPr>
          <w:rFonts w:cstheme="minorHAnsi"/>
        </w:rPr>
        <w:t>and of</w:t>
      </w:r>
      <w:r w:rsidR="00A60B95">
        <w:rPr>
          <w:rFonts w:cstheme="minorHAnsi"/>
        </w:rPr>
        <w:t xml:space="preserve"> Olives and Vines</w:t>
      </w:r>
      <w:r>
        <w:rPr>
          <w:rFonts w:cstheme="minorHAnsi"/>
        </w:rPr>
        <w:t xml:space="preserve">, the Cultural </w:t>
      </w:r>
      <w:r w:rsidR="00A60B95">
        <w:rPr>
          <w:rFonts w:cstheme="minorHAnsi"/>
        </w:rPr>
        <w:t xml:space="preserve">Landscape </w:t>
      </w:r>
      <w:r>
        <w:rPr>
          <w:rFonts w:cstheme="minorHAnsi"/>
        </w:rPr>
        <w:t xml:space="preserve">of </w:t>
      </w:r>
      <w:r w:rsidR="00A60B95">
        <w:rPr>
          <w:rFonts w:cstheme="minorHAnsi"/>
        </w:rPr>
        <w:t>Southern</w:t>
      </w:r>
      <w:r>
        <w:rPr>
          <w:rFonts w:cstheme="minorHAnsi"/>
        </w:rPr>
        <w:t xml:space="preserve"> Jerusalem (2014), where these sites were listed under the name of Palestine. Additionally, based on the nomination of the Jordanian Kingdom</w:t>
      </w:r>
      <w:r w:rsidR="006C0B23">
        <w:rPr>
          <w:rFonts w:cstheme="minorHAnsi"/>
        </w:rPr>
        <w:t>,</w:t>
      </w:r>
      <w:r>
        <w:rPr>
          <w:rFonts w:cstheme="minorHAnsi"/>
        </w:rPr>
        <w:t xml:space="preserve"> the Old City of Jerusalem and its walls were on the List of U</w:t>
      </w:r>
      <w:r w:rsidR="00512D2E">
        <w:rPr>
          <w:rFonts w:cstheme="minorHAnsi"/>
        </w:rPr>
        <w:t xml:space="preserve">NESCO </w:t>
      </w:r>
      <w:r>
        <w:rPr>
          <w:rFonts w:cstheme="minorHAnsi"/>
        </w:rPr>
        <w:t xml:space="preserve">for World </w:t>
      </w:r>
      <w:r w:rsidR="00A60B95">
        <w:rPr>
          <w:rFonts w:cstheme="minorHAnsi"/>
        </w:rPr>
        <w:t xml:space="preserve">Heritage </w:t>
      </w:r>
      <w:r>
        <w:rPr>
          <w:rFonts w:cstheme="minorHAnsi"/>
        </w:rPr>
        <w:t>Sites (1981). These sites are classified as world heritage sites t</w:t>
      </w:r>
      <w:r w:rsidR="006C0B23">
        <w:rPr>
          <w:rFonts w:cstheme="minorHAnsi"/>
        </w:rPr>
        <w:t>h</w:t>
      </w:r>
      <w:r>
        <w:rPr>
          <w:rFonts w:cstheme="minorHAnsi"/>
        </w:rPr>
        <w:t xml:space="preserve">at are </w:t>
      </w:r>
      <w:r w:rsidR="000519B8">
        <w:rPr>
          <w:rFonts w:cstheme="minorHAnsi"/>
        </w:rPr>
        <w:t>at</w:t>
      </w:r>
      <w:r>
        <w:rPr>
          <w:rFonts w:cstheme="minorHAnsi"/>
        </w:rPr>
        <w:t xml:space="preserve"> risk due to the practices and policies of</w:t>
      </w:r>
      <w:r w:rsidR="006C0B23">
        <w:rPr>
          <w:rFonts w:cstheme="minorHAnsi"/>
        </w:rPr>
        <w:t xml:space="preserve"> Israel.</w:t>
      </w:r>
      <w:r>
        <w:rPr>
          <w:rFonts w:cstheme="minorHAnsi"/>
        </w:rPr>
        <w:t xml:space="preserve"> </w:t>
      </w:r>
      <w:r w:rsidR="00512D2E">
        <w:rPr>
          <w:rFonts w:cstheme="minorHAnsi"/>
        </w:rPr>
        <w:t xml:space="preserve">The Old City of </w:t>
      </w:r>
      <w:r w:rsidR="00A60B95">
        <w:rPr>
          <w:rFonts w:cstheme="minorHAnsi"/>
        </w:rPr>
        <w:t xml:space="preserve">Hebron </w:t>
      </w:r>
      <w:r w:rsidR="00512D2E">
        <w:rPr>
          <w:rFonts w:cstheme="minorHAnsi"/>
        </w:rPr>
        <w:t xml:space="preserve">is subject to a wide range of systematic violations and Apartheid practices by </w:t>
      </w:r>
      <w:r w:rsidR="00DA0B0E">
        <w:rPr>
          <w:rFonts w:cstheme="minorHAnsi"/>
        </w:rPr>
        <w:t>Israel</w:t>
      </w:r>
      <w:r w:rsidR="00512D2E">
        <w:rPr>
          <w:rFonts w:cstheme="minorHAnsi"/>
        </w:rPr>
        <w:t xml:space="preserve">. The illegal Israeli settlement threatens the Old City and threatens its heritage and culture. </w:t>
      </w:r>
      <w:r w:rsidR="006C0B23">
        <w:rPr>
          <w:rFonts w:cstheme="minorHAnsi"/>
        </w:rPr>
        <w:t>Israel</w:t>
      </w:r>
      <w:r w:rsidR="00512D2E">
        <w:rPr>
          <w:rFonts w:cstheme="minorHAnsi"/>
        </w:rPr>
        <w:t xml:space="preserve"> is dividing the Ibrahim Mosque</w:t>
      </w:r>
      <w:r w:rsidR="00A60B95">
        <w:rPr>
          <w:rFonts w:cstheme="minorHAnsi"/>
        </w:rPr>
        <w:t>,</w:t>
      </w:r>
      <w:r w:rsidR="00512D2E">
        <w:rPr>
          <w:rFonts w:cstheme="minorHAnsi"/>
        </w:rPr>
        <w:t xml:space="preserve"> </w:t>
      </w:r>
      <w:r w:rsidR="006C0B23">
        <w:rPr>
          <w:rFonts w:cstheme="minorHAnsi"/>
        </w:rPr>
        <w:t>Spatial and Temporal</w:t>
      </w:r>
      <w:r w:rsidR="00A60B95">
        <w:rPr>
          <w:rFonts w:cstheme="minorHAnsi"/>
        </w:rPr>
        <w:t>,</w:t>
      </w:r>
      <w:r w:rsidR="00512D2E">
        <w:rPr>
          <w:rFonts w:cstheme="minorHAnsi"/>
        </w:rPr>
        <w:t xml:space="preserve"> as well as disfiguring the Old City and </w:t>
      </w:r>
      <w:r w:rsidR="000519B8">
        <w:rPr>
          <w:rFonts w:cstheme="minorHAnsi"/>
        </w:rPr>
        <w:t>banning</w:t>
      </w:r>
      <w:r w:rsidR="00512D2E">
        <w:rPr>
          <w:rFonts w:cstheme="minorHAnsi"/>
        </w:rPr>
        <w:t xml:space="preserve"> geographical cohesion between its quarters as well as sieging and isolating it. The Israeli authorities ordered </w:t>
      </w:r>
      <w:r w:rsidR="000519B8">
        <w:rPr>
          <w:rFonts w:cstheme="minorHAnsi"/>
        </w:rPr>
        <w:t xml:space="preserve">the </w:t>
      </w:r>
      <w:r w:rsidR="00512D2E">
        <w:rPr>
          <w:rFonts w:cstheme="minorHAnsi"/>
        </w:rPr>
        <w:t xml:space="preserve">closing </w:t>
      </w:r>
      <w:r w:rsidR="000519B8">
        <w:rPr>
          <w:rFonts w:cstheme="minorHAnsi"/>
        </w:rPr>
        <w:t xml:space="preserve">of </w:t>
      </w:r>
      <w:r w:rsidR="00512D2E">
        <w:rPr>
          <w:rFonts w:cstheme="minorHAnsi"/>
        </w:rPr>
        <w:t xml:space="preserve">several shops in the Old City, which affected some handcrafts and cultural products that are connected with the Old City and the archeological sites. The Israeli Authorities banned </w:t>
      </w:r>
      <w:r w:rsidR="000519B8">
        <w:rPr>
          <w:rFonts w:cstheme="minorHAnsi"/>
        </w:rPr>
        <w:t xml:space="preserve">the </w:t>
      </w:r>
      <w:r w:rsidR="00512D2E">
        <w:rPr>
          <w:rFonts w:cstheme="minorHAnsi"/>
        </w:rPr>
        <w:t xml:space="preserve">Hebron Rehabilitation Committee from maintaining and renovating the </w:t>
      </w:r>
      <w:r w:rsidR="00A60B95">
        <w:rPr>
          <w:rFonts w:cstheme="minorHAnsi"/>
        </w:rPr>
        <w:t xml:space="preserve">heritage </w:t>
      </w:r>
      <w:r w:rsidR="00512D2E">
        <w:rPr>
          <w:rFonts w:cstheme="minorHAnsi"/>
        </w:rPr>
        <w:t xml:space="preserve">sites where many obstacles are imposed on the </w:t>
      </w:r>
      <w:r w:rsidR="00DA0B0E">
        <w:rPr>
          <w:rFonts w:cstheme="minorHAnsi"/>
        </w:rPr>
        <w:t>Committee</w:t>
      </w:r>
      <w:r w:rsidR="00512D2E">
        <w:rPr>
          <w:rFonts w:cstheme="minorHAnsi"/>
        </w:rPr>
        <w:t xml:space="preserve">. Some buildings are demolished to build Israeli illegal settlements as well as </w:t>
      </w:r>
      <w:r w:rsidR="00FE0D81">
        <w:rPr>
          <w:rFonts w:cstheme="minorHAnsi"/>
        </w:rPr>
        <w:t>steal</w:t>
      </w:r>
      <w:r w:rsidR="00512D2E">
        <w:rPr>
          <w:rFonts w:cstheme="minorHAnsi"/>
        </w:rPr>
        <w:t xml:space="preserve"> the stones </w:t>
      </w:r>
      <w:r w:rsidR="00512D2E">
        <w:rPr>
          <w:rFonts w:cstheme="minorHAnsi"/>
        </w:rPr>
        <w:lastRenderedPageBreak/>
        <w:t>(and other heritage contents) of the Palestinian buildings while building using materials that are not appropriate for international heritage or archeological sites. In the Old City, there are streets (mainly Shuhada Street) that are solely for the use of Israeli settlers while Palestinians are denied the right to pass through the</w:t>
      </w:r>
      <w:r w:rsidR="00DA0B0E">
        <w:rPr>
          <w:rFonts w:cstheme="minorHAnsi"/>
        </w:rPr>
        <w:t xml:space="preserve">m </w:t>
      </w:r>
      <w:r w:rsidR="00512D2E">
        <w:rPr>
          <w:rFonts w:cstheme="minorHAnsi"/>
        </w:rPr>
        <w:t xml:space="preserve">to access their houses, work sites, or schools. Thus, Palestinians have to take </w:t>
      </w:r>
      <w:r w:rsidR="00DA0B0E">
        <w:rPr>
          <w:rFonts w:cstheme="minorHAnsi"/>
        </w:rPr>
        <w:t xml:space="preserve">longer and exhausting </w:t>
      </w:r>
      <w:r w:rsidR="00512D2E">
        <w:rPr>
          <w:rFonts w:cstheme="minorHAnsi"/>
        </w:rPr>
        <w:t>alternative roads</w:t>
      </w:r>
      <w:r w:rsidR="00DA0B0E">
        <w:rPr>
          <w:rFonts w:cstheme="minorHAnsi"/>
        </w:rPr>
        <w:t xml:space="preserve">. </w:t>
      </w:r>
      <w:r w:rsidR="00512D2E">
        <w:rPr>
          <w:rFonts w:cstheme="minorHAnsi"/>
        </w:rPr>
        <w:t xml:space="preserve">In some cases, Palestinians pass through the roofs of the </w:t>
      </w:r>
      <w:r w:rsidR="006C0B23">
        <w:rPr>
          <w:rFonts w:cstheme="minorHAnsi"/>
        </w:rPr>
        <w:t xml:space="preserve">adjacent </w:t>
      </w:r>
      <w:r w:rsidR="00512D2E">
        <w:rPr>
          <w:rFonts w:cstheme="minorHAnsi"/>
        </w:rPr>
        <w:t>houses</w:t>
      </w:r>
      <w:r w:rsidR="00DA0B0E">
        <w:rPr>
          <w:rFonts w:cstheme="minorHAnsi"/>
        </w:rPr>
        <w:t>,</w:t>
      </w:r>
      <w:r w:rsidR="00512D2E">
        <w:rPr>
          <w:rFonts w:cstheme="minorHAnsi"/>
        </w:rPr>
        <w:t xml:space="preserve"> as alternative roads</w:t>
      </w:r>
      <w:r w:rsidR="00DA0B0E">
        <w:rPr>
          <w:rFonts w:cstheme="minorHAnsi"/>
        </w:rPr>
        <w:t>,</w:t>
      </w:r>
      <w:r w:rsidR="00512D2E">
        <w:rPr>
          <w:rFonts w:cstheme="minorHAnsi"/>
        </w:rPr>
        <w:t xml:space="preserve"> to reach their destinies</w:t>
      </w:r>
      <w:r w:rsidR="00DA0B0E">
        <w:rPr>
          <w:rFonts w:cstheme="minorHAnsi"/>
        </w:rPr>
        <w:t>,</w:t>
      </w:r>
      <w:r w:rsidR="00512D2E">
        <w:rPr>
          <w:rFonts w:cstheme="minorHAnsi"/>
        </w:rPr>
        <w:t xml:space="preserve"> as a result </w:t>
      </w:r>
      <w:r w:rsidR="00FE0D81">
        <w:rPr>
          <w:rFonts w:cstheme="minorHAnsi"/>
        </w:rPr>
        <w:t>of</w:t>
      </w:r>
      <w:r w:rsidR="00512D2E">
        <w:rPr>
          <w:rFonts w:cstheme="minorHAnsi"/>
        </w:rPr>
        <w:t xml:space="preserve"> denying them the right to pass through some streets in the Old City. The policy of the occupation pushed many residents of Shuhada Street to evacuate their houses and leave</w:t>
      </w:r>
      <w:r w:rsidR="00DA0B0E">
        <w:rPr>
          <w:rFonts w:cstheme="minorHAnsi"/>
        </w:rPr>
        <w:t xml:space="preserve">. </w:t>
      </w:r>
      <w:r w:rsidR="00512D2E">
        <w:rPr>
          <w:rFonts w:cstheme="minorHAnsi"/>
        </w:rPr>
        <w:t xml:space="preserve">On a related level, Jerusalem, especially the Old City is subject to isolation, siege, </w:t>
      </w:r>
      <w:r w:rsidR="00DA6950">
        <w:rPr>
          <w:rFonts w:cstheme="minorHAnsi"/>
        </w:rPr>
        <w:t>Judaization</w:t>
      </w:r>
      <w:r w:rsidR="00512D2E">
        <w:rPr>
          <w:rFonts w:cstheme="minorHAnsi"/>
        </w:rPr>
        <w:t>, and annexation. There are ongoing attempts to divide Al-Aqsa Mosque, Spatial and Temporal</w:t>
      </w:r>
      <w:r w:rsidR="00DA0B0E">
        <w:rPr>
          <w:rFonts w:cstheme="minorHAnsi"/>
        </w:rPr>
        <w:t>,</w:t>
      </w:r>
      <w:r w:rsidR="00512D2E">
        <w:rPr>
          <w:rFonts w:cstheme="minorHAnsi"/>
        </w:rPr>
        <w:t xml:space="preserve"> </w:t>
      </w:r>
      <w:r w:rsidR="00C75A88">
        <w:rPr>
          <w:rFonts w:cstheme="minorHAnsi"/>
        </w:rPr>
        <w:t>like</w:t>
      </w:r>
      <w:r w:rsidR="00512D2E">
        <w:rPr>
          <w:rFonts w:cstheme="minorHAnsi"/>
        </w:rPr>
        <w:t xml:space="preserve"> the Ibrahim Mosque in Hebron. </w:t>
      </w:r>
      <w:r w:rsidR="00DA0B0E">
        <w:t>T</w:t>
      </w:r>
      <w:r w:rsidR="00512D2E" w:rsidRPr="00512D2E">
        <w:t xml:space="preserve">he Israeli authorities undermine the rights of thousands of Palestinian families and revoke the residency of Jerusalemites, </w:t>
      </w:r>
      <w:r w:rsidR="00DA0B0E">
        <w:t xml:space="preserve">within </w:t>
      </w:r>
      <w:r w:rsidR="00512D2E" w:rsidRPr="00512D2E">
        <w:t>the Apartheid and Displacement policies.</w:t>
      </w:r>
      <w:r w:rsidR="00512D2E">
        <w:rPr>
          <w:rFonts w:cstheme="minorHAnsi"/>
        </w:rPr>
        <w:t xml:space="preserve"> The Old City of Nablus is subject to ongoing Israeli military aggressions targeting people and buildings. The practices of the Israeli Occupation </w:t>
      </w:r>
      <w:r w:rsidR="00C75A88">
        <w:rPr>
          <w:rFonts w:cstheme="minorHAnsi"/>
        </w:rPr>
        <w:t>violated</w:t>
      </w:r>
      <w:r w:rsidR="00512D2E">
        <w:rPr>
          <w:rFonts w:cstheme="minorHAnsi"/>
        </w:rPr>
        <w:t xml:space="preserve"> </w:t>
      </w:r>
      <w:r w:rsidR="00FE0D81">
        <w:rPr>
          <w:rFonts w:cstheme="minorHAnsi"/>
        </w:rPr>
        <w:t xml:space="preserve">the </w:t>
      </w:r>
      <w:r w:rsidR="00512D2E">
        <w:rPr>
          <w:rFonts w:cstheme="minorHAnsi"/>
        </w:rPr>
        <w:t>Hague Agreement (1907), and Geneva Fourth Convention (1949)</w:t>
      </w:r>
      <w:r w:rsidR="00C75A88">
        <w:rPr>
          <w:rFonts w:cstheme="minorHAnsi"/>
        </w:rPr>
        <w:t>,</w:t>
      </w:r>
      <w:r w:rsidR="00512D2E">
        <w:rPr>
          <w:rFonts w:cstheme="minorHAnsi"/>
        </w:rPr>
        <w:t xml:space="preserve"> and its first protocol (1977). The Israeli practices </w:t>
      </w:r>
      <w:r w:rsidR="00FE0D81">
        <w:rPr>
          <w:rFonts w:cstheme="minorHAnsi"/>
        </w:rPr>
        <w:t>violated</w:t>
      </w:r>
      <w:r w:rsidR="00512D2E">
        <w:rPr>
          <w:rFonts w:cstheme="minorHAnsi"/>
        </w:rPr>
        <w:t xml:space="preserve"> </w:t>
      </w:r>
      <w:r w:rsidR="00FE0D81">
        <w:rPr>
          <w:rFonts w:cstheme="minorHAnsi"/>
        </w:rPr>
        <w:t xml:space="preserve">the </w:t>
      </w:r>
      <w:r w:rsidR="00512D2E">
        <w:rPr>
          <w:rFonts w:cstheme="minorHAnsi"/>
        </w:rPr>
        <w:t xml:space="preserve">Hague Agreement (1954) on protecting cultural properties under armed conflicts in addition to violating the International </w:t>
      </w:r>
      <w:r w:rsidR="00512D2E" w:rsidRPr="00512D2E">
        <w:t>"Convention Concerning the Protection of the World Cultural and Natural Heritage (1972)"</w:t>
      </w:r>
      <w:r w:rsidR="00512D2E">
        <w:rPr>
          <w:rFonts w:cstheme="minorHAnsi"/>
        </w:rPr>
        <w:t xml:space="preserve">, and the </w:t>
      </w:r>
      <w:r w:rsidR="00512D2E" w:rsidRPr="00512D2E">
        <w:t>"UNESCO Convention on the Means of Prohibiting and Preventing the Illicit Import, Export</w:t>
      </w:r>
      <w:r w:rsidR="00FE0D81">
        <w:t>,</w:t>
      </w:r>
      <w:r w:rsidR="00512D2E" w:rsidRPr="00512D2E">
        <w:t xml:space="preserve"> and Transfer of Ownership of Cultural Property (1970)"</w:t>
      </w:r>
      <w:r w:rsidR="00512D2E">
        <w:rPr>
          <w:rFonts w:cstheme="minorHAnsi"/>
        </w:rPr>
        <w:t>. The Israeli practices stand as international crimes (war crimes</w:t>
      </w:r>
      <w:r w:rsidR="004373B2">
        <w:rPr>
          <w:rFonts w:cstheme="minorHAnsi"/>
        </w:rPr>
        <w:t>/</w:t>
      </w:r>
      <w:r w:rsidR="00512D2E">
        <w:rPr>
          <w:rFonts w:cstheme="minorHAnsi"/>
        </w:rPr>
        <w:t xml:space="preserve">crimes against humanity) according to </w:t>
      </w:r>
      <w:r w:rsidR="00FE0D81">
        <w:rPr>
          <w:rFonts w:cstheme="minorHAnsi"/>
        </w:rPr>
        <w:t xml:space="preserve">the </w:t>
      </w:r>
      <w:r w:rsidR="00512D2E">
        <w:rPr>
          <w:rFonts w:cstheme="minorHAnsi"/>
        </w:rPr>
        <w:t>Rome Statute of the I</w:t>
      </w:r>
      <w:r w:rsidR="004373B2">
        <w:rPr>
          <w:rFonts w:cstheme="minorHAnsi"/>
        </w:rPr>
        <w:t>CC</w:t>
      </w:r>
      <w:r w:rsidR="00512D2E">
        <w:rPr>
          <w:rFonts w:cstheme="minorHAnsi"/>
        </w:rPr>
        <w:t>. The partners recommend your committee to ask the S</w:t>
      </w:r>
      <w:r w:rsidR="004373B2">
        <w:rPr>
          <w:rFonts w:cstheme="minorHAnsi"/>
        </w:rPr>
        <w:t xml:space="preserve">oP </w:t>
      </w:r>
      <w:r w:rsidR="00512D2E">
        <w:rPr>
          <w:rFonts w:cstheme="minorHAnsi"/>
        </w:rPr>
        <w:t xml:space="preserve">to provide detailed information and statistics </w:t>
      </w:r>
      <w:r w:rsidR="00FE0D81">
        <w:rPr>
          <w:rFonts w:cstheme="minorHAnsi"/>
        </w:rPr>
        <w:t>on</w:t>
      </w:r>
      <w:r w:rsidR="00512D2E">
        <w:rPr>
          <w:rFonts w:cstheme="minorHAnsi"/>
        </w:rPr>
        <w:t xml:space="preserve"> the Israeli violations against the Palestinian archeological and heritage sites. </w:t>
      </w:r>
      <w:r w:rsidR="004373B2">
        <w:rPr>
          <w:rFonts w:cstheme="minorHAnsi"/>
        </w:rPr>
        <w:t xml:space="preserve">SoP </w:t>
      </w:r>
      <w:r w:rsidR="00512D2E">
        <w:rPr>
          <w:rFonts w:cstheme="minorHAnsi"/>
        </w:rPr>
        <w:t xml:space="preserve">has to provide information and statistics about the Israeli crimes against the Old Cities of Jerusalem, Hebron, and Nablus. </w:t>
      </w:r>
      <w:r w:rsidR="00512D2E" w:rsidRPr="00512D2E">
        <w:t>Furthermore, it is essential to emphasize the S</w:t>
      </w:r>
      <w:r w:rsidR="004373B2">
        <w:t xml:space="preserve">oP’s </w:t>
      </w:r>
      <w:r w:rsidR="00512D2E" w:rsidRPr="00512D2E">
        <w:t>endeavors and allocated budgets dedicated to safeguarding Palestinian Cultural Heritage, encompassing both tangible and intangible aspects. This encompasses ensuring the well-being of inhabitants, preserving heritage sites, conducting comprehensive inventories of Palestinian heritage, registering these assets, and devising national strategies and frameworks to accomplish successful inventory and preservation efforts.</w:t>
      </w:r>
      <w:r w:rsidR="00512D2E">
        <w:rPr>
          <w:rFonts w:cstheme="minorHAnsi"/>
        </w:rPr>
        <w:t xml:space="preserve"> </w:t>
      </w:r>
    </w:p>
    <w:p w14:paraId="3D780F8D" w14:textId="5C5D12CA" w:rsidR="00CC32C1" w:rsidRDefault="00512D2E" w:rsidP="00201969">
      <w:pPr>
        <w:pStyle w:val="NoSpacing"/>
        <w:jc w:val="both"/>
        <w:rPr>
          <w:rFonts w:cstheme="minorHAnsi"/>
        </w:rPr>
      </w:pPr>
      <w:r>
        <w:rPr>
          <w:rFonts w:cstheme="minorHAnsi"/>
        </w:rPr>
        <w:t>11. The Palestinian artists and so the cultural activities</w:t>
      </w:r>
      <w:r w:rsidR="004373B2">
        <w:rPr>
          <w:rFonts w:cstheme="minorHAnsi"/>
        </w:rPr>
        <w:t>,</w:t>
      </w:r>
      <w:r>
        <w:rPr>
          <w:rFonts w:cstheme="minorHAnsi"/>
        </w:rPr>
        <w:t xml:space="preserve"> are subject to systemized violations by the Israeli occupation. Among these violations </w:t>
      </w:r>
      <w:r w:rsidR="00C75A88">
        <w:rPr>
          <w:rFonts w:cstheme="minorHAnsi"/>
        </w:rPr>
        <w:t>are</w:t>
      </w:r>
      <w:r w:rsidR="001731DB">
        <w:rPr>
          <w:rFonts w:cstheme="minorHAnsi"/>
        </w:rPr>
        <w:t xml:space="preserve"> summoning for questioning, arbitrary detention, incitement, and harassment </w:t>
      </w:r>
      <w:r w:rsidR="00C75A88">
        <w:rPr>
          <w:rFonts w:cstheme="minorHAnsi"/>
        </w:rPr>
        <w:t>at</w:t>
      </w:r>
      <w:r w:rsidR="001731DB">
        <w:rPr>
          <w:rFonts w:cstheme="minorHAnsi"/>
        </w:rPr>
        <w:t xml:space="preserve"> the military checkpoints that disfigure the Palestinian territory. </w:t>
      </w:r>
      <w:r w:rsidR="004373B2">
        <w:rPr>
          <w:rFonts w:cstheme="minorHAnsi"/>
        </w:rPr>
        <w:t xml:space="preserve">Israel </w:t>
      </w:r>
      <w:r w:rsidR="001731DB">
        <w:rPr>
          <w:rFonts w:cstheme="minorHAnsi"/>
        </w:rPr>
        <w:t>violates the rights of Palestinian artists for freedom of mobility. Furthermore, the Israeli occupation incites</w:t>
      </w:r>
      <w:r w:rsidR="004373B2">
        <w:rPr>
          <w:rFonts w:cstheme="minorHAnsi"/>
        </w:rPr>
        <w:t xml:space="preserve"> and promotes hate speech</w:t>
      </w:r>
      <w:r w:rsidR="001731DB">
        <w:rPr>
          <w:rFonts w:cstheme="minorHAnsi"/>
        </w:rPr>
        <w:t xml:space="preserve"> against Palestinian cultural institutions</w:t>
      </w:r>
      <w:r w:rsidR="004373B2">
        <w:rPr>
          <w:rFonts w:cstheme="minorHAnsi"/>
        </w:rPr>
        <w:t xml:space="preserve">. Likewise, </w:t>
      </w:r>
      <w:r w:rsidR="001731DB">
        <w:rPr>
          <w:rFonts w:cstheme="minorHAnsi"/>
        </w:rPr>
        <w:t xml:space="preserve">the Israeli authorities </w:t>
      </w:r>
      <w:r w:rsidR="005A42B6">
        <w:rPr>
          <w:rFonts w:cstheme="minorHAnsi"/>
        </w:rPr>
        <w:t>ordered</w:t>
      </w:r>
      <w:r w:rsidR="001731DB">
        <w:rPr>
          <w:rFonts w:cstheme="minorHAnsi"/>
        </w:rPr>
        <w:t xml:space="preserve"> </w:t>
      </w:r>
      <w:r w:rsidR="00C75A88">
        <w:rPr>
          <w:rFonts w:cstheme="minorHAnsi"/>
        </w:rPr>
        <w:t xml:space="preserve">the </w:t>
      </w:r>
      <w:r w:rsidR="001731DB">
        <w:rPr>
          <w:rFonts w:cstheme="minorHAnsi"/>
        </w:rPr>
        <w:t xml:space="preserve">closing </w:t>
      </w:r>
      <w:r w:rsidR="00C75A88">
        <w:rPr>
          <w:rFonts w:cstheme="minorHAnsi"/>
        </w:rPr>
        <w:t xml:space="preserve">of </w:t>
      </w:r>
      <w:r w:rsidR="001731DB">
        <w:rPr>
          <w:rFonts w:cstheme="minorHAnsi"/>
        </w:rPr>
        <w:t xml:space="preserve">the premises of some cultural institutions and </w:t>
      </w:r>
      <w:r w:rsidR="00C75A88">
        <w:rPr>
          <w:rFonts w:cstheme="minorHAnsi"/>
        </w:rPr>
        <w:t xml:space="preserve">the </w:t>
      </w:r>
      <w:r w:rsidR="001731DB">
        <w:rPr>
          <w:rFonts w:cstheme="minorHAnsi"/>
        </w:rPr>
        <w:t xml:space="preserve">confiscating </w:t>
      </w:r>
      <w:r w:rsidR="00C75A88">
        <w:rPr>
          <w:rFonts w:cstheme="minorHAnsi"/>
        </w:rPr>
        <w:t xml:space="preserve">of </w:t>
      </w:r>
      <w:r w:rsidR="001731DB">
        <w:rPr>
          <w:rFonts w:cstheme="minorHAnsi"/>
        </w:rPr>
        <w:t xml:space="preserve">their properties, especially in Jerusalem, alongside other crimes and procedures. The violations against the Palestinian cultural sector have been going on </w:t>
      </w:r>
      <w:r w:rsidR="004373B2">
        <w:rPr>
          <w:rFonts w:cstheme="minorHAnsi"/>
        </w:rPr>
        <w:t xml:space="preserve">for </w:t>
      </w:r>
      <w:r w:rsidR="001731DB">
        <w:rPr>
          <w:rFonts w:cstheme="minorHAnsi"/>
        </w:rPr>
        <w:t>years, taking a variety of forms. In this regard, the Israeli authorities arrested the Palestinian Cartoonist (M</w:t>
      </w:r>
      <w:r w:rsidR="004373B2">
        <w:rPr>
          <w:rFonts w:cstheme="minorHAnsi"/>
        </w:rPr>
        <w:t xml:space="preserve">.S) </w:t>
      </w:r>
      <w:r w:rsidR="005A42B6">
        <w:rPr>
          <w:rFonts w:cstheme="minorHAnsi"/>
        </w:rPr>
        <w:t>arbitrarily</w:t>
      </w:r>
      <w:r w:rsidR="001731DB">
        <w:rPr>
          <w:rFonts w:cstheme="minorHAnsi"/>
        </w:rPr>
        <w:t xml:space="preserve">, for five months on February 2013. He was arrested based on an order from a military court and he was denied the right to meet his lawyer and he is still subject to pressure from the Israeli authorities due to his drawings that publicize the occupation and the Apartheid Regime and highlights the suffering of Palestinians under occupation. </w:t>
      </w:r>
      <w:r w:rsidR="002051F0">
        <w:rPr>
          <w:rFonts w:cstheme="minorHAnsi"/>
        </w:rPr>
        <w:t>In</w:t>
      </w:r>
      <w:r w:rsidR="001731DB">
        <w:rPr>
          <w:rFonts w:cstheme="minorHAnsi"/>
        </w:rPr>
        <w:t xml:space="preserve"> February 2021, the Israeli authorities </w:t>
      </w:r>
      <w:r w:rsidR="002051F0">
        <w:rPr>
          <w:rFonts w:cstheme="minorHAnsi"/>
        </w:rPr>
        <w:t>raided</w:t>
      </w:r>
      <w:r w:rsidR="001731DB">
        <w:rPr>
          <w:rFonts w:cstheme="minorHAnsi"/>
        </w:rPr>
        <w:t xml:space="preserve"> the house of the Palestinian artist (</w:t>
      </w:r>
      <w:r w:rsidR="004373B2">
        <w:rPr>
          <w:rFonts w:cstheme="minorHAnsi"/>
        </w:rPr>
        <w:t>A.K) f</w:t>
      </w:r>
      <w:r w:rsidR="001731DB">
        <w:rPr>
          <w:rFonts w:cstheme="minorHAnsi"/>
        </w:rPr>
        <w:t>rom the Palestinian Popular Art Troupe, and arrested him</w:t>
      </w:r>
      <w:r w:rsidR="004373B2">
        <w:rPr>
          <w:rFonts w:cstheme="minorHAnsi"/>
        </w:rPr>
        <w:t>,</w:t>
      </w:r>
      <w:r w:rsidR="001731DB">
        <w:rPr>
          <w:rFonts w:cstheme="minorHAnsi"/>
        </w:rPr>
        <w:t xml:space="preserve"> </w:t>
      </w:r>
      <w:r w:rsidR="002051F0">
        <w:rPr>
          <w:rFonts w:cstheme="minorHAnsi"/>
        </w:rPr>
        <w:t>arbitrarily</w:t>
      </w:r>
      <w:r w:rsidR="004373B2">
        <w:rPr>
          <w:rFonts w:cstheme="minorHAnsi"/>
        </w:rPr>
        <w:t>,</w:t>
      </w:r>
      <w:r w:rsidR="001731DB">
        <w:rPr>
          <w:rFonts w:cstheme="minorHAnsi"/>
        </w:rPr>
        <w:t xml:space="preserve"> for 13 months</w:t>
      </w:r>
      <w:r w:rsidR="002051F0">
        <w:rPr>
          <w:rFonts w:cstheme="minorHAnsi"/>
        </w:rPr>
        <w:t>,</w:t>
      </w:r>
      <w:r w:rsidR="001731DB">
        <w:rPr>
          <w:rFonts w:cstheme="minorHAnsi"/>
        </w:rPr>
        <w:t xml:space="preserve"> and </w:t>
      </w:r>
      <w:r w:rsidR="004373B2">
        <w:rPr>
          <w:rFonts w:cstheme="minorHAnsi"/>
        </w:rPr>
        <w:t xml:space="preserve">prevented </w:t>
      </w:r>
      <w:r w:rsidR="001731DB">
        <w:rPr>
          <w:rFonts w:cstheme="minorHAnsi"/>
        </w:rPr>
        <w:t>him</w:t>
      </w:r>
      <w:r w:rsidR="004373B2">
        <w:rPr>
          <w:rFonts w:cstheme="minorHAnsi"/>
        </w:rPr>
        <w:t xml:space="preserve"> from meeting a </w:t>
      </w:r>
      <w:r w:rsidR="001731DB">
        <w:rPr>
          <w:rFonts w:cstheme="minorHAnsi"/>
        </w:rPr>
        <w:t xml:space="preserve">lawyer. </w:t>
      </w:r>
      <w:r w:rsidR="002051F0">
        <w:rPr>
          <w:rFonts w:cstheme="minorHAnsi"/>
        </w:rPr>
        <w:t>The artist</w:t>
      </w:r>
      <w:r w:rsidR="001731DB">
        <w:rPr>
          <w:rFonts w:cstheme="minorHAnsi"/>
        </w:rPr>
        <w:t xml:space="preserve"> </w:t>
      </w:r>
      <w:r w:rsidR="004373B2">
        <w:rPr>
          <w:rFonts w:cstheme="minorHAnsi"/>
        </w:rPr>
        <w:t xml:space="preserve">(A.K) </w:t>
      </w:r>
      <w:r w:rsidR="001731DB">
        <w:rPr>
          <w:rFonts w:cstheme="minorHAnsi"/>
        </w:rPr>
        <w:t xml:space="preserve">was infected with </w:t>
      </w:r>
      <w:r w:rsidR="002051F0">
        <w:rPr>
          <w:rFonts w:cstheme="minorHAnsi"/>
        </w:rPr>
        <w:t>the COVID-19</w:t>
      </w:r>
      <w:r w:rsidR="001731DB">
        <w:rPr>
          <w:rFonts w:cstheme="minorHAnsi"/>
        </w:rPr>
        <w:t xml:space="preserve"> Virus during the term he served in the Israeli prisons, which represented a risk on his life. The Israeli authorities arrested the Palestinian visual artist </w:t>
      </w:r>
      <w:r w:rsidR="004373B2">
        <w:rPr>
          <w:rFonts w:cstheme="minorHAnsi"/>
        </w:rPr>
        <w:t xml:space="preserve">(H.O) </w:t>
      </w:r>
      <w:r w:rsidR="00CC32C1">
        <w:rPr>
          <w:rFonts w:cstheme="minorHAnsi"/>
        </w:rPr>
        <w:t xml:space="preserve">and </w:t>
      </w:r>
      <w:r w:rsidR="002051F0">
        <w:rPr>
          <w:rFonts w:cstheme="minorHAnsi"/>
        </w:rPr>
        <w:t>in</w:t>
      </w:r>
      <w:r w:rsidR="00CC32C1">
        <w:rPr>
          <w:rFonts w:cstheme="minorHAnsi"/>
        </w:rPr>
        <w:t xml:space="preserve"> March 2020, an Israeli military court sentenced him </w:t>
      </w:r>
      <w:r w:rsidR="002051F0">
        <w:rPr>
          <w:rFonts w:cstheme="minorHAnsi"/>
        </w:rPr>
        <w:t>to</w:t>
      </w:r>
      <w:r w:rsidR="00CC32C1">
        <w:rPr>
          <w:rFonts w:cstheme="minorHAnsi"/>
        </w:rPr>
        <w:t xml:space="preserve"> 13 months and a financial fine</w:t>
      </w:r>
      <w:r w:rsidR="004373B2">
        <w:rPr>
          <w:rFonts w:cstheme="minorHAnsi"/>
        </w:rPr>
        <w:t xml:space="preserve"> and prevented </w:t>
      </w:r>
      <w:r w:rsidR="002051F0">
        <w:rPr>
          <w:rFonts w:cstheme="minorHAnsi"/>
        </w:rPr>
        <w:t xml:space="preserve">him </w:t>
      </w:r>
      <w:r w:rsidR="004373B2">
        <w:rPr>
          <w:rFonts w:cstheme="minorHAnsi"/>
        </w:rPr>
        <w:t xml:space="preserve">from meeting </w:t>
      </w:r>
      <w:r w:rsidR="00CC32C1">
        <w:rPr>
          <w:rFonts w:cstheme="minorHAnsi"/>
        </w:rPr>
        <w:t>a la</w:t>
      </w:r>
      <w:r w:rsidR="00A60B95">
        <w:rPr>
          <w:rFonts w:cstheme="minorHAnsi"/>
        </w:rPr>
        <w:t>w</w:t>
      </w:r>
      <w:r w:rsidR="00CC32C1">
        <w:rPr>
          <w:rFonts w:cstheme="minorHAnsi"/>
        </w:rPr>
        <w:t xml:space="preserve">yer. On Wednesday 22/7/2020 morning, the Israeli authorities broke through the house of the director of </w:t>
      </w:r>
      <w:r w:rsidR="00A60B95">
        <w:rPr>
          <w:rFonts w:cstheme="minorHAnsi"/>
        </w:rPr>
        <w:t xml:space="preserve">a </w:t>
      </w:r>
      <w:r w:rsidR="00CC32C1">
        <w:rPr>
          <w:rFonts w:cstheme="minorHAnsi"/>
        </w:rPr>
        <w:t xml:space="preserve">Jerusalemite Institution </w:t>
      </w:r>
      <w:r w:rsidR="00A60B95">
        <w:rPr>
          <w:rFonts w:cstheme="minorHAnsi"/>
        </w:rPr>
        <w:t>that teaches</w:t>
      </w:r>
      <w:r w:rsidR="00CC32C1">
        <w:rPr>
          <w:rFonts w:cstheme="minorHAnsi"/>
        </w:rPr>
        <w:t xml:space="preserve"> </w:t>
      </w:r>
      <w:r w:rsidR="00A60B95">
        <w:rPr>
          <w:rFonts w:cstheme="minorHAnsi"/>
        </w:rPr>
        <w:t>m</w:t>
      </w:r>
      <w:r w:rsidR="00CC32C1">
        <w:rPr>
          <w:rFonts w:cstheme="minorHAnsi"/>
        </w:rPr>
        <w:t xml:space="preserve">usic (National Music Conservatory), the Palestinian </w:t>
      </w:r>
      <w:r w:rsidR="00572A3F">
        <w:rPr>
          <w:rFonts w:cstheme="minorHAnsi"/>
        </w:rPr>
        <w:t>musician (</w:t>
      </w:r>
      <w:r w:rsidR="004373B2">
        <w:rPr>
          <w:rFonts w:cstheme="minorHAnsi"/>
        </w:rPr>
        <w:t>S.K</w:t>
      </w:r>
      <w:r w:rsidR="00572A3F">
        <w:rPr>
          <w:rFonts w:cstheme="minorHAnsi"/>
        </w:rPr>
        <w:t>) and</w:t>
      </w:r>
      <w:r w:rsidR="00CC32C1">
        <w:rPr>
          <w:rFonts w:cstheme="minorHAnsi"/>
        </w:rPr>
        <w:t xml:space="preserve"> his Wife </w:t>
      </w:r>
      <w:r w:rsidR="004373B2">
        <w:rPr>
          <w:rFonts w:cstheme="minorHAnsi"/>
        </w:rPr>
        <w:t>(R.E</w:t>
      </w:r>
      <w:r w:rsidR="00572A3F">
        <w:rPr>
          <w:rFonts w:cstheme="minorHAnsi"/>
        </w:rPr>
        <w:t>) (</w:t>
      </w:r>
      <w:r w:rsidR="00CC32C1">
        <w:rPr>
          <w:rFonts w:cstheme="minorHAnsi"/>
        </w:rPr>
        <w:t>the director of Yabous Cultural Center- Jerusalem). In parallel, it invaded the headquarters of the two organizations</w:t>
      </w:r>
      <w:r w:rsidR="002051F0">
        <w:rPr>
          <w:rFonts w:cstheme="minorHAnsi"/>
        </w:rPr>
        <w:t xml:space="preserve"> </w:t>
      </w:r>
      <w:r w:rsidR="00CC32C1">
        <w:rPr>
          <w:rFonts w:cstheme="minorHAnsi"/>
        </w:rPr>
        <w:t xml:space="preserve">and confiscated documents, files, and observatory cameras. </w:t>
      </w:r>
      <w:r w:rsidR="002C7275">
        <w:rPr>
          <w:rFonts w:cstheme="minorHAnsi"/>
        </w:rPr>
        <w:t>T</w:t>
      </w:r>
      <w:r w:rsidR="00CC32C1">
        <w:rPr>
          <w:rFonts w:cstheme="minorHAnsi"/>
        </w:rPr>
        <w:t xml:space="preserve">he </w:t>
      </w:r>
      <w:r w:rsidR="00CC32C1">
        <w:rPr>
          <w:rFonts w:cstheme="minorHAnsi"/>
        </w:rPr>
        <w:lastRenderedPageBreak/>
        <w:t xml:space="preserve">Israeli authorities broke through the house of the </w:t>
      </w:r>
      <w:r w:rsidR="00A60B95">
        <w:rPr>
          <w:rFonts w:cstheme="minorHAnsi"/>
        </w:rPr>
        <w:t xml:space="preserve">previous </w:t>
      </w:r>
      <w:r w:rsidR="00CC32C1">
        <w:rPr>
          <w:rFonts w:cstheme="minorHAnsi"/>
        </w:rPr>
        <w:t>director of Jerusalem Art Performance Networ</w:t>
      </w:r>
      <w:r w:rsidR="002C7275">
        <w:rPr>
          <w:rFonts w:cstheme="minorHAnsi"/>
        </w:rPr>
        <w:t>k</w:t>
      </w:r>
      <w:r w:rsidR="00CC32C1">
        <w:rPr>
          <w:rFonts w:cstheme="minorHAnsi"/>
        </w:rPr>
        <w:t>,</w:t>
      </w:r>
      <w:r w:rsidR="002C7275">
        <w:rPr>
          <w:rFonts w:cstheme="minorHAnsi"/>
        </w:rPr>
        <w:t xml:space="preserve"> (D.Gh)</w:t>
      </w:r>
      <w:r w:rsidR="00CC32C1">
        <w:rPr>
          <w:rFonts w:cstheme="minorHAnsi"/>
        </w:rPr>
        <w:t xml:space="preserve">. Additionally, the Israeli authorities banned several art shows planned by Hakawati Theater, which is a Palestinian Theater that was established in Jerusalem in the year 1984. The Israeli authorities are going on in their policies of stealing Palestinian cultural products and heritage such as embroidery, popular dance, and other products. </w:t>
      </w:r>
      <w:r w:rsidR="005A42B6">
        <w:rPr>
          <w:rFonts w:cstheme="minorHAnsi"/>
        </w:rPr>
        <w:t xml:space="preserve">The Israeli Authorities </w:t>
      </w:r>
      <w:r w:rsidR="00C97F84">
        <w:rPr>
          <w:rFonts w:cstheme="minorHAnsi"/>
        </w:rPr>
        <w:t xml:space="preserve">denied 38 intellectuals and artists from Gaza Strip, access to the West Bank to participate in the Palestinian Thirteenth Book Fair that was arranged in Ramallah </w:t>
      </w:r>
      <w:r w:rsidR="00055019">
        <w:rPr>
          <w:rFonts w:cstheme="minorHAnsi"/>
        </w:rPr>
        <w:t xml:space="preserve">on </w:t>
      </w:r>
      <w:r w:rsidR="00C97F84">
        <w:rPr>
          <w:rFonts w:cstheme="minorHAnsi"/>
        </w:rPr>
        <w:t xml:space="preserve">14/9/2022. </w:t>
      </w:r>
      <w:r w:rsidR="00201969">
        <w:rPr>
          <w:rFonts w:cstheme="minorHAnsi"/>
        </w:rPr>
        <w:t xml:space="preserve">Palestinian Theater activists </w:t>
      </w:r>
      <w:r w:rsidR="00055019">
        <w:rPr>
          <w:rFonts w:cstheme="minorHAnsi"/>
        </w:rPr>
        <w:t xml:space="preserve">from </w:t>
      </w:r>
      <w:r w:rsidR="00201969">
        <w:rPr>
          <w:rFonts w:cstheme="minorHAnsi"/>
        </w:rPr>
        <w:t xml:space="preserve">the </w:t>
      </w:r>
      <w:r w:rsidR="00055019">
        <w:rPr>
          <w:rFonts w:cstheme="minorHAnsi"/>
        </w:rPr>
        <w:t xml:space="preserve">Gaza Strip were not allowed to leave Gaza towards the West Bank to attend the Theater Festivals. </w:t>
      </w:r>
      <w:r w:rsidR="00CC32C1">
        <w:rPr>
          <w:rFonts w:cstheme="minorHAnsi"/>
        </w:rPr>
        <w:t xml:space="preserve">All these practices indicate the systematic attacks of </w:t>
      </w:r>
      <w:r w:rsidR="002C7275">
        <w:rPr>
          <w:rFonts w:cstheme="minorHAnsi"/>
        </w:rPr>
        <w:t>Israel</w:t>
      </w:r>
      <w:r w:rsidR="00055019">
        <w:rPr>
          <w:rFonts w:cstheme="minorHAnsi"/>
        </w:rPr>
        <w:t xml:space="preserve"> and the Apartheid regime </w:t>
      </w:r>
      <w:r w:rsidR="00CC32C1">
        <w:rPr>
          <w:rFonts w:cstheme="minorHAnsi"/>
        </w:rPr>
        <w:t xml:space="preserve">against the Palestinian cultural sector. </w:t>
      </w:r>
    </w:p>
    <w:p w14:paraId="23DD4DE9" w14:textId="45DEA808" w:rsidR="005A42B6" w:rsidRDefault="005A42B6" w:rsidP="005A42B6">
      <w:pPr>
        <w:pStyle w:val="NoSpacing"/>
        <w:jc w:val="both"/>
        <w:rPr>
          <w:rFonts w:cstheme="minorHAnsi"/>
        </w:rPr>
      </w:pPr>
    </w:p>
    <w:p w14:paraId="37C9653D" w14:textId="2325FBB4" w:rsidR="00512D2E" w:rsidRDefault="00CC32C1" w:rsidP="00B73EC0">
      <w:pPr>
        <w:pStyle w:val="NoSpacing"/>
        <w:jc w:val="both"/>
        <w:rPr>
          <w:rFonts w:cstheme="minorHAnsi"/>
        </w:rPr>
      </w:pPr>
      <w:r>
        <w:rPr>
          <w:rFonts w:cstheme="minorHAnsi"/>
        </w:rPr>
        <w:t xml:space="preserve">12. </w:t>
      </w:r>
      <w:r w:rsidR="001857EB">
        <w:rPr>
          <w:rFonts w:cstheme="minorHAnsi"/>
        </w:rPr>
        <w:t>The Partners refer your committee to the Discriminatory Laws Database in Israel that is published on the website of The Legal Center for Arab Minority Rights i</w:t>
      </w:r>
      <w:r w:rsidR="002C7275">
        <w:rPr>
          <w:rFonts w:cstheme="minorHAnsi"/>
        </w:rPr>
        <w:t>n Israel- ADALA. The database is</w:t>
      </w:r>
      <w:r w:rsidR="001857EB">
        <w:rPr>
          <w:rFonts w:cstheme="minorHAnsi"/>
        </w:rPr>
        <w:t xml:space="preserve"> in English, Arabic, and Hebrew and includes tens of discriminatory laws. These laws discriminate, directly or indirectly, against the Palestinian citizens in Israel and against </w:t>
      </w:r>
      <w:r w:rsidR="00201969">
        <w:rPr>
          <w:rFonts w:cstheme="minorHAnsi"/>
        </w:rPr>
        <w:t>Palestinian</w:t>
      </w:r>
      <w:r w:rsidR="001857EB">
        <w:rPr>
          <w:rFonts w:cstheme="minorHAnsi"/>
        </w:rPr>
        <w:t xml:space="preserve"> residents of the OPT</w:t>
      </w:r>
      <w:r w:rsidR="002C7275">
        <w:rPr>
          <w:rFonts w:cstheme="minorHAnsi"/>
        </w:rPr>
        <w:t>,</w:t>
      </w:r>
      <w:r w:rsidR="001857EB">
        <w:rPr>
          <w:rFonts w:cstheme="minorHAnsi"/>
        </w:rPr>
        <w:t xml:space="preserve"> on the base of national belonging. These laws restrict the rights of Palestinians, including cultural and art activities. Additionally, these laws discriminate against Palestinians in all life aspects such as the right to citizenship, political participation, right to utilize land, right to residence, right to education, and religious and cultural rights</w:t>
      </w:r>
      <w:r w:rsidR="001857EB">
        <w:rPr>
          <w:rStyle w:val="FootnoteReference"/>
          <w:rFonts w:cstheme="minorHAnsi"/>
        </w:rPr>
        <w:footnoteReference w:id="2"/>
      </w:r>
      <w:r w:rsidR="001857EB">
        <w:rPr>
          <w:rFonts w:cstheme="minorHAnsi"/>
        </w:rPr>
        <w:t xml:space="preserve">. </w:t>
      </w:r>
      <w:r>
        <w:rPr>
          <w:rFonts w:cstheme="minorHAnsi"/>
        </w:rPr>
        <w:t xml:space="preserve"> </w:t>
      </w:r>
      <w:r w:rsidR="001857EB">
        <w:rPr>
          <w:rFonts w:cstheme="minorHAnsi"/>
        </w:rPr>
        <w:t xml:space="preserve">The Palestinian Ministry of Culture affirmed through a statement published </w:t>
      </w:r>
      <w:r w:rsidR="002C7275">
        <w:rPr>
          <w:rFonts w:cstheme="minorHAnsi"/>
        </w:rPr>
        <w:t xml:space="preserve">through </w:t>
      </w:r>
      <w:r w:rsidR="001857EB">
        <w:rPr>
          <w:rFonts w:cstheme="minorHAnsi"/>
        </w:rPr>
        <w:t xml:space="preserve">the Palestinian News Agency (WAFA) </w:t>
      </w:r>
      <w:r w:rsidR="00201969">
        <w:rPr>
          <w:rFonts w:cstheme="minorHAnsi"/>
        </w:rPr>
        <w:t xml:space="preserve">in </w:t>
      </w:r>
      <w:r w:rsidR="001857EB">
        <w:rPr>
          <w:rFonts w:cstheme="minorHAnsi"/>
        </w:rPr>
        <w:t xml:space="preserve">early 2023 that the violations of the Israeli occupation are dedicated to </w:t>
      </w:r>
      <w:r w:rsidR="00201969">
        <w:rPr>
          <w:rFonts w:cstheme="minorHAnsi"/>
        </w:rPr>
        <w:t>abolishing</w:t>
      </w:r>
      <w:r w:rsidR="001857EB">
        <w:rPr>
          <w:rFonts w:cstheme="minorHAnsi"/>
        </w:rPr>
        <w:t xml:space="preserve">, </w:t>
      </w:r>
      <w:r w:rsidR="00201969">
        <w:rPr>
          <w:rFonts w:cstheme="minorHAnsi"/>
        </w:rPr>
        <w:t>erasing</w:t>
      </w:r>
      <w:r w:rsidR="001857EB">
        <w:rPr>
          <w:rFonts w:cstheme="minorHAnsi"/>
        </w:rPr>
        <w:t xml:space="preserve">, </w:t>
      </w:r>
      <w:r w:rsidR="00201969">
        <w:rPr>
          <w:rFonts w:cstheme="minorHAnsi"/>
        </w:rPr>
        <w:t>Judaizing</w:t>
      </w:r>
      <w:r w:rsidR="001857EB">
        <w:rPr>
          <w:rFonts w:cstheme="minorHAnsi"/>
        </w:rPr>
        <w:t>, and fighting the Palestinian narration. The statement</w:t>
      </w:r>
      <w:r w:rsidR="002C7275">
        <w:rPr>
          <w:rFonts w:cstheme="minorHAnsi"/>
        </w:rPr>
        <w:t xml:space="preserve"> </w:t>
      </w:r>
      <w:r w:rsidR="001857EB">
        <w:rPr>
          <w:rFonts w:cstheme="minorHAnsi"/>
        </w:rPr>
        <w:t>emphasized that the Israeli violations against the Palestinian cultural center</w:t>
      </w:r>
      <w:r w:rsidR="002C7275">
        <w:rPr>
          <w:rFonts w:cstheme="minorHAnsi"/>
        </w:rPr>
        <w:t>s</w:t>
      </w:r>
      <w:r w:rsidR="001857EB">
        <w:rPr>
          <w:rFonts w:cstheme="minorHAnsi"/>
        </w:rPr>
        <w:t xml:space="preserve"> are going on</w:t>
      </w:r>
      <w:r w:rsidR="002C7275">
        <w:rPr>
          <w:rFonts w:cstheme="minorHAnsi"/>
        </w:rPr>
        <w:t xml:space="preserve"> in </w:t>
      </w:r>
      <w:r w:rsidR="001857EB">
        <w:rPr>
          <w:rFonts w:cstheme="minorHAnsi"/>
        </w:rPr>
        <w:t xml:space="preserve">several forms.  The Israeli violations include arresting activists, closing the cultural institutions, </w:t>
      </w:r>
      <w:r w:rsidR="00B73EC0">
        <w:rPr>
          <w:rFonts w:cstheme="minorHAnsi"/>
        </w:rPr>
        <w:t>restricting</w:t>
      </w:r>
      <w:r w:rsidR="001857EB">
        <w:rPr>
          <w:rFonts w:cstheme="minorHAnsi"/>
        </w:rPr>
        <w:t xml:space="preserve"> freedom of mobility, and </w:t>
      </w:r>
      <w:r w:rsidR="00B73EC0">
        <w:rPr>
          <w:rFonts w:cstheme="minorHAnsi"/>
        </w:rPr>
        <w:t>stealing</w:t>
      </w:r>
      <w:r w:rsidR="001857EB">
        <w:rPr>
          <w:rFonts w:cstheme="minorHAnsi"/>
        </w:rPr>
        <w:t xml:space="preserve"> the Palestinian cultural heritage. </w:t>
      </w:r>
      <w:r w:rsidR="002C7275">
        <w:rPr>
          <w:rFonts w:cstheme="minorHAnsi"/>
        </w:rPr>
        <w:t>T</w:t>
      </w:r>
      <w:r w:rsidR="001857EB">
        <w:rPr>
          <w:rFonts w:cstheme="minorHAnsi"/>
        </w:rPr>
        <w:t xml:space="preserve">he violations include banning Palestinian activists from participating in art and cultural activities and events outside the country. The banning is </w:t>
      </w:r>
      <w:r w:rsidR="002C7275">
        <w:rPr>
          <w:rFonts w:cstheme="minorHAnsi"/>
        </w:rPr>
        <w:t>mainly of artists from</w:t>
      </w:r>
      <w:r w:rsidR="001857EB">
        <w:rPr>
          <w:rFonts w:cstheme="minorHAnsi"/>
        </w:rPr>
        <w:t xml:space="preserve"> </w:t>
      </w:r>
      <w:r w:rsidR="00B73EC0">
        <w:rPr>
          <w:rFonts w:cstheme="minorHAnsi"/>
        </w:rPr>
        <w:t xml:space="preserve">the </w:t>
      </w:r>
      <w:r w:rsidR="001857EB">
        <w:rPr>
          <w:rFonts w:cstheme="minorHAnsi"/>
        </w:rPr>
        <w:t xml:space="preserve">Gaza Strip and the attack on the Palestinian culture is centered in Jerusalem. The cultural institutions in Jerusalem are under ongoing </w:t>
      </w:r>
      <w:r w:rsidR="002C7275">
        <w:rPr>
          <w:rFonts w:cstheme="minorHAnsi"/>
        </w:rPr>
        <w:t>assaults, persuading,</w:t>
      </w:r>
      <w:r w:rsidR="001857EB">
        <w:rPr>
          <w:rFonts w:cstheme="minorHAnsi"/>
        </w:rPr>
        <w:t xml:space="preserve"> and closure. In this regard, the Israeli authorities closed 28 cultural institutions in addition to notifying others with closing orders. The cultural institutions in Jerusalem are subject to financial restrictions as well as imposing high </w:t>
      </w:r>
      <w:r w:rsidR="00B73EC0">
        <w:rPr>
          <w:rFonts w:cstheme="minorHAnsi"/>
        </w:rPr>
        <w:t>levels</w:t>
      </w:r>
      <w:r w:rsidR="001857EB">
        <w:rPr>
          <w:rFonts w:cstheme="minorHAnsi"/>
        </w:rPr>
        <w:t xml:space="preserve"> of taxes, which threaten their existence</w:t>
      </w:r>
      <w:r w:rsidR="001857EB">
        <w:rPr>
          <w:rStyle w:val="FootnoteReference"/>
          <w:rFonts w:cstheme="minorHAnsi"/>
        </w:rPr>
        <w:footnoteReference w:id="3"/>
      </w:r>
      <w:r w:rsidR="001857EB">
        <w:rPr>
          <w:rFonts w:cstheme="minorHAnsi"/>
        </w:rPr>
        <w:t xml:space="preserve">. </w:t>
      </w:r>
    </w:p>
    <w:p w14:paraId="1E456FB9" w14:textId="21398552" w:rsidR="001857EB" w:rsidRDefault="001857EB" w:rsidP="00BA292E">
      <w:pPr>
        <w:pStyle w:val="NoSpacing"/>
        <w:jc w:val="both"/>
        <w:rPr>
          <w:rFonts w:cstheme="minorHAnsi"/>
        </w:rPr>
      </w:pPr>
      <w:r>
        <w:rPr>
          <w:rFonts w:cstheme="minorHAnsi"/>
        </w:rPr>
        <w:t>13. The Partners recommend your committee to as</w:t>
      </w:r>
      <w:r w:rsidR="002C7275">
        <w:rPr>
          <w:rFonts w:cstheme="minorHAnsi"/>
        </w:rPr>
        <w:t xml:space="preserve">k the SoP </w:t>
      </w:r>
      <w:r>
        <w:rPr>
          <w:rFonts w:cstheme="minorHAnsi"/>
        </w:rPr>
        <w:t xml:space="preserve">to provide information and categorized statistics about the Israeli violations against the Palestinian artists and cultural institutions as well as cultural products, especially in Jerusalem. Additionally, to request the state party to highlight the measures it took to protect the Palestinian cultural heritage against the Israeli violations as well as the attacks that targeted the Palestinian artists. Moreover, to highlight the measures taken to support the cultural sector against the Israeli discriminatory laws that affect the human rights set and the cultural sector in particular. Moreover, to report </w:t>
      </w:r>
      <w:r w:rsidR="00BA292E">
        <w:rPr>
          <w:rFonts w:cstheme="minorHAnsi"/>
        </w:rPr>
        <w:t>on</w:t>
      </w:r>
      <w:r>
        <w:rPr>
          <w:rFonts w:cstheme="minorHAnsi"/>
        </w:rPr>
        <w:t xml:space="preserve"> the budgets assigned by the state to support the cultural sector and how these budgets were used to protect and empower the cultural sector, in the OPT, </w:t>
      </w:r>
      <w:r w:rsidR="00572A3F">
        <w:rPr>
          <w:rFonts w:cstheme="minorHAnsi"/>
        </w:rPr>
        <w:t>including Jerusalem</w:t>
      </w:r>
      <w:r>
        <w:rPr>
          <w:rFonts w:cstheme="minorHAnsi"/>
        </w:rPr>
        <w:t xml:space="preserve">. </w:t>
      </w:r>
    </w:p>
    <w:p w14:paraId="36BC6FD5" w14:textId="77777777" w:rsidR="00572A3F" w:rsidRDefault="00572A3F" w:rsidP="00BA292E">
      <w:pPr>
        <w:pStyle w:val="NoSpacing"/>
        <w:jc w:val="both"/>
        <w:rPr>
          <w:rFonts w:cstheme="minorHAnsi"/>
        </w:rPr>
      </w:pPr>
    </w:p>
    <w:p w14:paraId="62F922C5" w14:textId="6DDB2E4B" w:rsidR="001857EB" w:rsidRDefault="001857EB" w:rsidP="002A4946">
      <w:pPr>
        <w:pStyle w:val="NoSpacing"/>
        <w:jc w:val="both"/>
        <w:rPr>
          <w:rFonts w:cstheme="minorHAnsi"/>
        </w:rPr>
      </w:pPr>
      <w:r w:rsidRPr="005E289F">
        <w:rPr>
          <w:rFonts w:cstheme="minorHAnsi"/>
          <w:b/>
          <w:bCs/>
        </w:rPr>
        <w:t>5.</w:t>
      </w:r>
      <w:r w:rsidR="002A4946" w:rsidRPr="005E289F">
        <w:rPr>
          <w:rFonts w:cstheme="minorHAnsi"/>
          <w:b/>
          <w:bCs/>
        </w:rPr>
        <w:t xml:space="preserve"> </w:t>
      </w:r>
      <w:r w:rsidRPr="005E289F">
        <w:rPr>
          <w:rFonts w:cstheme="minorHAnsi"/>
          <w:b/>
          <w:bCs/>
        </w:rPr>
        <w:t>The</w:t>
      </w:r>
      <w:r w:rsidRPr="00EB1B25">
        <w:rPr>
          <w:rFonts w:cstheme="minorHAnsi"/>
          <w:b/>
          <w:bCs/>
        </w:rPr>
        <w:t xml:space="preserve"> Israeli Attack on Jenin Refugee Camp and Targeting the Cultural Institutions</w:t>
      </w:r>
      <w:r>
        <w:rPr>
          <w:rFonts w:cstheme="minorHAnsi"/>
        </w:rPr>
        <w:t>:</w:t>
      </w:r>
    </w:p>
    <w:p w14:paraId="6D13DDE6" w14:textId="700B8D34" w:rsidR="001857EB" w:rsidRDefault="001857EB" w:rsidP="00BA292E">
      <w:pPr>
        <w:pStyle w:val="NoSpacing"/>
        <w:jc w:val="both"/>
        <w:rPr>
          <w:rFonts w:cstheme="minorHAnsi"/>
        </w:rPr>
      </w:pPr>
      <w:r>
        <w:rPr>
          <w:rFonts w:cstheme="minorHAnsi"/>
        </w:rPr>
        <w:t xml:space="preserve">14. On Monday, July 3, 2023, between </w:t>
      </w:r>
      <w:r w:rsidR="00FA1C82">
        <w:rPr>
          <w:rFonts w:cstheme="minorHAnsi"/>
        </w:rPr>
        <w:t>1:30 and</w:t>
      </w:r>
      <w:r>
        <w:rPr>
          <w:rFonts w:cstheme="minorHAnsi"/>
        </w:rPr>
        <w:t xml:space="preserve"> 2:00 am, the Israeli Occupation Army declared</w:t>
      </w:r>
      <w:r w:rsidR="00BA292E">
        <w:rPr>
          <w:rFonts w:cstheme="minorHAnsi"/>
        </w:rPr>
        <w:t xml:space="preserve"> </w:t>
      </w:r>
      <w:r>
        <w:rPr>
          <w:rFonts w:cstheme="minorHAnsi"/>
        </w:rPr>
        <w:t xml:space="preserve">a military campaign against Jenin Refugee Camp. The camp is located in the Western Part of Jenin City and it is inhabited </w:t>
      </w:r>
      <w:r w:rsidR="00BA292E">
        <w:rPr>
          <w:rFonts w:cstheme="minorHAnsi"/>
        </w:rPr>
        <w:t>by</w:t>
      </w:r>
      <w:r>
        <w:rPr>
          <w:rFonts w:cstheme="minorHAnsi"/>
        </w:rPr>
        <w:t xml:space="preserve"> about 27 thousand Palestinians (deprived of their indivisible right to return) in an area that </w:t>
      </w:r>
      <w:r>
        <w:rPr>
          <w:rFonts w:cstheme="minorHAnsi"/>
        </w:rPr>
        <w:lastRenderedPageBreak/>
        <w:t xml:space="preserve">is less than one square kilometer. More than a thousand and a hundred soldiers participated in the aggression and more than 300 military vehicles in addition to several military </w:t>
      </w:r>
      <w:r w:rsidR="00BA292E">
        <w:rPr>
          <w:rFonts w:cstheme="minorHAnsi"/>
        </w:rPr>
        <w:t>aircraft</w:t>
      </w:r>
      <w:r>
        <w:rPr>
          <w:rFonts w:cstheme="minorHAnsi"/>
        </w:rPr>
        <w:t xml:space="preserve"> (drones and helicopters). The result of the attack, which lasted for 48 hours, was killing 12 Palestinians and 157 injured persons including </w:t>
      </w:r>
      <w:r w:rsidR="00FA1C82">
        <w:rPr>
          <w:rFonts w:cstheme="minorHAnsi"/>
        </w:rPr>
        <w:t>children</w:t>
      </w:r>
      <w:r>
        <w:rPr>
          <w:rFonts w:cstheme="minorHAnsi"/>
        </w:rPr>
        <w:t>. The aggression caused horrible destruction of the infrastructure of the camp. The Isra</w:t>
      </w:r>
      <w:r w:rsidR="00BA292E">
        <w:rPr>
          <w:rFonts w:cstheme="minorHAnsi"/>
        </w:rPr>
        <w:t>eli army bulldozed more than ten</w:t>
      </w:r>
      <w:r>
        <w:rPr>
          <w:rFonts w:cstheme="minorHAnsi"/>
        </w:rPr>
        <w:t xml:space="preserve"> major streets inside the camp as well as destroying the networks of sewage, water, and telecommunication.  The army destroyed more </w:t>
      </w:r>
      <w:r w:rsidR="007A0C7F">
        <w:rPr>
          <w:rFonts w:cstheme="minorHAnsi"/>
        </w:rPr>
        <w:t xml:space="preserve">than </w:t>
      </w:r>
      <w:r>
        <w:rPr>
          <w:rFonts w:cstheme="minorHAnsi"/>
        </w:rPr>
        <w:t>50 houses entirely</w:t>
      </w:r>
      <w:r w:rsidR="00FE1DFF">
        <w:rPr>
          <w:rFonts w:cstheme="minorHAnsi"/>
        </w:rPr>
        <w:t>,</w:t>
      </w:r>
      <w:r>
        <w:rPr>
          <w:rFonts w:cstheme="minorHAnsi"/>
        </w:rPr>
        <w:t xml:space="preserve"> while another 500 houses </w:t>
      </w:r>
      <w:r w:rsidR="007A0C7F">
        <w:rPr>
          <w:rFonts w:cstheme="minorHAnsi"/>
        </w:rPr>
        <w:t xml:space="preserve">were </w:t>
      </w:r>
      <w:r>
        <w:rPr>
          <w:rFonts w:cstheme="minorHAnsi"/>
        </w:rPr>
        <w:t>partially destroyed</w:t>
      </w:r>
      <w:r w:rsidR="007A0C7F">
        <w:rPr>
          <w:rFonts w:cstheme="minorHAnsi"/>
        </w:rPr>
        <w:t>,</w:t>
      </w:r>
      <w:r>
        <w:rPr>
          <w:rFonts w:cstheme="minorHAnsi"/>
        </w:rPr>
        <w:t xml:space="preserve"> </w:t>
      </w:r>
      <w:r w:rsidR="00FA1C82">
        <w:rPr>
          <w:rFonts w:cstheme="minorHAnsi"/>
        </w:rPr>
        <w:t xml:space="preserve">and </w:t>
      </w:r>
      <w:r>
        <w:rPr>
          <w:rFonts w:cstheme="minorHAnsi"/>
        </w:rPr>
        <w:t>destroying more than 300 civil</w:t>
      </w:r>
      <w:r w:rsidR="00D72F29">
        <w:rPr>
          <w:rFonts w:cstheme="minorHAnsi"/>
        </w:rPr>
        <w:t>ian owned</w:t>
      </w:r>
      <w:r>
        <w:rPr>
          <w:rFonts w:cstheme="minorHAnsi"/>
        </w:rPr>
        <w:t xml:space="preserve"> cars. The attack resulted in forcibly displacing more than 3000 persons where several houses in the camp were transferred into military barracks as the Israeli soldiers took shelter in these houses. Several hospitals, health centers, and a</w:t>
      </w:r>
      <w:r w:rsidR="00FA1C82">
        <w:rPr>
          <w:rFonts w:cstheme="minorHAnsi"/>
        </w:rPr>
        <w:t>m</w:t>
      </w:r>
      <w:r>
        <w:rPr>
          <w:rFonts w:cstheme="minorHAnsi"/>
        </w:rPr>
        <w:t>bulances were</w:t>
      </w:r>
      <w:r w:rsidR="00FA1C82">
        <w:rPr>
          <w:rFonts w:cstheme="minorHAnsi"/>
        </w:rPr>
        <w:t xml:space="preserve"> </w:t>
      </w:r>
      <w:r>
        <w:rPr>
          <w:rFonts w:cstheme="minorHAnsi"/>
        </w:rPr>
        <w:t>targeted. During the aggression, the Israeli army targeted the cultural institutions directly and arrested several persons working in these institutions</w:t>
      </w:r>
      <w:r>
        <w:rPr>
          <w:rStyle w:val="FootnoteReference"/>
          <w:rFonts w:cstheme="minorHAnsi"/>
        </w:rPr>
        <w:footnoteReference w:id="4"/>
      </w:r>
      <w:r>
        <w:rPr>
          <w:rFonts w:cstheme="minorHAnsi"/>
        </w:rPr>
        <w:t xml:space="preserve">.  </w:t>
      </w:r>
    </w:p>
    <w:p w14:paraId="543C3BE4" w14:textId="381F1EBE" w:rsidR="001857EB" w:rsidRDefault="001857EB" w:rsidP="007A0C7F">
      <w:pPr>
        <w:pStyle w:val="NoSpacing"/>
        <w:jc w:val="both"/>
        <w:rPr>
          <w:rFonts w:cstheme="minorHAnsi"/>
        </w:rPr>
      </w:pPr>
      <w:r>
        <w:rPr>
          <w:rFonts w:cstheme="minorHAnsi"/>
        </w:rPr>
        <w:t xml:space="preserve">15. Around 8:30 am on Monday, the Israeli forces attacked the Freedom Theater in </w:t>
      </w:r>
      <w:r w:rsidR="00FA1C82">
        <w:rPr>
          <w:rFonts w:cstheme="minorHAnsi"/>
        </w:rPr>
        <w:t xml:space="preserve">the </w:t>
      </w:r>
      <w:r>
        <w:rPr>
          <w:rFonts w:cstheme="minorHAnsi"/>
        </w:rPr>
        <w:t xml:space="preserve">Camp. The Theater was established in the year 1990 and arranges a </w:t>
      </w:r>
      <w:r w:rsidR="00D72F29">
        <w:rPr>
          <w:rFonts w:cstheme="minorHAnsi"/>
        </w:rPr>
        <w:t xml:space="preserve">range </w:t>
      </w:r>
      <w:r>
        <w:rPr>
          <w:rFonts w:cstheme="minorHAnsi"/>
        </w:rPr>
        <w:t>of activities in the field of music and drama for youth and children in addition to a series of social activities that target women and children</w:t>
      </w:r>
      <w:r w:rsidR="00FA1C82">
        <w:rPr>
          <w:rFonts w:cstheme="minorHAnsi"/>
        </w:rPr>
        <w:t xml:space="preserve">. </w:t>
      </w:r>
      <w:r>
        <w:rPr>
          <w:rFonts w:cstheme="minorHAnsi"/>
        </w:rPr>
        <w:t xml:space="preserve">The attack started </w:t>
      </w:r>
      <w:r w:rsidR="007A0C7F">
        <w:rPr>
          <w:rFonts w:cstheme="minorHAnsi"/>
        </w:rPr>
        <w:t>with</w:t>
      </w:r>
      <w:r>
        <w:rPr>
          <w:rFonts w:cstheme="minorHAnsi"/>
        </w:rPr>
        <w:t xml:space="preserve"> a </w:t>
      </w:r>
      <w:r w:rsidR="007A0C7F">
        <w:rPr>
          <w:rFonts w:cstheme="minorHAnsi"/>
        </w:rPr>
        <w:t>man-portable</w:t>
      </w:r>
      <w:r>
        <w:rPr>
          <w:rFonts w:cstheme="minorHAnsi"/>
        </w:rPr>
        <w:t xml:space="preserve"> missile that hit one of the walls of the Theater and then the Israeli infantry forces approached the Theater accompanied with police dogs. The Israeli force invaded the major performance hall of the Theater where the families from the houses around the place, took shelter</w:t>
      </w:r>
      <w:r w:rsidR="00FA1C82">
        <w:rPr>
          <w:rFonts w:cstheme="minorHAnsi"/>
        </w:rPr>
        <w:t>.</w:t>
      </w:r>
      <w:r>
        <w:rPr>
          <w:rFonts w:cstheme="minorHAnsi"/>
        </w:rPr>
        <w:t xml:space="preserve"> The Israeli soldiers terrorized the kids and their families inside the Theater and arrested most of those who were there. The Israeli forces arrested A</w:t>
      </w:r>
      <w:r w:rsidR="00FA1C82">
        <w:rPr>
          <w:rFonts w:cstheme="minorHAnsi"/>
        </w:rPr>
        <w:t xml:space="preserve">.N </w:t>
      </w:r>
      <w:r>
        <w:rPr>
          <w:rFonts w:cstheme="minorHAnsi"/>
        </w:rPr>
        <w:t>(55 years old) who serves as the director of the technical issues in the Theater. Five civil</w:t>
      </w:r>
      <w:r w:rsidR="00D72F29">
        <w:rPr>
          <w:rFonts w:cstheme="minorHAnsi"/>
        </w:rPr>
        <w:t>ian owned</w:t>
      </w:r>
      <w:r>
        <w:rPr>
          <w:rFonts w:cstheme="minorHAnsi"/>
        </w:rPr>
        <w:t xml:space="preserve"> cars that were parked in the front yard of the Theater were </w:t>
      </w:r>
      <w:r w:rsidR="00FE1DFF">
        <w:rPr>
          <w:rFonts w:cstheme="minorHAnsi"/>
        </w:rPr>
        <w:t xml:space="preserve">detonated </w:t>
      </w:r>
      <w:r>
        <w:rPr>
          <w:rFonts w:cstheme="minorHAnsi"/>
        </w:rPr>
        <w:t xml:space="preserve">and </w:t>
      </w:r>
      <w:r w:rsidR="00FA1C82">
        <w:rPr>
          <w:rFonts w:cstheme="minorHAnsi"/>
        </w:rPr>
        <w:t xml:space="preserve">the soldiers </w:t>
      </w:r>
      <w:r>
        <w:rPr>
          <w:rFonts w:cstheme="minorHAnsi"/>
        </w:rPr>
        <w:t>invaded the floors above the Theater (The Theater is in a ground floor in a building) and demolished the walls of these floors. The attack of the Theater caused blocking all the art and cultural activities that were usually implemented on a regular basis and deprive</w:t>
      </w:r>
      <w:r w:rsidR="00FA1C82">
        <w:rPr>
          <w:rFonts w:cstheme="minorHAnsi"/>
        </w:rPr>
        <w:t>d</w:t>
      </w:r>
      <w:r>
        <w:rPr>
          <w:rFonts w:cstheme="minorHAnsi"/>
        </w:rPr>
        <w:t xml:space="preserve"> wide segments from the residents from benefiting from the activities of the Theater. </w:t>
      </w:r>
      <w:r w:rsidR="00FA1C82">
        <w:rPr>
          <w:rFonts w:cstheme="minorHAnsi"/>
        </w:rPr>
        <w:t>T</w:t>
      </w:r>
      <w:r>
        <w:rPr>
          <w:rFonts w:cstheme="minorHAnsi"/>
        </w:rPr>
        <w:t xml:space="preserve">he Israeli forces targeted the Youth Social and Cultural Center in </w:t>
      </w:r>
      <w:r w:rsidR="005E289F">
        <w:rPr>
          <w:rFonts w:cstheme="minorHAnsi"/>
        </w:rPr>
        <w:t>the Camp</w:t>
      </w:r>
      <w:r>
        <w:rPr>
          <w:rFonts w:cstheme="minorHAnsi"/>
        </w:rPr>
        <w:t xml:space="preserve"> with at least one missile that was fired by a drone and fell close to the main entrance of the Center. </w:t>
      </w:r>
      <w:r w:rsidR="00FA1C82">
        <w:rPr>
          <w:rFonts w:cstheme="minorHAnsi"/>
        </w:rPr>
        <w:t>T</w:t>
      </w:r>
      <w:r>
        <w:rPr>
          <w:rFonts w:cstheme="minorHAnsi"/>
        </w:rPr>
        <w:t>he front glass of the Center was targeted with heavy shooting that resulted in blocking the social and cultural activities of the Center and deprive</w:t>
      </w:r>
      <w:r w:rsidR="00FA1C82">
        <w:rPr>
          <w:rFonts w:cstheme="minorHAnsi"/>
        </w:rPr>
        <w:t>d</w:t>
      </w:r>
      <w:r>
        <w:rPr>
          <w:rFonts w:cstheme="minorHAnsi"/>
        </w:rPr>
        <w:t xml:space="preserve"> the residents from these services. </w:t>
      </w:r>
      <w:r w:rsidR="00FA1C82">
        <w:rPr>
          <w:rFonts w:cstheme="minorHAnsi"/>
        </w:rPr>
        <w:t>T</w:t>
      </w:r>
      <w:r>
        <w:rPr>
          <w:rFonts w:cstheme="minorHAnsi"/>
        </w:rPr>
        <w:t xml:space="preserve">he Israeli forces attacked several buildings of organizations (inside and outside the camp) that provide social and cultural services for the residents </w:t>
      </w:r>
      <w:r w:rsidR="005E289F">
        <w:rPr>
          <w:rFonts w:cstheme="minorHAnsi"/>
        </w:rPr>
        <w:t>of the</w:t>
      </w:r>
      <w:r w:rsidR="00FA1C82">
        <w:rPr>
          <w:rFonts w:cstheme="minorHAnsi"/>
        </w:rPr>
        <w:t xml:space="preserve"> </w:t>
      </w:r>
      <w:r>
        <w:rPr>
          <w:rFonts w:cstheme="minorHAnsi"/>
        </w:rPr>
        <w:t xml:space="preserve">area. Among the targeted organizations is the building of services of </w:t>
      </w:r>
      <w:r w:rsidR="00377D9A">
        <w:rPr>
          <w:rFonts w:cstheme="minorHAnsi"/>
        </w:rPr>
        <w:t>“</w:t>
      </w:r>
      <w:r>
        <w:rPr>
          <w:rFonts w:cstheme="minorHAnsi"/>
        </w:rPr>
        <w:t xml:space="preserve">Jenin Camp Services </w:t>
      </w:r>
      <w:r w:rsidR="005E289F">
        <w:rPr>
          <w:rFonts w:cstheme="minorHAnsi"/>
        </w:rPr>
        <w:t>Committee” that</w:t>
      </w:r>
      <w:r>
        <w:rPr>
          <w:rFonts w:cstheme="minorHAnsi"/>
        </w:rPr>
        <w:t xml:space="preserve"> is close to Al- Hisan Square, Women Community Center in the Al Saha Area, and the Kindergarten of Jenin Camp Services Committee in the Western Quarter of the Camp. All these organizations were subject to partial destruction as a result to the Israeli aggression as they, or the surrounding areas,</w:t>
      </w:r>
      <w:r w:rsidR="009166FA">
        <w:rPr>
          <w:rFonts w:cstheme="minorHAnsi"/>
        </w:rPr>
        <w:t xml:space="preserve"> </w:t>
      </w:r>
      <w:r>
        <w:rPr>
          <w:rFonts w:cstheme="minorHAnsi"/>
        </w:rPr>
        <w:t>were either directly or indirectly targeted</w:t>
      </w:r>
      <w:r>
        <w:rPr>
          <w:rStyle w:val="FootnoteReference"/>
          <w:rFonts w:cstheme="minorHAnsi"/>
        </w:rPr>
        <w:footnoteReference w:id="5"/>
      </w:r>
      <w:r>
        <w:rPr>
          <w:rFonts w:cstheme="minorHAnsi"/>
        </w:rPr>
        <w:t>.</w:t>
      </w:r>
    </w:p>
    <w:p w14:paraId="3F66493C" w14:textId="7F5E04F5" w:rsidR="009166FA" w:rsidRDefault="001857EB" w:rsidP="00CB13B4">
      <w:pPr>
        <w:pStyle w:val="NoSpacing"/>
        <w:jc w:val="both"/>
        <w:rPr>
          <w:rFonts w:cstheme="minorHAnsi"/>
        </w:rPr>
      </w:pPr>
      <w:r>
        <w:rPr>
          <w:rFonts w:cstheme="minorHAnsi"/>
        </w:rPr>
        <w:t xml:space="preserve">16. </w:t>
      </w:r>
      <w:r w:rsidR="00C21601">
        <w:rPr>
          <w:rFonts w:cstheme="minorHAnsi"/>
        </w:rPr>
        <w:t>The Partners recommend your committee</w:t>
      </w:r>
      <w:r w:rsidR="009166FA">
        <w:rPr>
          <w:rFonts w:cstheme="minorHAnsi"/>
        </w:rPr>
        <w:t xml:space="preserve"> to as</w:t>
      </w:r>
      <w:r w:rsidR="00377D9A">
        <w:rPr>
          <w:rFonts w:cstheme="minorHAnsi"/>
        </w:rPr>
        <w:t xml:space="preserve">k </w:t>
      </w:r>
      <w:r w:rsidR="009166FA">
        <w:rPr>
          <w:rFonts w:cstheme="minorHAnsi"/>
        </w:rPr>
        <w:t>the S</w:t>
      </w:r>
      <w:r w:rsidR="00377D9A">
        <w:rPr>
          <w:rFonts w:cstheme="minorHAnsi"/>
        </w:rPr>
        <w:t xml:space="preserve">oP </w:t>
      </w:r>
      <w:r w:rsidR="009166FA">
        <w:rPr>
          <w:rFonts w:cstheme="minorHAnsi"/>
        </w:rPr>
        <w:t>to provide detailed information and categorized statistics about the results of the Israeli attack on Jenin Camp, on 3/6/2023, and targeting civilians and civil buildings, including</w:t>
      </w:r>
      <w:r w:rsidR="00377D9A">
        <w:rPr>
          <w:rFonts w:cstheme="minorHAnsi"/>
        </w:rPr>
        <w:t xml:space="preserve"> “</w:t>
      </w:r>
      <w:r w:rsidR="009166FA">
        <w:rPr>
          <w:rFonts w:cstheme="minorHAnsi"/>
        </w:rPr>
        <w:t>Freedom Theater, Youth Cultural and Social Center, and other cultural institutions</w:t>
      </w:r>
      <w:r w:rsidR="00377D9A">
        <w:rPr>
          <w:rFonts w:cstheme="minorHAnsi"/>
        </w:rPr>
        <w:t>”</w:t>
      </w:r>
      <w:r w:rsidR="009166FA">
        <w:rPr>
          <w:rFonts w:cstheme="minorHAnsi"/>
        </w:rPr>
        <w:t xml:space="preserve">. The aggression resulted in horrible destruction within the </w:t>
      </w:r>
      <w:r w:rsidR="00377D9A">
        <w:rPr>
          <w:rFonts w:cstheme="minorHAnsi"/>
        </w:rPr>
        <w:t>infrastructure;</w:t>
      </w:r>
      <w:r w:rsidR="009166FA">
        <w:rPr>
          <w:rFonts w:cstheme="minorHAnsi"/>
        </w:rPr>
        <w:t xml:space="preserve"> consequently, the state party should provide the committee with information and data about the impact of the aggression on social, economic, and cultural rights. There should be </w:t>
      </w:r>
      <w:r w:rsidR="008854F0">
        <w:rPr>
          <w:rFonts w:cstheme="minorHAnsi"/>
        </w:rPr>
        <w:t xml:space="preserve">a </w:t>
      </w:r>
      <w:r w:rsidR="009166FA">
        <w:rPr>
          <w:rFonts w:cstheme="minorHAnsi"/>
        </w:rPr>
        <w:t xml:space="preserve">focus on cultural rights and the state party should report </w:t>
      </w:r>
      <w:r w:rsidR="008854F0">
        <w:rPr>
          <w:rFonts w:cstheme="minorHAnsi"/>
        </w:rPr>
        <w:t>on</w:t>
      </w:r>
      <w:r w:rsidR="009166FA">
        <w:rPr>
          <w:rFonts w:cstheme="minorHAnsi"/>
        </w:rPr>
        <w:t xml:space="preserve"> the efforts and progress within the process of rebuilding the camp. Moreover, to report </w:t>
      </w:r>
      <w:r w:rsidR="008854F0">
        <w:rPr>
          <w:rFonts w:cstheme="minorHAnsi"/>
        </w:rPr>
        <w:t>on</w:t>
      </w:r>
      <w:r w:rsidR="009166FA">
        <w:rPr>
          <w:rFonts w:cstheme="minorHAnsi"/>
        </w:rPr>
        <w:t xml:space="preserve"> the efforts made by the state party to account </w:t>
      </w:r>
      <w:r w:rsidR="00CB13B4">
        <w:rPr>
          <w:rFonts w:cstheme="minorHAnsi"/>
        </w:rPr>
        <w:t xml:space="preserve">for </w:t>
      </w:r>
      <w:r w:rsidR="009166FA">
        <w:rPr>
          <w:rFonts w:cstheme="minorHAnsi"/>
        </w:rPr>
        <w:t>the occupation for its crimes against Palestinians</w:t>
      </w:r>
      <w:r w:rsidR="00377D9A">
        <w:rPr>
          <w:rFonts w:cstheme="minorHAnsi"/>
        </w:rPr>
        <w:t>,</w:t>
      </w:r>
      <w:r w:rsidR="009166FA">
        <w:rPr>
          <w:rFonts w:cstheme="minorHAnsi"/>
        </w:rPr>
        <w:t xml:space="preserve"> including the crimes against cultural rights. The state party should report </w:t>
      </w:r>
      <w:r w:rsidR="00CB13B4">
        <w:rPr>
          <w:rFonts w:cstheme="minorHAnsi"/>
        </w:rPr>
        <w:t>on</w:t>
      </w:r>
      <w:r w:rsidR="009166FA">
        <w:rPr>
          <w:rFonts w:cstheme="minorHAnsi"/>
        </w:rPr>
        <w:t xml:space="preserve"> the progress made towards realizing the promise of the Palestinian prime minister, on 10/7/2023, to form a </w:t>
      </w:r>
      <w:r w:rsidR="009166FA">
        <w:rPr>
          <w:rFonts w:cstheme="minorHAnsi"/>
        </w:rPr>
        <w:lastRenderedPageBreak/>
        <w:t xml:space="preserve">technical committee to rehabilitate Jenin Camp. In addition, to report about investing </w:t>
      </w:r>
      <w:r w:rsidR="00CB13B4">
        <w:rPr>
          <w:rFonts w:cstheme="minorHAnsi"/>
        </w:rPr>
        <w:t xml:space="preserve">in </w:t>
      </w:r>
      <w:r w:rsidR="009166FA">
        <w:rPr>
          <w:rFonts w:cstheme="minorHAnsi"/>
        </w:rPr>
        <w:t xml:space="preserve">the financial </w:t>
      </w:r>
      <w:r w:rsidR="00CB13B4">
        <w:rPr>
          <w:rFonts w:cstheme="minorHAnsi"/>
        </w:rPr>
        <w:t>aid</w:t>
      </w:r>
      <w:r w:rsidR="009166FA">
        <w:rPr>
          <w:rFonts w:cstheme="minorHAnsi"/>
        </w:rPr>
        <w:t xml:space="preserve"> provided by some countries like Algeria, Turkey, and UAE in addition to the grants provided by other organizations. The rehabilitation was supposed to include the cultural institutions and rights inside the camp. The state party should highlight the proposed timeline to rebuild the Camp and enhance the cultural rights and activities inside it. </w:t>
      </w:r>
    </w:p>
    <w:p w14:paraId="54F13685" w14:textId="77777777" w:rsidR="005E289F" w:rsidRDefault="005E289F" w:rsidP="00CB13B4">
      <w:pPr>
        <w:pStyle w:val="NoSpacing"/>
        <w:jc w:val="both"/>
        <w:rPr>
          <w:rFonts w:cstheme="minorHAnsi"/>
        </w:rPr>
      </w:pPr>
    </w:p>
    <w:p w14:paraId="0B98567E" w14:textId="2B7811C7" w:rsidR="009166FA" w:rsidRDefault="009166FA" w:rsidP="000645BB">
      <w:pPr>
        <w:pStyle w:val="NoSpacing"/>
        <w:jc w:val="both"/>
        <w:rPr>
          <w:rFonts w:cstheme="minorHAnsi"/>
        </w:rPr>
      </w:pPr>
      <w:r w:rsidRPr="005E289F">
        <w:rPr>
          <w:rFonts w:cstheme="minorHAnsi"/>
          <w:b/>
          <w:bCs/>
        </w:rPr>
        <w:t>6.</w:t>
      </w:r>
      <w:r>
        <w:rPr>
          <w:rFonts w:cstheme="minorHAnsi"/>
        </w:rPr>
        <w:t xml:space="preserve"> </w:t>
      </w:r>
      <w:r w:rsidRPr="00377D9A">
        <w:rPr>
          <w:rFonts w:cstheme="minorHAnsi"/>
          <w:b/>
          <w:bCs/>
        </w:rPr>
        <w:t>Palestinian Prisoners in the Israeli Prisons, Prisons</w:t>
      </w:r>
      <w:r w:rsidR="00D72F29">
        <w:rPr>
          <w:rFonts w:cstheme="minorHAnsi"/>
          <w:b/>
          <w:bCs/>
        </w:rPr>
        <w:t>’</w:t>
      </w:r>
      <w:r w:rsidRPr="00377D9A">
        <w:rPr>
          <w:rFonts w:cstheme="minorHAnsi"/>
          <w:b/>
          <w:bCs/>
        </w:rPr>
        <w:t xml:space="preserve"> Literature, and Prisoner Waleed Daqqa</w:t>
      </w:r>
      <w:r>
        <w:rPr>
          <w:rFonts w:cstheme="minorHAnsi"/>
        </w:rPr>
        <w:t>:</w:t>
      </w:r>
    </w:p>
    <w:p w14:paraId="01FE4725" w14:textId="1CEB3CB0" w:rsidR="009166FA" w:rsidRDefault="009166FA" w:rsidP="008C710E">
      <w:pPr>
        <w:pStyle w:val="NoSpacing"/>
        <w:jc w:val="both"/>
      </w:pPr>
      <w:r>
        <w:rPr>
          <w:rFonts w:cstheme="minorHAnsi"/>
        </w:rPr>
        <w:t xml:space="preserve"> 17. There are currently around 4700 Palestinian prisoners in Israeli prisons including 170 minors and 34 women</w:t>
      </w:r>
      <w:r>
        <w:rPr>
          <w:rStyle w:val="FootnoteReference"/>
          <w:rFonts w:cstheme="minorHAnsi"/>
        </w:rPr>
        <w:footnoteReference w:id="6"/>
      </w:r>
      <w:r>
        <w:rPr>
          <w:rFonts w:cstheme="minorHAnsi"/>
        </w:rPr>
        <w:t>.</w:t>
      </w:r>
      <w:r>
        <w:rPr>
          <w:rFonts w:ascii="Times New Roman" w:hAnsi="Times New Roman" w:cs="Times New Roman"/>
          <w:b/>
          <w:bCs/>
          <w:sz w:val="24"/>
          <w:szCs w:val="24"/>
          <w:lang w:bidi="ar-JO"/>
        </w:rPr>
        <w:t xml:space="preserve"> </w:t>
      </w:r>
      <w:r>
        <w:rPr>
          <w:rFonts w:cstheme="minorHAnsi"/>
          <w:lang w:bidi="ar-JO"/>
        </w:rPr>
        <w:t>The Palestinian prisoners, including artists, writers, and cultural activists, serve a variety of terms in the Israeli prisons, including lifetime sentences. The Palestinian prisoners are living in hard detention circumstances and in difficult climate areas</w:t>
      </w:r>
      <w:r w:rsidR="00377D9A">
        <w:rPr>
          <w:rFonts w:cstheme="minorHAnsi"/>
          <w:lang w:bidi="ar-JO"/>
        </w:rPr>
        <w:t>,</w:t>
      </w:r>
      <w:r>
        <w:rPr>
          <w:rFonts w:cstheme="minorHAnsi"/>
          <w:lang w:bidi="ar-JO"/>
        </w:rPr>
        <w:t xml:space="preserve"> such as Negev Desert Prison, in the desert of Negev, close to the </w:t>
      </w:r>
      <w:r w:rsidRPr="009166FA">
        <w:t>Israeli nuclear reactor in Dimona</w:t>
      </w:r>
      <w:r w:rsidR="00B572ED">
        <w:t>,</w:t>
      </w:r>
      <w:r>
        <w:t xml:space="preserve"> and in an area used to </w:t>
      </w:r>
      <w:r w:rsidR="00212645">
        <w:t>bury</w:t>
      </w:r>
      <w:r>
        <w:t xml:space="preserve"> nuclear wastes, which </w:t>
      </w:r>
      <w:r w:rsidR="008C710E">
        <w:t>causes</w:t>
      </w:r>
      <w:r>
        <w:t xml:space="preserve"> cancer to many prisoners. </w:t>
      </w:r>
      <w:r w:rsidR="00377D9A">
        <w:t>T</w:t>
      </w:r>
      <w:r>
        <w:t xml:space="preserve">here are another 3 prisons in the Negev Desert </w:t>
      </w:r>
      <w:r w:rsidR="00212645">
        <w:t>which</w:t>
      </w:r>
      <w:r>
        <w:t xml:space="preserve"> are Rimon, Nafha, and Beer Shev</w:t>
      </w:r>
      <w:r w:rsidR="00D72F29">
        <w:t>a</w:t>
      </w:r>
      <w:r>
        <w:t xml:space="preserve">. Palestinian prisoners in these prisons are living under hard degrading circumstances and are deprived of the appropriate medical </w:t>
      </w:r>
      <w:r w:rsidR="00212645">
        <w:t>aid</w:t>
      </w:r>
      <w:r>
        <w:t xml:space="preserve"> </w:t>
      </w:r>
      <w:r w:rsidR="00212645">
        <w:t>It</w:t>
      </w:r>
      <w:r>
        <w:t xml:space="preserve"> is a medical crime and they face </w:t>
      </w:r>
      <w:r w:rsidR="00212645">
        <w:t xml:space="preserve">a </w:t>
      </w:r>
      <w:r>
        <w:t xml:space="preserve">shortage </w:t>
      </w:r>
      <w:r w:rsidR="008C710E">
        <w:t>of</w:t>
      </w:r>
      <w:r>
        <w:t xml:space="preserve"> doctors and medical equipment. The procedures of transferring prisoners, including minors, to hospitals are very complicated where prisoners are transferred while their hands and legs are chained. Transferring Palestinian prisoners including minors and persons with </w:t>
      </w:r>
      <w:r w:rsidR="00212645">
        <w:t>disabilities</w:t>
      </w:r>
      <w:r>
        <w:t xml:space="preserve"> to the hospital or to the courts is </w:t>
      </w:r>
      <w:r w:rsidR="008C710E">
        <w:t xml:space="preserve">done </w:t>
      </w:r>
      <w:r>
        <w:t xml:space="preserve">by special buses called (Post). This process </w:t>
      </w:r>
      <w:r w:rsidR="00B572ED">
        <w:t>lacks</w:t>
      </w:r>
      <w:r>
        <w:t xml:space="preserve"> the minimum human standards </w:t>
      </w:r>
      <w:r w:rsidR="005E289F">
        <w:t>and, in some cases,</w:t>
      </w:r>
      <w:r>
        <w:t xml:space="preserve"> the transferring trip </w:t>
      </w:r>
      <w:r w:rsidR="00B572ED">
        <w:t>lasts</w:t>
      </w:r>
      <w:r>
        <w:t xml:space="preserve"> for long hours, during which prisoners are not allowed to use restrooms. Prisoners, in several statements, described the Post buses with terms like (Torture Buses, Mobile Tombs, and Death </w:t>
      </w:r>
      <w:r w:rsidR="00377D9A">
        <w:t>Buses</w:t>
      </w:r>
      <w:r>
        <w:t>)</w:t>
      </w:r>
      <w:r>
        <w:rPr>
          <w:rStyle w:val="FootnoteReference"/>
        </w:rPr>
        <w:footnoteReference w:id="7"/>
      </w:r>
      <w:r>
        <w:t xml:space="preserve">. </w:t>
      </w:r>
    </w:p>
    <w:p w14:paraId="3685875F" w14:textId="1E74BDF3" w:rsidR="00443125" w:rsidRDefault="009166FA" w:rsidP="00C1205F">
      <w:pPr>
        <w:pStyle w:val="NoSpacing"/>
        <w:jc w:val="both"/>
      </w:pPr>
      <w:r>
        <w:t>18. Palestinian Prisoner</w:t>
      </w:r>
      <w:r w:rsidR="00D72F29">
        <w:t>,</w:t>
      </w:r>
      <w:r>
        <w:t xml:space="preserve"> Writer Waleed Daqqa: From Baqa G</w:t>
      </w:r>
      <w:r w:rsidR="00D72F29">
        <w:t>h</w:t>
      </w:r>
      <w:r>
        <w:t>ar</w:t>
      </w:r>
      <w:r w:rsidR="00377D9A">
        <w:t xml:space="preserve">biya (Palestine 1948 territory) </w:t>
      </w:r>
      <w:r>
        <w:t xml:space="preserve">and was born in 1962. He is considered one of the most brilliant thinkers and writers of </w:t>
      </w:r>
      <w:r w:rsidR="00D72AD7">
        <w:t>the prisoner</w:t>
      </w:r>
      <w:r>
        <w:t xml:space="preserve"> movement. The Israeli Authorities arrested him </w:t>
      </w:r>
      <w:r w:rsidR="00D72AD7">
        <w:t xml:space="preserve">on </w:t>
      </w:r>
      <w:r>
        <w:t xml:space="preserve">25/3/1986 and was sentenced to life imprisonment. At a later stage, the term of his sentence was identified to be 37 years. Waleed had served 37 years in the Israeli prisons and he wrote several articles and books. Among the books he wrote, there is the Diary of Resistance in Jenin, Parallel Time, Expanding Consciousness, </w:t>
      </w:r>
      <w:r w:rsidR="00443125">
        <w:t>and a</w:t>
      </w:r>
      <w:r>
        <w:t xml:space="preserve"> novel for children, the Tale of the Oil Secret, and the Tale of the Sword Secret. The Tale of the Oil Secret won the Emirati Communication Prize, which is an international prize </w:t>
      </w:r>
      <w:r w:rsidR="00D72AD7">
        <w:t>awarded</w:t>
      </w:r>
      <w:r>
        <w:t xml:space="preserve"> for </w:t>
      </w:r>
      <w:r w:rsidR="00D72AD7">
        <w:t>children's</w:t>
      </w:r>
      <w:r>
        <w:t xml:space="preserve"> literature.</w:t>
      </w:r>
      <w:r w:rsidR="00443125">
        <w:t xml:space="preserve"> Waleed was subject to a series of practices because of his literary production where he was put in solitary confinement, transfer from </w:t>
      </w:r>
      <w:r w:rsidR="00D72AD7">
        <w:t>one</w:t>
      </w:r>
      <w:r w:rsidR="00443125">
        <w:t xml:space="preserve"> prison to another, and </w:t>
      </w:r>
      <w:r w:rsidR="00D72AD7">
        <w:t>depriv</w:t>
      </w:r>
      <w:r w:rsidR="00D72F29">
        <w:t>ation</w:t>
      </w:r>
      <w:r w:rsidR="00443125">
        <w:t xml:space="preserve"> of appropriate medical aid that accords with human dignity. Waleed</w:t>
      </w:r>
      <w:r w:rsidR="00D72F29">
        <w:t>’s</w:t>
      </w:r>
      <w:r w:rsidR="00443125">
        <w:t xml:space="preserve"> sentence was extended for an additional two years and currently</w:t>
      </w:r>
      <w:r w:rsidR="00C1205F">
        <w:t>,</w:t>
      </w:r>
      <w:r w:rsidR="00443125">
        <w:t xml:space="preserve"> he is affected by </w:t>
      </w:r>
      <w:r w:rsidR="00D72F29">
        <w:t>b</w:t>
      </w:r>
      <w:r w:rsidR="00443125" w:rsidRPr="00443125">
        <w:t>one marrow malignancy</w:t>
      </w:r>
      <w:r w:rsidR="00443125">
        <w:t xml:space="preserve"> and needs </w:t>
      </w:r>
      <w:r w:rsidR="00D72F29">
        <w:t>a</w:t>
      </w:r>
      <w:r w:rsidR="00443125">
        <w:t xml:space="preserve"> bone marrow</w:t>
      </w:r>
      <w:r w:rsidR="00D72F29">
        <w:t xml:space="preserve"> transplant procedure</w:t>
      </w:r>
      <w:r w:rsidR="00443125">
        <w:t xml:space="preserve">. In February 2023, he suffered thrombus and severe pain in the left part of his chest. He suffered severe </w:t>
      </w:r>
      <w:r w:rsidR="00443125" w:rsidRPr="00443125">
        <w:t>acute pneumonia</w:t>
      </w:r>
      <w:r w:rsidR="00443125">
        <w:t xml:space="preserve"> as a result to the ongoing depriv</w:t>
      </w:r>
      <w:r w:rsidR="00D72F29">
        <w:t>ation</w:t>
      </w:r>
      <w:r w:rsidR="00443125">
        <w:t xml:space="preserve"> of appropriate medical treatment. He was subject to </w:t>
      </w:r>
      <w:r w:rsidR="00443125" w:rsidRPr="00443125">
        <w:t>Lobectomy</w:t>
      </w:r>
      <w:r w:rsidR="00443125">
        <w:t xml:space="preserve"> of part of his right lung. Waleed is still inside</w:t>
      </w:r>
      <w:r w:rsidR="003B4305">
        <w:t xml:space="preserve"> prison though</w:t>
      </w:r>
      <w:r w:rsidR="00443125">
        <w:t xml:space="preserve"> he is in </w:t>
      </w:r>
      <w:r w:rsidR="00C1205F">
        <w:t xml:space="preserve">a </w:t>
      </w:r>
      <w:r w:rsidR="00443125">
        <w:t>critical situation due to the medical crimes committed</w:t>
      </w:r>
      <w:r w:rsidR="003B4305">
        <w:t xml:space="preserve"> </w:t>
      </w:r>
      <w:r w:rsidR="00443125">
        <w:t>against Palestinian prisoners in general and Waleed in particular</w:t>
      </w:r>
      <w:r w:rsidR="00443125">
        <w:rPr>
          <w:rStyle w:val="FootnoteReference"/>
        </w:rPr>
        <w:footnoteReference w:id="8"/>
      </w:r>
      <w:r w:rsidR="00443125">
        <w:t xml:space="preserve">.  At the time your esteemed committee is reading the current report, Waleed Daqqa </w:t>
      </w:r>
      <w:r w:rsidR="00D72F29">
        <w:t>is fighting for his life</w:t>
      </w:r>
      <w:r w:rsidR="00443125">
        <w:t xml:space="preserve">. </w:t>
      </w:r>
    </w:p>
    <w:p w14:paraId="3AD99D20" w14:textId="3B838E13" w:rsidR="00415D74" w:rsidRDefault="00443125" w:rsidP="005B313C">
      <w:pPr>
        <w:pStyle w:val="NoSpacing"/>
        <w:jc w:val="both"/>
      </w:pPr>
      <w:r>
        <w:t>19.  The Partners recommend your committee to request the S</w:t>
      </w:r>
      <w:r w:rsidR="003B4305">
        <w:t xml:space="preserve">oP </w:t>
      </w:r>
      <w:r>
        <w:t xml:space="preserve">to provide detailed information and statistics about all the Palestinian prisoners in the Israeli prisons including Palestinians from 1948 territory </w:t>
      </w:r>
      <w:r>
        <w:lastRenderedPageBreak/>
        <w:t xml:space="preserve">and Palestinians from the West Bank (including Jerusalem) and prisoners from </w:t>
      </w:r>
      <w:r w:rsidR="005B313C">
        <w:t xml:space="preserve">the </w:t>
      </w:r>
      <w:r>
        <w:t>Gaza Strip. The data should include the prisoners from the cultural sector. The state party should provide information about the health conditions of prisoner Waleed Daqqa and demand the S</w:t>
      </w:r>
      <w:r w:rsidR="003B4305">
        <w:t>oP to provide</w:t>
      </w:r>
      <w:r>
        <w:t xml:space="preserve"> information about its efforts to defend the Palestinian prisoners in the Israeli prisons and account </w:t>
      </w:r>
      <w:r w:rsidR="00C1205F">
        <w:t xml:space="preserve">for </w:t>
      </w:r>
      <w:r>
        <w:t xml:space="preserve">the occupation for the crimes committed against them to ensure </w:t>
      </w:r>
      <w:r w:rsidR="00C1205F">
        <w:t>prisoners'</w:t>
      </w:r>
      <w:r>
        <w:t xml:space="preserve"> </w:t>
      </w:r>
      <w:r w:rsidR="00C1205F">
        <w:t>rights</w:t>
      </w:r>
      <w:r>
        <w:t xml:space="preserve"> to justice and fairness. In addition, </w:t>
      </w:r>
      <w:r w:rsidR="005B313C">
        <w:t>highlights</w:t>
      </w:r>
      <w:r>
        <w:t xml:space="preserve"> the support that SoP had provided to the prisoners in various fields, including legal, social, medical, economic, and cultural support. Additionally, to report about the budgets assigned for such purpose and how they were used with all beneficiaries wit</w:t>
      </w:r>
      <w:r w:rsidR="003B4305">
        <w:t>h</w:t>
      </w:r>
      <w:r>
        <w:t xml:space="preserve"> no discrimination. </w:t>
      </w:r>
      <w:r w:rsidR="00415D74" w:rsidRPr="00415D74">
        <w:t xml:space="preserve">SoP should provide an update on the advancements achieved in the process of releasing Palestinian prisoners. This should encompass the situation of sick, injured, and long-term sentenced prisoners. Additionally, </w:t>
      </w:r>
      <w:r w:rsidR="003B4305">
        <w:t xml:space="preserve">to </w:t>
      </w:r>
      <w:r w:rsidR="005B313C">
        <w:t>provides</w:t>
      </w:r>
      <w:r w:rsidR="003B4305">
        <w:t xml:space="preserve"> </w:t>
      </w:r>
      <w:r w:rsidR="00415D74" w:rsidRPr="00415D74">
        <w:t xml:space="preserve">information about the initiatives undertaken concerning the obligations of third parties outlined in the Geneva Fourth Convention of 1949. These actions should reflect a commitment to upholding the stipulations of the Convention, with specific attention to the Geneva Third Convention's </w:t>
      </w:r>
      <w:r w:rsidR="005B313C">
        <w:t>Articles</w:t>
      </w:r>
      <w:r w:rsidR="00415D74" w:rsidRPr="00415D74">
        <w:t xml:space="preserve"> 109 and 110, as well as the Geneva Fourth Convention's Article 132. </w:t>
      </w:r>
      <w:r w:rsidR="003B4305">
        <w:t>We</w:t>
      </w:r>
      <w:r w:rsidR="00415D74" w:rsidRPr="00415D74">
        <w:t xml:space="preserve"> kindly urge that these efforts encompass the case of the sick prisoner Waleed Daqqa.</w:t>
      </w:r>
    </w:p>
    <w:p w14:paraId="40EE4CF0" w14:textId="77777777" w:rsidR="005E289F" w:rsidRDefault="005E289F" w:rsidP="005B313C">
      <w:pPr>
        <w:pStyle w:val="NoSpacing"/>
        <w:jc w:val="both"/>
      </w:pPr>
    </w:p>
    <w:p w14:paraId="6DF23B3F" w14:textId="044E7F43" w:rsidR="00415D74" w:rsidRDefault="00415D74" w:rsidP="000645BB">
      <w:pPr>
        <w:pStyle w:val="NoSpacing"/>
        <w:jc w:val="both"/>
      </w:pPr>
      <w:r w:rsidRPr="005E289F">
        <w:rPr>
          <w:b/>
          <w:bCs/>
        </w:rPr>
        <w:t>7</w:t>
      </w:r>
      <w:r>
        <w:t xml:space="preserve">. </w:t>
      </w:r>
      <w:r w:rsidRPr="003B4305">
        <w:rPr>
          <w:b/>
          <w:bCs/>
        </w:rPr>
        <w:t>The Deterioration of the Palestinian Political Regime and the Impact on the Rights</w:t>
      </w:r>
      <w:r w:rsidR="00D72F29">
        <w:rPr>
          <w:b/>
          <w:bCs/>
        </w:rPr>
        <w:t>’</w:t>
      </w:r>
      <w:r w:rsidRPr="003B4305">
        <w:rPr>
          <w:b/>
          <w:bCs/>
        </w:rPr>
        <w:t xml:space="preserve"> </w:t>
      </w:r>
      <w:r w:rsidR="00D72F29">
        <w:rPr>
          <w:b/>
          <w:bCs/>
        </w:rPr>
        <w:t>Framework</w:t>
      </w:r>
      <w:r w:rsidR="00D72F29" w:rsidRPr="003B4305">
        <w:rPr>
          <w:b/>
          <w:bCs/>
        </w:rPr>
        <w:t xml:space="preserve"> </w:t>
      </w:r>
      <w:r w:rsidRPr="003B4305">
        <w:rPr>
          <w:b/>
          <w:bCs/>
        </w:rPr>
        <w:t>and Culture</w:t>
      </w:r>
      <w:r>
        <w:t>:</w:t>
      </w:r>
    </w:p>
    <w:p w14:paraId="7EF04FEF" w14:textId="213632CB" w:rsidR="00725728" w:rsidRDefault="00415D74" w:rsidP="005B313C">
      <w:pPr>
        <w:pStyle w:val="NoSpacing"/>
        <w:jc w:val="both"/>
      </w:pPr>
      <w:r>
        <w:t xml:space="preserve">20. </w:t>
      </w:r>
      <w:r w:rsidR="00725728">
        <w:t>During the previous years, the Palestinian political regime had been passing through a</w:t>
      </w:r>
      <w:r w:rsidR="003B4305">
        <w:t xml:space="preserve"> </w:t>
      </w:r>
      <w:r w:rsidR="00725728">
        <w:t xml:space="preserve">case of deterioration due to parliament absenteeism since the </w:t>
      </w:r>
      <w:r w:rsidR="005B313C">
        <w:t>middle</w:t>
      </w:r>
      <w:r w:rsidR="00725728">
        <w:t xml:space="preserve"> of 2007 </w:t>
      </w:r>
      <w:r w:rsidR="003B4305">
        <w:t xml:space="preserve">because of the </w:t>
      </w:r>
      <w:r w:rsidR="00725728">
        <w:t xml:space="preserve">political division, where there is no monitoring of the executive </w:t>
      </w:r>
      <w:r w:rsidR="005B313C">
        <w:t>authority's</w:t>
      </w:r>
      <w:r w:rsidR="00725728">
        <w:t xml:space="preserve"> performance. The Parliament was then dismantled by an unconstitutional ruling from the High Constitutional Court, which </w:t>
      </w:r>
      <w:r w:rsidR="003B4305">
        <w:t xml:space="preserve">is </w:t>
      </w:r>
      <w:r w:rsidR="00725728">
        <w:t xml:space="preserve">subject to criticism by the Palestinian CSOs and its existence was subject of concern by your esteemed committee and the committees of the other UN Core Conventions. The executive authority (the president and the government) dominated both legislating and execution processes, leading to create a well- seen case of Conflict of Interest. The judiciary authority deteriorated as a result to encroachment imposed on it and on the justice sector by the executive authority. There is no peaceful transfer of authorities as a result to the absence of public elections where the latest presidency elections took place in the year 2005 and the latest parliamentarian elections took place in the year 2006. Due to that, there was blockage of the community monitoring and the case of rights and freedoms witnessed deterioration. The independent </w:t>
      </w:r>
      <w:r w:rsidR="009B6436">
        <w:t>Palestinian cultural</w:t>
      </w:r>
      <w:r w:rsidR="00725728">
        <w:t xml:space="preserve"> organizations were subject to systematic attacks and the </w:t>
      </w:r>
      <w:r w:rsidR="009B6436">
        <w:t xml:space="preserve">crown </w:t>
      </w:r>
      <w:r w:rsidR="00725728">
        <w:t>of these attacks was in 2022 due to the abstain of the SoP from fulfilling its public and specific legal commitments (General Comment 21/ III, a and b- regarding respect, protection, and fulfillment)</w:t>
      </w:r>
    </w:p>
    <w:p w14:paraId="1E13D4F8" w14:textId="110A6B75" w:rsidR="00972AFE" w:rsidRDefault="00725728" w:rsidP="00247C63">
      <w:pPr>
        <w:pStyle w:val="NoSpacing"/>
        <w:jc w:val="both"/>
      </w:pPr>
      <w:r>
        <w:t xml:space="preserve">21. On 15/1/2021, the outgoing Palestinian president, issued a decree to conduct public elections for presidency, Legislative Council, and National Council. On 30/4/2023, the president issued another decree to cancel the public elections under the pretext that the occupation did not approve commencing the elections. Your committee (item 4 of the list of issues), demanded the SoP to “explain the measures to be taken to conduct public parliamentarian elections to start harmonizing all the applied legal set in the West Bank and Gaza Strip”.  The SoP replied to this core issue in item (52) that postponing (blocking) the public elections (Presidency, national council, and Legislative Council), is due to Israeli denial of commencing the elections in Jerusalem. Blocking the public elections under the pretext that the Israeli Occupation does not allow them, violates the International Law and Right to Self-determination. It violates the Palestinian Basic Law (Article 36), which states that </w:t>
      </w:r>
      <w:r w:rsidR="001C2328">
        <w:t>presidential</w:t>
      </w:r>
      <w:r>
        <w:t xml:space="preserve"> elections should be regularly </w:t>
      </w:r>
      <w:r w:rsidR="001C2328">
        <w:t>every</w:t>
      </w:r>
      <w:r>
        <w:t xml:space="preserve"> 4 years and so </w:t>
      </w:r>
      <w:r w:rsidR="001C2328">
        <w:t xml:space="preserve">do </w:t>
      </w:r>
      <w:r>
        <w:t xml:space="preserve">the parliamentarian elections (Article 47). The Independent Central Elections </w:t>
      </w:r>
      <w:r w:rsidR="0009452D">
        <w:t xml:space="preserve">Commission </w:t>
      </w:r>
      <w:r>
        <w:t xml:space="preserve">and the CSOs emphasized more than once that it is possible to conduct the elections in Jerusalem virtually while conducting them in presence in the other governorates. Despite the popular demands </w:t>
      </w:r>
      <w:r w:rsidR="0009452D">
        <w:t>to conduct the public elections</w:t>
      </w:r>
      <w:r>
        <w:t>, yet, they had not been arranged</w:t>
      </w:r>
      <w:r w:rsidR="0009452D">
        <w:t>,</w:t>
      </w:r>
      <w:r>
        <w:t xml:space="preserve"> in clear violation </w:t>
      </w:r>
      <w:r w:rsidR="00247C63">
        <w:t xml:space="preserve">of </w:t>
      </w:r>
      <w:r>
        <w:t>the</w:t>
      </w:r>
      <w:r w:rsidR="00247C63">
        <w:t xml:space="preserve"> </w:t>
      </w:r>
      <w:r>
        <w:t xml:space="preserve">Palestinian Basic Law and the international conventions and treaties to which SoP had acceded, including Article 1 of the Covenant </w:t>
      </w:r>
      <w:r>
        <w:lastRenderedPageBreak/>
        <w:t xml:space="preserve">regarding </w:t>
      </w:r>
      <w:r w:rsidR="0009452D">
        <w:t>(</w:t>
      </w:r>
      <w:r>
        <w:t>Elections and Self-Determination</w:t>
      </w:r>
      <w:r w:rsidR="0009452D">
        <w:t>)</w:t>
      </w:r>
      <w:r>
        <w:t xml:space="preserve">. The partners recommend your committee to urge the state party </w:t>
      </w:r>
      <w:r w:rsidR="0009452D">
        <w:t xml:space="preserve">to arrange the public elections immediately.  </w:t>
      </w:r>
      <w:r w:rsidR="000C7FFE">
        <w:t xml:space="preserve">Palestinians should be enabled to practice their right to elect their representatives in free transparent elections and the SoP should ensure the environment of such elections. The Partners would </w:t>
      </w:r>
      <w:r w:rsidR="00972AFE">
        <w:t>like</w:t>
      </w:r>
      <w:r w:rsidR="000C7FFE">
        <w:t xml:space="preserve"> to remind your </w:t>
      </w:r>
      <w:r w:rsidR="00972AFE">
        <w:t>committee</w:t>
      </w:r>
      <w:r w:rsidR="000C7FFE">
        <w:t xml:space="preserve"> that all Palestinians who are currently below 35 years old, had never enjoyed their constitutional</w:t>
      </w:r>
      <w:r w:rsidR="0009452D">
        <w:t>/</w:t>
      </w:r>
      <w:r w:rsidR="00972AFE">
        <w:t xml:space="preserve">natural </w:t>
      </w:r>
      <w:r w:rsidR="000C7FFE">
        <w:t>right to participate in electi</w:t>
      </w:r>
      <w:r w:rsidR="00972AFE">
        <w:t xml:space="preserve">ng their representatives to the parliament or presidency, </w:t>
      </w:r>
      <w:r w:rsidR="000C7FFE">
        <w:t>due to</w:t>
      </w:r>
      <w:r w:rsidR="00972AFE">
        <w:t xml:space="preserve"> unjustified </w:t>
      </w:r>
      <w:r w:rsidR="000C7FFE">
        <w:t xml:space="preserve">blocking </w:t>
      </w:r>
      <w:r w:rsidR="00247C63">
        <w:t xml:space="preserve">of </w:t>
      </w:r>
      <w:r w:rsidR="000C7FFE">
        <w:t>the elections</w:t>
      </w:r>
      <w:r w:rsidR="0009452D">
        <w:t>,</w:t>
      </w:r>
      <w:r w:rsidR="00972AFE">
        <w:t xml:space="preserve"> in violation of the Basic Law. The decision-making monopoly and blocking </w:t>
      </w:r>
      <w:r w:rsidR="00247C63">
        <w:t xml:space="preserve">of </w:t>
      </w:r>
      <w:r w:rsidR="00972AFE">
        <w:t xml:space="preserve">the elections caused deterioration within the entire set of human rights and banned the SoP from fulfilling its commitments resulting from acceding to the Covenant and other International Core Agreements and Treaties. </w:t>
      </w:r>
    </w:p>
    <w:p w14:paraId="57C919EE" w14:textId="77777777" w:rsidR="005E289F" w:rsidRDefault="005E289F" w:rsidP="00247C63">
      <w:pPr>
        <w:pStyle w:val="NoSpacing"/>
        <w:jc w:val="both"/>
      </w:pPr>
    </w:p>
    <w:p w14:paraId="087ACE7A" w14:textId="383A67A1" w:rsidR="00972AFE" w:rsidRDefault="00972AFE" w:rsidP="000645BB">
      <w:pPr>
        <w:pStyle w:val="NoSpacing"/>
        <w:jc w:val="both"/>
      </w:pPr>
      <w:r w:rsidRPr="0009452D">
        <w:rPr>
          <w:b/>
          <w:bCs/>
        </w:rPr>
        <w:t>8. Palestinian Violations against the Independent Cultural Institutions</w:t>
      </w:r>
      <w:r>
        <w:t>:</w:t>
      </w:r>
    </w:p>
    <w:p w14:paraId="19F43054" w14:textId="687ADF6E" w:rsidR="00972AFE" w:rsidRDefault="00972AFE" w:rsidP="00C06DAA">
      <w:pPr>
        <w:pStyle w:val="NoSpacing"/>
        <w:jc w:val="both"/>
      </w:pPr>
      <w:r>
        <w:t xml:space="preserve">22. The Palestinian artists and cultural activities </w:t>
      </w:r>
      <w:r w:rsidR="00247C63">
        <w:t>have been</w:t>
      </w:r>
      <w:r>
        <w:t xml:space="preserve"> subject to many </w:t>
      </w:r>
      <w:r w:rsidR="003615AC">
        <w:t xml:space="preserve">forms of violations </w:t>
      </w:r>
      <w:r>
        <w:t>by the Sop</w:t>
      </w:r>
      <w:r w:rsidR="003615AC">
        <w:t>, since</w:t>
      </w:r>
      <w:r>
        <w:t xml:space="preserve"> acceding to the Covenant </w:t>
      </w:r>
      <w:r w:rsidR="00247C63">
        <w:t xml:space="preserve">in </w:t>
      </w:r>
      <w:r>
        <w:t xml:space="preserve">early April 2014. The pace of violations increased during </w:t>
      </w:r>
      <w:r w:rsidR="00247C63">
        <w:t xml:space="preserve">the </w:t>
      </w:r>
      <w:r w:rsidR="003615AC">
        <w:t>summer</w:t>
      </w:r>
      <w:r>
        <w:t xml:space="preserve"> </w:t>
      </w:r>
      <w:r w:rsidR="00C06DAA">
        <w:t xml:space="preserve">of </w:t>
      </w:r>
      <w:r>
        <w:t>2022 where the assaults and attacks included physical attacks, psychological attacks, detention, demolishing the contents of some cultural institutions, and promoting incitement and hate speech against the cultural activities and artists</w:t>
      </w:r>
      <w:r w:rsidR="003615AC">
        <w:t>,</w:t>
      </w:r>
      <w:r>
        <w:t xml:space="preserve"> by groups of youth </w:t>
      </w:r>
      <w:r w:rsidR="00C06DAA">
        <w:t>anti-cultural</w:t>
      </w:r>
      <w:r>
        <w:t xml:space="preserve"> activities, from a </w:t>
      </w:r>
      <w:r w:rsidR="00D72F29">
        <w:t xml:space="preserve">fundamentalist </w:t>
      </w:r>
      <w:r>
        <w:t xml:space="preserve">point of view. The attacks took place in front of the Palestinian security forces that did not </w:t>
      </w:r>
      <w:r w:rsidR="009E1D32">
        <w:t xml:space="preserve">perform its responsibility to </w:t>
      </w:r>
      <w:r>
        <w:t xml:space="preserve">protect the victims. Some assaults took place with the participation of some official institutions with </w:t>
      </w:r>
      <w:r w:rsidR="00C06DAA">
        <w:t xml:space="preserve">the </w:t>
      </w:r>
      <w:r>
        <w:t xml:space="preserve">absence of protection that the law enforcement and justice bodies should provide, </w:t>
      </w:r>
      <w:r w:rsidR="003615AC">
        <w:t>though the</w:t>
      </w:r>
      <w:r>
        <w:t xml:space="preserve"> cultural institutions demanded protection for their activities from the law enforcement bodies. Such incidents indicate clearly that the SoP violates its commitment under the Covenant, regarding cultural rights (Respect, Protect, and Fulfill</w:t>
      </w:r>
      <w:r w:rsidR="003615AC">
        <w:t>ment</w:t>
      </w:r>
      <w:r>
        <w:t xml:space="preserve">), which means not to interfere with the cultural and art activities related to freedom of opinion and the various forms of art and cultural creativity. The state party should protect the cultural and art freedoms and ensure that they are not attacked by a </w:t>
      </w:r>
      <w:r w:rsidR="005E289F">
        <w:t>third-party</w:t>
      </w:r>
      <w:r>
        <w:t xml:space="preserve"> including protection against assaults and hate speech. The State party should take positive measures to ensure enjoying cultural rights on the base of equality and no discrimination. The year 2022 witnessed a bunch of wide systematic attacks against the right to cultural production and activities</w:t>
      </w:r>
      <w:r w:rsidR="003615AC">
        <w:t>,</w:t>
      </w:r>
      <w:r>
        <w:t xml:space="preserve"> as well as against the artists and employees of the cultural sector. </w:t>
      </w:r>
    </w:p>
    <w:p w14:paraId="2EE995CF" w14:textId="683BE0B5" w:rsidR="00972AFE" w:rsidRDefault="00972AFE" w:rsidP="00C06DAA">
      <w:pPr>
        <w:pStyle w:val="NoSpacing"/>
        <w:jc w:val="both"/>
      </w:pPr>
      <w:r w:rsidRPr="005E289F">
        <w:rPr>
          <w:b/>
          <w:bCs/>
        </w:rPr>
        <w:t>8.1</w:t>
      </w:r>
      <w:r>
        <w:t xml:space="preserve">. </w:t>
      </w:r>
      <w:r w:rsidRPr="003615AC">
        <w:rPr>
          <w:b/>
          <w:bCs/>
        </w:rPr>
        <w:t xml:space="preserve">Attack on Al- </w:t>
      </w:r>
      <w:r w:rsidR="00C06DAA">
        <w:rPr>
          <w:b/>
          <w:bCs/>
        </w:rPr>
        <w:t>Al-Mustawdaa</w:t>
      </w:r>
      <w:r w:rsidRPr="003615AC">
        <w:rPr>
          <w:b/>
          <w:bCs/>
        </w:rPr>
        <w:t xml:space="preserve"> Cultural Center</w:t>
      </w:r>
      <w:r>
        <w:t>:</w:t>
      </w:r>
    </w:p>
    <w:p w14:paraId="31BAB996" w14:textId="179F8876" w:rsidR="00513F7F" w:rsidRDefault="00242C61" w:rsidP="0098249D">
      <w:pPr>
        <w:pStyle w:val="NoSpacing"/>
        <w:jc w:val="both"/>
      </w:pPr>
      <w:r>
        <w:t>23. On 17/6/2023,</w:t>
      </w:r>
      <w:r w:rsidR="00972AFE">
        <w:t xml:space="preserve"> </w:t>
      </w:r>
      <w:r w:rsidR="00C06DAA">
        <w:t>Al-Mustawdaa</w:t>
      </w:r>
      <w:r>
        <w:t xml:space="preserve"> Cultural Center (a Cultural and art center in Ramallah) was subject to a documented attack by a group of Palestinian youth (about 40 persons). The attackers continued attacking the place for approximately 30 minutes using stones leading to </w:t>
      </w:r>
      <w:r w:rsidR="009E1D32">
        <w:t xml:space="preserve">the injury of </w:t>
      </w:r>
      <w:r>
        <w:t xml:space="preserve">two persons who were in the place in addition to </w:t>
      </w:r>
      <w:r w:rsidR="00C06DAA">
        <w:t>destroying</w:t>
      </w:r>
      <w:r>
        <w:t xml:space="preserve"> the front glass building façade and destroying some cars that were parked in the place. There was an online campaign of incitement and hate speech against the organization through social media, in which more than two hundred thousand persons participated. The participants in the campaign posted thousands of hate posts against Al-</w:t>
      </w:r>
      <w:r w:rsidR="009E1D32">
        <w:t xml:space="preserve"> </w:t>
      </w:r>
      <w:r w:rsidR="00C06DAA">
        <w:t>Mustawda</w:t>
      </w:r>
      <w:r>
        <w:t xml:space="preserve"> and posts of incitement to kill. </w:t>
      </w:r>
      <w:r w:rsidR="00513F7F">
        <w:t>Although members of the Palestinian police and other security forces were in the area and although the Police Station is just 100 meters far from the place, yet, the Palestinian security forces did not initiate to prevent the attack (crime). Not only that, but also did not protect the organization and those who were in it, at the time it was attacked. On the contrary, the Palestinian security forces arrested approximately 20 persons from the sta</w:t>
      </w:r>
      <w:r w:rsidR="00766293">
        <w:t>ff members of Al-Mustawda</w:t>
      </w:r>
      <w:r w:rsidR="00513F7F">
        <w:t xml:space="preserve"> and the artists and persons who were in the organization at the time it was attacked (arresting the victims). The arrested persons were taken to </w:t>
      </w:r>
      <w:r w:rsidR="00766293">
        <w:t>al-Balou</w:t>
      </w:r>
      <w:r w:rsidR="00513F7F">
        <w:t xml:space="preserve"> Police </w:t>
      </w:r>
      <w:r w:rsidR="0098249D">
        <w:t>Station</w:t>
      </w:r>
      <w:r w:rsidR="00513F7F">
        <w:t xml:space="preserve"> where they were held </w:t>
      </w:r>
      <w:r w:rsidR="00766293">
        <w:t xml:space="preserve">in </w:t>
      </w:r>
      <w:r w:rsidR="00513F7F">
        <w:t xml:space="preserve">custody for </w:t>
      </w:r>
      <w:r w:rsidR="00766293">
        <w:t xml:space="preserve">a </w:t>
      </w:r>
      <w:r w:rsidR="00513F7F">
        <w:t>few hours and during that time, they were threatened to be punished in case they claimed against the attack. Despite the demand of the arrested persons (victims) to contact</w:t>
      </w:r>
      <w:r w:rsidR="00766293">
        <w:t xml:space="preserve"> </w:t>
      </w:r>
      <w:r w:rsidR="00513F7F">
        <w:t xml:space="preserve">lawyers, yet, the Palestinian police did not allow them to do so. One of the police officers replied to their demand saying: “We are the Law here”. Although two of the detainees (injured as a result </w:t>
      </w:r>
      <w:r w:rsidR="0098249D">
        <w:t>of</w:t>
      </w:r>
      <w:r w:rsidR="00513F7F">
        <w:t xml:space="preserve"> the attack) demanded the police to allow them to receive medical treatment, yet, the police did not allow them under the pretext that they </w:t>
      </w:r>
      <w:r w:rsidR="00766293">
        <w:t>were</w:t>
      </w:r>
      <w:r w:rsidR="00513F7F">
        <w:t xml:space="preserve"> under investigation. The documented </w:t>
      </w:r>
      <w:r w:rsidR="00513F7F">
        <w:lastRenderedPageBreak/>
        <w:t>statement</w:t>
      </w:r>
      <w:r w:rsidR="003615AC">
        <w:t>s</w:t>
      </w:r>
      <w:r w:rsidR="00513F7F">
        <w:t xml:space="preserve"> affirm that the Palestinian police had arrested none of the attackers and that they confiscated the DVR machine of the organization during the attack and it is still held by the police till now. </w:t>
      </w:r>
      <w:r w:rsidR="0098249D">
        <w:t>Al-Mustawda</w:t>
      </w:r>
      <w:r w:rsidR="00513F7F">
        <w:t xml:space="preserve"> had closed its </w:t>
      </w:r>
      <w:r w:rsidR="0098249D">
        <w:t>doors</w:t>
      </w:r>
      <w:r w:rsidR="00513F7F">
        <w:t xml:space="preserve"> since the day of the attack</w:t>
      </w:r>
      <w:r w:rsidR="00766293">
        <w:t xml:space="preserve"> </w:t>
      </w:r>
      <w:r w:rsidR="00513F7F">
        <w:t xml:space="preserve">and had not </w:t>
      </w:r>
      <w:r w:rsidR="00766293">
        <w:t>resumed</w:t>
      </w:r>
      <w:r w:rsidR="00513F7F">
        <w:t xml:space="preserve"> its cultural activities till the day the current report was prepared</w:t>
      </w:r>
      <w:r w:rsidR="003615AC">
        <w:t>,</w:t>
      </w:r>
      <w:r w:rsidR="00513F7F">
        <w:t xml:space="preserve"> as a result </w:t>
      </w:r>
      <w:r w:rsidR="0098249D">
        <w:t>of</w:t>
      </w:r>
      <w:r w:rsidR="00513F7F">
        <w:t xml:space="preserve"> the absence of protection from the law enforcement bodies in the SoP, against the assaults and hate speech and due to the failure of justice for the victims or accounting the perpetrators.</w:t>
      </w:r>
    </w:p>
    <w:p w14:paraId="3DA1CE4B" w14:textId="5E42C506" w:rsidR="00513F7F" w:rsidRDefault="00513F7F" w:rsidP="007B365F">
      <w:pPr>
        <w:pStyle w:val="NoSpacing"/>
        <w:jc w:val="both"/>
      </w:pPr>
      <w:r>
        <w:t xml:space="preserve">24.  The Partners urge your esteemed committee to demand the SoP to provide detailed information about the attack against </w:t>
      </w:r>
      <w:r w:rsidR="00766293">
        <w:t>Al-Mustawda</w:t>
      </w:r>
      <w:r>
        <w:t xml:space="preserve"> Cultural Center and the persons who were inside it, on 17/6/2022. Additionally, to report about the reasons for abstaining from protecting them, which caused the assault and the crimes</w:t>
      </w:r>
      <w:r w:rsidR="0098249D">
        <w:t>,</w:t>
      </w:r>
      <w:r>
        <w:t xml:space="preserve"> and to report about the reasons for detaining the victims. Furthermore, to report about the reasons for denying the </w:t>
      </w:r>
      <w:r w:rsidR="00D624DD">
        <w:t>interrogates</w:t>
      </w:r>
      <w:r>
        <w:t xml:space="preserve"> the right to contact</w:t>
      </w:r>
      <w:r w:rsidR="0098249D">
        <w:t xml:space="preserve"> </w:t>
      </w:r>
      <w:r>
        <w:t xml:space="preserve">lawyers as well as depriving the wounded persons from receiving treatment in addition to threatening them inside the police station in case they complained </w:t>
      </w:r>
      <w:r w:rsidR="007B365F">
        <w:t>about</w:t>
      </w:r>
      <w:r>
        <w:t xml:space="preserve"> the attack. Likewise, to demand the state party to report the reasons for abstaining from arresting any of the attackers (as indicated from the statements given by </w:t>
      </w:r>
      <w:r w:rsidR="007B365F">
        <w:t xml:space="preserve">the </w:t>
      </w:r>
      <w:r>
        <w:t xml:space="preserve">administration of Al-Mustawda). Furthermore, to demand clarifications in case the attackers were criminally investigated as well as presenting samples of judiciary rulings against them. Alongside with that, to demand the SoP to clarify the procedures applied to ensure justice for the victims and </w:t>
      </w:r>
      <w:r w:rsidR="00D624DD">
        <w:t xml:space="preserve">remedy </w:t>
      </w:r>
      <w:r>
        <w:t xml:space="preserve">(in case there were) as well as samples of the judiciary rulings regarding the </w:t>
      </w:r>
      <w:r w:rsidR="00D624DD">
        <w:t>remedy</w:t>
      </w:r>
      <w:r>
        <w:t xml:space="preserve">. The state party should highlight the measures taken to ensure </w:t>
      </w:r>
      <w:r w:rsidR="007B365F">
        <w:t>the ban of</w:t>
      </w:r>
      <w:r>
        <w:t xml:space="preserve"> similar attacks in addition to </w:t>
      </w:r>
      <w:r w:rsidR="007B365F">
        <w:t>reporting</w:t>
      </w:r>
      <w:r>
        <w:t xml:space="preserve"> the reasons </w:t>
      </w:r>
      <w:r w:rsidR="007B365F">
        <w:t>for ordering</w:t>
      </w:r>
      <w:r>
        <w:t xml:space="preserve"> </w:t>
      </w:r>
      <w:r w:rsidR="007B365F">
        <w:t xml:space="preserve">the </w:t>
      </w:r>
      <w:r>
        <w:t xml:space="preserve">closing </w:t>
      </w:r>
      <w:r w:rsidR="007B365F">
        <w:t xml:space="preserve">of </w:t>
      </w:r>
      <w:r>
        <w:t xml:space="preserve">Al-Mustawda till now and the measures to be applied to ensure that it will resume its cultural activities soon.  </w:t>
      </w:r>
    </w:p>
    <w:p w14:paraId="389B52D8" w14:textId="293D0F0F" w:rsidR="00513F7F" w:rsidRDefault="00513F7F" w:rsidP="000645BB">
      <w:pPr>
        <w:pStyle w:val="NoSpacing"/>
        <w:jc w:val="both"/>
      </w:pPr>
      <w:r w:rsidRPr="00D624DD">
        <w:rPr>
          <w:b/>
          <w:bCs/>
        </w:rPr>
        <w:t>8.2 Assault Against Ashtar Theater</w:t>
      </w:r>
      <w:r>
        <w:t>:</w:t>
      </w:r>
    </w:p>
    <w:p w14:paraId="267772D1" w14:textId="57EDB0EC" w:rsidR="00513F7F" w:rsidRDefault="00513F7F" w:rsidP="00E804FB">
      <w:pPr>
        <w:pStyle w:val="NoSpacing"/>
        <w:jc w:val="both"/>
      </w:pPr>
      <w:r>
        <w:t xml:space="preserve">25. On 8/7/2022, </w:t>
      </w:r>
      <w:r w:rsidR="009E1D32">
        <w:t xml:space="preserve">an </w:t>
      </w:r>
      <w:r>
        <w:t>art</w:t>
      </w:r>
      <w:r w:rsidR="009E1D32">
        <w:t>istic</w:t>
      </w:r>
      <w:r>
        <w:t xml:space="preserve"> March arranged by Ashtar Theater in Ramallah, to crown the activities of </w:t>
      </w:r>
      <w:r w:rsidR="00E804FB">
        <w:t xml:space="preserve">the </w:t>
      </w:r>
      <w:r>
        <w:t xml:space="preserve">Youth International Theater Festival, was attacked, before it started, by a group of </w:t>
      </w:r>
      <w:r w:rsidR="001B296E">
        <w:t>30 Palestinian youth.</w:t>
      </w:r>
      <w:r>
        <w:t xml:space="preserve">  </w:t>
      </w:r>
      <w:r w:rsidR="00C97926">
        <w:t>The youth attacked the march and the participants in it (locals and foreigners) using blackjacks and stones causing many causalities among participants in addition to slandering the participants and threatening them</w:t>
      </w:r>
      <w:r w:rsidR="001B296E">
        <w:t>.</w:t>
      </w:r>
      <w:r w:rsidR="00C97926">
        <w:t xml:space="preserve"> Although there were some Palestinian police officers in the area, no protection was given for the march and the participants though the organizers of the event demanded the police to protect them. According to the statements documented with the administration of Ashtar Theater, many participants (locals and foreigners) were brutally beaten with blackjacks and stones that could have caused risk on their lives. One of the attacked participants is a British artist and another is an Irish artist, in addition to many other Palestinians. In addition to the physical assault, the participants were slandered and insulted</w:t>
      </w:r>
      <w:r w:rsidR="00E804FB">
        <w:t>,</w:t>
      </w:r>
      <w:r w:rsidR="00C97926">
        <w:t xml:space="preserve"> and verbally attacked. During the attack, two policemen on motorcycles were in the place but did not interfere to protect the attacked persons. There were no criminal investigations or ac</w:t>
      </w:r>
      <w:r w:rsidR="00FF7C17">
        <w:t xml:space="preserve">countability for the attackers of the march. </w:t>
      </w:r>
    </w:p>
    <w:p w14:paraId="09E03CB6" w14:textId="6A4D74BB" w:rsidR="00C97926" w:rsidRDefault="00C97926" w:rsidP="00E804FB">
      <w:pPr>
        <w:pStyle w:val="NoSpacing"/>
        <w:jc w:val="both"/>
      </w:pPr>
      <w:r>
        <w:t>26. A group of the attacked participants</w:t>
      </w:r>
      <w:r w:rsidR="001B296E">
        <w:t xml:space="preserve"> </w:t>
      </w:r>
      <w:r>
        <w:t xml:space="preserve">escaped and sought shelter in the </w:t>
      </w:r>
      <w:r w:rsidR="00E804FB">
        <w:t>headquarters</w:t>
      </w:r>
      <w:r>
        <w:t xml:space="preserve"> of Ramallah Municipality, but the attackers followed them there and continued the attack. They threatened the director of Ashtar Theater and attacked her with derogatory words (</w:t>
      </w:r>
      <w:r w:rsidR="00FE1DFF">
        <w:t xml:space="preserve">Verbal </w:t>
      </w:r>
      <w:r>
        <w:t>Sexual Abuse)</w:t>
      </w:r>
      <w:r>
        <w:rPr>
          <w:rStyle w:val="FootnoteReference"/>
        </w:rPr>
        <w:footnoteReference w:id="9"/>
      </w:r>
      <w:r>
        <w:t>. The attackers were carrying blackjacks</w:t>
      </w:r>
      <w:r w:rsidR="001B296E">
        <w:t xml:space="preserve"> and</w:t>
      </w:r>
      <w:r>
        <w:t xml:space="preserve"> the director of Ashtar Theater addressed the police and spoke to a police officer demanding protecting her, but her demand was ignored. The attackers continued attacking the participants in the march while they were in the municipality yard and the police stood hands-cuffed. </w:t>
      </w:r>
    </w:p>
    <w:p w14:paraId="001BA2A7" w14:textId="46C34363" w:rsidR="000C7196" w:rsidRDefault="00C97926" w:rsidP="00E804FB">
      <w:pPr>
        <w:pStyle w:val="NoSpacing"/>
        <w:jc w:val="both"/>
      </w:pPr>
      <w:r>
        <w:lastRenderedPageBreak/>
        <w:t xml:space="preserve">27. </w:t>
      </w:r>
      <w:r w:rsidR="00513F7F">
        <w:t xml:space="preserve"> </w:t>
      </w:r>
      <w:r>
        <w:t>The Partners recommend your committee to demand the SoP to provide detailed information about abstaining of the Palestinian Police from protecting the participants</w:t>
      </w:r>
      <w:r w:rsidR="001B296E">
        <w:t xml:space="preserve"> in the</w:t>
      </w:r>
      <w:r>
        <w:t xml:space="preserve"> art march of Asht</w:t>
      </w:r>
      <w:r w:rsidR="005B4791">
        <w:t xml:space="preserve">ar Theater on Friday, 8/7/2022 at the entrance of the Ottoman Court. </w:t>
      </w:r>
      <w:r w:rsidR="000C7196">
        <w:t xml:space="preserve">The attack continued at the yard of Ramallah municipality. SoP should report </w:t>
      </w:r>
      <w:r w:rsidR="00E804FB">
        <w:t>on</w:t>
      </w:r>
      <w:r w:rsidR="000C7196">
        <w:t xml:space="preserve"> the measures it took to fulfill its commitments regarding protecting cultural activities. The state party should present the measures </w:t>
      </w:r>
      <w:r w:rsidR="001B296E">
        <w:t xml:space="preserve">of </w:t>
      </w:r>
      <w:r w:rsidR="000C7196">
        <w:t xml:space="preserve">criminal investigation and accounting </w:t>
      </w:r>
      <w:r w:rsidR="00E804FB">
        <w:t xml:space="preserve">for </w:t>
      </w:r>
      <w:r w:rsidR="000C7196">
        <w:t xml:space="preserve">those who participated in the attack (if any). </w:t>
      </w:r>
      <w:r w:rsidR="005E289F">
        <w:t>Also,</w:t>
      </w:r>
      <w:r w:rsidR="000C7196">
        <w:t xml:space="preserve"> to report </w:t>
      </w:r>
      <w:r w:rsidR="00E804FB">
        <w:t>on</w:t>
      </w:r>
      <w:r w:rsidR="000C7196">
        <w:t xml:space="preserve"> the judiciary rulings against the perpetrators and present samples of these rulings. Moreover, to </w:t>
      </w:r>
      <w:r w:rsidR="005213C9">
        <w:t>present</w:t>
      </w:r>
      <w:r w:rsidR="000C7196">
        <w:t xml:space="preserve"> the procedures taken to ensure justice</w:t>
      </w:r>
      <w:r w:rsidR="001B296E">
        <w:t xml:space="preserve"> and remedy </w:t>
      </w:r>
      <w:r w:rsidR="000C7196">
        <w:t xml:space="preserve">for the </w:t>
      </w:r>
      <w:r w:rsidR="005E289F">
        <w:t>victims (</w:t>
      </w:r>
      <w:r w:rsidR="000C7196">
        <w:t xml:space="preserve">if any) and samples of the rulings regarding </w:t>
      </w:r>
      <w:r w:rsidR="001B296E">
        <w:t>remedy</w:t>
      </w:r>
      <w:r w:rsidR="000C7196">
        <w:t xml:space="preserve">. SoP should clarify the procedures applied to protect cultural activities and ban </w:t>
      </w:r>
      <w:r w:rsidR="001B296E">
        <w:t xml:space="preserve">future </w:t>
      </w:r>
      <w:r w:rsidR="000C7196">
        <w:t>similar attacks</w:t>
      </w:r>
      <w:r w:rsidR="001B296E">
        <w:t xml:space="preserve">. </w:t>
      </w:r>
      <w:r w:rsidR="000C7196">
        <w:t xml:space="preserve"> </w:t>
      </w:r>
    </w:p>
    <w:p w14:paraId="4A6F3460" w14:textId="66959E37" w:rsidR="000C7196" w:rsidRDefault="000C7196" w:rsidP="000645BB">
      <w:pPr>
        <w:pStyle w:val="NoSpacing"/>
        <w:jc w:val="both"/>
      </w:pPr>
      <w:r w:rsidRPr="005E289F">
        <w:rPr>
          <w:b/>
          <w:bCs/>
        </w:rPr>
        <w:t>8.3. Attack</w:t>
      </w:r>
      <w:r w:rsidRPr="001B296E">
        <w:rPr>
          <w:b/>
          <w:bCs/>
        </w:rPr>
        <w:t xml:space="preserve"> Against A.M. Qattan Foundation:</w:t>
      </w:r>
    </w:p>
    <w:p w14:paraId="14E3A1CA" w14:textId="34B78319" w:rsidR="000C7196" w:rsidRDefault="000C7196" w:rsidP="005213C9">
      <w:pPr>
        <w:pStyle w:val="NoSpacing"/>
        <w:jc w:val="both"/>
      </w:pPr>
      <w:r>
        <w:t xml:space="preserve">28. On 4/8/2022, less than one month after attacking the art march of Ashtar Theater, the Palestinian Police asked Qattan Foundation to cancel a show for the Palestinian singer </w:t>
      </w:r>
      <w:r w:rsidR="005E289F">
        <w:t>(J.S)</w:t>
      </w:r>
      <w:r w:rsidR="00492358">
        <w:t xml:space="preserve"> </w:t>
      </w:r>
      <w:r>
        <w:t xml:space="preserve">due to </w:t>
      </w:r>
      <w:r w:rsidR="005213C9">
        <w:t>threats</w:t>
      </w:r>
      <w:r>
        <w:t xml:space="preserve"> against the singer and that these </w:t>
      </w:r>
      <w:r w:rsidR="005213C9">
        <w:t>threats</w:t>
      </w:r>
      <w:r>
        <w:t xml:space="preserve"> might affect the Foundation itself in case the show was arranged.</w:t>
      </w:r>
      <w:r w:rsidRPr="000C7196">
        <w:t xml:space="preserve"> Despite the </w:t>
      </w:r>
      <w:r w:rsidR="009E1D32">
        <w:t>F</w:t>
      </w:r>
      <w:r w:rsidRPr="000C7196">
        <w:t>oundation's emphasis on the importance of the Police fulfilling their duty to protect both the Foundation and the cultural activities, the Police</w:t>
      </w:r>
      <w:r>
        <w:t xml:space="preserve"> insisted on canceling the show and that the police will not provide any protection for the show. </w:t>
      </w:r>
      <w:r w:rsidRPr="000C7196">
        <w:t xml:space="preserve">On </w:t>
      </w:r>
      <w:r w:rsidR="00BE7250">
        <w:t xml:space="preserve">August 3, </w:t>
      </w:r>
      <w:r w:rsidRPr="000C7196">
        <w:t xml:space="preserve">2022, a meeting took place at the Office of the Ramallah Governor, with representatives </w:t>
      </w:r>
      <w:r w:rsidR="005E289F" w:rsidRPr="000C7196">
        <w:t xml:space="preserve">from </w:t>
      </w:r>
      <w:r w:rsidR="005E289F">
        <w:t>Qattan</w:t>
      </w:r>
      <w:r w:rsidRPr="000C7196">
        <w:t xml:space="preserve"> Foundation and Ashtar Theater in attendance. During the meeting, there was a strong emphasis on the need for adequate protection of the upcoming cultural event, a singing show, scheduled for the following day, August 4, 2023. However, despite the discussions, the outcome of the meeting was unproductive, and the Governor of Ramallah declared that there was no feasible way to ensure the security of the activity.</w:t>
      </w:r>
      <w:r>
        <w:t xml:space="preserve"> On the same day, the administration of the Foundation contacted the spokesperson of the government and the minister of culture and other officials and explained to them what is going on and the necessity to protect the cultural activities. However, there was no result for these initiatives and so, the Foundation closed its doors on the day the activity was planned (4/8/2022)</w:t>
      </w:r>
      <w:r w:rsidR="00492358">
        <w:t xml:space="preserve"> </w:t>
      </w:r>
      <w:r>
        <w:t xml:space="preserve">due to </w:t>
      </w:r>
      <w:r w:rsidR="00F153A9">
        <w:t>the improbability</w:t>
      </w:r>
      <w:r w:rsidR="00BE7250">
        <w:t xml:space="preserve"> </w:t>
      </w:r>
      <w:r>
        <w:t xml:space="preserve">of the Police and the Governor of protecting the organization. </w:t>
      </w:r>
    </w:p>
    <w:p w14:paraId="2FFD9AC9" w14:textId="0B006912" w:rsidR="000C7196" w:rsidRDefault="000C7196" w:rsidP="00492358">
      <w:pPr>
        <w:pStyle w:val="NoSpacing"/>
        <w:jc w:val="both"/>
      </w:pPr>
      <w:r>
        <w:t xml:space="preserve">29. The Partners refer your committee to item 256 of Sop’s report in which it states that “it works to deepen the cultural awareness and activate and expand the cultural </w:t>
      </w:r>
      <w:r w:rsidR="00492358">
        <w:t>events</w:t>
      </w:r>
      <w:r>
        <w:t>”. Additionally, item 267 of the report where the state party emphasizes that: “Within the efforts of the S</w:t>
      </w:r>
      <w:r w:rsidR="00492358">
        <w:t xml:space="preserve">oP </w:t>
      </w:r>
      <w:r>
        <w:t>to enhance the cultural rights and protect people against violating their personal freedoms, it had taken a position regarding these issues to avoid restricting freedoms, especially freedom to opinion and expression”. Additionally, the Partners refer your committee to co</w:t>
      </w:r>
      <w:r w:rsidR="00492358">
        <w:t>m</w:t>
      </w:r>
      <w:r>
        <w:t>ment number (21)</w:t>
      </w:r>
      <w:r w:rsidR="00492358">
        <w:t xml:space="preserve"> </w:t>
      </w:r>
      <w:r>
        <w:t xml:space="preserve">provided by your committee regarding participation in the cultural life, especially item (1), “Cultural Rights are indivisible part of human rights set and are equal to the other rights being universal, impartial, and connected”. </w:t>
      </w:r>
      <w:r w:rsidR="005E289F">
        <w:t>Additionally,</w:t>
      </w:r>
      <w:r>
        <w:t xml:space="preserve"> item (6) of the general comment “Right to Participate in the Cultural Life that could be considered freedom”. Moreover, item (5) “The Committee (your Committee) gained wide experience in this field through revising the reports and involving in dialogues with the states parties”. </w:t>
      </w:r>
    </w:p>
    <w:p w14:paraId="508A1C8C" w14:textId="49859967" w:rsidR="000C7196" w:rsidRDefault="000C7196" w:rsidP="0038445F">
      <w:pPr>
        <w:pStyle w:val="NoSpacing"/>
        <w:jc w:val="both"/>
      </w:pPr>
      <w:r>
        <w:t>30.</w:t>
      </w:r>
      <w:r w:rsidRPr="000C7196">
        <w:t xml:space="preserve"> The Partners kindly </w:t>
      </w:r>
      <w:r w:rsidR="005213C9" w:rsidRPr="000C7196">
        <w:t>adv</w:t>
      </w:r>
      <w:r w:rsidR="005213C9">
        <w:t>i</w:t>
      </w:r>
      <w:r w:rsidR="005213C9" w:rsidRPr="000C7196">
        <w:t>se</w:t>
      </w:r>
      <w:r w:rsidRPr="000C7196">
        <w:t xml:space="preserve"> your esteemed committee to request information from the S</w:t>
      </w:r>
      <w:r w:rsidR="00492358">
        <w:t xml:space="preserve">oP </w:t>
      </w:r>
      <w:r w:rsidRPr="000C7196">
        <w:t xml:space="preserve">regarding the decision to </w:t>
      </w:r>
      <w:r w:rsidR="00BE7250">
        <w:t xml:space="preserve">request cancelling </w:t>
      </w:r>
      <w:r w:rsidRPr="000C7196">
        <w:t xml:space="preserve">Qattan Foundation's </w:t>
      </w:r>
      <w:r w:rsidR="00FE1DFF">
        <w:t>music</w:t>
      </w:r>
      <w:r w:rsidR="00FE1DFF" w:rsidRPr="000C7196">
        <w:t xml:space="preserve"> </w:t>
      </w:r>
      <w:r w:rsidRPr="000C7196">
        <w:t>show on August 4, 2022. Additionally, it is recommended to inquire why adequate security measures were not implemented for the event, despite the organization's efforts in reaching out to the Police, the Ramallah Governor to request protection for the show.</w:t>
      </w:r>
      <w:r>
        <w:t xml:space="preserve"> State party should be requested to provide information about its measures to fulfill its commitments to protect the cultural activity of Qattan Foundation. The state party should provide information about the disciplinary accountability of those who did not perform their duties in protecting the cultural events. Moreover, to request information about the administrative decisions and rulings taken to ensure justice for the Foundation. Additionally, to request information about the </w:t>
      </w:r>
      <w:r w:rsidR="0038445F">
        <w:t xml:space="preserve">remedy </w:t>
      </w:r>
      <w:r>
        <w:t xml:space="preserve">ruled for the Qattan Foundation (if any) and to provide samples of the rulings regarding </w:t>
      </w:r>
      <w:r w:rsidR="0038445F">
        <w:t>remedy</w:t>
      </w:r>
      <w:r>
        <w:t xml:space="preserve"> alongside with </w:t>
      </w:r>
      <w:r>
        <w:lastRenderedPageBreak/>
        <w:t xml:space="preserve">the measures applied by the state party to protect the cultural activities and ensure no repletion of the attacks in the future. </w:t>
      </w:r>
    </w:p>
    <w:p w14:paraId="7DC67641" w14:textId="58590922" w:rsidR="000C7196" w:rsidRDefault="000C7196" w:rsidP="000645BB">
      <w:pPr>
        <w:pStyle w:val="NoSpacing"/>
        <w:jc w:val="both"/>
      </w:pPr>
      <w:r w:rsidRPr="005E289F">
        <w:rPr>
          <w:b/>
          <w:bCs/>
        </w:rPr>
        <w:t>8.4.</w:t>
      </w:r>
      <w:r>
        <w:t xml:space="preserve"> </w:t>
      </w:r>
      <w:r w:rsidRPr="0038445F">
        <w:rPr>
          <w:b/>
          <w:bCs/>
        </w:rPr>
        <w:t>Attack on Tamer Institute for Community Education</w:t>
      </w:r>
      <w:r>
        <w:t>:</w:t>
      </w:r>
    </w:p>
    <w:p w14:paraId="6AC0419A" w14:textId="14D1E445" w:rsidR="000C7196" w:rsidRDefault="000C7196" w:rsidP="00C108C2">
      <w:pPr>
        <w:pStyle w:val="NoSpacing"/>
        <w:jc w:val="both"/>
      </w:pPr>
      <w:r>
        <w:t>31. The organization was subject to a campaign of incitement and hate speech</w:t>
      </w:r>
      <w:r w:rsidR="005E7292">
        <w:t>,</w:t>
      </w:r>
      <w:r>
        <w:t xml:space="preserve"> through social media</w:t>
      </w:r>
      <w:r w:rsidR="005E7292">
        <w:t xml:space="preserve">, because of </w:t>
      </w:r>
      <w:r>
        <w:t xml:space="preserve">participation in a Summer Camp arranged by the Ministry of Education in Jerusalem Governorate, for the students of a school. </w:t>
      </w:r>
      <w:r w:rsidR="005E7292">
        <w:t xml:space="preserve">The attack included using terms such describing the organization to be “Corrupted” and “Ethically Suspicious”. Additionally, the families were warned from allowing their children to be enrolled in the activities of the Institution. </w:t>
      </w:r>
      <w:r w:rsidR="00C108C2">
        <w:t xml:space="preserve"> </w:t>
      </w:r>
      <w:r w:rsidR="005E7292">
        <w:t>Moreover, there were statements issued to ban the “Suspicious Women Organizations” from working in the schools with mentioning of CEDAW and terming women activists as Cedawians where the term is used to label women activists and considering “Cedawian” as an insulting term. The same thoughts (anti gender and gender aspects</w:t>
      </w:r>
      <w:r w:rsidR="00C108C2">
        <w:t>)</w:t>
      </w:r>
      <w:r w:rsidR="005E7292">
        <w:t xml:space="preserve"> that are used by some religious parties/powers and the youth groups pro of these parties in the West Bank. The domination of these thoughts led to attack the cultural institutions and ban arranging some cultural and art events while the Palestinian Police and official institutions did not raise a finger to protect the cultural activities</w:t>
      </w:r>
      <w:r w:rsidR="005E7292">
        <w:rPr>
          <w:rStyle w:val="FootnoteReference"/>
        </w:rPr>
        <w:footnoteReference w:id="10"/>
      </w:r>
      <w:r w:rsidR="005E7292">
        <w:t xml:space="preserve">. </w:t>
      </w:r>
    </w:p>
    <w:p w14:paraId="4027FA9C" w14:textId="41812DFA" w:rsidR="005E7292" w:rsidRDefault="005E7292" w:rsidP="00265761">
      <w:pPr>
        <w:pStyle w:val="NoSpacing"/>
        <w:jc w:val="both"/>
      </w:pPr>
      <w:r>
        <w:t xml:space="preserve">32. </w:t>
      </w:r>
      <w:r w:rsidRPr="005E7292">
        <w:t xml:space="preserve">Tamer Institute released a public statement in which it conveyed, "As part of the collaborative efforts between the organization and the Ministry of Education, and under the supervision of the organization's coordinator, a dialogue took place during the aforementioned summer camp with a cohort of female students. The conversation delved into topics surrounding the universe, encompassing its physical evolution, historical progressions, and contemporary advancements." </w:t>
      </w:r>
      <w:r>
        <w:t xml:space="preserve">The discussion is based on the vision of the Institution to raise the young generations awareness of the developments within the world through open and safe dialogue between youth and their surrounding communities. Such dialogues become important within the open technology on the world and that many children and youth might access false resources of information”. The Institution affirmed that what was published about the dialogue sessions later </w:t>
      </w:r>
      <w:r w:rsidR="00265761">
        <w:t>on</w:t>
      </w:r>
      <w:r>
        <w:t xml:space="preserve"> is misleading and defamation of the Institution and its cadres. Additionally, it is promotion of false rumors. Not only that, but </w:t>
      </w:r>
      <w:r w:rsidR="005E289F">
        <w:t>also,</w:t>
      </w:r>
      <w:r>
        <w:t xml:space="preserve"> they used defamation terms that are strange and not part of our culture and community values. </w:t>
      </w:r>
      <w:r w:rsidR="00265761">
        <w:t>Despite</w:t>
      </w:r>
      <w:r>
        <w:t xml:space="preserve"> the intensive efforts of the Institution to end the crisis, through meeting with the ministry, families, students, and other actors, yet, the incitement campaign is still going on and is being deepened”. </w:t>
      </w:r>
      <w:r w:rsidRPr="005E7292">
        <w:t xml:space="preserve">The organization further emphasized in its statement, "It is beyond doubt that the dissemination of false information and incitement forms a significant component of the intense assault on Palestinian cultural vitality. This extends not only to cultural institutions and advocates but also to those engaging in community education endeavors. </w:t>
      </w:r>
      <w:r w:rsidR="005E289F" w:rsidRPr="005E7292">
        <w:t>These offensive targets</w:t>
      </w:r>
      <w:r w:rsidRPr="005E7292">
        <w:t xml:space="preserve"> any endeavor that encourages critical thinking and contemplation about the universe, a concept that finds motivation within the context of various religious beliefs."</w:t>
      </w:r>
      <w:r>
        <w:t xml:space="preserve">    </w:t>
      </w:r>
    </w:p>
    <w:p w14:paraId="13A88A1E" w14:textId="0AC4FC8A" w:rsidR="005E7292" w:rsidRDefault="005E7292" w:rsidP="00664456">
      <w:pPr>
        <w:pStyle w:val="NoSpacing"/>
        <w:jc w:val="both"/>
      </w:pPr>
      <w:r>
        <w:t xml:space="preserve">33. The Partners recommend your esteemed committee to request the SoP to work immediately, to fulfill its commitments under the Articles of the Covenant regarding cultural rights on the base of (respect, protection, and fulfillment). And to work on ending the hate speech against the cultural activities and cultural activists including justice for the affected persons and ensure that the assaults would not be repeated. SoP should work to the maximum to combat the insulting stereotyping and culture against women as well as </w:t>
      </w:r>
      <w:r w:rsidR="00664456">
        <w:t>enhance</w:t>
      </w:r>
      <w:r>
        <w:t xml:space="preserve"> the values of equality, human dignity, and respect the </w:t>
      </w:r>
      <w:r w:rsidR="00664456">
        <w:t>others</w:t>
      </w:r>
      <w:r>
        <w:t xml:space="preserve">. Such values are obligatory to SoP according to Article 5 of CEDAW and to provide information regarding progress made in </w:t>
      </w:r>
      <w:r>
        <w:lastRenderedPageBreak/>
        <w:t xml:space="preserve">this regard and in connection with cultural rights. SoP should enhance the environments of work, communication, and education as well as other fields to combat the stereotyping and hate speech against women as well as </w:t>
      </w:r>
      <w:r w:rsidR="00664456">
        <w:t>strengthen</w:t>
      </w:r>
      <w:r>
        <w:t xml:space="preserve"> the culture of equality and respect the </w:t>
      </w:r>
      <w:r w:rsidR="00664456">
        <w:t>others</w:t>
      </w:r>
      <w:r>
        <w:t xml:space="preserve"> in the schools and universities and within the pedagogy and teaching methods. </w:t>
      </w:r>
    </w:p>
    <w:p w14:paraId="7CE9CB6A" w14:textId="12E89B53" w:rsidR="002B4E41" w:rsidRDefault="002B4E41" w:rsidP="000645BB">
      <w:pPr>
        <w:pStyle w:val="NoSpacing"/>
        <w:jc w:val="both"/>
        <w:rPr>
          <w:b/>
          <w:bCs/>
        </w:rPr>
      </w:pPr>
      <w:r w:rsidRPr="005E289F">
        <w:rPr>
          <w:b/>
          <w:bCs/>
        </w:rPr>
        <w:t>8.5</w:t>
      </w:r>
      <w:r>
        <w:t xml:space="preserve"> </w:t>
      </w:r>
      <w:r w:rsidRPr="002B4E41">
        <w:rPr>
          <w:b/>
          <w:bCs/>
        </w:rPr>
        <w:t>Attack Against SHASHAT- Women Cinema:</w:t>
      </w:r>
    </w:p>
    <w:p w14:paraId="1FF63442" w14:textId="255AE8D3" w:rsidR="005E7292" w:rsidRDefault="005E289F" w:rsidP="005E289F">
      <w:r>
        <w:t xml:space="preserve">34. </w:t>
      </w:r>
      <w:r w:rsidR="00840D0F" w:rsidRPr="00840D0F">
        <w:t>SHASHAT was subjected to a campaign of incitement and hate speeches that were disseminated on social media platforms due to its production of films by adolescents, both male and female, in certain provinces. These films tackle themes of "equality and non-discrimination," as well as the empowerment and protection of women. This resulted in a barrage of direct accusations against the foundation through various communication channels, accusing it of "corruption and promotion of malicious Western ideas, rebellion against family, religion, and society, and the promotion of vulgar programs..." The foundation was warned against by parents, participants, and the public, demanding the cessation of its activities and programs. This was accompanied by the use of slogans on social media bearing phrases like "Mass Movement to Abrogate SEEDAW Agreement" and hashtags such as "Protect_Your_Children_Fro</w:t>
      </w:r>
      <w:r w:rsidR="00B2380B">
        <w:t>m_Global_Gangs" and "Down_with_C</w:t>
      </w:r>
      <w:r w:rsidR="00840D0F" w:rsidRPr="00840D0F">
        <w:t xml:space="preserve">EDAW." These were employed with the same pattern (stereotyping) in order to "stigmatize" and consider them derogatory terms. Voice recordings were also published on social media platforms inciting against Women's Cinema Screens Foundation and demanding the cessation of its activities. These actions led to the termination of the foundation's contracts. These are the same calls that oppose social gender and sexual considerations, led by certain religious currents and groups supportive of their ideological orientations. Such calls have resulted in attacks on certain cultural institutions, hindering their activities, and </w:t>
      </w:r>
      <w:r w:rsidR="00A24636">
        <w:t xml:space="preserve">a </w:t>
      </w:r>
      <w:r w:rsidR="00840D0F" w:rsidRPr="00840D0F">
        <w:t>lack of intervention from the Palestinian police and official authorities to protect them.</w:t>
      </w:r>
      <w:r>
        <w:br/>
        <w:t>35</w:t>
      </w:r>
      <w:r w:rsidR="00F104D1">
        <w:t xml:space="preserve">. </w:t>
      </w:r>
      <w:r w:rsidR="00F104D1" w:rsidRPr="00F104D1">
        <w:t xml:space="preserve">The </w:t>
      </w:r>
      <w:r w:rsidR="00F104D1">
        <w:t xml:space="preserve">Partners recommend your </w:t>
      </w:r>
      <w:r w:rsidR="00F104D1" w:rsidRPr="00F104D1">
        <w:t xml:space="preserve">esteemed committee </w:t>
      </w:r>
      <w:r w:rsidR="00974EEB">
        <w:t>to</w:t>
      </w:r>
      <w:r w:rsidR="00F104D1" w:rsidRPr="00F104D1">
        <w:t xml:space="preserve"> urge the State of Palestine to take immediate and swift action to halt incitement and hate speeches targeting Palestinian cultural institutions, their activities, and their employees, exposing them to danger due to this recurring pattern of societal incitement. Furthermore, it calls for ensuring justice for the affected parties and guaranteeing non-recurrence. The partners are directed to your committee's concluding observations on the initial report of the State of Palestine (1/CO/PSE/CO/CEDAW), published on July 25, 2018, specifically addressing paragraphs (24) and (25) under the title "Stereotypes and Harmful Practices." In these paragraphs, the committee recommended that Palestine "expedite the adoption of a comprehensive strategy to eliminate discriminatory stereotypes regarding the roles and responsibilities of women and men in the family and society... expand educational programs targeting the public to raise awareness about the negative impacts of discriminatory stereotypes on women's rights." These programs should be directed at religious leaders and tribal figures, considering them as custodians of religious and customary values in Palestine. Additionally, efforts should continue to review school textbooks to remove stereotypical portrayals of women and girls in their roles within the family and society, while actively promoting a positive image of them. Collaborative endeavors with media should be intensified to raise public awareness about gender stereotypes at all levels of society, with the aim of eradicating them. These recommendations should be implemented promptly.</w:t>
      </w:r>
      <w:r w:rsidR="00F104D1" w:rsidRPr="00F104D1">
        <w:rPr>
          <w:rFonts w:ascii="Arial" w:eastAsia="Times New Roman" w:hAnsi="Arial" w:cs="Arial"/>
          <w:vanish/>
          <w:sz w:val="16"/>
          <w:szCs w:val="16"/>
          <w:lang w:val="en-GB" w:eastAsia="en-GB"/>
        </w:rPr>
        <w:t>Top of Form</w:t>
      </w:r>
      <w:r>
        <w:rPr>
          <w:rFonts w:ascii="Arial" w:eastAsia="Times New Roman" w:hAnsi="Arial" w:cs="Arial"/>
          <w:sz w:val="16"/>
          <w:szCs w:val="16"/>
          <w:lang w:val="en-GB" w:eastAsia="en-GB"/>
        </w:rPr>
        <w:br/>
      </w:r>
      <w:r w:rsidR="00670F0C" w:rsidRPr="00430C42">
        <w:rPr>
          <w:b/>
          <w:bCs/>
          <w:lang w:val="en-GB"/>
        </w:rPr>
        <w:t>8.6:</w:t>
      </w:r>
      <w:r w:rsidR="00670F0C">
        <w:rPr>
          <w:lang w:val="en-GB"/>
        </w:rPr>
        <w:t xml:space="preserve"> </w:t>
      </w:r>
      <w:r w:rsidR="00670F0C" w:rsidRPr="00670F0C">
        <w:rPr>
          <w:b/>
          <w:bCs/>
          <w:lang w:val="en-GB"/>
        </w:rPr>
        <w:t>Attack against Khalil Sakakini Center</w:t>
      </w:r>
      <w:r w:rsidR="00670F0C">
        <w:rPr>
          <w:b/>
          <w:bCs/>
          <w:lang w:val="en-GB"/>
        </w:rPr>
        <w:t>:</w:t>
      </w:r>
      <w:r>
        <w:rPr>
          <w:rFonts w:ascii="Arial" w:eastAsia="Times New Roman" w:hAnsi="Arial" w:cs="Arial"/>
          <w:sz w:val="16"/>
          <w:szCs w:val="16"/>
          <w:lang w:val="en-GB" w:eastAsia="en-GB"/>
        </w:rPr>
        <w:br/>
      </w:r>
      <w:r>
        <w:t>36</w:t>
      </w:r>
      <w:r w:rsidR="00430C42">
        <w:t xml:space="preserve">. </w:t>
      </w:r>
      <w:r w:rsidR="00670F0C" w:rsidRPr="00670F0C">
        <w:t xml:space="preserve">Khalil Sakakini Cultural Center, located in Ramallah in the West Bank, organized a musical performance as part of its artistic and cultural activities on Thursday, June 30, 2022, in its private garden. The center's team noticed an intensified presence of Palestinian police elements, along with other security agencies and individuals dressed in civilian attire, around 7:00 PM. Subsequently, three members of the tourist police entered the Khalil Sakakini Cultural Center building in Ramallah and </w:t>
      </w:r>
      <w:r w:rsidR="00670F0C" w:rsidRPr="00670F0C">
        <w:lastRenderedPageBreak/>
        <w:t xml:space="preserve">requested the center's team to halt the concert, citing the absence of a "permit" from the police and the Ministry of Tourism. The center indeed suspended the musical performance based on the request of the tourist police. The police officers and security personnel did not produce "judicial warrants" and proceeded to enter the center's premises, detaining one of its staff members. Later, they detained a member of the board of directors for several hours at the Baloua Police </w:t>
      </w:r>
      <w:r w:rsidR="00A51827">
        <w:t>Station</w:t>
      </w:r>
      <w:r w:rsidR="00670F0C" w:rsidRPr="00670F0C">
        <w:t xml:space="preserve"> in Ramallah. At 11:00 PM on the same day, the police had the detainees sign "written undertakings" not to hold public events in the public domain without obtaining prior authorization. Subsequently, they were released.</w:t>
      </w:r>
      <w:r>
        <w:br/>
        <w:t>37</w:t>
      </w:r>
      <w:r w:rsidR="00430C42">
        <w:t xml:space="preserve">. The Partners recommend your </w:t>
      </w:r>
      <w:r w:rsidR="002D47BC">
        <w:t xml:space="preserve">esteemed committee </w:t>
      </w:r>
      <w:r w:rsidR="00670F0C" w:rsidRPr="00670F0C">
        <w:t>urging the State of Palestine to take immediate and prompt action to halt all interventions by law enforcement agencies in Palestine regarding cultural and artistic activities. This should include respecting freedom of expression and all forms of art, as well as upholding the rights and constitutional guarantees enshrined in the Basic Law. The Basic Law emphasizes the sanctity of private homes and private institutions and prohibits their entry without judicial warrants. Furthermore, no prerequisite prior permit should be imposed for cultural institutions to conduct artistic presentations, given their registration in accordance with the law. Immediate efforts should be taken to hold accountable those responsible for violating cultural and artistic rights, ensuring justice for the affected parties, and preventing the recurrence of such violations.</w:t>
      </w:r>
      <w:r w:rsidR="00670F0C" w:rsidRPr="00670F0C">
        <w:rPr>
          <w:rFonts w:ascii="Arial" w:eastAsia="Times New Roman" w:hAnsi="Arial" w:cs="Arial"/>
          <w:vanish/>
          <w:sz w:val="16"/>
          <w:szCs w:val="16"/>
          <w:lang w:val="en-GB" w:eastAsia="en-GB"/>
        </w:rPr>
        <w:t>Top of Form</w:t>
      </w:r>
      <w:r>
        <w:rPr>
          <w:rFonts w:ascii="Arial" w:eastAsia="Times New Roman" w:hAnsi="Arial" w:cs="Arial"/>
          <w:sz w:val="16"/>
          <w:szCs w:val="16"/>
          <w:lang w:val="en-GB" w:eastAsia="en-GB"/>
        </w:rPr>
        <w:br/>
      </w:r>
      <w:r w:rsidR="002D47BC">
        <w:rPr>
          <w:b/>
          <w:bCs/>
        </w:rPr>
        <w:t>8.7</w:t>
      </w:r>
      <w:r w:rsidR="005E7292" w:rsidRPr="00265761">
        <w:rPr>
          <w:b/>
          <w:bCs/>
        </w:rPr>
        <w:t>: Attacks against Palestinian Female Artists and Cultural Activists</w:t>
      </w:r>
      <w:r w:rsidR="005E7292">
        <w:t xml:space="preserve">: </w:t>
      </w:r>
      <w:r>
        <w:br/>
        <w:t>38.</w:t>
      </w:r>
      <w:r w:rsidR="005E7292">
        <w:t xml:space="preserve"> </w:t>
      </w:r>
      <w:r w:rsidR="00265761">
        <w:t>On</w:t>
      </w:r>
      <w:r w:rsidR="005E7292">
        <w:t xml:space="preserve"> 27/12/2020, the Palestinian Police arrested the Palestinian Techno Music Artist, </w:t>
      </w:r>
      <w:r w:rsidR="00BE7250">
        <w:t>S</w:t>
      </w:r>
      <w:r w:rsidR="00265761">
        <w:t xml:space="preserve">.A. </w:t>
      </w:r>
      <w:r w:rsidR="00974EEB">
        <w:t>She was arrested fo</w:t>
      </w:r>
      <w:r w:rsidR="002D47BC">
        <w:t xml:space="preserve">r </w:t>
      </w:r>
      <w:r w:rsidR="005E7292">
        <w:t xml:space="preserve">arranging a music show in the </w:t>
      </w:r>
      <w:r w:rsidR="00265761">
        <w:t>external</w:t>
      </w:r>
      <w:r w:rsidR="005E7292">
        <w:t xml:space="preserve"> yards of the markets (Bazar) adjacent to Prophet Moses Shrine, in the area between Jerusalem and </w:t>
      </w:r>
      <w:r w:rsidR="00A51827">
        <w:t>Jericho-West</w:t>
      </w:r>
      <w:r w:rsidR="005E7292">
        <w:t xml:space="preserve"> Bank. The artist was questioned by the public prosecution in Jericho and interrogated and later on, her interrogation was extended for 15 days by a ruling issued </w:t>
      </w:r>
      <w:r w:rsidR="00265761">
        <w:t>from</w:t>
      </w:r>
      <w:r w:rsidR="005E7292">
        <w:t xml:space="preserve"> a Palestinian court, where she was held </w:t>
      </w:r>
      <w:r w:rsidR="00A51827">
        <w:t xml:space="preserve">in </w:t>
      </w:r>
      <w:r w:rsidR="005E7292">
        <w:t xml:space="preserve">custody in Jericho Prison. She was released after 8 days on bail and denied </w:t>
      </w:r>
      <w:r w:rsidR="00A51827">
        <w:t xml:space="preserve">the </w:t>
      </w:r>
      <w:r w:rsidR="005E7292">
        <w:t xml:space="preserve">right to travel. Although the music show took place in the Bazar that is adjacent to the Shrine, which is a </w:t>
      </w:r>
      <w:r w:rsidR="00A51827">
        <w:t>tourist</w:t>
      </w:r>
      <w:r w:rsidR="005E7292">
        <w:t xml:space="preserve"> site, and although the artist affirmed that she obtained permission from the Ministry of Tourism</w:t>
      </w:r>
      <w:r w:rsidR="00265761">
        <w:t xml:space="preserve">, </w:t>
      </w:r>
      <w:r w:rsidR="005E7292">
        <w:t xml:space="preserve">yet, she was arrested and prisoned while none of the officials from the Ministry was questioned. </w:t>
      </w:r>
      <w:r>
        <w:br/>
        <w:t>39</w:t>
      </w:r>
      <w:r w:rsidR="005E7292">
        <w:t xml:space="preserve">. Some actresses in Huda Saloon Film (2022) were fiercely attacked and subject to hate speech on social media and media platforms, in addition to </w:t>
      </w:r>
      <w:r w:rsidR="00A51827">
        <w:t>threats</w:t>
      </w:r>
      <w:r w:rsidR="005E7292">
        <w:t xml:space="preserve"> </w:t>
      </w:r>
      <w:r w:rsidR="00A51827">
        <w:t>of</w:t>
      </w:r>
      <w:r w:rsidR="005E7292">
        <w:t xml:space="preserve"> killing. The attack was extended also to the </w:t>
      </w:r>
      <w:r w:rsidR="00A51827">
        <w:t>male</w:t>
      </w:r>
      <w:r w:rsidR="005E7292">
        <w:t xml:space="preserve"> participants in the film. The reason for the attack </w:t>
      </w:r>
      <w:r w:rsidR="00A51827">
        <w:t>includes</w:t>
      </w:r>
      <w:r w:rsidR="005E7292">
        <w:t xml:space="preserve"> some scenes about the sexual revocation that the Israeli authorities and intelligence services apply wit</w:t>
      </w:r>
      <w:r w:rsidR="00265761">
        <w:t>h</w:t>
      </w:r>
      <w:r w:rsidR="005E7292">
        <w:t xml:space="preserve"> Palestinians to force </w:t>
      </w:r>
      <w:r w:rsidR="00A51827">
        <w:t>them</w:t>
      </w:r>
      <w:r w:rsidR="005E7292">
        <w:t xml:space="preserve"> to cooperate with the Israeli authorities. </w:t>
      </w:r>
    </w:p>
    <w:p w14:paraId="67C02ED6" w14:textId="7332E74F" w:rsidR="005E7292" w:rsidRDefault="005E289F" w:rsidP="00A51827">
      <w:pPr>
        <w:pStyle w:val="NoSpacing"/>
        <w:jc w:val="both"/>
      </w:pPr>
      <w:r>
        <w:t>40</w:t>
      </w:r>
      <w:r w:rsidR="005E7292">
        <w:t>. The Partners recommend your committee to request information from the SoP about the judiciary file of artist S</w:t>
      </w:r>
      <w:r w:rsidR="00265761">
        <w:t xml:space="preserve">.A </w:t>
      </w:r>
      <w:r w:rsidR="005E7292">
        <w:t>and the interrogation decisions against her issued by the public prosecution and the courts, as well as any developments in this file. To request information about th</w:t>
      </w:r>
      <w:r w:rsidR="00265761">
        <w:t>e reasons why was she detained in</w:t>
      </w:r>
      <w:r w:rsidR="005E7292">
        <w:t xml:space="preserve"> response to an art event that is not considered a felony within the applied penalty law. Additionally, to </w:t>
      </w:r>
      <w:r w:rsidR="00A51827">
        <w:t>provides</w:t>
      </w:r>
      <w:r w:rsidR="005E7292">
        <w:t xml:space="preserve"> information about the measures taken to ensure justice for the artist and ensure that artists would not be arrested due to arranging cultural activities. Additionally, to work immediately to end i</w:t>
      </w:r>
      <w:r w:rsidR="00A51827">
        <w:t xml:space="preserve">ncitement, and hate speech, account for </w:t>
      </w:r>
      <w:r w:rsidR="005E7292">
        <w:t xml:space="preserve">the perpetrators, and ensure </w:t>
      </w:r>
      <w:r w:rsidR="00A51827">
        <w:t>protection</w:t>
      </w:r>
      <w:r w:rsidR="005E7292">
        <w:t xml:space="preserve"> </w:t>
      </w:r>
      <w:r w:rsidR="00A51827">
        <w:t xml:space="preserve">of </w:t>
      </w:r>
      <w:r w:rsidR="005E7292">
        <w:t xml:space="preserve">the cultural sector. </w:t>
      </w:r>
      <w:r w:rsidR="00A51827">
        <w:t>Additionally</w:t>
      </w:r>
      <w:r w:rsidR="005E7292">
        <w:t xml:space="preserve">, to </w:t>
      </w:r>
      <w:r w:rsidR="00A51827">
        <w:t>provides</w:t>
      </w:r>
      <w:r w:rsidR="005E7292">
        <w:t xml:space="preserve"> information about the progress made in this regard to ensure that the SoP fulfills its commitments regarding cultural rights on the base of respect, fulfillment, and protection. </w:t>
      </w:r>
    </w:p>
    <w:p w14:paraId="676BF64C" w14:textId="0AB9DE6B" w:rsidR="00E16FE5" w:rsidRDefault="00E16FE5" w:rsidP="00EC62F5">
      <w:pPr>
        <w:pStyle w:val="NoSpacing"/>
        <w:jc w:val="both"/>
        <w:rPr>
          <w:rFonts w:ascii="Segoe UI" w:hAnsi="Segoe UI" w:cs="Segoe UI"/>
          <w:color w:val="374151"/>
          <w:shd w:val="clear" w:color="auto" w:fill="F7F7F8"/>
        </w:rPr>
      </w:pPr>
      <w:r w:rsidRPr="00E16FE5">
        <w:t>The partners refer to your committee to the list of issues and questions raised by the committee concerned with eliminating discrimination against women before submitting the second periodic report of the State of Palestine (2/QPR/PSE/C/CEDAW), published on November 4, 2022, specifically under item (9) titled "Non-governmental organizations and women human rights defenders." In this context, the committee reques</w:t>
      </w:r>
      <w:r w:rsidR="00A51827">
        <w:t>ted the State of Palestine to "</w:t>
      </w:r>
      <w:r w:rsidRPr="00E16FE5">
        <w:t xml:space="preserve">promptly, fairly, thoroughly, effectively, and credibly </w:t>
      </w:r>
      <w:r w:rsidRPr="00E16FE5">
        <w:lastRenderedPageBreak/>
        <w:t>investigate any cases of hate speech against non-governmental organizations and women human rights defenders, enhance the civil space, ensure freedom of expression, and hold perpetrators accountable." The State of Palestine is urged to implement this request without delay and to provide an account of the progress made in establishing investigation committees to address hate speech</w:t>
      </w:r>
      <w:r>
        <w:rPr>
          <w:rFonts w:ascii="Segoe UI" w:hAnsi="Segoe UI" w:cs="Segoe UI"/>
          <w:color w:val="374151"/>
          <w:shd w:val="clear" w:color="auto" w:fill="F7F7F8"/>
        </w:rPr>
        <w:t>.</w:t>
      </w:r>
    </w:p>
    <w:p w14:paraId="17967169" w14:textId="77777777" w:rsidR="00020085" w:rsidRDefault="00020085" w:rsidP="00EC62F5">
      <w:pPr>
        <w:pStyle w:val="NoSpacing"/>
        <w:jc w:val="both"/>
      </w:pPr>
    </w:p>
    <w:p w14:paraId="50A4C3FF" w14:textId="69D99E1D" w:rsidR="005E7292" w:rsidRDefault="005E7292" w:rsidP="000645BB">
      <w:pPr>
        <w:pStyle w:val="NoSpacing"/>
        <w:jc w:val="both"/>
      </w:pPr>
      <w:r w:rsidRPr="00A12FC9">
        <w:rPr>
          <w:b/>
          <w:bCs/>
        </w:rPr>
        <w:t>9. Shrinking the Civic Space- Cultural Space and the role of legislation and Public Policies</w:t>
      </w:r>
      <w:r>
        <w:t xml:space="preserve">:  </w:t>
      </w:r>
    </w:p>
    <w:p w14:paraId="43B9A73C" w14:textId="65643834" w:rsidR="00A07D40" w:rsidRDefault="005E289F" w:rsidP="007644D1">
      <w:pPr>
        <w:pStyle w:val="NoSpacing"/>
        <w:jc w:val="both"/>
      </w:pPr>
      <w:r>
        <w:t>41</w:t>
      </w:r>
      <w:r w:rsidR="005E7292">
        <w:t>. Currently, there are two ways to register the CSOs in Palestine to be able to start working. The first is to be registered as a Charitable Organization according to Charitable</w:t>
      </w:r>
      <w:r w:rsidR="00A12FC9">
        <w:t xml:space="preserve"> and Civil Society</w:t>
      </w:r>
      <w:r w:rsidR="005E7292">
        <w:t xml:space="preserve"> Organizations Law (1/2000) and its amendments where registration is through the Ministry of Interior. The second way is to be registered as</w:t>
      </w:r>
      <w:r w:rsidR="00FE1DFF">
        <w:t xml:space="preserve"> a</w:t>
      </w:r>
      <w:r w:rsidR="005E7292">
        <w:t xml:space="preserve"> no</w:t>
      </w:r>
      <w:r w:rsidR="00FB1E82">
        <w:t>t</w:t>
      </w:r>
      <w:r w:rsidR="005E7292">
        <w:t>-for</w:t>
      </w:r>
      <w:r w:rsidR="00A12FC9">
        <w:t>-</w:t>
      </w:r>
      <w:r w:rsidR="00FB1E82">
        <w:t>profit company based on the not</w:t>
      </w:r>
      <w:r w:rsidR="005E7292">
        <w:t>-for</w:t>
      </w:r>
      <w:r w:rsidR="00A12FC9">
        <w:t>-</w:t>
      </w:r>
      <w:r w:rsidR="005E7292">
        <w:t>profit companies</w:t>
      </w:r>
      <w:r w:rsidR="00FE1DFF">
        <w:t>’</w:t>
      </w:r>
      <w:r w:rsidR="005E7292">
        <w:t xml:space="preserve"> </w:t>
      </w:r>
      <w:r w:rsidR="00A12FC9">
        <w:t>bylaw</w:t>
      </w:r>
      <w:r w:rsidR="005E7292">
        <w:t xml:space="preserve"> (20/2022) where registration is through the Ministry of National Economy. The charitable organizations and </w:t>
      </w:r>
      <w:r w:rsidR="007644D1">
        <w:t>not-for-profit</w:t>
      </w:r>
      <w:r w:rsidR="005E7292">
        <w:t xml:space="preserve"> companies have common objectives and goals (no</w:t>
      </w:r>
      <w:r w:rsidR="00A12FC9">
        <w:t xml:space="preserve">t </w:t>
      </w:r>
      <w:r w:rsidR="005E7292">
        <w:t>for</w:t>
      </w:r>
      <w:r w:rsidR="00A12FC9">
        <w:t xml:space="preserve"> </w:t>
      </w:r>
      <w:r w:rsidR="005E7292">
        <w:t>profit). Both types seek providing services and activities (social, economic, legal, relief, developmental, or cultural) for Palestinian people. Most of the independent cultural institutions are registered based on one of the two mentioned ways.  The Palestinian CSOs (NGOs and no</w:t>
      </w:r>
      <w:r w:rsidR="00FB1E82">
        <w:t>t</w:t>
      </w:r>
      <w:r w:rsidR="005E7292">
        <w:t xml:space="preserve">-for-profit companies) are subject to restrictions regarding the procedures of registration, activities, and funding. These restrictions violate the Palestinian Basic Law (Constitution) and the ICCPR and the current Covenant. Additionally, the restrictions violate the recommendations of the Special UN Rapporteur on the Right to Peaceful Assembly and Forming associations that protect forming associations and guarantee their independence, freedom of activeness, and recruiting </w:t>
      </w:r>
      <w:r w:rsidR="00FB1E82">
        <w:t>funds</w:t>
      </w:r>
      <w:r w:rsidR="005E7292">
        <w:t xml:space="preserve">. </w:t>
      </w:r>
      <w:r w:rsidR="00A07D40">
        <w:t xml:space="preserve">The interference of the security bodies and official parties with the registration process, activities, and resources of fund, with the work of CSOs and </w:t>
      </w:r>
      <w:r w:rsidR="00FB1E82">
        <w:t>not-for-profit</w:t>
      </w:r>
      <w:r w:rsidR="00A07D40">
        <w:t xml:space="preserve"> companies, </w:t>
      </w:r>
      <w:r w:rsidR="00FB1E82">
        <w:t>stands</w:t>
      </w:r>
      <w:r w:rsidR="00A07D40">
        <w:t xml:space="preserve"> as the major obstacle that </w:t>
      </w:r>
      <w:r w:rsidR="00FB1E82">
        <w:t>hinders</w:t>
      </w:r>
      <w:r w:rsidR="00A07D40">
        <w:t xml:space="preserve"> the independence of the organizations/companies. The security bodies interfere through the so- called </w:t>
      </w:r>
      <w:r w:rsidR="00FB1E82">
        <w:t>pre-security</w:t>
      </w:r>
      <w:r w:rsidR="00A07D40">
        <w:t xml:space="preserve"> checking that is termed as “Security Safety” within the Palestinian context. Thus, there is control of the registration of the organizations/companies, activities, and resources of funding, which leads to </w:t>
      </w:r>
      <w:r w:rsidR="00CA093B">
        <w:t>disrupting</w:t>
      </w:r>
      <w:r w:rsidR="00A07D40">
        <w:t xml:space="preserve"> the work of these entities. The work of the Palestinian CSOs is extended to document the violations committed by the occupation and so, the obstacles imposed by the SoP affect such role. Additionally, the state party violates the works of the cultural organizations by imposing laws and regulations t</w:t>
      </w:r>
      <w:r w:rsidR="00A12FC9">
        <w:t>h</w:t>
      </w:r>
      <w:r w:rsidR="00A07D40">
        <w:t xml:space="preserve">at are issued with the absence of the Parliament and without consultation with the Civil Society. </w:t>
      </w:r>
    </w:p>
    <w:p w14:paraId="1ADD2097" w14:textId="7B41BBDC" w:rsidR="00A07D40" w:rsidRDefault="00A07D40" w:rsidP="00704265">
      <w:pPr>
        <w:pStyle w:val="NoSpacing"/>
        <w:jc w:val="both"/>
      </w:pPr>
      <w:r w:rsidRPr="005E289F">
        <w:rPr>
          <w:b/>
          <w:bCs/>
        </w:rPr>
        <w:t>9.1</w:t>
      </w:r>
      <w:r>
        <w:t xml:space="preserve">. </w:t>
      </w:r>
      <w:r w:rsidRPr="00A12FC9">
        <w:rPr>
          <w:b/>
          <w:bCs/>
        </w:rPr>
        <w:t>No</w:t>
      </w:r>
      <w:r w:rsidR="00704265">
        <w:rPr>
          <w:b/>
          <w:bCs/>
        </w:rPr>
        <w:t>t</w:t>
      </w:r>
      <w:r w:rsidRPr="00A12FC9">
        <w:rPr>
          <w:b/>
          <w:bCs/>
        </w:rPr>
        <w:t>-For-Profit Companies</w:t>
      </w:r>
      <w:r>
        <w:t xml:space="preserve">: </w:t>
      </w:r>
    </w:p>
    <w:p w14:paraId="2927F2AF" w14:textId="1CC8E40A" w:rsidR="0084188E" w:rsidRDefault="005E289F" w:rsidP="00943930">
      <w:pPr>
        <w:pStyle w:val="NoSpacing"/>
        <w:jc w:val="both"/>
      </w:pPr>
      <w:r>
        <w:t>42</w:t>
      </w:r>
      <w:r w:rsidR="00A07D40">
        <w:t xml:space="preserve">. </w:t>
      </w:r>
      <w:r w:rsidR="00A465D5">
        <w:t xml:space="preserve">The Palestinian Government issued the </w:t>
      </w:r>
      <w:r w:rsidR="00611AAA">
        <w:t xml:space="preserve">bylaw for </w:t>
      </w:r>
      <w:r w:rsidR="00CA093B">
        <w:t>not-for-profit</w:t>
      </w:r>
      <w:r w:rsidR="00611AAA">
        <w:t xml:space="preserve"> companies (20/2022) and was published in the official gazette on 25/9/2022. </w:t>
      </w:r>
      <w:r w:rsidR="00A54983">
        <w:t xml:space="preserve">The bylaw embodies the domination of the companies by the security bodies either through the procedures of registration or controlling the activities and the resources of </w:t>
      </w:r>
      <w:r w:rsidR="00CA093B">
        <w:t xml:space="preserve">the </w:t>
      </w:r>
      <w:r w:rsidR="00A54983">
        <w:t xml:space="preserve">fund. Additionally, the control of the security bodies </w:t>
      </w:r>
      <w:r w:rsidR="00CA093B">
        <w:t>undermines</w:t>
      </w:r>
      <w:r w:rsidR="00A54983">
        <w:t xml:space="preserve"> their independence. The bylaw violates the right to form associations and financial independence.</w:t>
      </w:r>
      <w:r w:rsidR="0084188E">
        <w:t xml:space="preserve"> The bylaw connects the companies with the decree</w:t>
      </w:r>
      <w:r w:rsidR="007A3560">
        <w:t>-</w:t>
      </w:r>
      <w:r w:rsidR="0084188E">
        <w:t xml:space="preserve">law (39/2022) issued by the ongoing president regarding eliminating money </w:t>
      </w:r>
      <w:r w:rsidR="00CA093B">
        <w:t>laundering</w:t>
      </w:r>
      <w:r w:rsidR="0084188E">
        <w:t xml:space="preserve"> and funding terrorism. The decree</w:t>
      </w:r>
      <w:r w:rsidR="007A3560">
        <w:t>-</w:t>
      </w:r>
      <w:r w:rsidR="0084188E">
        <w:t xml:space="preserve">law was issued </w:t>
      </w:r>
      <w:r w:rsidR="00CA093B">
        <w:t>in</w:t>
      </w:r>
      <w:r w:rsidR="0084188E">
        <w:t xml:space="preserve"> the absence of the parliament and without consultations with the civil society. </w:t>
      </w:r>
      <w:r w:rsidR="007A3560">
        <w:t xml:space="preserve">It </w:t>
      </w:r>
      <w:r w:rsidR="0084188E">
        <w:t xml:space="preserve">violates the international standards regarding forming associations and their independence and freedom to work as well as freedom to get </w:t>
      </w:r>
      <w:r w:rsidR="00CA093B">
        <w:t>funds</w:t>
      </w:r>
      <w:r w:rsidR="0084188E">
        <w:t>. The aim is to restrict the work of the companies through dealing wi</w:t>
      </w:r>
      <w:r w:rsidR="007A3560">
        <w:t>th them as “Suspicious Entities</w:t>
      </w:r>
      <w:r w:rsidR="0084188E">
        <w:t xml:space="preserve">; unless the opposite is proved. An example in this regard is Article 7 (item 2) </w:t>
      </w:r>
      <w:r w:rsidR="00CA093B">
        <w:t>which</w:t>
      </w:r>
      <w:r w:rsidR="0084188E">
        <w:t xml:space="preserve"> obligates the companies to obtain the </w:t>
      </w:r>
      <w:r w:rsidR="00CA093B">
        <w:t>pre-approval</w:t>
      </w:r>
      <w:r w:rsidR="0084188E">
        <w:t xml:space="preserve"> for registration from the specialized authorities, mainly from the companies</w:t>
      </w:r>
      <w:r w:rsidR="00815306">
        <w:t>’</w:t>
      </w:r>
      <w:r w:rsidR="0084188E">
        <w:t xml:space="preserve"> registrar in the Ministry of National Economy. The specialized authorities here are the security bodies where no company is registered unless approval is given from the security bodies. The same idea is generated to article 8 (items 2 and 3) of the bylaw where the company should submit </w:t>
      </w:r>
      <w:r w:rsidR="00CA093B">
        <w:t xml:space="preserve">an </w:t>
      </w:r>
      <w:r w:rsidR="0084188E">
        <w:t xml:space="preserve">annual technical and financial report to the </w:t>
      </w:r>
      <w:r w:rsidR="00CA093B">
        <w:t>company</w:t>
      </w:r>
      <w:r w:rsidR="0084188E">
        <w:t xml:space="preserve"> registrar and submit technical reports (financial and narrative) about their activities quarterly that </w:t>
      </w:r>
      <w:r w:rsidR="00CA093B">
        <w:t>cover</w:t>
      </w:r>
      <w:r w:rsidR="0084188E">
        <w:t xml:space="preserve"> the implementation process of the project and the fund that the company raised. The reports t</w:t>
      </w:r>
      <w:r w:rsidR="007A3560">
        <w:t>h</w:t>
      </w:r>
      <w:r w:rsidR="0084188E">
        <w:t xml:space="preserve">en are referred to the security forces for </w:t>
      </w:r>
      <w:r w:rsidR="00CA093B">
        <w:t>follow-up</w:t>
      </w:r>
      <w:r w:rsidR="0084188E">
        <w:t xml:space="preserve">. The same is applicable to the funding </w:t>
      </w:r>
      <w:r w:rsidR="0084188E">
        <w:lastRenderedPageBreak/>
        <w:t>resources of the companies where no fund for activities is allowed unless pre</w:t>
      </w:r>
      <w:r w:rsidR="007A3560">
        <w:t>-</w:t>
      </w:r>
      <w:r w:rsidR="0084188E">
        <w:t xml:space="preserve">approval is obtained from the security bodies. Such regulation is endorsed in Article 13 (item 2) of the bylaw under the section: Funding Resources. The Article authorizes the </w:t>
      </w:r>
      <w:r w:rsidR="00CA093B">
        <w:t>company</w:t>
      </w:r>
      <w:r w:rsidR="0084188E">
        <w:t xml:space="preserve"> registrar to revise any request for funding provided by the companies and he is authorized to refer to any related body to check eligibility before approving the request. He can refer to the governmental institutions or any other institutions before deciding regarding the request. Practically, the request is referred to the security bodies</w:t>
      </w:r>
      <w:r w:rsidR="000857DB">
        <w:t>,</w:t>
      </w:r>
      <w:r w:rsidR="0084188E">
        <w:t xml:space="preserve"> and </w:t>
      </w:r>
      <w:r w:rsidR="000857DB">
        <w:t>funding</w:t>
      </w:r>
      <w:r w:rsidR="0084188E">
        <w:t xml:space="preserve"> is not allowed unless these bodies approve it. The security bodies refused </w:t>
      </w:r>
      <w:r w:rsidR="000857DB">
        <w:t>to allow</w:t>
      </w:r>
      <w:r w:rsidR="0084188E">
        <w:t xml:space="preserve"> funds from a variety of resources for the companies and the reasons are not declared. Companies are not given letters to explain the reasons for rejecting the fund and the representative of the company is informed verbally about rejecting the request by the security forces, once checking with the interested departments. Thus, criticizing the executive authority and its security bodies could serve as a reason for rejecting funding the companies. The no</w:t>
      </w:r>
      <w:r w:rsidR="00943930">
        <w:t>t</w:t>
      </w:r>
      <w:r w:rsidR="0084188E">
        <w:t>-for-profit companies in Gaza Strip face additional restrictions where they should obtain security clearance from the security bodies in the West Bank and the security bodies of the status quo government in Gaza Strip. The bylaw includes unjustified intervention with the performance of the no</w:t>
      </w:r>
      <w:r w:rsidR="00943930">
        <w:t>t</w:t>
      </w:r>
      <w:r w:rsidR="0084188E">
        <w:t>-for-profit companies. The applied procedures in the SoP violates the Palestinian Basic Law and the International related Conventions and standards. The Coalition and the CSOs, issued a statement demanding cancelling the bylaw of the non-for-profit companies</w:t>
      </w:r>
      <w:r w:rsidR="0084188E">
        <w:rPr>
          <w:rStyle w:val="FootnoteReference"/>
        </w:rPr>
        <w:footnoteReference w:id="11"/>
      </w:r>
      <w:r w:rsidR="0084188E">
        <w:t xml:space="preserve">. </w:t>
      </w:r>
    </w:p>
    <w:p w14:paraId="5CF837E7" w14:textId="4E56F7B0" w:rsidR="0084188E" w:rsidRDefault="005E289F" w:rsidP="00AE2143">
      <w:pPr>
        <w:pStyle w:val="NoSpacing"/>
        <w:jc w:val="both"/>
      </w:pPr>
      <w:r>
        <w:t>43</w:t>
      </w:r>
      <w:r w:rsidR="0084188E">
        <w:t xml:space="preserve">. The Partners recommend your committee to request the SoP to work immediately on canceling the bylaw of the non-for-profit companies (20/2022) that was published in </w:t>
      </w:r>
      <w:r>
        <w:t>the Official</w:t>
      </w:r>
      <w:r w:rsidR="0084188E">
        <w:t xml:space="preserve"> Gazette on 25/9/2022. The bylaw violates the Palestinian Basic Law and the International Conventions and standards regarding the right to form associations and their freedom of work and raising fund. To request the state party to stop the interference of the security bodies within registering the non-for-profit companies, their activities, and financial resources to ensure the independence of these entities. Additionally, to request information about the non-for-profit companies that registration, activities, and funding were hindered and to lift these restrictions immediately. Additionally, to report about the measures that the SoP will take to </w:t>
      </w:r>
      <w:r w:rsidR="00AE2143">
        <w:t xml:space="preserve">remedy </w:t>
      </w:r>
      <w:r w:rsidR="0084188E">
        <w:t xml:space="preserve">the companies whose registration, work, and finding were affected by the bylaw to ensure no repetition of these procedures in the future.  </w:t>
      </w:r>
    </w:p>
    <w:p w14:paraId="3F2F1472" w14:textId="77777777" w:rsidR="0084188E" w:rsidRDefault="0084188E" w:rsidP="000645BB">
      <w:pPr>
        <w:pStyle w:val="NoSpacing"/>
        <w:jc w:val="both"/>
      </w:pPr>
      <w:r w:rsidRPr="00AE2143">
        <w:rPr>
          <w:b/>
          <w:bCs/>
        </w:rPr>
        <w:t>9.2 Charitable Associations and Civil Organizations</w:t>
      </w:r>
      <w:r>
        <w:t>:</w:t>
      </w:r>
    </w:p>
    <w:p w14:paraId="7EEE68A5" w14:textId="2BA2A96A" w:rsidR="0084188E" w:rsidRDefault="005E289F" w:rsidP="00AE2143">
      <w:pPr>
        <w:pStyle w:val="NoSpacing"/>
        <w:jc w:val="both"/>
      </w:pPr>
      <w:r>
        <w:t>44</w:t>
      </w:r>
      <w:r w:rsidR="0084188E">
        <w:t xml:space="preserve">. </w:t>
      </w:r>
      <w:r w:rsidR="0084188E" w:rsidRPr="0084188E">
        <w:t xml:space="preserve">Charitable and </w:t>
      </w:r>
      <w:r w:rsidRPr="0084188E">
        <w:t>civic</w:t>
      </w:r>
      <w:r w:rsidR="0084188E" w:rsidRPr="0084188E">
        <w:t xml:space="preserve"> organizations that are officially registered with the Ministry of Interior and share identical objectives and goals in serving the Palestinian community encounter similar challenges and obstacles arising from the security bodies, just as non-profit companies do</w:t>
      </w:r>
      <w:r w:rsidR="0084188E">
        <w:t xml:space="preserve">. The period that followed </w:t>
      </w:r>
      <w:r w:rsidR="00AE2143">
        <w:t>the internal</w:t>
      </w:r>
      <w:r w:rsidR="0084188E">
        <w:t xml:space="preserve"> political division that started in the year 2007 and is still going on, witnessed several amendments </w:t>
      </w:r>
      <w:r w:rsidR="0084188E">
        <w:lastRenderedPageBreak/>
        <w:t xml:space="preserve">of the Charitable </w:t>
      </w:r>
      <w:r w:rsidR="00AE2143">
        <w:t xml:space="preserve">Organizations and Civil Commissions </w:t>
      </w:r>
      <w:r w:rsidR="0084188E">
        <w:t xml:space="preserve">Law (1/ 2000), issued by the Palestinian Legislative Council. The amendments were through decree-laws by the president within the absence of the Parliament. The amendments are issued without consultations with the civil society and are dedicated to enhance the domination of the CSOs registration, activities, and funding by the executive authority.  There is no possibility to register any organization with the Ministry of Interior without </w:t>
      </w:r>
      <w:r w:rsidR="00FB0104">
        <w:t>pre-security</w:t>
      </w:r>
      <w:r w:rsidR="0084188E">
        <w:t xml:space="preserve"> clearance given by the security bodies, which is known a</w:t>
      </w:r>
      <w:r w:rsidR="00AE2143">
        <w:t>s “Security Clearance Condition”</w:t>
      </w:r>
      <w:r w:rsidR="0084188E">
        <w:t>. The security clearance is a systematic policy applied by the SoP not only regarding registering CSOs, but also regarding hiring for public sector vacancies (civil and security) as well as hiring for the judiciary authority and public prosecution as well as obtaining approval from the government for other projects and activities. The pre- security clearance system is also applied in Gaza Strip, which push the Palestinian context towards a Police State. The president, Mahmoud Abbas, issued a decree-law (7/2021) to amend the Charitable Organizations and Civil Commissions law (1/2000) that was approved by the Palestinian Parliament. The amendment was without consultation with the civil society</w:t>
      </w:r>
      <w:r w:rsidR="00815306">
        <w:t>,</w:t>
      </w:r>
      <w:r w:rsidR="0084188E">
        <w:t xml:space="preserve"> and it included the same restrictions endorsed within the non-for-profit companies</w:t>
      </w:r>
      <w:r w:rsidR="00815306">
        <w:t>’</w:t>
      </w:r>
      <w:r w:rsidR="0084188E">
        <w:t xml:space="preserve"> bylaw/2022. The decree-law was subject to heavy criticism by the civil society (alike the bylaw of the no-for-profit companies) that was issued by the Palestinian Government. The protest campaign resulted in issuing the decree-law</w:t>
      </w:r>
      <w:r w:rsidR="00AE2143">
        <w:t xml:space="preserve"> </w:t>
      </w:r>
      <w:r w:rsidR="0084188E">
        <w:t xml:space="preserve">(18/2021) to stop implementing the decree-law (7/2021) regarding the Charitable Organizations and Civil Commissions, which was published in the official gazette on 26/5/2021. Stop implementation means to freeze the law, but not to cancel it and so, the CSOs will remain concerned as the law might be back to the scene at any moment. </w:t>
      </w:r>
    </w:p>
    <w:p w14:paraId="1A7FEB99" w14:textId="41AACD24" w:rsidR="00144CF8" w:rsidRDefault="00FB0104" w:rsidP="00AE2143">
      <w:pPr>
        <w:pStyle w:val="NoSpacing"/>
        <w:jc w:val="both"/>
      </w:pPr>
      <w:r>
        <w:t>45</w:t>
      </w:r>
      <w:r w:rsidR="0084188E">
        <w:t xml:space="preserve">. </w:t>
      </w:r>
      <w:r w:rsidR="00144CF8">
        <w:t>The Partners recommend your esteemed committee to as</w:t>
      </w:r>
      <w:r w:rsidR="00AE2143">
        <w:t>k</w:t>
      </w:r>
      <w:r w:rsidR="00144CF8">
        <w:t xml:space="preserve"> the SoP to start immediately revising all the amendments endorsed within the </w:t>
      </w:r>
      <w:r w:rsidR="00144CF8" w:rsidRPr="00144CF8">
        <w:t xml:space="preserve">Charitable </w:t>
      </w:r>
      <w:r w:rsidR="00AE2143">
        <w:t>Organizations and Civil Commissions Law</w:t>
      </w:r>
      <w:r w:rsidR="00144CF8">
        <w:t xml:space="preserve"> (1/2000), during the political division era. The revision should be dedicated to ensure the right to form associations and freedom of act</w:t>
      </w:r>
      <w:r w:rsidR="00AE2143">
        <w:t xml:space="preserve">iveness and recruiting fund, </w:t>
      </w:r>
      <w:r w:rsidR="00144CF8">
        <w:t xml:space="preserve">that are protected by the Palestinian Basic Law and the International Conventions and Standards of human rights. The SoP should stop applying the security clearance system and end the intervention of the security bodies within the registration, performance, and funding of the organizations. Additionally, to stop applying the security clearance for hiring to public posts, judiciary authority, public prosecution posts, official posts, and obtaining the license for some works. Such procedures violate the Basic Law and the International related conventions and treaties. SoP should be asked to provide information about the charitable organizations that were dismantled during the era of the political division and ensure justice for these organizations and that such acts would not be repeated. </w:t>
      </w:r>
    </w:p>
    <w:p w14:paraId="7C298ADB" w14:textId="0DABA321" w:rsidR="00144CF8" w:rsidRDefault="00144CF8" w:rsidP="000645BB">
      <w:pPr>
        <w:pStyle w:val="NoSpacing"/>
        <w:jc w:val="both"/>
      </w:pPr>
      <w:r w:rsidRPr="00FB0104">
        <w:rPr>
          <w:b/>
          <w:bCs/>
        </w:rPr>
        <w:t>9.3.</w:t>
      </w:r>
      <w:r>
        <w:t xml:space="preserve"> </w:t>
      </w:r>
      <w:r w:rsidRPr="00AE2143">
        <w:rPr>
          <w:b/>
          <w:bCs/>
        </w:rPr>
        <w:t>Combating Money Laundry and Funding Terrorism</w:t>
      </w:r>
      <w:r>
        <w:t>:</w:t>
      </w:r>
    </w:p>
    <w:p w14:paraId="643B3A2A" w14:textId="10D1045B" w:rsidR="00144CF8" w:rsidRDefault="00FB0104" w:rsidP="000645BB">
      <w:pPr>
        <w:pStyle w:val="NoSpacing"/>
        <w:jc w:val="both"/>
      </w:pPr>
      <w:r>
        <w:t>46.</w:t>
      </w:r>
      <w:r w:rsidR="00144CF8">
        <w:t xml:space="preserve"> </w:t>
      </w:r>
      <w:r w:rsidR="00144CF8" w:rsidRPr="00144CF8">
        <w:t xml:space="preserve"> The Palestinian president </w:t>
      </w:r>
      <w:r w:rsidR="00144CF8">
        <w:t xml:space="preserve">issued the decree-law (39/2022) regarding combating money laundry and funding terrorism, where it was published in the official gazette on 14/8/2022. The law was issued with the absence of the parliament and without consultations with the civil society. The law violates profoundly the right to form associations and the freedom of their work, independence, and fund. The law violates the right to banking privacy in contradiction with the related international conventions and standards. There are a plenty of decree-laws issued during the previous years with the absence of the parliament and without consultations with the civil society. Such case reflects clear defect within the Principles of Good Governance and the structure of governance that are considered part of the rule of law in accordance with the United Nations standards. </w:t>
      </w:r>
    </w:p>
    <w:p w14:paraId="406A4C80" w14:textId="498B4D8D" w:rsidR="00144CF8" w:rsidRDefault="00FB0104" w:rsidP="00093654">
      <w:pPr>
        <w:pStyle w:val="NoSpacing"/>
        <w:jc w:val="both"/>
      </w:pPr>
      <w:r>
        <w:t>47</w:t>
      </w:r>
      <w:r w:rsidR="00144CF8">
        <w:t xml:space="preserve">. The </w:t>
      </w:r>
      <w:r w:rsidR="00093654">
        <w:t>not-for-profit</w:t>
      </w:r>
      <w:r w:rsidR="00144CF8">
        <w:t xml:space="preserve"> companies bylaw, was connected with the decree-law (39/2022)</w:t>
      </w:r>
      <w:r w:rsidR="00A006FE">
        <w:t xml:space="preserve"> </w:t>
      </w:r>
      <w:r w:rsidR="00144CF8">
        <w:t xml:space="preserve">regarding combating money laundry and funding terrorism </w:t>
      </w:r>
      <w:r w:rsidR="00093654">
        <w:t>which</w:t>
      </w:r>
      <w:r w:rsidR="00144CF8">
        <w:t xml:space="preserve"> it will </w:t>
      </w:r>
      <w:r w:rsidR="00093654">
        <w:t>allow</w:t>
      </w:r>
      <w:r w:rsidR="00144CF8">
        <w:t xml:space="preserve"> following up the registration, performance, and funding of the companies to impose more restrictions on these companies. The law harms the independence of the companies and their financial resources and </w:t>
      </w:r>
      <w:r w:rsidR="00093654">
        <w:t>puts</w:t>
      </w:r>
      <w:r w:rsidR="00144CF8">
        <w:t xml:space="preserve"> them under </w:t>
      </w:r>
      <w:r w:rsidR="00093654">
        <w:t>suspicion</w:t>
      </w:r>
      <w:r w:rsidR="00144CF8">
        <w:t xml:space="preserve"> in contradiction of the principle of “innocent” and the principles of fair trial t</w:t>
      </w:r>
      <w:r w:rsidR="00A006FE">
        <w:t>h</w:t>
      </w:r>
      <w:r w:rsidR="00144CF8">
        <w:t xml:space="preserve">at are protected by international law. There are still ongoing attempts to connect the </w:t>
      </w:r>
      <w:r w:rsidR="00144CF8" w:rsidRPr="00144CF8">
        <w:t>Charitable</w:t>
      </w:r>
      <w:r w:rsidR="00A006FE">
        <w:t xml:space="preserve"> Organizations and Civil Commissions </w:t>
      </w:r>
      <w:r w:rsidR="00144CF8">
        <w:t xml:space="preserve">Law (1/2000) with the given decree-law following freezing the amendments with the given </w:t>
      </w:r>
      <w:r w:rsidR="00144CF8">
        <w:lastRenderedPageBreak/>
        <w:t xml:space="preserve">law according to the decree-law (7/2021) following the protesting campaign launched by the civil society against these amendments. The decree-laws issued regarding the charitable and civil society </w:t>
      </w:r>
      <w:r w:rsidR="007650A3">
        <w:t>organizations</w:t>
      </w:r>
      <w:r w:rsidR="00144CF8">
        <w:t xml:space="preserve">, the bylaw for the non-for-profit companies, </w:t>
      </w:r>
      <w:r w:rsidR="007650A3">
        <w:t xml:space="preserve">the </w:t>
      </w:r>
      <w:r w:rsidR="00144CF8">
        <w:t>decree-law regarding combating money laundry and fu</w:t>
      </w:r>
      <w:r w:rsidR="00A006FE">
        <w:t>n</w:t>
      </w:r>
      <w:r w:rsidR="00144CF8">
        <w:t xml:space="preserve">ding terrorism, and the policy of conditional funding (will be tackled later), play a risky role in enhancing the domination of the CSOs by the security bodies and official institutions. The mentioned bunch of laws and amendments contribute to </w:t>
      </w:r>
      <w:r w:rsidR="00093654">
        <w:t>denying</w:t>
      </w:r>
      <w:r w:rsidR="00144CF8">
        <w:t xml:space="preserve"> the independence of the CSOs and their role in monitoring the performance of the executive authority and its arms with the absence of the Parliament and </w:t>
      </w:r>
      <w:r w:rsidR="00093654">
        <w:t>blocking</w:t>
      </w:r>
      <w:r w:rsidR="00144CF8">
        <w:t xml:space="preserve"> its performance </w:t>
      </w:r>
      <w:r w:rsidR="00093654">
        <w:t>for</w:t>
      </w:r>
      <w:r w:rsidR="00144CF8">
        <w:t xml:space="preserve"> years and the deterioration within the judiciary authority. </w:t>
      </w:r>
    </w:p>
    <w:p w14:paraId="39B13953" w14:textId="29ABCEEF" w:rsidR="00CF2CD2" w:rsidRDefault="00FB0104" w:rsidP="00093654">
      <w:pPr>
        <w:pStyle w:val="NoSpacing"/>
        <w:jc w:val="both"/>
      </w:pPr>
      <w:r>
        <w:t>48</w:t>
      </w:r>
      <w:r w:rsidR="00144CF8">
        <w:t xml:space="preserve">. The Partners </w:t>
      </w:r>
      <w:r w:rsidR="00D605BE">
        <w:t xml:space="preserve">recommend your esteemed committee to ask the SoP to revise the decree-law to combat money </w:t>
      </w:r>
      <w:r w:rsidR="00093654">
        <w:t>laundering</w:t>
      </w:r>
      <w:r w:rsidR="00D605BE">
        <w:t xml:space="preserve"> and funding terrorism (39/2022) immediately and to revise the related bylaws and regulations</w:t>
      </w:r>
      <w:r w:rsidR="00CF2CD2">
        <w:t xml:space="preserve">, to ensure protecting and maintaining the right to form associations. Additionally, to ensure </w:t>
      </w:r>
      <w:r w:rsidR="00093654">
        <w:t>respect for</w:t>
      </w:r>
      <w:r w:rsidR="00CF2CD2">
        <w:t xml:space="preserve"> the freedom of activeness and funding as well as protecting banking privacy. These rights should be protected in accordance with the related international conventions and treaties as well as the reports issued by the Special UN Rapporteur on human rights and fundamental freedoms within the context of combating terrorism. In particular, the revision should be according to the document (A/61/267) and the reports issued </w:t>
      </w:r>
      <w:r w:rsidR="00093654">
        <w:t xml:space="preserve">by </w:t>
      </w:r>
      <w:r w:rsidR="00CF2CD2">
        <w:t xml:space="preserve">the UN Independent Expert on Human Rights and fundamental freedoms within the context of combating terrorism. Additionally, to be in accordance with </w:t>
      </w:r>
      <w:r w:rsidR="001658C5">
        <w:t xml:space="preserve">the </w:t>
      </w:r>
      <w:r w:rsidR="00CF2CD2">
        <w:t xml:space="preserve">document (E/CN.4/2005/103) and to ensure </w:t>
      </w:r>
      <w:r w:rsidR="00093654">
        <w:t>the involvement of</w:t>
      </w:r>
      <w:r w:rsidR="00CF2CD2">
        <w:t xml:space="preserve"> the civil society and the cultural sector in the revision process. </w:t>
      </w:r>
    </w:p>
    <w:p w14:paraId="2B9361F6" w14:textId="77777777" w:rsidR="00CF2CD2" w:rsidRDefault="00CF2CD2" w:rsidP="000645BB">
      <w:pPr>
        <w:pStyle w:val="NoSpacing"/>
        <w:jc w:val="both"/>
      </w:pPr>
      <w:r w:rsidRPr="00A006FE">
        <w:rPr>
          <w:b/>
          <w:bCs/>
        </w:rPr>
        <w:t>9.4. Conditional Funding Policy</w:t>
      </w:r>
      <w:r>
        <w:t>:</w:t>
      </w:r>
    </w:p>
    <w:p w14:paraId="21387730" w14:textId="194F7B7B" w:rsidR="00CF2CD2" w:rsidRDefault="00FB0104" w:rsidP="001658C5">
      <w:pPr>
        <w:pStyle w:val="NoSpacing"/>
        <w:jc w:val="both"/>
      </w:pPr>
      <w:r>
        <w:t>49</w:t>
      </w:r>
      <w:r w:rsidR="00CF2CD2">
        <w:t xml:space="preserve">. The Palestinian cultural organizations, alike the rest of Palestinian CSOs, face the challenge of conditional fund that violates the right to form </w:t>
      </w:r>
      <w:r w:rsidR="001658C5">
        <w:t xml:space="preserve">an </w:t>
      </w:r>
      <w:r w:rsidR="00CF2CD2">
        <w:t>association and maintain their independence free work</w:t>
      </w:r>
      <w:r w:rsidR="001658C5">
        <w:t>,</w:t>
      </w:r>
      <w:r w:rsidR="00CF2CD2">
        <w:t xml:space="preserve"> and freedom to recruit </w:t>
      </w:r>
      <w:r w:rsidR="001658C5">
        <w:t>funds</w:t>
      </w:r>
      <w:r w:rsidR="00CF2CD2">
        <w:t xml:space="preserve">. Such </w:t>
      </w:r>
      <w:r w:rsidR="001658C5">
        <w:t xml:space="preserve">a </w:t>
      </w:r>
      <w:r w:rsidR="00CF2CD2">
        <w:t xml:space="preserve">situation serves as a risk </w:t>
      </w:r>
      <w:r w:rsidR="001658C5">
        <w:t>to</w:t>
      </w:r>
      <w:r w:rsidR="00CF2CD2">
        <w:t xml:space="preserve"> the </w:t>
      </w:r>
      <w:r w:rsidR="001658C5">
        <w:t>execution</w:t>
      </w:r>
      <w:r w:rsidR="00CF2CD2">
        <w:t xml:space="preserve"> </w:t>
      </w:r>
      <w:r w:rsidR="001658C5">
        <w:t xml:space="preserve">of </w:t>
      </w:r>
      <w:r w:rsidR="00CF2CD2">
        <w:t>the programs and activities of the cultural institutions in the West Bank, Jerusalem</w:t>
      </w:r>
      <w:r w:rsidR="001658C5">
        <w:t>,</w:t>
      </w:r>
      <w:r w:rsidR="00CF2CD2">
        <w:t xml:space="preserve"> and Gaza Strip. The effect is mainly on the efforts of documenting the occupation’s violations committed by Israel and documenting the Apartheid practices and annexation of the Palestinian land to Israel. Additionally, the conditioned fund </w:t>
      </w:r>
      <w:r w:rsidR="001658C5">
        <w:t>affects</w:t>
      </w:r>
      <w:r w:rsidR="00CF2CD2">
        <w:t xml:space="preserve"> documenting the violations committed by the SoP and those committed by the status quo government in </w:t>
      </w:r>
      <w:r w:rsidR="001658C5">
        <w:t xml:space="preserve">the </w:t>
      </w:r>
      <w:r w:rsidR="00CF2CD2">
        <w:t xml:space="preserve">Gaza Strip. These violations affect the civic, political, economic, social, and cultural rights set and the Articles of the Covenant, in the OPT as an area of conflict. Violating these rights is through targeting and restricting the financial resources of the organizations by imposing the policy of conditional funding. Such systematic violation is a clear violation of the Articles of the ICCPR and the related international standards and the Articles of this Covenant as well as violating the amended Palestinian Basic Law. Additionally, it violates the Articles of the Palestinian </w:t>
      </w:r>
      <w:r w:rsidR="00CF2CD2" w:rsidRPr="00144CF8">
        <w:t xml:space="preserve">Charitable </w:t>
      </w:r>
      <w:r w:rsidR="00A006FE">
        <w:t xml:space="preserve">Organizations and Civil </w:t>
      </w:r>
      <w:r>
        <w:t>Commissions Law</w:t>
      </w:r>
      <w:r w:rsidR="00CF2CD2">
        <w:t xml:space="preserve"> (1/2000) where this legal set affirmed the right to form associations and maintain their right to work</w:t>
      </w:r>
      <w:r w:rsidR="00A006FE">
        <w:t>,</w:t>
      </w:r>
      <w:r w:rsidR="00CF2CD2">
        <w:t xml:space="preserve"> independence</w:t>
      </w:r>
      <w:r w:rsidR="001658C5">
        <w:t>,</w:t>
      </w:r>
      <w:r w:rsidR="00CF2CD2">
        <w:t xml:space="preserve"> and recruiting </w:t>
      </w:r>
      <w:r w:rsidR="001658C5">
        <w:t>funds</w:t>
      </w:r>
      <w:r w:rsidR="00CF2CD2">
        <w:t xml:space="preserve">. </w:t>
      </w:r>
    </w:p>
    <w:p w14:paraId="0EEA3A37" w14:textId="43750C3B" w:rsidR="00FB0104" w:rsidRDefault="00FB0104" w:rsidP="00FB0104">
      <w:pPr>
        <w:pStyle w:val="NoSpacing"/>
        <w:jc w:val="both"/>
      </w:pPr>
      <w:r>
        <w:t>50</w:t>
      </w:r>
      <w:r w:rsidR="00CF2CD2">
        <w:t xml:space="preserve">. The Partners recommend your esteemed committee to request the SoP to provide detailed information about the policy of Conditional Funding that </w:t>
      </w:r>
      <w:r w:rsidR="001658C5">
        <w:t>affects</w:t>
      </w:r>
      <w:r w:rsidR="00CF2CD2">
        <w:t xml:space="preserve"> the freedom to form associations and maintain the freedom of work, independence, and recruiting </w:t>
      </w:r>
      <w:r w:rsidR="001061E0">
        <w:t>funds</w:t>
      </w:r>
      <w:r w:rsidR="00CF2CD2">
        <w:t xml:space="preserve"> by these organizations. Additionally, to request the state party to report </w:t>
      </w:r>
      <w:r w:rsidR="001658C5">
        <w:t>on</w:t>
      </w:r>
      <w:r w:rsidR="00CF2CD2">
        <w:t xml:space="preserve"> the issued legislation regarding the charitable organizations and </w:t>
      </w:r>
      <w:r w:rsidR="001658C5">
        <w:t>not-for-profit</w:t>
      </w:r>
      <w:r w:rsidR="00CF2CD2">
        <w:t xml:space="preserve"> companies and the efforts invested by the State to end the policy of conditional funding. Additionally, to highlight the measures applied to ensure the independence of the financial resources of the cultural and Civil Society Organizations. The State party should explain the progress made on the policy levels and on the practical level and provide clear indications that there are procedures applied to end the policy of conditional funding.</w:t>
      </w:r>
    </w:p>
    <w:p w14:paraId="7C631D74" w14:textId="016DEC2C" w:rsidR="00FB0104" w:rsidRDefault="00FB0104" w:rsidP="00FB0104">
      <w:pPr>
        <w:pStyle w:val="NoSpacing"/>
        <w:jc w:val="both"/>
      </w:pPr>
    </w:p>
    <w:p w14:paraId="36C5B758" w14:textId="7F2D2295" w:rsidR="00FB0104" w:rsidRDefault="00FB0104" w:rsidP="00FB0104">
      <w:pPr>
        <w:pStyle w:val="NoSpacing"/>
        <w:jc w:val="both"/>
        <w:rPr>
          <w:rtl/>
        </w:rPr>
      </w:pPr>
    </w:p>
    <w:p w14:paraId="0194996E" w14:textId="77777777" w:rsidR="00F153A9" w:rsidRDefault="00F153A9" w:rsidP="00FB0104">
      <w:pPr>
        <w:pStyle w:val="NoSpacing"/>
        <w:jc w:val="both"/>
      </w:pPr>
    </w:p>
    <w:p w14:paraId="542C20E9" w14:textId="77777777" w:rsidR="00FB0104" w:rsidRDefault="00FB0104" w:rsidP="00FB0104">
      <w:pPr>
        <w:pStyle w:val="NoSpacing"/>
        <w:jc w:val="both"/>
      </w:pPr>
    </w:p>
    <w:p w14:paraId="69B36A73" w14:textId="77777777" w:rsidR="00CF2CD2" w:rsidRDefault="00CF2CD2" w:rsidP="000645BB">
      <w:pPr>
        <w:pStyle w:val="NoSpacing"/>
        <w:jc w:val="both"/>
      </w:pPr>
      <w:r w:rsidRPr="00A006FE">
        <w:rPr>
          <w:b/>
          <w:bCs/>
        </w:rPr>
        <w:lastRenderedPageBreak/>
        <w:t>9.5. Unionist Organizing and Democratizing the General League of Artists</w:t>
      </w:r>
      <w:r>
        <w:t xml:space="preserve">: </w:t>
      </w:r>
    </w:p>
    <w:p w14:paraId="315C9599" w14:textId="0BB7CC1C" w:rsidR="00BF15EE" w:rsidRDefault="00FB0104" w:rsidP="001061E0">
      <w:pPr>
        <w:pStyle w:val="Heading2"/>
        <w:shd w:val="clear" w:color="auto" w:fill="FFFFFF"/>
        <w:spacing w:before="0"/>
        <w:rPr>
          <w:rFonts w:asciiTheme="minorHAnsi" w:hAnsiTheme="minorHAnsi" w:cstheme="minorHAnsi"/>
          <w:color w:val="auto"/>
          <w:sz w:val="22"/>
          <w:szCs w:val="22"/>
        </w:rPr>
      </w:pPr>
      <w:r>
        <w:rPr>
          <w:rFonts w:asciiTheme="minorHAnsi" w:hAnsiTheme="minorHAnsi" w:cstheme="minorHAnsi"/>
          <w:color w:val="auto"/>
          <w:sz w:val="22"/>
          <w:szCs w:val="22"/>
        </w:rPr>
        <w:t>51</w:t>
      </w:r>
      <w:r w:rsidR="00CF2CD2">
        <w:t xml:space="preserve">. </w:t>
      </w:r>
      <w:r w:rsidR="00CF2CD2" w:rsidRPr="00BF15EE">
        <w:rPr>
          <w:rFonts w:asciiTheme="minorHAnsi" w:hAnsiTheme="minorHAnsi" w:cstheme="minorHAnsi"/>
          <w:color w:val="auto"/>
          <w:sz w:val="22"/>
          <w:szCs w:val="22"/>
        </w:rPr>
        <w:t xml:space="preserve">In section III (Public Rights and Freedoms) of the amended Palestinian Basic Law, the right to unionist and syndicalism </w:t>
      </w:r>
      <w:r w:rsidR="001061E0">
        <w:rPr>
          <w:rFonts w:asciiTheme="minorHAnsi" w:hAnsiTheme="minorHAnsi" w:cstheme="minorHAnsi"/>
          <w:color w:val="auto"/>
          <w:sz w:val="22"/>
          <w:szCs w:val="22"/>
        </w:rPr>
        <w:t>organizations</w:t>
      </w:r>
      <w:r w:rsidR="00CF2CD2" w:rsidRPr="00BF15EE">
        <w:rPr>
          <w:rFonts w:asciiTheme="minorHAnsi" w:hAnsiTheme="minorHAnsi" w:cstheme="minorHAnsi"/>
          <w:color w:val="auto"/>
          <w:sz w:val="22"/>
          <w:szCs w:val="22"/>
        </w:rPr>
        <w:t xml:space="preserve"> was affirmed. Article 25 (paragraph 3) emphasized that unionist organizing is a constitutional right organized by the law. There is no law for Union Regulation issued in Palestine, but such right is affirmed in the Palestinian Basic Law. The Basic Law </w:t>
      </w:r>
      <w:r w:rsidR="00B25258" w:rsidRPr="00BF15EE">
        <w:rPr>
          <w:rFonts w:asciiTheme="minorHAnsi" w:hAnsiTheme="minorHAnsi" w:cstheme="minorHAnsi"/>
          <w:color w:val="auto"/>
          <w:sz w:val="22"/>
          <w:szCs w:val="22"/>
        </w:rPr>
        <w:t xml:space="preserve">affirmed the principle of </w:t>
      </w:r>
      <w:r w:rsidR="001061E0">
        <w:rPr>
          <w:rFonts w:asciiTheme="minorHAnsi" w:hAnsiTheme="minorHAnsi" w:cstheme="minorHAnsi"/>
          <w:color w:val="auto"/>
          <w:sz w:val="22"/>
          <w:szCs w:val="22"/>
        </w:rPr>
        <w:t>syndicate</w:t>
      </w:r>
      <w:r w:rsidR="00B25258" w:rsidRPr="00BF15EE">
        <w:rPr>
          <w:rFonts w:asciiTheme="minorHAnsi" w:hAnsiTheme="minorHAnsi" w:cstheme="minorHAnsi"/>
          <w:color w:val="auto"/>
          <w:sz w:val="22"/>
          <w:szCs w:val="22"/>
        </w:rPr>
        <w:t xml:space="preserve"> pluralism and does not affirm the principle of unity in the performance of the syndicates, which will lead to control </w:t>
      </w:r>
      <w:r w:rsidR="001061E0">
        <w:rPr>
          <w:rFonts w:asciiTheme="minorHAnsi" w:hAnsiTheme="minorHAnsi" w:cstheme="minorHAnsi"/>
          <w:color w:val="auto"/>
          <w:sz w:val="22"/>
          <w:szCs w:val="22"/>
        </w:rPr>
        <w:t xml:space="preserve">of </w:t>
      </w:r>
      <w:r w:rsidR="00B25258" w:rsidRPr="00BF15EE">
        <w:rPr>
          <w:rFonts w:asciiTheme="minorHAnsi" w:hAnsiTheme="minorHAnsi" w:cstheme="minorHAnsi"/>
          <w:color w:val="auto"/>
          <w:sz w:val="22"/>
          <w:szCs w:val="22"/>
        </w:rPr>
        <w:t xml:space="preserve">the syndicalism work by the executive authority and hallow such work from its contents. </w:t>
      </w:r>
      <w:r w:rsidR="00BF15EE" w:rsidRPr="00BF15EE">
        <w:rPr>
          <w:rFonts w:asciiTheme="minorHAnsi" w:hAnsiTheme="minorHAnsi" w:cstheme="minorHAnsi"/>
          <w:color w:val="auto"/>
          <w:sz w:val="22"/>
          <w:szCs w:val="22"/>
        </w:rPr>
        <w:t xml:space="preserve">The right to pluralism in union work is affirmed in Article (8) of the Covenant </w:t>
      </w:r>
      <w:r w:rsidR="001061E0">
        <w:rPr>
          <w:rFonts w:asciiTheme="minorHAnsi" w:hAnsiTheme="minorHAnsi" w:cstheme="minorHAnsi"/>
          <w:color w:val="auto"/>
          <w:sz w:val="22"/>
          <w:szCs w:val="22"/>
        </w:rPr>
        <w:t>which</w:t>
      </w:r>
      <w:r w:rsidR="00BF15EE" w:rsidRPr="00BF15EE">
        <w:rPr>
          <w:rFonts w:asciiTheme="minorHAnsi" w:hAnsiTheme="minorHAnsi" w:cstheme="minorHAnsi"/>
          <w:color w:val="auto"/>
          <w:sz w:val="22"/>
          <w:szCs w:val="22"/>
        </w:rPr>
        <w:t xml:space="preserve"> </w:t>
      </w:r>
      <w:r w:rsidR="001061E0">
        <w:rPr>
          <w:rFonts w:asciiTheme="minorHAnsi" w:hAnsiTheme="minorHAnsi" w:cstheme="minorHAnsi"/>
          <w:color w:val="auto"/>
          <w:sz w:val="22"/>
          <w:szCs w:val="22"/>
        </w:rPr>
        <w:t>states</w:t>
      </w:r>
      <w:r w:rsidR="00BF15EE" w:rsidRPr="00BF15EE">
        <w:rPr>
          <w:rFonts w:asciiTheme="minorHAnsi" w:hAnsiTheme="minorHAnsi" w:cstheme="minorHAnsi"/>
          <w:color w:val="auto"/>
          <w:sz w:val="22"/>
          <w:szCs w:val="22"/>
        </w:rPr>
        <w:t xml:space="preserve">: “The right of everyone to form trade unions and join the trade union of his choice”. The right was affirmed by the </w:t>
      </w:r>
      <w:r w:rsidR="00BF15EE">
        <w:rPr>
          <w:rFonts w:asciiTheme="minorHAnsi" w:hAnsiTheme="minorHAnsi" w:cstheme="minorHAnsi"/>
          <w:color w:val="auto"/>
          <w:sz w:val="22"/>
          <w:szCs w:val="22"/>
        </w:rPr>
        <w:t>“</w:t>
      </w:r>
      <w:r w:rsidR="00BF15EE" w:rsidRPr="00BF15EE">
        <w:rPr>
          <w:rFonts w:asciiTheme="minorHAnsi" w:hAnsiTheme="minorHAnsi" w:cstheme="minorHAnsi"/>
          <w:color w:val="auto"/>
          <w:sz w:val="22"/>
          <w:szCs w:val="22"/>
        </w:rPr>
        <w:t>Freedom of Association and Protection of the Right to Organize Convention</w:t>
      </w:r>
      <w:r w:rsidR="00BF15EE">
        <w:rPr>
          <w:rFonts w:asciiTheme="minorHAnsi" w:hAnsiTheme="minorHAnsi" w:cstheme="minorHAnsi"/>
          <w:color w:val="auto"/>
          <w:sz w:val="22"/>
          <w:szCs w:val="22"/>
        </w:rPr>
        <w:t xml:space="preserve">” (Convention 87) released by the General Conference of the ILO in the year 1948, which emphasized the right of workers to form unions and </w:t>
      </w:r>
      <w:r w:rsidR="001061E0">
        <w:rPr>
          <w:rFonts w:asciiTheme="minorHAnsi" w:hAnsiTheme="minorHAnsi" w:cstheme="minorHAnsi"/>
          <w:color w:val="auto"/>
          <w:sz w:val="22"/>
          <w:szCs w:val="22"/>
        </w:rPr>
        <w:t>join</w:t>
      </w:r>
      <w:r w:rsidR="00BF15EE">
        <w:rPr>
          <w:rFonts w:asciiTheme="minorHAnsi" w:hAnsiTheme="minorHAnsi" w:cstheme="minorHAnsi"/>
          <w:color w:val="auto"/>
          <w:sz w:val="22"/>
          <w:szCs w:val="22"/>
        </w:rPr>
        <w:t xml:space="preserve"> them and that the states should respect the freedom of union organization. </w:t>
      </w:r>
    </w:p>
    <w:p w14:paraId="3CC2B847" w14:textId="77777777" w:rsidR="00FE1DFF" w:rsidRDefault="00FB0104" w:rsidP="00020085">
      <w:pPr>
        <w:jc w:val="both"/>
      </w:pPr>
      <w:r>
        <w:t>52</w:t>
      </w:r>
      <w:r w:rsidR="00BF15EE">
        <w:t xml:space="preserve">. Despite the efforts invested by several cultural organizations during the previous years, to form a syndicate or more than one for the cultural sectors; and despite the promises given by the official Palestinian institutions to respect the right to form a union to the cultural sector, yet, no union had emerged. There is no union to protect the rights and interests of those involved in cultural and art activities and production. On a related level, the General Union of Palestinian Writers </w:t>
      </w:r>
      <w:r w:rsidR="004E0081">
        <w:t>which</w:t>
      </w:r>
      <w:r w:rsidR="00BF15EE">
        <w:t xml:space="preserve"> is annexed to the PLO, lacks democracy. The absence of democracy from the given Union is due to being dominated by the official Palestinian institutions and their arms</w:t>
      </w:r>
      <w:r w:rsidR="00802855">
        <w:t xml:space="preserve">. </w:t>
      </w:r>
      <w:r w:rsidR="00BF15EE">
        <w:t xml:space="preserve">Unionist work is not allowed and sometimes, there is intervention in the work of the unions and syndicates to maintain the imposed control. These practices indicate the level of shrinking imposed on the civic space. </w:t>
      </w:r>
    </w:p>
    <w:p w14:paraId="7AD27698" w14:textId="77240AE4" w:rsidR="00020085" w:rsidRDefault="00FB0104" w:rsidP="00020085">
      <w:pPr>
        <w:jc w:val="both"/>
      </w:pPr>
      <w:r>
        <w:t>53</w:t>
      </w:r>
      <w:r w:rsidR="00BF15EE">
        <w:t xml:space="preserve">. The Partners recommend your committee to request information from the SoP about the measures taken to protect the right to form syndicate (s) to protect the rights and interests of those involved in the cultural sector and protect the freedom </w:t>
      </w:r>
      <w:r w:rsidR="004E0081">
        <w:t>of</w:t>
      </w:r>
      <w:r w:rsidR="00BF15EE">
        <w:t xml:space="preserve"> cultural/art production and commencing cultural events. Such right should be based on the principle of pluralism in the </w:t>
      </w:r>
      <w:r w:rsidR="00571BD3">
        <w:t>unions’</w:t>
      </w:r>
      <w:r w:rsidR="00BF15EE">
        <w:t xml:space="preserve"> work that is affirmed by the Palestinian Basic Law and the Articles of the current Covenant and Convention (87) of the ILO. SoP should highlight the progress made in this regard and the efforts invested to arrange free democratic regular elections for the General Union of Artists in a manner that guarantees the right to form unions for the cultural sector.</w:t>
      </w:r>
    </w:p>
    <w:p w14:paraId="72EB00BF" w14:textId="751008B9" w:rsidR="00BF15EE" w:rsidRDefault="00BF15EE" w:rsidP="00020085">
      <w:r w:rsidRPr="00FB0104">
        <w:rPr>
          <w:b/>
          <w:bCs/>
        </w:rPr>
        <w:t>9.6</w:t>
      </w:r>
      <w:r w:rsidRPr="00571BD3">
        <w:rPr>
          <w:b/>
          <w:bCs/>
        </w:rPr>
        <w:t xml:space="preserve"> Sectorial Strategy of the Cultural Sector</w:t>
      </w:r>
      <w:r>
        <w:t>:</w:t>
      </w:r>
      <w:r w:rsidR="00020085">
        <w:br/>
      </w:r>
      <w:r w:rsidR="00FB0104">
        <w:t>54</w:t>
      </w:r>
      <w:r>
        <w:t xml:space="preserve">. In item (261) of the SoP’s report, it is stated that the government is working to </w:t>
      </w:r>
      <w:r w:rsidR="004E0081">
        <w:t xml:space="preserve">activate </w:t>
      </w:r>
      <w:r>
        <w:t xml:space="preserve">cultural life through executing sectorial strategic plans for the cultural sector (the latest plan was for 2011-2013). Although the SoP submitted </w:t>
      </w:r>
      <w:r w:rsidR="004E0081">
        <w:t xml:space="preserve">a </w:t>
      </w:r>
      <w:r>
        <w:t>response to the list of issues that your committee received on 3/4/2023, yet the state did not update any information. The SoP replied under Article (15) of the Covenant related to cultural rights and limited its response to items 29 and 30 where it emphasized what was mentioned in its report regarding cultural rights. We would like to inform your committee that the sectorial strategic plan of the cultural sector and heritage (2021-2023) is approaching its end this year. The report of the SoP did not include any of the violations against the independent cultural institutions and the ways to protect the cultural activities and production and to protect Palestinian male/female artists, against the violations and attacks that witnessed escalation during summer 2022. The report did not include information about the measures taken to ensure effective justice for the victims of the violations and ensure that these attacks would not be repeated. We refer to what was mentioned in the comment (21) of your esteemed committee (Item 5-c.</w:t>
      </w:r>
      <w:r w:rsidR="0091686B">
        <w:t xml:space="preserve"> </w:t>
      </w:r>
      <w:r>
        <w:t xml:space="preserve">Access to Remedy and Accountability), mainly item 72 in </w:t>
      </w:r>
      <w:r>
        <w:lastRenderedPageBreak/>
        <w:t xml:space="preserve">which your committee affirmed: “The states parties policies and strategies should include establishing institutions and mechanisms to investigate the alleged violations of paragraph (1/ a) of Article 15. The states should investigate these violations, identify responsible parties, and declare the results. Additionally, the state parties should provide administrative, judiciary remedy, and other mechanisms </w:t>
      </w:r>
      <w:r w:rsidR="001D45D9">
        <w:t>for remedy</w:t>
      </w:r>
      <w:r>
        <w:t xml:space="preserve">.  </w:t>
      </w:r>
      <w:r w:rsidR="001D45D9">
        <w:t>The Palestinian Sectorial Strategic Plan for the cultural sector (2021- 2023),</w:t>
      </w:r>
      <w:r>
        <w:t xml:space="preserve"> </w:t>
      </w:r>
      <w:r w:rsidR="001D45D9">
        <w:t>does not include anything of what was mentioned in the general comment. The independent cultural institutions were not involved in preparing, executing, and monitoring the effectiveness and accuracy of implementing the Strategic Plan.</w:t>
      </w:r>
    </w:p>
    <w:p w14:paraId="14C9D39D" w14:textId="304CB78C" w:rsidR="001D45D9" w:rsidRDefault="001D45D9" w:rsidP="0091686B">
      <w:pPr>
        <w:jc w:val="both"/>
      </w:pPr>
      <w:r>
        <w:t xml:space="preserve">The Partners recommend your committee to request the SoP to work immediately on fulfilling its commitments under Article (72) of the above-mentioned strategic plan for the cultural sector, which will be implemented this year (2023) and highlight the </w:t>
      </w:r>
      <w:r w:rsidR="0091686B">
        <w:t>measures</w:t>
      </w:r>
      <w:r>
        <w:t xml:space="preserve"> taken to involve the independent cultural organizations in preparing, executing, and monitoring the strategy. </w:t>
      </w:r>
    </w:p>
    <w:p w14:paraId="1B3034E5" w14:textId="6231505D" w:rsidR="001D45D9" w:rsidRDefault="001D45D9" w:rsidP="000645BB">
      <w:pPr>
        <w:jc w:val="both"/>
      </w:pPr>
      <w:r w:rsidRPr="00FB0104">
        <w:rPr>
          <w:b/>
          <w:bCs/>
        </w:rPr>
        <w:t>10.</w:t>
      </w:r>
      <w:r>
        <w:t xml:space="preserve"> </w:t>
      </w:r>
      <w:r w:rsidRPr="00B655C0">
        <w:rPr>
          <w:b/>
          <w:bCs/>
        </w:rPr>
        <w:t>The Independent International Committee of Inquiry and the Cultural Sector</w:t>
      </w:r>
      <w:r>
        <w:t>:</w:t>
      </w:r>
    </w:p>
    <w:p w14:paraId="18E4DDAC" w14:textId="37FB600E" w:rsidR="001D45D9" w:rsidRDefault="00FB0104" w:rsidP="000645BB">
      <w:pPr>
        <w:jc w:val="both"/>
      </w:pPr>
      <w:r>
        <w:t>55</w:t>
      </w:r>
      <w:r w:rsidR="001D45D9">
        <w:t xml:space="preserve">. The UN Human Rights Council issued the Resolution (DA-30/1) to form an Independent Permanent International Committee of Inquiry to investigate all the alleged violations of the IHL and the IL (that took place before 13/4/2021 and since that date) in the OPT, including East Jerusalem and inside Israel. The Committee submitted its report to the UNHRC for the year 2022 (A/HRC/50/21) and the report for the year 2023 (A/HRC/53/22). </w:t>
      </w:r>
    </w:p>
    <w:p w14:paraId="23EFF868" w14:textId="11D5CBFB" w:rsidR="001D45D9" w:rsidRDefault="00FB0104" w:rsidP="005F0CCF">
      <w:pPr>
        <w:jc w:val="both"/>
      </w:pPr>
      <w:r>
        <w:t>56</w:t>
      </w:r>
      <w:r w:rsidR="001D45D9">
        <w:t xml:space="preserve">. </w:t>
      </w:r>
      <w:r w:rsidR="000E32CD">
        <w:t xml:space="preserve">The Partners recommend your esteemed committee to see the reports published by the International Independent Committee of </w:t>
      </w:r>
      <w:r>
        <w:t>Inquiry (</w:t>
      </w:r>
      <w:r w:rsidR="000E32CD">
        <w:t xml:space="preserve">A/HRC/53/22). The report included the conclusions of the Committee regarding the attacks on the cultural sector in the West Bank, including Jerusalem, and </w:t>
      </w:r>
      <w:r w:rsidR="0091686B">
        <w:t xml:space="preserve">the </w:t>
      </w:r>
      <w:r w:rsidR="000E32CD">
        <w:t>Gaza Strip, by</w:t>
      </w:r>
      <w:r w:rsidR="00B655C0">
        <w:t xml:space="preserve"> Israel</w:t>
      </w:r>
      <w:r w:rsidR="005F0CCF">
        <w:t xml:space="preserve"> </w:t>
      </w:r>
      <w:r w:rsidR="000E32CD">
        <w:t xml:space="preserve">and by the SoP and the status quo government in </w:t>
      </w:r>
      <w:r w:rsidR="0091686B">
        <w:t xml:space="preserve">the </w:t>
      </w:r>
      <w:r w:rsidR="000E32CD">
        <w:t xml:space="preserve">Gaza Strip. We recommend </w:t>
      </w:r>
      <w:r w:rsidR="0091686B">
        <w:t>including</w:t>
      </w:r>
      <w:r w:rsidR="000E32CD">
        <w:t xml:space="preserve"> the conclusions of the report within the constructive dialogue that your committee will have with the SoP and within the concluding remarks to the state party regarding Cultural Rights. </w:t>
      </w:r>
    </w:p>
    <w:p w14:paraId="6226397A" w14:textId="44CB8CBE" w:rsidR="008B1858" w:rsidRDefault="000E32CD" w:rsidP="00B655C0">
      <w:pPr>
        <w:jc w:val="both"/>
      </w:pPr>
      <w:r>
        <w:t>5</w:t>
      </w:r>
      <w:r w:rsidR="00FB0104">
        <w:t>7</w:t>
      </w:r>
      <w:r>
        <w:t>. The press statement released by the mentioned Committee on 8/6/2023 regarding its report (A/HRC/53/22), posted on the UN website, that all the entities in Israel and OPT violates the rights of civilians and the restrictions imposed by the Israeli government are connected directly with the occupation. The Committee held 127 interviews with the victims, witnesses, experts, and others while preparing the report.</w:t>
      </w:r>
      <w:r w:rsidR="00B655C0" w:rsidRPr="00B655C0">
        <w:rPr>
          <w:rFonts w:eastAsia="Times New Roman" w:cstheme="minorHAnsi"/>
          <w:spacing w:val="8"/>
          <w:kern w:val="36"/>
        </w:rPr>
        <w:t xml:space="preserve"> </w:t>
      </w:r>
      <w:r w:rsidR="00B655C0">
        <w:rPr>
          <w:rFonts w:eastAsia="Times New Roman" w:cstheme="minorHAnsi"/>
          <w:spacing w:val="8"/>
          <w:kern w:val="36"/>
        </w:rPr>
        <w:t xml:space="preserve">Commissioner Mr. </w:t>
      </w:r>
      <w:r w:rsidR="00B655C0" w:rsidRPr="00ED2B30">
        <w:rPr>
          <w:rFonts w:cstheme="minorHAnsi"/>
          <w:spacing w:val="4"/>
        </w:rPr>
        <w:t>Miloon Kothari</w:t>
      </w:r>
      <w:r w:rsidR="00B655C0">
        <w:rPr>
          <w:rFonts w:eastAsia="Times New Roman" w:cstheme="minorHAnsi"/>
          <w:spacing w:val="8"/>
          <w:kern w:val="36"/>
        </w:rPr>
        <w:t xml:space="preserve"> who said: </w:t>
      </w:r>
      <w:r w:rsidR="00B655C0" w:rsidRPr="00ED2B30">
        <w:rPr>
          <w:rFonts w:eastAsia="Times New Roman" w:cstheme="minorHAnsi"/>
          <w:spacing w:val="8"/>
          <w:kern w:val="36"/>
        </w:rPr>
        <w:t>“</w:t>
      </w:r>
      <w:r w:rsidR="00B655C0" w:rsidRPr="00ED2B30">
        <w:rPr>
          <w:rFonts w:cstheme="minorHAnsi"/>
          <w:spacing w:val="4"/>
        </w:rPr>
        <w:t>We are very concerned regarding the restrictions imposed on the right to cultural life and cultural expression that we detailed in our report. We are concerned regarding the statements given by the Israeli politicians who called for abolishing the elements of the Palestinians</w:t>
      </w:r>
      <w:r w:rsidR="00B655C0">
        <w:rPr>
          <w:rFonts w:cstheme="minorHAnsi"/>
          <w:spacing w:val="4"/>
        </w:rPr>
        <w:t>'</w:t>
      </w:r>
      <w:r w:rsidR="00B655C0" w:rsidRPr="00ED2B30">
        <w:rPr>
          <w:rFonts w:cstheme="minorHAnsi"/>
          <w:spacing w:val="4"/>
        </w:rPr>
        <w:t xml:space="preserve"> culture and identity”</w:t>
      </w:r>
      <w:r w:rsidR="00B655C0">
        <w:t>.</w:t>
      </w:r>
      <w:r>
        <w:t xml:space="preserve"> </w:t>
      </w:r>
      <w:r w:rsidR="00834B83" w:rsidRPr="00834B83">
        <w:t>The report found that "the measures taken by Israeli and Palestinian authorities to restrict freedom of expression in the cultural domain affect artists and cultural activists and constitute a violation of cultural rights." The report affirmed that "Palestinian groups opposing gender rights in the West Bank target women and men defending human rights." This explains the assaults mentioned in this report, submitted to your esteemed committee, by independent cultural institutions regarding cultural rights.</w:t>
      </w:r>
    </w:p>
    <w:p w14:paraId="43843FCA" w14:textId="598C85D4" w:rsidR="003D7663" w:rsidRDefault="003D7663" w:rsidP="00D901F5">
      <w:pPr>
        <w:jc w:val="both"/>
      </w:pPr>
      <w:r w:rsidRPr="003D7663">
        <w:t>5</w:t>
      </w:r>
      <w:r w:rsidR="00FB0104">
        <w:t>8</w:t>
      </w:r>
      <w:r w:rsidRPr="003D7663">
        <w:t xml:space="preserve">. </w:t>
      </w:r>
      <w:r>
        <w:t xml:space="preserve">The </w:t>
      </w:r>
      <w:r w:rsidRPr="003D7663">
        <w:t>report from the Independent International Investigation Committee (Fourthly - the Palestinian Authority and the de facto authorities in Gaza) explained that "since the Palestinian political division in 2007, a series of restrictions have been imposed that enhanced the executive authority's control over civil society organizations registered as charitable associations, non-governmental organizations, and non-</w:t>
      </w:r>
      <w:r w:rsidRPr="003D7663">
        <w:lastRenderedPageBreak/>
        <w:t>profit companies. These restrictions partially stem from the formal suspension of the Palestinian Legislative Council in 2007, leading to an expansion of the executive authority's powers at the expense of the legislative and judicial authorities, through legislative decisions under presidential laws. Human rights organizations noted that these decision-making processes lack transparency and do not comply with the principle of separation of the three branches of public authority." (22/53/HRC/A, paragraph 39). The report pointed out that Law No. (7) of 2021 amending the Charitable Associations Law was suspended, which increased control over budgets and financial distribution. Non-profit companies under Regulation No. (20) of 2022 are required to submit their work plans and budgets to the authorities and align them with the relevant ministry's plan. Civil society organizations are obliged to obtain prior approval from ministries and security agencies as a prerequisite for registration, funding, and grants. Civil society organizations in Gaza reported facing additional challenges as they are required to obtain approvals from ministries in the West Bank and Gaza." (22/53/HRC/A, paragraph 40). The partners in this report to your committee clarified the role of Palestinian legislation and the absence of the parliament in narrowing the civil-cultural space.</w:t>
      </w:r>
      <w:r w:rsidR="00D901F5">
        <w:t xml:space="preserve">t </w:t>
      </w:r>
    </w:p>
    <w:p w14:paraId="4E5F1D0C" w14:textId="61AD1E1E" w:rsidR="003D7663" w:rsidRDefault="00C41F98" w:rsidP="005F0CCF">
      <w:pPr>
        <w:jc w:val="both"/>
      </w:pPr>
      <w:r>
        <w:t>5</w:t>
      </w:r>
      <w:r w:rsidR="00FB0104">
        <w:t>9</w:t>
      </w:r>
      <w:r>
        <w:t xml:space="preserve">. </w:t>
      </w:r>
      <w:r w:rsidR="00991711" w:rsidRPr="00991711">
        <w:t xml:space="preserve">The report issued by the United Nations-affiliated Independent International Investigation Committee clearly indicated that human rights defenders have been subjected to incitement campaigns and hate speech by "groups opposing gender rights." These groups object to the implementation of the convention to eliminate all forms of discrimination against women and the related activities carried out by human rights defenders. These groups led and supported by leaders from conservative religious and traditional communities, as well as political groups, have launched comprehensive campaigns against gender rights. These campaigns involved marches, public advertisements, </w:t>
      </w:r>
      <w:r w:rsidR="005F0CCF">
        <w:t xml:space="preserve">and </w:t>
      </w:r>
      <w:r w:rsidR="00991711" w:rsidRPr="00991711">
        <w:t>online hate campaigns, including on social media accounts with tens of thousands of followers. These groups spread messages of hatred, threats, incitement to violence, sectarian slurs, defamation, and misleading information. (22/53/HRC/A, paragraph 59). This report, submitted to your esteemed committee, clarified the prominent role of these groups and their ideology in the violations that targeted the Palestinian cultural sector. The intensity of these violations escalated in 2022 through incitement, hate speech, and serious attacks against cultural institutions and their staff by these groups. The security agencies and official bodies refused to provide protection for cultural sector institutions, and the State of Palestine violated its commitments under this covenant.</w:t>
      </w:r>
    </w:p>
    <w:p w14:paraId="3A4EBDE7" w14:textId="5A1DC0F0" w:rsidR="00BD2E5F" w:rsidRDefault="00FB0104" w:rsidP="00D901F5">
      <w:pPr>
        <w:jc w:val="both"/>
      </w:pPr>
      <w:r>
        <w:t>60</w:t>
      </w:r>
      <w:r w:rsidR="00991711" w:rsidRPr="00BD2E5F">
        <w:t xml:space="preserve">. </w:t>
      </w:r>
      <w:r w:rsidR="00BD2E5F" w:rsidRPr="00BD2E5F">
        <w:t xml:space="preserve">The report issued by the United Nations-affiliated Independent International Investigation Committee clearly affirmed that the Palestinian police conspicuously fail to protect individuals from violent attacks carried out by groups opposing gender rights. In one of these instances, a group of around 40 individuals attacked a cultural center with stones after organizers demanded the cancellation of a musical event based on perceived sexual orientation of the artist. The exterior part of the center was destroyed, and at least two attendees were injured. The Palestinian police did not respond to repeated phone calls from the victims seeking help, and despite being present outside the cultural center, they did not intervene when the attack occurred. Following the attack, the police arrested several attendees without informing them of the reasons for their detention [the victims]. To the best of the committee's knowledge [Independent International Investigation Committee], no perpetrators have been pursued, despite their public exposure on social media platforms, where they posted incitement and hate speech. The center had to close its doors and halt all activities out of fear of further retaliatory acts. (22/53/HRC/A, paragraph 67). The content in the report from the United Nations-affiliated Independent International Investigation Committee regarding the assaults targeting the "Cultural Storehouse Center" confirms the accuracy of the </w:t>
      </w:r>
      <w:r w:rsidR="00BD2E5F" w:rsidRPr="00BD2E5F">
        <w:lastRenderedPageBreak/>
        <w:t xml:space="preserve">documentation and information presented in this report submitted by Palestinian independent cultural coalitions and institutions to your esteemed committee. This report also clarified the escalating attacks during the summer of 2022 that affected Ashtar Theater, the </w:t>
      </w:r>
      <w:r w:rsidRPr="00BD2E5F">
        <w:t>A</w:t>
      </w:r>
      <w:r>
        <w:t>.M Qattan</w:t>
      </w:r>
      <w:r w:rsidR="00BD2E5F" w:rsidRPr="00BD2E5F">
        <w:t xml:space="preserve"> Foundation, the Tamer Institute for Community Education, and other independent cultural institutions. The report highlighted the physical and material assaults, threats, incitement, and hate speech carried out against artists, including women and men, by groups opposing gender rights. Furthermore, it pointed out the Palestinian state's failure to fulfill its obligations toward cultural rights based on respect, protection, and fulfillment.</w:t>
      </w:r>
    </w:p>
    <w:p w14:paraId="6FA6C805" w14:textId="5E663DB5" w:rsidR="00BD2E5F" w:rsidRPr="00D901F5" w:rsidRDefault="00FB0104" w:rsidP="00D901F5">
      <w:pPr>
        <w:jc w:val="both"/>
      </w:pPr>
      <w:r>
        <w:t>61</w:t>
      </w:r>
      <w:r w:rsidR="00D901F5">
        <w:t>.</w:t>
      </w:r>
      <w:r w:rsidR="007644D1">
        <w:t xml:space="preserve"> The partners recommend</w:t>
      </w:r>
      <w:r w:rsidR="00D901F5" w:rsidRPr="00D901F5">
        <w:t xml:space="preserve"> your esteemed committee to request the Palestinian delegation to provide "clear and specific answers" regarding the conclusions and recommendations outlined in the report of the United Nations-affiliated Independent International Investigation Committee concerning the violations that have affected the Palestinian cultural sector and the narrowing of the civil-cultural space. They also urge the delegation to specify mechanisms for accountability and addressing the violations mentioned in the report, along with ways to provide justice to the victims and ensure non-repetition. Furthermore, they call for the enforcement of Palestine's commitments in the realm of cultural rights, which are based on "respect, protection, and fulfillment." It is also suggested to establish a timeline for conducting general elections for the presidency, legislative council, and national council while engaging in a transitional justice program and implementing substantial reforms in the political system to ensure the protection of cultural freedoms, freedom of opinion, creativity, and the provisions of this covenant.</w:t>
      </w:r>
    </w:p>
    <w:p w14:paraId="446D7245" w14:textId="6200F3AB" w:rsidR="00991711" w:rsidRPr="00BD2E5F" w:rsidRDefault="00991711" w:rsidP="00BD2E5F">
      <w:pPr>
        <w:spacing w:after="0" w:line="240" w:lineRule="auto"/>
        <w:rPr>
          <w:rFonts w:ascii="Segoe UI" w:eastAsia="Times New Roman" w:hAnsi="Segoe UI" w:cs="Segoe UI"/>
          <w:color w:val="000000"/>
          <w:sz w:val="27"/>
          <w:szCs w:val="27"/>
          <w:lang w:val="en-GB" w:eastAsia="en-GB"/>
        </w:rPr>
      </w:pPr>
    </w:p>
    <w:p w14:paraId="066B2564" w14:textId="578631E3" w:rsidR="003D7663" w:rsidRPr="003D7663" w:rsidRDefault="003D7663" w:rsidP="00B655C0">
      <w:pPr>
        <w:jc w:val="both"/>
        <w:rPr>
          <w:lang w:val="en-GB"/>
        </w:rPr>
      </w:pPr>
    </w:p>
    <w:sectPr w:rsidR="003D7663" w:rsidRPr="003D7663">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A62E36" w14:textId="77777777" w:rsidR="006F4424" w:rsidRDefault="006F4424" w:rsidP="003A21DA">
      <w:pPr>
        <w:spacing w:after="0" w:line="240" w:lineRule="auto"/>
      </w:pPr>
      <w:r>
        <w:separator/>
      </w:r>
    </w:p>
  </w:endnote>
  <w:endnote w:type="continuationSeparator" w:id="0">
    <w:p w14:paraId="652F9959" w14:textId="77777777" w:rsidR="006F4424" w:rsidRDefault="006F4424" w:rsidP="003A21DA">
      <w:pPr>
        <w:spacing w:after="0" w:line="240" w:lineRule="auto"/>
      </w:pPr>
      <w:r>
        <w:continuationSeparator/>
      </w:r>
    </w:p>
  </w:endnote>
  <w:endnote w:type="continuationNotice" w:id="1">
    <w:p w14:paraId="18550942" w14:textId="77777777" w:rsidR="006F4424" w:rsidRDefault="006F442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kkal Majalla">
    <w:altName w:val="Sakkal Majalla"/>
    <w:charset w:val="B2"/>
    <w:family w:val="auto"/>
    <w:pitch w:val="variable"/>
    <w:sig w:usb0="80002007" w:usb1="80000000" w:usb2="000000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89875843"/>
      <w:docPartObj>
        <w:docPartGallery w:val="Page Numbers (Bottom of Page)"/>
        <w:docPartUnique/>
      </w:docPartObj>
    </w:sdtPr>
    <w:sdtEndPr>
      <w:rPr>
        <w:noProof/>
      </w:rPr>
    </w:sdtEndPr>
    <w:sdtContent>
      <w:p w14:paraId="351D8C30" w14:textId="638D8098" w:rsidR="00E16FE5" w:rsidRDefault="00E16FE5">
        <w:pPr>
          <w:pStyle w:val="Footer"/>
          <w:jc w:val="center"/>
        </w:pPr>
        <w:r>
          <w:fldChar w:fldCharType="begin"/>
        </w:r>
        <w:r>
          <w:instrText xml:space="preserve"> PAGE   \* MERGEFORMAT </w:instrText>
        </w:r>
        <w:r>
          <w:fldChar w:fldCharType="separate"/>
        </w:r>
        <w:r w:rsidR="00785478">
          <w:rPr>
            <w:noProof/>
          </w:rPr>
          <w:t>7</w:t>
        </w:r>
        <w:r>
          <w:rPr>
            <w:noProof/>
          </w:rPr>
          <w:fldChar w:fldCharType="end"/>
        </w:r>
      </w:p>
    </w:sdtContent>
  </w:sdt>
  <w:p w14:paraId="5700F5B7" w14:textId="77777777" w:rsidR="00E16FE5" w:rsidRDefault="00E16F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79F74A" w14:textId="77777777" w:rsidR="006F4424" w:rsidRDefault="006F4424" w:rsidP="003A21DA">
      <w:pPr>
        <w:spacing w:after="0" w:line="240" w:lineRule="auto"/>
      </w:pPr>
      <w:r>
        <w:separator/>
      </w:r>
    </w:p>
  </w:footnote>
  <w:footnote w:type="continuationSeparator" w:id="0">
    <w:p w14:paraId="607BEB2C" w14:textId="77777777" w:rsidR="006F4424" w:rsidRDefault="006F4424" w:rsidP="003A21DA">
      <w:pPr>
        <w:spacing w:after="0" w:line="240" w:lineRule="auto"/>
      </w:pPr>
      <w:r>
        <w:continuationSeparator/>
      </w:r>
    </w:p>
  </w:footnote>
  <w:footnote w:type="continuationNotice" w:id="1">
    <w:p w14:paraId="6728FC2F" w14:textId="77777777" w:rsidR="006F4424" w:rsidRDefault="006F4424">
      <w:pPr>
        <w:spacing w:after="0" w:line="240" w:lineRule="auto"/>
      </w:pPr>
    </w:p>
  </w:footnote>
  <w:footnote w:id="2">
    <w:p w14:paraId="74CD9D71" w14:textId="7571C9F8" w:rsidR="00E16FE5" w:rsidRDefault="00E16FE5">
      <w:pPr>
        <w:pStyle w:val="FootnoteText"/>
      </w:pPr>
      <w:r>
        <w:rPr>
          <w:rStyle w:val="FootnoteReference"/>
        </w:rPr>
        <w:footnoteRef/>
      </w:r>
      <w:r>
        <w:t xml:space="preserve"> </w:t>
      </w:r>
      <w:r>
        <w:rPr>
          <w:rFonts w:cstheme="minorHAnsi"/>
        </w:rPr>
        <w:t>The Legal Center for Arab Minority Rights in Israel- ADALA</w:t>
      </w:r>
      <w:r>
        <w:t xml:space="preserve">: </w:t>
      </w:r>
      <w:hyperlink r:id="rId1" w:history="1">
        <w:r w:rsidRPr="00657E3A">
          <w:rPr>
            <w:rStyle w:val="Hyperlink"/>
          </w:rPr>
          <w:t>https://www.adalah.org/en/content/view/7771</w:t>
        </w:r>
      </w:hyperlink>
      <w:r>
        <w:rPr>
          <w:rFonts w:hint="cs"/>
          <w:rtl/>
        </w:rPr>
        <w:t>.</w:t>
      </w:r>
      <w:r>
        <w:t xml:space="preserve"> </w:t>
      </w:r>
    </w:p>
  </w:footnote>
  <w:footnote w:id="3">
    <w:p w14:paraId="2E505864" w14:textId="6ED28BAD" w:rsidR="00E16FE5" w:rsidRDefault="00E16FE5">
      <w:pPr>
        <w:pStyle w:val="FootnoteText"/>
      </w:pPr>
      <w:r>
        <w:rPr>
          <w:rStyle w:val="FootnoteReference"/>
        </w:rPr>
        <w:footnoteRef/>
      </w:r>
      <w:r>
        <w:t xml:space="preserve"> Palestinian Ministry of Culture: The Israeli Violations against the Palestinian Cultural Sector during 2022 focused on Judaizing, a statement published on the website of the Palestinian News Agency (WAFA) on 10/1/2023- </w:t>
      </w:r>
      <w:hyperlink r:id="rId2" w:history="1">
        <w:r w:rsidRPr="003805DE">
          <w:rPr>
            <w:rStyle w:val="Hyperlink"/>
          </w:rPr>
          <w:t>https://www.wafa.ps/Pages/Details/62664</w:t>
        </w:r>
      </w:hyperlink>
      <w:r>
        <w:rPr>
          <w:rFonts w:hint="cs"/>
          <w:rtl/>
        </w:rPr>
        <w:t>.</w:t>
      </w:r>
      <w:r>
        <w:t xml:space="preserve"> </w:t>
      </w:r>
    </w:p>
  </w:footnote>
  <w:footnote w:id="4">
    <w:p w14:paraId="12A4D7A0" w14:textId="7865A7D9" w:rsidR="00E16FE5" w:rsidRDefault="00E16FE5" w:rsidP="001857EB">
      <w:pPr>
        <w:pStyle w:val="FootnoteText"/>
      </w:pPr>
      <w:r>
        <w:rPr>
          <w:rStyle w:val="FootnoteReference"/>
        </w:rPr>
        <w:footnoteRef/>
      </w:r>
      <w:r>
        <w:t xml:space="preserve"> Documented by the Documentation and Advocacy Unit at the Youth Community Center in Jenin Refugee Camp, Ibin Cena Medical Center, Al- Razi Hospital, Ibin Cena Hospital, Dr. Khalil Suliman Specialized Hospital in Jenin Refugee Camp, the Ppopular Committee of Jenin Refugee Camp, and the Ministry of Public Works.  </w:t>
      </w:r>
    </w:p>
  </w:footnote>
  <w:footnote w:id="5">
    <w:p w14:paraId="139B187F" w14:textId="6EE524A5" w:rsidR="00E16FE5" w:rsidRDefault="00E16FE5">
      <w:pPr>
        <w:pStyle w:val="FootnoteText"/>
      </w:pPr>
      <w:r>
        <w:rPr>
          <w:rStyle w:val="FootnoteReference"/>
        </w:rPr>
        <w:footnoteRef/>
      </w:r>
      <w:r>
        <w:t xml:space="preserve"> Documented by the Documentation and Advocacy Unit at the Youth Community Center in Jenin Refugee Camp</w:t>
      </w:r>
    </w:p>
  </w:footnote>
  <w:footnote w:id="6">
    <w:p w14:paraId="0DE72EFF" w14:textId="44DF936C" w:rsidR="00E16FE5" w:rsidRDefault="00E16FE5">
      <w:pPr>
        <w:pStyle w:val="FootnoteText"/>
      </w:pPr>
      <w:r>
        <w:rPr>
          <w:rStyle w:val="FootnoteReference"/>
        </w:rPr>
        <w:footnoteRef/>
      </w:r>
      <w:r>
        <w:t xml:space="preserve"> Addameer for Prisoners and Human Rights Organization: </w:t>
      </w:r>
      <w:hyperlink r:id="rId3" w:history="1">
        <w:r w:rsidRPr="00EA0E73">
          <w:rPr>
            <w:rStyle w:val="Hyperlink"/>
            <w:rFonts w:asciiTheme="majorBidi" w:hAnsiTheme="majorBidi" w:cstheme="majorBidi"/>
            <w:lang w:bidi="ar-JO"/>
          </w:rPr>
          <w:t>https://www.addameer.org/ar/statistics</w:t>
        </w:r>
      </w:hyperlink>
    </w:p>
  </w:footnote>
  <w:footnote w:id="7">
    <w:p w14:paraId="205CB2E9" w14:textId="21CF9E31" w:rsidR="00E16FE5" w:rsidRDefault="00E16FE5">
      <w:pPr>
        <w:pStyle w:val="FootnoteText"/>
      </w:pPr>
      <w:r>
        <w:rPr>
          <w:rStyle w:val="FootnoteReference"/>
        </w:rPr>
        <w:footnoteRef/>
      </w:r>
      <w:r>
        <w:t xml:space="preserve"> A documentary Film on Al- Jazeera Satellite Channel that included live statements from Palestinians arrested in the Israeli prisons and reported about transferring them from the prison to the medical centers or courts or to other prisons, in the Post. The Prisoners termed the buses as (Torture Buses, Death Buses, and Mobile Tombs Buses)- </w:t>
      </w:r>
      <w:hyperlink r:id="rId4" w:history="1">
        <w:r w:rsidRPr="0090787B">
          <w:rPr>
            <w:rStyle w:val="Hyperlink"/>
          </w:rPr>
          <w:t>https://www.youtube.com/watch?v=DMTZDoW5NOM</w:t>
        </w:r>
      </w:hyperlink>
      <w:r>
        <w:t xml:space="preserve">  </w:t>
      </w:r>
    </w:p>
  </w:footnote>
  <w:footnote w:id="8">
    <w:p w14:paraId="15199AA7" w14:textId="76382569" w:rsidR="00E16FE5" w:rsidRDefault="00E16FE5">
      <w:pPr>
        <w:pStyle w:val="FootnoteText"/>
      </w:pPr>
      <w:r>
        <w:rPr>
          <w:rStyle w:val="FootnoteReference"/>
        </w:rPr>
        <w:footnoteRef/>
      </w:r>
      <w:r>
        <w:t xml:space="preserve"> Addameer Prisoners and Human Rights Association, health conditions of prisoner Waleed Daqqa: </w:t>
      </w:r>
      <w:hyperlink r:id="rId5" w:history="1">
        <w:r w:rsidRPr="00ED181E">
          <w:rPr>
            <w:rStyle w:val="Hyperlink"/>
            <w:sz w:val="19"/>
            <w:szCs w:val="19"/>
          </w:rPr>
          <w:t>https://www.addameer.org/es/node/5042</w:t>
        </w:r>
        <w:r w:rsidRPr="00ED181E">
          <w:rPr>
            <w:rStyle w:val="Hyperlink"/>
            <w:rFonts w:hint="cs"/>
            <w:sz w:val="19"/>
            <w:szCs w:val="19"/>
            <w:rtl/>
          </w:rPr>
          <w:t>.</w:t>
        </w:r>
        <w:r w:rsidRPr="00ED181E">
          <w:rPr>
            <w:rStyle w:val="Hyperlink"/>
          </w:rPr>
          <w:t>te</w:t>
        </w:r>
      </w:hyperlink>
      <w:r>
        <w:t xml:space="preserve"> Rights Set </w:t>
      </w:r>
    </w:p>
  </w:footnote>
  <w:footnote w:id="9">
    <w:p w14:paraId="3E19F49B" w14:textId="77777777" w:rsidR="00E16FE5" w:rsidRPr="00EA6BA2" w:rsidRDefault="00E16FE5" w:rsidP="005E7292">
      <w:pPr>
        <w:pStyle w:val="FootnoteText"/>
        <w:rPr>
          <w:rtl/>
        </w:rPr>
      </w:pPr>
      <w:r>
        <w:rPr>
          <w:rStyle w:val="FootnoteReference"/>
        </w:rPr>
        <w:footnoteRef/>
      </w:r>
      <w:r>
        <w:t xml:space="preserve"> The Independent International Committee of Inquiry on the OPT and Israel, affirmed in its concluding report (A/HRC/53/22) that women human rights defenders in the West Bank were stereotyped and isolated on gender basis. The Committee added that unofficial Palestinian groups anti gender in the West Bank target the Human Rights Defenders (males/ females). For more information, see the statement published on the website of the Committee: </w:t>
      </w:r>
      <w:hyperlink r:id="rId6" w:history="1">
        <w:r w:rsidRPr="0014039A">
          <w:rPr>
            <w:rStyle w:val="Hyperlink"/>
          </w:rPr>
          <w:t>https://www.ohchr.org/en/press-releases/2023/06/rights-civil-society-members-are-being-violated-all-entities-israel-and</w:t>
        </w:r>
      </w:hyperlink>
      <w:r>
        <w:rPr>
          <w:rFonts w:hint="cs"/>
          <w:rtl/>
        </w:rPr>
        <w:t xml:space="preserve">. </w:t>
      </w:r>
    </w:p>
    <w:p w14:paraId="65F1E24F" w14:textId="2DD3A3D8" w:rsidR="00E16FE5" w:rsidRDefault="00E16FE5">
      <w:pPr>
        <w:pStyle w:val="FootnoteText"/>
      </w:pPr>
      <w:r>
        <w:t xml:space="preserve"> </w:t>
      </w:r>
    </w:p>
  </w:footnote>
  <w:footnote w:id="10">
    <w:p w14:paraId="6B4E6B21" w14:textId="0BBF2D8F" w:rsidR="00E16FE5" w:rsidRDefault="00E16FE5">
      <w:pPr>
        <w:pStyle w:val="FootnoteText"/>
      </w:pPr>
      <w:r>
        <w:rPr>
          <w:rStyle w:val="FootnoteReference"/>
        </w:rPr>
        <w:footnoteRef/>
      </w:r>
      <w:r>
        <w:t xml:space="preserve"> The Independent International Committee of Inquiry on the OPT and Israel, affirmed in its concluding report (A/HRC/53/22) that women human rights defenders in the West Bank were stereotyped and isolated on gender basis. The Committee added that unofficial Palestinian groups anti gender in the West Bank target the Human Rights Defenders (males/ females). For more information, see the statement published on the website of the Committee: </w:t>
      </w:r>
      <w:hyperlink r:id="rId7" w:history="1">
        <w:r w:rsidRPr="0014039A">
          <w:rPr>
            <w:rStyle w:val="Hyperlink"/>
          </w:rPr>
          <w:t>https://www.ohchr.org/en/press-releases/2023/06/rights-civil-society-members-are-being-violated-all-entities-israel-and</w:t>
        </w:r>
      </w:hyperlink>
      <w:r>
        <w:rPr>
          <w:rFonts w:hint="cs"/>
          <w:rtl/>
        </w:rPr>
        <w:t>.</w:t>
      </w:r>
    </w:p>
  </w:footnote>
  <w:footnote w:id="11">
    <w:p w14:paraId="4B7F5E2A" w14:textId="77777777" w:rsidR="00E16FE5" w:rsidRDefault="00E16FE5" w:rsidP="0084188E">
      <w:pPr>
        <w:pStyle w:val="FootnoteText"/>
      </w:pPr>
      <w:r>
        <w:rPr>
          <w:rStyle w:val="FootnoteReference"/>
        </w:rPr>
        <w:footnoteRef/>
      </w:r>
      <w:r>
        <w:t xml:space="preserve"> Statement issued by the CSOs demanding cancelling the non-for-profit companies bylaw (20/ 2022) and rejection of implementing it:</w:t>
      </w:r>
    </w:p>
    <w:p w14:paraId="3B9EBC19" w14:textId="77777777" w:rsidR="00E16FE5" w:rsidRDefault="003C7254" w:rsidP="0084188E">
      <w:pPr>
        <w:pStyle w:val="FootnoteText"/>
        <w:bidi/>
        <w:jc w:val="right"/>
        <w:rPr>
          <w:rtl/>
        </w:rPr>
      </w:pPr>
      <w:hyperlink r:id="rId8" w:history="1">
        <w:r w:rsidR="00E16FE5" w:rsidRPr="00210CE7">
          <w:rPr>
            <w:rStyle w:val="Hyperlink"/>
          </w:rPr>
          <w:t>https://pngoportal.org/post/26936/%D8%A7%D8%A6%D8%AA%D9%84%D8%A7%D9%81%D8%A7%D8%AA-%D8%A7%D9%84%D9%85%D9%86%D8%B8%D9%85%D8%A7%D8%AA-%D8%A7%D9%84%D8%A3%D9%87%D9%84%D9%8A%D8%A9-%D8%AA%D8%AC%D8%AF%D8%AF-%D8%B1%D9%81%D8%B6%D9%87%D8%A7-%D8%AA%D8%B7%D8%A8%D9%8A%D9%82-%D9%86%D8%B8%D8%A7%D9%85-%D8%B9%D9%85%D9%84-%D8%A7%D9%84%D8%B4%D8%B1%D9%83%D8%A7%D8%AA-%D8%BA%D9%8A%D8%B1-%D8%A7%D9%84%D8%B1%D8%A8%D8%AD%D9%8A%D8%A9-%D9%88%D8%AA%D8%B7%D8%A7%D9%84%D8%A8-%D8%A8%D8%A7%D9%84%D8%A7%D9%84%D8%AA%D8%B2%D8%A7%D9%85-%D8%A8%D8%A7%D9%84%D9%82%D8%A7%D9%86%D9%88%D9%86-%D8%A7%D9%84%D8%A3%D8%B3%D8%A7%D8%B3%D9%8A</w:t>
        </w:r>
      </w:hyperlink>
    </w:p>
    <w:p w14:paraId="53A2D808" w14:textId="77777777" w:rsidR="00E16FE5" w:rsidRDefault="00E16FE5" w:rsidP="0084188E">
      <w:pPr>
        <w:pStyle w:val="FootnoteText"/>
        <w:bidi/>
        <w:rPr>
          <w:rtl/>
        </w:rPr>
      </w:pPr>
    </w:p>
    <w:p w14:paraId="294699A7" w14:textId="7DC8A9A7" w:rsidR="00E16FE5" w:rsidRDefault="00E16FE5" w:rsidP="0084188E">
      <w:pPr>
        <w:pStyle w:val="FootnoteText"/>
        <w:bidi/>
        <w:rPr>
          <w:rtl/>
        </w:rPr>
      </w:pPr>
      <w:r>
        <w:t xml:space="preserve">Al- Haq Remarks on the non-for-profit companies bylaw and a letter to the Palestinian Prime Minister to cancel it. </w:t>
      </w:r>
    </w:p>
    <w:p w14:paraId="0777A296" w14:textId="148160FB" w:rsidR="00E16FE5" w:rsidRDefault="003C7254" w:rsidP="0084188E">
      <w:pPr>
        <w:pStyle w:val="FootnoteText"/>
      </w:pPr>
      <w:hyperlink r:id="rId9" w:history="1">
        <w:r w:rsidR="00E16FE5" w:rsidRPr="00210CE7">
          <w:rPr>
            <w:rStyle w:val="Hyperlink"/>
          </w:rPr>
          <w:t>https://www.alhaq.org/ar/advocacy/20864.html</w:t>
        </w:r>
      </w:hyperlink>
      <w:r w:rsidR="00E16FE5">
        <w:rPr>
          <w:rFonts w:hint="cs"/>
          <w:rtl/>
        </w:rPr>
        <w:t xml:space="preserve"> .</w:t>
      </w:r>
      <w:r w:rsidR="00E16FE5">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881F86"/>
    <w:multiLevelType w:val="multilevel"/>
    <w:tmpl w:val="24367602"/>
    <w:lvl w:ilvl="0">
      <w:start w:val="3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2F962C7"/>
    <w:multiLevelType w:val="hybridMultilevel"/>
    <w:tmpl w:val="155CB1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4DC481E"/>
    <w:multiLevelType w:val="multilevel"/>
    <w:tmpl w:val="33B2B4F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63254327"/>
    <w:multiLevelType w:val="hybridMultilevel"/>
    <w:tmpl w:val="F4A047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5DA19B0"/>
    <w:multiLevelType w:val="hybridMultilevel"/>
    <w:tmpl w:val="C0701ACA"/>
    <w:lvl w:ilvl="0" w:tplc="E634E466">
      <w:start w:val="1"/>
      <w:numFmt w:val="decimal"/>
      <w:lvlText w:val="%1."/>
      <w:lvlJc w:val="left"/>
      <w:pPr>
        <w:ind w:left="720" w:hanging="360"/>
      </w:pPr>
      <w:rPr>
        <w:rFonts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93123355">
    <w:abstractNumId w:val="3"/>
  </w:num>
  <w:num w:numId="2" w16cid:durableId="1557469193">
    <w:abstractNumId w:val="2"/>
  </w:num>
  <w:num w:numId="3" w16cid:durableId="1051735124">
    <w:abstractNumId w:val="1"/>
  </w:num>
  <w:num w:numId="4" w16cid:durableId="1611471602">
    <w:abstractNumId w:val="4"/>
  </w:num>
  <w:num w:numId="5" w16cid:durableId="10960962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jO1MDQ2NTKzMDQytTBS0lEKTi0uzszPAykwqwUAF3jYMSwAAAA="/>
  </w:docVars>
  <w:rsids>
    <w:rsidRoot w:val="003515AC"/>
    <w:rsid w:val="00002832"/>
    <w:rsid w:val="00012554"/>
    <w:rsid w:val="00015519"/>
    <w:rsid w:val="00015B28"/>
    <w:rsid w:val="00017315"/>
    <w:rsid w:val="00020085"/>
    <w:rsid w:val="00022F63"/>
    <w:rsid w:val="00023BC5"/>
    <w:rsid w:val="00030B9D"/>
    <w:rsid w:val="00030DC0"/>
    <w:rsid w:val="00032219"/>
    <w:rsid w:val="0003293F"/>
    <w:rsid w:val="00040DA1"/>
    <w:rsid w:val="00041492"/>
    <w:rsid w:val="00041611"/>
    <w:rsid w:val="0004174B"/>
    <w:rsid w:val="000519B8"/>
    <w:rsid w:val="00055019"/>
    <w:rsid w:val="00064419"/>
    <w:rsid w:val="000645BB"/>
    <w:rsid w:val="00070150"/>
    <w:rsid w:val="0007392E"/>
    <w:rsid w:val="00081448"/>
    <w:rsid w:val="000857DB"/>
    <w:rsid w:val="000918EE"/>
    <w:rsid w:val="000924BF"/>
    <w:rsid w:val="00093654"/>
    <w:rsid w:val="00093A97"/>
    <w:rsid w:val="0009452D"/>
    <w:rsid w:val="00094A09"/>
    <w:rsid w:val="000961B1"/>
    <w:rsid w:val="000A024E"/>
    <w:rsid w:val="000B0365"/>
    <w:rsid w:val="000B2F6C"/>
    <w:rsid w:val="000B4193"/>
    <w:rsid w:val="000B5A51"/>
    <w:rsid w:val="000B5D73"/>
    <w:rsid w:val="000B6E04"/>
    <w:rsid w:val="000C6784"/>
    <w:rsid w:val="000C7196"/>
    <w:rsid w:val="000C7907"/>
    <w:rsid w:val="000C7FFE"/>
    <w:rsid w:val="000D1E37"/>
    <w:rsid w:val="000D3443"/>
    <w:rsid w:val="000D3649"/>
    <w:rsid w:val="000D71B0"/>
    <w:rsid w:val="000D7CD8"/>
    <w:rsid w:val="000E2775"/>
    <w:rsid w:val="000E32CD"/>
    <w:rsid w:val="000E3DD8"/>
    <w:rsid w:val="000E7105"/>
    <w:rsid w:val="000F00F7"/>
    <w:rsid w:val="000F0644"/>
    <w:rsid w:val="000F224F"/>
    <w:rsid w:val="000F2995"/>
    <w:rsid w:val="0010061A"/>
    <w:rsid w:val="00101752"/>
    <w:rsid w:val="00105CF6"/>
    <w:rsid w:val="001061E0"/>
    <w:rsid w:val="00112D6D"/>
    <w:rsid w:val="001167A0"/>
    <w:rsid w:val="00121A69"/>
    <w:rsid w:val="001276BC"/>
    <w:rsid w:val="0013145C"/>
    <w:rsid w:val="00133E09"/>
    <w:rsid w:val="00137CB0"/>
    <w:rsid w:val="00137F28"/>
    <w:rsid w:val="00144018"/>
    <w:rsid w:val="0014487E"/>
    <w:rsid w:val="00144CF8"/>
    <w:rsid w:val="0015268B"/>
    <w:rsid w:val="0015377D"/>
    <w:rsid w:val="00154FD3"/>
    <w:rsid w:val="00160C55"/>
    <w:rsid w:val="0016210F"/>
    <w:rsid w:val="00164B07"/>
    <w:rsid w:val="001658C5"/>
    <w:rsid w:val="0016716F"/>
    <w:rsid w:val="00167D83"/>
    <w:rsid w:val="001708A8"/>
    <w:rsid w:val="001731DB"/>
    <w:rsid w:val="001745BB"/>
    <w:rsid w:val="001857EB"/>
    <w:rsid w:val="001A0A80"/>
    <w:rsid w:val="001A167E"/>
    <w:rsid w:val="001A290F"/>
    <w:rsid w:val="001A3451"/>
    <w:rsid w:val="001A3E0E"/>
    <w:rsid w:val="001A3FC4"/>
    <w:rsid w:val="001A7CF3"/>
    <w:rsid w:val="001B296E"/>
    <w:rsid w:val="001B2F02"/>
    <w:rsid w:val="001C1B97"/>
    <w:rsid w:val="001C20F8"/>
    <w:rsid w:val="001C2328"/>
    <w:rsid w:val="001C3137"/>
    <w:rsid w:val="001C3FDF"/>
    <w:rsid w:val="001C49D0"/>
    <w:rsid w:val="001D2B90"/>
    <w:rsid w:val="001D45D9"/>
    <w:rsid w:val="001E1CAB"/>
    <w:rsid w:val="001E28A0"/>
    <w:rsid w:val="001E3E48"/>
    <w:rsid w:val="001E3EA8"/>
    <w:rsid w:val="001E77FC"/>
    <w:rsid w:val="001F0771"/>
    <w:rsid w:val="001F149A"/>
    <w:rsid w:val="001F2239"/>
    <w:rsid w:val="001F2415"/>
    <w:rsid w:val="001F372E"/>
    <w:rsid w:val="001F4266"/>
    <w:rsid w:val="001F5711"/>
    <w:rsid w:val="00200E03"/>
    <w:rsid w:val="00201969"/>
    <w:rsid w:val="00204857"/>
    <w:rsid w:val="002051F0"/>
    <w:rsid w:val="00212645"/>
    <w:rsid w:val="002140D1"/>
    <w:rsid w:val="00215BD3"/>
    <w:rsid w:val="00217380"/>
    <w:rsid w:val="00223EC9"/>
    <w:rsid w:val="00225543"/>
    <w:rsid w:val="00242870"/>
    <w:rsid w:val="00242C61"/>
    <w:rsid w:val="0024374E"/>
    <w:rsid w:val="002457EE"/>
    <w:rsid w:val="00246454"/>
    <w:rsid w:val="00247C63"/>
    <w:rsid w:val="00257400"/>
    <w:rsid w:val="00260EE2"/>
    <w:rsid w:val="00261913"/>
    <w:rsid w:val="00262DCF"/>
    <w:rsid w:val="00265761"/>
    <w:rsid w:val="00283B3E"/>
    <w:rsid w:val="002957FF"/>
    <w:rsid w:val="002A3016"/>
    <w:rsid w:val="002A4946"/>
    <w:rsid w:val="002A4D07"/>
    <w:rsid w:val="002A4EF0"/>
    <w:rsid w:val="002B4E41"/>
    <w:rsid w:val="002B513B"/>
    <w:rsid w:val="002B6E56"/>
    <w:rsid w:val="002B7E6E"/>
    <w:rsid w:val="002C479A"/>
    <w:rsid w:val="002C7275"/>
    <w:rsid w:val="002D009F"/>
    <w:rsid w:val="002D0E93"/>
    <w:rsid w:val="002D10F8"/>
    <w:rsid w:val="002D2266"/>
    <w:rsid w:val="002D2309"/>
    <w:rsid w:val="002D3956"/>
    <w:rsid w:val="002D42ED"/>
    <w:rsid w:val="002D47BC"/>
    <w:rsid w:val="002D6B2A"/>
    <w:rsid w:val="002E0ADA"/>
    <w:rsid w:val="002E506F"/>
    <w:rsid w:val="002E5F14"/>
    <w:rsid w:val="00303A28"/>
    <w:rsid w:val="00313EB2"/>
    <w:rsid w:val="00315B23"/>
    <w:rsid w:val="0033052D"/>
    <w:rsid w:val="003366BF"/>
    <w:rsid w:val="00336B6B"/>
    <w:rsid w:val="00336FF2"/>
    <w:rsid w:val="003400A6"/>
    <w:rsid w:val="00341508"/>
    <w:rsid w:val="0034475D"/>
    <w:rsid w:val="00344AFC"/>
    <w:rsid w:val="00346E72"/>
    <w:rsid w:val="00347ECE"/>
    <w:rsid w:val="003507FA"/>
    <w:rsid w:val="00350DF5"/>
    <w:rsid w:val="003515AC"/>
    <w:rsid w:val="00351D14"/>
    <w:rsid w:val="00356282"/>
    <w:rsid w:val="0035655B"/>
    <w:rsid w:val="00356884"/>
    <w:rsid w:val="003615AC"/>
    <w:rsid w:val="003665D0"/>
    <w:rsid w:val="003667FA"/>
    <w:rsid w:val="00366D2B"/>
    <w:rsid w:val="00372C78"/>
    <w:rsid w:val="00377D9A"/>
    <w:rsid w:val="003815A7"/>
    <w:rsid w:val="003834F6"/>
    <w:rsid w:val="00383DEA"/>
    <w:rsid w:val="0038445F"/>
    <w:rsid w:val="0038493A"/>
    <w:rsid w:val="00386348"/>
    <w:rsid w:val="003903F1"/>
    <w:rsid w:val="00392A88"/>
    <w:rsid w:val="00392B77"/>
    <w:rsid w:val="00395834"/>
    <w:rsid w:val="003A21DA"/>
    <w:rsid w:val="003A2B92"/>
    <w:rsid w:val="003B4305"/>
    <w:rsid w:val="003C2B31"/>
    <w:rsid w:val="003C7254"/>
    <w:rsid w:val="003D004D"/>
    <w:rsid w:val="003D2DE7"/>
    <w:rsid w:val="003D37A0"/>
    <w:rsid w:val="003D7026"/>
    <w:rsid w:val="003D7663"/>
    <w:rsid w:val="003D7724"/>
    <w:rsid w:val="003E4B02"/>
    <w:rsid w:val="003E78C5"/>
    <w:rsid w:val="003F4EF5"/>
    <w:rsid w:val="003F7567"/>
    <w:rsid w:val="00401675"/>
    <w:rsid w:val="00402006"/>
    <w:rsid w:val="004033DE"/>
    <w:rsid w:val="00405EFF"/>
    <w:rsid w:val="004110D1"/>
    <w:rsid w:val="00413A41"/>
    <w:rsid w:val="00415D74"/>
    <w:rsid w:val="004165C2"/>
    <w:rsid w:val="004167B1"/>
    <w:rsid w:val="004239EB"/>
    <w:rsid w:val="004270D1"/>
    <w:rsid w:val="00430C42"/>
    <w:rsid w:val="00432814"/>
    <w:rsid w:val="004329E2"/>
    <w:rsid w:val="00433437"/>
    <w:rsid w:val="00433C63"/>
    <w:rsid w:val="0043606E"/>
    <w:rsid w:val="0043636D"/>
    <w:rsid w:val="004373B2"/>
    <w:rsid w:val="0044048A"/>
    <w:rsid w:val="00441D80"/>
    <w:rsid w:val="00443125"/>
    <w:rsid w:val="004439A9"/>
    <w:rsid w:val="004439D0"/>
    <w:rsid w:val="0044541B"/>
    <w:rsid w:val="00452B94"/>
    <w:rsid w:val="00454ECE"/>
    <w:rsid w:val="00456C16"/>
    <w:rsid w:val="00462141"/>
    <w:rsid w:val="004657C6"/>
    <w:rsid w:val="00465AFA"/>
    <w:rsid w:val="004679AC"/>
    <w:rsid w:val="0047019D"/>
    <w:rsid w:val="00477B8B"/>
    <w:rsid w:val="00483A5F"/>
    <w:rsid w:val="0048779E"/>
    <w:rsid w:val="00490F93"/>
    <w:rsid w:val="004910A8"/>
    <w:rsid w:val="00492358"/>
    <w:rsid w:val="00496DF5"/>
    <w:rsid w:val="004A3905"/>
    <w:rsid w:val="004A5811"/>
    <w:rsid w:val="004B41A8"/>
    <w:rsid w:val="004C0DBA"/>
    <w:rsid w:val="004C4553"/>
    <w:rsid w:val="004C686E"/>
    <w:rsid w:val="004D098D"/>
    <w:rsid w:val="004D37C3"/>
    <w:rsid w:val="004D55BA"/>
    <w:rsid w:val="004E0081"/>
    <w:rsid w:val="004E125F"/>
    <w:rsid w:val="004E15A2"/>
    <w:rsid w:val="004E3F22"/>
    <w:rsid w:val="004F58F0"/>
    <w:rsid w:val="004F5E9A"/>
    <w:rsid w:val="00510D66"/>
    <w:rsid w:val="00512947"/>
    <w:rsid w:val="00512D2E"/>
    <w:rsid w:val="0051366D"/>
    <w:rsid w:val="005137B2"/>
    <w:rsid w:val="00513F7F"/>
    <w:rsid w:val="00520CA0"/>
    <w:rsid w:val="005213C9"/>
    <w:rsid w:val="00521AB8"/>
    <w:rsid w:val="00523598"/>
    <w:rsid w:val="00531C69"/>
    <w:rsid w:val="00532218"/>
    <w:rsid w:val="00532DFB"/>
    <w:rsid w:val="0053422B"/>
    <w:rsid w:val="00534651"/>
    <w:rsid w:val="005358D6"/>
    <w:rsid w:val="00535B1F"/>
    <w:rsid w:val="00537C53"/>
    <w:rsid w:val="005418E0"/>
    <w:rsid w:val="0054224B"/>
    <w:rsid w:val="00543CB4"/>
    <w:rsid w:val="00552F8F"/>
    <w:rsid w:val="00555219"/>
    <w:rsid w:val="00563829"/>
    <w:rsid w:val="00570BC5"/>
    <w:rsid w:val="00571BD3"/>
    <w:rsid w:val="00572A3F"/>
    <w:rsid w:val="00574AF8"/>
    <w:rsid w:val="00575D5A"/>
    <w:rsid w:val="0057614D"/>
    <w:rsid w:val="0058188E"/>
    <w:rsid w:val="00583DBC"/>
    <w:rsid w:val="00584EFC"/>
    <w:rsid w:val="005850D8"/>
    <w:rsid w:val="00586FFA"/>
    <w:rsid w:val="00587868"/>
    <w:rsid w:val="00591671"/>
    <w:rsid w:val="00592CF4"/>
    <w:rsid w:val="005957CE"/>
    <w:rsid w:val="00597B51"/>
    <w:rsid w:val="005A344E"/>
    <w:rsid w:val="005A42B6"/>
    <w:rsid w:val="005A4C99"/>
    <w:rsid w:val="005B1231"/>
    <w:rsid w:val="005B1B0E"/>
    <w:rsid w:val="005B2B5B"/>
    <w:rsid w:val="005B313C"/>
    <w:rsid w:val="005B43D5"/>
    <w:rsid w:val="005B46E0"/>
    <w:rsid w:val="005B4791"/>
    <w:rsid w:val="005B4D22"/>
    <w:rsid w:val="005B55C7"/>
    <w:rsid w:val="005C1399"/>
    <w:rsid w:val="005C5C9F"/>
    <w:rsid w:val="005D03B5"/>
    <w:rsid w:val="005D1040"/>
    <w:rsid w:val="005D4949"/>
    <w:rsid w:val="005E107D"/>
    <w:rsid w:val="005E1AAA"/>
    <w:rsid w:val="005E2555"/>
    <w:rsid w:val="005E289F"/>
    <w:rsid w:val="005E5E6F"/>
    <w:rsid w:val="005E7292"/>
    <w:rsid w:val="005F0CCF"/>
    <w:rsid w:val="005F10C1"/>
    <w:rsid w:val="005F46C6"/>
    <w:rsid w:val="00600521"/>
    <w:rsid w:val="00600936"/>
    <w:rsid w:val="006034E5"/>
    <w:rsid w:val="00610426"/>
    <w:rsid w:val="00611AAA"/>
    <w:rsid w:val="006125EB"/>
    <w:rsid w:val="0061373F"/>
    <w:rsid w:val="006174E1"/>
    <w:rsid w:val="00625AA0"/>
    <w:rsid w:val="00626410"/>
    <w:rsid w:val="00626BF2"/>
    <w:rsid w:val="00630807"/>
    <w:rsid w:val="006323EE"/>
    <w:rsid w:val="006335AA"/>
    <w:rsid w:val="00636567"/>
    <w:rsid w:val="00640C06"/>
    <w:rsid w:val="00641D1A"/>
    <w:rsid w:val="00642CA5"/>
    <w:rsid w:val="00643197"/>
    <w:rsid w:val="00643C13"/>
    <w:rsid w:val="0065684B"/>
    <w:rsid w:val="00664456"/>
    <w:rsid w:val="0066486B"/>
    <w:rsid w:val="0066709E"/>
    <w:rsid w:val="00670F0C"/>
    <w:rsid w:val="00680BB0"/>
    <w:rsid w:val="006815C7"/>
    <w:rsid w:val="00681932"/>
    <w:rsid w:val="0068709C"/>
    <w:rsid w:val="00692A1A"/>
    <w:rsid w:val="00694B7C"/>
    <w:rsid w:val="006964DF"/>
    <w:rsid w:val="006A0D4B"/>
    <w:rsid w:val="006A657B"/>
    <w:rsid w:val="006A7285"/>
    <w:rsid w:val="006B325E"/>
    <w:rsid w:val="006B46CC"/>
    <w:rsid w:val="006C0B23"/>
    <w:rsid w:val="006C21A0"/>
    <w:rsid w:val="006C3146"/>
    <w:rsid w:val="006D1C64"/>
    <w:rsid w:val="006D304F"/>
    <w:rsid w:val="006D33EB"/>
    <w:rsid w:val="006D3AA6"/>
    <w:rsid w:val="006D6CEA"/>
    <w:rsid w:val="006D6F6E"/>
    <w:rsid w:val="006D7E22"/>
    <w:rsid w:val="006F1F04"/>
    <w:rsid w:val="006F4424"/>
    <w:rsid w:val="006F48A4"/>
    <w:rsid w:val="006F6CA0"/>
    <w:rsid w:val="00703DAB"/>
    <w:rsid w:val="00704265"/>
    <w:rsid w:val="00704513"/>
    <w:rsid w:val="00710134"/>
    <w:rsid w:val="00710F23"/>
    <w:rsid w:val="00713A88"/>
    <w:rsid w:val="00715810"/>
    <w:rsid w:val="00716772"/>
    <w:rsid w:val="007201C3"/>
    <w:rsid w:val="00724191"/>
    <w:rsid w:val="00725728"/>
    <w:rsid w:val="00730239"/>
    <w:rsid w:val="007331F7"/>
    <w:rsid w:val="007348E8"/>
    <w:rsid w:val="00737985"/>
    <w:rsid w:val="0074153B"/>
    <w:rsid w:val="00741A6B"/>
    <w:rsid w:val="00742E75"/>
    <w:rsid w:val="0074580D"/>
    <w:rsid w:val="007467A9"/>
    <w:rsid w:val="0074772E"/>
    <w:rsid w:val="00751160"/>
    <w:rsid w:val="00752F54"/>
    <w:rsid w:val="0075300A"/>
    <w:rsid w:val="007544F0"/>
    <w:rsid w:val="00755AF1"/>
    <w:rsid w:val="007562BF"/>
    <w:rsid w:val="007603DE"/>
    <w:rsid w:val="00761C45"/>
    <w:rsid w:val="00761FED"/>
    <w:rsid w:val="007644D1"/>
    <w:rsid w:val="007650A3"/>
    <w:rsid w:val="00766293"/>
    <w:rsid w:val="0077037F"/>
    <w:rsid w:val="007717DB"/>
    <w:rsid w:val="007753CF"/>
    <w:rsid w:val="00785478"/>
    <w:rsid w:val="00791E56"/>
    <w:rsid w:val="007923C0"/>
    <w:rsid w:val="007927C7"/>
    <w:rsid w:val="007A0372"/>
    <w:rsid w:val="007A0C7F"/>
    <w:rsid w:val="007A3560"/>
    <w:rsid w:val="007A61A1"/>
    <w:rsid w:val="007A7721"/>
    <w:rsid w:val="007B0359"/>
    <w:rsid w:val="007B10D2"/>
    <w:rsid w:val="007B365F"/>
    <w:rsid w:val="007B68B0"/>
    <w:rsid w:val="007C0658"/>
    <w:rsid w:val="007C1147"/>
    <w:rsid w:val="007C3A1C"/>
    <w:rsid w:val="007C4888"/>
    <w:rsid w:val="007D6917"/>
    <w:rsid w:val="007D7800"/>
    <w:rsid w:val="007E30EE"/>
    <w:rsid w:val="007E3E70"/>
    <w:rsid w:val="007E79DB"/>
    <w:rsid w:val="007E7D19"/>
    <w:rsid w:val="007F1945"/>
    <w:rsid w:val="007F458A"/>
    <w:rsid w:val="007F4AAA"/>
    <w:rsid w:val="007F5968"/>
    <w:rsid w:val="00802855"/>
    <w:rsid w:val="00806DA3"/>
    <w:rsid w:val="008123A5"/>
    <w:rsid w:val="00813269"/>
    <w:rsid w:val="0081410C"/>
    <w:rsid w:val="00815306"/>
    <w:rsid w:val="00816730"/>
    <w:rsid w:val="00820568"/>
    <w:rsid w:val="00824E36"/>
    <w:rsid w:val="00825D27"/>
    <w:rsid w:val="00834803"/>
    <w:rsid w:val="008349EC"/>
    <w:rsid w:val="00834B83"/>
    <w:rsid w:val="00836222"/>
    <w:rsid w:val="00840D0F"/>
    <w:rsid w:val="0084188E"/>
    <w:rsid w:val="00841AC0"/>
    <w:rsid w:val="00843DD2"/>
    <w:rsid w:val="008451E4"/>
    <w:rsid w:val="0084739E"/>
    <w:rsid w:val="008602BB"/>
    <w:rsid w:val="008666B5"/>
    <w:rsid w:val="00872700"/>
    <w:rsid w:val="00874AFF"/>
    <w:rsid w:val="00875944"/>
    <w:rsid w:val="00875B29"/>
    <w:rsid w:val="00875D69"/>
    <w:rsid w:val="008817E9"/>
    <w:rsid w:val="008854F0"/>
    <w:rsid w:val="00885D34"/>
    <w:rsid w:val="00892FD2"/>
    <w:rsid w:val="0089474B"/>
    <w:rsid w:val="008947D2"/>
    <w:rsid w:val="008956CA"/>
    <w:rsid w:val="008A131C"/>
    <w:rsid w:val="008A4945"/>
    <w:rsid w:val="008A5AF2"/>
    <w:rsid w:val="008A7A30"/>
    <w:rsid w:val="008B1858"/>
    <w:rsid w:val="008B1B1D"/>
    <w:rsid w:val="008B306D"/>
    <w:rsid w:val="008B5FAC"/>
    <w:rsid w:val="008B693A"/>
    <w:rsid w:val="008C1571"/>
    <w:rsid w:val="008C70DE"/>
    <w:rsid w:val="008C710E"/>
    <w:rsid w:val="008D24A9"/>
    <w:rsid w:val="008D37E0"/>
    <w:rsid w:val="008E52C2"/>
    <w:rsid w:val="008E6C45"/>
    <w:rsid w:val="008E7F3C"/>
    <w:rsid w:val="008F043F"/>
    <w:rsid w:val="008F063E"/>
    <w:rsid w:val="008F7170"/>
    <w:rsid w:val="00900382"/>
    <w:rsid w:val="00901A7C"/>
    <w:rsid w:val="00903E58"/>
    <w:rsid w:val="0091002E"/>
    <w:rsid w:val="00910368"/>
    <w:rsid w:val="00912BDB"/>
    <w:rsid w:val="009166FA"/>
    <w:rsid w:val="0091686B"/>
    <w:rsid w:val="00916EAF"/>
    <w:rsid w:val="009203D2"/>
    <w:rsid w:val="00921222"/>
    <w:rsid w:val="009219D9"/>
    <w:rsid w:val="00923C53"/>
    <w:rsid w:val="009244CA"/>
    <w:rsid w:val="009263C9"/>
    <w:rsid w:val="0092777C"/>
    <w:rsid w:val="00930A7C"/>
    <w:rsid w:val="00933203"/>
    <w:rsid w:val="00934CCE"/>
    <w:rsid w:val="0093525B"/>
    <w:rsid w:val="009355B4"/>
    <w:rsid w:val="009355D8"/>
    <w:rsid w:val="00936678"/>
    <w:rsid w:val="00936A2C"/>
    <w:rsid w:val="0094219A"/>
    <w:rsid w:val="00943930"/>
    <w:rsid w:val="009445AA"/>
    <w:rsid w:val="00944978"/>
    <w:rsid w:val="009500B9"/>
    <w:rsid w:val="00953ACA"/>
    <w:rsid w:val="00953FF3"/>
    <w:rsid w:val="00957FEA"/>
    <w:rsid w:val="00960B6F"/>
    <w:rsid w:val="00962DFF"/>
    <w:rsid w:val="00972AFE"/>
    <w:rsid w:val="00974EEB"/>
    <w:rsid w:val="00975EF9"/>
    <w:rsid w:val="009772F0"/>
    <w:rsid w:val="0098212D"/>
    <w:rsid w:val="0098249D"/>
    <w:rsid w:val="00983DAD"/>
    <w:rsid w:val="00985B0C"/>
    <w:rsid w:val="0098784E"/>
    <w:rsid w:val="00991711"/>
    <w:rsid w:val="009A25EF"/>
    <w:rsid w:val="009A5061"/>
    <w:rsid w:val="009B052D"/>
    <w:rsid w:val="009B3E9D"/>
    <w:rsid w:val="009B4B89"/>
    <w:rsid w:val="009B4C5B"/>
    <w:rsid w:val="009B5442"/>
    <w:rsid w:val="009B6436"/>
    <w:rsid w:val="009C287F"/>
    <w:rsid w:val="009C777C"/>
    <w:rsid w:val="009D7373"/>
    <w:rsid w:val="009D7E1E"/>
    <w:rsid w:val="009E1D32"/>
    <w:rsid w:val="009E31C6"/>
    <w:rsid w:val="009E6524"/>
    <w:rsid w:val="009F08B2"/>
    <w:rsid w:val="009F2EB3"/>
    <w:rsid w:val="009F5286"/>
    <w:rsid w:val="009F7905"/>
    <w:rsid w:val="009F7C85"/>
    <w:rsid w:val="00A006FE"/>
    <w:rsid w:val="00A00DB4"/>
    <w:rsid w:val="00A06D0F"/>
    <w:rsid w:val="00A07D40"/>
    <w:rsid w:val="00A1035E"/>
    <w:rsid w:val="00A1064B"/>
    <w:rsid w:val="00A10883"/>
    <w:rsid w:val="00A12FC9"/>
    <w:rsid w:val="00A14087"/>
    <w:rsid w:val="00A20082"/>
    <w:rsid w:val="00A21979"/>
    <w:rsid w:val="00A21F08"/>
    <w:rsid w:val="00A223DF"/>
    <w:rsid w:val="00A224C6"/>
    <w:rsid w:val="00A2327E"/>
    <w:rsid w:val="00A24636"/>
    <w:rsid w:val="00A26740"/>
    <w:rsid w:val="00A279A8"/>
    <w:rsid w:val="00A27FB2"/>
    <w:rsid w:val="00A310DB"/>
    <w:rsid w:val="00A31289"/>
    <w:rsid w:val="00A32227"/>
    <w:rsid w:val="00A3517B"/>
    <w:rsid w:val="00A376EB"/>
    <w:rsid w:val="00A37B1B"/>
    <w:rsid w:val="00A41B2C"/>
    <w:rsid w:val="00A4396D"/>
    <w:rsid w:val="00A465D5"/>
    <w:rsid w:val="00A51827"/>
    <w:rsid w:val="00A54983"/>
    <w:rsid w:val="00A54AB1"/>
    <w:rsid w:val="00A56F0F"/>
    <w:rsid w:val="00A60B95"/>
    <w:rsid w:val="00A63AD7"/>
    <w:rsid w:val="00A642BD"/>
    <w:rsid w:val="00A65D1F"/>
    <w:rsid w:val="00A67721"/>
    <w:rsid w:val="00A71A50"/>
    <w:rsid w:val="00A71F05"/>
    <w:rsid w:val="00A74197"/>
    <w:rsid w:val="00A8144F"/>
    <w:rsid w:val="00A82D19"/>
    <w:rsid w:val="00A86970"/>
    <w:rsid w:val="00A934E1"/>
    <w:rsid w:val="00A94A1B"/>
    <w:rsid w:val="00A94B15"/>
    <w:rsid w:val="00A9501A"/>
    <w:rsid w:val="00A9520B"/>
    <w:rsid w:val="00AA2077"/>
    <w:rsid w:val="00AA3283"/>
    <w:rsid w:val="00AA781A"/>
    <w:rsid w:val="00AB127B"/>
    <w:rsid w:val="00AB18EF"/>
    <w:rsid w:val="00AB2C3C"/>
    <w:rsid w:val="00AB39B0"/>
    <w:rsid w:val="00AC1C28"/>
    <w:rsid w:val="00AC7B28"/>
    <w:rsid w:val="00AC7C6C"/>
    <w:rsid w:val="00AD2ABD"/>
    <w:rsid w:val="00AD33E7"/>
    <w:rsid w:val="00AD3C8A"/>
    <w:rsid w:val="00AD6B7A"/>
    <w:rsid w:val="00AD7150"/>
    <w:rsid w:val="00AE12C2"/>
    <w:rsid w:val="00AE2143"/>
    <w:rsid w:val="00AE2B7B"/>
    <w:rsid w:val="00AE744F"/>
    <w:rsid w:val="00AF6029"/>
    <w:rsid w:val="00B034D7"/>
    <w:rsid w:val="00B04F6C"/>
    <w:rsid w:val="00B12A94"/>
    <w:rsid w:val="00B14B97"/>
    <w:rsid w:val="00B2380B"/>
    <w:rsid w:val="00B25258"/>
    <w:rsid w:val="00B25DC2"/>
    <w:rsid w:val="00B2675A"/>
    <w:rsid w:val="00B26A9F"/>
    <w:rsid w:val="00B27EC7"/>
    <w:rsid w:val="00B30BE6"/>
    <w:rsid w:val="00B34BD2"/>
    <w:rsid w:val="00B35F47"/>
    <w:rsid w:val="00B3610A"/>
    <w:rsid w:val="00B365C9"/>
    <w:rsid w:val="00B405FC"/>
    <w:rsid w:val="00B40B62"/>
    <w:rsid w:val="00B500B0"/>
    <w:rsid w:val="00B51141"/>
    <w:rsid w:val="00B51CB4"/>
    <w:rsid w:val="00B52CAB"/>
    <w:rsid w:val="00B55539"/>
    <w:rsid w:val="00B572ED"/>
    <w:rsid w:val="00B603E0"/>
    <w:rsid w:val="00B655C0"/>
    <w:rsid w:val="00B67E45"/>
    <w:rsid w:val="00B73EC0"/>
    <w:rsid w:val="00B824A1"/>
    <w:rsid w:val="00B83C09"/>
    <w:rsid w:val="00B9052F"/>
    <w:rsid w:val="00B90A88"/>
    <w:rsid w:val="00B91CDF"/>
    <w:rsid w:val="00B932B0"/>
    <w:rsid w:val="00B95ABB"/>
    <w:rsid w:val="00BA0875"/>
    <w:rsid w:val="00BA292E"/>
    <w:rsid w:val="00BA5E7F"/>
    <w:rsid w:val="00BA76BF"/>
    <w:rsid w:val="00BB7CC6"/>
    <w:rsid w:val="00BC0E4E"/>
    <w:rsid w:val="00BC43CB"/>
    <w:rsid w:val="00BC62D2"/>
    <w:rsid w:val="00BD2E5F"/>
    <w:rsid w:val="00BD3FAF"/>
    <w:rsid w:val="00BD5D1C"/>
    <w:rsid w:val="00BD71FF"/>
    <w:rsid w:val="00BE65C6"/>
    <w:rsid w:val="00BE7250"/>
    <w:rsid w:val="00BF012E"/>
    <w:rsid w:val="00BF159D"/>
    <w:rsid w:val="00BF15EE"/>
    <w:rsid w:val="00BF1623"/>
    <w:rsid w:val="00BF34C0"/>
    <w:rsid w:val="00BF490A"/>
    <w:rsid w:val="00BF5922"/>
    <w:rsid w:val="00BF5DD8"/>
    <w:rsid w:val="00BF754F"/>
    <w:rsid w:val="00C00DC6"/>
    <w:rsid w:val="00C05742"/>
    <w:rsid w:val="00C0629C"/>
    <w:rsid w:val="00C06DAA"/>
    <w:rsid w:val="00C108C2"/>
    <w:rsid w:val="00C1205F"/>
    <w:rsid w:val="00C14305"/>
    <w:rsid w:val="00C151B6"/>
    <w:rsid w:val="00C21601"/>
    <w:rsid w:val="00C21F05"/>
    <w:rsid w:val="00C222FE"/>
    <w:rsid w:val="00C234C3"/>
    <w:rsid w:val="00C24F17"/>
    <w:rsid w:val="00C24F9A"/>
    <w:rsid w:val="00C251A1"/>
    <w:rsid w:val="00C27B85"/>
    <w:rsid w:val="00C27C59"/>
    <w:rsid w:val="00C27F80"/>
    <w:rsid w:val="00C3352B"/>
    <w:rsid w:val="00C33F02"/>
    <w:rsid w:val="00C344BF"/>
    <w:rsid w:val="00C37486"/>
    <w:rsid w:val="00C37926"/>
    <w:rsid w:val="00C41F98"/>
    <w:rsid w:val="00C424E3"/>
    <w:rsid w:val="00C452F9"/>
    <w:rsid w:val="00C509A0"/>
    <w:rsid w:val="00C50E52"/>
    <w:rsid w:val="00C51DB7"/>
    <w:rsid w:val="00C53974"/>
    <w:rsid w:val="00C55EF6"/>
    <w:rsid w:val="00C61C0D"/>
    <w:rsid w:val="00C65119"/>
    <w:rsid w:val="00C710BE"/>
    <w:rsid w:val="00C75781"/>
    <w:rsid w:val="00C75A88"/>
    <w:rsid w:val="00C77BC2"/>
    <w:rsid w:val="00C801C3"/>
    <w:rsid w:val="00C86CF0"/>
    <w:rsid w:val="00C87A1D"/>
    <w:rsid w:val="00C912D8"/>
    <w:rsid w:val="00C97926"/>
    <w:rsid w:val="00C97F84"/>
    <w:rsid w:val="00CA093B"/>
    <w:rsid w:val="00CA41C2"/>
    <w:rsid w:val="00CB13B4"/>
    <w:rsid w:val="00CB3564"/>
    <w:rsid w:val="00CC06D9"/>
    <w:rsid w:val="00CC32C1"/>
    <w:rsid w:val="00CC32EE"/>
    <w:rsid w:val="00CD5343"/>
    <w:rsid w:val="00CD66CA"/>
    <w:rsid w:val="00CE2EB8"/>
    <w:rsid w:val="00CE3350"/>
    <w:rsid w:val="00CF20DE"/>
    <w:rsid w:val="00CF2CD2"/>
    <w:rsid w:val="00CF2FE7"/>
    <w:rsid w:val="00CF3B07"/>
    <w:rsid w:val="00CF77C2"/>
    <w:rsid w:val="00D01DE8"/>
    <w:rsid w:val="00D13760"/>
    <w:rsid w:val="00D156E1"/>
    <w:rsid w:val="00D17331"/>
    <w:rsid w:val="00D21F1C"/>
    <w:rsid w:val="00D228A7"/>
    <w:rsid w:val="00D25DCC"/>
    <w:rsid w:val="00D274B7"/>
    <w:rsid w:val="00D33B0C"/>
    <w:rsid w:val="00D36D06"/>
    <w:rsid w:val="00D45B70"/>
    <w:rsid w:val="00D4631E"/>
    <w:rsid w:val="00D471B1"/>
    <w:rsid w:val="00D47CF6"/>
    <w:rsid w:val="00D515E9"/>
    <w:rsid w:val="00D52F3D"/>
    <w:rsid w:val="00D54784"/>
    <w:rsid w:val="00D551D1"/>
    <w:rsid w:val="00D551D9"/>
    <w:rsid w:val="00D55BB3"/>
    <w:rsid w:val="00D577D2"/>
    <w:rsid w:val="00D605BE"/>
    <w:rsid w:val="00D624DD"/>
    <w:rsid w:val="00D62698"/>
    <w:rsid w:val="00D71AF6"/>
    <w:rsid w:val="00D72AD7"/>
    <w:rsid w:val="00D72F10"/>
    <w:rsid w:val="00D72F29"/>
    <w:rsid w:val="00D75C45"/>
    <w:rsid w:val="00D774FC"/>
    <w:rsid w:val="00D830F5"/>
    <w:rsid w:val="00D835EF"/>
    <w:rsid w:val="00D842B9"/>
    <w:rsid w:val="00D85551"/>
    <w:rsid w:val="00D901F5"/>
    <w:rsid w:val="00D93B0F"/>
    <w:rsid w:val="00D976B5"/>
    <w:rsid w:val="00DA0B0E"/>
    <w:rsid w:val="00DA2205"/>
    <w:rsid w:val="00DA33B6"/>
    <w:rsid w:val="00DA43A1"/>
    <w:rsid w:val="00DA5C34"/>
    <w:rsid w:val="00DA6950"/>
    <w:rsid w:val="00DB4E20"/>
    <w:rsid w:val="00DB59C8"/>
    <w:rsid w:val="00DB6820"/>
    <w:rsid w:val="00DC18AA"/>
    <w:rsid w:val="00DC2521"/>
    <w:rsid w:val="00DD1428"/>
    <w:rsid w:val="00DD7E26"/>
    <w:rsid w:val="00DE3761"/>
    <w:rsid w:val="00DE692D"/>
    <w:rsid w:val="00DF2476"/>
    <w:rsid w:val="00DF2D55"/>
    <w:rsid w:val="00DF4465"/>
    <w:rsid w:val="00DF4A98"/>
    <w:rsid w:val="00DF4C19"/>
    <w:rsid w:val="00DF7885"/>
    <w:rsid w:val="00E03D1F"/>
    <w:rsid w:val="00E1046D"/>
    <w:rsid w:val="00E14164"/>
    <w:rsid w:val="00E16FE5"/>
    <w:rsid w:val="00E20262"/>
    <w:rsid w:val="00E23EBA"/>
    <w:rsid w:val="00E25E7C"/>
    <w:rsid w:val="00E27A8A"/>
    <w:rsid w:val="00E31F18"/>
    <w:rsid w:val="00E37D77"/>
    <w:rsid w:val="00E449B6"/>
    <w:rsid w:val="00E503FC"/>
    <w:rsid w:val="00E55F7B"/>
    <w:rsid w:val="00E5613A"/>
    <w:rsid w:val="00E638A1"/>
    <w:rsid w:val="00E67CD3"/>
    <w:rsid w:val="00E67DA4"/>
    <w:rsid w:val="00E73FF6"/>
    <w:rsid w:val="00E742F3"/>
    <w:rsid w:val="00E804FB"/>
    <w:rsid w:val="00E80794"/>
    <w:rsid w:val="00E82B6E"/>
    <w:rsid w:val="00E85191"/>
    <w:rsid w:val="00E90E74"/>
    <w:rsid w:val="00E952C1"/>
    <w:rsid w:val="00EA1AB4"/>
    <w:rsid w:val="00EA266F"/>
    <w:rsid w:val="00EA6BA2"/>
    <w:rsid w:val="00EB1B25"/>
    <w:rsid w:val="00EB3079"/>
    <w:rsid w:val="00EB4BAB"/>
    <w:rsid w:val="00EB6C37"/>
    <w:rsid w:val="00EB7C3F"/>
    <w:rsid w:val="00EC06AB"/>
    <w:rsid w:val="00EC0A25"/>
    <w:rsid w:val="00EC5DAD"/>
    <w:rsid w:val="00EC62F5"/>
    <w:rsid w:val="00ED2B30"/>
    <w:rsid w:val="00ED37FC"/>
    <w:rsid w:val="00ED3839"/>
    <w:rsid w:val="00ED49C0"/>
    <w:rsid w:val="00ED6995"/>
    <w:rsid w:val="00EE2FF2"/>
    <w:rsid w:val="00EE48C3"/>
    <w:rsid w:val="00EE5501"/>
    <w:rsid w:val="00EE6EF3"/>
    <w:rsid w:val="00EF33DB"/>
    <w:rsid w:val="00EF37BA"/>
    <w:rsid w:val="00EF403E"/>
    <w:rsid w:val="00EF5822"/>
    <w:rsid w:val="00EF6AB9"/>
    <w:rsid w:val="00F01EF9"/>
    <w:rsid w:val="00F06D9B"/>
    <w:rsid w:val="00F104D1"/>
    <w:rsid w:val="00F105F3"/>
    <w:rsid w:val="00F10D05"/>
    <w:rsid w:val="00F11919"/>
    <w:rsid w:val="00F125EA"/>
    <w:rsid w:val="00F13CAF"/>
    <w:rsid w:val="00F151EA"/>
    <w:rsid w:val="00F153A9"/>
    <w:rsid w:val="00F1621C"/>
    <w:rsid w:val="00F17D04"/>
    <w:rsid w:val="00F31B6B"/>
    <w:rsid w:val="00F33E74"/>
    <w:rsid w:val="00F34059"/>
    <w:rsid w:val="00F44C7D"/>
    <w:rsid w:val="00F45C77"/>
    <w:rsid w:val="00F45E90"/>
    <w:rsid w:val="00F50EE2"/>
    <w:rsid w:val="00F52ACF"/>
    <w:rsid w:val="00F53475"/>
    <w:rsid w:val="00F5506E"/>
    <w:rsid w:val="00F56F4A"/>
    <w:rsid w:val="00F57870"/>
    <w:rsid w:val="00F57F68"/>
    <w:rsid w:val="00F642F0"/>
    <w:rsid w:val="00F677F5"/>
    <w:rsid w:val="00F70A10"/>
    <w:rsid w:val="00F76ACB"/>
    <w:rsid w:val="00F77DAA"/>
    <w:rsid w:val="00F80D67"/>
    <w:rsid w:val="00F9328F"/>
    <w:rsid w:val="00F93D22"/>
    <w:rsid w:val="00F975F6"/>
    <w:rsid w:val="00FA1C82"/>
    <w:rsid w:val="00FA75FB"/>
    <w:rsid w:val="00FB0104"/>
    <w:rsid w:val="00FB1E82"/>
    <w:rsid w:val="00FB363C"/>
    <w:rsid w:val="00FB5074"/>
    <w:rsid w:val="00FC2B19"/>
    <w:rsid w:val="00FC34D5"/>
    <w:rsid w:val="00FC4916"/>
    <w:rsid w:val="00FC5A95"/>
    <w:rsid w:val="00FC5DC4"/>
    <w:rsid w:val="00FD0EA4"/>
    <w:rsid w:val="00FD684B"/>
    <w:rsid w:val="00FE00D7"/>
    <w:rsid w:val="00FE0D81"/>
    <w:rsid w:val="00FE1C87"/>
    <w:rsid w:val="00FE1DFF"/>
    <w:rsid w:val="00FE6C2E"/>
    <w:rsid w:val="00FE715D"/>
    <w:rsid w:val="00FF30CC"/>
    <w:rsid w:val="00FF3CE3"/>
    <w:rsid w:val="00FF6B2B"/>
    <w:rsid w:val="00FF79EF"/>
    <w:rsid w:val="00FF7C1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1B3945"/>
  <w15:chartTrackingRefBased/>
  <w15:docId w15:val="{D3EC1907-50F9-40A7-81DF-DE395A6C1F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DB59C8"/>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BF15E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515AC"/>
    <w:pPr>
      <w:ind w:left="720"/>
      <w:contextualSpacing/>
    </w:pPr>
  </w:style>
  <w:style w:type="paragraph" w:styleId="Header">
    <w:name w:val="header"/>
    <w:basedOn w:val="Normal"/>
    <w:link w:val="HeaderChar"/>
    <w:uiPriority w:val="99"/>
    <w:unhideWhenUsed/>
    <w:rsid w:val="003A21DA"/>
    <w:pPr>
      <w:tabs>
        <w:tab w:val="center" w:pos="4680"/>
        <w:tab w:val="right" w:pos="9360"/>
      </w:tabs>
      <w:spacing w:after="0" w:line="240" w:lineRule="auto"/>
    </w:pPr>
  </w:style>
  <w:style w:type="character" w:customStyle="1" w:styleId="HeaderChar">
    <w:name w:val="Header Char"/>
    <w:basedOn w:val="DefaultParagraphFont"/>
    <w:link w:val="Header"/>
    <w:uiPriority w:val="99"/>
    <w:rsid w:val="003A21DA"/>
  </w:style>
  <w:style w:type="paragraph" w:styleId="Footer">
    <w:name w:val="footer"/>
    <w:basedOn w:val="Normal"/>
    <w:link w:val="FooterChar"/>
    <w:uiPriority w:val="99"/>
    <w:unhideWhenUsed/>
    <w:rsid w:val="003A21DA"/>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21DA"/>
  </w:style>
  <w:style w:type="paragraph" w:styleId="Revision">
    <w:name w:val="Revision"/>
    <w:hidden/>
    <w:uiPriority w:val="99"/>
    <w:semiHidden/>
    <w:rsid w:val="005B4D22"/>
    <w:pPr>
      <w:spacing w:after="0" w:line="240" w:lineRule="auto"/>
    </w:pPr>
  </w:style>
  <w:style w:type="character" w:styleId="Hyperlink">
    <w:name w:val="Hyperlink"/>
    <w:basedOn w:val="DefaultParagraphFont"/>
    <w:uiPriority w:val="99"/>
    <w:unhideWhenUsed/>
    <w:rsid w:val="00CD5343"/>
    <w:rPr>
      <w:color w:val="0563C1" w:themeColor="hyperlink"/>
      <w:u w:val="single"/>
    </w:rPr>
  </w:style>
  <w:style w:type="paragraph" w:styleId="FootnoteText">
    <w:name w:val="footnote text"/>
    <w:aliases w:val=" Car,Car, Char,Char,5_G,stile 1,Char Char Char Char,Char Char Char,Char Char Char Char Char,Char Char Char Char Char Char Char Char Char,Char Char Char Char Char Char Char Char Char Char Char Char Char,نص حاشية سفلية Char Char Char Char"/>
    <w:basedOn w:val="Normal"/>
    <w:link w:val="FootnoteTextChar"/>
    <w:uiPriority w:val="99"/>
    <w:unhideWhenUsed/>
    <w:qFormat/>
    <w:rsid w:val="00CD5343"/>
    <w:pPr>
      <w:spacing w:after="0" w:line="240" w:lineRule="auto"/>
    </w:pPr>
    <w:rPr>
      <w:sz w:val="20"/>
      <w:szCs w:val="20"/>
    </w:rPr>
  </w:style>
  <w:style w:type="character" w:customStyle="1" w:styleId="FootnoteTextChar">
    <w:name w:val="Footnote Text Char"/>
    <w:aliases w:val=" Car Char,Car Char, Char Char,Char Char,5_G Char,stile 1 Char,Char Char Char Char Char1,Char Char Char Char1,Char Char Char Char Char Char,Char Char Char Char Char Char Char Char Char Char,نص حاشية سفلية Char Char Char Char Char"/>
    <w:basedOn w:val="DefaultParagraphFont"/>
    <w:link w:val="FootnoteText"/>
    <w:uiPriority w:val="99"/>
    <w:rsid w:val="00CD5343"/>
    <w:rPr>
      <w:sz w:val="20"/>
      <w:szCs w:val="20"/>
    </w:rPr>
  </w:style>
  <w:style w:type="character" w:styleId="FootnoteReference">
    <w:name w:val="footnote reference"/>
    <w:aliases w:val="عادي1,Footnote Reference1,Footnote Reference2,Footnote Reference11,Footnote Reference21,Footnote Reference12,Footnote Reference22,Footnote Reference13,Footnote Reference23,Footnote Reference111,Footnote Reference211,4_GA,4_G"/>
    <w:basedOn w:val="DefaultParagraphFont"/>
    <w:uiPriority w:val="99"/>
    <w:unhideWhenUsed/>
    <w:qFormat/>
    <w:rsid w:val="00CD5343"/>
    <w:rPr>
      <w:vertAlign w:val="superscript"/>
    </w:rPr>
  </w:style>
  <w:style w:type="character" w:customStyle="1" w:styleId="Heading1Char">
    <w:name w:val="Heading 1 Char"/>
    <w:basedOn w:val="DefaultParagraphFont"/>
    <w:link w:val="Heading1"/>
    <w:uiPriority w:val="9"/>
    <w:rsid w:val="00DB59C8"/>
    <w:rPr>
      <w:rFonts w:ascii="Times New Roman" w:eastAsia="Times New Roman" w:hAnsi="Times New Roman" w:cs="Times New Roman"/>
      <w:b/>
      <w:bCs/>
      <w:kern w:val="36"/>
      <w:sz w:val="48"/>
      <w:szCs w:val="48"/>
    </w:rPr>
  </w:style>
  <w:style w:type="paragraph" w:styleId="NoSpacing">
    <w:name w:val="No Spacing"/>
    <w:uiPriority w:val="1"/>
    <w:qFormat/>
    <w:rsid w:val="00DB59C8"/>
    <w:pPr>
      <w:spacing w:after="0" w:line="240" w:lineRule="auto"/>
    </w:pPr>
  </w:style>
  <w:style w:type="character" w:styleId="Strong">
    <w:name w:val="Strong"/>
    <w:basedOn w:val="DefaultParagraphFont"/>
    <w:uiPriority w:val="22"/>
    <w:qFormat/>
    <w:rsid w:val="00144CF8"/>
    <w:rPr>
      <w:b/>
      <w:bCs/>
    </w:rPr>
  </w:style>
  <w:style w:type="character" w:customStyle="1" w:styleId="Heading2Char">
    <w:name w:val="Heading 2 Char"/>
    <w:basedOn w:val="DefaultParagraphFont"/>
    <w:link w:val="Heading2"/>
    <w:uiPriority w:val="9"/>
    <w:semiHidden/>
    <w:rsid w:val="00BF15EE"/>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semiHidden/>
    <w:unhideWhenUsed/>
    <w:rsid w:val="003D7663"/>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z-TopofForm">
    <w:name w:val="HTML Top of Form"/>
    <w:basedOn w:val="Normal"/>
    <w:next w:val="Normal"/>
    <w:link w:val="z-TopofFormChar"/>
    <w:hidden/>
    <w:uiPriority w:val="99"/>
    <w:semiHidden/>
    <w:unhideWhenUsed/>
    <w:rsid w:val="003D7663"/>
    <w:pPr>
      <w:pBdr>
        <w:bottom w:val="single" w:sz="6" w:space="1" w:color="auto"/>
      </w:pBdr>
      <w:spacing w:after="0" w:line="240" w:lineRule="auto"/>
      <w:jc w:val="center"/>
    </w:pPr>
    <w:rPr>
      <w:rFonts w:ascii="Arial" w:eastAsia="Times New Roman" w:hAnsi="Arial" w:cs="Arial"/>
      <w:vanish/>
      <w:sz w:val="16"/>
      <w:szCs w:val="16"/>
      <w:lang w:val="en-GB" w:eastAsia="en-GB"/>
    </w:rPr>
  </w:style>
  <w:style w:type="character" w:customStyle="1" w:styleId="z-TopofFormChar">
    <w:name w:val="z-Top of Form Char"/>
    <w:basedOn w:val="DefaultParagraphFont"/>
    <w:link w:val="z-TopofForm"/>
    <w:uiPriority w:val="99"/>
    <w:semiHidden/>
    <w:rsid w:val="003D7663"/>
    <w:rPr>
      <w:rFonts w:ascii="Arial" w:eastAsia="Times New Roman" w:hAnsi="Arial" w:cs="Arial"/>
      <w:vanish/>
      <w:sz w:val="16"/>
      <w:szCs w:val="16"/>
      <w:lang w:val="en-GB" w:eastAsia="en-GB"/>
    </w:rPr>
  </w:style>
  <w:style w:type="paragraph" w:styleId="BalloonText">
    <w:name w:val="Balloon Text"/>
    <w:basedOn w:val="Normal"/>
    <w:link w:val="BalloonTextChar"/>
    <w:uiPriority w:val="99"/>
    <w:semiHidden/>
    <w:unhideWhenUsed/>
    <w:rsid w:val="005A42B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A42B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92309">
      <w:bodyDiv w:val="1"/>
      <w:marLeft w:val="0"/>
      <w:marRight w:val="0"/>
      <w:marTop w:val="0"/>
      <w:marBottom w:val="0"/>
      <w:divBdr>
        <w:top w:val="none" w:sz="0" w:space="0" w:color="auto"/>
        <w:left w:val="none" w:sz="0" w:space="0" w:color="auto"/>
        <w:bottom w:val="none" w:sz="0" w:space="0" w:color="auto"/>
        <w:right w:val="none" w:sz="0" w:space="0" w:color="auto"/>
      </w:divBdr>
      <w:divsChild>
        <w:div w:id="1087194751">
          <w:marLeft w:val="0"/>
          <w:marRight w:val="0"/>
          <w:marTop w:val="0"/>
          <w:marBottom w:val="0"/>
          <w:divBdr>
            <w:top w:val="none" w:sz="0" w:space="0" w:color="auto"/>
            <w:left w:val="none" w:sz="0" w:space="0" w:color="auto"/>
            <w:bottom w:val="none" w:sz="0" w:space="0" w:color="auto"/>
            <w:right w:val="none" w:sz="0" w:space="0" w:color="auto"/>
          </w:divBdr>
        </w:div>
        <w:div w:id="1978798787">
          <w:marLeft w:val="0"/>
          <w:marRight w:val="0"/>
          <w:marTop w:val="0"/>
          <w:marBottom w:val="0"/>
          <w:divBdr>
            <w:top w:val="none" w:sz="0" w:space="0" w:color="auto"/>
            <w:left w:val="none" w:sz="0" w:space="0" w:color="auto"/>
            <w:bottom w:val="none" w:sz="0" w:space="0" w:color="auto"/>
            <w:right w:val="none" w:sz="0" w:space="0" w:color="auto"/>
          </w:divBdr>
        </w:div>
      </w:divsChild>
    </w:div>
    <w:div w:id="48693388">
      <w:bodyDiv w:val="1"/>
      <w:marLeft w:val="0"/>
      <w:marRight w:val="0"/>
      <w:marTop w:val="0"/>
      <w:marBottom w:val="0"/>
      <w:divBdr>
        <w:top w:val="none" w:sz="0" w:space="0" w:color="auto"/>
        <w:left w:val="none" w:sz="0" w:space="0" w:color="auto"/>
        <w:bottom w:val="none" w:sz="0" w:space="0" w:color="auto"/>
        <w:right w:val="none" w:sz="0" w:space="0" w:color="auto"/>
      </w:divBdr>
      <w:divsChild>
        <w:div w:id="1713262856">
          <w:marLeft w:val="0"/>
          <w:marRight w:val="0"/>
          <w:marTop w:val="0"/>
          <w:marBottom w:val="0"/>
          <w:divBdr>
            <w:top w:val="single" w:sz="2" w:space="0" w:color="D9D9E3"/>
            <w:left w:val="single" w:sz="2" w:space="0" w:color="D9D9E3"/>
            <w:bottom w:val="single" w:sz="2" w:space="0" w:color="D9D9E3"/>
            <w:right w:val="single" w:sz="2" w:space="0" w:color="D9D9E3"/>
          </w:divBdr>
          <w:divsChild>
            <w:div w:id="1539902124">
              <w:marLeft w:val="0"/>
              <w:marRight w:val="0"/>
              <w:marTop w:val="0"/>
              <w:marBottom w:val="0"/>
              <w:divBdr>
                <w:top w:val="single" w:sz="2" w:space="0" w:color="D9D9E3"/>
                <w:left w:val="single" w:sz="2" w:space="0" w:color="D9D9E3"/>
                <w:bottom w:val="single" w:sz="2" w:space="0" w:color="D9D9E3"/>
                <w:right w:val="single" w:sz="2" w:space="0" w:color="D9D9E3"/>
              </w:divBdr>
              <w:divsChild>
                <w:div w:id="1381396587">
                  <w:marLeft w:val="0"/>
                  <w:marRight w:val="0"/>
                  <w:marTop w:val="0"/>
                  <w:marBottom w:val="0"/>
                  <w:divBdr>
                    <w:top w:val="single" w:sz="2" w:space="0" w:color="D9D9E3"/>
                    <w:left w:val="single" w:sz="2" w:space="0" w:color="D9D9E3"/>
                    <w:bottom w:val="single" w:sz="2" w:space="0" w:color="D9D9E3"/>
                    <w:right w:val="single" w:sz="2" w:space="0" w:color="D9D9E3"/>
                  </w:divBdr>
                  <w:divsChild>
                    <w:div w:id="265237393">
                      <w:marLeft w:val="0"/>
                      <w:marRight w:val="0"/>
                      <w:marTop w:val="0"/>
                      <w:marBottom w:val="0"/>
                      <w:divBdr>
                        <w:top w:val="single" w:sz="2" w:space="0" w:color="D9D9E3"/>
                        <w:left w:val="single" w:sz="2" w:space="0" w:color="D9D9E3"/>
                        <w:bottom w:val="single" w:sz="2" w:space="0" w:color="D9D9E3"/>
                        <w:right w:val="single" w:sz="2" w:space="0" w:color="D9D9E3"/>
                      </w:divBdr>
                      <w:divsChild>
                        <w:div w:id="1870413742">
                          <w:marLeft w:val="0"/>
                          <w:marRight w:val="0"/>
                          <w:marTop w:val="0"/>
                          <w:marBottom w:val="0"/>
                          <w:divBdr>
                            <w:top w:val="single" w:sz="2" w:space="0" w:color="auto"/>
                            <w:left w:val="single" w:sz="2" w:space="0" w:color="auto"/>
                            <w:bottom w:val="single" w:sz="6" w:space="0" w:color="auto"/>
                            <w:right w:val="single" w:sz="2" w:space="0" w:color="auto"/>
                          </w:divBdr>
                          <w:divsChild>
                            <w:div w:id="1252080250">
                              <w:marLeft w:val="0"/>
                              <w:marRight w:val="0"/>
                              <w:marTop w:val="100"/>
                              <w:marBottom w:val="100"/>
                              <w:divBdr>
                                <w:top w:val="single" w:sz="2" w:space="0" w:color="D9D9E3"/>
                                <w:left w:val="single" w:sz="2" w:space="0" w:color="D9D9E3"/>
                                <w:bottom w:val="single" w:sz="2" w:space="0" w:color="D9D9E3"/>
                                <w:right w:val="single" w:sz="2" w:space="0" w:color="D9D9E3"/>
                              </w:divBdr>
                              <w:divsChild>
                                <w:div w:id="1809585202">
                                  <w:marLeft w:val="0"/>
                                  <w:marRight w:val="0"/>
                                  <w:marTop w:val="0"/>
                                  <w:marBottom w:val="0"/>
                                  <w:divBdr>
                                    <w:top w:val="single" w:sz="2" w:space="0" w:color="D9D9E3"/>
                                    <w:left w:val="single" w:sz="2" w:space="0" w:color="D9D9E3"/>
                                    <w:bottom w:val="single" w:sz="2" w:space="0" w:color="D9D9E3"/>
                                    <w:right w:val="single" w:sz="2" w:space="0" w:color="D9D9E3"/>
                                  </w:divBdr>
                                  <w:divsChild>
                                    <w:div w:id="1469128906">
                                      <w:marLeft w:val="0"/>
                                      <w:marRight w:val="0"/>
                                      <w:marTop w:val="0"/>
                                      <w:marBottom w:val="0"/>
                                      <w:divBdr>
                                        <w:top w:val="single" w:sz="2" w:space="0" w:color="D9D9E3"/>
                                        <w:left w:val="single" w:sz="2" w:space="0" w:color="D9D9E3"/>
                                        <w:bottom w:val="single" w:sz="2" w:space="0" w:color="D9D9E3"/>
                                        <w:right w:val="single" w:sz="2" w:space="0" w:color="D9D9E3"/>
                                      </w:divBdr>
                                      <w:divsChild>
                                        <w:div w:id="212666147">
                                          <w:marLeft w:val="0"/>
                                          <w:marRight w:val="0"/>
                                          <w:marTop w:val="0"/>
                                          <w:marBottom w:val="0"/>
                                          <w:divBdr>
                                            <w:top w:val="single" w:sz="2" w:space="0" w:color="D9D9E3"/>
                                            <w:left w:val="single" w:sz="2" w:space="0" w:color="D9D9E3"/>
                                            <w:bottom w:val="single" w:sz="2" w:space="0" w:color="D9D9E3"/>
                                            <w:right w:val="single" w:sz="2" w:space="0" w:color="D9D9E3"/>
                                          </w:divBdr>
                                          <w:divsChild>
                                            <w:div w:id="119002510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862786088">
          <w:marLeft w:val="0"/>
          <w:marRight w:val="0"/>
          <w:marTop w:val="0"/>
          <w:marBottom w:val="0"/>
          <w:divBdr>
            <w:top w:val="none" w:sz="0" w:space="0" w:color="auto"/>
            <w:left w:val="none" w:sz="0" w:space="0" w:color="auto"/>
            <w:bottom w:val="none" w:sz="0" w:space="0" w:color="auto"/>
            <w:right w:val="none" w:sz="0" w:space="0" w:color="auto"/>
          </w:divBdr>
          <w:divsChild>
            <w:div w:id="442115993">
              <w:marLeft w:val="0"/>
              <w:marRight w:val="0"/>
              <w:marTop w:val="0"/>
              <w:marBottom w:val="0"/>
              <w:divBdr>
                <w:top w:val="single" w:sz="2" w:space="0" w:color="D9D9E3"/>
                <w:left w:val="single" w:sz="2" w:space="0" w:color="D9D9E3"/>
                <w:bottom w:val="single" w:sz="2" w:space="0" w:color="D9D9E3"/>
                <w:right w:val="single" w:sz="2" w:space="0" w:color="D9D9E3"/>
              </w:divBdr>
              <w:divsChild>
                <w:div w:id="1870143601">
                  <w:marLeft w:val="0"/>
                  <w:marRight w:val="0"/>
                  <w:marTop w:val="0"/>
                  <w:marBottom w:val="0"/>
                  <w:divBdr>
                    <w:top w:val="single" w:sz="2" w:space="0" w:color="D9D9E3"/>
                    <w:left w:val="single" w:sz="2" w:space="0" w:color="D9D9E3"/>
                    <w:bottom w:val="single" w:sz="2" w:space="0" w:color="D9D9E3"/>
                    <w:right w:val="single" w:sz="2" w:space="0" w:color="D9D9E3"/>
                  </w:divBdr>
                  <w:divsChild>
                    <w:div w:id="1606307625">
                      <w:marLeft w:val="0"/>
                      <w:marRight w:val="0"/>
                      <w:marTop w:val="0"/>
                      <w:marBottom w:val="0"/>
                      <w:divBdr>
                        <w:top w:val="single" w:sz="2" w:space="0" w:color="D9D9E3"/>
                        <w:left w:val="single" w:sz="2" w:space="0" w:color="D9D9E3"/>
                        <w:bottom w:val="single" w:sz="2" w:space="0" w:color="D9D9E3"/>
                        <w:right w:val="single" w:sz="2" w:space="0" w:color="D9D9E3"/>
                      </w:divBdr>
                      <w:divsChild>
                        <w:div w:id="1428965450">
                          <w:marLeft w:val="0"/>
                          <w:marRight w:val="0"/>
                          <w:marTop w:val="0"/>
                          <w:marBottom w:val="0"/>
                          <w:divBdr>
                            <w:top w:val="single" w:sz="2" w:space="0" w:color="D9D9E3"/>
                            <w:left w:val="single" w:sz="2" w:space="0" w:color="D9D9E3"/>
                            <w:bottom w:val="single" w:sz="2" w:space="0" w:color="D9D9E3"/>
                            <w:right w:val="single" w:sz="2" w:space="0" w:color="D9D9E3"/>
                          </w:divBdr>
                          <w:divsChild>
                            <w:div w:id="1913351068">
                              <w:marLeft w:val="0"/>
                              <w:marRight w:val="0"/>
                              <w:marTop w:val="0"/>
                              <w:marBottom w:val="0"/>
                              <w:divBdr>
                                <w:top w:val="single" w:sz="2" w:space="0" w:color="D9D9E3"/>
                                <w:left w:val="single" w:sz="2" w:space="0" w:color="D9D9E3"/>
                                <w:bottom w:val="single" w:sz="2" w:space="0" w:color="D9D9E3"/>
                                <w:right w:val="single" w:sz="2" w:space="0" w:color="D9D9E3"/>
                              </w:divBdr>
                              <w:divsChild>
                                <w:div w:id="122094063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73617412">
      <w:bodyDiv w:val="1"/>
      <w:marLeft w:val="0"/>
      <w:marRight w:val="0"/>
      <w:marTop w:val="0"/>
      <w:marBottom w:val="0"/>
      <w:divBdr>
        <w:top w:val="none" w:sz="0" w:space="0" w:color="auto"/>
        <w:left w:val="none" w:sz="0" w:space="0" w:color="auto"/>
        <w:bottom w:val="none" w:sz="0" w:space="0" w:color="auto"/>
        <w:right w:val="none" w:sz="0" w:space="0" w:color="auto"/>
      </w:divBdr>
      <w:divsChild>
        <w:div w:id="361588163">
          <w:marLeft w:val="0"/>
          <w:marRight w:val="0"/>
          <w:marTop w:val="0"/>
          <w:marBottom w:val="0"/>
          <w:divBdr>
            <w:top w:val="single" w:sz="2" w:space="0" w:color="D9D9E3"/>
            <w:left w:val="single" w:sz="2" w:space="0" w:color="D9D9E3"/>
            <w:bottom w:val="single" w:sz="2" w:space="0" w:color="D9D9E3"/>
            <w:right w:val="single" w:sz="2" w:space="0" w:color="D9D9E3"/>
          </w:divBdr>
          <w:divsChild>
            <w:div w:id="195124598">
              <w:marLeft w:val="0"/>
              <w:marRight w:val="0"/>
              <w:marTop w:val="0"/>
              <w:marBottom w:val="0"/>
              <w:divBdr>
                <w:top w:val="single" w:sz="2" w:space="0" w:color="D9D9E3"/>
                <w:left w:val="single" w:sz="2" w:space="0" w:color="D9D9E3"/>
                <w:bottom w:val="single" w:sz="2" w:space="0" w:color="D9D9E3"/>
                <w:right w:val="single" w:sz="2" w:space="0" w:color="D9D9E3"/>
              </w:divBdr>
              <w:divsChild>
                <w:div w:id="1354453308">
                  <w:marLeft w:val="0"/>
                  <w:marRight w:val="0"/>
                  <w:marTop w:val="0"/>
                  <w:marBottom w:val="0"/>
                  <w:divBdr>
                    <w:top w:val="single" w:sz="2" w:space="0" w:color="D9D9E3"/>
                    <w:left w:val="single" w:sz="2" w:space="0" w:color="D9D9E3"/>
                    <w:bottom w:val="single" w:sz="2" w:space="0" w:color="D9D9E3"/>
                    <w:right w:val="single" w:sz="2" w:space="0" w:color="D9D9E3"/>
                  </w:divBdr>
                  <w:divsChild>
                    <w:div w:id="982734779">
                      <w:marLeft w:val="0"/>
                      <w:marRight w:val="0"/>
                      <w:marTop w:val="0"/>
                      <w:marBottom w:val="0"/>
                      <w:divBdr>
                        <w:top w:val="single" w:sz="2" w:space="0" w:color="D9D9E3"/>
                        <w:left w:val="single" w:sz="2" w:space="0" w:color="D9D9E3"/>
                        <w:bottom w:val="single" w:sz="2" w:space="0" w:color="D9D9E3"/>
                        <w:right w:val="single" w:sz="2" w:space="0" w:color="D9D9E3"/>
                      </w:divBdr>
                      <w:divsChild>
                        <w:div w:id="1989742197">
                          <w:marLeft w:val="0"/>
                          <w:marRight w:val="0"/>
                          <w:marTop w:val="0"/>
                          <w:marBottom w:val="0"/>
                          <w:divBdr>
                            <w:top w:val="single" w:sz="2" w:space="0" w:color="auto"/>
                            <w:left w:val="single" w:sz="2" w:space="0" w:color="auto"/>
                            <w:bottom w:val="single" w:sz="6" w:space="0" w:color="auto"/>
                            <w:right w:val="single" w:sz="2" w:space="0" w:color="auto"/>
                          </w:divBdr>
                          <w:divsChild>
                            <w:div w:id="691299838">
                              <w:marLeft w:val="0"/>
                              <w:marRight w:val="0"/>
                              <w:marTop w:val="100"/>
                              <w:marBottom w:val="100"/>
                              <w:divBdr>
                                <w:top w:val="single" w:sz="2" w:space="0" w:color="D9D9E3"/>
                                <w:left w:val="single" w:sz="2" w:space="0" w:color="D9D9E3"/>
                                <w:bottom w:val="single" w:sz="2" w:space="0" w:color="D9D9E3"/>
                                <w:right w:val="single" w:sz="2" w:space="0" w:color="D9D9E3"/>
                              </w:divBdr>
                              <w:divsChild>
                                <w:div w:id="1811090837">
                                  <w:marLeft w:val="0"/>
                                  <w:marRight w:val="0"/>
                                  <w:marTop w:val="0"/>
                                  <w:marBottom w:val="0"/>
                                  <w:divBdr>
                                    <w:top w:val="single" w:sz="2" w:space="0" w:color="D9D9E3"/>
                                    <w:left w:val="single" w:sz="2" w:space="0" w:color="D9D9E3"/>
                                    <w:bottom w:val="single" w:sz="2" w:space="0" w:color="D9D9E3"/>
                                    <w:right w:val="single" w:sz="2" w:space="0" w:color="D9D9E3"/>
                                  </w:divBdr>
                                  <w:divsChild>
                                    <w:div w:id="1114910686">
                                      <w:marLeft w:val="0"/>
                                      <w:marRight w:val="0"/>
                                      <w:marTop w:val="0"/>
                                      <w:marBottom w:val="0"/>
                                      <w:divBdr>
                                        <w:top w:val="single" w:sz="2" w:space="0" w:color="D9D9E3"/>
                                        <w:left w:val="single" w:sz="2" w:space="0" w:color="D9D9E3"/>
                                        <w:bottom w:val="single" w:sz="2" w:space="0" w:color="D9D9E3"/>
                                        <w:right w:val="single" w:sz="2" w:space="0" w:color="D9D9E3"/>
                                      </w:divBdr>
                                      <w:divsChild>
                                        <w:div w:id="1814566405">
                                          <w:marLeft w:val="0"/>
                                          <w:marRight w:val="0"/>
                                          <w:marTop w:val="0"/>
                                          <w:marBottom w:val="0"/>
                                          <w:divBdr>
                                            <w:top w:val="single" w:sz="2" w:space="0" w:color="D9D9E3"/>
                                            <w:left w:val="single" w:sz="2" w:space="0" w:color="D9D9E3"/>
                                            <w:bottom w:val="single" w:sz="2" w:space="0" w:color="D9D9E3"/>
                                            <w:right w:val="single" w:sz="2" w:space="0" w:color="D9D9E3"/>
                                          </w:divBdr>
                                          <w:divsChild>
                                            <w:div w:id="120868686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387681171">
          <w:marLeft w:val="0"/>
          <w:marRight w:val="0"/>
          <w:marTop w:val="0"/>
          <w:marBottom w:val="0"/>
          <w:divBdr>
            <w:top w:val="none" w:sz="0" w:space="0" w:color="auto"/>
            <w:left w:val="none" w:sz="0" w:space="0" w:color="auto"/>
            <w:bottom w:val="none" w:sz="0" w:space="0" w:color="auto"/>
            <w:right w:val="none" w:sz="0" w:space="0" w:color="auto"/>
          </w:divBdr>
        </w:div>
      </w:divsChild>
    </w:div>
    <w:div w:id="238566164">
      <w:bodyDiv w:val="1"/>
      <w:marLeft w:val="0"/>
      <w:marRight w:val="0"/>
      <w:marTop w:val="0"/>
      <w:marBottom w:val="0"/>
      <w:divBdr>
        <w:top w:val="none" w:sz="0" w:space="0" w:color="auto"/>
        <w:left w:val="none" w:sz="0" w:space="0" w:color="auto"/>
        <w:bottom w:val="none" w:sz="0" w:space="0" w:color="auto"/>
        <w:right w:val="none" w:sz="0" w:space="0" w:color="auto"/>
      </w:divBdr>
      <w:divsChild>
        <w:div w:id="798573013">
          <w:marLeft w:val="-180"/>
          <w:marRight w:val="0"/>
          <w:marTop w:val="0"/>
          <w:marBottom w:val="0"/>
          <w:divBdr>
            <w:top w:val="none" w:sz="0" w:space="0" w:color="auto"/>
            <w:left w:val="none" w:sz="0" w:space="0" w:color="auto"/>
            <w:bottom w:val="none" w:sz="0" w:space="0" w:color="auto"/>
            <w:right w:val="none" w:sz="0" w:space="0" w:color="auto"/>
          </w:divBdr>
        </w:div>
      </w:divsChild>
    </w:div>
    <w:div w:id="342558708">
      <w:bodyDiv w:val="1"/>
      <w:marLeft w:val="0"/>
      <w:marRight w:val="0"/>
      <w:marTop w:val="0"/>
      <w:marBottom w:val="0"/>
      <w:divBdr>
        <w:top w:val="none" w:sz="0" w:space="0" w:color="auto"/>
        <w:left w:val="none" w:sz="0" w:space="0" w:color="auto"/>
        <w:bottom w:val="none" w:sz="0" w:space="0" w:color="auto"/>
        <w:right w:val="none" w:sz="0" w:space="0" w:color="auto"/>
      </w:divBdr>
      <w:divsChild>
        <w:div w:id="1972008020">
          <w:marLeft w:val="-180"/>
          <w:marRight w:val="0"/>
          <w:marTop w:val="0"/>
          <w:marBottom w:val="0"/>
          <w:divBdr>
            <w:top w:val="none" w:sz="0" w:space="0" w:color="auto"/>
            <w:left w:val="none" w:sz="0" w:space="0" w:color="auto"/>
            <w:bottom w:val="none" w:sz="0" w:space="0" w:color="auto"/>
            <w:right w:val="none" w:sz="0" w:space="0" w:color="auto"/>
          </w:divBdr>
        </w:div>
      </w:divsChild>
    </w:div>
    <w:div w:id="481508996">
      <w:bodyDiv w:val="1"/>
      <w:marLeft w:val="0"/>
      <w:marRight w:val="0"/>
      <w:marTop w:val="0"/>
      <w:marBottom w:val="0"/>
      <w:divBdr>
        <w:top w:val="none" w:sz="0" w:space="0" w:color="auto"/>
        <w:left w:val="none" w:sz="0" w:space="0" w:color="auto"/>
        <w:bottom w:val="none" w:sz="0" w:space="0" w:color="auto"/>
        <w:right w:val="none" w:sz="0" w:space="0" w:color="auto"/>
      </w:divBdr>
      <w:divsChild>
        <w:div w:id="1631279359">
          <w:marLeft w:val="0"/>
          <w:marRight w:val="0"/>
          <w:marTop w:val="0"/>
          <w:marBottom w:val="0"/>
          <w:divBdr>
            <w:top w:val="single" w:sz="2" w:space="0" w:color="D9D9E3"/>
            <w:left w:val="single" w:sz="2" w:space="0" w:color="D9D9E3"/>
            <w:bottom w:val="single" w:sz="2" w:space="0" w:color="D9D9E3"/>
            <w:right w:val="single" w:sz="2" w:space="0" w:color="D9D9E3"/>
          </w:divBdr>
          <w:divsChild>
            <w:div w:id="1337345365">
              <w:marLeft w:val="0"/>
              <w:marRight w:val="0"/>
              <w:marTop w:val="0"/>
              <w:marBottom w:val="0"/>
              <w:divBdr>
                <w:top w:val="single" w:sz="2" w:space="0" w:color="D9D9E3"/>
                <w:left w:val="single" w:sz="2" w:space="0" w:color="D9D9E3"/>
                <w:bottom w:val="single" w:sz="2" w:space="0" w:color="D9D9E3"/>
                <w:right w:val="single" w:sz="2" w:space="0" w:color="D9D9E3"/>
              </w:divBdr>
              <w:divsChild>
                <w:div w:id="605357328">
                  <w:marLeft w:val="0"/>
                  <w:marRight w:val="0"/>
                  <w:marTop w:val="0"/>
                  <w:marBottom w:val="0"/>
                  <w:divBdr>
                    <w:top w:val="single" w:sz="2" w:space="0" w:color="D9D9E3"/>
                    <w:left w:val="single" w:sz="2" w:space="0" w:color="D9D9E3"/>
                    <w:bottom w:val="single" w:sz="2" w:space="0" w:color="D9D9E3"/>
                    <w:right w:val="single" w:sz="2" w:space="0" w:color="D9D9E3"/>
                  </w:divBdr>
                  <w:divsChild>
                    <w:div w:id="1769352146">
                      <w:marLeft w:val="0"/>
                      <w:marRight w:val="0"/>
                      <w:marTop w:val="0"/>
                      <w:marBottom w:val="0"/>
                      <w:divBdr>
                        <w:top w:val="single" w:sz="2" w:space="0" w:color="D9D9E3"/>
                        <w:left w:val="single" w:sz="2" w:space="0" w:color="D9D9E3"/>
                        <w:bottom w:val="single" w:sz="2" w:space="0" w:color="D9D9E3"/>
                        <w:right w:val="single" w:sz="2" w:space="0" w:color="D9D9E3"/>
                      </w:divBdr>
                      <w:divsChild>
                        <w:div w:id="1240627748">
                          <w:marLeft w:val="0"/>
                          <w:marRight w:val="0"/>
                          <w:marTop w:val="0"/>
                          <w:marBottom w:val="0"/>
                          <w:divBdr>
                            <w:top w:val="single" w:sz="2" w:space="0" w:color="auto"/>
                            <w:left w:val="single" w:sz="2" w:space="0" w:color="auto"/>
                            <w:bottom w:val="single" w:sz="6" w:space="0" w:color="auto"/>
                            <w:right w:val="single" w:sz="2" w:space="0" w:color="auto"/>
                          </w:divBdr>
                          <w:divsChild>
                            <w:div w:id="1130708191">
                              <w:marLeft w:val="0"/>
                              <w:marRight w:val="0"/>
                              <w:marTop w:val="100"/>
                              <w:marBottom w:val="100"/>
                              <w:divBdr>
                                <w:top w:val="single" w:sz="2" w:space="0" w:color="D9D9E3"/>
                                <w:left w:val="single" w:sz="2" w:space="0" w:color="D9D9E3"/>
                                <w:bottom w:val="single" w:sz="2" w:space="0" w:color="D9D9E3"/>
                                <w:right w:val="single" w:sz="2" w:space="0" w:color="D9D9E3"/>
                              </w:divBdr>
                              <w:divsChild>
                                <w:div w:id="2002810950">
                                  <w:marLeft w:val="0"/>
                                  <w:marRight w:val="0"/>
                                  <w:marTop w:val="0"/>
                                  <w:marBottom w:val="0"/>
                                  <w:divBdr>
                                    <w:top w:val="single" w:sz="2" w:space="0" w:color="D9D9E3"/>
                                    <w:left w:val="single" w:sz="2" w:space="0" w:color="D9D9E3"/>
                                    <w:bottom w:val="single" w:sz="2" w:space="0" w:color="D9D9E3"/>
                                    <w:right w:val="single" w:sz="2" w:space="0" w:color="D9D9E3"/>
                                  </w:divBdr>
                                  <w:divsChild>
                                    <w:div w:id="1246719507">
                                      <w:marLeft w:val="0"/>
                                      <w:marRight w:val="0"/>
                                      <w:marTop w:val="0"/>
                                      <w:marBottom w:val="0"/>
                                      <w:divBdr>
                                        <w:top w:val="single" w:sz="2" w:space="0" w:color="D9D9E3"/>
                                        <w:left w:val="single" w:sz="2" w:space="0" w:color="D9D9E3"/>
                                        <w:bottom w:val="single" w:sz="2" w:space="0" w:color="D9D9E3"/>
                                        <w:right w:val="single" w:sz="2" w:space="0" w:color="D9D9E3"/>
                                      </w:divBdr>
                                      <w:divsChild>
                                        <w:div w:id="2127697496">
                                          <w:marLeft w:val="0"/>
                                          <w:marRight w:val="0"/>
                                          <w:marTop w:val="0"/>
                                          <w:marBottom w:val="0"/>
                                          <w:divBdr>
                                            <w:top w:val="single" w:sz="2" w:space="0" w:color="D9D9E3"/>
                                            <w:left w:val="single" w:sz="2" w:space="0" w:color="D9D9E3"/>
                                            <w:bottom w:val="single" w:sz="2" w:space="0" w:color="D9D9E3"/>
                                            <w:right w:val="single" w:sz="2" w:space="0" w:color="D9D9E3"/>
                                          </w:divBdr>
                                          <w:divsChild>
                                            <w:div w:id="36532599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470972206">
          <w:marLeft w:val="0"/>
          <w:marRight w:val="0"/>
          <w:marTop w:val="0"/>
          <w:marBottom w:val="0"/>
          <w:divBdr>
            <w:top w:val="none" w:sz="0" w:space="0" w:color="auto"/>
            <w:left w:val="none" w:sz="0" w:space="0" w:color="auto"/>
            <w:bottom w:val="none" w:sz="0" w:space="0" w:color="auto"/>
            <w:right w:val="none" w:sz="0" w:space="0" w:color="auto"/>
          </w:divBdr>
        </w:div>
      </w:divsChild>
    </w:div>
    <w:div w:id="527958107">
      <w:bodyDiv w:val="1"/>
      <w:marLeft w:val="0"/>
      <w:marRight w:val="0"/>
      <w:marTop w:val="0"/>
      <w:marBottom w:val="0"/>
      <w:divBdr>
        <w:top w:val="none" w:sz="0" w:space="0" w:color="auto"/>
        <w:left w:val="none" w:sz="0" w:space="0" w:color="auto"/>
        <w:bottom w:val="none" w:sz="0" w:space="0" w:color="auto"/>
        <w:right w:val="none" w:sz="0" w:space="0" w:color="auto"/>
      </w:divBdr>
      <w:divsChild>
        <w:div w:id="1585458908">
          <w:marLeft w:val="0"/>
          <w:marRight w:val="0"/>
          <w:marTop w:val="0"/>
          <w:marBottom w:val="0"/>
          <w:divBdr>
            <w:top w:val="single" w:sz="2" w:space="0" w:color="D9D9E3"/>
            <w:left w:val="single" w:sz="2" w:space="0" w:color="D9D9E3"/>
            <w:bottom w:val="single" w:sz="2" w:space="0" w:color="D9D9E3"/>
            <w:right w:val="single" w:sz="2" w:space="0" w:color="D9D9E3"/>
          </w:divBdr>
          <w:divsChild>
            <w:div w:id="1720669739">
              <w:marLeft w:val="0"/>
              <w:marRight w:val="0"/>
              <w:marTop w:val="0"/>
              <w:marBottom w:val="0"/>
              <w:divBdr>
                <w:top w:val="single" w:sz="2" w:space="0" w:color="D9D9E3"/>
                <w:left w:val="single" w:sz="2" w:space="0" w:color="D9D9E3"/>
                <w:bottom w:val="single" w:sz="2" w:space="0" w:color="D9D9E3"/>
                <w:right w:val="single" w:sz="2" w:space="0" w:color="D9D9E3"/>
              </w:divBdr>
              <w:divsChild>
                <w:div w:id="910849809">
                  <w:marLeft w:val="0"/>
                  <w:marRight w:val="0"/>
                  <w:marTop w:val="0"/>
                  <w:marBottom w:val="0"/>
                  <w:divBdr>
                    <w:top w:val="single" w:sz="2" w:space="0" w:color="D9D9E3"/>
                    <w:left w:val="single" w:sz="2" w:space="0" w:color="D9D9E3"/>
                    <w:bottom w:val="single" w:sz="2" w:space="0" w:color="D9D9E3"/>
                    <w:right w:val="single" w:sz="2" w:space="0" w:color="D9D9E3"/>
                  </w:divBdr>
                  <w:divsChild>
                    <w:div w:id="559054785">
                      <w:marLeft w:val="0"/>
                      <w:marRight w:val="0"/>
                      <w:marTop w:val="0"/>
                      <w:marBottom w:val="0"/>
                      <w:divBdr>
                        <w:top w:val="single" w:sz="2" w:space="0" w:color="D9D9E3"/>
                        <w:left w:val="single" w:sz="2" w:space="0" w:color="D9D9E3"/>
                        <w:bottom w:val="single" w:sz="2" w:space="0" w:color="D9D9E3"/>
                        <w:right w:val="single" w:sz="2" w:space="0" w:color="D9D9E3"/>
                      </w:divBdr>
                      <w:divsChild>
                        <w:div w:id="1892687615">
                          <w:marLeft w:val="0"/>
                          <w:marRight w:val="0"/>
                          <w:marTop w:val="0"/>
                          <w:marBottom w:val="0"/>
                          <w:divBdr>
                            <w:top w:val="single" w:sz="2" w:space="0" w:color="auto"/>
                            <w:left w:val="single" w:sz="2" w:space="0" w:color="auto"/>
                            <w:bottom w:val="single" w:sz="6" w:space="0" w:color="auto"/>
                            <w:right w:val="single" w:sz="2" w:space="0" w:color="auto"/>
                          </w:divBdr>
                          <w:divsChild>
                            <w:div w:id="303856782">
                              <w:marLeft w:val="0"/>
                              <w:marRight w:val="0"/>
                              <w:marTop w:val="100"/>
                              <w:marBottom w:val="100"/>
                              <w:divBdr>
                                <w:top w:val="single" w:sz="2" w:space="0" w:color="D9D9E3"/>
                                <w:left w:val="single" w:sz="2" w:space="0" w:color="D9D9E3"/>
                                <w:bottom w:val="single" w:sz="2" w:space="0" w:color="D9D9E3"/>
                                <w:right w:val="single" w:sz="2" w:space="0" w:color="D9D9E3"/>
                              </w:divBdr>
                              <w:divsChild>
                                <w:div w:id="519514472">
                                  <w:marLeft w:val="0"/>
                                  <w:marRight w:val="0"/>
                                  <w:marTop w:val="0"/>
                                  <w:marBottom w:val="0"/>
                                  <w:divBdr>
                                    <w:top w:val="single" w:sz="2" w:space="0" w:color="D9D9E3"/>
                                    <w:left w:val="single" w:sz="2" w:space="0" w:color="D9D9E3"/>
                                    <w:bottom w:val="single" w:sz="2" w:space="0" w:color="D9D9E3"/>
                                    <w:right w:val="single" w:sz="2" w:space="0" w:color="D9D9E3"/>
                                  </w:divBdr>
                                  <w:divsChild>
                                    <w:div w:id="1884559125">
                                      <w:marLeft w:val="0"/>
                                      <w:marRight w:val="0"/>
                                      <w:marTop w:val="0"/>
                                      <w:marBottom w:val="0"/>
                                      <w:divBdr>
                                        <w:top w:val="single" w:sz="2" w:space="0" w:color="D9D9E3"/>
                                        <w:left w:val="single" w:sz="2" w:space="0" w:color="D9D9E3"/>
                                        <w:bottom w:val="single" w:sz="2" w:space="0" w:color="D9D9E3"/>
                                        <w:right w:val="single" w:sz="2" w:space="0" w:color="D9D9E3"/>
                                      </w:divBdr>
                                      <w:divsChild>
                                        <w:div w:id="1110706593">
                                          <w:marLeft w:val="0"/>
                                          <w:marRight w:val="0"/>
                                          <w:marTop w:val="0"/>
                                          <w:marBottom w:val="0"/>
                                          <w:divBdr>
                                            <w:top w:val="single" w:sz="2" w:space="0" w:color="D9D9E3"/>
                                            <w:left w:val="single" w:sz="2" w:space="0" w:color="D9D9E3"/>
                                            <w:bottom w:val="single" w:sz="2" w:space="0" w:color="D9D9E3"/>
                                            <w:right w:val="single" w:sz="2" w:space="0" w:color="D9D9E3"/>
                                          </w:divBdr>
                                          <w:divsChild>
                                            <w:div w:id="143008306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516456259">
          <w:marLeft w:val="0"/>
          <w:marRight w:val="0"/>
          <w:marTop w:val="0"/>
          <w:marBottom w:val="0"/>
          <w:divBdr>
            <w:top w:val="none" w:sz="0" w:space="0" w:color="auto"/>
            <w:left w:val="none" w:sz="0" w:space="0" w:color="auto"/>
            <w:bottom w:val="none" w:sz="0" w:space="0" w:color="auto"/>
            <w:right w:val="none" w:sz="0" w:space="0" w:color="auto"/>
          </w:divBdr>
          <w:divsChild>
            <w:div w:id="1978601695">
              <w:marLeft w:val="0"/>
              <w:marRight w:val="0"/>
              <w:marTop w:val="0"/>
              <w:marBottom w:val="0"/>
              <w:divBdr>
                <w:top w:val="single" w:sz="2" w:space="0" w:color="D9D9E3"/>
                <w:left w:val="single" w:sz="2" w:space="0" w:color="D9D9E3"/>
                <w:bottom w:val="single" w:sz="2" w:space="0" w:color="D9D9E3"/>
                <w:right w:val="single" w:sz="2" w:space="0" w:color="D9D9E3"/>
              </w:divBdr>
              <w:divsChild>
                <w:div w:id="1937860080">
                  <w:marLeft w:val="0"/>
                  <w:marRight w:val="0"/>
                  <w:marTop w:val="0"/>
                  <w:marBottom w:val="0"/>
                  <w:divBdr>
                    <w:top w:val="single" w:sz="2" w:space="0" w:color="D9D9E3"/>
                    <w:left w:val="single" w:sz="2" w:space="0" w:color="D9D9E3"/>
                    <w:bottom w:val="single" w:sz="2" w:space="0" w:color="D9D9E3"/>
                    <w:right w:val="single" w:sz="2" w:space="0" w:color="D9D9E3"/>
                  </w:divBdr>
                  <w:divsChild>
                    <w:div w:id="677778670">
                      <w:marLeft w:val="0"/>
                      <w:marRight w:val="0"/>
                      <w:marTop w:val="0"/>
                      <w:marBottom w:val="0"/>
                      <w:divBdr>
                        <w:top w:val="single" w:sz="2" w:space="0" w:color="D9D9E3"/>
                        <w:left w:val="single" w:sz="2" w:space="0" w:color="D9D9E3"/>
                        <w:bottom w:val="single" w:sz="2" w:space="0" w:color="D9D9E3"/>
                        <w:right w:val="single" w:sz="2" w:space="0" w:color="D9D9E3"/>
                      </w:divBdr>
                      <w:divsChild>
                        <w:div w:id="1151629872">
                          <w:marLeft w:val="0"/>
                          <w:marRight w:val="0"/>
                          <w:marTop w:val="0"/>
                          <w:marBottom w:val="0"/>
                          <w:divBdr>
                            <w:top w:val="single" w:sz="2" w:space="0" w:color="D9D9E3"/>
                            <w:left w:val="single" w:sz="2" w:space="0" w:color="D9D9E3"/>
                            <w:bottom w:val="single" w:sz="2" w:space="0" w:color="D9D9E3"/>
                            <w:right w:val="single" w:sz="2" w:space="0" w:color="D9D9E3"/>
                          </w:divBdr>
                          <w:divsChild>
                            <w:div w:id="2137408011">
                              <w:marLeft w:val="0"/>
                              <w:marRight w:val="0"/>
                              <w:marTop w:val="0"/>
                              <w:marBottom w:val="0"/>
                              <w:divBdr>
                                <w:top w:val="single" w:sz="2" w:space="0" w:color="D9D9E3"/>
                                <w:left w:val="single" w:sz="2" w:space="0" w:color="D9D9E3"/>
                                <w:bottom w:val="single" w:sz="2" w:space="0" w:color="D9D9E3"/>
                                <w:right w:val="single" w:sz="2" w:space="0" w:color="D9D9E3"/>
                              </w:divBdr>
                              <w:divsChild>
                                <w:div w:id="137700009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919631343">
      <w:bodyDiv w:val="1"/>
      <w:marLeft w:val="0"/>
      <w:marRight w:val="0"/>
      <w:marTop w:val="0"/>
      <w:marBottom w:val="0"/>
      <w:divBdr>
        <w:top w:val="none" w:sz="0" w:space="0" w:color="auto"/>
        <w:left w:val="none" w:sz="0" w:space="0" w:color="auto"/>
        <w:bottom w:val="none" w:sz="0" w:space="0" w:color="auto"/>
        <w:right w:val="none" w:sz="0" w:space="0" w:color="auto"/>
      </w:divBdr>
    </w:div>
    <w:div w:id="941691468">
      <w:bodyDiv w:val="1"/>
      <w:marLeft w:val="0"/>
      <w:marRight w:val="0"/>
      <w:marTop w:val="0"/>
      <w:marBottom w:val="0"/>
      <w:divBdr>
        <w:top w:val="none" w:sz="0" w:space="0" w:color="auto"/>
        <w:left w:val="none" w:sz="0" w:space="0" w:color="auto"/>
        <w:bottom w:val="none" w:sz="0" w:space="0" w:color="auto"/>
        <w:right w:val="none" w:sz="0" w:space="0" w:color="auto"/>
      </w:divBdr>
    </w:div>
    <w:div w:id="1117522978">
      <w:bodyDiv w:val="1"/>
      <w:marLeft w:val="0"/>
      <w:marRight w:val="0"/>
      <w:marTop w:val="0"/>
      <w:marBottom w:val="0"/>
      <w:divBdr>
        <w:top w:val="none" w:sz="0" w:space="0" w:color="auto"/>
        <w:left w:val="none" w:sz="0" w:space="0" w:color="auto"/>
        <w:bottom w:val="none" w:sz="0" w:space="0" w:color="auto"/>
        <w:right w:val="none" w:sz="0" w:space="0" w:color="auto"/>
      </w:divBdr>
      <w:divsChild>
        <w:div w:id="414130551">
          <w:marLeft w:val="0"/>
          <w:marRight w:val="0"/>
          <w:marTop w:val="0"/>
          <w:marBottom w:val="0"/>
          <w:divBdr>
            <w:top w:val="none" w:sz="0" w:space="0" w:color="auto"/>
            <w:left w:val="none" w:sz="0" w:space="0" w:color="auto"/>
            <w:bottom w:val="none" w:sz="0" w:space="0" w:color="auto"/>
            <w:right w:val="none" w:sz="0" w:space="0" w:color="auto"/>
          </w:divBdr>
        </w:div>
        <w:div w:id="1737818832">
          <w:marLeft w:val="0"/>
          <w:marRight w:val="0"/>
          <w:marTop w:val="0"/>
          <w:marBottom w:val="0"/>
          <w:divBdr>
            <w:top w:val="none" w:sz="0" w:space="0" w:color="auto"/>
            <w:left w:val="none" w:sz="0" w:space="0" w:color="auto"/>
            <w:bottom w:val="none" w:sz="0" w:space="0" w:color="auto"/>
            <w:right w:val="none" w:sz="0" w:space="0" w:color="auto"/>
          </w:divBdr>
        </w:div>
        <w:div w:id="1843625134">
          <w:marLeft w:val="0"/>
          <w:marRight w:val="0"/>
          <w:marTop w:val="0"/>
          <w:marBottom w:val="0"/>
          <w:divBdr>
            <w:top w:val="none" w:sz="0" w:space="0" w:color="auto"/>
            <w:left w:val="none" w:sz="0" w:space="0" w:color="auto"/>
            <w:bottom w:val="none" w:sz="0" w:space="0" w:color="auto"/>
            <w:right w:val="none" w:sz="0" w:space="0" w:color="auto"/>
          </w:divBdr>
        </w:div>
      </w:divsChild>
    </w:div>
    <w:div w:id="1483230831">
      <w:bodyDiv w:val="1"/>
      <w:marLeft w:val="0"/>
      <w:marRight w:val="0"/>
      <w:marTop w:val="0"/>
      <w:marBottom w:val="0"/>
      <w:divBdr>
        <w:top w:val="none" w:sz="0" w:space="0" w:color="auto"/>
        <w:left w:val="none" w:sz="0" w:space="0" w:color="auto"/>
        <w:bottom w:val="none" w:sz="0" w:space="0" w:color="auto"/>
        <w:right w:val="none" w:sz="0" w:space="0" w:color="auto"/>
      </w:divBdr>
    </w:div>
    <w:div w:id="1804421473">
      <w:bodyDiv w:val="1"/>
      <w:marLeft w:val="0"/>
      <w:marRight w:val="0"/>
      <w:marTop w:val="0"/>
      <w:marBottom w:val="0"/>
      <w:divBdr>
        <w:top w:val="none" w:sz="0" w:space="0" w:color="auto"/>
        <w:left w:val="none" w:sz="0" w:space="0" w:color="auto"/>
        <w:bottom w:val="none" w:sz="0" w:space="0" w:color="auto"/>
        <w:right w:val="none" w:sz="0" w:space="0" w:color="auto"/>
      </w:divBdr>
    </w:div>
    <w:div w:id="1860854016">
      <w:bodyDiv w:val="1"/>
      <w:marLeft w:val="0"/>
      <w:marRight w:val="0"/>
      <w:marTop w:val="0"/>
      <w:marBottom w:val="0"/>
      <w:divBdr>
        <w:top w:val="none" w:sz="0" w:space="0" w:color="auto"/>
        <w:left w:val="none" w:sz="0" w:space="0" w:color="auto"/>
        <w:bottom w:val="none" w:sz="0" w:space="0" w:color="auto"/>
        <w:right w:val="none" w:sz="0" w:space="0" w:color="auto"/>
      </w:divBdr>
      <w:divsChild>
        <w:div w:id="1161459191">
          <w:marLeft w:val="0"/>
          <w:marRight w:val="0"/>
          <w:marTop w:val="0"/>
          <w:marBottom w:val="0"/>
          <w:divBdr>
            <w:top w:val="single" w:sz="2" w:space="0" w:color="D9D9E3"/>
            <w:left w:val="single" w:sz="2" w:space="0" w:color="D9D9E3"/>
            <w:bottom w:val="single" w:sz="2" w:space="0" w:color="D9D9E3"/>
            <w:right w:val="single" w:sz="2" w:space="0" w:color="D9D9E3"/>
          </w:divBdr>
          <w:divsChild>
            <w:div w:id="1471896024">
              <w:marLeft w:val="0"/>
              <w:marRight w:val="0"/>
              <w:marTop w:val="0"/>
              <w:marBottom w:val="0"/>
              <w:divBdr>
                <w:top w:val="single" w:sz="2" w:space="0" w:color="D9D9E3"/>
                <w:left w:val="single" w:sz="2" w:space="0" w:color="D9D9E3"/>
                <w:bottom w:val="single" w:sz="2" w:space="0" w:color="D9D9E3"/>
                <w:right w:val="single" w:sz="2" w:space="0" w:color="D9D9E3"/>
              </w:divBdr>
              <w:divsChild>
                <w:div w:id="96952949">
                  <w:marLeft w:val="0"/>
                  <w:marRight w:val="0"/>
                  <w:marTop w:val="0"/>
                  <w:marBottom w:val="0"/>
                  <w:divBdr>
                    <w:top w:val="single" w:sz="2" w:space="0" w:color="D9D9E3"/>
                    <w:left w:val="single" w:sz="2" w:space="0" w:color="D9D9E3"/>
                    <w:bottom w:val="single" w:sz="2" w:space="0" w:color="D9D9E3"/>
                    <w:right w:val="single" w:sz="2" w:space="0" w:color="D9D9E3"/>
                  </w:divBdr>
                  <w:divsChild>
                    <w:div w:id="1886912782">
                      <w:marLeft w:val="0"/>
                      <w:marRight w:val="0"/>
                      <w:marTop w:val="0"/>
                      <w:marBottom w:val="0"/>
                      <w:divBdr>
                        <w:top w:val="single" w:sz="2" w:space="0" w:color="D9D9E3"/>
                        <w:left w:val="single" w:sz="2" w:space="0" w:color="D9D9E3"/>
                        <w:bottom w:val="single" w:sz="2" w:space="0" w:color="D9D9E3"/>
                        <w:right w:val="single" w:sz="2" w:space="0" w:color="D9D9E3"/>
                      </w:divBdr>
                      <w:divsChild>
                        <w:div w:id="1956598225">
                          <w:marLeft w:val="0"/>
                          <w:marRight w:val="0"/>
                          <w:marTop w:val="0"/>
                          <w:marBottom w:val="0"/>
                          <w:divBdr>
                            <w:top w:val="single" w:sz="2" w:space="0" w:color="auto"/>
                            <w:left w:val="single" w:sz="2" w:space="0" w:color="auto"/>
                            <w:bottom w:val="single" w:sz="6" w:space="0" w:color="auto"/>
                            <w:right w:val="single" w:sz="2" w:space="0" w:color="auto"/>
                          </w:divBdr>
                          <w:divsChild>
                            <w:div w:id="746877796">
                              <w:marLeft w:val="0"/>
                              <w:marRight w:val="0"/>
                              <w:marTop w:val="100"/>
                              <w:marBottom w:val="100"/>
                              <w:divBdr>
                                <w:top w:val="single" w:sz="2" w:space="0" w:color="D9D9E3"/>
                                <w:left w:val="single" w:sz="2" w:space="0" w:color="D9D9E3"/>
                                <w:bottom w:val="single" w:sz="2" w:space="0" w:color="D9D9E3"/>
                                <w:right w:val="single" w:sz="2" w:space="0" w:color="D9D9E3"/>
                              </w:divBdr>
                              <w:divsChild>
                                <w:div w:id="1750495988">
                                  <w:marLeft w:val="0"/>
                                  <w:marRight w:val="0"/>
                                  <w:marTop w:val="0"/>
                                  <w:marBottom w:val="0"/>
                                  <w:divBdr>
                                    <w:top w:val="single" w:sz="2" w:space="0" w:color="D9D9E3"/>
                                    <w:left w:val="single" w:sz="2" w:space="0" w:color="D9D9E3"/>
                                    <w:bottom w:val="single" w:sz="2" w:space="0" w:color="D9D9E3"/>
                                    <w:right w:val="single" w:sz="2" w:space="0" w:color="D9D9E3"/>
                                  </w:divBdr>
                                  <w:divsChild>
                                    <w:div w:id="148134184">
                                      <w:marLeft w:val="0"/>
                                      <w:marRight w:val="0"/>
                                      <w:marTop w:val="0"/>
                                      <w:marBottom w:val="0"/>
                                      <w:divBdr>
                                        <w:top w:val="single" w:sz="2" w:space="0" w:color="D9D9E3"/>
                                        <w:left w:val="single" w:sz="2" w:space="0" w:color="D9D9E3"/>
                                        <w:bottom w:val="single" w:sz="2" w:space="0" w:color="D9D9E3"/>
                                        <w:right w:val="single" w:sz="2" w:space="0" w:color="D9D9E3"/>
                                      </w:divBdr>
                                      <w:divsChild>
                                        <w:div w:id="884949600">
                                          <w:marLeft w:val="0"/>
                                          <w:marRight w:val="0"/>
                                          <w:marTop w:val="0"/>
                                          <w:marBottom w:val="0"/>
                                          <w:divBdr>
                                            <w:top w:val="single" w:sz="2" w:space="0" w:color="D9D9E3"/>
                                            <w:left w:val="single" w:sz="2" w:space="0" w:color="D9D9E3"/>
                                            <w:bottom w:val="single" w:sz="2" w:space="0" w:color="D9D9E3"/>
                                            <w:right w:val="single" w:sz="2" w:space="0" w:color="D9D9E3"/>
                                          </w:divBdr>
                                          <w:divsChild>
                                            <w:div w:id="6862266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819999627">
          <w:marLeft w:val="0"/>
          <w:marRight w:val="0"/>
          <w:marTop w:val="0"/>
          <w:marBottom w:val="0"/>
          <w:divBdr>
            <w:top w:val="none" w:sz="0" w:space="0" w:color="auto"/>
            <w:left w:val="none" w:sz="0" w:space="0" w:color="auto"/>
            <w:bottom w:val="none" w:sz="0" w:space="0" w:color="auto"/>
            <w:right w:val="none" w:sz="0" w:space="0" w:color="auto"/>
          </w:divBdr>
        </w:div>
      </w:divsChild>
    </w:div>
    <w:div w:id="1895264899">
      <w:bodyDiv w:val="1"/>
      <w:marLeft w:val="0"/>
      <w:marRight w:val="0"/>
      <w:marTop w:val="0"/>
      <w:marBottom w:val="0"/>
      <w:divBdr>
        <w:top w:val="none" w:sz="0" w:space="0" w:color="auto"/>
        <w:left w:val="none" w:sz="0" w:space="0" w:color="auto"/>
        <w:bottom w:val="none" w:sz="0" w:space="0" w:color="auto"/>
        <w:right w:val="none" w:sz="0" w:space="0" w:color="auto"/>
      </w:divBdr>
      <w:divsChild>
        <w:div w:id="1265112602">
          <w:marLeft w:val="0"/>
          <w:marRight w:val="0"/>
          <w:marTop w:val="0"/>
          <w:marBottom w:val="0"/>
          <w:divBdr>
            <w:top w:val="single" w:sz="2" w:space="0" w:color="D9D9E3"/>
            <w:left w:val="single" w:sz="2" w:space="0" w:color="D9D9E3"/>
            <w:bottom w:val="single" w:sz="2" w:space="0" w:color="D9D9E3"/>
            <w:right w:val="single" w:sz="2" w:space="0" w:color="D9D9E3"/>
          </w:divBdr>
          <w:divsChild>
            <w:div w:id="1296793531">
              <w:marLeft w:val="0"/>
              <w:marRight w:val="0"/>
              <w:marTop w:val="0"/>
              <w:marBottom w:val="0"/>
              <w:divBdr>
                <w:top w:val="single" w:sz="2" w:space="0" w:color="D9D9E3"/>
                <w:left w:val="single" w:sz="2" w:space="0" w:color="D9D9E3"/>
                <w:bottom w:val="single" w:sz="2" w:space="0" w:color="D9D9E3"/>
                <w:right w:val="single" w:sz="2" w:space="0" w:color="D9D9E3"/>
              </w:divBdr>
              <w:divsChild>
                <w:div w:id="1091122602">
                  <w:marLeft w:val="0"/>
                  <w:marRight w:val="0"/>
                  <w:marTop w:val="0"/>
                  <w:marBottom w:val="0"/>
                  <w:divBdr>
                    <w:top w:val="single" w:sz="2" w:space="0" w:color="D9D9E3"/>
                    <w:left w:val="single" w:sz="2" w:space="0" w:color="D9D9E3"/>
                    <w:bottom w:val="single" w:sz="2" w:space="0" w:color="D9D9E3"/>
                    <w:right w:val="single" w:sz="2" w:space="0" w:color="D9D9E3"/>
                  </w:divBdr>
                  <w:divsChild>
                    <w:div w:id="88082010">
                      <w:marLeft w:val="0"/>
                      <w:marRight w:val="0"/>
                      <w:marTop w:val="0"/>
                      <w:marBottom w:val="0"/>
                      <w:divBdr>
                        <w:top w:val="single" w:sz="2" w:space="0" w:color="D9D9E3"/>
                        <w:left w:val="single" w:sz="2" w:space="0" w:color="D9D9E3"/>
                        <w:bottom w:val="single" w:sz="2" w:space="0" w:color="D9D9E3"/>
                        <w:right w:val="single" w:sz="2" w:space="0" w:color="D9D9E3"/>
                      </w:divBdr>
                      <w:divsChild>
                        <w:div w:id="2063215032">
                          <w:marLeft w:val="0"/>
                          <w:marRight w:val="0"/>
                          <w:marTop w:val="0"/>
                          <w:marBottom w:val="0"/>
                          <w:divBdr>
                            <w:top w:val="single" w:sz="2" w:space="0" w:color="auto"/>
                            <w:left w:val="single" w:sz="2" w:space="0" w:color="auto"/>
                            <w:bottom w:val="single" w:sz="6" w:space="0" w:color="auto"/>
                            <w:right w:val="single" w:sz="2" w:space="0" w:color="auto"/>
                          </w:divBdr>
                          <w:divsChild>
                            <w:div w:id="1907102821">
                              <w:marLeft w:val="0"/>
                              <w:marRight w:val="0"/>
                              <w:marTop w:val="100"/>
                              <w:marBottom w:val="100"/>
                              <w:divBdr>
                                <w:top w:val="single" w:sz="2" w:space="0" w:color="D9D9E3"/>
                                <w:left w:val="single" w:sz="2" w:space="0" w:color="D9D9E3"/>
                                <w:bottom w:val="single" w:sz="2" w:space="0" w:color="D9D9E3"/>
                                <w:right w:val="single" w:sz="2" w:space="0" w:color="D9D9E3"/>
                              </w:divBdr>
                              <w:divsChild>
                                <w:div w:id="849416479">
                                  <w:marLeft w:val="0"/>
                                  <w:marRight w:val="0"/>
                                  <w:marTop w:val="0"/>
                                  <w:marBottom w:val="0"/>
                                  <w:divBdr>
                                    <w:top w:val="single" w:sz="2" w:space="0" w:color="D9D9E3"/>
                                    <w:left w:val="single" w:sz="2" w:space="0" w:color="D9D9E3"/>
                                    <w:bottom w:val="single" w:sz="2" w:space="0" w:color="D9D9E3"/>
                                    <w:right w:val="single" w:sz="2" w:space="0" w:color="D9D9E3"/>
                                  </w:divBdr>
                                  <w:divsChild>
                                    <w:div w:id="1864396859">
                                      <w:marLeft w:val="0"/>
                                      <w:marRight w:val="0"/>
                                      <w:marTop w:val="0"/>
                                      <w:marBottom w:val="0"/>
                                      <w:divBdr>
                                        <w:top w:val="single" w:sz="2" w:space="0" w:color="D9D9E3"/>
                                        <w:left w:val="single" w:sz="2" w:space="0" w:color="D9D9E3"/>
                                        <w:bottom w:val="single" w:sz="2" w:space="0" w:color="D9D9E3"/>
                                        <w:right w:val="single" w:sz="2" w:space="0" w:color="D9D9E3"/>
                                      </w:divBdr>
                                      <w:divsChild>
                                        <w:div w:id="1197961210">
                                          <w:marLeft w:val="0"/>
                                          <w:marRight w:val="0"/>
                                          <w:marTop w:val="0"/>
                                          <w:marBottom w:val="0"/>
                                          <w:divBdr>
                                            <w:top w:val="single" w:sz="2" w:space="0" w:color="D9D9E3"/>
                                            <w:left w:val="single" w:sz="2" w:space="0" w:color="D9D9E3"/>
                                            <w:bottom w:val="single" w:sz="2" w:space="0" w:color="D9D9E3"/>
                                            <w:right w:val="single" w:sz="2" w:space="0" w:color="D9D9E3"/>
                                          </w:divBdr>
                                          <w:divsChild>
                                            <w:div w:id="138551970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26865464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_rels/footnotes.xml.rels><?xml version="1.0" encoding="UTF-8" standalone="yes"?>
<Relationships xmlns="http://schemas.openxmlformats.org/package/2006/relationships"><Relationship Id="rId8" Type="http://schemas.openxmlformats.org/officeDocument/2006/relationships/hyperlink" Target="https://pngoportal.org/post/26936/%D8%A7%D8%A6%D8%AA%D9%84%D8%A7%D9%81%D8%A7%D8%AA-%D8%A7%D9%84%D9%85%D9%86%D8%B8%D9%85%D8%A7%D8%AA-%D8%A7%D9%84%D8%A3%D9%87%D9%84%D9%8A%D8%A9-%D8%AA%D8%AC%D8%AF%D8%AF-%D8%B1%D9%81%D8%B6%D9%87%D8%A7-%D8%AA%D8%B7%D8%A8%D9%8A%D9%82-%D9%86%D8%B8%D8%A7%D9%85-%D8%B9%D9%85%D9%84-%D8%A7%D9%84%D8%B4%D8%B1%D9%83%D8%A7%D8%AA-%D8%BA%D9%8A%D8%B1-%D8%A7%D9%84%D8%B1%D8%A8%D8%AD%D9%8A%D8%A9-%D9%88%D8%AA%D8%B7%D8%A7%D9%84%D8%A8-%D8%A8%D8%A7%D9%84%D8%A7%D9%84%D8%AA%D8%B2%D8%A7%D9%85-%D8%A8%D8%A7%D9%84%D9%82%D8%A7%D9%86%D9%88%D9%86-%D8%A7%D9%84%D8%A3%D8%B3%D8%A7%D8%B3%D9%8A" TargetMode="External"/><Relationship Id="rId3" Type="http://schemas.openxmlformats.org/officeDocument/2006/relationships/hyperlink" Target="https://www.addameer.org/ar/statistics" TargetMode="External"/><Relationship Id="rId7" Type="http://schemas.openxmlformats.org/officeDocument/2006/relationships/hyperlink" Target="https://www.ohchr.org/en/press-releases/2023/06/rights-civil-society-members-are-being-violated-all-entities-israel-and" TargetMode="External"/><Relationship Id="rId2" Type="http://schemas.openxmlformats.org/officeDocument/2006/relationships/hyperlink" Target="https://www.wafa.ps/Pages/Details/62664" TargetMode="External"/><Relationship Id="rId1" Type="http://schemas.openxmlformats.org/officeDocument/2006/relationships/hyperlink" Target="https://www.adalah.org/en/content/view/7771" TargetMode="External"/><Relationship Id="rId6" Type="http://schemas.openxmlformats.org/officeDocument/2006/relationships/hyperlink" Target="https://www.ohchr.org/en/press-releases/2023/06/rights-civil-society-members-are-being-violated-all-entities-israel-and" TargetMode="External"/><Relationship Id="rId5" Type="http://schemas.openxmlformats.org/officeDocument/2006/relationships/hyperlink" Target="https://www.addameer.org/es/node/5042.te" TargetMode="External"/><Relationship Id="rId4" Type="http://schemas.openxmlformats.org/officeDocument/2006/relationships/hyperlink" Target="https://www.youtube.com/watch?v=DMTZDoW5NOM" TargetMode="External"/><Relationship Id="rId9" Type="http://schemas.openxmlformats.org/officeDocument/2006/relationships/hyperlink" Target="https://www.alhaq.org/ar/advocacy/20864.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5F362252B1C434B877FFE5BBC00BA97" ma:contentTypeVersion="12" ma:contentTypeDescription="Create a new document." ma:contentTypeScope="" ma:versionID="7fd3275fac30059081c7de8c2fe6c1b0">
  <xsd:schema xmlns:xsd="http://www.w3.org/2001/XMLSchema" xmlns:xs="http://www.w3.org/2001/XMLSchema" xmlns:p="http://schemas.microsoft.com/office/2006/metadata/properties" xmlns:ns2="f31770ec-ec5c-468f-a795-7af85dd14949" xmlns:ns3="08a5286c-db42-4dec-b73d-e3156992d988" targetNamespace="http://schemas.microsoft.com/office/2006/metadata/properties" ma:root="true" ma:fieldsID="0acb667447d2b1144c0d47300de10b1b" ns2:_="" ns3:_="">
    <xsd:import namespace="f31770ec-ec5c-468f-a795-7af85dd14949"/>
    <xsd:import namespace="08a5286c-db42-4dec-b73d-e3156992d988"/>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31770ec-ec5c-468f-a795-7af85dd1494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436e2d01-a715-4ef2-867e-20ac8da4c5b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8a5286c-db42-4dec-b73d-e3156992d988"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596bca14-4a08-4c52-b563-1df0affc6e65}" ma:internalName="TaxCatchAll" ma:showField="CatchAllData" ma:web="08a5286c-db42-4dec-b73d-e3156992d98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99CEB9B-443C-41B9-9E7E-CF122B6FFD29}">
  <ds:schemaRefs>
    <ds:schemaRef ds:uri="http://schemas.openxmlformats.org/officeDocument/2006/bibliography"/>
  </ds:schemaRefs>
</ds:datastoreItem>
</file>

<file path=customXml/itemProps2.xml><?xml version="1.0" encoding="utf-8"?>
<ds:datastoreItem xmlns:ds="http://schemas.openxmlformats.org/officeDocument/2006/customXml" ds:itemID="{07AAFF62-F13F-4D0D-8AD1-A2A9B35A48CB}">
  <ds:schemaRefs>
    <ds:schemaRef ds:uri="http://schemas.microsoft.com/sharepoint/v3/contenttype/forms"/>
  </ds:schemaRefs>
</ds:datastoreItem>
</file>

<file path=customXml/itemProps3.xml><?xml version="1.0" encoding="utf-8"?>
<ds:datastoreItem xmlns:ds="http://schemas.openxmlformats.org/officeDocument/2006/customXml" ds:itemID="{DC19317A-5B7D-4585-AD88-5341732EB4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31770ec-ec5c-468f-a795-7af85dd14949"/>
    <ds:schemaRef ds:uri="08a5286c-db42-4dec-b73d-e3156992d9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25</Pages>
  <Words>15362</Words>
  <Characters>84492</Characters>
  <Application>Microsoft Office Word</Application>
  <DocSecurity>0</DocSecurity>
  <Lines>704</Lines>
  <Paragraphs>199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Isam Abdeen</dc:creator>
  <cp:keywords/>
  <dc:description/>
  <cp:lastModifiedBy>Celine Reynaud</cp:lastModifiedBy>
  <cp:revision>2</cp:revision>
  <dcterms:created xsi:type="dcterms:W3CDTF">2023-08-28T14:59:00Z</dcterms:created>
  <dcterms:modified xsi:type="dcterms:W3CDTF">2023-08-28T14:59:00Z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a9f891d25309fe1834678c43a4337d7dd48a25be3f111041cabc58c0aeeb063c</vt:lpwstr>
  </property>
</Properties>
</file>