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BD7DA9" w14:textId="19E93B5E" w:rsidR="00D411E3" w:rsidRPr="00C45FC2" w:rsidRDefault="00D411E3" w:rsidP="00C45FC2">
      <w:pPr>
        <w:jc w:val="both"/>
        <w:rPr>
          <w:rFonts w:ascii="Cambria Math" w:hAnsi="Cambria Math"/>
          <w:b/>
          <w:bCs/>
          <w:sz w:val="28"/>
          <w:szCs w:val="28"/>
        </w:rPr>
      </w:pPr>
      <w:r w:rsidRPr="00C45FC2">
        <w:rPr>
          <w:rFonts w:ascii="Cambria Math" w:hAnsi="Cambria Math"/>
          <w:b/>
          <w:bCs/>
          <w:sz w:val="28"/>
          <w:szCs w:val="28"/>
        </w:rPr>
        <w:t xml:space="preserve">The National Council of Women of Canada </w:t>
      </w:r>
      <w:r w:rsidRPr="00C45FC2">
        <w:rPr>
          <w:rFonts w:ascii="Cambria Math" w:hAnsi="Cambria Math"/>
          <w:b/>
          <w:bCs/>
          <w:sz w:val="28"/>
          <w:szCs w:val="28"/>
        </w:rPr>
        <w:tab/>
      </w:r>
      <w:r w:rsidRPr="00C45FC2">
        <w:rPr>
          <w:rFonts w:ascii="Cambria Math" w:hAnsi="Cambria Math"/>
          <w:b/>
          <w:bCs/>
          <w:sz w:val="28"/>
          <w:szCs w:val="28"/>
        </w:rPr>
        <w:tab/>
      </w:r>
      <w:r w:rsidRPr="00C45FC2">
        <w:rPr>
          <w:rFonts w:ascii="Cambria Math" w:hAnsi="Cambria Math"/>
          <w:b/>
          <w:bCs/>
          <w:sz w:val="28"/>
          <w:szCs w:val="28"/>
        </w:rPr>
        <w:tab/>
      </w:r>
      <w:r w:rsidRPr="00C45FC2">
        <w:rPr>
          <w:rFonts w:ascii="Cambria Math" w:hAnsi="Cambria Math"/>
          <w:b/>
          <w:bCs/>
          <w:sz w:val="28"/>
          <w:szCs w:val="28"/>
        </w:rPr>
        <w:tab/>
        <w:t xml:space="preserve">NCWC </w:t>
      </w:r>
    </w:p>
    <w:p w14:paraId="60B1D5D6" w14:textId="77777777" w:rsidR="00D411E3" w:rsidRPr="00C45FC2" w:rsidRDefault="00D411E3" w:rsidP="00C45FC2">
      <w:pPr>
        <w:spacing w:line="300" w:lineRule="auto"/>
        <w:jc w:val="both"/>
        <w:rPr>
          <w:rFonts w:ascii="Cambria Math" w:eastAsia="Times New Roman" w:hAnsi="Cambria Math" w:cs="Times New Roman"/>
          <w:b/>
          <w:kern w:val="0"/>
          <w:sz w:val="22"/>
          <w:szCs w:val="21"/>
          <w14:ligatures w14:val="none"/>
        </w:rPr>
      </w:pPr>
    </w:p>
    <w:p w14:paraId="21654D55" w14:textId="77777777" w:rsidR="00D411E3" w:rsidRPr="00C45FC2" w:rsidRDefault="00D411E3" w:rsidP="00C45FC2">
      <w:pPr>
        <w:pBdr>
          <w:top w:val="single" w:sz="6" w:space="8" w:color="A5A5A5"/>
          <w:bottom w:val="single" w:sz="6" w:space="8" w:color="A5A5A5"/>
        </w:pBdr>
        <w:spacing w:after="400" w:line="240" w:lineRule="auto"/>
        <w:contextualSpacing/>
        <w:jc w:val="both"/>
        <w:rPr>
          <w:rFonts w:ascii="Cambria Math" w:eastAsia="Times New Roman" w:hAnsi="Cambria Math" w:cs="Times New Roman"/>
        </w:rPr>
      </w:pPr>
      <w:r w:rsidRPr="00C45FC2">
        <w:rPr>
          <w:rFonts w:ascii="Cambria Math" w:eastAsia="Times New Roman" w:hAnsi="Cambria Math" w:cs="Times New Roman"/>
          <w:b/>
          <w:kern w:val="0"/>
          <w14:ligatures w14:val="none"/>
        </w:rPr>
        <w:t>Submission to the UN Committee on the Elimination of Discrimination Against Women</w:t>
      </w:r>
      <w:r w:rsidRPr="00C45FC2">
        <w:rPr>
          <w:rFonts w:ascii="Cambria Math" w:eastAsia="Times New Roman" w:hAnsi="Cambria Math" w:cs="Times New Roman"/>
        </w:rPr>
        <w:t xml:space="preserve"> </w:t>
      </w:r>
    </w:p>
    <w:p w14:paraId="5FFC7C20" w14:textId="77777777" w:rsidR="00D411E3" w:rsidRPr="00C45FC2" w:rsidRDefault="00D411E3" w:rsidP="00C45FC2">
      <w:pPr>
        <w:jc w:val="both"/>
        <w:rPr>
          <w:rFonts w:ascii="Cambria Math" w:hAnsi="Cambria Math"/>
        </w:rPr>
      </w:pPr>
    </w:p>
    <w:p w14:paraId="3170FA6C" w14:textId="728404AE" w:rsidR="00D411E3" w:rsidRPr="00C45FC2" w:rsidRDefault="00BE3B73" w:rsidP="00C45FC2">
      <w:pPr>
        <w:jc w:val="both"/>
        <w:rPr>
          <w:rFonts w:ascii="Cambria Math" w:hAnsi="Cambria Math"/>
        </w:rPr>
      </w:pPr>
      <w:r w:rsidRPr="00C45FC2">
        <w:rPr>
          <w:rFonts w:ascii="Cambria Math" w:hAnsi="Cambria Math"/>
        </w:rPr>
        <w:t>89</w:t>
      </w:r>
      <w:r w:rsidRPr="00C45FC2">
        <w:rPr>
          <w:rFonts w:ascii="Cambria Math" w:hAnsi="Cambria Math"/>
          <w:vertAlign w:val="superscript"/>
        </w:rPr>
        <w:t>th</w:t>
      </w:r>
      <w:r w:rsidRPr="00C45FC2">
        <w:rPr>
          <w:rFonts w:ascii="Cambria Math" w:hAnsi="Cambria Math"/>
        </w:rPr>
        <w:t xml:space="preserve"> Pre-Session Working Group </w:t>
      </w:r>
      <w:r w:rsidR="009440E5" w:rsidRPr="00C45FC2">
        <w:rPr>
          <w:rFonts w:ascii="Cambria Math" w:hAnsi="Cambria Math"/>
        </w:rPr>
        <w:t>(9</w:t>
      </w:r>
      <w:r w:rsidRPr="00C45FC2">
        <w:rPr>
          <w:rFonts w:ascii="Cambria Math" w:hAnsi="Cambria Math"/>
          <w:vertAlign w:val="superscript"/>
        </w:rPr>
        <w:t>th</w:t>
      </w:r>
      <w:r w:rsidRPr="00C45FC2">
        <w:rPr>
          <w:rFonts w:ascii="Cambria Math" w:hAnsi="Cambria Math"/>
        </w:rPr>
        <w:t xml:space="preserve"> </w:t>
      </w:r>
      <w:r w:rsidR="00EB2EA2" w:rsidRPr="00C45FC2">
        <w:rPr>
          <w:rFonts w:ascii="Cambria Math" w:hAnsi="Cambria Math"/>
        </w:rPr>
        <w:t>September</w:t>
      </w:r>
      <w:r w:rsidRPr="00C45FC2">
        <w:rPr>
          <w:rFonts w:ascii="Cambria Math" w:hAnsi="Cambria Math"/>
        </w:rPr>
        <w:t xml:space="preserve"> 2024) </w:t>
      </w:r>
      <w:r w:rsidR="009440E5" w:rsidRPr="00C45FC2">
        <w:rPr>
          <w:rFonts w:ascii="Cambria Math" w:hAnsi="Cambria Math"/>
        </w:rPr>
        <w:t xml:space="preserve"> </w:t>
      </w:r>
    </w:p>
    <w:p w14:paraId="61A1BDB5" w14:textId="25257BB7" w:rsidR="00816E09" w:rsidRPr="00C45FC2" w:rsidRDefault="00816E09" w:rsidP="00C45FC2">
      <w:pPr>
        <w:jc w:val="both"/>
        <w:rPr>
          <w:rFonts w:ascii="Cambria Math" w:hAnsi="Cambria Math"/>
          <w:b/>
          <w:bCs/>
          <w:lang w:val="fr-FR"/>
        </w:rPr>
      </w:pPr>
      <w:r w:rsidRPr="00C45FC2">
        <w:rPr>
          <w:rFonts w:ascii="Cambria Math" w:hAnsi="Cambria Math"/>
          <w:b/>
          <w:bCs/>
          <w:lang w:val="fr-FR"/>
        </w:rPr>
        <w:t xml:space="preserve">Contact Information: </w:t>
      </w:r>
    </w:p>
    <w:p w14:paraId="20580F7C" w14:textId="10865F4F" w:rsidR="00EB2EA2" w:rsidRPr="00C45FC2" w:rsidRDefault="00EB2EA2" w:rsidP="00C45FC2">
      <w:pPr>
        <w:spacing w:after="0"/>
        <w:jc w:val="both"/>
        <w:rPr>
          <w:rFonts w:ascii="Cambria Math" w:hAnsi="Cambria Math"/>
          <w:lang w:val="fr-FR"/>
        </w:rPr>
      </w:pPr>
      <w:r w:rsidRPr="00C45FC2">
        <w:rPr>
          <w:rFonts w:ascii="Cambria Math" w:hAnsi="Cambria Math"/>
          <w:lang w:val="fr-FR"/>
        </w:rPr>
        <w:t>Marianne Wilkinson,</w:t>
      </w:r>
    </w:p>
    <w:p w14:paraId="285C2F28" w14:textId="663F617E" w:rsidR="00EB2EA2" w:rsidRPr="00C45FC2" w:rsidRDefault="00EB2EA2" w:rsidP="00C45FC2">
      <w:pPr>
        <w:spacing w:after="0"/>
        <w:jc w:val="both"/>
        <w:rPr>
          <w:rFonts w:ascii="Cambria Math" w:hAnsi="Cambria Math"/>
          <w:lang w:val="fr-FR"/>
        </w:rPr>
      </w:pPr>
      <w:r w:rsidRPr="00C45FC2">
        <w:rPr>
          <w:rFonts w:ascii="Cambria Math" w:hAnsi="Cambria Math"/>
          <w:lang w:val="fr-FR"/>
        </w:rPr>
        <w:t>President</w:t>
      </w:r>
    </w:p>
    <w:p w14:paraId="57E88843" w14:textId="16AF6D0E" w:rsidR="00430CE8" w:rsidRPr="00C45FC2" w:rsidRDefault="00FF3F05" w:rsidP="00C45FC2">
      <w:pPr>
        <w:spacing w:after="0"/>
        <w:jc w:val="both"/>
        <w:rPr>
          <w:rFonts w:ascii="Cambria Math" w:hAnsi="Cambria Math"/>
          <w:color w:val="222222"/>
          <w:sz w:val="21"/>
          <w:szCs w:val="21"/>
          <w:shd w:val="clear" w:color="auto" w:fill="FFFFFF"/>
          <w:lang w:val="fr-FR"/>
        </w:rPr>
      </w:pPr>
      <w:hyperlink r:id="rId8" w:history="1">
        <w:r w:rsidR="00430CE8" w:rsidRPr="00C45FC2">
          <w:rPr>
            <w:rStyle w:val="Hyperlink"/>
            <w:rFonts w:ascii="Cambria Math" w:hAnsi="Cambria Math"/>
            <w:sz w:val="21"/>
            <w:szCs w:val="21"/>
            <w:shd w:val="clear" w:color="auto" w:fill="FFFFFF"/>
            <w:lang w:val="fr-FR"/>
          </w:rPr>
          <w:t>presncwc@gmail.com</w:t>
        </w:r>
      </w:hyperlink>
    </w:p>
    <w:p w14:paraId="064503B3" w14:textId="77777777" w:rsidR="00430CE8" w:rsidRPr="00C45FC2" w:rsidRDefault="00430CE8" w:rsidP="00C45FC2">
      <w:pPr>
        <w:spacing w:after="0"/>
        <w:jc w:val="both"/>
        <w:rPr>
          <w:rFonts w:ascii="Cambria Math" w:hAnsi="Cambria Math"/>
          <w:lang w:val="fr-FR"/>
        </w:rPr>
      </w:pPr>
    </w:p>
    <w:p w14:paraId="6B8A2D20" w14:textId="77777777" w:rsidR="00816E09" w:rsidRPr="00C45FC2" w:rsidRDefault="00816E09" w:rsidP="00C45FC2">
      <w:pPr>
        <w:spacing w:after="0"/>
        <w:jc w:val="both"/>
        <w:rPr>
          <w:rFonts w:ascii="Cambria Math" w:hAnsi="Cambria Math"/>
          <w:lang w:val="fr-FR"/>
        </w:rPr>
      </w:pPr>
      <w:r w:rsidRPr="00C45FC2">
        <w:rPr>
          <w:rFonts w:ascii="Cambria Math" w:hAnsi="Cambria Math"/>
          <w:lang w:val="fr-FR"/>
        </w:rPr>
        <w:t xml:space="preserve">Daniela Chivu, </w:t>
      </w:r>
    </w:p>
    <w:p w14:paraId="32D8DDB7" w14:textId="63D4889F" w:rsidR="00816E09" w:rsidRPr="00C45FC2" w:rsidRDefault="00816E09" w:rsidP="00C45FC2">
      <w:pPr>
        <w:spacing w:after="0"/>
        <w:jc w:val="both"/>
        <w:rPr>
          <w:rFonts w:ascii="Cambria Math" w:hAnsi="Cambria Math"/>
        </w:rPr>
      </w:pPr>
      <w:r w:rsidRPr="00C45FC2">
        <w:rPr>
          <w:rFonts w:ascii="Cambria Math" w:hAnsi="Cambria Math"/>
        </w:rPr>
        <w:t>Vice President Justice, Global Affairs and United Nations</w:t>
      </w:r>
    </w:p>
    <w:p w14:paraId="093280EF" w14:textId="40BE4ECD" w:rsidR="00816E09" w:rsidRPr="00C45FC2" w:rsidRDefault="00FF3F05" w:rsidP="00C45FC2">
      <w:pPr>
        <w:jc w:val="both"/>
        <w:rPr>
          <w:rFonts w:ascii="Cambria Math" w:hAnsi="Cambria Math"/>
        </w:rPr>
      </w:pPr>
      <w:hyperlink r:id="rId9" w:history="1">
        <w:r w:rsidR="00816E09" w:rsidRPr="00C45FC2">
          <w:rPr>
            <w:rStyle w:val="Hyperlink"/>
            <w:rFonts w:ascii="Cambria Math" w:hAnsi="Cambria Math"/>
          </w:rPr>
          <w:t>europa75@gmail.com</w:t>
        </w:r>
      </w:hyperlink>
      <w:r w:rsidR="00816E09" w:rsidRPr="00C45FC2">
        <w:rPr>
          <w:rFonts w:ascii="Cambria Math" w:hAnsi="Cambria Math"/>
        </w:rPr>
        <w:t xml:space="preserve"> </w:t>
      </w:r>
    </w:p>
    <w:p w14:paraId="2334EE14" w14:textId="7A85F51E" w:rsidR="00816E09" w:rsidRPr="00C45FC2" w:rsidRDefault="00816E09" w:rsidP="00C45FC2">
      <w:pPr>
        <w:jc w:val="both"/>
        <w:rPr>
          <w:rFonts w:ascii="Cambria Math" w:hAnsi="Cambria Math"/>
        </w:rPr>
      </w:pPr>
      <w:r w:rsidRPr="00C45FC2">
        <w:rPr>
          <w:rFonts w:ascii="Cambria Math" w:hAnsi="Cambria Math"/>
        </w:rPr>
        <w:t xml:space="preserve">The National Council of Women of Canada </w:t>
      </w:r>
      <w:r w:rsidR="00A3342E" w:rsidRPr="00C45FC2">
        <w:rPr>
          <w:rFonts w:ascii="Cambria Math" w:hAnsi="Cambria Math"/>
        </w:rPr>
        <w:t xml:space="preserve">(NCWC) </w:t>
      </w:r>
      <w:r w:rsidRPr="00C45FC2">
        <w:rPr>
          <w:rFonts w:ascii="Cambria Math" w:hAnsi="Cambria Math"/>
        </w:rPr>
        <w:t>is a national organization of women</w:t>
      </w:r>
      <w:r w:rsidR="00A3342E" w:rsidRPr="00C45FC2">
        <w:rPr>
          <w:rFonts w:ascii="Cambria Math" w:hAnsi="Cambria Math"/>
        </w:rPr>
        <w:t>,</w:t>
      </w:r>
      <w:r w:rsidRPr="00C45FC2">
        <w:rPr>
          <w:rFonts w:ascii="Cambria Math" w:hAnsi="Cambria Math"/>
        </w:rPr>
        <w:t xml:space="preserve"> working together since 1893</w:t>
      </w:r>
      <w:r w:rsidR="00A3342E" w:rsidRPr="00C45FC2">
        <w:rPr>
          <w:rFonts w:ascii="Cambria Math" w:hAnsi="Cambria Math"/>
        </w:rPr>
        <w:t>,</w:t>
      </w:r>
      <w:r w:rsidRPr="00C45FC2">
        <w:rPr>
          <w:rFonts w:ascii="Cambria Math" w:hAnsi="Cambria Math"/>
        </w:rPr>
        <w:t xml:space="preserve"> </w:t>
      </w:r>
      <w:r w:rsidR="00A3342E" w:rsidRPr="00C45FC2">
        <w:rPr>
          <w:rFonts w:ascii="Cambria Math" w:hAnsi="Cambria Math"/>
        </w:rPr>
        <w:t xml:space="preserve">by </w:t>
      </w:r>
      <w:r w:rsidRPr="00C45FC2">
        <w:rPr>
          <w:rFonts w:ascii="Cambria Math" w:hAnsi="Cambria Math"/>
        </w:rPr>
        <w:t>advocating for the welfare of women, the family and the community in Canada</w:t>
      </w:r>
      <w:r w:rsidR="003B4DEE" w:rsidRPr="00C45FC2">
        <w:rPr>
          <w:rFonts w:ascii="Cambria Math" w:hAnsi="Cambria Math"/>
        </w:rPr>
        <w:t xml:space="preserve">, through local, </w:t>
      </w:r>
      <w:r w:rsidR="00947079" w:rsidRPr="00C45FC2">
        <w:rPr>
          <w:rFonts w:ascii="Cambria Math" w:hAnsi="Cambria Math"/>
        </w:rPr>
        <w:t>and provincial councils of women</w:t>
      </w:r>
      <w:r w:rsidR="003B4DEE" w:rsidRPr="00C45FC2">
        <w:rPr>
          <w:rFonts w:ascii="Cambria Math" w:hAnsi="Cambria Math"/>
        </w:rPr>
        <w:t xml:space="preserve">, </w:t>
      </w:r>
      <w:r w:rsidR="00476E58" w:rsidRPr="00C45FC2">
        <w:rPr>
          <w:rFonts w:ascii="Cambria Math" w:hAnsi="Cambria Math"/>
        </w:rPr>
        <w:t xml:space="preserve">nationally </w:t>
      </w:r>
      <w:r w:rsidR="003B4DEE" w:rsidRPr="00C45FC2">
        <w:rPr>
          <w:rFonts w:ascii="Cambria Math" w:hAnsi="Cambria Math"/>
        </w:rPr>
        <w:t xml:space="preserve">organized societies and the federal </w:t>
      </w:r>
      <w:r w:rsidR="00EF1F02" w:rsidRPr="00C45FC2">
        <w:rPr>
          <w:rFonts w:ascii="Cambria Math" w:hAnsi="Cambria Math"/>
        </w:rPr>
        <w:t>government. The NCWC holds Consultative Status (General) with the Economic and Social Council (ECOSOC) of the United Nations, enabling us to bring a Canadian perspective to the work of the United Nations</w:t>
      </w:r>
      <w:r w:rsidR="00A3342E" w:rsidRPr="00C45FC2">
        <w:rPr>
          <w:rFonts w:ascii="Cambria Math" w:hAnsi="Cambria Math"/>
        </w:rPr>
        <w:t xml:space="preserve"> as</w:t>
      </w:r>
      <w:r w:rsidR="00EF1F02" w:rsidRPr="00C45FC2">
        <w:rPr>
          <w:rFonts w:ascii="Cambria Math" w:hAnsi="Cambria Math"/>
        </w:rPr>
        <w:t xml:space="preserve"> </w:t>
      </w:r>
      <w:r w:rsidRPr="00C45FC2">
        <w:rPr>
          <w:rFonts w:ascii="Cambria Math" w:hAnsi="Cambria Math"/>
        </w:rPr>
        <w:t>an</w:t>
      </w:r>
      <w:r w:rsidR="00EF1F02" w:rsidRPr="00C45FC2">
        <w:rPr>
          <w:rFonts w:ascii="Cambria Math" w:hAnsi="Cambria Math"/>
        </w:rPr>
        <w:t xml:space="preserve"> active participant in the United Nations Commission on the Status of Women (CSW) and </w:t>
      </w:r>
      <w:r w:rsidR="003B4DEE" w:rsidRPr="00C45FC2">
        <w:rPr>
          <w:rFonts w:ascii="Cambria Math" w:hAnsi="Cambria Math"/>
        </w:rPr>
        <w:t>a founding member of the International Council of Women</w:t>
      </w:r>
      <w:r w:rsidR="00EF1F02" w:rsidRPr="00C45FC2">
        <w:rPr>
          <w:rFonts w:ascii="Cambria Math" w:hAnsi="Cambria Math"/>
        </w:rPr>
        <w:t>.</w:t>
      </w:r>
    </w:p>
    <w:p w14:paraId="5A55AFBD" w14:textId="77777777" w:rsidR="00CB0FBB" w:rsidRPr="00C45FC2" w:rsidRDefault="00CB0FBB" w:rsidP="00C45FC2">
      <w:pPr>
        <w:jc w:val="both"/>
        <w:rPr>
          <w:rFonts w:ascii="Cambria Math" w:hAnsi="Cambria Math"/>
        </w:rPr>
      </w:pPr>
    </w:p>
    <w:p w14:paraId="2117E6B4" w14:textId="04A3B76A" w:rsidR="00EB2EA2" w:rsidRPr="00C45FC2" w:rsidRDefault="00EB2EA2" w:rsidP="00C45FC2">
      <w:pPr>
        <w:jc w:val="both"/>
        <w:rPr>
          <w:rFonts w:ascii="Cambria Math" w:hAnsi="Cambria Math"/>
          <w:b/>
          <w:bCs/>
        </w:rPr>
      </w:pPr>
      <w:r w:rsidRPr="00C45FC2">
        <w:rPr>
          <w:rFonts w:ascii="Cambria Math" w:hAnsi="Cambria Math"/>
          <w:b/>
          <w:bCs/>
        </w:rPr>
        <w:t xml:space="preserve">Introduction:  </w:t>
      </w:r>
    </w:p>
    <w:p w14:paraId="639F6D5B" w14:textId="42A87B24" w:rsidR="007729F7" w:rsidRPr="00C45FC2" w:rsidRDefault="007729F7" w:rsidP="00C45FC2">
      <w:pPr>
        <w:jc w:val="both"/>
        <w:rPr>
          <w:rFonts w:ascii="Cambria Math" w:hAnsi="Cambria Math"/>
        </w:rPr>
      </w:pPr>
      <w:r w:rsidRPr="00C45FC2">
        <w:rPr>
          <w:rFonts w:ascii="Cambria Math" w:hAnsi="Cambria Math"/>
        </w:rPr>
        <w:t>This report is being presented by the National Council of Women of Canada</w:t>
      </w:r>
      <w:r w:rsidR="00A3342E" w:rsidRPr="00C45FC2">
        <w:rPr>
          <w:rFonts w:ascii="Cambria Math" w:hAnsi="Cambria Math"/>
        </w:rPr>
        <w:t>,</w:t>
      </w:r>
      <w:r w:rsidRPr="00C45FC2">
        <w:rPr>
          <w:rFonts w:ascii="Cambria Math" w:hAnsi="Cambria Math"/>
        </w:rPr>
        <w:t xml:space="preserve"> in advance of Canada’s review</w:t>
      </w:r>
      <w:r w:rsidR="00A3342E" w:rsidRPr="00C45FC2">
        <w:rPr>
          <w:rFonts w:ascii="Cambria Math" w:hAnsi="Cambria Math"/>
        </w:rPr>
        <w:t>,</w:t>
      </w:r>
      <w:r w:rsidRPr="00C45FC2">
        <w:rPr>
          <w:rFonts w:ascii="Cambria Math" w:hAnsi="Cambria Math"/>
        </w:rPr>
        <w:t xml:space="preserve"> </w:t>
      </w:r>
      <w:r w:rsidR="00A3342E" w:rsidRPr="00C45FC2">
        <w:rPr>
          <w:rFonts w:ascii="Cambria Math" w:hAnsi="Cambria Math"/>
        </w:rPr>
        <w:t xml:space="preserve">to </w:t>
      </w:r>
      <w:r w:rsidRPr="00C45FC2">
        <w:rPr>
          <w:rFonts w:ascii="Cambria Math" w:hAnsi="Cambria Math"/>
        </w:rPr>
        <w:t xml:space="preserve">the 89th Pre-Sessional Working Group of the UN Committee on the Elimination of Discrimination Against Women taking place from October 7th to 25th 2024.  </w:t>
      </w:r>
    </w:p>
    <w:p w14:paraId="763321BC" w14:textId="41093932" w:rsidR="007729F7" w:rsidRPr="00C45FC2" w:rsidRDefault="007729F7" w:rsidP="00C45FC2">
      <w:pPr>
        <w:jc w:val="both"/>
        <w:rPr>
          <w:rFonts w:ascii="Cambria Math" w:hAnsi="Cambria Math"/>
        </w:rPr>
      </w:pPr>
      <w:r w:rsidRPr="00C45FC2">
        <w:rPr>
          <w:rFonts w:ascii="Cambria Math" w:hAnsi="Cambria Math"/>
        </w:rPr>
        <w:t xml:space="preserve">The following </w:t>
      </w:r>
      <w:r w:rsidR="00A3342E" w:rsidRPr="00C45FC2">
        <w:rPr>
          <w:rFonts w:ascii="Cambria Math" w:hAnsi="Cambria Math"/>
        </w:rPr>
        <w:t xml:space="preserve">is a </w:t>
      </w:r>
      <w:r w:rsidRPr="00C45FC2">
        <w:rPr>
          <w:rFonts w:ascii="Cambria Math" w:hAnsi="Cambria Math"/>
        </w:rPr>
        <w:t>list of issues</w:t>
      </w:r>
      <w:r w:rsidR="00A3342E" w:rsidRPr="00C45FC2">
        <w:rPr>
          <w:rFonts w:ascii="Cambria Math" w:hAnsi="Cambria Math"/>
        </w:rPr>
        <w:t xml:space="preserve"> </w:t>
      </w:r>
      <w:r w:rsidR="00586AD1" w:rsidRPr="00C45FC2">
        <w:rPr>
          <w:rFonts w:ascii="Cambria Math" w:hAnsi="Cambria Math"/>
        </w:rPr>
        <w:t>that</w:t>
      </w:r>
      <w:r w:rsidR="00A3342E" w:rsidRPr="00C45FC2">
        <w:rPr>
          <w:rFonts w:ascii="Cambria Math" w:hAnsi="Cambria Math"/>
        </w:rPr>
        <w:t xml:space="preserve"> concern NCWC</w:t>
      </w:r>
      <w:r w:rsidR="00586AD1" w:rsidRPr="00C45FC2">
        <w:rPr>
          <w:rFonts w:ascii="Cambria Math" w:hAnsi="Cambria Math"/>
        </w:rPr>
        <w:t xml:space="preserve"> due to lack of action by the Government of Canada to deal with them:</w:t>
      </w:r>
      <w:r w:rsidRPr="00C45FC2">
        <w:rPr>
          <w:rFonts w:ascii="Cambria Math" w:hAnsi="Cambria Math"/>
        </w:rPr>
        <w:t xml:space="preserve"> </w:t>
      </w:r>
      <w:r w:rsidRPr="00C45FC2">
        <w:rPr>
          <w:rFonts w:ascii="Cambria Math" w:hAnsi="Cambria Math"/>
          <w:b/>
          <w:bCs/>
        </w:rPr>
        <w:t xml:space="preserve"> Femicide as a Distinct Article in the Criminal Code of Canada</w:t>
      </w:r>
      <w:r w:rsidR="00A3342E" w:rsidRPr="00C45FC2">
        <w:rPr>
          <w:rFonts w:ascii="Cambria Math" w:hAnsi="Cambria Math"/>
          <w:b/>
          <w:bCs/>
        </w:rPr>
        <w:t>,</w:t>
      </w:r>
      <w:r w:rsidRPr="00C45FC2">
        <w:rPr>
          <w:rFonts w:ascii="Cambria Math" w:hAnsi="Cambria Math"/>
          <w:b/>
          <w:bCs/>
        </w:rPr>
        <w:t xml:space="preserve"> Non-State Actor Torture, </w:t>
      </w:r>
      <w:bookmarkStart w:id="0" w:name="_Hlk176529985"/>
      <w:r w:rsidRPr="00C45FC2">
        <w:rPr>
          <w:rFonts w:ascii="Cambria Math" w:hAnsi="Cambria Math"/>
          <w:b/>
          <w:bCs/>
        </w:rPr>
        <w:t>Sexual and Reproductive Health</w:t>
      </w:r>
      <w:r w:rsidR="00A3342E" w:rsidRPr="00C45FC2">
        <w:rPr>
          <w:rFonts w:ascii="Cambria Math" w:hAnsi="Cambria Math"/>
          <w:b/>
          <w:bCs/>
        </w:rPr>
        <w:t>,</w:t>
      </w:r>
      <w:r w:rsidRPr="00C45FC2">
        <w:rPr>
          <w:rFonts w:ascii="Cambria Math" w:hAnsi="Cambria Math"/>
          <w:b/>
          <w:bCs/>
        </w:rPr>
        <w:t xml:space="preserve"> the effects of Menopause on women’s access to work and social protection</w:t>
      </w:r>
      <w:bookmarkEnd w:id="0"/>
      <w:r w:rsidR="00A3342E" w:rsidRPr="00C45FC2">
        <w:rPr>
          <w:rFonts w:ascii="Cambria Math" w:hAnsi="Cambria Math"/>
          <w:b/>
          <w:bCs/>
        </w:rPr>
        <w:t>.</w:t>
      </w:r>
      <w:r w:rsidRPr="00C45FC2">
        <w:rPr>
          <w:rFonts w:ascii="Cambria Math" w:hAnsi="Cambria Math"/>
        </w:rPr>
        <w:t xml:space="preserve"> </w:t>
      </w:r>
      <w:r w:rsidR="00A3342E" w:rsidRPr="00C45FC2">
        <w:rPr>
          <w:rFonts w:ascii="Cambria Math" w:hAnsi="Cambria Math"/>
        </w:rPr>
        <w:t xml:space="preserve"> </w:t>
      </w:r>
      <w:r w:rsidR="00586AD1" w:rsidRPr="00C45FC2">
        <w:rPr>
          <w:rFonts w:ascii="Cambria Math" w:hAnsi="Cambria Math"/>
        </w:rPr>
        <w:t>In t</w:t>
      </w:r>
      <w:r w:rsidR="0010234E" w:rsidRPr="00C45FC2">
        <w:rPr>
          <w:rFonts w:ascii="Cambria Math" w:hAnsi="Cambria Math"/>
        </w:rPr>
        <w:t>h</w:t>
      </w:r>
      <w:r w:rsidR="00586AD1" w:rsidRPr="00C45FC2">
        <w:rPr>
          <w:rFonts w:ascii="Cambria Math" w:hAnsi="Cambria Math"/>
        </w:rPr>
        <w:t>ese</w:t>
      </w:r>
      <w:r w:rsidR="0010234E" w:rsidRPr="00C45FC2">
        <w:rPr>
          <w:rFonts w:ascii="Cambria Math" w:hAnsi="Cambria Math"/>
        </w:rPr>
        <w:t xml:space="preserve"> </w:t>
      </w:r>
      <w:r w:rsidR="00586AD1" w:rsidRPr="00C45FC2">
        <w:rPr>
          <w:rFonts w:ascii="Cambria Math" w:hAnsi="Cambria Math"/>
        </w:rPr>
        <w:t xml:space="preserve">areas NCWC is </w:t>
      </w:r>
      <w:r w:rsidR="0010234E" w:rsidRPr="00C45FC2">
        <w:rPr>
          <w:rFonts w:ascii="Cambria Math" w:hAnsi="Cambria Math"/>
        </w:rPr>
        <w:t>concern</w:t>
      </w:r>
      <w:r w:rsidR="00586AD1" w:rsidRPr="00C45FC2">
        <w:rPr>
          <w:rFonts w:ascii="Cambria Math" w:hAnsi="Cambria Math"/>
        </w:rPr>
        <w:t>ed about</w:t>
      </w:r>
      <w:r w:rsidRPr="00C45FC2">
        <w:rPr>
          <w:rFonts w:ascii="Cambria Math" w:hAnsi="Cambria Math"/>
        </w:rPr>
        <w:t xml:space="preserve"> the federal government's inaction and diligence to uphold and protect the rights of women and girls under </w:t>
      </w:r>
      <w:r w:rsidRPr="00C45FC2">
        <w:rPr>
          <w:rFonts w:ascii="Cambria Math" w:hAnsi="Cambria Math"/>
          <w:i/>
          <w:iCs/>
        </w:rPr>
        <w:t>The Canadian Charter of Rights and Freedoms, pursuant of Section 28-Gender Equality Rights</w:t>
      </w:r>
      <w:r w:rsidRPr="00C45FC2">
        <w:rPr>
          <w:rFonts w:ascii="Cambria Math" w:hAnsi="Cambria Math"/>
        </w:rPr>
        <w:t xml:space="preserve"> between male and female persons. </w:t>
      </w:r>
      <w:r w:rsidRPr="00C45FC2">
        <w:rPr>
          <w:rFonts w:ascii="Cambria Math" w:hAnsi="Cambria Math"/>
          <w:i/>
          <w:iCs/>
        </w:rPr>
        <w:t xml:space="preserve"> </w:t>
      </w:r>
      <w:hyperlink r:id="rId10" w:history="1">
        <w:r w:rsidRPr="00C45FC2">
          <w:rPr>
            <w:rFonts w:ascii="Cambria Math" w:hAnsi="Cambria Math"/>
            <w:i/>
            <w:iCs/>
            <w:color w:val="467886" w:themeColor="hyperlink"/>
            <w:u w:val="single"/>
            <w:lang w:val="fr-CA"/>
          </w:rPr>
          <w:t>https://www.justice.gc.ca/eng/csj-</w:t>
        </w:r>
        <w:r w:rsidRPr="00C45FC2">
          <w:rPr>
            <w:rFonts w:ascii="Cambria Math" w:hAnsi="Cambria Math"/>
            <w:i/>
            <w:iCs/>
            <w:color w:val="467886" w:themeColor="hyperlink"/>
            <w:u w:val="single"/>
            <w:lang w:val="fr-CA"/>
          </w:rPr>
          <w:lastRenderedPageBreak/>
          <w:t>sjc/rfc-dlc/ccrf-ccdl/check/art28.html</w:t>
        </w:r>
      </w:hyperlink>
      <w:r w:rsidRPr="00C45FC2">
        <w:rPr>
          <w:rFonts w:ascii="Cambria Math" w:hAnsi="Cambria Math"/>
          <w:lang w:val="fr-CA"/>
        </w:rPr>
        <w:t xml:space="preserve"> </w:t>
      </w:r>
      <w:r w:rsidRPr="00C45FC2">
        <w:rPr>
          <w:rFonts w:ascii="Cambria Math" w:hAnsi="Cambria Math"/>
          <w:i/>
          <w:iCs/>
          <w:lang w:val="fr-CA"/>
        </w:rPr>
        <w:t>Section 15, Provisions 15 (1), (2) Section (1)</w:t>
      </w:r>
      <w:r w:rsidRPr="00C45FC2">
        <w:rPr>
          <w:rFonts w:ascii="Cambria Math" w:hAnsi="Cambria Math"/>
          <w:lang w:val="fr-CA"/>
        </w:rPr>
        <w:t xml:space="preserve"> </w:t>
      </w:r>
      <w:hyperlink r:id="rId11" w:history="1">
        <w:r w:rsidRPr="00C45FC2">
          <w:rPr>
            <w:rFonts w:ascii="Cambria Math" w:hAnsi="Cambria Math"/>
            <w:i/>
            <w:iCs/>
            <w:color w:val="467886" w:themeColor="hyperlink"/>
            <w:u w:val="single"/>
            <w:lang w:val="fr-CA"/>
          </w:rPr>
          <w:t>https://www.justice.gc.ca/eng/csj-sjc/rfc-dlc/ccrf-ccdl/check/art15.html</w:t>
        </w:r>
      </w:hyperlink>
      <w:r w:rsidR="0010234E" w:rsidRPr="00C45FC2">
        <w:rPr>
          <w:rFonts w:ascii="Cambria Math" w:hAnsi="Cambria Math"/>
          <w:i/>
          <w:iCs/>
          <w:color w:val="467886" w:themeColor="hyperlink"/>
          <w:u w:val="single"/>
          <w:lang w:val="fr-CA"/>
        </w:rPr>
        <w:t>/.</w:t>
      </w:r>
      <w:r w:rsidRPr="00C45FC2">
        <w:rPr>
          <w:rFonts w:ascii="Cambria Math" w:hAnsi="Cambria Math"/>
          <w:i/>
          <w:iCs/>
          <w:lang w:val="fr-CA"/>
        </w:rPr>
        <w:t xml:space="preserve"> </w:t>
      </w:r>
      <w:r w:rsidR="004B3ED8" w:rsidRPr="00C45FC2">
        <w:rPr>
          <w:rFonts w:ascii="Cambria Math" w:hAnsi="Cambria Math"/>
          <w:lang w:val="fr-CA"/>
        </w:rPr>
        <w:t xml:space="preserve"> </w:t>
      </w:r>
      <w:r w:rsidRPr="00C45FC2">
        <w:rPr>
          <w:rFonts w:ascii="Cambria Math" w:hAnsi="Cambria Math"/>
        </w:rPr>
        <w:t>Canada</w:t>
      </w:r>
      <w:r w:rsidR="004B3ED8" w:rsidRPr="00C45FC2">
        <w:rPr>
          <w:rFonts w:ascii="Cambria Math" w:hAnsi="Cambria Math"/>
        </w:rPr>
        <w:t>’s policy</w:t>
      </w:r>
      <w:r w:rsidRPr="00C45FC2">
        <w:rPr>
          <w:rFonts w:ascii="Cambria Math" w:hAnsi="Cambria Math"/>
        </w:rPr>
        <w:t xml:space="preserve"> to uphold and protect the human rights of women and girls (female persons), thus </w:t>
      </w:r>
      <w:r w:rsidR="004B3ED8" w:rsidRPr="00C45FC2">
        <w:rPr>
          <w:rFonts w:ascii="Cambria Math" w:hAnsi="Cambria Math"/>
        </w:rPr>
        <w:t>fails</w:t>
      </w:r>
      <w:r w:rsidRPr="00C45FC2">
        <w:rPr>
          <w:rFonts w:ascii="Cambria Math" w:hAnsi="Cambria Math"/>
        </w:rPr>
        <w:t xml:space="preserve">  Section 28-Gender Equality Rights,  Section 15, Provisions 15 (1), (2) Section (1) of the Canadian Charter of Rights and Freedoms </w:t>
      </w:r>
      <w:r w:rsidR="004B3ED8" w:rsidRPr="00C45FC2">
        <w:rPr>
          <w:rFonts w:ascii="Cambria Math" w:hAnsi="Cambria Math"/>
        </w:rPr>
        <w:t xml:space="preserve">by </w:t>
      </w:r>
      <w:r w:rsidRPr="00C45FC2">
        <w:rPr>
          <w:rFonts w:ascii="Cambria Math" w:hAnsi="Cambria Math"/>
        </w:rPr>
        <w:t xml:space="preserve">declining to recognize ‘Femicide’ as a distinct crime against women and girls,  the most brutal manifestation of violence and discrimination directed against women and girls; and further perpetuating age discrimination within policies addressing the negative </w:t>
      </w:r>
      <w:r w:rsidR="002A2DFA" w:rsidRPr="00C45FC2">
        <w:rPr>
          <w:rFonts w:ascii="Cambria Math" w:hAnsi="Cambria Math"/>
        </w:rPr>
        <w:t xml:space="preserve">impact </w:t>
      </w:r>
      <w:r w:rsidRPr="00C45FC2">
        <w:rPr>
          <w:rFonts w:ascii="Cambria Math" w:hAnsi="Cambria Math"/>
        </w:rPr>
        <w:t xml:space="preserve">of Menopause on women’s access to work and social protection. </w:t>
      </w:r>
    </w:p>
    <w:p w14:paraId="22A215CC" w14:textId="77777777" w:rsidR="007729F7" w:rsidRPr="00C45FC2" w:rsidRDefault="007729F7" w:rsidP="00C45FC2">
      <w:pPr>
        <w:jc w:val="both"/>
        <w:rPr>
          <w:rFonts w:ascii="Cambria Math" w:hAnsi="Cambria Math"/>
          <w:b/>
          <w:bCs/>
        </w:rPr>
      </w:pPr>
      <w:r w:rsidRPr="00C45FC2">
        <w:rPr>
          <w:rFonts w:ascii="Cambria Math" w:hAnsi="Cambria Math"/>
          <w:b/>
          <w:bCs/>
        </w:rPr>
        <w:t>Femicide is a distinct crime</w:t>
      </w:r>
    </w:p>
    <w:p w14:paraId="3F2AE72F" w14:textId="6A835937" w:rsidR="007729F7" w:rsidRPr="00C45FC2" w:rsidRDefault="007729F7" w:rsidP="00C45FC2">
      <w:pPr>
        <w:jc w:val="both"/>
        <w:rPr>
          <w:rFonts w:ascii="Cambria Math" w:hAnsi="Cambria Math"/>
        </w:rPr>
      </w:pPr>
      <w:r w:rsidRPr="00C45FC2">
        <w:rPr>
          <w:rFonts w:ascii="Cambria Math" w:hAnsi="Cambria Math"/>
        </w:rPr>
        <w:t>Violence against women has been on the rise in Canada, 44% of women or 6.2 million women aged 15 and older have reported some kind of abuse in their intimate partner relationship</w:t>
      </w:r>
      <w:r w:rsidRPr="00C45FC2">
        <w:rPr>
          <w:rFonts w:ascii="Cambria Math" w:hAnsi="Cambria Math"/>
          <w:vertAlign w:val="superscript"/>
        </w:rPr>
        <w:footnoteReference w:id="1"/>
      </w:r>
      <w:r w:rsidRPr="00C45FC2">
        <w:rPr>
          <w:rFonts w:ascii="Cambria Math" w:hAnsi="Cambria Math"/>
        </w:rPr>
        <w:t xml:space="preserve">. However, ‘Femicide’ </w:t>
      </w:r>
      <w:r w:rsidR="002205F5" w:rsidRPr="00C45FC2">
        <w:rPr>
          <w:rFonts w:ascii="Cambria Math" w:hAnsi="Cambria Math"/>
        </w:rPr>
        <w:t xml:space="preserve">has become </w:t>
      </w:r>
      <w:r w:rsidRPr="00C45FC2">
        <w:rPr>
          <w:rFonts w:ascii="Cambria Math" w:hAnsi="Cambria Math"/>
        </w:rPr>
        <w:t xml:space="preserve">Canada’s pandemic. </w:t>
      </w:r>
    </w:p>
    <w:p w14:paraId="6BF3D921" w14:textId="5F2AEBC4" w:rsidR="007729F7" w:rsidRPr="00C45FC2" w:rsidRDefault="007729F7" w:rsidP="00C45FC2">
      <w:pPr>
        <w:jc w:val="both"/>
        <w:rPr>
          <w:rFonts w:ascii="Cambria Math" w:hAnsi="Cambria Math"/>
        </w:rPr>
      </w:pPr>
      <w:r w:rsidRPr="00C45FC2">
        <w:rPr>
          <w:rFonts w:ascii="Cambria Math" w:hAnsi="Cambria Math"/>
        </w:rPr>
        <w:t xml:space="preserve">Femicide fundamentally involves the murder of females, predominantly by males, solely due to their sex. While </w:t>
      </w:r>
      <w:r w:rsidRPr="00C45FC2">
        <w:rPr>
          <w:rFonts w:ascii="Cambria Math" w:hAnsi="Cambria Math"/>
          <w:b/>
          <w:bCs/>
          <w:i/>
          <w:iCs/>
        </w:rPr>
        <w:t>‘Homicide’</w:t>
      </w:r>
      <w:r w:rsidRPr="00C45FC2">
        <w:rPr>
          <w:rFonts w:ascii="Cambria Math" w:hAnsi="Cambria Math"/>
        </w:rPr>
        <w:t xml:space="preserve"> is a word defining murder, within the global legal framework, the classification of’ </w:t>
      </w:r>
      <w:r w:rsidRPr="00C45FC2">
        <w:rPr>
          <w:rFonts w:ascii="Cambria Math" w:hAnsi="Cambria Math"/>
          <w:b/>
          <w:bCs/>
          <w:i/>
          <w:iCs/>
        </w:rPr>
        <w:t>Femicide’</w:t>
      </w:r>
      <w:r w:rsidRPr="00C45FC2">
        <w:rPr>
          <w:rFonts w:ascii="Cambria Math" w:hAnsi="Cambria Math"/>
        </w:rPr>
        <w:t xml:space="preserve"> as an act of killing under </w:t>
      </w:r>
      <w:r w:rsidRPr="00C45FC2">
        <w:rPr>
          <w:rFonts w:ascii="Cambria Math" w:hAnsi="Cambria Math"/>
          <w:b/>
          <w:bCs/>
        </w:rPr>
        <w:t>‘Homicide</w:t>
      </w:r>
      <w:r w:rsidRPr="00C45FC2">
        <w:rPr>
          <w:rFonts w:ascii="Cambria Math" w:hAnsi="Cambria Math"/>
        </w:rPr>
        <w:t xml:space="preserve">’ is wrongfully attributed, </w:t>
      </w:r>
      <w:r w:rsidR="002205F5" w:rsidRPr="00C45FC2">
        <w:rPr>
          <w:rFonts w:ascii="Cambria Math" w:hAnsi="Cambria Math"/>
        </w:rPr>
        <w:t>as</w:t>
      </w:r>
      <w:r w:rsidRPr="00C45FC2">
        <w:rPr>
          <w:rFonts w:ascii="Cambria Math" w:hAnsi="Cambria Math"/>
        </w:rPr>
        <w:t xml:space="preserve"> it misrepresents the </w:t>
      </w:r>
      <w:r w:rsidRPr="00C45FC2">
        <w:rPr>
          <w:rFonts w:ascii="Cambria Math" w:hAnsi="Cambria Math"/>
          <w:i/>
          <w:iCs/>
        </w:rPr>
        <w:t>act of males killing females</w:t>
      </w:r>
      <w:r w:rsidRPr="00C45FC2">
        <w:rPr>
          <w:rFonts w:ascii="Cambria Math" w:hAnsi="Cambria Math"/>
        </w:rPr>
        <w:t>. The etymological origin of the word Homicide literal translation is</w:t>
      </w:r>
      <w:r w:rsidRPr="00C45FC2">
        <w:rPr>
          <w:rFonts w:ascii="Cambria Math" w:hAnsi="Cambria Math"/>
          <w:b/>
          <w:bCs/>
          <w:i/>
          <w:iCs/>
        </w:rPr>
        <w:t xml:space="preserve">” man-killing” " from Latin </w:t>
      </w:r>
      <w:proofErr w:type="spellStart"/>
      <w:r w:rsidRPr="00C45FC2">
        <w:rPr>
          <w:rFonts w:ascii="Cambria Math" w:hAnsi="Cambria Math"/>
          <w:b/>
          <w:bCs/>
          <w:i/>
          <w:iCs/>
        </w:rPr>
        <w:t>homicidium</w:t>
      </w:r>
      <w:proofErr w:type="spellEnd"/>
      <w:r w:rsidRPr="00C45FC2">
        <w:rPr>
          <w:rFonts w:ascii="Cambria Math" w:hAnsi="Cambria Math"/>
          <w:b/>
          <w:bCs/>
          <w:i/>
          <w:iCs/>
        </w:rPr>
        <w:t xml:space="preserve"> "manslaughter," from homo "man" (see homunculus) + -</w:t>
      </w:r>
      <w:proofErr w:type="spellStart"/>
      <w:r w:rsidRPr="00C45FC2">
        <w:rPr>
          <w:rFonts w:ascii="Cambria Math" w:hAnsi="Cambria Math"/>
          <w:b/>
          <w:bCs/>
          <w:i/>
          <w:iCs/>
        </w:rPr>
        <w:t>cidium</w:t>
      </w:r>
      <w:proofErr w:type="spellEnd"/>
      <w:r w:rsidRPr="00C45FC2">
        <w:rPr>
          <w:rFonts w:ascii="Cambria Math" w:hAnsi="Cambria Math"/>
          <w:b/>
          <w:bCs/>
          <w:i/>
          <w:iCs/>
        </w:rPr>
        <w:t xml:space="preserve"> "act of killing," from </w:t>
      </w:r>
      <w:proofErr w:type="spellStart"/>
      <w:r w:rsidRPr="00C45FC2">
        <w:rPr>
          <w:rFonts w:ascii="Cambria Math" w:hAnsi="Cambria Math"/>
          <w:b/>
          <w:bCs/>
          <w:i/>
          <w:iCs/>
        </w:rPr>
        <w:t>caedere</w:t>
      </w:r>
      <w:proofErr w:type="spellEnd"/>
      <w:r w:rsidRPr="00C45FC2">
        <w:rPr>
          <w:rFonts w:ascii="Cambria Math" w:hAnsi="Cambria Math"/>
          <w:b/>
          <w:bCs/>
          <w:i/>
          <w:iCs/>
        </w:rPr>
        <w:t xml:space="preserve"> "to kill, to cut down" (from PIE root *</w:t>
      </w:r>
      <w:proofErr w:type="spellStart"/>
      <w:r w:rsidRPr="00C45FC2">
        <w:rPr>
          <w:rFonts w:ascii="Cambria Math" w:hAnsi="Cambria Math"/>
          <w:b/>
          <w:bCs/>
          <w:i/>
          <w:iCs/>
        </w:rPr>
        <w:t>kae</w:t>
      </w:r>
      <w:proofErr w:type="spellEnd"/>
      <w:r w:rsidRPr="00C45FC2">
        <w:rPr>
          <w:rFonts w:ascii="Cambria Math" w:hAnsi="Cambria Math"/>
          <w:b/>
          <w:bCs/>
          <w:i/>
          <w:iCs/>
        </w:rPr>
        <w:t>-id- "to strike")”</w:t>
      </w:r>
      <w:r w:rsidRPr="00C45FC2">
        <w:rPr>
          <w:rFonts w:ascii="Cambria Math" w:hAnsi="Cambria Math"/>
          <w:vertAlign w:val="superscript"/>
        </w:rPr>
        <w:footnoteReference w:id="2"/>
      </w:r>
      <w:r w:rsidRPr="00C45FC2">
        <w:rPr>
          <w:rFonts w:ascii="Cambria Math" w:hAnsi="Cambria Math"/>
        </w:rPr>
        <w:t>. As such, addressing ‘Femicide’ as Gender Homicide under Canada’s Criminal Code not only misrepresents addressing the victim’s sex but also the intent, motivation, and severity of the crime; it therefore, fails to address the most brutal form of violence against women and girls making the victims of femicide invisible. Within the legal operational and agreed language of the UNGA</w:t>
      </w:r>
      <w:r w:rsidRPr="00C45FC2">
        <w:rPr>
          <w:rFonts w:ascii="Cambria Math" w:hAnsi="Cambria Math"/>
          <w:vertAlign w:val="superscript"/>
        </w:rPr>
        <w:footnoteReference w:id="3"/>
      </w:r>
      <w:r w:rsidRPr="00C45FC2">
        <w:rPr>
          <w:rFonts w:ascii="Cambria Math" w:hAnsi="Cambria Math"/>
        </w:rPr>
        <w:t>/UNDOC report</w:t>
      </w:r>
      <w:r w:rsidR="00DB064D" w:rsidRPr="00C45FC2">
        <w:rPr>
          <w:rFonts w:ascii="Cambria Math" w:hAnsi="Cambria Math"/>
        </w:rPr>
        <w:t>s</w:t>
      </w:r>
      <w:r w:rsidRPr="00C45FC2">
        <w:rPr>
          <w:rFonts w:ascii="Cambria Math" w:hAnsi="Cambria Math"/>
        </w:rPr>
        <w:t xml:space="preserve"> the definition of ‘Femicide’ is recognized as violence against women (females)</w:t>
      </w:r>
      <w:r w:rsidR="002205F5" w:rsidRPr="00C45FC2">
        <w:rPr>
          <w:rFonts w:ascii="Cambria Math" w:hAnsi="Cambria Math"/>
        </w:rPr>
        <w:t xml:space="preserve">. </w:t>
      </w:r>
      <w:proofErr w:type="spellStart"/>
      <w:r w:rsidR="006D5100" w:rsidRPr="00C45FC2">
        <w:rPr>
          <w:rFonts w:ascii="Cambria Math" w:hAnsi="Cambria Math"/>
        </w:rPr>
        <w:t>UNwomen</w:t>
      </w:r>
      <w:proofErr w:type="spellEnd"/>
      <w:r w:rsidR="006D5100" w:rsidRPr="00C45FC2">
        <w:rPr>
          <w:rFonts w:ascii="Cambria Math" w:hAnsi="Cambria Math"/>
        </w:rPr>
        <w:t xml:space="preserve"> reports</w:t>
      </w:r>
      <w:r w:rsidR="006D5100" w:rsidRPr="00C45FC2">
        <w:rPr>
          <w:rStyle w:val="FootnoteReference"/>
          <w:rFonts w:ascii="Cambria Math" w:hAnsi="Cambria Math"/>
        </w:rPr>
        <w:footnoteReference w:id="4"/>
      </w:r>
      <w:r w:rsidR="002205F5" w:rsidRPr="00C45FC2">
        <w:rPr>
          <w:rFonts w:ascii="Cambria Math" w:hAnsi="Cambria Math"/>
        </w:rPr>
        <w:t xml:space="preserve"> show t he same</w:t>
      </w:r>
      <w:r w:rsidRPr="00C45FC2">
        <w:rPr>
          <w:rFonts w:ascii="Cambria Math" w:hAnsi="Cambria Math"/>
        </w:rPr>
        <w:t xml:space="preserve">.   </w:t>
      </w:r>
      <w:r w:rsidR="00DB064D" w:rsidRPr="00C45FC2">
        <w:rPr>
          <w:rFonts w:ascii="Cambria Math" w:hAnsi="Cambria Math"/>
        </w:rPr>
        <w:t>F</w:t>
      </w:r>
      <w:r w:rsidRPr="00C45FC2">
        <w:rPr>
          <w:rFonts w:ascii="Cambria Math" w:hAnsi="Cambria Math"/>
        </w:rPr>
        <w:t>indings</w:t>
      </w:r>
      <w:r w:rsidR="00DB064D" w:rsidRPr="00C45FC2">
        <w:rPr>
          <w:rFonts w:ascii="Cambria Math" w:hAnsi="Cambria Math"/>
        </w:rPr>
        <w:t xml:space="preserve"> by the Canadian Femicide Observatory for Justice and Accountability</w:t>
      </w:r>
      <w:r w:rsidR="00DB064D" w:rsidRPr="00C45FC2">
        <w:rPr>
          <w:rStyle w:val="FootnoteReference"/>
          <w:rFonts w:ascii="Cambria Math" w:hAnsi="Cambria Math"/>
        </w:rPr>
        <w:footnoteReference w:id="5"/>
      </w:r>
      <w:r w:rsidRPr="00C45FC2">
        <w:rPr>
          <w:rFonts w:ascii="Cambria Math" w:hAnsi="Cambria Math"/>
        </w:rPr>
        <w:t xml:space="preserve"> indicate that 850 women and girls have been murdered </w:t>
      </w:r>
      <w:r w:rsidR="002205F5" w:rsidRPr="00C45FC2">
        <w:rPr>
          <w:rFonts w:ascii="Cambria Math" w:hAnsi="Cambria Math"/>
        </w:rPr>
        <w:t xml:space="preserve">in Canada </w:t>
      </w:r>
      <w:r w:rsidRPr="00C45FC2">
        <w:rPr>
          <w:rFonts w:ascii="Cambria Math" w:hAnsi="Cambria Math"/>
        </w:rPr>
        <w:t xml:space="preserve">over the past five years, which translates to one woman or girl being killed approximately every 48 hours. Furthermore, there was a 27 percent rise in deaths attributed to male suspects between </w:t>
      </w:r>
      <w:r w:rsidRPr="00C45FC2">
        <w:rPr>
          <w:rFonts w:ascii="Cambria Math" w:hAnsi="Cambria Math"/>
        </w:rPr>
        <w:lastRenderedPageBreak/>
        <w:t>2019, 2022</w:t>
      </w:r>
      <w:r w:rsidRPr="00C45FC2">
        <w:rPr>
          <w:rFonts w:ascii="Cambria Math" w:hAnsi="Cambria Math"/>
          <w:vertAlign w:val="superscript"/>
        </w:rPr>
        <w:footnoteReference w:id="6"/>
      </w:r>
      <w:r w:rsidRPr="00C45FC2">
        <w:rPr>
          <w:rFonts w:ascii="Cambria Math" w:hAnsi="Cambria Math"/>
        </w:rPr>
        <w:t xml:space="preserve"> and 2023. Although not all cases had identified perpetrators, 82 percent of those identified were male, while 18 percent involved female suspects. Intimate-partner violence was the most prevalent form of femicide, followed by familial and non-intimate femicide.</w:t>
      </w:r>
    </w:p>
    <w:p w14:paraId="04DDA5C7" w14:textId="0CA39F9D" w:rsidR="007729F7" w:rsidRPr="00C45FC2" w:rsidRDefault="007729F7" w:rsidP="00C45FC2">
      <w:pPr>
        <w:jc w:val="both"/>
        <w:rPr>
          <w:rFonts w:ascii="Cambria Math" w:hAnsi="Cambria Math"/>
        </w:rPr>
      </w:pPr>
      <w:r w:rsidRPr="00C45FC2">
        <w:rPr>
          <w:rFonts w:ascii="Cambria Math" w:hAnsi="Cambria Math"/>
        </w:rPr>
        <w:t xml:space="preserve">Notably, femicide has not yet been recognized as a distinct crime within Canada’s Criminal Code. Despite a commitment made in 2018 to sign a global convention aimed at developing programs to investigate and prevent femicide, Canada remains one of three out of 35 countries that have not fulfilled this pledge. Despite numerous calls to action and campaigns from civil society to recognize ‘femicide’ as a pandemic, to date the government of Canada has not enacted specific legislation establishing Femicide </w:t>
      </w:r>
      <w:r w:rsidR="00AA38EA" w:rsidRPr="00C45FC2">
        <w:rPr>
          <w:rFonts w:ascii="Cambria Math" w:hAnsi="Cambria Math"/>
        </w:rPr>
        <w:t>a</w:t>
      </w:r>
      <w:r w:rsidR="00AA3A90" w:rsidRPr="00C45FC2">
        <w:rPr>
          <w:rFonts w:ascii="Cambria Math" w:hAnsi="Cambria Math"/>
        </w:rPr>
        <w:t>s</w:t>
      </w:r>
      <w:r w:rsidRPr="00C45FC2">
        <w:rPr>
          <w:rFonts w:ascii="Cambria Math" w:hAnsi="Cambria Math"/>
        </w:rPr>
        <w:t xml:space="preserve"> a distinct crime in the Criminal Code of Canada,</w:t>
      </w:r>
      <w:r w:rsidR="00AA38EA" w:rsidRPr="00C45FC2">
        <w:rPr>
          <w:rFonts w:ascii="Cambria Math" w:hAnsi="Cambria Math"/>
        </w:rPr>
        <w:t xml:space="preserve"> </w:t>
      </w:r>
      <w:r w:rsidR="002205F5" w:rsidRPr="00C45FC2">
        <w:rPr>
          <w:rFonts w:ascii="Cambria Math" w:hAnsi="Cambria Math"/>
        </w:rPr>
        <w:t xml:space="preserve">thus failing to move to </w:t>
      </w:r>
      <w:r w:rsidR="00AA38EA" w:rsidRPr="00C45FC2">
        <w:rPr>
          <w:rFonts w:ascii="Cambria Math" w:hAnsi="Cambria Math"/>
        </w:rPr>
        <w:t>ensur</w:t>
      </w:r>
      <w:r w:rsidR="002205F5" w:rsidRPr="00C45FC2">
        <w:rPr>
          <w:rFonts w:ascii="Cambria Math" w:hAnsi="Cambria Math"/>
        </w:rPr>
        <w:t>e</w:t>
      </w:r>
      <w:r w:rsidR="00AA38EA" w:rsidRPr="00C45FC2">
        <w:rPr>
          <w:rFonts w:ascii="Cambria Math" w:hAnsi="Cambria Math"/>
        </w:rPr>
        <w:t xml:space="preserve"> </w:t>
      </w:r>
      <w:r w:rsidR="00AA3A90" w:rsidRPr="00C45FC2">
        <w:rPr>
          <w:rFonts w:ascii="Cambria Math" w:hAnsi="Cambria Math"/>
        </w:rPr>
        <w:t>the eradication</w:t>
      </w:r>
      <w:r w:rsidRPr="00C45FC2">
        <w:rPr>
          <w:rFonts w:ascii="Cambria Math" w:hAnsi="Cambria Math"/>
        </w:rPr>
        <w:t xml:space="preserve"> of one of the most brutal, cruelest and heinous forms of violence against women and girls</w:t>
      </w:r>
      <w:r w:rsidR="00AA3A90" w:rsidRPr="00C45FC2">
        <w:rPr>
          <w:rFonts w:ascii="Cambria Math" w:hAnsi="Cambria Math"/>
        </w:rPr>
        <w:t>.</w:t>
      </w:r>
    </w:p>
    <w:p w14:paraId="462D6E3A" w14:textId="77777777" w:rsidR="007729F7" w:rsidRPr="00C45FC2" w:rsidRDefault="007729F7" w:rsidP="00C45FC2">
      <w:pPr>
        <w:jc w:val="both"/>
        <w:rPr>
          <w:rFonts w:ascii="Cambria Math" w:hAnsi="Cambria Math"/>
        </w:rPr>
      </w:pPr>
      <w:r w:rsidRPr="00C45FC2">
        <w:rPr>
          <w:rFonts w:ascii="Cambria Math" w:hAnsi="Cambria Math"/>
        </w:rPr>
        <w:t>The information presented underscores the urgent need for comprehensive action to address the serious and widespread issue of femicide. By recognizing femicide as a violation of human rights and a public health crisis, and by drawing lessons from jurisdictions that have successfully addressed this issue, Canada can take meaningful steps toward combating femicide.</w:t>
      </w:r>
    </w:p>
    <w:p w14:paraId="57EA83FB" w14:textId="77777777" w:rsidR="007729F7" w:rsidRPr="00C45FC2" w:rsidRDefault="007729F7" w:rsidP="00C45FC2">
      <w:pPr>
        <w:jc w:val="both"/>
        <w:rPr>
          <w:rFonts w:ascii="Cambria Math" w:hAnsi="Cambria Math"/>
          <w:b/>
          <w:bCs/>
        </w:rPr>
      </w:pPr>
      <w:r w:rsidRPr="00C45FC2">
        <w:rPr>
          <w:rFonts w:ascii="Cambria Math" w:hAnsi="Cambria Math"/>
          <w:b/>
          <w:bCs/>
        </w:rPr>
        <w:t>CEDAW Part I Articles 1-6:</w:t>
      </w:r>
    </w:p>
    <w:p w14:paraId="5AD61703" w14:textId="77777777" w:rsidR="007729F7" w:rsidRPr="00C45FC2" w:rsidRDefault="007729F7" w:rsidP="00C45FC2">
      <w:pPr>
        <w:jc w:val="both"/>
        <w:rPr>
          <w:rFonts w:ascii="Cambria Math" w:hAnsi="Cambria Math"/>
        </w:rPr>
      </w:pPr>
      <w:r w:rsidRPr="00C45FC2">
        <w:rPr>
          <w:rFonts w:ascii="Cambria Math" w:hAnsi="Cambria Math"/>
        </w:rPr>
        <w:t xml:space="preserve">From a perspective of Canada fulfilling its obligations as a CEDAW signatory state, Canada failed to comply with the following articles: </w:t>
      </w:r>
    </w:p>
    <w:p w14:paraId="75E97D99" w14:textId="77777777" w:rsidR="00E74A89" w:rsidRPr="00C45FC2" w:rsidRDefault="007729F7" w:rsidP="00C45FC2">
      <w:pPr>
        <w:jc w:val="both"/>
        <w:rPr>
          <w:rFonts w:ascii="Cambria Math" w:hAnsi="Cambria Math"/>
          <w:b/>
          <w:bCs/>
          <w:i/>
          <w:iCs/>
        </w:rPr>
      </w:pPr>
      <w:r w:rsidRPr="00C45FC2">
        <w:rPr>
          <w:rFonts w:ascii="Cambria Math" w:hAnsi="Cambria Math"/>
          <w:b/>
          <w:bCs/>
        </w:rPr>
        <w:t>1.CEDAW</w:t>
      </w:r>
      <w:r w:rsidRPr="00C45FC2">
        <w:rPr>
          <w:rFonts w:ascii="Cambria Math" w:hAnsi="Cambria Math"/>
        </w:rPr>
        <w:t xml:space="preserve">, particularly Part I Articles 1-6 in which States parties agree to </w:t>
      </w:r>
      <w:r w:rsidRPr="00C45FC2">
        <w:rPr>
          <w:rFonts w:ascii="Cambria Math" w:hAnsi="Cambria Math"/>
          <w:b/>
          <w:bCs/>
          <w:i/>
          <w:iCs/>
        </w:rPr>
        <w:t>take appropriate legislative measures</w:t>
      </w:r>
      <w:r w:rsidR="00EA4AED" w:rsidRPr="00C45FC2">
        <w:rPr>
          <w:rFonts w:ascii="Cambria Math" w:hAnsi="Cambria Math"/>
          <w:b/>
          <w:bCs/>
          <w:i/>
          <w:iCs/>
        </w:rPr>
        <w:t xml:space="preserve"> </w:t>
      </w:r>
    </w:p>
    <w:p w14:paraId="623DBE55" w14:textId="37A2A6E5" w:rsidR="007729F7" w:rsidRPr="00C45FC2" w:rsidRDefault="007729F7" w:rsidP="00C45FC2">
      <w:pPr>
        <w:jc w:val="both"/>
        <w:rPr>
          <w:rFonts w:ascii="Cambria Math" w:hAnsi="Cambria Math"/>
        </w:rPr>
      </w:pPr>
      <w:r w:rsidRPr="00C45FC2">
        <w:rPr>
          <w:rFonts w:ascii="Cambria Math" w:hAnsi="Cambria Math"/>
        </w:rPr>
        <w:t xml:space="preserve"> including abolishing </w:t>
      </w:r>
      <w:r w:rsidRPr="00C45FC2">
        <w:rPr>
          <w:rFonts w:ascii="Cambria Math" w:hAnsi="Cambria Math"/>
          <w:b/>
          <w:bCs/>
          <w:i/>
          <w:iCs/>
        </w:rPr>
        <w:t xml:space="preserve">laws that promote discriminatory practices that violate women’s fundamental human rights, and </w:t>
      </w:r>
      <w:r w:rsidRPr="00C45FC2">
        <w:rPr>
          <w:rFonts w:ascii="Cambria Math" w:hAnsi="Cambria Math"/>
          <w:i/>
          <w:iCs/>
        </w:rPr>
        <w:t xml:space="preserve"> </w:t>
      </w:r>
    </w:p>
    <w:p w14:paraId="75BBA076" w14:textId="77777777" w:rsidR="007729F7" w:rsidRPr="00C45FC2" w:rsidRDefault="007729F7" w:rsidP="00C45FC2">
      <w:pPr>
        <w:jc w:val="both"/>
        <w:rPr>
          <w:rFonts w:ascii="Cambria Math" w:hAnsi="Cambria Math"/>
        </w:rPr>
      </w:pPr>
      <w:r w:rsidRPr="00C45FC2">
        <w:rPr>
          <w:rFonts w:ascii="Cambria Math" w:hAnsi="Cambria Math"/>
          <w:b/>
          <w:bCs/>
        </w:rPr>
        <w:t xml:space="preserve"> 2.CEDAW, 2 (b), legislative measure, (c), (d) (e)(f)- </w:t>
      </w:r>
      <w:proofErr w:type="gramStart"/>
      <w:r w:rsidRPr="00C45FC2">
        <w:rPr>
          <w:rFonts w:ascii="Cambria Math" w:hAnsi="Cambria Math"/>
          <w:b/>
          <w:bCs/>
        </w:rPr>
        <w:t>Femicide,  (</w:t>
      </w:r>
      <w:proofErr w:type="gramEnd"/>
      <w:r w:rsidRPr="00C45FC2">
        <w:rPr>
          <w:rFonts w:ascii="Cambria Math" w:hAnsi="Cambria Math"/>
          <w:b/>
          <w:bCs/>
        </w:rPr>
        <w:t xml:space="preserve">g) Homicide as a definition in the Canadian Criminal Code as Femicide. </w:t>
      </w:r>
      <w:r w:rsidRPr="00C45FC2">
        <w:rPr>
          <w:rFonts w:ascii="Cambria Math" w:hAnsi="Cambria Math"/>
        </w:rPr>
        <w:t xml:space="preserve"> General Recommendation 19 general comment 7(b) which says women have “the right not to be subject to torture . . . and     </w:t>
      </w:r>
    </w:p>
    <w:p w14:paraId="3A07CA0D" w14:textId="3283D378" w:rsidR="007729F7" w:rsidRPr="00C45FC2" w:rsidRDefault="007729F7" w:rsidP="00C45FC2">
      <w:pPr>
        <w:jc w:val="both"/>
        <w:rPr>
          <w:rFonts w:ascii="Cambria Math" w:hAnsi="Cambria Math"/>
        </w:rPr>
      </w:pPr>
      <w:r w:rsidRPr="00C45FC2">
        <w:rPr>
          <w:rFonts w:ascii="Cambria Math" w:hAnsi="Cambria Math"/>
          <w:b/>
          <w:bCs/>
        </w:rPr>
        <w:t>3.CEDAW,</w:t>
      </w:r>
      <w:r w:rsidRPr="00C45FC2">
        <w:rPr>
          <w:rFonts w:ascii="Cambria Math" w:hAnsi="Cambria Math"/>
        </w:rPr>
        <w:t xml:space="preserve"> General Recommendation 35 which clarified that violence against women can amount to torture in cases, for example, of domestic violence</w:t>
      </w:r>
      <w:r w:rsidR="00137534" w:rsidRPr="00C45FC2">
        <w:rPr>
          <w:rFonts w:ascii="Cambria Math" w:hAnsi="Cambria Math"/>
        </w:rPr>
        <w:t>. U</w:t>
      </w:r>
      <w:r w:rsidRPr="00C45FC2">
        <w:rPr>
          <w:rFonts w:ascii="Cambria Math" w:hAnsi="Cambria Math"/>
        </w:rPr>
        <w:t xml:space="preserve">nderstanding the level of pain and suffering a woman is subjected to and the purposes and intentionality of those inflicting it, or when Government’s discriminatorily </w:t>
      </w:r>
      <w:proofErr w:type="gramStart"/>
      <w:r w:rsidRPr="00C45FC2">
        <w:rPr>
          <w:rFonts w:ascii="Cambria Math" w:hAnsi="Cambria Math"/>
        </w:rPr>
        <w:t>fail</w:t>
      </w:r>
      <w:proofErr w:type="gramEnd"/>
      <w:r w:rsidRPr="00C45FC2">
        <w:rPr>
          <w:rFonts w:ascii="Cambria Math" w:hAnsi="Cambria Math"/>
        </w:rPr>
        <w:t xml:space="preserve"> to protect her based on her sex</w:t>
      </w:r>
      <w:r w:rsidR="002205F5" w:rsidRPr="00C45FC2">
        <w:rPr>
          <w:rFonts w:ascii="Cambria Math" w:hAnsi="Cambria Math"/>
        </w:rPr>
        <w:t xml:space="preserve"> need to be addressed.</w:t>
      </w:r>
    </w:p>
    <w:p w14:paraId="78BB01BA" w14:textId="706A94B0" w:rsidR="00A87422" w:rsidRPr="00C45FC2" w:rsidRDefault="007729F7" w:rsidP="00C45FC2">
      <w:pPr>
        <w:jc w:val="both"/>
        <w:rPr>
          <w:rFonts w:ascii="Cambria Math" w:hAnsi="Cambria Math"/>
        </w:rPr>
      </w:pPr>
      <w:r w:rsidRPr="00C45FC2">
        <w:rPr>
          <w:rFonts w:ascii="Cambria Math" w:hAnsi="Cambria Math"/>
        </w:rPr>
        <w:lastRenderedPageBreak/>
        <w:t xml:space="preserve">These insolvencies due to lack of action, continue to perpetuate brutal forms of violence against women and girls leading to Non-State Torture for survivors.   </w:t>
      </w:r>
      <w:bookmarkStart w:id="1" w:name="_Hlk175921594"/>
    </w:p>
    <w:p w14:paraId="67904805" w14:textId="70EC3ABB" w:rsidR="00A042D4" w:rsidRPr="00C45FC2" w:rsidRDefault="00C15826" w:rsidP="00C45FC2">
      <w:pPr>
        <w:jc w:val="both"/>
        <w:rPr>
          <w:rFonts w:ascii="Cambria Math" w:hAnsi="Cambria Math" w:cs="Times New Roman"/>
        </w:rPr>
      </w:pPr>
      <w:r w:rsidRPr="00C45FC2">
        <w:rPr>
          <w:rFonts w:ascii="Cambria Math" w:hAnsi="Cambria Math"/>
          <w:b/>
        </w:rPr>
        <w:t>Non-State Actor Torture</w:t>
      </w:r>
      <w:r w:rsidRPr="00C45FC2">
        <w:rPr>
          <w:rFonts w:ascii="Cambria Math" w:hAnsi="Cambria Math"/>
        </w:rPr>
        <w:t xml:space="preserve"> </w:t>
      </w:r>
      <w:r w:rsidRPr="00C45FC2">
        <w:rPr>
          <w:rFonts w:ascii="Cambria Math" w:hAnsi="Cambria Math" w:cs="Times New Roman"/>
          <w:b/>
          <w:bCs/>
          <w:lang w:val="en-US"/>
        </w:rPr>
        <w:t xml:space="preserve">and a </w:t>
      </w:r>
      <w:r w:rsidR="00A042D4" w:rsidRPr="00C45FC2">
        <w:rPr>
          <w:rFonts w:ascii="Cambria Math" w:hAnsi="Cambria Math" w:cs="Times New Roman"/>
          <w:b/>
          <w:bCs/>
          <w:lang w:val="en-US"/>
        </w:rPr>
        <w:t xml:space="preserve">Failure of </w:t>
      </w:r>
      <w:r w:rsidRPr="00C45FC2">
        <w:rPr>
          <w:rFonts w:ascii="Cambria Math" w:hAnsi="Cambria Math" w:cs="Times New Roman"/>
          <w:b/>
          <w:bCs/>
          <w:lang w:val="en-US"/>
        </w:rPr>
        <w:t>D</w:t>
      </w:r>
      <w:r w:rsidR="00A042D4" w:rsidRPr="00C45FC2">
        <w:rPr>
          <w:rFonts w:ascii="Cambria Math" w:hAnsi="Cambria Math" w:cs="Times New Roman"/>
          <w:b/>
          <w:bCs/>
          <w:lang w:val="en-US"/>
        </w:rPr>
        <w:t xml:space="preserve">ue </w:t>
      </w:r>
      <w:r w:rsidRPr="00C45FC2">
        <w:rPr>
          <w:rFonts w:ascii="Cambria Math" w:hAnsi="Cambria Math" w:cs="Times New Roman"/>
          <w:b/>
          <w:bCs/>
          <w:lang w:val="en-US"/>
        </w:rPr>
        <w:t>D</w:t>
      </w:r>
      <w:r w:rsidR="00A042D4" w:rsidRPr="00C45FC2">
        <w:rPr>
          <w:rFonts w:ascii="Cambria Math" w:hAnsi="Cambria Math" w:cs="Times New Roman"/>
          <w:b/>
          <w:bCs/>
          <w:lang w:val="en-US"/>
        </w:rPr>
        <w:t>iligence</w:t>
      </w:r>
      <w:r w:rsidR="00A042D4" w:rsidRPr="00C45FC2">
        <w:rPr>
          <w:rFonts w:ascii="Cambria Math" w:hAnsi="Cambria Math" w:cs="Times New Roman"/>
          <w:bCs/>
          <w:lang w:val="en-US"/>
        </w:rPr>
        <w:t xml:space="preserve">. This section </w:t>
      </w:r>
      <w:r w:rsidR="00A042D4" w:rsidRPr="00C45FC2">
        <w:rPr>
          <w:rFonts w:ascii="Cambria Math" w:hAnsi="Cambria Math" w:cs="Times New Roman"/>
        </w:rPr>
        <w:t>identifies that Canada is failing its due diligence obligations to uphold the human right of women and girls not to be subjected to torture perpetrated by non-State actors. This means Canada violates the following:</w:t>
      </w:r>
    </w:p>
    <w:p w14:paraId="2527E613" w14:textId="43D70485" w:rsidR="00A042D4" w:rsidRPr="00C45FC2" w:rsidRDefault="00A042D4" w:rsidP="00C45FC2">
      <w:pPr>
        <w:pStyle w:val="ListParagraph"/>
        <w:numPr>
          <w:ilvl w:val="0"/>
          <w:numId w:val="5"/>
        </w:numPr>
        <w:spacing w:after="200" w:line="276" w:lineRule="auto"/>
        <w:jc w:val="both"/>
        <w:rPr>
          <w:rFonts w:ascii="Cambria Math" w:hAnsi="Cambria Math" w:cs="Times New Roman"/>
        </w:rPr>
      </w:pPr>
      <w:r w:rsidRPr="00C45FC2">
        <w:rPr>
          <w:rFonts w:ascii="Cambria Math" w:hAnsi="Cambria Math" w:cs="Times New Roman"/>
          <w:bCs/>
          <w:lang w:val="en-US"/>
        </w:rPr>
        <w:t>CEDAW, particularly Part I Articles 1-</w:t>
      </w:r>
      <w:proofErr w:type="gramStart"/>
      <w:r w:rsidRPr="00C45FC2">
        <w:rPr>
          <w:rFonts w:ascii="Cambria Math" w:hAnsi="Cambria Math" w:cs="Times New Roman"/>
          <w:bCs/>
          <w:lang w:val="en-US"/>
        </w:rPr>
        <w:t>6  in</w:t>
      </w:r>
      <w:proofErr w:type="gramEnd"/>
      <w:r w:rsidRPr="00C45FC2">
        <w:rPr>
          <w:rFonts w:ascii="Cambria Math" w:hAnsi="Cambria Math" w:cs="Times New Roman"/>
          <w:bCs/>
          <w:lang w:val="en-US"/>
        </w:rPr>
        <w:t xml:space="preserve"> which States parties agree to take appropriate legislative measures including abolishing laws that promote discriminatory practices that violation women’s fundamental human rights</w:t>
      </w:r>
      <w:r w:rsidR="002E04D8" w:rsidRPr="00C45FC2">
        <w:rPr>
          <w:rFonts w:ascii="Cambria Math" w:hAnsi="Cambria Math" w:cs="Times New Roman"/>
          <w:bCs/>
          <w:lang w:val="en-US"/>
        </w:rPr>
        <w:t>;</w:t>
      </w:r>
      <w:r w:rsidRPr="00C45FC2">
        <w:rPr>
          <w:rFonts w:ascii="Cambria Math" w:hAnsi="Cambria Math" w:cs="Times New Roman"/>
          <w:bCs/>
          <w:lang w:val="en-US"/>
        </w:rPr>
        <w:t xml:space="preserve"> </w:t>
      </w:r>
    </w:p>
    <w:p w14:paraId="06B21CDB" w14:textId="77777777" w:rsidR="00A042D4" w:rsidRPr="00C45FC2" w:rsidRDefault="00A042D4" w:rsidP="00C45FC2">
      <w:pPr>
        <w:pStyle w:val="ListParagraph"/>
        <w:numPr>
          <w:ilvl w:val="0"/>
          <w:numId w:val="5"/>
        </w:numPr>
        <w:spacing w:after="200" w:line="276" w:lineRule="auto"/>
        <w:jc w:val="both"/>
        <w:rPr>
          <w:rFonts w:ascii="Cambria Math" w:hAnsi="Cambria Math" w:cs="Times New Roman"/>
        </w:rPr>
      </w:pPr>
      <w:r w:rsidRPr="00C45FC2">
        <w:rPr>
          <w:rFonts w:ascii="Cambria Math" w:hAnsi="Cambria Math" w:cs="Times New Roman"/>
        </w:rPr>
        <w:t>CEDAW General Recommendation 19 general comment 7(b) which says women have</w:t>
      </w:r>
      <w:r w:rsidRPr="00C45FC2">
        <w:rPr>
          <w:rFonts w:ascii="Cambria Math" w:hAnsi="Cambria Math" w:cs="Times New Roman"/>
          <w:color w:val="000000"/>
          <w:shd w:val="clear" w:color="auto" w:fill="FFFFFF"/>
        </w:rPr>
        <w:t xml:space="preserve"> “the right not to be subject to torture . . . and   </w:t>
      </w:r>
      <w:r w:rsidRPr="00C45FC2">
        <w:rPr>
          <w:rFonts w:ascii="Cambria Math" w:hAnsi="Cambria Math" w:cs="Times New Roman"/>
        </w:rPr>
        <w:t xml:space="preserve">  </w:t>
      </w:r>
    </w:p>
    <w:p w14:paraId="7A09A8A4" w14:textId="77777777" w:rsidR="00A042D4" w:rsidRPr="00C45FC2" w:rsidRDefault="00A042D4" w:rsidP="00C45FC2">
      <w:pPr>
        <w:pStyle w:val="ListParagraph"/>
        <w:numPr>
          <w:ilvl w:val="0"/>
          <w:numId w:val="5"/>
        </w:numPr>
        <w:spacing w:after="200" w:line="276" w:lineRule="auto"/>
        <w:jc w:val="both"/>
        <w:rPr>
          <w:rFonts w:ascii="Cambria Math" w:hAnsi="Cambria Math" w:cs="Times New Roman"/>
        </w:rPr>
      </w:pPr>
      <w:r w:rsidRPr="00C45FC2">
        <w:rPr>
          <w:rFonts w:ascii="Cambria Math" w:hAnsi="Cambria Math" w:cs="Times New Roman"/>
        </w:rPr>
        <w:t>CEDAW General Recommendation 35 which clarified that violence against women can amount to torture in cases, for example, of domestic violence when understanding the level of pain and suffering a woman is subjected to and the purposes and intentionality of those inflicting it, or when Government’s discriminatorily fail to protect her based on her sex.</w:t>
      </w:r>
    </w:p>
    <w:bookmarkEnd w:id="1"/>
    <w:p w14:paraId="5F97866D" w14:textId="69DD3192" w:rsidR="00A042D4" w:rsidRPr="00C45FC2" w:rsidRDefault="00A042D4" w:rsidP="00C45FC2">
      <w:pPr>
        <w:jc w:val="both"/>
        <w:rPr>
          <w:rFonts w:ascii="Cambria Math" w:hAnsi="Cambria Math" w:cs="Times New Roman"/>
        </w:rPr>
      </w:pPr>
      <w:r w:rsidRPr="00C45FC2">
        <w:rPr>
          <w:rFonts w:ascii="Cambria Math" w:hAnsi="Cambria Math" w:cs="Times New Roman"/>
        </w:rPr>
        <w:t xml:space="preserve">Women and girls—including Canadian women and girls—who suffer torture perpetrated by non-State actors or non-State torture are </w:t>
      </w:r>
      <w:hyperlink r:id="rId12" w:history="1">
        <w:r w:rsidRPr="00C45FC2">
          <w:rPr>
            <w:rStyle w:val="Hyperlink"/>
            <w:rFonts w:ascii="Cambria Math" w:hAnsi="Cambria Math" w:cs="Times New Roman"/>
          </w:rPr>
          <w:t>a massive global group</w:t>
        </w:r>
      </w:hyperlink>
      <w:r w:rsidRPr="00C45FC2">
        <w:rPr>
          <w:rFonts w:ascii="Cambria Math" w:hAnsi="Cambria Math" w:cs="Times New Roman"/>
        </w:rPr>
        <w:t xml:space="preserve">, as this </w:t>
      </w:r>
      <w:hyperlink r:id="rId13" w:history="1">
        <w:r w:rsidRPr="00C45FC2">
          <w:rPr>
            <w:rStyle w:val="Hyperlink"/>
            <w:rFonts w:ascii="Cambria Math" w:hAnsi="Cambria Math" w:cs="Times New Roman"/>
          </w:rPr>
          <w:t>definition exposes</w:t>
        </w:r>
      </w:hyperlink>
      <w:r w:rsidRPr="00C45FC2">
        <w:rPr>
          <w:rFonts w:ascii="Cambria Math" w:hAnsi="Cambria Math" w:cs="Times New Roman"/>
        </w:rPr>
        <w:t>:</w:t>
      </w:r>
    </w:p>
    <w:p w14:paraId="530CDE56" w14:textId="77777777" w:rsidR="00A042D4" w:rsidRPr="00C45FC2" w:rsidRDefault="00A042D4" w:rsidP="00C45FC2">
      <w:pPr>
        <w:ind w:left="720"/>
        <w:jc w:val="both"/>
        <w:rPr>
          <w:rFonts w:ascii="Cambria Math" w:hAnsi="Cambria Math" w:cs="Times New Roman"/>
          <w:i/>
        </w:rPr>
      </w:pPr>
      <w:r w:rsidRPr="00C45FC2">
        <w:rPr>
          <w:rFonts w:ascii="Cambria Math" w:hAnsi="Cambria Math" w:cs="Times New Roman"/>
          <w:b/>
          <w:i/>
        </w:rPr>
        <w:t>Non-State torture</w:t>
      </w:r>
      <w:r w:rsidRPr="00C45FC2">
        <w:rPr>
          <w:rFonts w:ascii="Cambria Math" w:hAnsi="Cambria Math" w:cs="Times New Roman"/>
          <w:b/>
        </w:rPr>
        <w:t xml:space="preserve"> </w:t>
      </w:r>
      <w:r w:rsidRPr="00C45FC2">
        <w:rPr>
          <w:rFonts w:ascii="Cambria Math" w:hAnsi="Cambria Math" w:cs="Times New Roman"/>
          <w:b/>
          <w:i/>
        </w:rPr>
        <w:t>is</w:t>
      </w:r>
      <w:r w:rsidRPr="00C45FC2">
        <w:rPr>
          <w:rFonts w:ascii="Cambria Math" w:hAnsi="Cambria Math" w:cs="Times New Roman"/>
          <w:i/>
        </w:rPr>
        <w:t xml:space="preserve"> committed by non-State actors in public or private, in relationships, perpetrated within families, in human trafficking, in prostitution, in pornographic exploitation, by violent groups and gangs, dismissed as socio-cultural, traditional, or religious acts or norms, and can be committed during migration, displacement, in humanitarian and civil unrest, for example. </w:t>
      </w:r>
    </w:p>
    <w:p w14:paraId="2FBA61CF" w14:textId="5E70C40E" w:rsidR="00A042D4" w:rsidRPr="00C45FC2" w:rsidRDefault="00A042D4" w:rsidP="00C45FC2">
      <w:pPr>
        <w:jc w:val="both"/>
        <w:rPr>
          <w:rFonts w:ascii="Cambria Math" w:hAnsi="Cambria Math" w:cs="Times New Roman"/>
        </w:rPr>
      </w:pPr>
      <w:r w:rsidRPr="00C45FC2">
        <w:rPr>
          <w:rFonts w:ascii="Cambria Math" w:hAnsi="Cambria Math" w:cs="Times New Roman"/>
          <w:b/>
        </w:rPr>
        <w:t xml:space="preserve">Legislative and Institutional Frameworks are Barriers to Access to Justice. </w:t>
      </w:r>
      <w:r w:rsidRPr="00C45FC2">
        <w:rPr>
          <w:rFonts w:ascii="Cambria Math" w:hAnsi="Cambria Math" w:cs="Times New Roman"/>
        </w:rPr>
        <w:t xml:space="preserve">Canada does not legislatively acknowledge that violence against women can amount to torture perpetrated by non-State actors. In spite of repeated expert testimony to Canada’s House of Commons Standing Committees recommending section </w:t>
      </w:r>
      <w:hyperlink r:id="rId14" w:anchor=":~:text=269.1%20(1)%20Every%20official%2C,term%20not%20exceeding%20fourteen%20years." w:history="1">
        <w:r w:rsidRPr="00C45FC2">
          <w:rPr>
            <w:rStyle w:val="Hyperlink"/>
            <w:rFonts w:ascii="Cambria Math" w:hAnsi="Cambria Math" w:cs="Times New Roman"/>
          </w:rPr>
          <w:t xml:space="preserve">269.1 of the </w:t>
        </w:r>
        <w:r w:rsidRPr="00C45FC2">
          <w:rPr>
            <w:rStyle w:val="Hyperlink"/>
            <w:rFonts w:ascii="Cambria Math" w:hAnsi="Cambria Math" w:cs="Times New Roman"/>
            <w:i/>
          </w:rPr>
          <w:t>Criminal Code of Canada</w:t>
        </w:r>
      </w:hyperlink>
      <w:r w:rsidRPr="00C45FC2">
        <w:rPr>
          <w:rFonts w:ascii="Cambria Math" w:hAnsi="Cambria Math" w:cs="Times New Roman"/>
          <w:i/>
        </w:rPr>
        <w:t>,</w:t>
      </w:r>
      <w:r w:rsidRPr="00C45FC2">
        <w:rPr>
          <w:rFonts w:ascii="Cambria Math" w:hAnsi="Cambria Math" w:cs="Times New Roman"/>
        </w:rPr>
        <w:t xml:space="preserve"> be amended to include torture by non-State actors. For example, a </w:t>
      </w:r>
      <w:hyperlink r:id="rId15" w:history="1">
        <w:r w:rsidRPr="00C45FC2">
          <w:rPr>
            <w:rStyle w:val="Hyperlink"/>
            <w:rFonts w:ascii="Cambria Math" w:hAnsi="Cambria Math" w:cs="Times New Roman"/>
          </w:rPr>
          <w:t>latest testimony</w:t>
        </w:r>
      </w:hyperlink>
      <w:r w:rsidRPr="00C45FC2">
        <w:rPr>
          <w:rFonts w:ascii="Cambria Math" w:hAnsi="Cambria Math" w:cs="Times New Roman"/>
        </w:rPr>
        <w:t xml:space="preserve">, and </w:t>
      </w:r>
      <w:hyperlink r:id="rId16" w:history="1">
        <w:r w:rsidRPr="00C45FC2">
          <w:rPr>
            <w:rStyle w:val="Hyperlink"/>
            <w:rFonts w:ascii="Cambria Math" w:hAnsi="Cambria Math" w:cs="Times New Roman"/>
          </w:rPr>
          <w:t>accompanying brief</w:t>
        </w:r>
      </w:hyperlink>
      <w:r w:rsidRPr="00C45FC2">
        <w:rPr>
          <w:rFonts w:ascii="Cambria Math" w:hAnsi="Cambria Math" w:cs="Times New Roman"/>
        </w:rPr>
        <w:t xml:space="preserve"> occurred March 2024, continued to call for non-State actor torture to be included as a torture crime in Canada’s Criminal Code. Such repeated testimonies have not altered the following explanation by the Department of Justice, legal counsel in 2013</w:t>
      </w:r>
      <w:r w:rsidRPr="00C45FC2">
        <w:rPr>
          <w:rStyle w:val="FootnoteReference"/>
          <w:rFonts w:ascii="Cambria Math" w:hAnsi="Cambria Math" w:cs="Times New Roman"/>
        </w:rPr>
        <w:footnoteReference w:id="7"/>
      </w:r>
      <w:r w:rsidRPr="00C45FC2">
        <w:rPr>
          <w:rFonts w:ascii="Cambria Math" w:hAnsi="Cambria Math" w:cs="Times New Roman"/>
        </w:rPr>
        <w:t xml:space="preserve"> because 11 years later this perspective continues:</w:t>
      </w:r>
    </w:p>
    <w:p w14:paraId="1C471080" w14:textId="67C4198F" w:rsidR="00A042D4" w:rsidRPr="00C45FC2" w:rsidRDefault="00A042D4" w:rsidP="00C45FC2">
      <w:pPr>
        <w:ind w:left="720"/>
        <w:jc w:val="both"/>
        <w:rPr>
          <w:rFonts w:ascii="Cambria Math" w:hAnsi="Cambria Math" w:cs="Times New Roman"/>
        </w:rPr>
      </w:pPr>
      <w:r w:rsidRPr="00C45FC2">
        <w:rPr>
          <w:rFonts w:ascii="Cambria Math" w:hAnsi="Cambria Math" w:cs="Times New Roman"/>
          <w:b/>
          <w:i/>
        </w:rPr>
        <w:lastRenderedPageBreak/>
        <w:t>Canada’s longstanding view is</w:t>
      </w:r>
      <w:r w:rsidRPr="00C45FC2">
        <w:rPr>
          <w:rFonts w:ascii="Cambria Math" w:hAnsi="Cambria Math" w:cs="Times New Roman"/>
          <w:i/>
        </w:rPr>
        <w:t xml:space="preserve"> that</w:t>
      </w:r>
      <w:r w:rsidRPr="00C45FC2">
        <w:rPr>
          <w:rFonts w:ascii="Cambria Math" w:hAnsi="Cambria Math" w:cs="Times New Roman"/>
          <w:i/>
          <w:strike/>
        </w:rPr>
        <w:t>.</w:t>
      </w:r>
      <w:r w:rsidRPr="00C45FC2">
        <w:rPr>
          <w:rFonts w:ascii="Cambria Math" w:hAnsi="Cambria Math" w:cs="Times New Roman"/>
          <w:i/>
        </w:rPr>
        <w:t xml:space="preserve"> </w:t>
      </w:r>
      <w:r w:rsidR="00AA3A90" w:rsidRPr="00C45FC2">
        <w:rPr>
          <w:rStyle w:val="CommentReference"/>
          <w:rFonts w:ascii="Cambria Math" w:hAnsi="Cambria Math"/>
          <w:sz w:val="24"/>
          <w:szCs w:val="24"/>
        </w:rPr>
        <w:t>General</w:t>
      </w:r>
      <w:r w:rsidR="00AA3A90" w:rsidRPr="00C45FC2">
        <w:rPr>
          <w:rFonts w:ascii="Cambria Math" w:hAnsi="Cambria Math" w:cs="Times New Roman"/>
          <w:i/>
        </w:rPr>
        <w:t xml:space="preserve"> </w:t>
      </w:r>
      <w:r w:rsidRPr="00C45FC2">
        <w:rPr>
          <w:rFonts w:ascii="Cambria Math" w:hAnsi="Cambria Math" w:cs="Times New Roman"/>
          <w:i/>
        </w:rPr>
        <w:t xml:space="preserve">comments and concluding observations of the treaty bodies, and this includes the Committee against Torture, are given serious consideration by governments in Canada, but Canada’s view is that States Parties are not legally bound to implement them (E. Brady, personal communication, July 11, 2013) </w:t>
      </w:r>
      <w:r w:rsidRPr="00C45FC2">
        <w:rPr>
          <w:rFonts w:ascii="Cambria Math" w:hAnsi="Cambria Math" w:cs="Times New Roman"/>
        </w:rPr>
        <w:t>(p. 38).</w:t>
      </w:r>
    </w:p>
    <w:p w14:paraId="6D50D138" w14:textId="72113811" w:rsidR="00A042D4" w:rsidRPr="00C45FC2" w:rsidRDefault="00A042D4" w:rsidP="00C45FC2">
      <w:pPr>
        <w:jc w:val="both"/>
        <w:rPr>
          <w:rFonts w:ascii="Cambria Math" w:hAnsi="Cambria Math" w:cs="Times New Roman"/>
        </w:rPr>
      </w:pPr>
      <w:r w:rsidRPr="00C45FC2">
        <w:rPr>
          <w:rFonts w:ascii="Cambria Math" w:hAnsi="Cambria Math" w:cs="Times New Roman"/>
        </w:rPr>
        <w:t xml:space="preserve">This means that in Canada torture perpetrated by non-State actors is specifically, knowingly, and legally invisibilized and misnamed, for example, </w:t>
      </w:r>
      <w:r w:rsidR="002E04D8" w:rsidRPr="00C45FC2">
        <w:rPr>
          <w:rFonts w:ascii="Cambria Math" w:hAnsi="Cambria Math" w:cs="Times New Roman"/>
        </w:rPr>
        <w:t xml:space="preserve">when </w:t>
      </w:r>
      <w:r w:rsidRPr="00C45FC2">
        <w:rPr>
          <w:rFonts w:ascii="Cambria Math" w:hAnsi="Cambria Math" w:cs="Times New Roman"/>
        </w:rPr>
        <w:t>aggravated or sexual assault when perpetrated against women within their private or community lives</w:t>
      </w:r>
      <w:r w:rsidR="002E04D8" w:rsidRPr="00C45FC2">
        <w:rPr>
          <w:rFonts w:ascii="Cambria Math" w:hAnsi="Cambria Math" w:cs="Times New Roman"/>
        </w:rPr>
        <w:t xml:space="preserve"> is ignored</w:t>
      </w:r>
      <w:r w:rsidRPr="00C45FC2">
        <w:rPr>
          <w:rFonts w:ascii="Cambria Math" w:hAnsi="Cambria Math" w:cs="Times New Roman"/>
        </w:rPr>
        <w:t xml:space="preserve">. </w:t>
      </w:r>
    </w:p>
    <w:p w14:paraId="50773F90" w14:textId="6C8A16CF" w:rsidR="00A042D4" w:rsidRPr="00C45FC2" w:rsidRDefault="00A042D4" w:rsidP="00C45FC2">
      <w:pPr>
        <w:pBdr>
          <w:top w:val="nil"/>
          <w:left w:val="nil"/>
          <w:bottom w:val="nil"/>
          <w:right w:val="nil"/>
          <w:between w:val="nil"/>
          <w:bar w:val="nil"/>
        </w:pBdr>
        <w:spacing w:after="0" w:line="276" w:lineRule="auto"/>
        <w:contextualSpacing/>
        <w:jc w:val="both"/>
        <w:rPr>
          <w:rFonts w:ascii="Cambria Math" w:hAnsi="Cambria Math" w:cs="Times New Roman"/>
        </w:rPr>
      </w:pPr>
      <w:r w:rsidRPr="00C45FC2">
        <w:rPr>
          <w:rFonts w:ascii="Cambria Math" w:hAnsi="Cambria Math" w:cs="Times New Roman"/>
        </w:rPr>
        <w:t xml:space="preserve">In 2013, the CEDAW Committee called for information on access to justice regarding </w:t>
      </w:r>
      <w:r w:rsidRPr="00C45FC2">
        <w:rPr>
          <w:rFonts w:ascii="Cambria Math" w:eastAsia="Times New Roman" w:hAnsi="Cambria Math" w:cs="Times New Roman"/>
          <w:bdr w:val="nil"/>
          <w:lang w:val="en-US" w:eastAsia="en-CA"/>
        </w:rPr>
        <w:t>CEDAW Convention Articles 2(b) and (c) and 15(1) and (2)</w:t>
      </w:r>
      <w:r w:rsidRPr="00C45FC2">
        <w:rPr>
          <w:rStyle w:val="FootnoteReference"/>
          <w:rFonts w:ascii="Cambria Math" w:hAnsi="Cambria Math" w:cs="Times New Roman"/>
        </w:rPr>
        <w:t xml:space="preserve"> </w:t>
      </w:r>
      <w:r w:rsidRPr="00C45FC2">
        <w:rPr>
          <w:rFonts w:ascii="Cambria Math" w:hAnsi="Cambria Math" w:cs="Times New Roman"/>
        </w:rPr>
        <w:t>.</w:t>
      </w:r>
      <w:r w:rsidRPr="00C45FC2">
        <w:rPr>
          <w:rFonts w:ascii="Cambria Math" w:eastAsia="Times New Roman" w:hAnsi="Cambria Math" w:cs="Times New Roman"/>
          <w:bdr w:val="nil"/>
          <w:lang w:val="en-US" w:eastAsia="en-CA"/>
        </w:rPr>
        <w:t xml:space="preserve"> A </w:t>
      </w:r>
      <w:hyperlink r:id="rId17" w:history="1">
        <w:r w:rsidRPr="00C45FC2">
          <w:rPr>
            <w:rStyle w:val="Hyperlink"/>
            <w:rFonts w:ascii="Cambria Math" w:eastAsia="Times New Roman" w:hAnsi="Cambria Math" w:cs="Times New Roman"/>
            <w:bdr w:val="nil"/>
            <w:lang w:val="en-US" w:eastAsia="en-CA"/>
          </w:rPr>
          <w:t>submission by Sarson and MacDonald</w:t>
        </w:r>
      </w:hyperlink>
      <w:r w:rsidRPr="00C45FC2">
        <w:rPr>
          <w:rFonts w:ascii="Cambria Math" w:eastAsia="Times New Roman" w:hAnsi="Cambria Math" w:cs="Times New Roman"/>
          <w:bdr w:val="nil"/>
          <w:lang w:val="en-US" w:eastAsia="en-CA"/>
        </w:rPr>
        <w:t xml:space="preserve"> </w:t>
      </w:r>
      <w:r w:rsidRPr="00C45FC2">
        <w:rPr>
          <w:rFonts w:ascii="Cambria Math" w:hAnsi="Cambria Math" w:cs="Times New Roman"/>
        </w:rPr>
        <w:t>detailed non-State torture victimizations of Canadian women and girls, including that they also suffered sexualized human trafficking and exploitation perpetrated for example by parents and spouses.</w:t>
      </w:r>
      <w:r w:rsidRPr="00C45FC2">
        <w:rPr>
          <w:rFonts w:ascii="Cambria Math" w:eastAsia="Times New Roman" w:hAnsi="Cambria Math" w:cs="Times New Roman"/>
          <w:bdr w:val="nil"/>
          <w:lang w:val="en-US" w:eastAsia="en-CA"/>
        </w:rPr>
        <w:t xml:space="preserve"> </w:t>
      </w:r>
      <w:r w:rsidRPr="00C45FC2">
        <w:rPr>
          <w:rFonts w:ascii="Cambria Math" w:hAnsi="Cambria Math" w:cs="Times New Roman"/>
        </w:rPr>
        <w:t>Their submission stipulated that non-State torture was not recognized as a crime of torture in 2013; 11 years later this remains a legal barrier that prevents incorporating a victim-centered approach for the truth-telling of non-State torture victimizations by women and girls (children) in Canada. However, rare advancements have recently occurred, for instance:</w:t>
      </w:r>
    </w:p>
    <w:p w14:paraId="09CE58A6" w14:textId="77777777" w:rsidR="00A042D4" w:rsidRPr="00C45FC2" w:rsidRDefault="00A042D4" w:rsidP="00C45FC2">
      <w:pPr>
        <w:pBdr>
          <w:top w:val="nil"/>
          <w:left w:val="nil"/>
          <w:bottom w:val="nil"/>
          <w:right w:val="nil"/>
          <w:between w:val="nil"/>
          <w:bar w:val="nil"/>
        </w:pBdr>
        <w:spacing w:after="0" w:line="240" w:lineRule="auto"/>
        <w:contextualSpacing/>
        <w:jc w:val="both"/>
        <w:rPr>
          <w:rFonts w:ascii="Cambria Math" w:hAnsi="Cambria Math" w:cs="Times New Roman"/>
        </w:rPr>
      </w:pPr>
    </w:p>
    <w:p w14:paraId="4C2B89E8" w14:textId="66FD897A" w:rsidR="00A042D4" w:rsidRPr="00C45FC2" w:rsidRDefault="00A042D4" w:rsidP="00C45FC2">
      <w:pPr>
        <w:pStyle w:val="ListParagraph"/>
        <w:numPr>
          <w:ilvl w:val="0"/>
          <w:numId w:val="4"/>
        </w:numPr>
        <w:pBdr>
          <w:top w:val="nil"/>
          <w:left w:val="nil"/>
          <w:bottom w:val="nil"/>
          <w:right w:val="nil"/>
          <w:between w:val="nil"/>
          <w:bar w:val="nil"/>
        </w:pBdr>
        <w:spacing w:after="0" w:line="276" w:lineRule="auto"/>
        <w:jc w:val="both"/>
        <w:rPr>
          <w:rFonts w:ascii="Cambria Math" w:hAnsi="Cambria Math" w:cs="Times New Roman"/>
        </w:rPr>
      </w:pPr>
      <w:r w:rsidRPr="00C45FC2">
        <w:rPr>
          <w:rFonts w:ascii="Cambria Math" w:hAnsi="Cambria Math" w:cs="Times New Roman"/>
        </w:rPr>
        <w:t xml:space="preserve">In 2023, a </w:t>
      </w:r>
      <w:r w:rsidRPr="00C45FC2">
        <w:rPr>
          <w:rFonts w:ascii="Cambria Math" w:hAnsi="Cambria Math" w:cs="Times New Roman"/>
          <w:i/>
        </w:rPr>
        <w:t>finding of fact</w:t>
      </w:r>
      <w:r w:rsidRPr="00C45FC2">
        <w:rPr>
          <w:rFonts w:ascii="Cambria Math" w:hAnsi="Cambria Math" w:cs="Times New Roman"/>
        </w:rPr>
        <w:t xml:space="preserve"> occurred in the 2023 Ontario Superior Court Justice ruling that included the </w:t>
      </w:r>
      <w:hyperlink r:id="rId18" w:history="1">
        <w:r w:rsidRPr="00C45FC2">
          <w:rPr>
            <w:rStyle w:val="Hyperlink"/>
            <w:rFonts w:ascii="Cambria Math" w:hAnsi="Cambria Math" w:cs="Times New Roman"/>
          </w:rPr>
          <w:t>Affidavit of Megan Walker</w:t>
        </w:r>
      </w:hyperlink>
      <w:r w:rsidRPr="00C45FC2">
        <w:rPr>
          <w:rFonts w:ascii="Cambria Math" w:hAnsi="Cambria Math" w:cs="Times New Roman"/>
        </w:rPr>
        <w:t>. She described that, “</w:t>
      </w:r>
      <w:r w:rsidRPr="00C45FC2">
        <w:rPr>
          <w:rFonts w:ascii="Cambria Math" w:hAnsi="Cambria Math" w:cs="Times New Roman"/>
          <w:i/>
        </w:rPr>
        <w:t>Some women and girls report being victims of torture, gang rape, mutilation, whipping, and waterboarding at the hands of both purchasers and exploiters</w:t>
      </w:r>
      <w:r w:rsidRPr="00C45FC2">
        <w:rPr>
          <w:rFonts w:ascii="Cambria Math" w:hAnsi="Cambria Math" w:cs="Times New Roman"/>
        </w:rPr>
        <w:t xml:space="preserve">” (para 209). This legal decision acknowledged that non-State torture victimizations are committed against women in prostitution in Canada and is a violation of Article 6 of CEDAW as well as CEDAW General Recommendations 19 and 35. The CEDAW was not utilized in this legal decision. </w:t>
      </w:r>
    </w:p>
    <w:p w14:paraId="3D566C90" w14:textId="278FF6F9" w:rsidR="00A042D4" w:rsidRPr="00C45FC2" w:rsidRDefault="00A042D4" w:rsidP="00C45FC2">
      <w:pPr>
        <w:pStyle w:val="ListParagraph"/>
        <w:numPr>
          <w:ilvl w:val="0"/>
          <w:numId w:val="4"/>
        </w:numPr>
        <w:pBdr>
          <w:top w:val="nil"/>
          <w:left w:val="nil"/>
          <w:bottom w:val="nil"/>
          <w:right w:val="nil"/>
          <w:between w:val="nil"/>
          <w:bar w:val="nil"/>
        </w:pBdr>
        <w:spacing w:after="0" w:line="276" w:lineRule="auto"/>
        <w:jc w:val="both"/>
        <w:rPr>
          <w:rFonts w:ascii="Cambria Math" w:hAnsi="Cambria Math" w:cs="Times New Roman"/>
        </w:rPr>
      </w:pPr>
      <w:r w:rsidRPr="00C45FC2">
        <w:rPr>
          <w:rFonts w:ascii="Cambria Math" w:hAnsi="Cambria Math" w:cs="Times New Roman"/>
        </w:rPr>
        <w:t>In 2022, “</w:t>
      </w:r>
      <w:hyperlink r:id="rId19" w:history="1">
        <w:r w:rsidRPr="00C45FC2">
          <w:rPr>
            <w:rStyle w:val="Hyperlink"/>
            <w:rFonts w:ascii="Cambria Math" w:hAnsi="Cambria Math" w:cs="Times New Roman"/>
          </w:rPr>
          <w:t>A Review of the Measures to Address Prostitution Initiative (MAPI)</w:t>
        </w:r>
      </w:hyperlink>
      <w:r w:rsidRPr="00C45FC2">
        <w:rPr>
          <w:rFonts w:ascii="Cambria Math" w:hAnsi="Cambria Math" w:cs="Times New Roman"/>
        </w:rPr>
        <w:t>” was released by authors in the Department of Justice Canada, Research and Statistics Division.</w:t>
      </w:r>
      <w:r w:rsidRPr="00C45FC2">
        <w:rPr>
          <w:rStyle w:val="FootnoteReference"/>
          <w:rFonts w:ascii="Cambria Math" w:hAnsi="Cambria Math" w:cs="Times New Roman"/>
        </w:rPr>
        <w:t xml:space="preserve"> </w:t>
      </w:r>
      <w:r w:rsidRPr="00C45FC2">
        <w:rPr>
          <w:rFonts w:ascii="Cambria Math" w:hAnsi="Cambria Math" w:cs="Times New Roman"/>
        </w:rPr>
        <w:t xml:space="preserve">The Review includes this statement, “In one interview, one MAPI organization representative reported that some of their clients viewed their experiences as torture” (p. 14). The inclusion of this statement was hard-fought for because when the review was originally released this statement was excluded by the authors. This Review exposed that women in prostitution endure severe torture pain and suffering perpetrated by the sellers and buyers who are non-State actors. CEDAW was not referred to in this Review.  </w:t>
      </w:r>
    </w:p>
    <w:p w14:paraId="2DEC86B8" w14:textId="68893DCF" w:rsidR="00F015B7" w:rsidRPr="00C45FC2" w:rsidRDefault="00944E17" w:rsidP="00C45FC2">
      <w:pPr>
        <w:pStyle w:val="ListParagraph"/>
        <w:numPr>
          <w:ilvl w:val="0"/>
          <w:numId w:val="4"/>
        </w:numPr>
        <w:pBdr>
          <w:top w:val="nil"/>
          <w:left w:val="nil"/>
          <w:bottom w:val="nil"/>
          <w:right w:val="nil"/>
          <w:between w:val="nil"/>
          <w:bar w:val="nil"/>
        </w:pBdr>
        <w:spacing w:after="0" w:line="276" w:lineRule="auto"/>
        <w:jc w:val="both"/>
        <w:rPr>
          <w:rFonts w:ascii="Cambria Math" w:hAnsi="Cambria Math" w:cs="Times New Roman"/>
        </w:rPr>
      </w:pPr>
      <w:r w:rsidRPr="00C45FC2">
        <w:rPr>
          <w:rFonts w:ascii="Cambria Math" w:hAnsi="Cambria Math" w:cs="Times New Roman"/>
        </w:rPr>
        <w:t>The report “</w:t>
      </w:r>
      <w:hyperlink r:id="rId20" w:history="1">
        <w:r w:rsidRPr="00C45FC2">
          <w:rPr>
            <w:rStyle w:val="Hyperlink"/>
            <w:rFonts w:ascii="Cambria Math" w:hAnsi="Cambria Math" w:cs="Times New Roman"/>
          </w:rPr>
          <w:t>Prostitution and Violence against Women and Girls</w:t>
        </w:r>
      </w:hyperlink>
      <w:r w:rsidRPr="00C45FC2">
        <w:rPr>
          <w:rFonts w:ascii="Cambria Math" w:hAnsi="Cambria Math" w:cs="Times New Roman"/>
        </w:rPr>
        <w:t xml:space="preserve">” by </w:t>
      </w:r>
      <w:r w:rsidR="00F015B7" w:rsidRPr="00C45FC2">
        <w:rPr>
          <w:rFonts w:ascii="Cambria Math" w:hAnsi="Cambria Math" w:cs="Times New Roman"/>
        </w:rPr>
        <w:t>Reem Alsalem, UN Special Rapporteur on violence against women and girls</w:t>
      </w:r>
      <w:r w:rsidRPr="00C45FC2">
        <w:rPr>
          <w:rFonts w:ascii="Cambria Math" w:hAnsi="Cambria Math" w:cs="Times New Roman"/>
        </w:rPr>
        <w:t xml:space="preserve">, concluded </w:t>
      </w:r>
      <w:r w:rsidR="00DF1A1D" w:rsidRPr="00C45FC2">
        <w:rPr>
          <w:rFonts w:ascii="Cambria Math" w:hAnsi="Cambria Math" w:cs="Times New Roman"/>
        </w:rPr>
        <w:t xml:space="preserve">and recommended </w:t>
      </w:r>
      <w:r w:rsidRPr="00C45FC2">
        <w:rPr>
          <w:rFonts w:ascii="Cambria Math" w:hAnsi="Cambria Math" w:cs="Times New Roman"/>
        </w:rPr>
        <w:t xml:space="preserve">that </w:t>
      </w:r>
      <w:r w:rsidR="00DF1A1D" w:rsidRPr="00C45FC2">
        <w:rPr>
          <w:rFonts w:ascii="Cambria Math" w:hAnsi="Cambria Math" w:cs="Times New Roman"/>
        </w:rPr>
        <w:t xml:space="preserve">prostitution needed to be addressed through a rights-based </w:t>
      </w:r>
      <w:r w:rsidR="00DF1A1D" w:rsidRPr="00C45FC2">
        <w:rPr>
          <w:rFonts w:ascii="Cambria Math" w:hAnsi="Cambria Math" w:cs="Times New Roman"/>
        </w:rPr>
        <w:lastRenderedPageBreak/>
        <w:t>approach, legislation to guarantee that women and girls have freedom from violence . . . and freedom from torture and inhuman and degrading treatment.</w:t>
      </w:r>
      <w:r w:rsidRPr="00C45FC2">
        <w:rPr>
          <w:rFonts w:ascii="Cambria Math" w:hAnsi="Cambria Math" w:cs="Times New Roman"/>
        </w:rPr>
        <w:t xml:space="preserve">  </w:t>
      </w:r>
    </w:p>
    <w:p w14:paraId="378F9DA4" w14:textId="77777777" w:rsidR="00A042D4" w:rsidRPr="00C45FC2" w:rsidRDefault="00A042D4" w:rsidP="00C45FC2">
      <w:pPr>
        <w:pBdr>
          <w:top w:val="nil"/>
          <w:left w:val="nil"/>
          <w:bottom w:val="nil"/>
          <w:right w:val="nil"/>
          <w:between w:val="nil"/>
          <w:bar w:val="nil"/>
        </w:pBdr>
        <w:spacing w:after="0" w:line="240" w:lineRule="auto"/>
        <w:contextualSpacing/>
        <w:jc w:val="both"/>
        <w:rPr>
          <w:rFonts w:ascii="Cambria Math" w:hAnsi="Cambria Math" w:cs="Times New Roman"/>
        </w:rPr>
      </w:pPr>
    </w:p>
    <w:p w14:paraId="1B9F6171" w14:textId="77777777" w:rsidR="00A042D4" w:rsidRPr="00C45FC2" w:rsidRDefault="00A042D4" w:rsidP="00C45FC2">
      <w:pPr>
        <w:jc w:val="both"/>
        <w:rPr>
          <w:rFonts w:ascii="Cambria Math" w:eastAsiaTheme="minorEastAsia" w:hAnsi="Cambria Math" w:cs="Times New Roman"/>
          <w:b/>
          <w:bCs/>
          <w:kern w:val="24"/>
          <w:lang w:val="en-US"/>
        </w:rPr>
      </w:pPr>
      <w:r w:rsidRPr="00C45FC2">
        <w:rPr>
          <w:rFonts w:ascii="Cambria Math" w:hAnsi="Cambria Math" w:cs="Times New Roman"/>
          <w:b/>
        </w:rPr>
        <w:t>A Victim-Centred Approach</w:t>
      </w:r>
      <w:r w:rsidRPr="00C45FC2">
        <w:rPr>
          <w:rFonts w:ascii="Cambria Math" w:eastAsiaTheme="minorEastAsia" w:hAnsi="Cambria Math" w:cs="Times New Roman"/>
          <w:b/>
          <w:bCs/>
          <w:kern w:val="24"/>
          <w:lang w:val="en-US"/>
        </w:rPr>
        <w:t xml:space="preserve"> Requires Upholding Women’s Human Right not to be Subjected to Torture by Non-State Actors </w:t>
      </w:r>
    </w:p>
    <w:p w14:paraId="4C69DCC1" w14:textId="3345E230" w:rsidR="00A042D4" w:rsidRPr="00C45FC2" w:rsidRDefault="00A042D4" w:rsidP="00C45FC2">
      <w:pPr>
        <w:jc w:val="both"/>
        <w:rPr>
          <w:rFonts w:ascii="Cambria Math" w:hAnsi="Cambria Math" w:cs="Times New Roman"/>
        </w:rPr>
      </w:pPr>
      <w:r w:rsidRPr="00C45FC2">
        <w:rPr>
          <w:rFonts w:ascii="Cambria Math" w:hAnsi="Cambria Math" w:cs="Times New Roman"/>
        </w:rPr>
        <w:t xml:space="preserve">In 2023 a federal-provincial </w:t>
      </w:r>
      <w:hyperlink r:id="rId21" w:history="1">
        <w:r w:rsidRPr="00C45FC2">
          <w:rPr>
            <w:rStyle w:val="Hyperlink"/>
            <w:rFonts w:ascii="Cambria Math" w:hAnsi="Cambria Math" w:cs="Times New Roman"/>
          </w:rPr>
          <w:t>Mass Casualty Commission</w:t>
        </w:r>
      </w:hyperlink>
      <w:r w:rsidRPr="00C45FC2">
        <w:rPr>
          <w:rFonts w:ascii="Cambria Math" w:hAnsi="Cambria Math" w:cs="Times New Roman"/>
        </w:rPr>
        <w:t xml:space="preserve"> had a mandate to examine the role of “gender-based and intimate partner violence” and how it related to a mass killing in a Nova Scotia community. CEDAW was not referenced in the Commission final report. </w:t>
      </w:r>
      <w:hyperlink r:id="rId22" w:history="1">
        <w:r w:rsidRPr="00C45FC2">
          <w:rPr>
            <w:rStyle w:val="Hyperlink"/>
            <w:rFonts w:ascii="Cambria Math" w:hAnsi="Cambria Math" w:cs="Times New Roman"/>
          </w:rPr>
          <w:t>Sarson and MacDonald</w:t>
        </w:r>
      </w:hyperlink>
      <w:r w:rsidRPr="00C45FC2">
        <w:rPr>
          <w:rFonts w:ascii="Cambria Math" w:hAnsi="Cambria Math" w:cs="Times New Roman"/>
        </w:rPr>
        <w:t xml:space="preserve"> submitted their paper dedicated to understanding violent men’s non-State torture of Nova Scotian women.</w:t>
      </w:r>
      <w:r w:rsidR="000E7E0A" w:rsidRPr="00C45FC2">
        <w:rPr>
          <w:rFonts w:ascii="Cambria Math" w:hAnsi="Cambria Math" w:cs="Times New Roman"/>
        </w:rPr>
        <w:t xml:space="preserve"> </w:t>
      </w:r>
      <w:r w:rsidRPr="00C45FC2">
        <w:rPr>
          <w:rFonts w:ascii="Cambria Math" w:hAnsi="Cambria Math" w:cs="Times New Roman"/>
        </w:rPr>
        <w:t>Their recommendations included that non-State actor torture victimizations create associated life-threatening risks to women within intimate partner relationships. Quoting from their paper they presented the following information (pp. 16, 21-22):</w:t>
      </w:r>
    </w:p>
    <w:p w14:paraId="1446B481" w14:textId="17D2B9E2" w:rsidR="00A042D4" w:rsidRPr="00C45FC2" w:rsidRDefault="00A042D4" w:rsidP="00C45FC2">
      <w:pPr>
        <w:ind w:left="720"/>
        <w:jc w:val="both"/>
        <w:rPr>
          <w:rFonts w:ascii="Cambria Math" w:hAnsi="Cambria Math" w:cs="Times New Roman"/>
        </w:rPr>
      </w:pPr>
      <w:r w:rsidRPr="00C45FC2">
        <w:rPr>
          <w:rFonts w:ascii="Cambria Math" w:hAnsi="Cambria Math" w:cs="Times New Roman"/>
          <w:b/>
          <w:i/>
        </w:rPr>
        <w:t>Research indicates</w:t>
      </w:r>
      <w:r w:rsidRPr="00C45FC2">
        <w:rPr>
          <w:rFonts w:ascii="Cambria Math" w:hAnsi="Cambria Math" w:cs="Times New Roman"/>
          <w:i/>
        </w:rPr>
        <w:t xml:space="preserve"> intimate partner violence is a risk factor for suicidal attempts by women</w:t>
      </w:r>
      <w:r w:rsidR="007103B0" w:rsidRPr="00C45FC2">
        <w:rPr>
          <w:rFonts w:ascii="Cambria Math" w:hAnsi="Cambria Math" w:cs="Times New Roman"/>
          <w:i/>
        </w:rPr>
        <w:t xml:space="preserve"> </w:t>
      </w:r>
      <w:r w:rsidR="007103B0" w:rsidRPr="00C45FC2">
        <w:rPr>
          <w:rFonts w:ascii="Cambria Math" w:hAnsi="Cambria Math" w:cs="Times New Roman"/>
        </w:rPr>
        <w:t>(</w:t>
      </w:r>
      <w:hyperlink r:id="rId23" w:history="1">
        <w:r w:rsidR="007103B0" w:rsidRPr="00C45FC2">
          <w:rPr>
            <w:rStyle w:val="Hyperlink"/>
            <w:rFonts w:ascii="Cambria Math" w:hAnsi="Cambria Math" w:cs="Times New Roman"/>
          </w:rPr>
          <w:t>Kapoor, 2000</w:t>
        </w:r>
      </w:hyperlink>
      <w:r w:rsidR="007103B0" w:rsidRPr="00C45FC2">
        <w:rPr>
          <w:rFonts w:ascii="Cambria Math" w:hAnsi="Cambria Math" w:cs="Times New Roman"/>
        </w:rPr>
        <w:t xml:space="preserve">; </w:t>
      </w:r>
      <w:hyperlink r:id="rId24" w:history="1">
        <w:r w:rsidR="007103B0" w:rsidRPr="00C45FC2">
          <w:rPr>
            <w:rStyle w:val="Hyperlink"/>
            <w:rFonts w:ascii="Cambria Math" w:hAnsi="Cambria Math"/>
          </w:rPr>
          <w:t>Rahmani,</w:t>
        </w:r>
        <w:r w:rsidR="007103B0" w:rsidRPr="00C45FC2">
          <w:rPr>
            <w:rStyle w:val="Hyperlink"/>
            <w:rFonts w:ascii="Cambria Math" w:hAnsi="Cambria Math" w:cs="Times New Roman"/>
          </w:rPr>
          <w:t xml:space="preserve"> et al.</w:t>
        </w:r>
      </w:hyperlink>
      <w:r w:rsidR="007103B0" w:rsidRPr="00C45FC2">
        <w:rPr>
          <w:rFonts w:ascii="Cambria Math" w:hAnsi="Cambria Math" w:cs="Times New Roman"/>
        </w:rPr>
        <w:t>,</w:t>
      </w:r>
      <w:r w:rsidRPr="00C45FC2">
        <w:rPr>
          <w:rFonts w:ascii="Cambria Math" w:hAnsi="Cambria Math" w:cs="Times New Roman"/>
          <w:i/>
        </w:rPr>
        <w:t xml:space="preserve"> The more severe the violence is results in women’s elevated suicidality ideation or attempts</w:t>
      </w:r>
      <w:r w:rsidR="00893F99" w:rsidRPr="00C45FC2">
        <w:rPr>
          <w:rFonts w:ascii="Cambria Math" w:hAnsi="Cambria Math" w:cs="Times New Roman"/>
          <w:i/>
        </w:rPr>
        <w:t xml:space="preserve"> </w:t>
      </w:r>
      <w:r w:rsidR="00893F99" w:rsidRPr="00C45FC2">
        <w:rPr>
          <w:rFonts w:ascii="Cambria Math" w:hAnsi="Cambria Math" w:cs="Times New Roman"/>
        </w:rPr>
        <w:t>(</w:t>
      </w:r>
      <w:hyperlink r:id="rId25" w:history="1">
        <w:r w:rsidR="00893F99" w:rsidRPr="00C45FC2">
          <w:rPr>
            <w:rStyle w:val="Hyperlink"/>
            <w:rFonts w:ascii="Cambria Math" w:hAnsi="Cambria Math" w:cs="Times New Roman"/>
          </w:rPr>
          <w:t>Khodabandeh, 2019</w:t>
        </w:r>
      </w:hyperlink>
      <w:r w:rsidR="00893F99" w:rsidRPr="00C45FC2">
        <w:rPr>
          <w:rFonts w:ascii="Cambria Math" w:hAnsi="Cambria Math" w:cs="Times New Roman"/>
        </w:rPr>
        <w:t>;</w:t>
      </w:r>
      <w:r w:rsidR="00893F99" w:rsidRPr="00C45FC2">
        <w:rPr>
          <w:rFonts w:ascii="Cambria Math" w:hAnsi="Cambria Math" w:cs="Times New Roman"/>
          <w:i/>
        </w:rPr>
        <w:t xml:space="preserve"> </w:t>
      </w:r>
      <w:hyperlink r:id="rId26" w:history="1">
        <w:r w:rsidR="00893F99" w:rsidRPr="00C45FC2">
          <w:rPr>
            <w:rStyle w:val="Hyperlink"/>
            <w:rFonts w:ascii="Cambria Math" w:eastAsia="Arial Unicode MS" w:hAnsi="Cambria Math" w:cs="Times New Roman"/>
            <w:bdr w:val="nil"/>
            <w:lang w:val="en-US"/>
          </w:rPr>
          <w:t>Warshaw, et al</w:t>
        </w:r>
        <w:r w:rsidR="007103B0" w:rsidRPr="00C45FC2">
          <w:rPr>
            <w:rStyle w:val="Hyperlink"/>
            <w:rFonts w:ascii="Cambria Math" w:eastAsia="Arial Unicode MS" w:hAnsi="Cambria Math" w:cs="Times New Roman"/>
            <w:bdr w:val="nil"/>
            <w:lang w:val="en-US"/>
          </w:rPr>
          <w:t>.,</w:t>
        </w:r>
        <w:r w:rsidR="00893F99" w:rsidRPr="00C45FC2">
          <w:rPr>
            <w:rStyle w:val="Hyperlink"/>
            <w:rFonts w:ascii="Cambria Math" w:eastAsia="Arial Unicode MS" w:hAnsi="Cambria Math" w:cs="Times New Roman"/>
            <w:bdr w:val="nil"/>
            <w:lang w:val="en-US"/>
          </w:rPr>
          <w:t xml:space="preserve"> 2018</w:t>
        </w:r>
      </w:hyperlink>
      <w:r w:rsidR="00893F99" w:rsidRPr="00C45FC2">
        <w:rPr>
          <w:rFonts w:ascii="Cambria Math" w:hAnsi="Cambria Math" w:cs="Times New Roman"/>
        </w:rPr>
        <w:t>)</w:t>
      </w:r>
      <w:r w:rsidRPr="00C45FC2">
        <w:rPr>
          <w:rFonts w:ascii="Cambria Math" w:hAnsi="Cambria Math" w:cs="Times New Roman"/>
          <w:i/>
        </w:rPr>
        <w:t xml:space="preserve">.. . . [N[on-State torture victimization is severely dehumanizing thus there is a risk a woman may die by suicide. This would be a consequential </w:t>
      </w:r>
      <w:r w:rsidR="00330496" w:rsidRPr="00C45FC2">
        <w:rPr>
          <w:rFonts w:ascii="Cambria Math" w:hAnsi="Cambria Math" w:cs="Times New Roman"/>
          <w:i/>
        </w:rPr>
        <w:t xml:space="preserve">or a delayed </w:t>
      </w:r>
      <w:r w:rsidRPr="00C45FC2">
        <w:rPr>
          <w:rFonts w:ascii="Cambria Math" w:hAnsi="Cambria Math" w:cs="Times New Roman"/>
          <w:i/>
        </w:rPr>
        <w:t>femicide</w:t>
      </w:r>
      <w:r w:rsidRPr="00C45FC2">
        <w:rPr>
          <w:rFonts w:ascii="Cambria Math" w:hAnsi="Cambria Math" w:cs="Times New Roman"/>
        </w:rPr>
        <w:t xml:space="preserve">. </w:t>
      </w:r>
    </w:p>
    <w:p w14:paraId="77876AEA" w14:textId="77777777" w:rsidR="00A042D4" w:rsidRPr="00C45FC2" w:rsidRDefault="00A042D4" w:rsidP="00C45FC2">
      <w:pPr>
        <w:ind w:left="720"/>
        <w:jc w:val="both"/>
        <w:rPr>
          <w:rFonts w:ascii="Cambria Math" w:hAnsi="Cambria Math" w:cs="Times New Roman"/>
          <w:i/>
        </w:rPr>
      </w:pPr>
      <w:r w:rsidRPr="00C45FC2">
        <w:rPr>
          <w:rFonts w:ascii="Cambria Math" w:hAnsi="Cambria Math" w:cs="Times New Roman"/>
          <w:b/>
          <w:i/>
        </w:rPr>
        <w:t>Official knowledge is established</w:t>
      </w:r>
      <w:r w:rsidRPr="00C45FC2">
        <w:rPr>
          <w:rFonts w:ascii="Cambria Math" w:hAnsi="Cambria Math" w:cs="Times New Roman"/>
          <w:i/>
        </w:rPr>
        <w:t xml:space="preserve"> by naming and criminalizing femicide. It builds indicator evidence of the perpetrator-victim relationship, prevents misidentification, concealment, and underreporting of red flag warnings, including that women subjected to continuous violence and discrimination are always on death row, always in fear of execution.</w:t>
      </w:r>
      <w:r w:rsidRPr="00C45FC2">
        <w:rPr>
          <w:rStyle w:val="FootnoteReference"/>
          <w:rFonts w:ascii="Cambria Math" w:hAnsi="Cambria Math" w:cs="Times New Roman"/>
        </w:rPr>
        <w:footnoteReference w:id="8"/>
      </w:r>
      <w:r w:rsidRPr="00C45FC2">
        <w:rPr>
          <w:rFonts w:ascii="Cambria Math" w:hAnsi="Cambria Math" w:cs="Times New Roman"/>
          <w:i/>
        </w:rPr>
        <w:t xml:space="preserve"> </w:t>
      </w:r>
    </w:p>
    <w:p w14:paraId="02D3FC57" w14:textId="77777777" w:rsidR="00A042D4" w:rsidRPr="00C45FC2" w:rsidRDefault="00A042D4" w:rsidP="00C45FC2">
      <w:pPr>
        <w:spacing w:after="0"/>
        <w:jc w:val="both"/>
        <w:rPr>
          <w:rFonts w:ascii="Cambria Math" w:hAnsi="Cambria Math" w:cs="Times New Roman"/>
        </w:rPr>
      </w:pPr>
    </w:p>
    <w:p w14:paraId="19843D52" w14:textId="5A712389" w:rsidR="00A042D4" w:rsidRPr="00C45FC2" w:rsidRDefault="00A042D4" w:rsidP="00C45FC2">
      <w:pPr>
        <w:jc w:val="both"/>
        <w:rPr>
          <w:rFonts w:ascii="Cambria Math" w:hAnsi="Cambria Math" w:cs="Times New Roman"/>
        </w:rPr>
      </w:pPr>
      <w:r w:rsidRPr="00C45FC2">
        <w:rPr>
          <w:rFonts w:ascii="Cambria Math" w:hAnsi="Cambria Math" w:cs="Times New Roman"/>
        </w:rPr>
        <w:lastRenderedPageBreak/>
        <w:t>In July, 2024, Sarson and MacDonald submitted this Brief, “</w:t>
      </w:r>
      <w:hyperlink r:id="rId27" w:history="1">
        <w:r w:rsidRPr="00C45FC2">
          <w:rPr>
            <w:rStyle w:val="Hyperlink"/>
            <w:rFonts w:ascii="Cambria Math" w:hAnsi="Cambria Math" w:cs="Times New Roman"/>
          </w:rPr>
          <w:t>Non-State Torturers’ Tactic of Coercive Control</w:t>
        </w:r>
      </w:hyperlink>
      <w:r w:rsidRPr="00C45FC2">
        <w:rPr>
          <w:rFonts w:ascii="Cambria Math" w:hAnsi="Cambria Math" w:cs="Times New Roman"/>
        </w:rPr>
        <w:t xml:space="preserve">.” Sharing one woman’s ordeal as a child born into a family of violence against her mother and of being non-State tortured by her father. Carrie said:  </w:t>
      </w:r>
    </w:p>
    <w:p w14:paraId="0131309D" w14:textId="77777777" w:rsidR="00A042D4" w:rsidRPr="00C45FC2" w:rsidRDefault="00A042D4" w:rsidP="00C45FC2">
      <w:pPr>
        <w:spacing w:line="276" w:lineRule="auto"/>
        <w:ind w:left="720"/>
        <w:jc w:val="both"/>
        <w:rPr>
          <w:rFonts w:ascii="Cambria Math" w:hAnsi="Cambria Math" w:cs="Times New Roman"/>
          <w:i/>
        </w:rPr>
      </w:pPr>
      <w:r w:rsidRPr="00C45FC2">
        <w:rPr>
          <w:rFonts w:ascii="Cambria Math" w:hAnsi="Cambria Math" w:cs="Times New Roman"/>
          <w:i/>
        </w:rPr>
        <w:t>One experience . . . my mother was sitting in her rocking chair with my father holding a gun to her head. I remember my mother was referred to as the nagging wife. He pulled the trigger . . . I started screaming and screaming...I remember I couldn’t stop. I thought my father was going to kill me!</w:t>
      </w:r>
    </w:p>
    <w:p w14:paraId="57229588" w14:textId="77777777" w:rsidR="00A042D4" w:rsidRPr="00C45FC2" w:rsidRDefault="00A042D4" w:rsidP="00C45FC2">
      <w:pPr>
        <w:spacing w:line="276" w:lineRule="auto"/>
        <w:ind w:left="720"/>
        <w:jc w:val="both"/>
        <w:rPr>
          <w:rFonts w:ascii="Cambria Math" w:hAnsi="Cambria Math" w:cs="Times New Roman"/>
          <w:i/>
        </w:rPr>
      </w:pPr>
      <w:r w:rsidRPr="00C45FC2">
        <w:rPr>
          <w:rFonts w:ascii="Cambria Math" w:hAnsi="Cambria Math" w:cs="Times New Roman"/>
          <w:i/>
        </w:rPr>
        <w:t xml:space="preserve">I will attempt to share the dehumanizing and horrific acts so you will begin to understand the reality of my childhood . . . and my father’s “secret” relationship with me . . . so many days of torture, of horror, terror; so much pain trafficking me to about 12 of his friends to be tortured and torture-raped. One personally chilling and threatening experience was the day my father took me with my pet kitten, Brownie, for a walk in the woods to the lake. My father forced me to hold Brownie under the water . . . he forced me to drown Brownie. I screamed and screamed. My father told me I was never to tell my mother what was going on or he’d kill me like I’d killed Brownie. I never told </w:t>
      </w:r>
      <w:r w:rsidRPr="00C45FC2">
        <w:rPr>
          <w:rFonts w:ascii="Cambria Math" w:hAnsi="Cambria Math" w:cs="Times New Roman"/>
        </w:rPr>
        <w:t>(pp. 1-2)</w:t>
      </w:r>
      <w:r w:rsidRPr="00C45FC2">
        <w:rPr>
          <w:rFonts w:ascii="Cambria Math" w:hAnsi="Cambria Math" w:cs="Times New Roman"/>
          <w:i/>
        </w:rPr>
        <w:t xml:space="preserve">. </w:t>
      </w:r>
    </w:p>
    <w:p w14:paraId="64CF5979" w14:textId="1423ECE5" w:rsidR="00A042D4" w:rsidRPr="00C45FC2" w:rsidRDefault="00A042D4" w:rsidP="00C45FC2">
      <w:pPr>
        <w:jc w:val="both"/>
        <w:rPr>
          <w:rFonts w:ascii="Cambria Math" w:hAnsi="Cambria Math" w:cs="Times New Roman"/>
        </w:rPr>
      </w:pPr>
      <w:r w:rsidRPr="00C45FC2">
        <w:rPr>
          <w:rFonts w:ascii="Cambria Math" w:hAnsi="Cambria Math" w:cs="Times New Roman"/>
        </w:rPr>
        <w:t xml:space="preserve">There is an ongoing due diligence failure by the Government of Canada to take positive socio-legal action to acknowledge non-State torture human right criminal violations thus a failure to prevent and protect predominately women and girl children from torture perpetrated by non-State actors. This is </w:t>
      </w:r>
      <w:r w:rsidRPr="00C45FC2">
        <w:rPr>
          <w:rFonts w:ascii="Cambria Math" w:hAnsi="Cambria Math" w:cs="Times New Roman"/>
          <w:i/>
        </w:rPr>
        <w:t xml:space="preserve">intrinsically dangerous </w:t>
      </w:r>
      <w:r w:rsidRPr="00C45FC2">
        <w:rPr>
          <w:rFonts w:ascii="Cambria Math" w:hAnsi="Cambria Math" w:cs="Times New Roman"/>
        </w:rPr>
        <w:t xml:space="preserve">and creates life-threatening risks to the lives of women and girls suffering non-State torture victimizations within family systems and within the organized informal criminal networks of sexualized exploitation and human trafficking as shared by Carrie in her story of violence perpetrated by family-based non-State torturers. Carrie’s story illustrates a violation of CEDAW; it also fails to advance the </w:t>
      </w:r>
      <w:hyperlink r:id="rId28" w:history="1">
        <w:r w:rsidRPr="00C45FC2">
          <w:rPr>
            <w:rStyle w:val="Hyperlink"/>
            <w:rFonts w:ascii="Cambria Math" w:hAnsi="Cambria Math" w:cs="Times New Roman"/>
          </w:rPr>
          <w:t xml:space="preserve">Sustainable Development </w:t>
        </w:r>
        <w:r w:rsidR="003813E6" w:rsidRPr="00C45FC2">
          <w:rPr>
            <w:rStyle w:val="Hyperlink"/>
            <w:rFonts w:ascii="Cambria Math" w:hAnsi="Cambria Math" w:cs="Times New Roman"/>
          </w:rPr>
          <w:t>G</w:t>
        </w:r>
        <w:r w:rsidRPr="00C45FC2">
          <w:rPr>
            <w:rStyle w:val="Hyperlink"/>
            <w:rFonts w:ascii="Cambria Math" w:hAnsi="Cambria Math" w:cs="Times New Roman"/>
          </w:rPr>
          <w:t>oals</w:t>
        </w:r>
      </w:hyperlink>
      <w:r w:rsidRPr="00C45FC2">
        <w:rPr>
          <w:rFonts w:ascii="Cambria Math" w:hAnsi="Cambria Math" w:cs="Times New Roman"/>
        </w:rPr>
        <w:t xml:space="preserve"> 5.1 and 5.2 on equality but also goal 16.2 that specifically calls for the elimination of the torture of children. </w:t>
      </w:r>
    </w:p>
    <w:p w14:paraId="3E69A471" w14:textId="7A596099" w:rsidR="00EB2EA2" w:rsidRPr="00C45FC2" w:rsidRDefault="00A042D4" w:rsidP="00C45FC2">
      <w:pPr>
        <w:jc w:val="both"/>
        <w:rPr>
          <w:rFonts w:ascii="Cambria Math" w:hAnsi="Cambria Math" w:cs="Times New Roman"/>
          <w:i/>
        </w:rPr>
      </w:pPr>
      <w:r w:rsidRPr="00C45FC2">
        <w:rPr>
          <w:rFonts w:ascii="Cambria Math" w:hAnsi="Cambria Math" w:cs="Times New Roman"/>
        </w:rPr>
        <w:t>Their invisibilization as suffering non-State torture victimization clearly, specifically, and legally excludes acknowledging them as persons and is a due diligence failure to uphold their human rights equality, human dignity, worth, and legal protection. Being excluded from having support for their human right not to be subjected to torture by non-State actors did cause and does cause secondary revictimization because it reinforced and reinforces socio-legal exclusion. Being excluded causes actual social pain that is similar to experiencing physical pain</w:t>
      </w:r>
      <w:r w:rsidR="00A36E91" w:rsidRPr="00C45FC2">
        <w:rPr>
          <w:rFonts w:ascii="Cambria Math" w:hAnsi="Cambria Math" w:cs="Times New Roman"/>
        </w:rPr>
        <w:t xml:space="preserve"> (</w:t>
      </w:r>
      <w:hyperlink r:id="rId29" w:history="1">
        <w:r w:rsidR="00A36E91" w:rsidRPr="00C45FC2">
          <w:rPr>
            <w:rStyle w:val="Hyperlink"/>
            <w:rFonts w:ascii="Cambria Math" w:hAnsi="Cambria Math" w:cs="Times New Roman"/>
          </w:rPr>
          <w:t>Naomi</w:t>
        </w:r>
        <w:r w:rsidRPr="00C45FC2">
          <w:rPr>
            <w:rStyle w:val="Hyperlink"/>
            <w:rFonts w:ascii="Cambria Math" w:hAnsi="Cambria Math" w:cs="Times New Roman"/>
          </w:rPr>
          <w:t>.</w:t>
        </w:r>
        <w:r w:rsidR="00A36E91" w:rsidRPr="00C45FC2">
          <w:rPr>
            <w:rStyle w:val="Hyperlink"/>
            <w:rFonts w:ascii="Cambria Math" w:hAnsi="Cambria Math" w:cs="Times New Roman"/>
          </w:rPr>
          <w:t>et al., 2003</w:t>
        </w:r>
      </w:hyperlink>
      <w:r w:rsidR="00A36E91" w:rsidRPr="00C45FC2">
        <w:rPr>
          <w:rFonts w:ascii="Cambria Math" w:hAnsi="Cambria Math" w:cs="Times New Roman"/>
        </w:rPr>
        <w:t>)</w:t>
      </w:r>
      <w:r w:rsidR="00330496" w:rsidRPr="00C45FC2">
        <w:rPr>
          <w:rFonts w:ascii="Cambria Math" w:hAnsi="Cambria Math" w:cs="Times New Roman"/>
        </w:rPr>
        <w:t xml:space="preserve">. </w:t>
      </w:r>
      <w:r w:rsidRPr="00C45FC2">
        <w:rPr>
          <w:rFonts w:ascii="Cambria Math" w:hAnsi="Cambria Math" w:cs="Times New Roman"/>
        </w:rPr>
        <w:t>As Alexandra, a Canadian woman who fled Canada to seek safety, said about socio-legal human rights exclusion meant to her and why there is t</w:t>
      </w:r>
      <w:r w:rsidRPr="00C45FC2">
        <w:rPr>
          <w:rFonts w:ascii="Cambria Math" w:hAnsi="Cambria Math" w:cs="Times New Roman"/>
          <w:bCs/>
          <w:lang w:val="en-US"/>
        </w:rPr>
        <w:t>he need to amend the</w:t>
      </w:r>
      <w:r w:rsidRPr="00C45FC2">
        <w:rPr>
          <w:rFonts w:ascii="Cambria Math" w:hAnsi="Cambria Math" w:cs="Times New Roman"/>
          <w:bCs/>
          <w:i/>
          <w:lang w:val="en-US"/>
        </w:rPr>
        <w:t xml:space="preserve"> Criminal Code of Canada</w:t>
      </w:r>
      <w:r w:rsidRPr="00C45FC2">
        <w:rPr>
          <w:rFonts w:ascii="Cambria Math" w:hAnsi="Cambria Math" w:cs="Times New Roman"/>
          <w:bCs/>
          <w:lang w:val="en-US"/>
        </w:rPr>
        <w:t xml:space="preserve"> to include torture by non-State actors</w:t>
      </w:r>
      <w:r w:rsidR="00603C89" w:rsidRPr="00C45FC2">
        <w:rPr>
          <w:rFonts w:ascii="Cambria Math" w:hAnsi="Cambria Math" w:cs="Times New Roman"/>
          <w:bCs/>
          <w:lang w:val="en-US"/>
        </w:rPr>
        <w:t xml:space="preserve"> (</w:t>
      </w:r>
      <w:hyperlink r:id="rId30" w:history="1">
        <w:r w:rsidR="00603C89" w:rsidRPr="00C45FC2">
          <w:rPr>
            <w:rStyle w:val="Hyperlink"/>
            <w:rFonts w:ascii="Cambria Math" w:hAnsi="Cambria Math" w:cs="Times New Roman"/>
            <w:bCs/>
            <w:lang w:val="en-US"/>
          </w:rPr>
          <w:t>Sarson &amp; MacDonald, 2018-2019</w:t>
        </w:r>
      </w:hyperlink>
      <w:r w:rsidR="0058371A" w:rsidRPr="00C45FC2">
        <w:rPr>
          <w:rFonts w:ascii="Cambria Math" w:hAnsi="Cambria Math" w:cs="Times New Roman"/>
        </w:rPr>
        <w:t>)</w:t>
      </w:r>
      <w:r w:rsidR="00330496" w:rsidRPr="00C45FC2">
        <w:rPr>
          <w:rFonts w:ascii="Cambria Math" w:hAnsi="Cambria Math" w:cs="Times New Roman"/>
          <w:i/>
        </w:rPr>
        <w:t xml:space="preserve"> </w:t>
      </w:r>
    </w:p>
    <w:p w14:paraId="783368CD" w14:textId="77777777" w:rsidR="00E431BE" w:rsidRPr="00C45FC2" w:rsidRDefault="00E431BE" w:rsidP="00C45FC2">
      <w:pPr>
        <w:jc w:val="both"/>
        <w:rPr>
          <w:rFonts w:ascii="Cambria Math" w:hAnsi="Cambria Math"/>
          <w:b/>
          <w:bCs/>
        </w:rPr>
      </w:pPr>
      <w:r w:rsidRPr="00C45FC2">
        <w:rPr>
          <w:rFonts w:ascii="Cambria Math" w:hAnsi="Cambria Math"/>
          <w:b/>
          <w:bCs/>
        </w:rPr>
        <w:lastRenderedPageBreak/>
        <w:t xml:space="preserve">The Negative Effects of Menopause on women’s access to work and social protection </w:t>
      </w:r>
    </w:p>
    <w:p w14:paraId="67486AF2" w14:textId="67844658" w:rsidR="00E431BE" w:rsidRPr="00C45FC2" w:rsidRDefault="00E431BE" w:rsidP="00C45FC2">
      <w:pPr>
        <w:jc w:val="both"/>
        <w:rPr>
          <w:rFonts w:ascii="Cambria Math" w:hAnsi="Cambria Math"/>
        </w:rPr>
      </w:pPr>
      <w:r w:rsidRPr="00C45FC2">
        <w:rPr>
          <w:rFonts w:ascii="Cambria Math" w:hAnsi="Cambria Math"/>
        </w:rPr>
        <w:t xml:space="preserve">Canada limits women’s SRHR to reproductive years, without taking into account </w:t>
      </w:r>
      <w:r w:rsidRPr="00C45FC2">
        <w:rPr>
          <w:rFonts w:ascii="Cambria Math" w:hAnsi="Cambria Math"/>
          <w:i/>
          <w:iCs/>
        </w:rPr>
        <w:t xml:space="preserve">aging women, </w:t>
      </w:r>
      <w:r w:rsidRPr="00C45FC2">
        <w:rPr>
          <w:rFonts w:ascii="Cambria Math" w:hAnsi="Cambria Math"/>
        </w:rPr>
        <w:t xml:space="preserve">categorizing women as younger and older women.  One-quarter, or five million, of Canada’s workers are women aged 40-plus; </w:t>
      </w:r>
      <w:r w:rsidR="00601CF4" w:rsidRPr="00C45FC2">
        <w:rPr>
          <w:rFonts w:ascii="Cambria Math" w:hAnsi="Cambria Math"/>
        </w:rPr>
        <w:t>2</w:t>
      </w:r>
      <w:r w:rsidRPr="00C45FC2">
        <w:rPr>
          <w:rFonts w:ascii="Cambria Math" w:hAnsi="Cambria Math"/>
        </w:rPr>
        <w:t xml:space="preserve"> million are between 45 and 55, the age range when most women reach </w:t>
      </w:r>
      <w:r w:rsidR="00A360C7" w:rsidRPr="00C45FC2">
        <w:rPr>
          <w:rFonts w:ascii="Cambria Math" w:hAnsi="Cambria Math"/>
        </w:rPr>
        <w:t xml:space="preserve">menopause, Canada’s laws, policies and programs are not in conformity with the Convention on the Elimination of All Forms of Discrimination against Women (CEDAW) “15. The full development and advancement of women cannot be achieved without taking a life cycle approach, recognizing and addressing the different stages of women’s lives — childhood, adolescence, adulthood and old age — and their impact on enjoyment of human rights by older women. The rights enshrined in the Convention are applicable at all stages of a woman’s life but, in many countries, age discrimination continues to be tolerated and accepted at the individual, institutional and policy levels and few countries have legislation prohibiting discrimination based on age </w:t>
      </w:r>
      <w:r w:rsidR="00A360C7" w:rsidRPr="00C45FC2">
        <w:rPr>
          <w:rStyle w:val="FootnoteReference"/>
          <w:rFonts w:ascii="Cambria Math" w:hAnsi="Cambria Math"/>
        </w:rPr>
        <w:footnoteReference w:id="9"/>
      </w:r>
      <w:r w:rsidRPr="00C45FC2">
        <w:rPr>
          <w:rFonts w:ascii="Cambria Math" w:hAnsi="Cambria Math"/>
        </w:rPr>
        <w:t>. This demographic represents the most rapidly expanding group of employed women, with projections indicating a growth of nearly one-third by the year 2040</w:t>
      </w:r>
      <w:r w:rsidRPr="00C45FC2">
        <w:rPr>
          <w:rFonts w:ascii="Cambria Math" w:hAnsi="Cambria Math"/>
          <w:vertAlign w:val="superscript"/>
        </w:rPr>
        <w:footnoteReference w:id="10"/>
      </w:r>
      <w:r w:rsidRPr="00C45FC2">
        <w:rPr>
          <w:rFonts w:ascii="Cambria Math" w:hAnsi="Cambria Math"/>
        </w:rPr>
        <w:t xml:space="preserve">. </w:t>
      </w:r>
    </w:p>
    <w:p w14:paraId="603BA419" w14:textId="691A2D3A" w:rsidR="00E431BE" w:rsidRPr="00C45FC2" w:rsidRDefault="00E431BE" w:rsidP="00C45FC2">
      <w:pPr>
        <w:jc w:val="both"/>
        <w:rPr>
          <w:rFonts w:ascii="Cambria Math" w:hAnsi="Cambria Math"/>
        </w:rPr>
      </w:pPr>
      <w:r w:rsidRPr="00C45FC2">
        <w:rPr>
          <w:rFonts w:ascii="Cambria Math" w:hAnsi="Cambria Math"/>
          <w:i/>
          <w:iCs/>
        </w:rPr>
        <w:t xml:space="preserve">According to the World Health Organization (WHO) “Many governments do not have health </w:t>
      </w:r>
      <w:r w:rsidR="00601CF4" w:rsidRPr="00C45FC2">
        <w:rPr>
          <w:rFonts w:ascii="Cambria Math" w:hAnsi="Cambria Math"/>
          <w:i/>
          <w:iCs/>
        </w:rPr>
        <w:t>policies</w:t>
      </w:r>
      <w:r w:rsidRPr="00C45FC2">
        <w:rPr>
          <w:rFonts w:ascii="Cambria Math" w:hAnsi="Cambria Math"/>
          <w:i/>
          <w:iCs/>
        </w:rPr>
        <w:t xml:space="preserve"> and financing for the inclusion of menopause-related diagnosis, </w:t>
      </w:r>
      <w:r w:rsidR="00601CF4" w:rsidRPr="00C45FC2">
        <w:rPr>
          <w:rFonts w:ascii="Cambria Math" w:hAnsi="Cambria Math"/>
          <w:i/>
          <w:iCs/>
        </w:rPr>
        <w:t>counseling</w:t>
      </w:r>
      <w:r w:rsidRPr="00C45FC2">
        <w:rPr>
          <w:rFonts w:ascii="Cambria Math" w:hAnsi="Cambria Math"/>
          <w:i/>
          <w:iCs/>
        </w:rPr>
        <w:t>, and treatment services as part of their routinely available services. Menopause-related services are a particular challenge in settings where there are often other urgent and competing priorities for health funding</w:t>
      </w:r>
      <w:r w:rsidRPr="00C45FC2">
        <w:rPr>
          <w:rFonts w:ascii="Cambria Math" w:hAnsi="Cambria Math"/>
          <w:vertAlign w:val="superscript"/>
        </w:rPr>
        <w:footnoteReference w:id="11"/>
      </w:r>
      <w:r w:rsidRPr="00C45FC2">
        <w:rPr>
          <w:rFonts w:ascii="Cambria Math" w:hAnsi="Cambria Math"/>
        </w:rPr>
        <w:t xml:space="preserve">. </w:t>
      </w:r>
      <w:r w:rsidR="00601CF4" w:rsidRPr="00C45FC2">
        <w:rPr>
          <w:rFonts w:ascii="Cambria Math" w:hAnsi="Cambria Math"/>
        </w:rPr>
        <w:t>The government of Canada is among the above-mentioned governments.</w:t>
      </w:r>
    </w:p>
    <w:p w14:paraId="5715CD25" w14:textId="000F6730" w:rsidR="00601CF4" w:rsidRPr="00C45FC2" w:rsidRDefault="00E431BE" w:rsidP="00C45FC2">
      <w:pPr>
        <w:jc w:val="both"/>
        <w:rPr>
          <w:rFonts w:ascii="Cambria Math" w:hAnsi="Cambria Math"/>
          <w:i/>
          <w:iCs/>
        </w:rPr>
      </w:pPr>
      <w:r w:rsidRPr="00C45FC2">
        <w:rPr>
          <w:rFonts w:ascii="Cambria Math" w:hAnsi="Cambria Math"/>
        </w:rPr>
        <w:t>The lack of government (s) action-oriented initiatives addressing menopause is often absent in Canada, in workplaces, and in healthcare environments. The disruptive symptoms associated with menopause compel women to make difficult decisions, often leading them to risk job loss or voluntarily exit the workforce</w:t>
      </w:r>
      <w:r w:rsidR="00601CF4" w:rsidRPr="00C45FC2">
        <w:rPr>
          <w:rFonts w:ascii="Cambria Math" w:hAnsi="Cambria Math"/>
        </w:rPr>
        <w:t xml:space="preserve">. </w:t>
      </w:r>
      <w:r w:rsidRPr="00C45FC2">
        <w:rPr>
          <w:rFonts w:ascii="Cambria Math" w:hAnsi="Cambria Math"/>
        </w:rPr>
        <w:t>Th</w:t>
      </w:r>
      <w:r w:rsidR="00601CF4" w:rsidRPr="00C45FC2">
        <w:rPr>
          <w:rFonts w:ascii="Cambria Math" w:hAnsi="Cambria Math"/>
        </w:rPr>
        <w:t>e</w:t>
      </w:r>
      <w:r w:rsidRPr="00C45FC2">
        <w:rPr>
          <w:rFonts w:ascii="Cambria Math" w:hAnsi="Cambria Math"/>
        </w:rPr>
        <w:t xml:space="preserve"> stigma surrounding aging perpetuates the notion that women lose value in society and the workplace as they age.  “</w:t>
      </w:r>
      <w:r w:rsidRPr="00C45FC2">
        <w:rPr>
          <w:rFonts w:ascii="Cambria Math" w:hAnsi="Cambria Math"/>
          <w:i/>
          <w:iCs/>
        </w:rPr>
        <w:t>There are an estimated 10 million women over the age of 40 in Canada, making up more than one-quarter of the population. Despite the size of this cohort, their health care and societal needs related to menopause – a natural yet complex transition experienced by all women – have largely been ignored</w:t>
      </w:r>
      <w:r w:rsidRPr="00C45FC2">
        <w:rPr>
          <w:rFonts w:ascii="Cambria Math" w:hAnsi="Cambria Math"/>
          <w:i/>
          <w:iCs/>
          <w:vertAlign w:val="superscript"/>
        </w:rPr>
        <w:t xml:space="preserve"> </w:t>
      </w:r>
      <w:r w:rsidRPr="00C45FC2">
        <w:rPr>
          <w:rFonts w:ascii="Cambria Math" w:hAnsi="Cambria Math"/>
          <w:i/>
          <w:iCs/>
          <w:vertAlign w:val="superscript"/>
        </w:rPr>
        <w:footnoteReference w:id="12"/>
      </w:r>
      <w:r w:rsidRPr="00C45FC2">
        <w:rPr>
          <w:rFonts w:ascii="Cambria Math" w:hAnsi="Cambria Math"/>
          <w:i/>
          <w:iCs/>
        </w:rPr>
        <w:t>The Silence and the Stigma: Menopause in Canada</w:t>
      </w:r>
      <w:r w:rsidR="00601CF4" w:rsidRPr="00C45FC2">
        <w:rPr>
          <w:rFonts w:ascii="Cambria Math" w:hAnsi="Cambria Math"/>
          <w:i/>
          <w:iCs/>
        </w:rPr>
        <w:t>, reported by Menopause Foundation Canada (2022)</w:t>
      </w:r>
      <w:r w:rsidRPr="00C45FC2">
        <w:rPr>
          <w:rFonts w:ascii="Cambria Math" w:hAnsi="Cambria Math"/>
          <w:i/>
          <w:iCs/>
        </w:rPr>
        <w:t>.</w:t>
      </w:r>
    </w:p>
    <w:p w14:paraId="6B133948" w14:textId="796C2B09" w:rsidR="00E431BE" w:rsidRPr="00C45FC2" w:rsidRDefault="00E431BE" w:rsidP="00C45FC2">
      <w:pPr>
        <w:jc w:val="both"/>
        <w:rPr>
          <w:rFonts w:ascii="Cambria Math" w:hAnsi="Cambria Math"/>
        </w:rPr>
      </w:pPr>
      <w:r w:rsidRPr="00C45FC2">
        <w:rPr>
          <w:rFonts w:ascii="Cambria Math" w:hAnsi="Cambria Math"/>
          <w:i/>
          <w:iCs/>
        </w:rPr>
        <w:lastRenderedPageBreak/>
        <w:t xml:space="preserve"> </w:t>
      </w:r>
      <w:r w:rsidRPr="00C45FC2">
        <w:rPr>
          <w:rFonts w:ascii="Cambria Math" w:hAnsi="Cambria Math"/>
        </w:rPr>
        <w:t>It is estimated that the unmanaged symptoms of menopause result in an economic burden of $3.5 billion annually. Survey data indicates that lost productivity accounts for $237 million in lost workdays due to menopause symptom management, alongside $540 million in lost income stemming from reduced hours, pay cuts, or exiting the workforce entirely. Notably, there is a 14% decline in the number of working women in Canada between the ages of 45 (85.9% employment rate) and 59 (71.9% employment rate), in contrast to a 10% decrease observed among working men</w:t>
      </w:r>
      <w:r w:rsidRPr="00C45FC2">
        <w:rPr>
          <w:rFonts w:ascii="Cambria Math" w:hAnsi="Cambria Math"/>
          <w:vertAlign w:val="superscript"/>
        </w:rPr>
        <w:footnoteReference w:id="13"/>
      </w:r>
      <w:r w:rsidRPr="00C45FC2">
        <w:rPr>
          <w:rFonts w:ascii="Cambria Math" w:hAnsi="Cambria Math"/>
        </w:rPr>
        <w:t xml:space="preserve">. </w:t>
      </w:r>
      <w:r w:rsidR="0058371A" w:rsidRPr="00C45FC2">
        <w:rPr>
          <w:rFonts w:ascii="Cambria Math" w:hAnsi="Cambria Math"/>
        </w:rPr>
        <w:t xml:space="preserve">Thus, this will further deepen the already existing inequalities between men and women. </w:t>
      </w:r>
    </w:p>
    <w:p w14:paraId="5B897611" w14:textId="77777777" w:rsidR="00E431BE" w:rsidRPr="00C45FC2" w:rsidRDefault="00E431BE" w:rsidP="00E431BE">
      <w:pPr>
        <w:rPr>
          <w:rFonts w:ascii="Cambria Math" w:hAnsi="Cambria Math"/>
        </w:rPr>
      </w:pPr>
    </w:p>
    <w:p w14:paraId="3DB051BD" w14:textId="77777777" w:rsidR="00EB2EA2" w:rsidRPr="00C45FC2" w:rsidRDefault="00EB2EA2">
      <w:pPr>
        <w:rPr>
          <w:rFonts w:ascii="Cambria Math" w:hAnsi="Cambria Math"/>
          <w:b/>
          <w:bCs/>
        </w:rPr>
      </w:pPr>
    </w:p>
    <w:sectPr w:rsidR="00EB2EA2" w:rsidRPr="00C45FC2">
      <w:headerReference w:type="default" r:id="rId31"/>
      <w:footerReference w:type="default" r:id="rId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27814" w14:textId="77777777" w:rsidR="0073188B" w:rsidRDefault="0073188B" w:rsidP="00102BD8">
      <w:pPr>
        <w:spacing w:after="0" w:line="240" w:lineRule="auto"/>
      </w:pPr>
      <w:r>
        <w:separator/>
      </w:r>
    </w:p>
  </w:endnote>
  <w:endnote w:type="continuationSeparator" w:id="0">
    <w:p w14:paraId="49079CD4" w14:textId="77777777" w:rsidR="0073188B" w:rsidRDefault="0073188B" w:rsidP="00102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 Pr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4656735"/>
      <w:docPartObj>
        <w:docPartGallery w:val="Page Numbers (Bottom of Page)"/>
        <w:docPartUnique/>
      </w:docPartObj>
    </w:sdtPr>
    <w:sdtEndPr>
      <w:rPr>
        <w:noProof/>
      </w:rPr>
    </w:sdtEndPr>
    <w:sdtContent>
      <w:p w14:paraId="3B918EE9" w14:textId="3EE12208" w:rsidR="00DF1A1D" w:rsidRDefault="00DF1A1D">
        <w:pPr>
          <w:pStyle w:val="Footer"/>
          <w:jc w:val="right"/>
        </w:pPr>
        <w:r>
          <w:fldChar w:fldCharType="begin"/>
        </w:r>
        <w:r>
          <w:instrText xml:space="preserve"> PAGE   \* MERGEFORMAT </w:instrText>
        </w:r>
        <w:r>
          <w:fldChar w:fldCharType="separate"/>
        </w:r>
        <w:r w:rsidR="007660DE">
          <w:rPr>
            <w:noProof/>
          </w:rPr>
          <w:t>6</w:t>
        </w:r>
        <w:r>
          <w:rPr>
            <w:noProof/>
          </w:rPr>
          <w:fldChar w:fldCharType="end"/>
        </w:r>
      </w:p>
    </w:sdtContent>
  </w:sdt>
  <w:p w14:paraId="654EC83C" w14:textId="77777777" w:rsidR="00DF1A1D" w:rsidRDefault="00DF1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118E2" w14:textId="77777777" w:rsidR="0073188B" w:rsidRDefault="0073188B" w:rsidP="00102BD8">
      <w:pPr>
        <w:spacing w:after="0" w:line="240" w:lineRule="auto"/>
      </w:pPr>
      <w:r>
        <w:separator/>
      </w:r>
    </w:p>
  </w:footnote>
  <w:footnote w:type="continuationSeparator" w:id="0">
    <w:p w14:paraId="4FDCD234" w14:textId="77777777" w:rsidR="0073188B" w:rsidRDefault="0073188B" w:rsidP="00102BD8">
      <w:pPr>
        <w:spacing w:after="0" w:line="240" w:lineRule="auto"/>
      </w:pPr>
      <w:r>
        <w:continuationSeparator/>
      </w:r>
    </w:p>
  </w:footnote>
  <w:footnote w:id="1">
    <w:p w14:paraId="4E9D0A4A" w14:textId="77777777" w:rsidR="007729F7" w:rsidRDefault="007729F7" w:rsidP="007729F7">
      <w:pPr>
        <w:pStyle w:val="FootnoteText"/>
      </w:pPr>
      <w:r>
        <w:rPr>
          <w:rStyle w:val="FootnoteReference"/>
        </w:rPr>
        <w:footnoteRef/>
      </w:r>
      <w:r>
        <w:t xml:space="preserve"> </w:t>
      </w:r>
      <w:hyperlink r:id="rId1" w:history="1">
        <w:r w:rsidRPr="00F9653A">
          <w:rPr>
            <w:rStyle w:val="Hyperlink"/>
          </w:rPr>
          <w:t>https://www.ourcommons.ca/Content/Committee/441/FEWO/Brief/BR11643004/br-external/ArmaghHouse-WEB-Brief-10588690-e.pdf</w:t>
        </w:r>
      </w:hyperlink>
      <w:r>
        <w:t xml:space="preserve"> </w:t>
      </w:r>
    </w:p>
  </w:footnote>
  <w:footnote w:id="2">
    <w:p w14:paraId="21A503CF" w14:textId="4F7E9BA1" w:rsidR="007729F7" w:rsidRDefault="007729F7" w:rsidP="007729F7">
      <w:pPr>
        <w:pStyle w:val="FootnoteText"/>
      </w:pPr>
      <w:r>
        <w:rPr>
          <w:rStyle w:val="FootnoteReference"/>
        </w:rPr>
        <w:footnoteRef/>
      </w:r>
      <w:r>
        <w:t xml:space="preserve"> </w:t>
      </w:r>
      <w:hyperlink r:id="rId2" w:history="1">
        <w:r w:rsidRPr="00F9653A">
          <w:rPr>
            <w:rStyle w:val="Hyperlink"/>
          </w:rPr>
          <w:t>https://www.etymonline.com/word/homicide</w:t>
        </w:r>
      </w:hyperlink>
    </w:p>
  </w:footnote>
  <w:footnote w:id="3">
    <w:p w14:paraId="76CABBB8" w14:textId="472546C8" w:rsidR="007729F7" w:rsidRPr="00E431BE" w:rsidRDefault="007729F7" w:rsidP="007729F7">
      <w:pPr>
        <w:pStyle w:val="FootnoteText"/>
        <w:rPr>
          <w:lang w:val="en-CA"/>
        </w:rPr>
      </w:pPr>
      <w:r>
        <w:rPr>
          <w:rStyle w:val="FootnoteReference"/>
        </w:rPr>
        <w:footnoteRef/>
      </w:r>
      <w:r w:rsidRPr="00E431BE">
        <w:rPr>
          <w:lang w:val="en-CA"/>
        </w:rPr>
        <w:t xml:space="preserve"> </w:t>
      </w:r>
      <w:hyperlink r:id="rId3" w:history="1">
        <w:r w:rsidRPr="00E431BE">
          <w:rPr>
            <w:rStyle w:val="Hyperlink"/>
            <w:lang w:val="en-CA"/>
          </w:rPr>
          <w:t>https://undocs.org/en/A/RES/77/218</w:t>
        </w:r>
      </w:hyperlink>
      <w:r w:rsidRPr="00E431BE">
        <w:rPr>
          <w:lang w:val="en-CA"/>
        </w:rPr>
        <w:t>, A/78/254, Seventy-</w:t>
      </w:r>
      <w:proofErr w:type="gramStart"/>
      <w:r w:rsidRPr="00E431BE">
        <w:rPr>
          <w:lang w:val="en-CA"/>
        </w:rPr>
        <w:t>eighth  III.</w:t>
      </w:r>
      <w:proofErr w:type="gramEnd"/>
      <w:r w:rsidRPr="00E431BE">
        <w:rPr>
          <w:lang w:val="en-CA"/>
        </w:rPr>
        <w:t xml:space="preserve"> The investigation and documentation of gender-based killings of women and girls, para. 8,9, p. 4 &amp; A. Due diligence obligations of States, para.13 (ref CEDAW), 2010, </w:t>
      </w:r>
      <w:hyperlink r:id="rId4" w:history="1">
        <w:r w:rsidRPr="00E431BE">
          <w:rPr>
            <w:rStyle w:val="Hyperlink"/>
            <w:lang w:val="en-CA"/>
          </w:rPr>
          <w:t>https://undocs.org/en/A/RES/65/22</w:t>
        </w:r>
      </w:hyperlink>
    </w:p>
  </w:footnote>
  <w:footnote w:id="4">
    <w:p w14:paraId="10312478" w14:textId="75C4D3C7" w:rsidR="003538D2" w:rsidRPr="00E431BE" w:rsidRDefault="006D5100">
      <w:pPr>
        <w:pStyle w:val="FootnoteText"/>
        <w:rPr>
          <w:lang w:val="en-CA"/>
        </w:rPr>
      </w:pPr>
      <w:r>
        <w:rPr>
          <w:rStyle w:val="FootnoteReference"/>
        </w:rPr>
        <w:footnoteRef/>
      </w:r>
      <w:r w:rsidRPr="00E431BE">
        <w:rPr>
          <w:lang w:val="en-CA"/>
        </w:rPr>
        <w:t xml:space="preserve"> </w:t>
      </w:r>
      <w:hyperlink r:id="rId5" w:history="1">
        <w:r w:rsidR="003538D2" w:rsidRPr="00505EF2">
          <w:rPr>
            <w:rStyle w:val="Hyperlink"/>
            <w:lang w:val="en-CA"/>
          </w:rPr>
          <w:t>https://data.unwomen.org/publications/statistical-framework-measuring-gender-related-killings-women-and-girls-also-referred</w:t>
        </w:r>
      </w:hyperlink>
    </w:p>
  </w:footnote>
  <w:footnote w:id="5">
    <w:p w14:paraId="74F2E4F1" w14:textId="19D71B55" w:rsidR="00DB064D" w:rsidRPr="00C45FC2" w:rsidRDefault="00DB064D">
      <w:pPr>
        <w:pStyle w:val="FootnoteText"/>
        <w:rPr>
          <w:lang w:val="en-CA"/>
        </w:rPr>
      </w:pPr>
      <w:r>
        <w:rPr>
          <w:rStyle w:val="FootnoteReference"/>
        </w:rPr>
        <w:footnoteRef/>
      </w:r>
      <w:r w:rsidRPr="00C45FC2">
        <w:rPr>
          <w:lang w:val="en-CA"/>
        </w:rPr>
        <w:t xml:space="preserve"> </w:t>
      </w:r>
      <w:hyperlink r:id="rId6" w:history="1">
        <w:r w:rsidRPr="00D246E3">
          <w:rPr>
            <w:rStyle w:val="Hyperlink"/>
            <w:lang w:val="en-CA"/>
          </w:rPr>
          <w:t>https://femicideincanada.ca/</w:t>
        </w:r>
      </w:hyperlink>
      <w:r>
        <w:rPr>
          <w:lang w:val="en-CA"/>
        </w:rPr>
        <w:t xml:space="preserve"> </w:t>
      </w:r>
    </w:p>
  </w:footnote>
  <w:footnote w:id="6">
    <w:p w14:paraId="5A906738" w14:textId="77777777" w:rsidR="007729F7" w:rsidRPr="00E431BE" w:rsidRDefault="007729F7" w:rsidP="007729F7">
      <w:pPr>
        <w:pStyle w:val="FootnoteText"/>
        <w:rPr>
          <w:lang w:val="en-CA"/>
        </w:rPr>
      </w:pPr>
      <w:r>
        <w:rPr>
          <w:rStyle w:val="FootnoteReference"/>
        </w:rPr>
        <w:footnoteRef/>
      </w:r>
      <w:r w:rsidRPr="00E431BE">
        <w:rPr>
          <w:lang w:val="en-CA"/>
        </w:rPr>
        <w:t xml:space="preserve"> </w:t>
      </w:r>
      <w:hyperlink r:id="rId7" w:history="1">
        <w:r w:rsidRPr="00E431BE">
          <w:rPr>
            <w:rStyle w:val="Hyperlink"/>
            <w:lang w:val="en-CA"/>
          </w:rPr>
          <w:t>https://femicideincanada.ca/cfoja-research/cfoja-reports/</w:t>
        </w:r>
      </w:hyperlink>
      <w:r w:rsidRPr="00E431BE">
        <w:rPr>
          <w:lang w:val="en-CA"/>
        </w:rPr>
        <w:t xml:space="preserve"> </w:t>
      </w:r>
    </w:p>
  </w:footnote>
  <w:footnote w:id="7">
    <w:p w14:paraId="0713BB39" w14:textId="20A7F8B9" w:rsidR="00DF1A1D" w:rsidRPr="00A202FD" w:rsidRDefault="00DF1A1D" w:rsidP="00A042D4">
      <w:pPr>
        <w:pStyle w:val="FootnoteText"/>
        <w:rPr>
          <w:rFonts w:ascii="Times New Roman" w:hAnsi="Times New Roman" w:cs="Times New Roman"/>
          <w:strike/>
          <w:lang w:val="en-CA"/>
        </w:rPr>
      </w:pPr>
      <w:r w:rsidRPr="00BC4823">
        <w:rPr>
          <w:rStyle w:val="FootnoteReference"/>
          <w:rFonts w:ascii="Times New Roman" w:hAnsi="Times New Roman" w:cs="Times New Roman"/>
        </w:rPr>
        <w:footnoteRef/>
      </w:r>
      <w:r w:rsidRPr="00BC4823">
        <w:rPr>
          <w:rFonts w:ascii="Times New Roman" w:hAnsi="Times New Roman" w:cs="Times New Roman"/>
        </w:rPr>
        <w:t xml:space="preserve"> </w:t>
      </w:r>
      <w:r w:rsidRPr="00A202FD">
        <w:rPr>
          <w:rFonts w:ascii="Times New Roman" w:hAnsi="Times New Roman" w:cs="Times New Roman"/>
        </w:rPr>
        <w:t xml:space="preserve">Jones, J., Sarson, J., &amp; MacDonald, L. (2018). </w:t>
      </w:r>
      <w:r w:rsidRPr="00A202FD">
        <w:rPr>
          <w:rFonts w:ascii="Times New Roman" w:hAnsi="Times New Roman" w:cs="Times New Roman"/>
          <w:lang w:val="en-CA"/>
        </w:rPr>
        <w:t xml:space="preserve">How non-state torture is gendered and invisibilized: Canada’s non-compliance with the committee against torture’ recommendations. In Center for Human Rights &amp; Humanitarian Law Anti-Torture Initiative (Ed.), </w:t>
      </w:r>
      <w:hyperlink r:id="rId8" w:history="1">
        <w:r w:rsidRPr="00A202FD">
          <w:rPr>
            <w:rStyle w:val="Hyperlink"/>
            <w:rFonts w:ascii="Times New Roman" w:hAnsi="Times New Roman" w:cs="Times New Roman"/>
            <w:i/>
            <w:lang w:val="en-CA"/>
          </w:rPr>
          <w:t>Gender Perspectives on Torture: Law and Practice</w:t>
        </w:r>
      </w:hyperlink>
      <w:r w:rsidRPr="00A202FD">
        <w:rPr>
          <w:rFonts w:ascii="Times New Roman" w:hAnsi="Times New Roman" w:cs="Times New Roman"/>
          <w:lang w:val="en-CA"/>
        </w:rPr>
        <w:t xml:space="preserve"> (pp. 33–56). </w:t>
      </w:r>
      <w:hyperlink r:id="rId9"/>
    </w:p>
  </w:footnote>
  <w:footnote w:id="8">
    <w:p w14:paraId="33B6734F" w14:textId="5E98827C" w:rsidR="00DF1A1D" w:rsidRPr="00BC4823" w:rsidRDefault="00DF1A1D" w:rsidP="00A042D4">
      <w:pPr>
        <w:spacing w:after="0"/>
        <w:rPr>
          <w:rFonts w:ascii="Times New Roman" w:hAnsi="Times New Roman" w:cs="Times New Roman"/>
          <w:sz w:val="20"/>
          <w:szCs w:val="20"/>
        </w:rPr>
      </w:pPr>
      <w:r w:rsidRPr="00BC4823">
        <w:rPr>
          <w:rStyle w:val="FootnoteReference"/>
          <w:rFonts w:ascii="Times New Roman" w:hAnsi="Times New Roman" w:cs="Times New Roman"/>
          <w:sz w:val="20"/>
          <w:szCs w:val="20"/>
        </w:rPr>
        <w:footnoteRef/>
      </w:r>
      <w:r w:rsidRPr="00BC4823">
        <w:rPr>
          <w:rFonts w:ascii="Times New Roman" w:hAnsi="Times New Roman" w:cs="Times New Roman"/>
          <w:sz w:val="20"/>
          <w:szCs w:val="20"/>
        </w:rPr>
        <w:t xml:space="preserve"> </w:t>
      </w:r>
      <w:hyperlink r:id="rId10" w:history="1">
        <w:r w:rsidRPr="00BC4823">
          <w:rPr>
            <w:rStyle w:val="Hyperlink"/>
            <w:rFonts w:ascii="Times New Roman" w:hAnsi="Times New Roman" w:cs="Times New Roman"/>
            <w:i/>
            <w:sz w:val="20"/>
            <w:szCs w:val="20"/>
          </w:rPr>
          <w:t>Australian Associated Press and Staff</w:t>
        </w:r>
      </w:hyperlink>
      <w:r w:rsidRPr="00BC4823">
        <w:rPr>
          <w:rFonts w:ascii="Times New Roman" w:hAnsi="Times New Roman" w:cs="Times New Roman"/>
          <w:sz w:val="20"/>
          <w:szCs w:val="20"/>
        </w:rPr>
        <w:t xml:space="preserve">. (2017). Almost 800 charged with strangulation in Queensland domestic violence crackdown; Bogdan, S. (2022, June 16). London Police Services Board looking to push federal government to add femicide to Criminal Code. </w:t>
      </w:r>
      <w:hyperlink r:id="rId11" w:history="1">
        <w:r w:rsidRPr="00BC4823">
          <w:rPr>
            <w:rStyle w:val="Hyperlink"/>
            <w:rFonts w:ascii="Times New Roman" w:hAnsi="Times New Roman" w:cs="Times New Roman"/>
            <w:i/>
            <w:sz w:val="20"/>
            <w:szCs w:val="20"/>
          </w:rPr>
          <w:t>Global News</w:t>
        </w:r>
      </w:hyperlink>
      <w:r w:rsidRPr="00BC4823">
        <w:rPr>
          <w:rFonts w:ascii="Times New Roman" w:hAnsi="Times New Roman" w:cs="Times New Roman"/>
          <w:i/>
          <w:sz w:val="20"/>
          <w:szCs w:val="20"/>
        </w:rPr>
        <w:t xml:space="preserve">; </w:t>
      </w:r>
      <w:r w:rsidRPr="00BC4823">
        <w:rPr>
          <w:rFonts w:ascii="Times New Roman" w:hAnsi="Times New Roman" w:cs="Times New Roman"/>
          <w:sz w:val="20"/>
          <w:szCs w:val="20"/>
        </w:rPr>
        <w:t xml:space="preserve">Canadian Femicide Observatory for Justice and Accountability. (2020). </w:t>
      </w:r>
      <w:hyperlink r:id="rId12" w:history="1">
        <w:r w:rsidRPr="00603C89">
          <w:rPr>
            <w:rStyle w:val="Hyperlink"/>
            <w:rFonts w:ascii="Times New Roman" w:hAnsi="Times New Roman" w:cs="Times New Roman"/>
            <w:i/>
            <w:sz w:val="20"/>
            <w:szCs w:val="20"/>
          </w:rPr>
          <w:t>Types of femicide</w:t>
        </w:r>
      </w:hyperlink>
      <w:r w:rsidRPr="00BC4823">
        <w:rPr>
          <w:rFonts w:ascii="Times New Roman" w:hAnsi="Times New Roman" w:cs="Times New Roman"/>
          <w:i/>
          <w:sz w:val="20"/>
          <w:szCs w:val="20"/>
        </w:rPr>
        <w:t xml:space="preserve">; </w:t>
      </w:r>
      <w:r w:rsidRPr="00BC4823">
        <w:rPr>
          <w:rFonts w:ascii="Times New Roman" w:eastAsia="Arial Unicode MS" w:hAnsi="Times New Roman" w:cs="Times New Roman"/>
          <w:sz w:val="20"/>
          <w:szCs w:val="20"/>
          <w:bdr w:val="nil"/>
          <w:lang w:val="en-US"/>
        </w:rPr>
        <w:t xml:space="preserve">Chan, K. S. (2018). </w:t>
      </w:r>
      <w:hyperlink r:id="rId13" w:history="1">
        <w:r w:rsidRPr="00F015B7">
          <w:rPr>
            <w:rStyle w:val="Hyperlink"/>
            <w:rFonts w:ascii="Times New Roman" w:eastAsia="Arial Unicode MS" w:hAnsi="Times New Roman" w:cs="Times New Roman"/>
            <w:sz w:val="20"/>
            <w:szCs w:val="20"/>
            <w:bdr w:val="nil"/>
            <w:lang w:val="en-US"/>
          </w:rPr>
          <w:t>No. 3 Getting a grip on strangulation</w:t>
        </w:r>
      </w:hyperlink>
      <w:r w:rsidRPr="00BC4823">
        <w:rPr>
          <w:rFonts w:ascii="Times New Roman" w:eastAsia="Arial Unicode MS" w:hAnsi="Times New Roman" w:cs="Times New Roman"/>
          <w:sz w:val="20"/>
          <w:szCs w:val="20"/>
          <w:bdr w:val="nil"/>
          <w:lang w:val="en-US"/>
        </w:rPr>
        <w:t xml:space="preserve">; </w:t>
      </w:r>
      <w:r w:rsidRPr="00BC4823">
        <w:rPr>
          <w:rFonts w:ascii="Times New Roman" w:eastAsia="Arial Unicode MS" w:hAnsi="Times New Roman" w:cs="Times New Roman"/>
          <w:sz w:val="20"/>
          <w:szCs w:val="20"/>
          <w:bdr w:val="nil"/>
        </w:rPr>
        <w:t xml:space="preserve">Ferguson, S. (2022, March 24). </w:t>
      </w:r>
      <w:r w:rsidRPr="00BC4823">
        <w:rPr>
          <w:rFonts w:ascii="Times New Roman" w:eastAsia="Arial Unicode MS" w:hAnsi="Times New Roman" w:cs="Times New Roman"/>
          <w:i/>
          <w:sz w:val="20"/>
          <w:szCs w:val="20"/>
          <w:bdr w:val="nil"/>
        </w:rPr>
        <w:t>Femicide detective: Catching the men murdering Mexican women</w:t>
      </w:r>
      <w:r w:rsidRPr="00BC4823">
        <w:rPr>
          <w:rFonts w:ascii="Times New Roman" w:eastAsia="Arial Unicode MS" w:hAnsi="Times New Roman" w:cs="Times New Roman"/>
          <w:sz w:val="20"/>
          <w:szCs w:val="20"/>
          <w:bdr w:val="nil"/>
        </w:rPr>
        <w:t xml:space="preserve"> [Video].</w:t>
      </w:r>
      <w:hyperlink r:id="rId14" w:history="1">
        <w:r w:rsidRPr="00007737">
          <w:rPr>
            <w:rStyle w:val="Hyperlink"/>
            <w:rFonts w:ascii="Times New Roman" w:eastAsia="Arial Unicode MS" w:hAnsi="Times New Roman" w:cs="Times New Roman"/>
            <w:sz w:val="20"/>
            <w:szCs w:val="20"/>
            <w:bdr w:val="nil"/>
          </w:rPr>
          <w:t>YouTube</w:t>
        </w:r>
      </w:hyperlink>
      <w:r w:rsidRPr="00BC4823">
        <w:rPr>
          <w:rFonts w:ascii="Times New Roman" w:eastAsia="Arial Unicode MS" w:hAnsi="Times New Roman" w:cs="Times New Roman"/>
          <w:sz w:val="20"/>
          <w:szCs w:val="20"/>
          <w:bdr w:val="nil"/>
          <w:lang w:val="en-US"/>
        </w:rPr>
        <w:t xml:space="preserve">; </w:t>
      </w:r>
      <w:r w:rsidRPr="00BC4823">
        <w:rPr>
          <w:rFonts w:ascii="Times New Roman" w:eastAsia="Arial Unicode MS" w:hAnsi="Times New Roman" w:cs="Times New Roman"/>
          <w:sz w:val="20"/>
          <w:szCs w:val="20"/>
          <w:bdr w:val="nil"/>
        </w:rPr>
        <w:t xml:space="preserve">Glass, N., Laughon, K., Campbell, J., Chair, A. D. W., Block, C. R., Hanson, G., Sharps, P. W., &amp; Taliaferro, E. (2009). </w:t>
      </w:r>
      <w:hyperlink r:id="rId15" w:history="1">
        <w:r w:rsidRPr="00007737">
          <w:rPr>
            <w:rStyle w:val="Hyperlink"/>
            <w:rFonts w:ascii="Times New Roman" w:eastAsia="Arial Unicode MS" w:hAnsi="Times New Roman" w:cs="Times New Roman"/>
            <w:sz w:val="20"/>
            <w:szCs w:val="20"/>
            <w:bdr w:val="nil"/>
          </w:rPr>
          <w:t>Non-fatal strangulation is an important risk factor for homicide of women</w:t>
        </w:r>
      </w:hyperlink>
      <w:r w:rsidRPr="00BC4823">
        <w:rPr>
          <w:rFonts w:ascii="Times New Roman" w:eastAsia="Arial Unicode MS" w:hAnsi="Times New Roman" w:cs="Times New Roman"/>
          <w:i/>
          <w:sz w:val="20"/>
          <w:szCs w:val="20"/>
          <w:bdr w:val="nil"/>
        </w:rPr>
        <w:t xml:space="preserve">; </w:t>
      </w:r>
      <w:r w:rsidRPr="00BC4823">
        <w:rPr>
          <w:rFonts w:ascii="Times New Roman" w:eastAsia="Arial Unicode MS" w:hAnsi="Times New Roman" w:cs="Times New Roman"/>
          <w:sz w:val="20"/>
          <w:szCs w:val="20"/>
          <w:bdr w:val="nil"/>
        </w:rPr>
        <w:t>Manjoo,</w:t>
      </w:r>
      <w:r w:rsidRPr="00BC4823">
        <w:rPr>
          <w:rFonts w:ascii="Times New Roman" w:eastAsia="Arial Unicode MS" w:hAnsi="Times New Roman" w:cs="Times New Roman"/>
          <w:i/>
          <w:sz w:val="20"/>
          <w:szCs w:val="20"/>
          <w:bdr w:val="nil"/>
        </w:rPr>
        <w:t xml:space="preserve"> </w:t>
      </w:r>
      <w:r w:rsidRPr="00BC4823">
        <w:rPr>
          <w:rFonts w:ascii="Times New Roman" w:eastAsia="Arial Unicode MS" w:hAnsi="Times New Roman" w:cs="Times New Roman"/>
          <w:sz w:val="20"/>
          <w:szCs w:val="20"/>
          <w:bdr w:val="nil"/>
          <w:lang w:val="en-US"/>
        </w:rPr>
        <w:t xml:space="preserve">R. (2012). </w:t>
      </w:r>
      <w:r w:rsidRPr="00BC4823">
        <w:rPr>
          <w:rFonts w:ascii="Times New Roman" w:eastAsia="Arial Unicode MS" w:hAnsi="Times New Roman" w:cs="Times New Roman"/>
          <w:i/>
          <w:sz w:val="20"/>
          <w:szCs w:val="20"/>
          <w:bdr w:val="nil"/>
          <w:lang w:val="en-US"/>
        </w:rPr>
        <w:t>Report of the Special Rapporteur on violence against women, its causes and consequences, Rashida Manjoo</w:t>
      </w:r>
      <w:r w:rsidRPr="00BC4823">
        <w:rPr>
          <w:rFonts w:ascii="Times New Roman" w:eastAsia="Arial Unicode MS" w:hAnsi="Times New Roman" w:cs="Times New Roman"/>
          <w:sz w:val="20"/>
          <w:szCs w:val="20"/>
          <w:bdr w:val="nil"/>
          <w:lang w:val="en-US"/>
        </w:rPr>
        <w:t xml:space="preserve"> (A/HRC/20/16). General Assembly; R</w:t>
      </w:r>
      <w:r w:rsidRPr="00BC4823">
        <w:rPr>
          <w:rFonts w:ascii="Times New Roman" w:eastAsia="Arial Unicode MS" w:hAnsi="Times New Roman" w:cs="Times New Roman"/>
          <w:sz w:val="20"/>
          <w:szCs w:val="20"/>
          <w:bdr w:val="nil"/>
        </w:rPr>
        <w:t xml:space="preserve">eckdenwald, A., King, D. J., &amp; Pritchard, A. (2020). </w:t>
      </w:r>
      <w:hyperlink r:id="rId16" w:history="1">
        <w:r w:rsidRPr="00007737">
          <w:rPr>
            <w:rStyle w:val="Hyperlink"/>
            <w:rFonts w:ascii="Times New Roman" w:eastAsia="Arial Unicode MS" w:hAnsi="Times New Roman" w:cs="Times New Roman"/>
            <w:sz w:val="20"/>
            <w:szCs w:val="20"/>
            <w:bdr w:val="nil"/>
          </w:rPr>
          <w:t>Prosecutorial response to nonfatal strangulation in domestic violence cases</w:t>
        </w:r>
      </w:hyperlink>
      <w:r w:rsidRPr="00BC4823">
        <w:rPr>
          <w:rFonts w:ascii="Times New Roman" w:eastAsia="Arial Unicode MS" w:hAnsi="Times New Roman" w:cs="Times New Roman"/>
          <w:sz w:val="20"/>
          <w:szCs w:val="20"/>
          <w:bdr w:val="nil"/>
        </w:rPr>
        <w:t xml:space="preserve">. </w:t>
      </w:r>
    </w:p>
  </w:footnote>
  <w:footnote w:id="9">
    <w:p w14:paraId="59D5013A" w14:textId="2E639D36" w:rsidR="00A360C7" w:rsidRPr="00C45FC2" w:rsidRDefault="00A360C7">
      <w:pPr>
        <w:pStyle w:val="FootnoteText"/>
        <w:rPr>
          <w:lang w:val="en-CA"/>
        </w:rPr>
      </w:pPr>
      <w:r>
        <w:rPr>
          <w:rStyle w:val="FootnoteReference"/>
        </w:rPr>
        <w:footnoteRef/>
      </w:r>
      <w:r w:rsidRPr="00C45FC2">
        <w:rPr>
          <w:lang w:val="en-CA"/>
        </w:rPr>
        <w:t xml:space="preserve"> </w:t>
      </w:r>
      <w:hyperlink r:id="rId17" w:history="1">
        <w:r w:rsidRPr="00C45FC2">
          <w:rPr>
            <w:rStyle w:val="Hyperlink"/>
            <w:lang w:val="en-CA"/>
          </w:rPr>
          <w:t>https://www2.ohchr.org/english/bodies/cedaw/docs/cedaw-c-2010-47-gc1.pdf</w:t>
        </w:r>
      </w:hyperlink>
      <w:r w:rsidRPr="00C45FC2">
        <w:rPr>
          <w:lang w:val="en-CA"/>
        </w:rPr>
        <w:t xml:space="preserve">, Res//C/2010/47/GC.1Committee on the Elimination of </w:t>
      </w:r>
      <w:proofErr w:type="gramStart"/>
      <w:r w:rsidRPr="00C45FC2">
        <w:rPr>
          <w:lang w:val="en-CA"/>
        </w:rPr>
        <w:t>Discrimination  against</w:t>
      </w:r>
      <w:proofErr w:type="gramEnd"/>
      <w:r w:rsidRPr="00C45FC2">
        <w:rPr>
          <w:lang w:val="en-CA"/>
        </w:rPr>
        <w:t xml:space="preserve"> Women ADVANCE UNEDITED VERSION Forty-seventh (47)  session 4 – 22 October 2010, p</w:t>
      </w:r>
      <w:r w:rsidR="009421D7">
        <w:rPr>
          <w:lang w:val="en-CA"/>
        </w:rPr>
        <w:t>ara</w:t>
      </w:r>
      <w:r w:rsidRPr="00C45FC2">
        <w:rPr>
          <w:lang w:val="en-CA"/>
        </w:rPr>
        <w:t xml:space="preserve">15, p3  </w:t>
      </w:r>
    </w:p>
  </w:footnote>
  <w:footnote w:id="10">
    <w:p w14:paraId="43834E35" w14:textId="77777777" w:rsidR="00E431BE" w:rsidRPr="00C45FC2" w:rsidRDefault="00E431BE" w:rsidP="00E431BE">
      <w:pPr>
        <w:pStyle w:val="FootnoteText"/>
        <w:rPr>
          <w:lang w:val="en-CA"/>
        </w:rPr>
      </w:pPr>
      <w:r>
        <w:rPr>
          <w:rStyle w:val="FootnoteReference"/>
        </w:rPr>
        <w:footnoteRef/>
      </w:r>
      <w:r w:rsidRPr="00C45FC2">
        <w:rPr>
          <w:lang w:val="en-CA"/>
        </w:rPr>
        <w:t xml:space="preserve"> </w:t>
      </w:r>
      <w:hyperlink r:id="rId18" w:history="1">
        <w:r w:rsidRPr="00C45FC2">
          <w:rPr>
            <w:rStyle w:val="Hyperlink"/>
            <w:lang w:val="en-CA"/>
          </w:rPr>
          <w:t>https://menopausefoundationcanada.ca/menopause-and-work-in-canada-report/</w:t>
        </w:r>
      </w:hyperlink>
      <w:r w:rsidRPr="00C45FC2">
        <w:rPr>
          <w:lang w:val="en-CA"/>
        </w:rPr>
        <w:t xml:space="preserve"> 2023</w:t>
      </w:r>
    </w:p>
  </w:footnote>
  <w:footnote w:id="11">
    <w:p w14:paraId="1F5C0D8A" w14:textId="77777777" w:rsidR="00E431BE" w:rsidRPr="00C45FC2" w:rsidRDefault="00E431BE" w:rsidP="00E431BE">
      <w:pPr>
        <w:pStyle w:val="FootnoteText"/>
        <w:rPr>
          <w:lang w:val="en-CA"/>
        </w:rPr>
      </w:pPr>
      <w:r>
        <w:rPr>
          <w:rStyle w:val="FootnoteReference"/>
        </w:rPr>
        <w:footnoteRef/>
      </w:r>
      <w:r w:rsidRPr="00C45FC2">
        <w:rPr>
          <w:lang w:val="en-CA"/>
        </w:rPr>
        <w:t xml:space="preserve"> </w:t>
      </w:r>
      <w:hyperlink r:id="rId19" w:history="1">
        <w:r w:rsidRPr="00C45FC2">
          <w:rPr>
            <w:rStyle w:val="Hyperlink"/>
            <w:lang w:val="en-CA"/>
          </w:rPr>
          <w:t>https://www.who.int/news-room/fact-sheets/detail/menopause</w:t>
        </w:r>
      </w:hyperlink>
      <w:r w:rsidRPr="00C45FC2">
        <w:rPr>
          <w:lang w:val="en-CA"/>
        </w:rPr>
        <w:t xml:space="preserve"> </w:t>
      </w:r>
    </w:p>
  </w:footnote>
  <w:footnote w:id="12">
    <w:p w14:paraId="29802925" w14:textId="77777777" w:rsidR="00E431BE" w:rsidRPr="00C45FC2" w:rsidRDefault="00E431BE" w:rsidP="00E431BE">
      <w:pPr>
        <w:pStyle w:val="FootnoteText"/>
        <w:rPr>
          <w:lang w:val="en-CA"/>
        </w:rPr>
      </w:pPr>
      <w:r>
        <w:rPr>
          <w:rStyle w:val="FootnoteReference"/>
        </w:rPr>
        <w:footnoteRef/>
      </w:r>
      <w:r w:rsidRPr="00C45FC2">
        <w:rPr>
          <w:lang w:val="en-CA"/>
        </w:rPr>
        <w:t xml:space="preserve"> </w:t>
      </w:r>
      <w:hyperlink r:id="rId20" w:history="1">
        <w:r w:rsidRPr="00C45FC2">
          <w:rPr>
            <w:rStyle w:val="Hyperlink"/>
            <w:lang w:val="en-CA"/>
          </w:rPr>
          <w:t>https://menopausefoundationcanada.ca/menopause-in-canada-report/</w:t>
        </w:r>
      </w:hyperlink>
      <w:r w:rsidRPr="00C45FC2">
        <w:rPr>
          <w:lang w:val="en-CA"/>
        </w:rPr>
        <w:t xml:space="preserve"> 2022</w:t>
      </w:r>
    </w:p>
    <w:p w14:paraId="24027A4E" w14:textId="77777777" w:rsidR="00AD2D33" w:rsidRPr="00C45FC2" w:rsidRDefault="00AD2D33" w:rsidP="00E431BE">
      <w:pPr>
        <w:pStyle w:val="FootnoteText"/>
        <w:rPr>
          <w:lang w:val="en-CA"/>
        </w:rPr>
      </w:pPr>
    </w:p>
  </w:footnote>
  <w:footnote w:id="13">
    <w:p w14:paraId="34B74B41" w14:textId="77777777" w:rsidR="00E431BE" w:rsidRPr="001412F3" w:rsidRDefault="00E431BE" w:rsidP="00E431BE">
      <w:pPr>
        <w:pStyle w:val="FootnoteText"/>
        <w:rPr>
          <w:lang w:val="fr-FR"/>
        </w:rPr>
      </w:pPr>
      <w:r>
        <w:rPr>
          <w:rStyle w:val="FootnoteReference"/>
        </w:rPr>
        <w:footnoteRef/>
      </w:r>
      <w:r w:rsidRPr="001412F3">
        <w:rPr>
          <w:lang w:val="fr-FR"/>
        </w:rPr>
        <w:t xml:space="preserve"> idem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9A04B" w14:textId="0CFA4005" w:rsidR="00DF1A1D" w:rsidRDefault="00DF1A1D">
    <w:pPr>
      <w:pStyle w:val="Header"/>
    </w:pPr>
    <w:r>
      <w:rPr>
        <w:noProof/>
        <w:lang w:eastAsia="en-CA"/>
      </w:rPr>
      <w:drawing>
        <wp:inline distT="0" distB="0" distL="0" distR="0" wp14:anchorId="7776BB28" wp14:editId="20F6E857">
          <wp:extent cx="5353050" cy="603250"/>
          <wp:effectExtent l="0" t="0" r="0" b="6350"/>
          <wp:docPr id="119947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6032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81C34"/>
    <w:multiLevelType w:val="hybridMultilevel"/>
    <w:tmpl w:val="56880F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96A7C22"/>
    <w:multiLevelType w:val="hybridMultilevel"/>
    <w:tmpl w:val="9774B9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C8F7F93"/>
    <w:multiLevelType w:val="hybridMultilevel"/>
    <w:tmpl w:val="6FDE2D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7EE3AD0"/>
    <w:multiLevelType w:val="hybridMultilevel"/>
    <w:tmpl w:val="0C4860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0741F62"/>
    <w:multiLevelType w:val="hybridMultilevel"/>
    <w:tmpl w:val="F37EF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865749029">
    <w:abstractNumId w:val="1"/>
  </w:num>
  <w:num w:numId="2" w16cid:durableId="2004582211">
    <w:abstractNumId w:val="2"/>
  </w:num>
  <w:num w:numId="3" w16cid:durableId="1736004746">
    <w:abstractNumId w:val="4"/>
  </w:num>
  <w:num w:numId="4" w16cid:durableId="242182742">
    <w:abstractNumId w:val="0"/>
  </w:num>
  <w:num w:numId="5" w16cid:durableId="6762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BD8"/>
    <w:rsid w:val="000065FF"/>
    <w:rsid w:val="00007737"/>
    <w:rsid w:val="00030392"/>
    <w:rsid w:val="000320CF"/>
    <w:rsid w:val="00077B00"/>
    <w:rsid w:val="000D0705"/>
    <w:rsid w:val="000E7E0A"/>
    <w:rsid w:val="000F2BC4"/>
    <w:rsid w:val="000F5D40"/>
    <w:rsid w:val="0010234E"/>
    <w:rsid w:val="00102BD8"/>
    <w:rsid w:val="00104973"/>
    <w:rsid w:val="00137534"/>
    <w:rsid w:val="0014637F"/>
    <w:rsid w:val="001B3109"/>
    <w:rsid w:val="001D3E58"/>
    <w:rsid w:val="002205F5"/>
    <w:rsid w:val="00227A10"/>
    <w:rsid w:val="002508AF"/>
    <w:rsid w:val="0027029D"/>
    <w:rsid w:val="002A2DFA"/>
    <w:rsid w:val="002B475B"/>
    <w:rsid w:val="002E04D8"/>
    <w:rsid w:val="002F1A07"/>
    <w:rsid w:val="002F73B4"/>
    <w:rsid w:val="00301FCF"/>
    <w:rsid w:val="00302907"/>
    <w:rsid w:val="00330496"/>
    <w:rsid w:val="003538D2"/>
    <w:rsid w:val="0036657A"/>
    <w:rsid w:val="003813E6"/>
    <w:rsid w:val="003B4DEE"/>
    <w:rsid w:val="003E1B8F"/>
    <w:rsid w:val="00416506"/>
    <w:rsid w:val="00430CE8"/>
    <w:rsid w:val="004733F7"/>
    <w:rsid w:val="00476E58"/>
    <w:rsid w:val="00482762"/>
    <w:rsid w:val="00486F5A"/>
    <w:rsid w:val="004972C9"/>
    <w:rsid w:val="004B3ED8"/>
    <w:rsid w:val="004C2B9D"/>
    <w:rsid w:val="004D0D22"/>
    <w:rsid w:val="00556433"/>
    <w:rsid w:val="00566848"/>
    <w:rsid w:val="0058371A"/>
    <w:rsid w:val="00586AD1"/>
    <w:rsid w:val="005A06A7"/>
    <w:rsid w:val="00601CF4"/>
    <w:rsid w:val="00603C89"/>
    <w:rsid w:val="00664A2C"/>
    <w:rsid w:val="006C6DF7"/>
    <w:rsid w:val="006D5100"/>
    <w:rsid w:val="006E49D6"/>
    <w:rsid w:val="007103B0"/>
    <w:rsid w:val="00721244"/>
    <w:rsid w:val="0073188B"/>
    <w:rsid w:val="0076159F"/>
    <w:rsid w:val="007660DE"/>
    <w:rsid w:val="007729F7"/>
    <w:rsid w:val="0079208B"/>
    <w:rsid w:val="00816E09"/>
    <w:rsid w:val="00835294"/>
    <w:rsid w:val="00881765"/>
    <w:rsid w:val="00893F99"/>
    <w:rsid w:val="0091638C"/>
    <w:rsid w:val="0093310F"/>
    <w:rsid w:val="009421D7"/>
    <w:rsid w:val="009440E5"/>
    <w:rsid w:val="00944E17"/>
    <w:rsid w:val="00947079"/>
    <w:rsid w:val="00947AD7"/>
    <w:rsid w:val="00950BE4"/>
    <w:rsid w:val="00961BDC"/>
    <w:rsid w:val="00A042D4"/>
    <w:rsid w:val="00A202FD"/>
    <w:rsid w:val="00A3342E"/>
    <w:rsid w:val="00A360C7"/>
    <w:rsid w:val="00A36E91"/>
    <w:rsid w:val="00A462E1"/>
    <w:rsid w:val="00A52C36"/>
    <w:rsid w:val="00A579A6"/>
    <w:rsid w:val="00A87422"/>
    <w:rsid w:val="00AA38EA"/>
    <w:rsid w:val="00AA3A90"/>
    <w:rsid w:val="00AD2D33"/>
    <w:rsid w:val="00AE318B"/>
    <w:rsid w:val="00B14EBE"/>
    <w:rsid w:val="00B35748"/>
    <w:rsid w:val="00B967AE"/>
    <w:rsid w:val="00BE3B73"/>
    <w:rsid w:val="00BE6DFD"/>
    <w:rsid w:val="00C15826"/>
    <w:rsid w:val="00C372E9"/>
    <w:rsid w:val="00C45FC2"/>
    <w:rsid w:val="00C62E6A"/>
    <w:rsid w:val="00C66A4A"/>
    <w:rsid w:val="00CA1789"/>
    <w:rsid w:val="00CB0FBB"/>
    <w:rsid w:val="00CC7D12"/>
    <w:rsid w:val="00CE57EC"/>
    <w:rsid w:val="00D26F5C"/>
    <w:rsid w:val="00D27761"/>
    <w:rsid w:val="00D411E3"/>
    <w:rsid w:val="00DB064D"/>
    <w:rsid w:val="00DD516F"/>
    <w:rsid w:val="00DF1A1D"/>
    <w:rsid w:val="00E12223"/>
    <w:rsid w:val="00E415B3"/>
    <w:rsid w:val="00E431BE"/>
    <w:rsid w:val="00E74A89"/>
    <w:rsid w:val="00E87EFC"/>
    <w:rsid w:val="00EA4AED"/>
    <w:rsid w:val="00EB2EA2"/>
    <w:rsid w:val="00EF0BD3"/>
    <w:rsid w:val="00EF1F02"/>
    <w:rsid w:val="00F015B7"/>
    <w:rsid w:val="00F27B48"/>
    <w:rsid w:val="00F62042"/>
    <w:rsid w:val="00F77699"/>
    <w:rsid w:val="00FF3F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5B4AC"/>
  <w15:docId w15:val="{E1FFBA58-07A3-4E19-8569-1A281C5B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2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B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B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B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B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BD8"/>
    <w:rPr>
      <w:rFonts w:eastAsiaTheme="majorEastAsia" w:cstheme="majorBidi"/>
      <w:color w:val="272727" w:themeColor="text1" w:themeTint="D8"/>
    </w:rPr>
  </w:style>
  <w:style w:type="paragraph" w:styleId="Title">
    <w:name w:val="Title"/>
    <w:basedOn w:val="Normal"/>
    <w:next w:val="Normal"/>
    <w:link w:val="TitleChar"/>
    <w:uiPriority w:val="10"/>
    <w:qFormat/>
    <w:rsid w:val="00102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BD8"/>
    <w:pPr>
      <w:spacing w:before="160"/>
      <w:jc w:val="center"/>
    </w:pPr>
    <w:rPr>
      <w:i/>
      <w:iCs/>
      <w:color w:val="404040" w:themeColor="text1" w:themeTint="BF"/>
    </w:rPr>
  </w:style>
  <w:style w:type="character" w:customStyle="1" w:styleId="QuoteChar">
    <w:name w:val="Quote Char"/>
    <w:basedOn w:val="DefaultParagraphFont"/>
    <w:link w:val="Quote"/>
    <w:uiPriority w:val="29"/>
    <w:rsid w:val="00102BD8"/>
    <w:rPr>
      <w:i/>
      <w:iCs/>
      <w:color w:val="404040" w:themeColor="text1" w:themeTint="BF"/>
    </w:rPr>
  </w:style>
  <w:style w:type="paragraph" w:styleId="ListParagraph">
    <w:name w:val="List Paragraph"/>
    <w:basedOn w:val="Normal"/>
    <w:uiPriority w:val="34"/>
    <w:qFormat/>
    <w:rsid w:val="00102BD8"/>
    <w:pPr>
      <w:ind w:left="720"/>
      <w:contextualSpacing/>
    </w:pPr>
  </w:style>
  <w:style w:type="character" w:styleId="IntenseEmphasis">
    <w:name w:val="Intense Emphasis"/>
    <w:basedOn w:val="DefaultParagraphFont"/>
    <w:uiPriority w:val="21"/>
    <w:qFormat/>
    <w:rsid w:val="00102BD8"/>
    <w:rPr>
      <w:i/>
      <w:iCs/>
      <w:color w:val="0F4761" w:themeColor="accent1" w:themeShade="BF"/>
    </w:rPr>
  </w:style>
  <w:style w:type="paragraph" w:styleId="IntenseQuote">
    <w:name w:val="Intense Quote"/>
    <w:basedOn w:val="Normal"/>
    <w:next w:val="Normal"/>
    <w:link w:val="IntenseQuoteChar"/>
    <w:uiPriority w:val="30"/>
    <w:qFormat/>
    <w:rsid w:val="00102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BD8"/>
    <w:rPr>
      <w:i/>
      <w:iCs/>
      <w:color w:val="0F4761" w:themeColor="accent1" w:themeShade="BF"/>
    </w:rPr>
  </w:style>
  <w:style w:type="character" w:styleId="IntenseReference">
    <w:name w:val="Intense Reference"/>
    <w:basedOn w:val="DefaultParagraphFont"/>
    <w:uiPriority w:val="32"/>
    <w:qFormat/>
    <w:rsid w:val="00102BD8"/>
    <w:rPr>
      <w:b/>
      <w:bCs/>
      <w:smallCaps/>
      <w:color w:val="0F4761" w:themeColor="accent1" w:themeShade="BF"/>
      <w:spacing w:val="5"/>
    </w:rPr>
  </w:style>
  <w:style w:type="paragraph" w:styleId="Header">
    <w:name w:val="header"/>
    <w:basedOn w:val="Normal"/>
    <w:link w:val="HeaderChar"/>
    <w:uiPriority w:val="99"/>
    <w:unhideWhenUsed/>
    <w:rsid w:val="00102B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BD8"/>
  </w:style>
  <w:style w:type="paragraph" w:styleId="Footer">
    <w:name w:val="footer"/>
    <w:basedOn w:val="Normal"/>
    <w:link w:val="FooterChar"/>
    <w:uiPriority w:val="99"/>
    <w:unhideWhenUsed/>
    <w:rsid w:val="00102B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BD8"/>
  </w:style>
  <w:style w:type="character" w:styleId="Hyperlink">
    <w:name w:val="Hyperlink"/>
    <w:basedOn w:val="DefaultParagraphFont"/>
    <w:uiPriority w:val="99"/>
    <w:unhideWhenUsed/>
    <w:rsid w:val="00816E09"/>
    <w:rPr>
      <w:color w:val="467886" w:themeColor="hyperlink"/>
      <w:u w:val="single"/>
    </w:rPr>
  </w:style>
  <w:style w:type="character" w:customStyle="1" w:styleId="UnresolvedMention1">
    <w:name w:val="Unresolved Mention1"/>
    <w:basedOn w:val="DefaultParagraphFont"/>
    <w:uiPriority w:val="99"/>
    <w:semiHidden/>
    <w:unhideWhenUsed/>
    <w:rsid w:val="00816E09"/>
    <w:rPr>
      <w:color w:val="605E5C"/>
      <w:shd w:val="clear" w:color="auto" w:fill="E1DFDD"/>
    </w:rPr>
  </w:style>
  <w:style w:type="paragraph" w:styleId="BalloonText">
    <w:name w:val="Balloon Text"/>
    <w:basedOn w:val="Normal"/>
    <w:link w:val="BalloonTextChar"/>
    <w:uiPriority w:val="99"/>
    <w:semiHidden/>
    <w:unhideWhenUsed/>
    <w:rsid w:val="00A042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2D4"/>
    <w:rPr>
      <w:rFonts w:ascii="Tahoma" w:hAnsi="Tahoma" w:cs="Tahoma"/>
      <w:sz w:val="16"/>
      <w:szCs w:val="16"/>
    </w:rPr>
  </w:style>
  <w:style w:type="paragraph" w:styleId="FootnoteText">
    <w:name w:val="footnote text"/>
    <w:basedOn w:val="Normal"/>
    <w:link w:val="FootnoteTextChar"/>
    <w:uiPriority w:val="99"/>
    <w:semiHidden/>
    <w:unhideWhenUsed/>
    <w:rsid w:val="00A042D4"/>
    <w:pPr>
      <w:spacing w:after="0" w:line="240" w:lineRule="auto"/>
    </w:pPr>
    <w:rPr>
      <w:kern w:val="0"/>
      <w:sz w:val="20"/>
      <w:szCs w:val="20"/>
      <w:lang w:val="fr-CA"/>
      <w14:ligatures w14:val="none"/>
    </w:rPr>
  </w:style>
  <w:style w:type="character" w:customStyle="1" w:styleId="FootnoteTextChar">
    <w:name w:val="Footnote Text Char"/>
    <w:basedOn w:val="DefaultParagraphFont"/>
    <w:link w:val="FootnoteText"/>
    <w:uiPriority w:val="99"/>
    <w:semiHidden/>
    <w:rsid w:val="00A042D4"/>
    <w:rPr>
      <w:kern w:val="0"/>
      <w:sz w:val="20"/>
      <w:szCs w:val="20"/>
      <w:lang w:val="fr-CA"/>
      <w14:ligatures w14:val="none"/>
    </w:rPr>
  </w:style>
  <w:style w:type="character" w:styleId="FootnoteReference">
    <w:name w:val="footnote reference"/>
    <w:basedOn w:val="DefaultParagraphFont"/>
    <w:uiPriority w:val="99"/>
    <w:semiHidden/>
    <w:unhideWhenUsed/>
    <w:rsid w:val="00A042D4"/>
    <w:rPr>
      <w:vertAlign w:val="superscript"/>
    </w:rPr>
  </w:style>
  <w:style w:type="paragraph" w:customStyle="1" w:styleId="Body-references">
    <w:name w:val="Body-&gt;references"/>
    <w:basedOn w:val="Normal"/>
    <w:qFormat/>
    <w:rsid w:val="00A042D4"/>
    <w:pPr>
      <w:spacing w:after="180" w:line="240" w:lineRule="auto"/>
      <w:ind w:left="360" w:hanging="360"/>
    </w:pPr>
    <w:rPr>
      <w:rFonts w:ascii="Minion Pro" w:eastAsia="Times New Roman" w:hAnsi="Minion Pro" w:cs="Minion Pro"/>
      <w:kern w:val="0"/>
      <w:sz w:val="20"/>
      <w:szCs w:val="20"/>
      <w:lang w:eastAsia="en-CA"/>
      <w14:ligatures w14:val="none"/>
    </w:rPr>
  </w:style>
  <w:style w:type="paragraph" w:styleId="Revision">
    <w:name w:val="Revision"/>
    <w:hidden/>
    <w:uiPriority w:val="99"/>
    <w:semiHidden/>
    <w:rsid w:val="00947079"/>
    <w:pPr>
      <w:spacing w:after="0" w:line="240" w:lineRule="auto"/>
    </w:pPr>
  </w:style>
  <w:style w:type="character" w:styleId="CommentReference">
    <w:name w:val="annotation reference"/>
    <w:basedOn w:val="DefaultParagraphFont"/>
    <w:uiPriority w:val="99"/>
    <w:semiHidden/>
    <w:unhideWhenUsed/>
    <w:rsid w:val="00DD516F"/>
    <w:rPr>
      <w:sz w:val="16"/>
      <w:szCs w:val="16"/>
    </w:rPr>
  </w:style>
  <w:style w:type="paragraph" w:styleId="CommentText">
    <w:name w:val="annotation text"/>
    <w:basedOn w:val="Normal"/>
    <w:link w:val="CommentTextChar"/>
    <w:uiPriority w:val="99"/>
    <w:unhideWhenUsed/>
    <w:rsid w:val="00DD516F"/>
    <w:pPr>
      <w:spacing w:line="240" w:lineRule="auto"/>
    </w:pPr>
    <w:rPr>
      <w:sz w:val="20"/>
      <w:szCs w:val="20"/>
    </w:rPr>
  </w:style>
  <w:style w:type="character" w:customStyle="1" w:styleId="CommentTextChar">
    <w:name w:val="Comment Text Char"/>
    <w:basedOn w:val="DefaultParagraphFont"/>
    <w:link w:val="CommentText"/>
    <w:uiPriority w:val="99"/>
    <w:rsid w:val="00DD516F"/>
    <w:rPr>
      <w:sz w:val="20"/>
      <w:szCs w:val="20"/>
    </w:rPr>
  </w:style>
  <w:style w:type="paragraph" w:styleId="CommentSubject">
    <w:name w:val="annotation subject"/>
    <w:basedOn w:val="CommentText"/>
    <w:next w:val="CommentText"/>
    <w:link w:val="CommentSubjectChar"/>
    <w:uiPriority w:val="99"/>
    <w:semiHidden/>
    <w:unhideWhenUsed/>
    <w:rsid w:val="00DD516F"/>
    <w:rPr>
      <w:b/>
      <w:bCs/>
    </w:rPr>
  </w:style>
  <w:style w:type="character" w:customStyle="1" w:styleId="CommentSubjectChar">
    <w:name w:val="Comment Subject Char"/>
    <w:basedOn w:val="CommentTextChar"/>
    <w:link w:val="CommentSubject"/>
    <w:uiPriority w:val="99"/>
    <w:semiHidden/>
    <w:rsid w:val="00DD516F"/>
    <w:rPr>
      <w:b/>
      <w:bCs/>
      <w:sz w:val="20"/>
      <w:szCs w:val="20"/>
    </w:rPr>
  </w:style>
  <w:style w:type="character" w:styleId="FollowedHyperlink">
    <w:name w:val="FollowedHyperlink"/>
    <w:basedOn w:val="DefaultParagraphFont"/>
    <w:uiPriority w:val="99"/>
    <w:semiHidden/>
    <w:unhideWhenUsed/>
    <w:rsid w:val="00893F99"/>
    <w:rPr>
      <w:color w:val="96607D" w:themeColor="followedHyperlink"/>
      <w:u w:val="single"/>
    </w:rPr>
  </w:style>
  <w:style w:type="character" w:customStyle="1" w:styleId="UnresolvedMention2">
    <w:name w:val="Unresolved Mention2"/>
    <w:basedOn w:val="DefaultParagraphFont"/>
    <w:uiPriority w:val="99"/>
    <w:semiHidden/>
    <w:unhideWhenUsed/>
    <w:rsid w:val="00DB0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B-LQEtutrQ&amp;t=404s" TargetMode="External"/><Relationship Id="rId18" Type="http://schemas.openxmlformats.org/officeDocument/2006/relationships/hyperlink" Target="https://rapereliefshelter.bc.ca/wp-content/uploads/2023/09/CAFSWLR-v.-Attorney-General-Reasons-for-Judgment-CV-21-659594-signed-2.pdf" TargetMode="External"/><Relationship Id="rId26" Type="http://schemas.openxmlformats.org/officeDocument/2006/relationships/hyperlink" Target="https://ncdvtmh.org/wp-content/uploads/2022/10/NCDVTMH_NDVH_NSPL_UR_09.2018_SuicidePreventionHotlinesIPV_WarshawEtAl.pdf" TargetMode="External"/><Relationship Id="rId3" Type="http://schemas.openxmlformats.org/officeDocument/2006/relationships/styles" Target="styles.xml"/><Relationship Id="rId21" Type="http://schemas.openxmlformats.org/officeDocument/2006/relationships/hyperlink" Target="https://masscasualtycommission.ca/final-repor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watch?v=eSZHYXzBR-0" TargetMode="External"/><Relationship Id="rId17" Type="http://schemas.openxmlformats.org/officeDocument/2006/relationships/hyperlink" Target="https://www.ohchr.org/sites/default/files/documents/HRBodies/CEDAW/AccesstoJustice/SarsonAndMacdonaldSubmission.pdf" TargetMode="External"/><Relationship Id="rId25" Type="http://schemas.openxmlformats.org/officeDocument/2006/relationships/hyperlink" Target="https://isssp.ir/article-1-25-en.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urcommons.ca/Content/Committee/441/HESA/Brief/BR13012814/br-external/PersonsAgainstNonStateTorture-e.pdf" TargetMode="External"/><Relationship Id="rId20" Type="http://schemas.openxmlformats.org/officeDocument/2006/relationships/hyperlink" Target="https://documents.un.org/doc/undoc/gen/g24/078/81/pdf/g2407881.pdf" TargetMode="External"/><Relationship Id="rId29" Type="http://schemas.openxmlformats.org/officeDocument/2006/relationships/hyperlink" Target="https://sanlab.psych.ucla.edu/wp-content/uploads/sites/31/2016/03/Eisenberger-Lieberman-Williams-2003-Scie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c.ca/eng/csj-sjc/rfc-dlc/ccrf-ccdl/check/art15.html" TargetMode="External"/><Relationship Id="rId24" Type="http://schemas.openxmlformats.org/officeDocument/2006/relationships/hyperlink" Target="https://repository.derby.ac.uk/download/f5744e17e7dc97b90e0b9198a24857efa97cf15f89f265eece77e35538308bc9/710778/Rahmani_et_al-2019-Journal_of_Clinical_Nursing.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arlvu.parl.gc.ca/Harmony/en/PowerBrowser/PowerBrowserV2?fk=12651663" TargetMode="External"/><Relationship Id="rId23" Type="http://schemas.openxmlformats.org/officeDocument/2006/relationships/hyperlink" Target="https://eric.ed.gov/?id=ED445994" TargetMode="External"/><Relationship Id="rId28" Type="http://schemas.openxmlformats.org/officeDocument/2006/relationships/hyperlink" Target="https://www.canada.ca/en/employment-social-development/programs/agenda-2030.html" TargetMode="External"/><Relationship Id="rId36" Type="http://schemas.openxmlformats.org/officeDocument/2006/relationships/customXml" Target="../customXml/item3.xml"/><Relationship Id="rId10" Type="http://schemas.openxmlformats.org/officeDocument/2006/relationships/hyperlink" Target="https://www.justice.gc.ca/eng/csj-sjc/rfc-dlc/ccrf-ccdl/check/art28.html" TargetMode="External"/><Relationship Id="rId19" Type="http://schemas.openxmlformats.org/officeDocument/2006/relationships/hyperlink" Target="https://www.justice.gc.ca/eng/rp-pr/jr/rmapi-epmlcp/pdf/RSD_RR2022_Measures_Address_Prostitution_Initiative_MAPI_EN.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uropa75@gmail.com" TargetMode="External"/><Relationship Id="rId14" Type="http://schemas.openxmlformats.org/officeDocument/2006/relationships/hyperlink" Target="https://laws-lois.justice.gc.ca/eng/acts/c-46/section-269.1.html" TargetMode="External"/><Relationship Id="rId22" Type="http://schemas.openxmlformats.org/officeDocument/2006/relationships/hyperlink" Target="https://masscasualtycommission.ca/files/documents/Final-Written_FFF-PANST.pdf" TargetMode="External"/><Relationship Id="rId27" Type="http://schemas.openxmlformats.org/officeDocument/2006/relationships/hyperlink" Target="https://www.ourcommons.ca/Content/Committee/441/FEWO/Brief/BR13230742/br-external/PersonsAgainstNonStateTorture-e.pdf" TargetMode="External"/><Relationship Id="rId30" Type="http://schemas.openxmlformats.org/officeDocument/2006/relationships/hyperlink" Target="https://cws.journals.yorku.ca/index.php/cws/article/view/37766" TargetMode="External"/><Relationship Id="rId35" Type="http://schemas.openxmlformats.org/officeDocument/2006/relationships/customXml" Target="../customXml/item2.xml"/><Relationship Id="rId8" Type="http://schemas.openxmlformats.org/officeDocument/2006/relationships/hyperlink" Target="mailto:presncwc@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erican.edu/wcl/impact/initiatives-programs/center/documents/upload/gender-perspectives-on-torture.pdf" TargetMode="External"/><Relationship Id="rId13" Type="http://schemas.openxmlformats.org/officeDocument/2006/relationships/hyperlink" Target="https://www.niwrc.org/sites/default/files/2024-01/TBI%20Special%20Collection/Getting%20a%20Grip%20on%20Strangulation.pdf" TargetMode="External"/><Relationship Id="rId18" Type="http://schemas.openxmlformats.org/officeDocument/2006/relationships/hyperlink" Target="https://menopausefoundationcanada.ca/menopause-and-work-in-canada-report/" TargetMode="External"/><Relationship Id="rId3" Type="http://schemas.openxmlformats.org/officeDocument/2006/relationships/hyperlink" Target="https://undocs.org/en/A/RES/77/218" TargetMode="External"/><Relationship Id="rId7" Type="http://schemas.openxmlformats.org/officeDocument/2006/relationships/hyperlink" Target="https://femicideincanada.ca/cfoja-research/cfoja-reports/" TargetMode="External"/><Relationship Id="rId12" Type="http://schemas.openxmlformats.org/officeDocument/2006/relationships/hyperlink" Target="https://femicideincanada.ca/?s=types+of+femicide" TargetMode="External"/><Relationship Id="rId17" Type="http://schemas.openxmlformats.org/officeDocument/2006/relationships/hyperlink" Target="https://www2.ohchr.org/english/bodies/cedaw/docs/cedaw-c-2010-47-gc1.pdf" TargetMode="External"/><Relationship Id="rId2" Type="http://schemas.openxmlformats.org/officeDocument/2006/relationships/hyperlink" Target="https://www.etymonline.com/word/homicide" TargetMode="External"/><Relationship Id="rId16" Type="http://schemas.openxmlformats.org/officeDocument/2006/relationships/hyperlink" Target="http://victimssafeharbor.org/wp-content/uploads/2020/11/Reckdenwald-King-Pritchard-2020-VV.pdf" TargetMode="External"/><Relationship Id="rId20" Type="http://schemas.openxmlformats.org/officeDocument/2006/relationships/hyperlink" Target="https://menopausefoundationcanada.ca/menopause-in-canada-report/" TargetMode="External"/><Relationship Id="rId1" Type="http://schemas.openxmlformats.org/officeDocument/2006/relationships/hyperlink" Target="https://www.ourcommons.ca/Content/Committee/441/FEWO/Brief/BR11643004/br-external/ArmaghHouse-WEB-Brief-10588690-e.pdf" TargetMode="External"/><Relationship Id="rId6" Type="http://schemas.openxmlformats.org/officeDocument/2006/relationships/hyperlink" Target="https://femicideincanada.ca/" TargetMode="External"/><Relationship Id="rId11" Type="http://schemas.openxmlformats.org/officeDocument/2006/relationships/hyperlink" Target="https://globalnews.ca/news/8927020/london-police-services-board-federal-government-add-femicide-criminal-code-of-canada/" TargetMode="External"/><Relationship Id="rId5" Type="http://schemas.openxmlformats.org/officeDocument/2006/relationships/hyperlink" Target="https://data.unwomen.org/publications/statistical-framework-measuring-gender-related-killings-women-and-girls-also-referred" TargetMode="External"/><Relationship Id="rId15" Type="http://schemas.openxmlformats.org/officeDocument/2006/relationships/hyperlink" Target="https://www.ncbi.nlm.nih.gov/pmc/articles/PMC2573025/" TargetMode="External"/><Relationship Id="rId10" Type="http://schemas.openxmlformats.org/officeDocument/2006/relationships/hyperlink" Target="https://www.theguardian.com/society/2017/may/07/almost-800-charged-with-strangulation-in-queensland-domestic-violence-crackdown" TargetMode="External"/><Relationship Id="rId19" Type="http://schemas.openxmlformats.org/officeDocument/2006/relationships/hyperlink" Target="https://www.who.int/news-room/fact-sheets/detail/menopause" TargetMode="External"/><Relationship Id="rId4" Type="http://schemas.openxmlformats.org/officeDocument/2006/relationships/hyperlink" Target="https://undocs.org/en/A/RES/65/22" TargetMode="External"/><Relationship Id="rId9" Type="http://schemas.openxmlformats.org/officeDocument/2006/relationships/hyperlink" Target="https://www.wcl.american.edu/impact/initiatives-programs/center/documents/gender-perspectives-on-torture/" TargetMode="External"/><Relationship Id="rId14" Type="http://schemas.openxmlformats.org/officeDocument/2006/relationships/hyperlink" Target="https://www.youtube.com/watch?v=C_rrYuluax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205303-639D-450F-BAE3-B57A4B4BC687}">
  <ds:schemaRefs>
    <ds:schemaRef ds:uri="http://schemas.openxmlformats.org/officeDocument/2006/bibliography"/>
  </ds:schemaRefs>
</ds:datastoreItem>
</file>

<file path=customXml/itemProps2.xml><?xml version="1.0" encoding="utf-8"?>
<ds:datastoreItem xmlns:ds="http://schemas.openxmlformats.org/officeDocument/2006/customXml" ds:itemID="{C9137900-8D46-49D5-B10E-2880AF00A29F}"/>
</file>

<file path=customXml/itemProps3.xml><?xml version="1.0" encoding="utf-8"?>
<ds:datastoreItem xmlns:ds="http://schemas.openxmlformats.org/officeDocument/2006/customXml" ds:itemID="{6A49DAAF-75E1-4772-B56E-33BC20B03FCA}"/>
</file>

<file path=docProps/app.xml><?xml version="1.0" encoding="utf-8"?>
<Properties xmlns="http://schemas.openxmlformats.org/officeDocument/2006/extended-properties" xmlns:vt="http://schemas.openxmlformats.org/officeDocument/2006/docPropsVTypes">
  <Template>Normal</Template>
  <TotalTime>4</TotalTime>
  <Pages>9</Pages>
  <Words>3387</Words>
  <Characters>18835</Characters>
  <Application>Microsoft Office Word</Application>
  <DocSecurity>0</DocSecurity>
  <Lines>298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Chivu</dc:creator>
  <cp:lastModifiedBy>Daniela Chivu</cp:lastModifiedBy>
  <cp:revision>2</cp:revision>
  <dcterms:created xsi:type="dcterms:W3CDTF">2024-09-09T20:11:00Z</dcterms:created>
  <dcterms:modified xsi:type="dcterms:W3CDTF">2024-09-09T20:11:00Z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d303c2da-20f0-48ff-8b71-8e660c151ef7</vt:lpwstr>
  </property>
</Properties>
</file>