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63EB" w14:textId="77777777" w:rsidR="00963DCB" w:rsidRPr="001D49FB" w:rsidRDefault="00963DCB" w:rsidP="001D49FB">
      <w:pPr>
        <w:pStyle w:val="Body"/>
        <w:rPr>
          <w:rFonts w:ascii="Times New Roman" w:hAnsi="Times New Roman"/>
        </w:rPr>
      </w:pPr>
    </w:p>
    <w:p w14:paraId="5B8EF148" w14:textId="77777777" w:rsidR="00963DCB" w:rsidRPr="001D49FB" w:rsidRDefault="00963DCB" w:rsidP="001D49FB">
      <w:pPr>
        <w:pStyle w:val="Body"/>
        <w:rPr>
          <w:rFonts w:ascii="Times New Roman" w:hAnsi="Times New Roman"/>
        </w:rPr>
      </w:pPr>
    </w:p>
    <w:p w14:paraId="15CB38DE" w14:textId="77777777" w:rsidR="00963DCB" w:rsidRPr="001D49FB" w:rsidRDefault="00963DCB" w:rsidP="001D49FB">
      <w:pPr>
        <w:pStyle w:val="Body"/>
        <w:rPr>
          <w:rFonts w:ascii="Times New Roman" w:hAnsi="Times New Roman"/>
        </w:rPr>
      </w:pPr>
    </w:p>
    <w:p w14:paraId="30514ABB" w14:textId="77777777" w:rsidR="00963DCB" w:rsidRPr="001D49FB" w:rsidRDefault="00B805EF" w:rsidP="001D49FB">
      <w:pPr>
        <w:pStyle w:val="Default"/>
        <w:spacing w:before="0" w:line="240" w:lineRule="auto"/>
        <w:jc w:val="center"/>
        <w:rPr>
          <w:rFonts w:ascii="Times New Roman" w:eastAsia="Times New Roman" w:hAnsi="Times New Roman" w:cs="Times New Roman"/>
          <w:sz w:val="22"/>
          <w:szCs w:val="22"/>
        </w:rPr>
      </w:pPr>
      <w:r w:rsidRPr="001D49FB">
        <w:rPr>
          <w:rFonts w:ascii="Times New Roman" w:hAnsi="Times New Roman"/>
          <w:b/>
          <w:bCs/>
          <w:sz w:val="22"/>
          <w:szCs w:val="22"/>
        </w:rPr>
        <w:t>Submission to the Committee of Economic, Social and Cultural Rights on the Fourth Report of Hong Kong, China under the International Cultural Covenant of Economic, Social and Cultural Rights</w:t>
      </w:r>
    </w:p>
    <w:p w14:paraId="39ACB69C" w14:textId="77777777" w:rsidR="00963DCB" w:rsidRPr="001D49FB" w:rsidRDefault="00B805EF" w:rsidP="001D49FB">
      <w:pPr>
        <w:pStyle w:val="Default"/>
        <w:spacing w:before="0" w:line="240" w:lineRule="auto"/>
        <w:jc w:val="both"/>
        <w:rPr>
          <w:rFonts w:ascii="Times New Roman" w:eastAsia="Times New Roman" w:hAnsi="Times New Roman" w:cs="Times New Roman"/>
          <w:sz w:val="22"/>
          <w:szCs w:val="22"/>
        </w:rPr>
      </w:pPr>
      <w:r w:rsidRPr="001D49FB">
        <w:rPr>
          <w:rFonts w:ascii="Times New Roman" w:hAnsi="Times New Roman"/>
          <w:sz w:val="22"/>
          <w:szCs w:val="22"/>
        </w:rPr>
        <w:t> </w:t>
      </w:r>
    </w:p>
    <w:p w14:paraId="31E64DDF" w14:textId="77777777" w:rsidR="00963DCB" w:rsidRPr="001D49FB" w:rsidRDefault="00B805EF" w:rsidP="001D49FB">
      <w:pPr>
        <w:pStyle w:val="Default"/>
        <w:spacing w:before="0" w:line="240" w:lineRule="auto"/>
        <w:jc w:val="both"/>
        <w:rPr>
          <w:rFonts w:ascii="Times New Roman" w:eastAsia="Times New Roman" w:hAnsi="Times New Roman" w:cs="Times New Roman"/>
          <w:sz w:val="22"/>
          <w:szCs w:val="22"/>
        </w:rPr>
      </w:pPr>
      <w:r w:rsidRPr="001D49FB">
        <w:rPr>
          <w:rFonts w:ascii="Times New Roman" w:hAnsi="Times New Roman"/>
          <w:sz w:val="22"/>
          <w:szCs w:val="22"/>
        </w:rPr>
        <w:t xml:space="preserve">This bulletin is prepared by the 29 Principles (referring to the 29 </w:t>
      </w:r>
      <w:r w:rsidRPr="001D49FB">
        <w:rPr>
          <w:rFonts w:ascii="Times New Roman" w:hAnsi="Times New Roman"/>
          <w:sz w:val="22"/>
          <w:szCs w:val="22"/>
          <w:rtl/>
          <w:lang w:val="ar-SA"/>
        </w:rPr>
        <w:t>“</w:t>
      </w:r>
      <w:r w:rsidRPr="001D49FB">
        <w:rPr>
          <w:rFonts w:ascii="Times New Roman" w:hAnsi="Times New Roman"/>
          <w:sz w:val="22"/>
          <w:szCs w:val="22"/>
        </w:rPr>
        <w:t>UN Basic Principles on the Role of Lawyers”), a UK-based organisation supporting lawyers facing human rights oppression. The 29 Principles is committed to provide support to lawyers to he</w:t>
      </w:r>
      <w:r w:rsidRPr="001D49FB">
        <w:rPr>
          <w:rFonts w:ascii="Times New Roman" w:hAnsi="Times New Roman"/>
          <w:sz w:val="22"/>
          <w:szCs w:val="22"/>
        </w:rPr>
        <w:t>lp them fulfil the roles described in the Basic Principles, in particular on promoting the rule of law.</w:t>
      </w:r>
    </w:p>
    <w:p w14:paraId="6B463DA0" w14:textId="77777777" w:rsidR="00963DCB" w:rsidRPr="001D49FB" w:rsidRDefault="00B805EF" w:rsidP="001D49FB">
      <w:pPr>
        <w:pStyle w:val="Default"/>
        <w:spacing w:before="0" w:line="240" w:lineRule="auto"/>
        <w:jc w:val="both"/>
        <w:rPr>
          <w:rFonts w:ascii="Times New Roman" w:eastAsia="Times New Roman" w:hAnsi="Times New Roman" w:cs="Times New Roman"/>
          <w:sz w:val="22"/>
          <w:szCs w:val="22"/>
        </w:rPr>
      </w:pPr>
      <w:r w:rsidRPr="001D49FB">
        <w:rPr>
          <w:rFonts w:ascii="Times New Roman" w:hAnsi="Times New Roman"/>
          <w:sz w:val="22"/>
          <w:szCs w:val="22"/>
        </w:rPr>
        <w:t> </w:t>
      </w:r>
    </w:p>
    <w:p w14:paraId="00B70642" w14:textId="77777777" w:rsidR="00963DCB" w:rsidRPr="001D49FB" w:rsidRDefault="00B805EF" w:rsidP="001D49FB">
      <w:pPr>
        <w:pStyle w:val="Default"/>
        <w:spacing w:before="0" w:line="240" w:lineRule="auto"/>
        <w:jc w:val="center"/>
        <w:rPr>
          <w:rFonts w:ascii="Times New Roman" w:eastAsia="Times New Roman" w:hAnsi="Times New Roman" w:cs="Times New Roman"/>
          <w:sz w:val="22"/>
          <w:szCs w:val="22"/>
          <w:u w:color="000000"/>
        </w:rPr>
      </w:pPr>
      <w:r w:rsidRPr="001D49FB">
        <w:rPr>
          <w:rFonts w:ascii="Times New Roman" w:hAnsi="Times New Roman"/>
          <w:b/>
          <w:bCs/>
          <w:sz w:val="22"/>
          <w:szCs w:val="22"/>
          <w:u w:val="single" w:color="000000"/>
        </w:rPr>
        <w:t>Interference on foreign lawyer’s right to practise in HKNSL cases (Article 6 and 7)</w:t>
      </w:r>
    </w:p>
    <w:p w14:paraId="0877D172" w14:textId="77777777" w:rsidR="00963DCB" w:rsidRPr="001D49FB" w:rsidRDefault="00B805EF" w:rsidP="001D49FB">
      <w:pPr>
        <w:pStyle w:val="Default"/>
        <w:spacing w:before="0" w:line="240" w:lineRule="auto"/>
        <w:jc w:val="both"/>
        <w:rPr>
          <w:rFonts w:ascii="Times New Roman" w:eastAsia="Times New Roman" w:hAnsi="Times New Roman" w:cs="Times New Roman"/>
          <w:sz w:val="22"/>
          <w:szCs w:val="22"/>
          <w:u w:color="000000"/>
        </w:rPr>
      </w:pPr>
      <w:r w:rsidRPr="001D49FB">
        <w:rPr>
          <w:rFonts w:ascii="Times New Roman" w:hAnsi="Times New Roman"/>
          <w:sz w:val="22"/>
          <w:szCs w:val="22"/>
          <w:u w:color="000000"/>
        </w:rPr>
        <w:t> </w:t>
      </w:r>
    </w:p>
    <w:p w14:paraId="77AAB01E" w14:textId="77777777" w:rsidR="00963DCB" w:rsidRPr="001D49FB" w:rsidRDefault="00B805EF" w:rsidP="001D49FB">
      <w:pPr>
        <w:pStyle w:val="Default"/>
        <w:spacing w:before="0" w:line="240" w:lineRule="auto"/>
        <w:jc w:val="both"/>
        <w:rPr>
          <w:rFonts w:ascii="Times New Roman" w:eastAsia="Times New Roman" w:hAnsi="Times New Roman" w:cs="Times New Roman"/>
          <w:b/>
          <w:bCs/>
          <w:i/>
          <w:iCs/>
          <w:sz w:val="22"/>
          <w:szCs w:val="22"/>
          <w:u w:color="000000"/>
        </w:rPr>
      </w:pPr>
      <w:r w:rsidRPr="001D49FB">
        <w:rPr>
          <w:rFonts w:ascii="Times New Roman" w:hAnsi="Times New Roman"/>
          <w:b/>
          <w:bCs/>
          <w:i/>
          <w:iCs/>
          <w:sz w:val="22"/>
          <w:szCs w:val="22"/>
          <w:u w:color="000000"/>
        </w:rPr>
        <w:t>Executive Summary</w:t>
      </w:r>
    </w:p>
    <w:p w14:paraId="6A3372F5" w14:textId="77777777" w:rsidR="00963DCB" w:rsidRPr="001D49FB" w:rsidRDefault="00963DCB" w:rsidP="001D49FB">
      <w:pPr>
        <w:pStyle w:val="Default"/>
        <w:spacing w:before="0" w:line="240" w:lineRule="auto"/>
        <w:jc w:val="both"/>
        <w:rPr>
          <w:rFonts w:ascii="Times New Roman" w:eastAsia="Times New Roman" w:hAnsi="Times New Roman" w:cs="Times New Roman"/>
          <w:sz w:val="22"/>
          <w:szCs w:val="22"/>
          <w:u w:color="000000"/>
        </w:rPr>
      </w:pPr>
    </w:p>
    <w:p w14:paraId="52CE1392" w14:textId="77777777" w:rsidR="00963DCB" w:rsidRPr="001D49F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 xml:space="preserve">Article 6(2) of the ICESCR warrants the full </w:t>
      </w:r>
      <w:r w:rsidRPr="001D49FB">
        <w:rPr>
          <w:rFonts w:ascii="Times New Roman" w:hAnsi="Times New Roman"/>
          <w:sz w:val="22"/>
          <w:szCs w:val="22"/>
          <w:u w:color="000000"/>
        </w:rPr>
        <w:t xml:space="preserve">realisation of the right to work, which includes providing “conditions safeguarding fundamental political and economic freedoms to the individual” </w:t>
      </w:r>
    </w:p>
    <w:p w14:paraId="46D19777" w14:textId="77777777" w:rsidR="00963DCB" w:rsidRPr="001D49F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 xml:space="preserve">Concerning the right to work for foreign legal practitioners from other common-law jurisdictions, the HKSAR </w:t>
      </w:r>
      <w:r w:rsidRPr="001D49FB">
        <w:rPr>
          <w:rFonts w:ascii="Times New Roman" w:hAnsi="Times New Roman"/>
          <w:sz w:val="22"/>
          <w:szCs w:val="22"/>
          <w:u w:color="000000"/>
        </w:rPr>
        <w:t xml:space="preserve">Government fails to provide valid reasons as to why they are welcomed to practise in the territory in other areas of law but to the exception of cases relating to the HKNSL </w:t>
      </w:r>
    </w:p>
    <w:p w14:paraId="71AC7862" w14:textId="77777777" w:rsidR="00963DCB" w:rsidRPr="001D49F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The HKSAR Government interferes with the enforcement of the norm by seeking interv</w:t>
      </w:r>
      <w:r w:rsidRPr="001D49FB">
        <w:rPr>
          <w:rFonts w:ascii="Times New Roman" w:hAnsi="Times New Roman"/>
          <w:sz w:val="22"/>
          <w:szCs w:val="22"/>
          <w:u w:color="000000"/>
        </w:rPr>
        <w:t>ention from China’s Standing Committee of the National People’s Congress, albeit the highest court in the city ruled against the HKSAR Government, as shown in the legal disputes concerning Jimmy Lai Chee-ying hiring a British barrister to represent him</w:t>
      </w:r>
    </w:p>
    <w:p w14:paraId="009344BC" w14:textId="77777777" w:rsidR="00963DCB" w:rsidRPr="001D49F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 xml:space="preserve">The HKSAR fails to provide explanation on factors justifying the deviation from the norm and also deviation from the fulfilment of the right to work as stated in Article 6 of the ICESCR </w:t>
      </w:r>
    </w:p>
    <w:p w14:paraId="2CC0A0F6" w14:textId="77777777" w:rsidR="00963DCB" w:rsidRPr="001D49FB" w:rsidRDefault="00963DCB" w:rsidP="001D49FB">
      <w:pPr>
        <w:pStyle w:val="Default"/>
        <w:spacing w:before="0" w:line="240" w:lineRule="auto"/>
        <w:jc w:val="both"/>
        <w:rPr>
          <w:rFonts w:ascii="Times New Roman" w:eastAsia="Times New Roman" w:hAnsi="Times New Roman" w:cs="Times New Roman"/>
          <w:sz w:val="22"/>
          <w:szCs w:val="22"/>
          <w:u w:color="000000"/>
        </w:rPr>
      </w:pPr>
    </w:p>
    <w:p w14:paraId="74EBCDD7" w14:textId="77777777" w:rsidR="00963DCB" w:rsidRPr="001D49FB" w:rsidRDefault="00B805EF" w:rsidP="001D49FB">
      <w:pPr>
        <w:pStyle w:val="Default"/>
        <w:spacing w:before="0" w:line="240" w:lineRule="auto"/>
        <w:jc w:val="both"/>
        <w:rPr>
          <w:rFonts w:ascii="Times New Roman" w:eastAsia="Times New Roman" w:hAnsi="Times New Roman" w:cs="Times New Roman"/>
          <w:sz w:val="22"/>
          <w:szCs w:val="22"/>
          <w:u w:color="000000"/>
        </w:rPr>
      </w:pPr>
      <w:r w:rsidRPr="001D49FB">
        <w:rPr>
          <w:rFonts w:ascii="Times New Roman" w:hAnsi="Times New Roman"/>
          <w:sz w:val="22"/>
          <w:szCs w:val="22"/>
          <w:u w:color="000000"/>
        </w:rPr>
        <w:t>With Reference to the Committee</w:t>
      </w:r>
      <w:r w:rsidRPr="001D49FB">
        <w:rPr>
          <w:rFonts w:ascii="Times New Roman" w:hAnsi="Times New Roman"/>
          <w:sz w:val="22"/>
          <w:szCs w:val="22"/>
          <w:u w:color="000000"/>
          <w:rtl/>
        </w:rPr>
        <w:t>’</w:t>
      </w:r>
      <w:r w:rsidRPr="001D49FB">
        <w:rPr>
          <w:rFonts w:ascii="Times New Roman" w:hAnsi="Times New Roman"/>
          <w:sz w:val="22"/>
          <w:szCs w:val="22"/>
          <w:u w:color="000000"/>
        </w:rPr>
        <w:t xml:space="preserve">s </w:t>
      </w:r>
      <w:r w:rsidRPr="001D49FB">
        <w:rPr>
          <w:rFonts w:ascii="Times New Roman" w:hAnsi="Times New Roman"/>
          <w:b/>
          <w:bCs/>
          <w:sz w:val="22"/>
          <w:szCs w:val="22"/>
          <w:u w:color="000000"/>
        </w:rPr>
        <w:t>List of Issue</w:t>
      </w:r>
      <w:r w:rsidRPr="001D49FB">
        <w:rPr>
          <w:rFonts w:ascii="Times New Roman" w:hAnsi="Times New Roman"/>
          <w:sz w:val="22"/>
          <w:szCs w:val="22"/>
          <w:u w:color="000000"/>
        </w:rPr>
        <w:t xml:space="preserve"> (E/C.12/CHN-HKG/Q/4)</w:t>
      </w:r>
      <w:r w:rsidRPr="001D49FB">
        <w:rPr>
          <w:rFonts w:ascii="Times New Roman" w:hAnsi="Times New Roman"/>
          <w:sz w:val="22"/>
          <w:szCs w:val="22"/>
          <w:u w:color="000000"/>
        </w:rPr>
        <w:t xml:space="preserve"> and the corresponding </w:t>
      </w:r>
      <w:r w:rsidRPr="001D49FB">
        <w:rPr>
          <w:rFonts w:ascii="Times New Roman" w:hAnsi="Times New Roman"/>
          <w:b/>
          <w:bCs/>
          <w:sz w:val="22"/>
          <w:szCs w:val="22"/>
          <w:u w:color="000000"/>
        </w:rPr>
        <w:t xml:space="preserve">Replies </w:t>
      </w:r>
      <w:r w:rsidRPr="001D49FB">
        <w:rPr>
          <w:rFonts w:ascii="Times New Roman" w:hAnsi="Times New Roman"/>
          <w:sz w:val="22"/>
          <w:szCs w:val="22"/>
          <w:u w:color="000000"/>
        </w:rPr>
        <w:t xml:space="preserve">by Hong Kong, </w:t>
      </w:r>
      <w:r w:rsidRPr="001D49FB">
        <w:rPr>
          <w:rFonts w:ascii="Times New Roman" w:hAnsi="Times New Roman"/>
          <w:sz w:val="22"/>
          <w:szCs w:val="22"/>
          <w:u w:color="000000"/>
          <w:lang w:val="de-DE"/>
        </w:rPr>
        <w:t>China</w:t>
      </w:r>
      <w:r w:rsidRPr="001D49FB">
        <w:rPr>
          <w:rFonts w:ascii="Times New Roman" w:hAnsi="Times New Roman"/>
          <w:b/>
          <w:bCs/>
          <w:sz w:val="22"/>
          <w:szCs w:val="22"/>
          <w:u w:color="000000"/>
        </w:rPr>
        <w:t xml:space="preserve"> </w:t>
      </w:r>
      <w:r w:rsidRPr="001D49FB">
        <w:rPr>
          <w:rFonts w:ascii="Times New Roman" w:hAnsi="Times New Roman"/>
          <w:sz w:val="22"/>
          <w:szCs w:val="22"/>
          <w:u w:color="000000"/>
        </w:rPr>
        <w:t>(“</w:t>
      </w:r>
      <w:r w:rsidRPr="001D49FB">
        <w:rPr>
          <w:rFonts w:ascii="Times New Roman" w:hAnsi="Times New Roman"/>
          <w:b/>
          <w:bCs/>
          <w:sz w:val="22"/>
          <w:szCs w:val="22"/>
          <w:u w:color="000000"/>
        </w:rPr>
        <w:t>HKSAR</w:t>
      </w:r>
      <w:r w:rsidRPr="001D49FB">
        <w:rPr>
          <w:rFonts w:ascii="Times New Roman" w:hAnsi="Times New Roman"/>
          <w:sz w:val="22"/>
          <w:szCs w:val="22"/>
          <w:u w:color="000000"/>
        </w:rPr>
        <w:t>”)</w:t>
      </w:r>
      <w:r w:rsidRPr="001D49FB">
        <w:rPr>
          <w:rFonts w:ascii="Times New Roman" w:hAnsi="Times New Roman"/>
          <w:b/>
          <w:bCs/>
          <w:sz w:val="22"/>
          <w:szCs w:val="22"/>
          <w:u w:color="000000"/>
        </w:rPr>
        <w:t xml:space="preserve"> </w:t>
      </w:r>
      <w:r w:rsidRPr="001D49FB">
        <w:rPr>
          <w:rFonts w:ascii="Times New Roman" w:hAnsi="Times New Roman"/>
          <w:sz w:val="22"/>
          <w:szCs w:val="22"/>
          <w:u w:color="000000"/>
        </w:rPr>
        <w:t>(E/C.12/CHN/RQ-HKG/4), this bulletin gathers and presents information regarding the restrictions on foreign lawyers to practise in cases relating to the Hong Kong National Security Law (“</w:t>
      </w:r>
      <w:r w:rsidRPr="001D49FB">
        <w:rPr>
          <w:rFonts w:ascii="Times New Roman" w:hAnsi="Times New Roman"/>
          <w:b/>
          <w:bCs/>
          <w:sz w:val="22"/>
          <w:szCs w:val="22"/>
          <w:u w:color="000000"/>
        </w:rPr>
        <w:t>HKNSL</w:t>
      </w:r>
      <w:r w:rsidRPr="001D49FB">
        <w:rPr>
          <w:rFonts w:ascii="Times New Roman" w:hAnsi="Times New Roman"/>
          <w:sz w:val="22"/>
          <w:szCs w:val="22"/>
          <w:u w:color="000000"/>
        </w:rPr>
        <w:t>”).</w:t>
      </w:r>
      <w:r w:rsidRPr="001D49FB">
        <w:rPr>
          <w:rFonts w:ascii="Times New Roman" w:hAnsi="Times New Roman"/>
          <w:sz w:val="22"/>
          <w:szCs w:val="22"/>
          <w:u w:color="000000"/>
        </w:rPr>
        <w:t xml:space="preserve"> The full realisation of lawyers’ economic right to work which is an integral part of the ICESCR as enshrined in Article 6 is concerned here.  </w:t>
      </w:r>
    </w:p>
    <w:p w14:paraId="15449999" w14:textId="77777777" w:rsidR="00963DCB" w:rsidRPr="001D49FB" w:rsidRDefault="00963DCB" w:rsidP="001D49FB">
      <w:pPr>
        <w:pStyle w:val="Default"/>
        <w:spacing w:before="0" w:line="240" w:lineRule="auto"/>
        <w:jc w:val="both"/>
        <w:rPr>
          <w:rFonts w:ascii="Times New Roman" w:eastAsia="Times New Roman" w:hAnsi="Times New Roman" w:cs="Times New Roman"/>
          <w:sz w:val="22"/>
          <w:szCs w:val="22"/>
          <w:u w:color="000000"/>
        </w:rPr>
      </w:pPr>
    </w:p>
    <w:p w14:paraId="03C52E6B" w14:textId="77777777" w:rsidR="00963DCB" w:rsidRPr="001D49FB" w:rsidRDefault="00B805EF" w:rsidP="001D49FB">
      <w:pPr>
        <w:pStyle w:val="Default"/>
        <w:spacing w:before="0" w:line="240" w:lineRule="auto"/>
        <w:jc w:val="center"/>
        <w:rPr>
          <w:rFonts w:ascii="Times New Roman" w:eastAsia="Times New Roman" w:hAnsi="Times New Roman" w:cs="Times New Roman"/>
          <w:sz w:val="22"/>
          <w:szCs w:val="22"/>
          <w:u w:val="single" w:color="000000"/>
        </w:rPr>
      </w:pPr>
      <w:r w:rsidRPr="001D49FB">
        <w:rPr>
          <w:rFonts w:ascii="Times New Roman" w:hAnsi="Times New Roman"/>
          <w:sz w:val="22"/>
          <w:szCs w:val="22"/>
          <w:u w:val="single" w:color="000000"/>
        </w:rPr>
        <w:t>Restricting lawyers</w:t>
      </w:r>
      <w:r w:rsidRPr="001D49FB">
        <w:rPr>
          <w:rFonts w:ascii="Times New Roman" w:hAnsi="Times New Roman"/>
          <w:sz w:val="22"/>
          <w:szCs w:val="22"/>
          <w:u w:val="single" w:color="000000"/>
          <w:rtl/>
        </w:rPr>
        <w:t xml:space="preserve">’ </w:t>
      </w:r>
      <w:r w:rsidRPr="001D49FB">
        <w:rPr>
          <w:rFonts w:ascii="Times New Roman" w:hAnsi="Times New Roman"/>
          <w:sz w:val="22"/>
          <w:szCs w:val="22"/>
          <w:u w:val="single" w:color="000000"/>
        </w:rPr>
        <w:t>economic rights to suppress their protection of the proper exercise of human rights</w:t>
      </w:r>
    </w:p>
    <w:p w14:paraId="3E927C50" w14:textId="77777777" w:rsidR="00963DCB" w:rsidRPr="001D49F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To pre</w:t>
      </w:r>
      <w:r w:rsidRPr="001D49FB">
        <w:rPr>
          <w:rFonts w:ascii="Times New Roman" w:hAnsi="Times New Roman"/>
          <w:sz w:val="22"/>
          <w:szCs w:val="22"/>
          <w:u w:color="000000"/>
        </w:rPr>
        <w:t xml:space="preserve">pare his defence in the upcoming trial against the charge of “collusion with foreign forces”, </w:t>
      </w:r>
      <w:hyperlink r:id="rId7" w:history="1">
        <w:r w:rsidRPr="001D49FB">
          <w:rPr>
            <w:rStyle w:val="Hyperlink0"/>
            <w:rFonts w:ascii="Times New Roman" w:hAnsi="Times New Roman"/>
            <w:sz w:val="22"/>
            <w:szCs w:val="22"/>
            <w:u w:color="000000"/>
          </w:rPr>
          <w:t>Jimmy</w:t>
        </w:r>
        <w:r w:rsidRPr="001D49FB">
          <w:rPr>
            <w:rStyle w:val="Hyperlink0"/>
            <w:rFonts w:ascii="Times New Roman" w:hAnsi="Times New Roman"/>
            <w:sz w:val="22"/>
            <w:szCs w:val="22"/>
            <w:u w:color="000000"/>
          </w:rPr>
          <w:t xml:space="preserve"> Lai Chee-ying sought to appoint British lawyer Tim Owen KC and his legal team for representation</w:t>
        </w:r>
      </w:hyperlink>
    </w:p>
    <w:p w14:paraId="14B7E0CE" w14:textId="77777777" w:rsidR="00963DCB" w:rsidRPr="001D49F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While the Court of Final Appeal in Hong Kong saw no merits in the HKSAR government</w:t>
      </w:r>
      <w:r w:rsidRPr="001D49FB">
        <w:rPr>
          <w:rFonts w:ascii="Times New Roman" w:hAnsi="Times New Roman"/>
          <w:sz w:val="22"/>
          <w:szCs w:val="22"/>
          <w:u w:color="000000"/>
          <w:rtl/>
        </w:rPr>
        <w:t>’</w:t>
      </w:r>
      <w:r w:rsidRPr="001D49FB">
        <w:rPr>
          <w:rFonts w:ascii="Times New Roman" w:hAnsi="Times New Roman"/>
          <w:sz w:val="22"/>
          <w:szCs w:val="22"/>
          <w:u w:color="000000"/>
        </w:rPr>
        <w:t xml:space="preserve">s arguments in justifying the ban of Tim Owen KC, </w:t>
      </w:r>
      <w:hyperlink r:id="rId8" w:history="1">
        <w:r w:rsidRPr="001D49FB">
          <w:rPr>
            <w:rStyle w:val="Hyperlink0"/>
            <w:rFonts w:ascii="Times New Roman" w:hAnsi="Times New Roman"/>
            <w:sz w:val="22"/>
            <w:szCs w:val="22"/>
            <w:u w:color="000000"/>
          </w:rPr>
          <w:t xml:space="preserve">the Chief Executive of </w:t>
        </w:r>
        <w:r w:rsidRPr="001D49FB">
          <w:rPr>
            <w:rStyle w:val="Hyperlink0"/>
            <w:rFonts w:ascii="Times New Roman" w:hAnsi="Times New Roman"/>
            <w:sz w:val="22"/>
            <w:szCs w:val="22"/>
            <w:u w:color="000000"/>
          </w:rPr>
          <w:t>the HKSAR invited the Standing Committee of the National People’s Congress to alter the effect of the court’s decision</w:t>
        </w:r>
      </w:hyperlink>
    </w:p>
    <w:p w14:paraId="6D380D35" w14:textId="77777777" w:rsidR="00963DCB" w:rsidRPr="001D49F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Article 6(2) of the Covenant stipulates that a State Party should achieve the full realisation of the right to work by providing “conditi</w:t>
      </w:r>
      <w:r w:rsidRPr="001D49FB">
        <w:rPr>
          <w:rFonts w:ascii="Times New Roman" w:hAnsi="Times New Roman"/>
          <w:sz w:val="22"/>
          <w:szCs w:val="22"/>
          <w:u w:color="000000"/>
        </w:rPr>
        <w:t xml:space="preserve">ons safeguarding </w:t>
      </w:r>
      <w:r w:rsidRPr="001D49FB">
        <w:rPr>
          <w:rFonts w:ascii="Times New Roman" w:hAnsi="Times New Roman"/>
          <w:i/>
          <w:iCs/>
          <w:sz w:val="22"/>
          <w:szCs w:val="22"/>
          <w:u w:color="000000"/>
        </w:rPr>
        <w:t xml:space="preserve">fundamental political and economic freedoms to the individual” </w:t>
      </w:r>
      <w:r w:rsidRPr="001D49FB">
        <w:rPr>
          <w:rFonts w:ascii="Times New Roman" w:hAnsi="Times New Roman"/>
          <w:sz w:val="22"/>
          <w:szCs w:val="22"/>
          <w:u w:color="000000"/>
        </w:rPr>
        <w:t xml:space="preserve">(emphasis added) </w:t>
      </w:r>
    </w:p>
    <w:p w14:paraId="1A5FAA4F" w14:textId="362B1496" w:rsidR="00963DCB" w:rsidRDefault="00B805EF" w:rsidP="001D49FB">
      <w:pPr>
        <w:pStyle w:val="Default"/>
        <w:numPr>
          <w:ilvl w:val="0"/>
          <w:numId w:val="2"/>
        </w:numPr>
        <w:spacing w:before="0" w:line="240" w:lineRule="auto"/>
        <w:jc w:val="both"/>
        <w:rPr>
          <w:rFonts w:ascii="Times New Roman" w:hAnsi="Times New Roman"/>
          <w:sz w:val="22"/>
          <w:szCs w:val="22"/>
          <w:u w:color="000000"/>
        </w:rPr>
      </w:pPr>
      <w:r w:rsidRPr="001D49FB">
        <w:rPr>
          <w:rFonts w:ascii="Times New Roman" w:hAnsi="Times New Roman"/>
          <w:sz w:val="22"/>
          <w:szCs w:val="22"/>
          <w:u w:color="000000"/>
        </w:rPr>
        <w:t>The HKSAR government failed to provide valid reasons, as corroborated by the city’s top court, as to why it is justified to impose additional restraints on fo</w:t>
      </w:r>
      <w:r w:rsidRPr="001D49FB">
        <w:rPr>
          <w:rFonts w:ascii="Times New Roman" w:hAnsi="Times New Roman"/>
          <w:sz w:val="22"/>
          <w:szCs w:val="22"/>
          <w:u w:color="000000"/>
        </w:rPr>
        <w:t>reign legal practitioners’ political and economic freedom to practise in HKNSL cases when they could generally practise in any other areas of laws</w:t>
      </w:r>
    </w:p>
    <w:p w14:paraId="2DC17E2F" w14:textId="77777777" w:rsidR="001D49FB" w:rsidRPr="001D49FB" w:rsidRDefault="001D49FB" w:rsidP="001D49FB">
      <w:pPr>
        <w:pStyle w:val="Default"/>
        <w:spacing w:before="0" w:line="240" w:lineRule="auto"/>
        <w:ind w:left="251"/>
        <w:jc w:val="both"/>
        <w:rPr>
          <w:rFonts w:ascii="Times New Roman" w:hAnsi="Times New Roman"/>
          <w:sz w:val="22"/>
          <w:szCs w:val="22"/>
          <w:u w:color="000000"/>
        </w:rPr>
      </w:pPr>
    </w:p>
    <w:tbl>
      <w:tblPr>
        <w:tblW w:w="9638" w:type="dxa"/>
        <w:tblInd w:w="108" w:type="dxa"/>
        <w:tblBorders>
          <w:top w:val="single" w:sz="2" w:space="0" w:color="000000"/>
          <w:left w:val="single" w:sz="2" w:space="0" w:color="000000"/>
          <w:bottom w:val="single" w:sz="2" w:space="0" w:color="000000"/>
          <w:right w:val="single" w:sz="2" w:space="0" w:color="000000"/>
          <w:insideH w:val="single" w:sz="8" w:space="0" w:color="000000"/>
          <w:insideV w:val="single" w:sz="8" w:space="0" w:color="000000"/>
        </w:tblBorders>
        <w:tblLayout w:type="fixed"/>
        <w:tblLook w:val="04A0" w:firstRow="1" w:lastRow="0" w:firstColumn="1" w:lastColumn="0" w:noHBand="0" w:noVBand="1"/>
      </w:tblPr>
      <w:tblGrid>
        <w:gridCol w:w="9638"/>
      </w:tblGrid>
      <w:tr w:rsidR="00963DCB" w:rsidRPr="001D49FB" w14:paraId="458ACFD4" w14:textId="77777777">
        <w:trPr>
          <w:trHeight w:val="603"/>
        </w:trPr>
        <w:tc>
          <w:tcPr>
            <w:tcW w:w="9638" w:type="dxa"/>
            <w:tcBorders>
              <w:top w:val="single" w:sz="8" w:space="0" w:color="000000"/>
              <w:left w:val="single" w:sz="8" w:space="0" w:color="000000"/>
              <w:bottom w:val="single" w:sz="8" w:space="0" w:color="000000"/>
              <w:right w:val="single" w:sz="8" w:space="0" w:color="000000"/>
            </w:tcBorders>
            <w:shd w:val="clear" w:color="auto" w:fill="auto"/>
            <w:tcMar>
              <w:top w:w="0" w:type="dxa"/>
              <w:left w:w="144" w:type="dxa"/>
              <w:bottom w:w="0" w:type="dxa"/>
              <w:right w:w="144" w:type="dxa"/>
            </w:tcMar>
          </w:tcPr>
          <w:p w14:paraId="63155C82" w14:textId="77777777" w:rsidR="00963DCB" w:rsidRPr="001D49FB" w:rsidRDefault="00B805EF" w:rsidP="001D49FB">
            <w:pPr>
              <w:pStyle w:val="TableStyle2"/>
              <w:jc w:val="both"/>
              <w:rPr>
                <w:sz w:val="22"/>
                <w:szCs w:val="22"/>
              </w:rPr>
            </w:pPr>
            <w:r w:rsidRPr="001D49FB">
              <w:rPr>
                <w:rFonts w:ascii="Times New Roman" w:hAnsi="Times New Roman"/>
                <w:b/>
                <w:bCs/>
                <w:sz w:val="22"/>
                <w:szCs w:val="22"/>
                <w:u w:color="000000"/>
              </w:rPr>
              <w:t xml:space="preserve">We strongly urge clarification from HKSAR on its compliance with its treaty obligations under the </w:t>
            </w:r>
            <w:r w:rsidRPr="001D49FB">
              <w:rPr>
                <w:rFonts w:ascii="Times New Roman" w:hAnsi="Times New Roman"/>
                <w:b/>
                <w:bCs/>
                <w:sz w:val="22"/>
                <w:szCs w:val="22"/>
                <w:u w:color="000000"/>
              </w:rPr>
              <w:t>ICECSR despite the information and the established fact patterns above which suggest otherwise.</w:t>
            </w:r>
          </w:p>
        </w:tc>
      </w:tr>
    </w:tbl>
    <w:p w14:paraId="7953C15E" w14:textId="77777777" w:rsidR="00963DCB" w:rsidRPr="001D49FB" w:rsidRDefault="00963DCB" w:rsidP="001D49FB">
      <w:pPr>
        <w:pStyle w:val="Default"/>
        <w:spacing w:before="0" w:line="240" w:lineRule="auto"/>
        <w:jc w:val="both"/>
        <w:rPr>
          <w:rFonts w:ascii="Times New Roman" w:eastAsia="Times New Roman" w:hAnsi="Times New Roman" w:cs="Times New Roman"/>
          <w:sz w:val="22"/>
          <w:szCs w:val="22"/>
          <w:u w:color="000000"/>
        </w:rPr>
      </w:pPr>
    </w:p>
    <w:p w14:paraId="1D2E2CAF" w14:textId="77777777" w:rsidR="00963DCB" w:rsidRPr="001D49FB" w:rsidRDefault="00B805EF" w:rsidP="001D49FB">
      <w:pPr>
        <w:pStyle w:val="Default"/>
        <w:spacing w:before="0" w:line="240" w:lineRule="auto"/>
        <w:jc w:val="both"/>
        <w:rPr>
          <w:rFonts w:ascii="Times New Roman" w:eastAsia="Times New Roman" w:hAnsi="Times New Roman" w:cs="Times New Roman"/>
          <w:sz w:val="22"/>
          <w:szCs w:val="22"/>
          <w:u w:color="000000"/>
        </w:rPr>
      </w:pPr>
      <w:r w:rsidRPr="001D49FB">
        <w:rPr>
          <w:rFonts w:ascii="Times New Roman" w:hAnsi="Times New Roman"/>
          <w:sz w:val="22"/>
          <w:szCs w:val="22"/>
          <w:u w:color="000000"/>
        </w:rPr>
        <w:t> </w:t>
      </w:r>
    </w:p>
    <w:p w14:paraId="0F750108" w14:textId="77777777" w:rsidR="00963DCB" w:rsidRPr="001D49FB" w:rsidRDefault="00B805EF" w:rsidP="001D49FB">
      <w:pPr>
        <w:pStyle w:val="Default"/>
        <w:spacing w:before="0" w:line="240" w:lineRule="auto"/>
        <w:jc w:val="both"/>
        <w:rPr>
          <w:sz w:val="22"/>
          <w:szCs w:val="22"/>
        </w:rPr>
      </w:pPr>
      <w:r w:rsidRPr="001D49FB">
        <w:rPr>
          <w:rFonts w:ascii="Times New Roman" w:hAnsi="Times New Roman"/>
          <w:sz w:val="22"/>
          <w:szCs w:val="22"/>
          <w:u w:color="000000"/>
        </w:rPr>
        <w:t> </w:t>
      </w:r>
    </w:p>
    <w:sectPr w:rsidR="00963DCB" w:rsidRPr="001D49FB">
      <w:headerReference w:type="default" r:id="rId9"/>
      <w:footerReference w:type="default" r:id="rId1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0103B" w14:textId="77777777" w:rsidR="00574D88" w:rsidRDefault="00574D88">
      <w:r>
        <w:separator/>
      </w:r>
    </w:p>
  </w:endnote>
  <w:endnote w:type="continuationSeparator" w:id="0">
    <w:p w14:paraId="197094D3" w14:textId="77777777" w:rsidR="00574D88" w:rsidRDefault="0057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5A48" w14:textId="77777777" w:rsidR="00963DCB" w:rsidRDefault="00963D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CF06A" w14:textId="77777777" w:rsidR="00574D88" w:rsidRDefault="00574D88">
      <w:r>
        <w:separator/>
      </w:r>
    </w:p>
  </w:footnote>
  <w:footnote w:type="continuationSeparator" w:id="0">
    <w:p w14:paraId="0A7D17BD" w14:textId="77777777" w:rsidR="00574D88" w:rsidRDefault="00574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3FCA7" w14:textId="77777777" w:rsidR="00963DCB" w:rsidRDefault="00B805EF">
    <w:r>
      <w:rPr>
        <w:noProof/>
      </w:rPr>
      <mc:AlternateContent>
        <mc:Choice Requires="wps">
          <w:drawing>
            <wp:anchor distT="152400" distB="152400" distL="152400" distR="152400" simplePos="0" relativeHeight="251658240" behindDoc="1" locked="0" layoutInCell="1" allowOverlap="1" wp14:anchorId="405D8D5D" wp14:editId="600503BF">
              <wp:simplePos x="0" y="0"/>
              <wp:positionH relativeFrom="page">
                <wp:posOffset>0</wp:posOffset>
              </wp:positionH>
              <wp:positionV relativeFrom="page">
                <wp:posOffset>0</wp:posOffset>
              </wp:positionV>
              <wp:extent cx="7560057" cy="10692004"/>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560057" cy="10692004"/>
                      </a:xfrm>
                      <a:prstGeom prst="roundRect">
                        <a:avLst>
                          <a:gd name="adj" fmla="val 0"/>
                        </a:avLst>
                      </a:prstGeom>
                      <a:blipFill rotWithShape="1">
                        <a:blip r:embed="rId1"/>
                        <a:srcRect/>
                        <a:stretch>
                          <a:fillRect/>
                        </a:stretch>
                      </a:blipFill>
                      <a:ln w="12700" cap="flat">
                        <a:noFill/>
                        <a:miter lim="400000"/>
                      </a:ln>
                      <a:effectLst/>
                    </wps:spPr>
                    <wps:bodyPr/>
                  </wps:wsp>
                </a:graphicData>
              </a:graphic>
            </wp:anchor>
          </w:drawing>
        </mc:Choice>
        <mc:Fallback xmlns:oel="http://schemas.microsoft.com/office/2019/extlst">
          <w:pict>
            <v:roundrect id="_x0000_s1026" style="visibility:visible;position:absolute;margin-left:0.0pt;margin-top:0.0pt;width:595.3pt;height:841.9pt;z-index:-251658240;mso-position-horizontal:absolute;mso-position-horizontal-relative:page;mso-position-vertical:absolute;mso-position-vertical-relative:page;mso-wrap-distance-left:12.0pt;mso-wrap-distance-top:12.0pt;mso-wrap-distance-right:12.0pt;mso-wrap-distance-bottom:12.0pt;" adj="0">
              <v:fill r:id="rId2" o:title="Letterhead A.png" rotate="t" type="frame"/>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35701"/>
    <w:multiLevelType w:val="hybridMultilevel"/>
    <w:tmpl w:val="3252C210"/>
    <w:styleLink w:val="BulletBig"/>
    <w:lvl w:ilvl="0" w:tplc="58567252">
      <w:start w:val="1"/>
      <w:numFmt w:val="bullet"/>
      <w:lvlText w:val="•"/>
      <w:lvlJc w:val="left"/>
      <w:pPr>
        <w:ind w:left="25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1" w:tplc="11B6FAB2">
      <w:start w:val="1"/>
      <w:numFmt w:val="bullet"/>
      <w:lvlText w:val="•"/>
      <w:lvlJc w:val="left"/>
      <w:pPr>
        <w:ind w:left="49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2" w:tplc="31F4A830">
      <w:start w:val="1"/>
      <w:numFmt w:val="bullet"/>
      <w:lvlText w:val="•"/>
      <w:lvlJc w:val="left"/>
      <w:pPr>
        <w:ind w:left="73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3" w:tplc="AD3C49E6">
      <w:start w:val="1"/>
      <w:numFmt w:val="bullet"/>
      <w:lvlText w:val="•"/>
      <w:lvlJc w:val="left"/>
      <w:pPr>
        <w:ind w:left="97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4" w:tplc="8D3833A8">
      <w:start w:val="1"/>
      <w:numFmt w:val="bullet"/>
      <w:lvlText w:val="•"/>
      <w:lvlJc w:val="left"/>
      <w:pPr>
        <w:ind w:left="121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5" w:tplc="17128E06">
      <w:start w:val="1"/>
      <w:numFmt w:val="bullet"/>
      <w:lvlText w:val="•"/>
      <w:lvlJc w:val="left"/>
      <w:pPr>
        <w:ind w:left="145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6" w:tplc="E356E17E">
      <w:start w:val="1"/>
      <w:numFmt w:val="bullet"/>
      <w:lvlText w:val="•"/>
      <w:lvlJc w:val="left"/>
      <w:pPr>
        <w:ind w:left="169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7" w:tplc="5284E4B2">
      <w:start w:val="1"/>
      <w:numFmt w:val="bullet"/>
      <w:lvlText w:val="•"/>
      <w:lvlJc w:val="left"/>
      <w:pPr>
        <w:ind w:left="193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8" w:tplc="2AC4245E">
      <w:start w:val="1"/>
      <w:numFmt w:val="bullet"/>
      <w:lvlText w:val="•"/>
      <w:lvlJc w:val="left"/>
      <w:pPr>
        <w:ind w:left="217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abstractNum>
  <w:abstractNum w:abstractNumId="1" w15:restartNumberingAfterBreak="0">
    <w:nsid w:val="76D35D19"/>
    <w:multiLevelType w:val="hybridMultilevel"/>
    <w:tmpl w:val="3252C210"/>
    <w:numStyleLink w:val="BulletBig"/>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CB"/>
    <w:rsid w:val="001D49FB"/>
    <w:rsid w:val="002E6D91"/>
    <w:rsid w:val="00574D88"/>
    <w:rsid w:val="00963DCB"/>
    <w:rsid w:val="00B805EF"/>
    <w:rsid w:val="00FA1528"/>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F0DB"/>
  <w15:docId w15:val="{C85C28D8-FCD0-5E49-B15D-C57B13CA8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HK"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BulletBig">
    <w:name w:val="Bullet Big"/>
    <w:pPr>
      <w:numPr>
        <w:numId w:val="1"/>
      </w:numPr>
    </w:pPr>
  </w:style>
  <w:style w:type="character" w:customStyle="1" w:styleId="Link">
    <w:name w:val="Link"/>
    <w:rPr>
      <w:u w:val="single"/>
    </w:rPr>
  </w:style>
  <w:style w:type="character" w:customStyle="1" w:styleId="Hyperlink0">
    <w:name w:val="Hyperlink.0"/>
    <w:basedOn w:val="Link"/>
    <w:rPr>
      <w:outline w:val="0"/>
      <w:color w:val="0076BA"/>
      <w:u w:val="singl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paragraph" w:styleId="Revision">
    <w:name w:val="Revision"/>
    <w:hidden/>
    <w:uiPriority w:val="99"/>
    <w:semiHidden/>
    <w:rsid w:val="001D49FB"/>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cmp.com/news/hong-kong/law-and-crime/article/3201243/hong-kongs-top-court-upholds-decision-allow-british-barrister-defend-media-tycoon-jimmy-lai-national" TargetMode="External"/><Relationship Id="rId3" Type="http://schemas.openxmlformats.org/officeDocument/2006/relationships/settings" Target="settings.xml"/><Relationship Id="rId7" Type="http://schemas.openxmlformats.org/officeDocument/2006/relationships/hyperlink" Target="https://www.thestandard.com.hk/breaking-news/section/4/196928/UK's-Timothy-Owen-KC-to-defend-Jimmy-Lai-in-December's-national-security-tri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566</Words>
  <Characters>3228</Characters>
  <Application>Microsoft Office Word</Application>
  <DocSecurity>0</DocSecurity>
  <Lines>26</Lines>
  <Paragraphs>7</Paragraphs>
  <ScaleCrop>false</ScaleCrop>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2023-01-17T08:06:00Z</dcterms:created>
  <dcterms:modified xsi:type="dcterms:W3CDTF">2023-01-17T08:06:00Z</dcterms:modified>
</cp:coreProperties>
</file>