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2D1236" w14:textId="77777777" w:rsidR="00F45E68" w:rsidRDefault="00F45E68">
      <w:pPr>
        <w:rPr>
          <w:rFonts w:ascii="Arial" w:eastAsia="Arial" w:hAnsi="Arial" w:cs="Arial"/>
          <w:b/>
          <w:sz w:val="32"/>
          <w:szCs w:val="32"/>
        </w:rPr>
      </w:pPr>
    </w:p>
    <w:p w14:paraId="24209768" w14:textId="77777777" w:rsidR="00F45E68" w:rsidRDefault="00F45E68">
      <w:pPr>
        <w:jc w:val="center"/>
        <w:rPr>
          <w:rFonts w:ascii="Arial" w:eastAsia="Arial" w:hAnsi="Arial" w:cs="Arial"/>
          <w:b/>
          <w:sz w:val="32"/>
          <w:szCs w:val="32"/>
        </w:rPr>
      </w:pPr>
    </w:p>
    <w:p w14:paraId="115D38F1" w14:textId="77777777" w:rsidR="00F45E68" w:rsidRDefault="00000000">
      <w:pPr>
        <w:jc w:val="center"/>
        <w:rPr>
          <w:rFonts w:ascii="Arial" w:eastAsia="Arial" w:hAnsi="Arial" w:cs="Arial"/>
          <w:b/>
          <w:sz w:val="32"/>
          <w:szCs w:val="32"/>
        </w:rPr>
      </w:pPr>
      <w:r>
        <w:rPr>
          <w:rFonts w:ascii="Arial" w:eastAsia="Arial" w:hAnsi="Arial" w:cs="Arial"/>
          <w:b/>
          <w:sz w:val="32"/>
          <w:szCs w:val="32"/>
        </w:rPr>
        <w:t xml:space="preserve">LIST OF ISSUES SUBMISSION ON FAMILY LAW AND </w:t>
      </w:r>
    </w:p>
    <w:p w14:paraId="405E25F4" w14:textId="77777777" w:rsidR="00F45E68" w:rsidRDefault="00000000">
      <w:pPr>
        <w:jc w:val="center"/>
        <w:rPr>
          <w:rFonts w:ascii="Arial" w:eastAsia="Arial" w:hAnsi="Arial" w:cs="Arial"/>
          <w:b/>
          <w:sz w:val="32"/>
          <w:szCs w:val="32"/>
        </w:rPr>
      </w:pPr>
      <w:r>
        <w:rPr>
          <w:rFonts w:ascii="Arial" w:eastAsia="Arial" w:hAnsi="Arial" w:cs="Arial"/>
          <w:b/>
          <w:sz w:val="32"/>
          <w:szCs w:val="32"/>
        </w:rPr>
        <w:t xml:space="preserve">MUSLIM WOMEN’S RIGHTS IN </w:t>
      </w:r>
    </w:p>
    <w:p w14:paraId="76E2E884" w14:textId="77777777" w:rsidR="00F45E68" w:rsidRDefault="00F45E68">
      <w:pPr>
        <w:jc w:val="center"/>
        <w:rPr>
          <w:rFonts w:ascii="Arial" w:eastAsia="Arial" w:hAnsi="Arial" w:cs="Arial"/>
          <w:b/>
          <w:sz w:val="32"/>
          <w:szCs w:val="32"/>
        </w:rPr>
      </w:pPr>
    </w:p>
    <w:p w14:paraId="79FEF8D9" w14:textId="77777777" w:rsidR="00F45E68" w:rsidRDefault="00000000">
      <w:pPr>
        <w:jc w:val="center"/>
        <w:rPr>
          <w:rFonts w:ascii="Arial" w:eastAsia="Arial" w:hAnsi="Arial" w:cs="Arial"/>
          <w:b/>
          <w:sz w:val="40"/>
          <w:szCs w:val="40"/>
        </w:rPr>
      </w:pPr>
      <w:r>
        <w:rPr>
          <w:rFonts w:ascii="Arial" w:eastAsia="Arial" w:hAnsi="Arial" w:cs="Arial"/>
          <w:b/>
          <w:sz w:val="40"/>
          <w:szCs w:val="40"/>
        </w:rPr>
        <w:t>INDIA</w:t>
      </w:r>
    </w:p>
    <w:p w14:paraId="459DA86C" w14:textId="77777777" w:rsidR="00F45E68" w:rsidRDefault="00F45E68">
      <w:pPr>
        <w:jc w:val="center"/>
        <w:rPr>
          <w:rFonts w:ascii="Arial" w:eastAsia="Arial" w:hAnsi="Arial" w:cs="Arial"/>
          <w:b/>
          <w:sz w:val="32"/>
          <w:szCs w:val="32"/>
        </w:rPr>
      </w:pPr>
    </w:p>
    <w:p w14:paraId="4C53205C" w14:textId="77777777" w:rsidR="00F45E68" w:rsidRDefault="00F45E68">
      <w:pPr>
        <w:jc w:val="center"/>
        <w:rPr>
          <w:rFonts w:ascii="Arial" w:eastAsia="Arial" w:hAnsi="Arial" w:cs="Arial"/>
          <w:b/>
          <w:sz w:val="32"/>
          <w:szCs w:val="32"/>
        </w:rPr>
      </w:pPr>
    </w:p>
    <w:p w14:paraId="2C0D3D31" w14:textId="77777777" w:rsidR="00F45E68" w:rsidRDefault="00000000">
      <w:pPr>
        <w:jc w:val="center"/>
        <w:rPr>
          <w:rFonts w:ascii="Arial" w:eastAsia="Arial" w:hAnsi="Arial" w:cs="Arial"/>
          <w:b/>
          <w:sz w:val="32"/>
          <w:szCs w:val="32"/>
        </w:rPr>
      </w:pPr>
      <w:r>
        <w:rPr>
          <w:rFonts w:ascii="Arial" w:eastAsia="Arial" w:hAnsi="Arial" w:cs="Arial"/>
          <w:b/>
          <w:sz w:val="32"/>
          <w:szCs w:val="32"/>
        </w:rPr>
        <w:t>94</w:t>
      </w:r>
      <w:r>
        <w:rPr>
          <w:rFonts w:ascii="Arial" w:eastAsia="Arial" w:hAnsi="Arial" w:cs="Arial"/>
          <w:b/>
          <w:sz w:val="32"/>
          <w:szCs w:val="32"/>
          <w:vertAlign w:val="superscript"/>
        </w:rPr>
        <w:t xml:space="preserve">th </w:t>
      </w:r>
      <w:r>
        <w:rPr>
          <w:rFonts w:ascii="Arial" w:eastAsia="Arial" w:hAnsi="Arial" w:cs="Arial"/>
          <w:b/>
          <w:sz w:val="32"/>
          <w:szCs w:val="32"/>
        </w:rPr>
        <w:t>CEDAW Pre-Session Working Group (PSWG)</w:t>
      </w:r>
    </w:p>
    <w:p w14:paraId="12F15D7D" w14:textId="77777777" w:rsidR="00F45E68" w:rsidRDefault="00F45E68">
      <w:pPr>
        <w:jc w:val="center"/>
        <w:rPr>
          <w:rFonts w:ascii="Arial" w:eastAsia="Arial" w:hAnsi="Arial" w:cs="Arial"/>
          <w:b/>
          <w:sz w:val="32"/>
          <w:szCs w:val="32"/>
        </w:rPr>
      </w:pPr>
    </w:p>
    <w:p w14:paraId="509C5256" w14:textId="77777777" w:rsidR="00F45E68" w:rsidRDefault="00000000">
      <w:pPr>
        <w:jc w:val="center"/>
        <w:rPr>
          <w:rFonts w:ascii="Arial" w:eastAsia="Arial" w:hAnsi="Arial" w:cs="Arial"/>
          <w:sz w:val="32"/>
          <w:szCs w:val="32"/>
        </w:rPr>
      </w:pPr>
      <w:r>
        <w:rPr>
          <w:rFonts w:ascii="Arial" w:eastAsia="Arial" w:hAnsi="Arial" w:cs="Arial"/>
          <w:sz w:val="32"/>
          <w:szCs w:val="32"/>
        </w:rPr>
        <w:t>Oct 2025</w:t>
      </w:r>
    </w:p>
    <w:p w14:paraId="180F837D" w14:textId="77777777" w:rsidR="00F45E68" w:rsidRDefault="00F45E68">
      <w:pPr>
        <w:rPr>
          <w:rFonts w:ascii="Arial" w:eastAsia="Arial" w:hAnsi="Arial" w:cs="Arial"/>
          <w:sz w:val="32"/>
          <w:szCs w:val="32"/>
        </w:rPr>
      </w:pPr>
    </w:p>
    <w:p w14:paraId="26340883" w14:textId="77777777" w:rsidR="00F45E68" w:rsidRDefault="00F45E68">
      <w:pPr>
        <w:rPr>
          <w:rFonts w:ascii="Arial" w:eastAsia="Arial" w:hAnsi="Arial" w:cs="Arial"/>
          <w:sz w:val="32"/>
          <w:szCs w:val="32"/>
        </w:rPr>
      </w:pPr>
    </w:p>
    <w:p w14:paraId="3537429C" w14:textId="77777777" w:rsidR="00F45E68" w:rsidRDefault="00000000">
      <w:pPr>
        <w:jc w:val="center"/>
        <w:rPr>
          <w:rFonts w:ascii="Arial" w:eastAsia="Arial" w:hAnsi="Arial" w:cs="Arial"/>
          <w:b/>
          <w:sz w:val="36"/>
          <w:szCs w:val="36"/>
        </w:rPr>
      </w:pPr>
      <w:r>
        <w:rPr>
          <w:rFonts w:ascii="Arial" w:eastAsia="Arial" w:hAnsi="Arial" w:cs="Arial"/>
          <w:b/>
        </w:rPr>
        <w:t>SUBMITTED BY:</w:t>
      </w:r>
    </w:p>
    <w:tbl>
      <w:tblPr>
        <w:tblStyle w:val="a"/>
        <w:tblW w:w="9360" w:type="dxa"/>
        <w:tblLayout w:type="fixed"/>
        <w:tblLook w:val="0600" w:firstRow="0" w:lastRow="0" w:firstColumn="0" w:lastColumn="0" w:noHBand="1" w:noVBand="1"/>
      </w:tblPr>
      <w:tblGrid>
        <w:gridCol w:w="4680"/>
        <w:gridCol w:w="4680"/>
      </w:tblGrid>
      <w:tr w:rsidR="00F45E68" w14:paraId="40B60908" w14:textId="77777777">
        <w:tc>
          <w:tcPr>
            <w:tcW w:w="4680" w:type="dxa"/>
            <w:shd w:val="clear" w:color="auto" w:fill="auto"/>
            <w:tcMar>
              <w:top w:w="100" w:type="dxa"/>
              <w:left w:w="100" w:type="dxa"/>
              <w:bottom w:w="100" w:type="dxa"/>
              <w:right w:w="100" w:type="dxa"/>
            </w:tcMar>
          </w:tcPr>
          <w:p w14:paraId="24033D48" w14:textId="77777777" w:rsidR="00F45E68" w:rsidRDefault="00F45E68">
            <w:pPr>
              <w:jc w:val="center"/>
              <w:rPr>
                <w:rFonts w:ascii="Arial" w:eastAsia="Arial" w:hAnsi="Arial" w:cs="Arial"/>
                <w:b/>
                <w:sz w:val="20"/>
                <w:szCs w:val="20"/>
              </w:rPr>
            </w:pPr>
          </w:p>
          <w:p w14:paraId="2B52A822" w14:textId="77777777" w:rsidR="00F45E68" w:rsidRDefault="00F45E68">
            <w:pPr>
              <w:jc w:val="center"/>
              <w:rPr>
                <w:rFonts w:ascii="Arial" w:eastAsia="Arial" w:hAnsi="Arial" w:cs="Arial"/>
                <w:b/>
                <w:sz w:val="20"/>
                <w:szCs w:val="20"/>
              </w:rPr>
            </w:pPr>
          </w:p>
          <w:p w14:paraId="1D08E3F0" w14:textId="77777777" w:rsidR="00F45E68" w:rsidRDefault="00F45E68">
            <w:pPr>
              <w:jc w:val="center"/>
              <w:rPr>
                <w:rFonts w:ascii="Arial" w:eastAsia="Arial" w:hAnsi="Arial" w:cs="Arial"/>
                <w:b/>
                <w:sz w:val="20"/>
                <w:szCs w:val="20"/>
              </w:rPr>
            </w:pPr>
          </w:p>
          <w:p w14:paraId="791D41E1" w14:textId="77777777" w:rsidR="00F45E68" w:rsidRDefault="00F45E68">
            <w:pPr>
              <w:rPr>
                <w:rFonts w:ascii="Arial" w:eastAsia="Arial" w:hAnsi="Arial" w:cs="Arial"/>
                <w:b/>
                <w:sz w:val="20"/>
                <w:szCs w:val="20"/>
              </w:rPr>
            </w:pPr>
          </w:p>
          <w:p w14:paraId="727550D1" w14:textId="77777777" w:rsidR="00F45E68" w:rsidRDefault="00000000">
            <w:pPr>
              <w:shd w:val="clear" w:color="auto" w:fill="FFFFFF"/>
              <w:jc w:val="center"/>
              <w:rPr>
                <w:rFonts w:ascii="Arial" w:eastAsia="Arial" w:hAnsi="Arial" w:cs="Arial"/>
                <w:b/>
                <w:sz w:val="20"/>
                <w:szCs w:val="20"/>
              </w:rPr>
            </w:pPr>
            <w:r>
              <w:rPr>
                <w:rFonts w:ascii="Arial" w:eastAsia="Arial" w:hAnsi="Arial" w:cs="Arial"/>
                <w:b/>
                <w:noProof/>
                <w:sz w:val="20"/>
                <w:szCs w:val="20"/>
              </w:rPr>
              <w:drawing>
                <wp:inline distT="114300" distB="114300" distL="114300" distR="114300" wp14:anchorId="58976DE2" wp14:editId="445F664C">
                  <wp:extent cx="752475" cy="778500"/>
                  <wp:effectExtent l="0" t="0" r="0" b="0"/>
                  <wp:docPr id="14"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8"/>
                          <a:srcRect/>
                          <a:stretch>
                            <a:fillRect/>
                          </a:stretch>
                        </pic:blipFill>
                        <pic:spPr>
                          <a:xfrm>
                            <a:off x="0" y="0"/>
                            <a:ext cx="752475" cy="778500"/>
                          </a:xfrm>
                          <a:prstGeom prst="rect">
                            <a:avLst/>
                          </a:prstGeom>
                          <a:ln/>
                        </pic:spPr>
                      </pic:pic>
                    </a:graphicData>
                  </a:graphic>
                </wp:inline>
              </w:drawing>
            </w:r>
          </w:p>
          <w:p w14:paraId="19AA5A57" w14:textId="77777777" w:rsidR="00F45E68" w:rsidRDefault="00000000">
            <w:pPr>
              <w:shd w:val="clear" w:color="auto" w:fill="FFFFFF"/>
              <w:jc w:val="center"/>
              <w:rPr>
                <w:rFonts w:ascii="Arial" w:eastAsia="Arial" w:hAnsi="Arial" w:cs="Arial"/>
                <w:b/>
                <w:sz w:val="20"/>
                <w:szCs w:val="20"/>
              </w:rPr>
            </w:pPr>
            <w:proofErr w:type="spellStart"/>
            <w:r>
              <w:rPr>
                <w:rFonts w:ascii="Arial" w:eastAsia="Arial" w:hAnsi="Arial" w:cs="Arial"/>
                <w:b/>
                <w:sz w:val="20"/>
                <w:szCs w:val="20"/>
              </w:rPr>
              <w:t>Bharatiya</w:t>
            </w:r>
            <w:proofErr w:type="spellEnd"/>
            <w:r>
              <w:rPr>
                <w:rFonts w:ascii="Arial" w:eastAsia="Arial" w:hAnsi="Arial" w:cs="Arial"/>
                <w:b/>
                <w:sz w:val="20"/>
                <w:szCs w:val="20"/>
              </w:rPr>
              <w:t xml:space="preserve"> Muslim </w:t>
            </w:r>
            <w:proofErr w:type="spellStart"/>
            <w:r>
              <w:rPr>
                <w:rFonts w:ascii="Arial" w:eastAsia="Arial" w:hAnsi="Arial" w:cs="Arial"/>
                <w:b/>
                <w:sz w:val="20"/>
                <w:szCs w:val="20"/>
              </w:rPr>
              <w:t>Mahila</w:t>
            </w:r>
            <w:proofErr w:type="spellEnd"/>
            <w:r>
              <w:rPr>
                <w:rFonts w:ascii="Arial" w:eastAsia="Arial" w:hAnsi="Arial" w:cs="Arial"/>
                <w:b/>
                <w:sz w:val="20"/>
                <w:szCs w:val="20"/>
              </w:rPr>
              <w:t xml:space="preserve"> </w:t>
            </w:r>
            <w:proofErr w:type="spellStart"/>
            <w:r>
              <w:rPr>
                <w:rFonts w:ascii="Arial" w:eastAsia="Arial" w:hAnsi="Arial" w:cs="Arial"/>
                <w:b/>
                <w:sz w:val="20"/>
                <w:szCs w:val="20"/>
              </w:rPr>
              <w:t>Andolan</w:t>
            </w:r>
            <w:proofErr w:type="spellEnd"/>
            <w:r>
              <w:rPr>
                <w:rFonts w:ascii="Arial" w:eastAsia="Arial" w:hAnsi="Arial" w:cs="Arial"/>
                <w:b/>
                <w:sz w:val="20"/>
                <w:szCs w:val="20"/>
              </w:rPr>
              <w:t xml:space="preserve"> [BMMA]</w:t>
            </w:r>
          </w:p>
          <w:p w14:paraId="37586B30" w14:textId="77777777" w:rsidR="00F45E68" w:rsidRDefault="00F45E68">
            <w:pPr>
              <w:shd w:val="clear" w:color="auto" w:fill="FFFFFF"/>
              <w:jc w:val="center"/>
              <w:rPr>
                <w:rFonts w:ascii="Arial" w:eastAsia="Arial" w:hAnsi="Arial" w:cs="Arial"/>
                <w:b/>
                <w:sz w:val="20"/>
                <w:szCs w:val="20"/>
              </w:rPr>
            </w:pPr>
          </w:p>
          <w:p w14:paraId="5614D106" w14:textId="77777777" w:rsidR="00F45E68" w:rsidRDefault="00000000">
            <w:pPr>
              <w:shd w:val="clear" w:color="auto" w:fill="FFFFFF"/>
              <w:jc w:val="center"/>
              <w:rPr>
                <w:rFonts w:ascii="Arial" w:eastAsia="Arial" w:hAnsi="Arial" w:cs="Arial"/>
                <w:sz w:val="20"/>
                <w:szCs w:val="20"/>
              </w:rPr>
            </w:pPr>
            <w:r>
              <w:rPr>
                <w:rFonts w:ascii="Arial" w:eastAsia="Arial" w:hAnsi="Arial" w:cs="Arial"/>
                <w:b/>
                <w:sz w:val="20"/>
                <w:szCs w:val="20"/>
              </w:rPr>
              <w:t xml:space="preserve">Secretariat: </w:t>
            </w:r>
            <w:r>
              <w:rPr>
                <w:rFonts w:ascii="Arial" w:eastAsia="Arial" w:hAnsi="Arial" w:cs="Arial"/>
                <w:sz w:val="20"/>
                <w:szCs w:val="20"/>
              </w:rPr>
              <w:t xml:space="preserve">35/B, RHS, </w:t>
            </w:r>
            <w:proofErr w:type="spellStart"/>
            <w:r>
              <w:rPr>
                <w:rFonts w:ascii="Arial" w:eastAsia="Arial" w:hAnsi="Arial" w:cs="Arial"/>
                <w:sz w:val="20"/>
                <w:szCs w:val="20"/>
              </w:rPr>
              <w:t>Goregoan</w:t>
            </w:r>
            <w:proofErr w:type="spellEnd"/>
            <w:r>
              <w:rPr>
                <w:rFonts w:ascii="Arial" w:eastAsia="Arial" w:hAnsi="Arial" w:cs="Arial"/>
                <w:sz w:val="20"/>
                <w:szCs w:val="20"/>
              </w:rPr>
              <w:t xml:space="preserve">, Mumbai, India </w:t>
            </w:r>
          </w:p>
          <w:p w14:paraId="77A3C30B" w14:textId="77777777" w:rsidR="00F45E68" w:rsidRDefault="00000000">
            <w:pPr>
              <w:shd w:val="clear" w:color="auto" w:fill="FFFFFF"/>
              <w:rPr>
                <w:rFonts w:ascii="Arial" w:eastAsia="Arial" w:hAnsi="Arial" w:cs="Arial"/>
                <w:sz w:val="20"/>
                <w:szCs w:val="20"/>
              </w:rPr>
            </w:pPr>
            <w:r>
              <w:rPr>
                <w:rFonts w:ascii="Arial" w:eastAsia="Arial" w:hAnsi="Arial" w:cs="Arial"/>
                <w:sz w:val="20"/>
                <w:szCs w:val="20"/>
              </w:rPr>
              <w:t xml:space="preserve">Email: </w:t>
            </w:r>
            <w:hyperlink r:id="rId9">
              <w:r>
                <w:rPr>
                  <w:rFonts w:ascii="Arial" w:eastAsia="Arial" w:hAnsi="Arial" w:cs="Arial"/>
                  <w:color w:val="1155CC"/>
                  <w:sz w:val="20"/>
                  <w:szCs w:val="20"/>
                  <w:u w:val="single"/>
                </w:rPr>
                <w:t>noorjehan.sn1@gmail.com</w:t>
              </w:r>
            </w:hyperlink>
            <w:r>
              <w:rPr>
                <w:rFonts w:ascii="Arial" w:eastAsia="Arial" w:hAnsi="Arial" w:cs="Arial"/>
                <w:sz w:val="20"/>
                <w:szCs w:val="20"/>
              </w:rPr>
              <w:t xml:space="preserve"> </w:t>
            </w:r>
          </w:p>
          <w:p w14:paraId="607E8477" w14:textId="77777777" w:rsidR="00F45E68" w:rsidRDefault="00000000">
            <w:pPr>
              <w:shd w:val="clear" w:color="auto" w:fill="FFFFFF"/>
              <w:rPr>
                <w:rFonts w:ascii="Arial" w:eastAsia="Arial" w:hAnsi="Arial" w:cs="Arial"/>
                <w:sz w:val="20"/>
                <w:szCs w:val="20"/>
              </w:rPr>
            </w:pPr>
            <w:r>
              <w:rPr>
                <w:rFonts w:ascii="Arial" w:eastAsia="Arial" w:hAnsi="Arial" w:cs="Arial"/>
                <w:sz w:val="20"/>
                <w:szCs w:val="20"/>
              </w:rPr>
              <w:t xml:space="preserve">Web: </w:t>
            </w:r>
            <w:hyperlink r:id="rId10">
              <w:r>
                <w:rPr>
                  <w:rFonts w:ascii="Arial" w:eastAsia="Arial" w:hAnsi="Arial" w:cs="Arial"/>
                  <w:color w:val="1155CC"/>
                  <w:sz w:val="20"/>
                  <w:szCs w:val="20"/>
                  <w:u w:val="single"/>
                </w:rPr>
                <w:t>https://bmmaindia.wordpress.com/</w:t>
              </w:r>
            </w:hyperlink>
            <w:r>
              <w:rPr>
                <w:rFonts w:ascii="Arial" w:eastAsia="Arial" w:hAnsi="Arial" w:cs="Arial"/>
                <w:sz w:val="20"/>
                <w:szCs w:val="20"/>
              </w:rPr>
              <w:t xml:space="preserve"> </w:t>
            </w:r>
          </w:p>
          <w:p w14:paraId="70ACB2A7" w14:textId="77777777" w:rsidR="00F45E68" w:rsidRDefault="00000000">
            <w:pPr>
              <w:shd w:val="clear" w:color="auto" w:fill="FFFFFF"/>
              <w:rPr>
                <w:rFonts w:ascii="Arial" w:eastAsia="Arial" w:hAnsi="Arial" w:cs="Arial"/>
                <w:sz w:val="20"/>
                <w:szCs w:val="20"/>
              </w:rPr>
            </w:pPr>
            <w:r>
              <w:rPr>
                <w:rFonts w:ascii="Arial" w:eastAsia="Arial" w:hAnsi="Arial" w:cs="Arial"/>
                <w:sz w:val="20"/>
                <w:szCs w:val="20"/>
              </w:rPr>
              <w:t xml:space="preserve">Tel: +91 9833072690 </w:t>
            </w:r>
          </w:p>
          <w:p w14:paraId="2C4EA050" w14:textId="77777777" w:rsidR="00F45E68" w:rsidRDefault="00F45E68">
            <w:pPr>
              <w:shd w:val="clear" w:color="auto" w:fill="FFFFFF"/>
              <w:jc w:val="center"/>
              <w:rPr>
                <w:rFonts w:ascii="Arial" w:eastAsia="Arial" w:hAnsi="Arial" w:cs="Arial"/>
                <w:sz w:val="20"/>
                <w:szCs w:val="20"/>
              </w:rPr>
            </w:pPr>
          </w:p>
          <w:p w14:paraId="5F68E943" w14:textId="77777777" w:rsidR="00F45E68" w:rsidRDefault="00F45E68">
            <w:pPr>
              <w:shd w:val="clear" w:color="auto" w:fill="FFFFFF"/>
              <w:jc w:val="center"/>
              <w:rPr>
                <w:rFonts w:ascii="Arial" w:eastAsia="Arial" w:hAnsi="Arial" w:cs="Arial"/>
                <w:sz w:val="20"/>
                <w:szCs w:val="20"/>
              </w:rPr>
            </w:pPr>
          </w:p>
          <w:p w14:paraId="56C9A520" w14:textId="77777777" w:rsidR="00F45E68" w:rsidRDefault="00F45E68">
            <w:pPr>
              <w:shd w:val="clear" w:color="auto" w:fill="FFFFFF"/>
              <w:jc w:val="center"/>
              <w:rPr>
                <w:rFonts w:ascii="Arial" w:eastAsia="Arial" w:hAnsi="Arial" w:cs="Arial"/>
                <w:color w:val="222222"/>
              </w:rPr>
            </w:pPr>
          </w:p>
        </w:tc>
        <w:tc>
          <w:tcPr>
            <w:tcW w:w="4680" w:type="dxa"/>
            <w:shd w:val="clear" w:color="auto" w:fill="auto"/>
            <w:tcMar>
              <w:top w:w="100" w:type="dxa"/>
              <w:left w:w="100" w:type="dxa"/>
              <w:bottom w:w="100" w:type="dxa"/>
              <w:right w:w="100" w:type="dxa"/>
            </w:tcMar>
          </w:tcPr>
          <w:p w14:paraId="10D0AB26" w14:textId="77777777" w:rsidR="00F45E68" w:rsidRPr="00013016" w:rsidRDefault="00000000">
            <w:pPr>
              <w:jc w:val="center"/>
              <w:rPr>
                <w:rFonts w:ascii="Arial" w:eastAsia="Arial" w:hAnsi="Arial" w:cs="Arial"/>
                <w:sz w:val="20"/>
                <w:szCs w:val="20"/>
                <w:lang w:val="fr-FR"/>
              </w:rPr>
            </w:pPr>
            <w:r w:rsidRPr="00013016">
              <w:rPr>
                <w:rFonts w:ascii="Arial" w:eastAsia="Arial" w:hAnsi="Arial" w:cs="Arial"/>
                <w:sz w:val="20"/>
                <w:szCs w:val="20"/>
                <w:lang w:val="fr-FR"/>
              </w:rPr>
              <w:t>​​</w:t>
            </w:r>
          </w:p>
          <w:p w14:paraId="30428136" w14:textId="77777777" w:rsidR="00F45E68" w:rsidRPr="00013016" w:rsidRDefault="00F45E68">
            <w:pPr>
              <w:rPr>
                <w:rFonts w:ascii="Arial" w:eastAsia="Arial" w:hAnsi="Arial" w:cs="Arial"/>
                <w:sz w:val="20"/>
                <w:szCs w:val="20"/>
                <w:lang w:val="fr-FR"/>
              </w:rPr>
            </w:pPr>
          </w:p>
          <w:p w14:paraId="0263B522" w14:textId="77777777" w:rsidR="00F45E68" w:rsidRPr="00013016" w:rsidRDefault="00000000">
            <w:pPr>
              <w:jc w:val="center"/>
              <w:rPr>
                <w:rFonts w:ascii="Arial" w:eastAsia="Arial" w:hAnsi="Arial" w:cs="Arial"/>
                <w:sz w:val="20"/>
                <w:szCs w:val="20"/>
                <w:lang w:val="fr-FR"/>
              </w:rPr>
            </w:pPr>
            <w:r>
              <w:rPr>
                <w:noProof/>
              </w:rPr>
              <w:drawing>
                <wp:anchor distT="114300" distB="114300" distL="114300" distR="114300" simplePos="0" relativeHeight="251658240" behindDoc="0" locked="0" layoutInCell="1" hidden="0" allowOverlap="1" wp14:anchorId="1AE43A5E" wp14:editId="409FE9F0">
                  <wp:simplePos x="0" y="0"/>
                  <wp:positionH relativeFrom="column">
                    <wp:posOffset>352425</wp:posOffset>
                  </wp:positionH>
                  <wp:positionV relativeFrom="paragraph">
                    <wp:posOffset>158762</wp:posOffset>
                  </wp:positionV>
                  <wp:extent cx="2130425" cy="833120"/>
                  <wp:effectExtent l="0" t="0" r="0" b="0"/>
                  <wp:wrapSquare wrapText="bothSides" distT="114300" distB="114300" distL="114300" distR="114300"/>
                  <wp:docPr id="1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b="13385"/>
                          <a:stretch>
                            <a:fillRect/>
                          </a:stretch>
                        </pic:blipFill>
                        <pic:spPr>
                          <a:xfrm>
                            <a:off x="0" y="0"/>
                            <a:ext cx="2130425" cy="833120"/>
                          </a:xfrm>
                          <a:prstGeom prst="rect">
                            <a:avLst/>
                          </a:prstGeom>
                          <a:ln/>
                        </pic:spPr>
                      </pic:pic>
                    </a:graphicData>
                  </a:graphic>
                </wp:anchor>
              </w:drawing>
            </w:r>
          </w:p>
          <w:p w14:paraId="46289BE3" w14:textId="77777777" w:rsidR="00F45E68" w:rsidRPr="00013016" w:rsidRDefault="00F45E68">
            <w:pPr>
              <w:jc w:val="center"/>
              <w:rPr>
                <w:rFonts w:ascii="Arial" w:eastAsia="Arial" w:hAnsi="Arial" w:cs="Arial"/>
                <w:sz w:val="20"/>
                <w:szCs w:val="20"/>
                <w:lang w:val="fr-FR"/>
              </w:rPr>
            </w:pPr>
          </w:p>
          <w:p w14:paraId="1EF138B3" w14:textId="77777777" w:rsidR="00F45E68" w:rsidRPr="00013016" w:rsidRDefault="00000000">
            <w:pPr>
              <w:jc w:val="center"/>
              <w:rPr>
                <w:rFonts w:ascii="Arial" w:eastAsia="Arial" w:hAnsi="Arial" w:cs="Arial"/>
                <w:b/>
                <w:sz w:val="20"/>
                <w:szCs w:val="20"/>
                <w:lang w:val="fr-FR"/>
              </w:rPr>
            </w:pPr>
            <w:r w:rsidRPr="00013016">
              <w:rPr>
                <w:rFonts w:ascii="Arial" w:eastAsia="Arial" w:hAnsi="Arial" w:cs="Arial"/>
                <w:b/>
                <w:sz w:val="20"/>
                <w:szCs w:val="20"/>
                <w:lang w:val="fr-FR"/>
              </w:rPr>
              <w:t>Musawah</w:t>
            </w:r>
          </w:p>
          <w:p w14:paraId="2718DE5B" w14:textId="77777777" w:rsidR="00F45E68" w:rsidRPr="00013016" w:rsidRDefault="00F45E68">
            <w:pPr>
              <w:jc w:val="center"/>
              <w:rPr>
                <w:rFonts w:ascii="Arial" w:eastAsia="Arial" w:hAnsi="Arial" w:cs="Arial"/>
                <w:sz w:val="20"/>
                <w:szCs w:val="20"/>
                <w:lang w:val="fr-FR"/>
              </w:rPr>
            </w:pPr>
          </w:p>
          <w:p w14:paraId="00170CCC" w14:textId="77777777" w:rsidR="00F45E68" w:rsidRPr="00013016" w:rsidRDefault="00000000">
            <w:pPr>
              <w:jc w:val="center"/>
              <w:rPr>
                <w:rFonts w:ascii="Arial" w:eastAsia="Arial" w:hAnsi="Arial" w:cs="Arial"/>
                <w:sz w:val="20"/>
                <w:szCs w:val="20"/>
                <w:lang w:val="fr-FR"/>
              </w:rPr>
            </w:pPr>
            <w:r w:rsidRPr="00013016">
              <w:rPr>
                <w:rFonts w:ascii="Arial" w:eastAsia="Arial" w:hAnsi="Arial" w:cs="Arial"/>
                <w:sz w:val="20"/>
                <w:szCs w:val="20"/>
                <w:lang w:val="fr-FR"/>
              </w:rPr>
              <w:t xml:space="preserve">15, Jalan </w:t>
            </w:r>
            <w:proofErr w:type="spellStart"/>
            <w:r w:rsidRPr="00013016">
              <w:rPr>
                <w:rFonts w:ascii="Arial" w:eastAsia="Arial" w:hAnsi="Arial" w:cs="Arial"/>
                <w:sz w:val="20"/>
                <w:szCs w:val="20"/>
                <w:lang w:val="fr-FR"/>
              </w:rPr>
              <w:t>Limau</w:t>
            </w:r>
            <w:proofErr w:type="spellEnd"/>
            <w:r w:rsidRPr="00013016">
              <w:rPr>
                <w:rFonts w:ascii="Arial" w:eastAsia="Arial" w:hAnsi="Arial" w:cs="Arial"/>
                <w:sz w:val="20"/>
                <w:szCs w:val="20"/>
                <w:lang w:val="fr-FR"/>
              </w:rPr>
              <w:t xml:space="preserve"> </w:t>
            </w:r>
            <w:proofErr w:type="spellStart"/>
            <w:r w:rsidRPr="00013016">
              <w:rPr>
                <w:rFonts w:ascii="Arial" w:eastAsia="Arial" w:hAnsi="Arial" w:cs="Arial"/>
                <w:sz w:val="20"/>
                <w:szCs w:val="20"/>
                <w:lang w:val="fr-FR"/>
              </w:rPr>
              <w:t>Purut</w:t>
            </w:r>
            <w:proofErr w:type="spellEnd"/>
            <w:r w:rsidRPr="00013016">
              <w:rPr>
                <w:rFonts w:ascii="Arial" w:eastAsia="Arial" w:hAnsi="Arial" w:cs="Arial"/>
                <w:sz w:val="20"/>
                <w:szCs w:val="20"/>
                <w:lang w:val="fr-FR"/>
              </w:rPr>
              <w:t xml:space="preserve">, </w:t>
            </w:r>
            <w:proofErr w:type="spellStart"/>
            <w:r w:rsidRPr="00013016">
              <w:rPr>
                <w:rFonts w:ascii="Arial" w:eastAsia="Arial" w:hAnsi="Arial" w:cs="Arial"/>
                <w:sz w:val="20"/>
                <w:szCs w:val="20"/>
                <w:lang w:val="fr-FR"/>
              </w:rPr>
              <w:t>Bangsar</w:t>
            </w:r>
            <w:proofErr w:type="spellEnd"/>
            <w:r w:rsidRPr="00013016">
              <w:rPr>
                <w:rFonts w:ascii="Arial" w:eastAsia="Arial" w:hAnsi="Arial" w:cs="Arial"/>
                <w:sz w:val="20"/>
                <w:szCs w:val="20"/>
                <w:lang w:val="fr-FR"/>
              </w:rPr>
              <w:t xml:space="preserve"> Park, 59000 Kuala Lumpur, Malaysia </w:t>
            </w:r>
          </w:p>
          <w:p w14:paraId="0F52A962" w14:textId="77777777" w:rsidR="00F45E68" w:rsidRDefault="00000000">
            <w:pPr>
              <w:jc w:val="center"/>
              <w:rPr>
                <w:rFonts w:ascii="Arial" w:eastAsia="Arial" w:hAnsi="Arial" w:cs="Arial"/>
                <w:sz w:val="20"/>
                <w:szCs w:val="20"/>
              </w:rPr>
            </w:pPr>
            <w:r>
              <w:rPr>
                <w:rFonts w:ascii="Arial" w:eastAsia="Arial" w:hAnsi="Arial" w:cs="Arial"/>
                <w:sz w:val="20"/>
                <w:szCs w:val="20"/>
              </w:rPr>
              <w:t xml:space="preserve">Tel: +603 2083 0202 Fax: +603 2202 0303 </w:t>
            </w:r>
          </w:p>
          <w:p w14:paraId="7138BBB6" w14:textId="77777777" w:rsidR="00F45E68" w:rsidRDefault="00000000">
            <w:pPr>
              <w:jc w:val="center"/>
              <w:rPr>
                <w:rFonts w:ascii="Arial" w:eastAsia="Arial" w:hAnsi="Arial" w:cs="Arial"/>
                <w:sz w:val="20"/>
                <w:szCs w:val="20"/>
              </w:rPr>
            </w:pPr>
            <w:r>
              <w:rPr>
                <w:rFonts w:ascii="Arial" w:eastAsia="Arial" w:hAnsi="Arial" w:cs="Arial"/>
                <w:sz w:val="20"/>
                <w:szCs w:val="20"/>
              </w:rPr>
              <w:t xml:space="preserve">Email: </w:t>
            </w:r>
            <w:hyperlink r:id="rId12">
              <w:r>
                <w:rPr>
                  <w:rFonts w:ascii="Arial" w:eastAsia="Arial" w:hAnsi="Arial" w:cs="Arial"/>
                  <w:b/>
                  <w:color w:val="1155CC"/>
                  <w:sz w:val="20"/>
                  <w:szCs w:val="20"/>
                  <w:u w:val="single"/>
                </w:rPr>
                <w:t>musawah@musawah.org</w:t>
              </w:r>
            </w:hyperlink>
          </w:p>
          <w:p w14:paraId="28863BEF" w14:textId="77777777" w:rsidR="00F45E68" w:rsidRDefault="00000000">
            <w:pPr>
              <w:shd w:val="clear" w:color="auto" w:fill="FFFFFF"/>
              <w:jc w:val="center"/>
              <w:rPr>
                <w:rFonts w:ascii="Arial" w:eastAsia="Arial" w:hAnsi="Arial" w:cs="Arial"/>
                <w:color w:val="444444"/>
                <w:sz w:val="20"/>
                <w:szCs w:val="20"/>
              </w:rPr>
            </w:pPr>
            <w:r>
              <w:rPr>
                <w:rFonts w:ascii="Arial" w:eastAsia="Arial" w:hAnsi="Arial" w:cs="Arial"/>
                <w:sz w:val="20"/>
                <w:szCs w:val="20"/>
              </w:rPr>
              <w:t xml:space="preserve">Web: </w:t>
            </w:r>
            <w:hyperlink r:id="rId13">
              <w:r>
                <w:rPr>
                  <w:rFonts w:ascii="Arial" w:eastAsia="Arial" w:hAnsi="Arial" w:cs="Arial"/>
                  <w:b/>
                  <w:color w:val="1155CC"/>
                  <w:sz w:val="20"/>
                  <w:szCs w:val="20"/>
                  <w:u w:val="single"/>
                </w:rPr>
                <w:t>www.musawah.org</w:t>
              </w:r>
            </w:hyperlink>
          </w:p>
        </w:tc>
      </w:tr>
    </w:tbl>
    <w:p w14:paraId="22853D24" w14:textId="77777777" w:rsidR="00F45E68" w:rsidRDefault="00F45E68">
      <w:pPr>
        <w:rPr>
          <w:rFonts w:ascii="Arial" w:eastAsia="Arial" w:hAnsi="Arial" w:cs="Arial"/>
          <w:color w:val="444444"/>
          <w:sz w:val="20"/>
          <w:szCs w:val="20"/>
        </w:rPr>
      </w:pPr>
    </w:p>
    <w:p w14:paraId="6C87619F" w14:textId="77777777" w:rsidR="00F45E68" w:rsidRDefault="00F45E68">
      <w:pPr>
        <w:rPr>
          <w:rFonts w:ascii="Arial" w:eastAsia="Arial" w:hAnsi="Arial" w:cs="Arial"/>
          <w:color w:val="444444"/>
          <w:sz w:val="20"/>
          <w:szCs w:val="20"/>
        </w:rPr>
      </w:pPr>
    </w:p>
    <w:p w14:paraId="20B8FEE9" w14:textId="77777777" w:rsidR="00F45E68" w:rsidRDefault="00000000">
      <w:pPr>
        <w:jc w:val="center"/>
        <w:rPr>
          <w:rFonts w:ascii="Arial" w:eastAsia="Arial" w:hAnsi="Arial" w:cs="Arial"/>
          <w:sz w:val="20"/>
          <w:szCs w:val="20"/>
        </w:rPr>
      </w:pPr>
      <w:r>
        <w:rPr>
          <w:rFonts w:ascii="Arial" w:eastAsia="Arial" w:hAnsi="Arial" w:cs="Arial"/>
          <w:noProof/>
          <w:sz w:val="20"/>
          <w:szCs w:val="20"/>
        </w:rPr>
        <w:drawing>
          <wp:inline distT="114300" distB="114300" distL="114300" distR="114300" wp14:anchorId="51DE6218" wp14:editId="5B661E9D">
            <wp:extent cx="1098064" cy="1201007"/>
            <wp:effectExtent l="0" t="0" r="0" b="0"/>
            <wp:docPr id="1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l="38054" r="35081"/>
                    <a:stretch>
                      <a:fillRect/>
                    </a:stretch>
                  </pic:blipFill>
                  <pic:spPr>
                    <a:xfrm>
                      <a:off x="0" y="0"/>
                      <a:ext cx="1098064" cy="1201007"/>
                    </a:xfrm>
                    <a:prstGeom prst="rect">
                      <a:avLst/>
                    </a:prstGeom>
                    <a:ln/>
                  </pic:spPr>
                </pic:pic>
              </a:graphicData>
            </a:graphic>
          </wp:inline>
        </w:drawing>
      </w:r>
    </w:p>
    <w:p w14:paraId="7417E491" w14:textId="77777777" w:rsidR="00F45E68" w:rsidRDefault="00F45E68">
      <w:pPr>
        <w:jc w:val="center"/>
        <w:rPr>
          <w:rFonts w:ascii="Arial" w:eastAsia="Arial" w:hAnsi="Arial" w:cs="Arial"/>
          <w:sz w:val="20"/>
          <w:szCs w:val="20"/>
        </w:rPr>
      </w:pPr>
    </w:p>
    <w:p w14:paraId="53A88A28" w14:textId="77777777" w:rsidR="00F45E68" w:rsidRDefault="00000000">
      <w:pPr>
        <w:jc w:val="center"/>
        <w:rPr>
          <w:rFonts w:ascii="Arial" w:eastAsia="Arial" w:hAnsi="Arial" w:cs="Arial"/>
          <w:sz w:val="20"/>
          <w:szCs w:val="20"/>
        </w:rPr>
      </w:pPr>
      <w:r>
        <w:rPr>
          <w:rFonts w:ascii="Arial" w:eastAsia="Arial" w:hAnsi="Arial" w:cs="Arial"/>
          <w:b/>
          <w:sz w:val="20"/>
          <w:szCs w:val="20"/>
        </w:rPr>
        <w:t>Global Campaign for Equality in Family Law</w:t>
      </w:r>
    </w:p>
    <w:p w14:paraId="03C90790" w14:textId="77777777" w:rsidR="00F45E68" w:rsidRDefault="00000000">
      <w:pPr>
        <w:shd w:val="clear" w:color="auto" w:fill="FFFFFF"/>
        <w:jc w:val="center"/>
        <w:rPr>
          <w:rFonts w:ascii="Arial" w:eastAsia="Arial" w:hAnsi="Arial" w:cs="Arial"/>
          <w:b/>
          <w:color w:val="444444"/>
          <w:sz w:val="20"/>
          <w:szCs w:val="20"/>
        </w:rPr>
        <w:sectPr w:rsidR="00F45E68">
          <w:footerReference w:type="even" r:id="rId15"/>
          <w:footerReference w:type="default" r:id="rId16"/>
          <w:pgSz w:w="11900" w:h="16820"/>
          <w:pgMar w:top="1267" w:right="1454" w:bottom="990" w:left="1526" w:header="360" w:footer="360" w:gutter="0"/>
          <w:pgNumType w:start="1"/>
          <w:cols w:space="720"/>
          <w:titlePg/>
        </w:sectPr>
      </w:pPr>
      <w:r>
        <w:rPr>
          <w:rFonts w:ascii="Arial" w:eastAsia="Arial" w:hAnsi="Arial" w:cs="Arial"/>
          <w:sz w:val="20"/>
          <w:szCs w:val="20"/>
        </w:rPr>
        <w:t xml:space="preserve">Web: </w:t>
      </w:r>
      <w:hyperlink r:id="rId17">
        <w:r>
          <w:rPr>
            <w:rFonts w:ascii="Arial" w:eastAsia="Arial" w:hAnsi="Arial" w:cs="Arial"/>
            <w:b/>
            <w:color w:val="1155CC"/>
            <w:sz w:val="20"/>
            <w:szCs w:val="20"/>
            <w:u w:val="single"/>
          </w:rPr>
          <w:t>www.equalfamilylaws.org</w:t>
        </w:r>
      </w:hyperlink>
      <w:r>
        <w:rPr>
          <w:rFonts w:ascii="Arial" w:eastAsia="Arial" w:hAnsi="Arial" w:cs="Arial"/>
          <w:b/>
          <w:sz w:val="20"/>
          <w:szCs w:val="20"/>
        </w:rPr>
        <w:t xml:space="preserve"> </w:t>
      </w:r>
    </w:p>
    <w:p w14:paraId="5233C96C" w14:textId="77777777" w:rsidR="00F45E68" w:rsidRDefault="00000000">
      <w:pPr>
        <w:pBdr>
          <w:top w:val="nil"/>
          <w:left w:val="nil"/>
          <w:bottom w:val="nil"/>
          <w:right w:val="nil"/>
          <w:between w:val="nil"/>
        </w:pBdr>
        <w:shd w:val="clear" w:color="auto" w:fill="BD0014"/>
        <w:tabs>
          <w:tab w:val="left" w:pos="270"/>
          <w:tab w:val="left" w:pos="630"/>
        </w:tabs>
        <w:spacing w:before="40" w:after="40"/>
        <w:ind w:left="547" w:hanging="547"/>
        <w:rPr>
          <w:rFonts w:ascii="Arial" w:eastAsia="Arial" w:hAnsi="Arial" w:cs="Arial"/>
          <w:b/>
          <w:smallCaps/>
          <w:color w:val="FFFFFF"/>
          <w:sz w:val="30"/>
          <w:szCs w:val="30"/>
        </w:rPr>
      </w:pPr>
      <w:bookmarkStart w:id="0" w:name="_heading=h.32mzr2lhszaw" w:colFirst="0" w:colLast="0"/>
      <w:bookmarkEnd w:id="0"/>
      <w:r>
        <w:rPr>
          <w:rFonts w:ascii="Arial" w:eastAsia="Arial" w:hAnsi="Arial" w:cs="Arial"/>
          <w:b/>
          <w:smallCaps/>
          <w:color w:val="FFFFFF"/>
          <w:sz w:val="30"/>
          <w:szCs w:val="30"/>
        </w:rPr>
        <w:lastRenderedPageBreak/>
        <w:t>Table of Contents</w:t>
      </w:r>
    </w:p>
    <w:p w14:paraId="27C31139" w14:textId="77777777" w:rsidR="00F45E68" w:rsidRDefault="00F45E68">
      <w:pPr>
        <w:rPr>
          <w:rFonts w:ascii="Arial" w:eastAsia="Arial" w:hAnsi="Arial" w:cs="Arial"/>
          <w:color w:val="FFFFFF"/>
          <w:sz w:val="28"/>
          <w:szCs w:val="28"/>
        </w:rPr>
      </w:pPr>
    </w:p>
    <w:sdt>
      <w:sdtPr>
        <w:id w:val="1623270661"/>
        <w:docPartObj>
          <w:docPartGallery w:val="Table of Contents"/>
          <w:docPartUnique/>
        </w:docPartObj>
      </w:sdtPr>
      <w:sdtEndPr>
        <w:rPr>
          <w:rFonts w:ascii="Times New Roman" w:hAnsi="Times New Roman" w:cs="Times New Roman"/>
          <w:b w:val="0"/>
          <w:bCs w:val="0"/>
          <w:i w:val="0"/>
          <w:iCs w:val="0"/>
          <w:szCs w:val="24"/>
        </w:rPr>
      </w:sdtEndPr>
      <w:sdtContent>
        <w:p w14:paraId="01787B26" w14:textId="77777777" w:rsidR="00F61CF7" w:rsidRDefault="00000000">
          <w:pPr>
            <w:pStyle w:val="TOC1"/>
            <w:tabs>
              <w:tab w:val="right" w:leader="dot" w:pos="8910"/>
            </w:tabs>
            <w:rPr>
              <w:rFonts w:eastAsiaTheme="minorEastAsia" w:cstheme="minorBidi"/>
              <w:b w:val="0"/>
              <w:bCs w:val="0"/>
              <w:i w:val="0"/>
              <w:iCs w:val="0"/>
              <w:noProof/>
              <w:kern w:val="2"/>
              <w:szCs w:val="24"/>
              <w:lang w:val="en-PK"/>
              <w14:ligatures w14:val="standardContextual"/>
            </w:rPr>
          </w:pPr>
          <w:r>
            <w:fldChar w:fldCharType="begin"/>
          </w:r>
          <w:r>
            <w:instrText xml:space="preserve"> TOC \h \u \z \t "Heading 1,1,Heading 2,2,Heading 3,3,"</w:instrText>
          </w:r>
          <w:r>
            <w:fldChar w:fldCharType="separate"/>
          </w:r>
          <w:hyperlink w:anchor="_Toc210037046" w:history="1">
            <w:r w:rsidR="00F61CF7" w:rsidRPr="00DA130F">
              <w:rPr>
                <w:rStyle w:val="Hyperlink"/>
                <w:rFonts w:eastAsia="Corbel"/>
                <w:noProof/>
              </w:rPr>
              <w:t>A. Introduction</w:t>
            </w:r>
            <w:r w:rsidR="00F61CF7">
              <w:rPr>
                <w:noProof/>
                <w:webHidden/>
              </w:rPr>
              <w:tab/>
            </w:r>
            <w:r w:rsidR="00F61CF7">
              <w:rPr>
                <w:noProof/>
                <w:webHidden/>
              </w:rPr>
              <w:fldChar w:fldCharType="begin"/>
            </w:r>
            <w:r w:rsidR="00F61CF7">
              <w:rPr>
                <w:noProof/>
                <w:webHidden/>
              </w:rPr>
              <w:instrText xml:space="preserve"> PAGEREF _Toc210037046 \h </w:instrText>
            </w:r>
            <w:r w:rsidR="00F61CF7">
              <w:rPr>
                <w:noProof/>
                <w:webHidden/>
              </w:rPr>
            </w:r>
            <w:r w:rsidR="00F61CF7">
              <w:rPr>
                <w:noProof/>
                <w:webHidden/>
              </w:rPr>
              <w:fldChar w:fldCharType="separate"/>
            </w:r>
            <w:r w:rsidR="00F61CF7">
              <w:rPr>
                <w:noProof/>
                <w:webHidden/>
              </w:rPr>
              <w:t>3</w:t>
            </w:r>
            <w:r w:rsidR="00F61CF7">
              <w:rPr>
                <w:noProof/>
                <w:webHidden/>
              </w:rPr>
              <w:fldChar w:fldCharType="end"/>
            </w:r>
          </w:hyperlink>
        </w:p>
        <w:p w14:paraId="06190034" w14:textId="77777777" w:rsidR="00F61CF7" w:rsidRDefault="00F61CF7">
          <w:pPr>
            <w:pStyle w:val="TOC1"/>
            <w:tabs>
              <w:tab w:val="right" w:leader="dot" w:pos="8910"/>
            </w:tabs>
            <w:rPr>
              <w:rFonts w:eastAsiaTheme="minorEastAsia" w:cstheme="minorBidi"/>
              <w:b w:val="0"/>
              <w:bCs w:val="0"/>
              <w:i w:val="0"/>
              <w:iCs w:val="0"/>
              <w:noProof/>
              <w:kern w:val="2"/>
              <w:szCs w:val="24"/>
              <w:lang w:val="en-PK"/>
              <w14:ligatures w14:val="standardContextual"/>
            </w:rPr>
          </w:pPr>
          <w:hyperlink w:anchor="_Toc210037047" w:history="1">
            <w:r w:rsidRPr="00DA130F">
              <w:rPr>
                <w:rStyle w:val="Hyperlink"/>
                <w:rFonts w:eastAsia="Corbel"/>
                <w:noProof/>
              </w:rPr>
              <w:t>B. Legal Framework and India’s International Obligations</w:t>
            </w:r>
            <w:r>
              <w:rPr>
                <w:noProof/>
                <w:webHidden/>
              </w:rPr>
              <w:tab/>
            </w:r>
            <w:r>
              <w:rPr>
                <w:noProof/>
                <w:webHidden/>
              </w:rPr>
              <w:fldChar w:fldCharType="begin"/>
            </w:r>
            <w:r>
              <w:rPr>
                <w:noProof/>
                <w:webHidden/>
              </w:rPr>
              <w:instrText xml:space="preserve"> PAGEREF _Toc210037047 \h </w:instrText>
            </w:r>
            <w:r>
              <w:rPr>
                <w:noProof/>
                <w:webHidden/>
              </w:rPr>
            </w:r>
            <w:r>
              <w:rPr>
                <w:noProof/>
                <w:webHidden/>
              </w:rPr>
              <w:fldChar w:fldCharType="separate"/>
            </w:r>
            <w:r>
              <w:rPr>
                <w:noProof/>
                <w:webHidden/>
              </w:rPr>
              <w:t>3</w:t>
            </w:r>
            <w:r>
              <w:rPr>
                <w:noProof/>
                <w:webHidden/>
              </w:rPr>
              <w:fldChar w:fldCharType="end"/>
            </w:r>
          </w:hyperlink>
        </w:p>
        <w:p w14:paraId="0829827E" w14:textId="77777777" w:rsidR="00F61CF7" w:rsidRDefault="00F61CF7">
          <w:pPr>
            <w:pStyle w:val="TOC1"/>
            <w:tabs>
              <w:tab w:val="right" w:leader="dot" w:pos="8910"/>
            </w:tabs>
            <w:rPr>
              <w:rFonts w:eastAsiaTheme="minorEastAsia" w:cstheme="minorBidi"/>
              <w:b w:val="0"/>
              <w:bCs w:val="0"/>
              <w:i w:val="0"/>
              <w:iCs w:val="0"/>
              <w:noProof/>
              <w:kern w:val="2"/>
              <w:szCs w:val="24"/>
              <w:lang w:val="en-PK"/>
              <w14:ligatures w14:val="standardContextual"/>
            </w:rPr>
          </w:pPr>
          <w:hyperlink w:anchor="_Toc210037048" w:history="1">
            <w:r w:rsidRPr="00DA130F">
              <w:rPr>
                <w:rStyle w:val="Hyperlink"/>
                <w:rFonts w:eastAsia="Corbel"/>
                <w:noProof/>
              </w:rPr>
              <w:t>C. Key Issues</w:t>
            </w:r>
            <w:r>
              <w:rPr>
                <w:noProof/>
                <w:webHidden/>
              </w:rPr>
              <w:tab/>
            </w:r>
            <w:r>
              <w:rPr>
                <w:noProof/>
                <w:webHidden/>
              </w:rPr>
              <w:fldChar w:fldCharType="begin"/>
            </w:r>
            <w:r>
              <w:rPr>
                <w:noProof/>
                <w:webHidden/>
              </w:rPr>
              <w:instrText xml:space="preserve"> PAGEREF _Toc210037048 \h </w:instrText>
            </w:r>
            <w:r>
              <w:rPr>
                <w:noProof/>
                <w:webHidden/>
              </w:rPr>
            </w:r>
            <w:r>
              <w:rPr>
                <w:noProof/>
                <w:webHidden/>
              </w:rPr>
              <w:fldChar w:fldCharType="separate"/>
            </w:r>
            <w:r>
              <w:rPr>
                <w:noProof/>
                <w:webHidden/>
              </w:rPr>
              <w:t>3</w:t>
            </w:r>
            <w:r>
              <w:rPr>
                <w:noProof/>
                <w:webHidden/>
              </w:rPr>
              <w:fldChar w:fldCharType="end"/>
            </w:r>
          </w:hyperlink>
        </w:p>
        <w:p w14:paraId="3B7FD236" w14:textId="77777777" w:rsidR="00F61CF7" w:rsidRDefault="00F61CF7">
          <w:pPr>
            <w:pStyle w:val="TOC2"/>
            <w:tabs>
              <w:tab w:val="left" w:pos="720"/>
              <w:tab w:val="right" w:leader="dot" w:pos="8910"/>
            </w:tabs>
            <w:rPr>
              <w:rFonts w:eastAsiaTheme="minorEastAsia" w:cstheme="minorBidi"/>
              <w:b w:val="0"/>
              <w:bCs w:val="0"/>
              <w:noProof/>
              <w:kern w:val="2"/>
              <w:sz w:val="24"/>
              <w:szCs w:val="24"/>
              <w:lang w:val="en-PK"/>
              <w14:ligatures w14:val="standardContextual"/>
            </w:rPr>
          </w:pPr>
          <w:hyperlink w:anchor="_Toc210037049" w:history="1">
            <w:r w:rsidRPr="00DA130F">
              <w:rPr>
                <w:rStyle w:val="Hyperlink"/>
                <w:rFonts w:eastAsia="Corbel"/>
                <w:noProof/>
              </w:rPr>
              <w:t>1.</w:t>
            </w:r>
            <w:r>
              <w:rPr>
                <w:rFonts w:eastAsiaTheme="minorEastAsia" w:cstheme="minorBidi"/>
                <w:b w:val="0"/>
                <w:bCs w:val="0"/>
                <w:noProof/>
                <w:kern w:val="2"/>
                <w:sz w:val="24"/>
                <w:szCs w:val="24"/>
                <w:lang w:val="en-PK"/>
                <w14:ligatures w14:val="standardContextual"/>
              </w:rPr>
              <w:tab/>
            </w:r>
            <w:r w:rsidRPr="00DA130F">
              <w:rPr>
                <w:rStyle w:val="Hyperlink"/>
                <w:rFonts w:eastAsia="Corbel"/>
                <w:noProof/>
              </w:rPr>
              <w:t>Comprehensive Codification of Muslim Family Law</w:t>
            </w:r>
            <w:r>
              <w:rPr>
                <w:noProof/>
                <w:webHidden/>
              </w:rPr>
              <w:tab/>
            </w:r>
            <w:r>
              <w:rPr>
                <w:noProof/>
                <w:webHidden/>
              </w:rPr>
              <w:fldChar w:fldCharType="begin"/>
            </w:r>
            <w:r>
              <w:rPr>
                <w:noProof/>
                <w:webHidden/>
              </w:rPr>
              <w:instrText xml:space="preserve"> PAGEREF _Toc210037049 \h </w:instrText>
            </w:r>
            <w:r>
              <w:rPr>
                <w:noProof/>
                <w:webHidden/>
              </w:rPr>
            </w:r>
            <w:r>
              <w:rPr>
                <w:noProof/>
                <w:webHidden/>
              </w:rPr>
              <w:fldChar w:fldCharType="separate"/>
            </w:r>
            <w:r>
              <w:rPr>
                <w:noProof/>
                <w:webHidden/>
              </w:rPr>
              <w:t>3</w:t>
            </w:r>
            <w:r>
              <w:rPr>
                <w:noProof/>
                <w:webHidden/>
              </w:rPr>
              <w:fldChar w:fldCharType="end"/>
            </w:r>
          </w:hyperlink>
        </w:p>
        <w:p w14:paraId="31B026D1" w14:textId="77777777" w:rsidR="00F61CF7" w:rsidRDefault="00F61CF7">
          <w:pPr>
            <w:pStyle w:val="TOC2"/>
            <w:tabs>
              <w:tab w:val="left" w:pos="720"/>
              <w:tab w:val="right" w:leader="dot" w:pos="8910"/>
            </w:tabs>
            <w:rPr>
              <w:rFonts w:eastAsiaTheme="minorEastAsia" w:cstheme="minorBidi"/>
              <w:b w:val="0"/>
              <w:bCs w:val="0"/>
              <w:noProof/>
              <w:kern w:val="2"/>
              <w:sz w:val="24"/>
              <w:szCs w:val="24"/>
              <w:lang w:val="en-PK"/>
              <w14:ligatures w14:val="standardContextual"/>
            </w:rPr>
          </w:pPr>
          <w:hyperlink w:anchor="_Toc210037050" w:history="1">
            <w:r w:rsidRPr="00DA130F">
              <w:rPr>
                <w:rStyle w:val="Hyperlink"/>
                <w:rFonts w:eastAsia="Corbel"/>
                <w:noProof/>
              </w:rPr>
              <w:t>2.</w:t>
            </w:r>
            <w:r>
              <w:rPr>
                <w:rFonts w:eastAsiaTheme="minorEastAsia" w:cstheme="minorBidi"/>
                <w:b w:val="0"/>
                <w:bCs w:val="0"/>
                <w:noProof/>
                <w:kern w:val="2"/>
                <w:sz w:val="24"/>
                <w:szCs w:val="24"/>
                <w:lang w:val="en-PK"/>
                <w14:ligatures w14:val="standardContextual"/>
              </w:rPr>
              <w:tab/>
            </w:r>
            <w:r w:rsidRPr="00DA130F">
              <w:rPr>
                <w:rStyle w:val="Hyperlink"/>
                <w:rFonts w:eastAsia="Corbel"/>
                <w:noProof/>
              </w:rPr>
              <w:t>Child Marriage</w:t>
            </w:r>
            <w:r>
              <w:rPr>
                <w:noProof/>
                <w:webHidden/>
              </w:rPr>
              <w:tab/>
            </w:r>
            <w:r>
              <w:rPr>
                <w:noProof/>
                <w:webHidden/>
              </w:rPr>
              <w:fldChar w:fldCharType="begin"/>
            </w:r>
            <w:r>
              <w:rPr>
                <w:noProof/>
                <w:webHidden/>
              </w:rPr>
              <w:instrText xml:space="preserve"> PAGEREF _Toc210037050 \h </w:instrText>
            </w:r>
            <w:r>
              <w:rPr>
                <w:noProof/>
                <w:webHidden/>
              </w:rPr>
            </w:r>
            <w:r>
              <w:rPr>
                <w:noProof/>
                <w:webHidden/>
              </w:rPr>
              <w:fldChar w:fldCharType="separate"/>
            </w:r>
            <w:r>
              <w:rPr>
                <w:noProof/>
                <w:webHidden/>
              </w:rPr>
              <w:t>4</w:t>
            </w:r>
            <w:r>
              <w:rPr>
                <w:noProof/>
                <w:webHidden/>
              </w:rPr>
              <w:fldChar w:fldCharType="end"/>
            </w:r>
          </w:hyperlink>
        </w:p>
        <w:p w14:paraId="4DCDDCD8" w14:textId="77777777" w:rsidR="00F61CF7" w:rsidRDefault="00F61CF7">
          <w:pPr>
            <w:pStyle w:val="TOC2"/>
            <w:tabs>
              <w:tab w:val="left" w:pos="720"/>
              <w:tab w:val="right" w:leader="dot" w:pos="8910"/>
            </w:tabs>
            <w:rPr>
              <w:rFonts w:eastAsiaTheme="minorEastAsia" w:cstheme="minorBidi"/>
              <w:b w:val="0"/>
              <w:bCs w:val="0"/>
              <w:noProof/>
              <w:kern w:val="2"/>
              <w:sz w:val="24"/>
              <w:szCs w:val="24"/>
              <w:lang w:val="en-PK"/>
              <w14:ligatures w14:val="standardContextual"/>
            </w:rPr>
          </w:pPr>
          <w:hyperlink w:anchor="_Toc210037051" w:history="1">
            <w:r w:rsidRPr="00DA130F">
              <w:rPr>
                <w:rStyle w:val="Hyperlink"/>
                <w:rFonts w:eastAsia="Corbel"/>
                <w:noProof/>
              </w:rPr>
              <w:t>3.</w:t>
            </w:r>
            <w:r>
              <w:rPr>
                <w:rFonts w:eastAsiaTheme="minorEastAsia" w:cstheme="minorBidi"/>
                <w:b w:val="0"/>
                <w:bCs w:val="0"/>
                <w:noProof/>
                <w:kern w:val="2"/>
                <w:sz w:val="24"/>
                <w:szCs w:val="24"/>
                <w:lang w:val="en-PK"/>
                <w14:ligatures w14:val="standardContextual"/>
              </w:rPr>
              <w:tab/>
            </w:r>
            <w:r w:rsidRPr="00DA130F">
              <w:rPr>
                <w:rStyle w:val="Hyperlink"/>
                <w:rFonts w:eastAsia="Corbel"/>
                <w:noProof/>
              </w:rPr>
              <w:t>Polygamy</w:t>
            </w:r>
            <w:r>
              <w:rPr>
                <w:noProof/>
                <w:webHidden/>
              </w:rPr>
              <w:tab/>
            </w:r>
            <w:r>
              <w:rPr>
                <w:noProof/>
                <w:webHidden/>
              </w:rPr>
              <w:fldChar w:fldCharType="begin"/>
            </w:r>
            <w:r>
              <w:rPr>
                <w:noProof/>
                <w:webHidden/>
              </w:rPr>
              <w:instrText xml:space="preserve"> PAGEREF _Toc210037051 \h </w:instrText>
            </w:r>
            <w:r>
              <w:rPr>
                <w:noProof/>
                <w:webHidden/>
              </w:rPr>
            </w:r>
            <w:r>
              <w:rPr>
                <w:noProof/>
                <w:webHidden/>
              </w:rPr>
              <w:fldChar w:fldCharType="separate"/>
            </w:r>
            <w:r>
              <w:rPr>
                <w:noProof/>
                <w:webHidden/>
              </w:rPr>
              <w:t>5</w:t>
            </w:r>
            <w:r>
              <w:rPr>
                <w:noProof/>
                <w:webHidden/>
              </w:rPr>
              <w:fldChar w:fldCharType="end"/>
            </w:r>
          </w:hyperlink>
        </w:p>
        <w:p w14:paraId="6D9E17CB" w14:textId="77777777" w:rsidR="00F61CF7" w:rsidRDefault="00F61CF7">
          <w:pPr>
            <w:pStyle w:val="TOC2"/>
            <w:tabs>
              <w:tab w:val="left" w:pos="720"/>
              <w:tab w:val="right" w:leader="dot" w:pos="8910"/>
            </w:tabs>
            <w:rPr>
              <w:rFonts w:eastAsiaTheme="minorEastAsia" w:cstheme="minorBidi"/>
              <w:b w:val="0"/>
              <w:bCs w:val="0"/>
              <w:noProof/>
              <w:kern w:val="2"/>
              <w:sz w:val="24"/>
              <w:szCs w:val="24"/>
              <w:lang w:val="en-PK"/>
              <w14:ligatures w14:val="standardContextual"/>
            </w:rPr>
          </w:pPr>
          <w:hyperlink w:anchor="_Toc210037052" w:history="1">
            <w:r w:rsidRPr="00DA130F">
              <w:rPr>
                <w:rStyle w:val="Hyperlink"/>
                <w:rFonts w:eastAsia="Corbel"/>
                <w:noProof/>
              </w:rPr>
              <w:t>4.</w:t>
            </w:r>
            <w:r>
              <w:rPr>
                <w:rFonts w:eastAsiaTheme="minorEastAsia" w:cstheme="minorBidi"/>
                <w:b w:val="0"/>
                <w:bCs w:val="0"/>
                <w:noProof/>
                <w:kern w:val="2"/>
                <w:sz w:val="24"/>
                <w:szCs w:val="24"/>
                <w:lang w:val="en-PK"/>
                <w14:ligatures w14:val="standardContextual"/>
              </w:rPr>
              <w:tab/>
            </w:r>
            <w:r w:rsidRPr="00DA130F">
              <w:rPr>
                <w:rStyle w:val="Hyperlink"/>
                <w:rFonts w:eastAsia="Corbel"/>
                <w:noProof/>
              </w:rPr>
              <w:t>Financial Security during and after Marriage</w:t>
            </w:r>
            <w:r>
              <w:rPr>
                <w:noProof/>
                <w:webHidden/>
              </w:rPr>
              <w:tab/>
            </w:r>
            <w:r>
              <w:rPr>
                <w:noProof/>
                <w:webHidden/>
              </w:rPr>
              <w:fldChar w:fldCharType="begin"/>
            </w:r>
            <w:r>
              <w:rPr>
                <w:noProof/>
                <w:webHidden/>
              </w:rPr>
              <w:instrText xml:space="preserve"> PAGEREF _Toc210037052 \h </w:instrText>
            </w:r>
            <w:r>
              <w:rPr>
                <w:noProof/>
                <w:webHidden/>
              </w:rPr>
            </w:r>
            <w:r>
              <w:rPr>
                <w:noProof/>
                <w:webHidden/>
              </w:rPr>
              <w:fldChar w:fldCharType="separate"/>
            </w:r>
            <w:r>
              <w:rPr>
                <w:noProof/>
                <w:webHidden/>
              </w:rPr>
              <w:t>5</w:t>
            </w:r>
            <w:r>
              <w:rPr>
                <w:noProof/>
                <w:webHidden/>
              </w:rPr>
              <w:fldChar w:fldCharType="end"/>
            </w:r>
          </w:hyperlink>
        </w:p>
        <w:p w14:paraId="6503B1F7" w14:textId="77777777" w:rsidR="00F61CF7" w:rsidRDefault="00F61CF7">
          <w:pPr>
            <w:pStyle w:val="TOC2"/>
            <w:tabs>
              <w:tab w:val="left" w:pos="720"/>
              <w:tab w:val="right" w:leader="dot" w:pos="8910"/>
            </w:tabs>
            <w:rPr>
              <w:rFonts w:eastAsiaTheme="minorEastAsia" w:cstheme="minorBidi"/>
              <w:b w:val="0"/>
              <w:bCs w:val="0"/>
              <w:noProof/>
              <w:kern w:val="2"/>
              <w:sz w:val="24"/>
              <w:szCs w:val="24"/>
              <w:lang w:val="en-PK"/>
              <w14:ligatures w14:val="standardContextual"/>
            </w:rPr>
          </w:pPr>
          <w:hyperlink w:anchor="_Toc210037053" w:history="1">
            <w:r w:rsidRPr="00DA130F">
              <w:rPr>
                <w:rStyle w:val="Hyperlink"/>
                <w:rFonts w:eastAsia="Corbel"/>
                <w:noProof/>
              </w:rPr>
              <w:t>5.</w:t>
            </w:r>
            <w:r>
              <w:rPr>
                <w:rFonts w:eastAsiaTheme="minorEastAsia" w:cstheme="minorBidi"/>
                <w:b w:val="0"/>
                <w:bCs w:val="0"/>
                <w:noProof/>
                <w:kern w:val="2"/>
                <w:sz w:val="24"/>
                <w:szCs w:val="24"/>
                <w:lang w:val="en-PK"/>
                <w14:ligatures w14:val="standardContextual"/>
              </w:rPr>
              <w:tab/>
            </w:r>
            <w:r w:rsidRPr="00DA130F">
              <w:rPr>
                <w:rStyle w:val="Hyperlink"/>
                <w:rFonts w:eastAsia="Corbel"/>
                <w:noProof/>
              </w:rPr>
              <w:t>Marriage Registration</w:t>
            </w:r>
            <w:r>
              <w:rPr>
                <w:noProof/>
                <w:webHidden/>
              </w:rPr>
              <w:tab/>
            </w:r>
            <w:r>
              <w:rPr>
                <w:noProof/>
                <w:webHidden/>
              </w:rPr>
              <w:fldChar w:fldCharType="begin"/>
            </w:r>
            <w:r>
              <w:rPr>
                <w:noProof/>
                <w:webHidden/>
              </w:rPr>
              <w:instrText xml:space="preserve"> PAGEREF _Toc210037053 \h </w:instrText>
            </w:r>
            <w:r>
              <w:rPr>
                <w:noProof/>
                <w:webHidden/>
              </w:rPr>
            </w:r>
            <w:r>
              <w:rPr>
                <w:noProof/>
                <w:webHidden/>
              </w:rPr>
              <w:fldChar w:fldCharType="separate"/>
            </w:r>
            <w:r>
              <w:rPr>
                <w:noProof/>
                <w:webHidden/>
              </w:rPr>
              <w:t>6</w:t>
            </w:r>
            <w:r>
              <w:rPr>
                <w:noProof/>
                <w:webHidden/>
              </w:rPr>
              <w:fldChar w:fldCharType="end"/>
            </w:r>
          </w:hyperlink>
        </w:p>
        <w:p w14:paraId="59CF4E3C" w14:textId="77777777" w:rsidR="00F61CF7" w:rsidRDefault="00F61CF7">
          <w:pPr>
            <w:pStyle w:val="TOC2"/>
            <w:tabs>
              <w:tab w:val="left" w:pos="720"/>
              <w:tab w:val="right" w:leader="dot" w:pos="8910"/>
            </w:tabs>
            <w:rPr>
              <w:rFonts w:eastAsiaTheme="minorEastAsia" w:cstheme="minorBidi"/>
              <w:b w:val="0"/>
              <w:bCs w:val="0"/>
              <w:noProof/>
              <w:kern w:val="2"/>
              <w:sz w:val="24"/>
              <w:szCs w:val="24"/>
              <w:lang w:val="en-PK"/>
              <w14:ligatures w14:val="standardContextual"/>
            </w:rPr>
          </w:pPr>
          <w:hyperlink w:anchor="_Toc210037054" w:history="1">
            <w:r w:rsidRPr="00DA130F">
              <w:rPr>
                <w:rStyle w:val="Hyperlink"/>
                <w:rFonts w:eastAsia="Corbel"/>
                <w:noProof/>
              </w:rPr>
              <w:t>6.</w:t>
            </w:r>
            <w:r>
              <w:rPr>
                <w:rFonts w:eastAsiaTheme="minorEastAsia" w:cstheme="minorBidi"/>
                <w:b w:val="0"/>
                <w:bCs w:val="0"/>
                <w:noProof/>
                <w:kern w:val="2"/>
                <w:sz w:val="24"/>
                <w:szCs w:val="24"/>
                <w:lang w:val="en-PK"/>
                <w14:ligatures w14:val="standardContextual"/>
              </w:rPr>
              <w:tab/>
            </w:r>
            <w:r w:rsidRPr="00DA130F">
              <w:rPr>
                <w:rStyle w:val="Hyperlink"/>
                <w:rFonts w:eastAsia="Corbel"/>
                <w:noProof/>
              </w:rPr>
              <w:t>Divorce</w:t>
            </w:r>
            <w:r>
              <w:rPr>
                <w:noProof/>
                <w:webHidden/>
              </w:rPr>
              <w:tab/>
            </w:r>
            <w:r>
              <w:rPr>
                <w:noProof/>
                <w:webHidden/>
              </w:rPr>
              <w:fldChar w:fldCharType="begin"/>
            </w:r>
            <w:r>
              <w:rPr>
                <w:noProof/>
                <w:webHidden/>
              </w:rPr>
              <w:instrText xml:space="preserve"> PAGEREF _Toc210037054 \h </w:instrText>
            </w:r>
            <w:r>
              <w:rPr>
                <w:noProof/>
                <w:webHidden/>
              </w:rPr>
            </w:r>
            <w:r>
              <w:rPr>
                <w:noProof/>
                <w:webHidden/>
              </w:rPr>
              <w:fldChar w:fldCharType="separate"/>
            </w:r>
            <w:r>
              <w:rPr>
                <w:noProof/>
                <w:webHidden/>
              </w:rPr>
              <w:t>7</w:t>
            </w:r>
            <w:r>
              <w:rPr>
                <w:noProof/>
                <w:webHidden/>
              </w:rPr>
              <w:fldChar w:fldCharType="end"/>
            </w:r>
          </w:hyperlink>
        </w:p>
        <w:p w14:paraId="00F93728" w14:textId="77777777" w:rsidR="00F61CF7" w:rsidRDefault="00F61CF7">
          <w:pPr>
            <w:pStyle w:val="TOC2"/>
            <w:tabs>
              <w:tab w:val="left" w:pos="720"/>
              <w:tab w:val="right" w:leader="dot" w:pos="8910"/>
            </w:tabs>
            <w:rPr>
              <w:rFonts w:eastAsiaTheme="minorEastAsia" w:cstheme="minorBidi"/>
              <w:b w:val="0"/>
              <w:bCs w:val="0"/>
              <w:noProof/>
              <w:kern w:val="2"/>
              <w:sz w:val="24"/>
              <w:szCs w:val="24"/>
              <w:lang w:val="en-PK"/>
              <w14:ligatures w14:val="standardContextual"/>
            </w:rPr>
          </w:pPr>
          <w:hyperlink w:anchor="_Toc210037055" w:history="1">
            <w:r w:rsidRPr="00DA130F">
              <w:rPr>
                <w:rStyle w:val="Hyperlink"/>
                <w:rFonts w:eastAsia="Corbel"/>
                <w:noProof/>
              </w:rPr>
              <w:t>7.</w:t>
            </w:r>
            <w:r>
              <w:rPr>
                <w:rFonts w:eastAsiaTheme="minorEastAsia" w:cstheme="minorBidi"/>
                <w:b w:val="0"/>
                <w:bCs w:val="0"/>
                <w:noProof/>
                <w:kern w:val="2"/>
                <w:sz w:val="24"/>
                <w:szCs w:val="24"/>
                <w:lang w:val="en-PK"/>
                <w14:ligatures w14:val="standardContextual"/>
              </w:rPr>
              <w:tab/>
            </w:r>
            <w:r w:rsidRPr="00DA130F">
              <w:rPr>
                <w:rStyle w:val="Hyperlink"/>
                <w:rFonts w:eastAsia="Corbel"/>
                <w:noProof/>
              </w:rPr>
              <w:t>Custody and Guardianship of Children</w:t>
            </w:r>
            <w:r>
              <w:rPr>
                <w:noProof/>
                <w:webHidden/>
              </w:rPr>
              <w:tab/>
            </w:r>
            <w:r>
              <w:rPr>
                <w:noProof/>
                <w:webHidden/>
              </w:rPr>
              <w:fldChar w:fldCharType="begin"/>
            </w:r>
            <w:r>
              <w:rPr>
                <w:noProof/>
                <w:webHidden/>
              </w:rPr>
              <w:instrText xml:space="preserve"> PAGEREF _Toc210037055 \h </w:instrText>
            </w:r>
            <w:r>
              <w:rPr>
                <w:noProof/>
                <w:webHidden/>
              </w:rPr>
            </w:r>
            <w:r>
              <w:rPr>
                <w:noProof/>
                <w:webHidden/>
              </w:rPr>
              <w:fldChar w:fldCharType="separate"/>
            </w:r>
            <w:r>
              <w:rPr>
                <w:noProof/>
                <w:webHidden/>
              </w:rPr>
              <w:t>7</w:t>
            </w:r>
            <w:r>
              <w:rPr>
                <w:noProof/>
                <w:webHidden/>
              </w:rPr>
              <w:fldChar w:fldCharType="end"/>
            </w:r>
          </w:hyperlink>
        </w:p>
        <w:p w14:paraId="73C5A776" w14:textId="77777777" w:rsidR="00F61CF7" w:rsidRDefault="00F61CF7">
          <w:pPr>
            <w:pStyle w:val="TOC2"/>
            <w:tabs>
              <w:tab w:val="left" w:pos="720"/>
              <w:tab w:val="right" w:leader="dot" w:pos="8910"/>
            </w:tabs>
            <w:rPr>
              <w:rFonts w:eastAsiaTheme="minorEastAsia" w:cstheme="minorBidi"/>
              <w:b w:val="0"/>
              <w:bCs w:val="0"/>
              <w:noProof/>
              <w:kern w:val="2"/>
              <w:sz w:val="24"/>
              <w:szCs w:val="24"/>
              <w:lang w:val="en-PK"/>
              <w14:ligatures w14:val="standardContextual"/>
            </w:rPr>
          </w:pPr>
          <w:hyperlink w:anchor="_Toc210037056" w:history="1">
            <w:r w:rsidRPr="00DA130F">
              <w:rPr>
                <w:rStyle w:val="Hyperlink"/>
                <w:rFonts w:eastAsia="Corbel"/>
                <w:noProof/>
              </w:rPr>
              <w:t>8.</w:t>
            </w:r>
            <w:r>
              <w:rPr>
                <w:rFonts w:eastAsiaTheme="minorEastAsia" w:cstheme="minorBidi"/>
                <w:b w:val="0"/>
                <w:bCs w:val="0"/>
                <w:noProof/>
                <w:kern w:val="2"/>
                <w:sz w:val="24"/>
                <w:szCs w:val="24"/>
                <w:lang w:val="en-PK"/>
                <w14:ligatures w14:val="standardContextual"/>
              </w:rPr>
              <w:tab/>
            </w:r>
            <w:r w:rsidRPr="00DA130F">
              <w:rPr>
                <w:rStyle w:val="Hyperlink"/>
                <w:rFonts w:eastAsia="Corbel"/>
                <w:noProof/>
              </w:rPr>
              <w:t>Adoption</w:t>
            </w:r>
            <w:r>
              <w:rPr>
                <w:noProof/>
                <w:webHidden/>
              </w:rPr>
              <w:tab/>
            </w:r>
            <w:r>
              <w:rPr>
                <w:noProof/>
                <w:webHidden/>
              </w:rPr>
              <w:fldChar w:fldCharType="begin"/>
            </w:r>
            <w:r>
              <w:rPr>
                <w:noProof/>
                <w:webHidden/>
              </w:rPr>
              <w:instrText xml:space="preserve"> PAGEREF _Toc210037056 \h </w:instrText>
            </w:r>
            <w:r>
              <w:rPr>
                <w:noProof/>
                <w:webHidden/>
              </w:rPr>
            </w:r>
            <w:r>
              <w:rPr>
                <w:noProof/>
                <w:webHidden/>
              </w:rPr>
              <w:fldChar w:fldCharType="separate"/>
            </w:r>
            <w:r>
              <w:rPr>
                <w:noProof/>
                <w:webHidden/>
              </w:rPr>
              <w:t>8</w:t>
            </w:r>
            <w:r>
              <w:rPr>
                <w:noProof/>
                <w:webHidden/>
              </w:rPr>
              <w:fldChar w:fldCharType="end"/>
            </w:r>
          </w:hyperlink>
        </w:p>
        <w:p w14:paraId="00B640F9" w14:textId="77777777" w:rsidR="00F61CF7" w:rsidRDefault="00F61CF7">
          <w:pPr>
            <w:pStyle w:val="TOC2"/>
            <w:tabs>
              <w:tab w:val="left" w:pos="720"/>
              <w:tab w:val="right" w:leader="dot" w:pos="8910"/>
            </w:tabs>
            <w:rPr>
              <w:rFonts w:eastAsiaTheme="minorEastAsia" w:cstheme="minorBidi"/>
              <w:b w:val="0"/>
              <w:bCs w:val="0"/>
              <w:noProof/>
              <w:kern w:val="2"/>
              <w:sz w:val="24"/>
              <w:szCs w:val="24"/>
              <w:lang w:val="en-PK"/>
              <w14:ligatures w14:val="standardContextual"/>
            </w:rPr>
          </w:pPr>
          <w:hyperlink w:anchor="_Toc210037057" w:history="1">
            <w:r w:rsidRPr="00DA130F">
              <w:rPr>
                <w:rStyle w:val="Hyperlink"/>
                <w:rFonts w:eastAsia="Corbel"/>
                <w:noProof/>
              </w:rPr>
              <w:t>9.</w:t>
            </w:r>
            <w:r>
              <w:rPr>
                <w:rFonts w:eastAsiaTheme="minorEastAsia" w:cstheme="minorBidi"/>
                <w:b w:val="0"/>
                <w:bCs w:val="0"/>
                <w:noProof/>
                <w:kern w:val="2"/>
                <w:sz w:val="24"/>
                <w:szCs w:val="24"/>
                <w:lang w:val="en-PK"/>
                <w14:ligatures w14:val="standardContextual"/>
              </w:rPr>
              <w:tab/>
            </w:r>
            <w:r w:rsidRPr="00DA130F">
              <w:rPr>
                <w:rStyle w:val="Hyperlink"/>
                <w:rFonts w:eastAsia="Corbel"/>
                <w:noProof/>
              </w:rPr>
              <w:t>Inheritance and ma</w:t>
            </w:r>
            <w:r w:rsidRPr="00DA130F">
              <w:rPr>
                <w:rStyle w:val="Hyperlink"/>
                <w:rFonts w:eastAsia="Corbel"/>
                <w:noProof/>
              </w:rPr>
              <w:t>r</w:t>
            </w:r>
            <w:r w:rsidRPr="00DA130F">
              <w:rPr>
                <w:rStyle w:val="Hyperlink"/>
                <w:rFonts w:eastAsia="Corbel"/>
                <w:noProof/>
              </w:rPr>
              <w:t>ital property rights</w:t>
            </w:r>
            <w:r>
              <w:rPr>
                <w:noProof/>
                <w:webHidden/>
              </w:rPr>
              <w:tab/>
            </w:r>
            <w:r>
              <w:rPr>
                <w:noProof/>
                <w:webHidden/>
              </w:rPr>
              <w:fldChar w:fldCharType="begin"/>
            </w:r>
            <w:r>
              <w:rPr>
                <w:noProof/>
                <w:webHidden/>
              </w:rPr>
              <w:instrText xml:space="preserve"> PAGEREF _Toc210037057 \h </w:instrText>
            </w:r>
            <w:r>
              <w:rPr>
                <w:noProof/>
                <w:webHidden/>
              </w:rPr>
            </w:r>
            <w:r>
              <w:rPr>
                <w:noProof/>
                <w:webHidden/>
              </w:rPr>
              <w:fldChar w:fldCharType="separate"/>
            </w:r>
            <w:r>
              <w:rPr>
                <w:noProof/>
                <w:webHidden/>
              </w:rPr>
              <w:t>8</w:t>
            </w:r>
            <w:r>
              <w:rPr>
                <w:noProof/>
                <w:webHidden/>
              </w:rPr>
              <w:fldChar w:fldCharType="end"/>
            </w:r>
          </w:hyperlink>
        </w:p>
        <w:p w14:paraId="6AE74D12" w14:textId="77777777" w:rsidR="00F61CF7" w:rsidRDefault="00F61CF7">
          <w:pPr>
            <w:pStyle w:val="TOC1"/>
            <w:tabs>
              <w:tab w:val="right" w:leader="dot" w:pos="8910"/>
            </w:tabs>
            <w:rPr>
              <w:rFonts w:eastAsiaTheme="minorEastAsia" w:cstheme="minorBidi"/>
              <w:b w:val="0"/>
              <w:bCs w:val="0"/>
              <w:i w:val="0"/>
              <w:iCs w:val="0"/>
              <w:noProof/>
              <w:kern w:val="2"/>
              <w:szCs w:val="24"/>
              <w:lang w:val="en-PK"/>
              <w14:ligatures w14:val="standardContextual"/>
            </w:rPr>
          </w:pPr>
          <w:hyperlink w:anchor="_Toc210037058" w:history="1">
            <w:r w:rsidRPr="00DA130F">
              <w:rPr>
                <w:rStyle w:val="Hyperlink"/>
                <w:rFonts w:eastAsia="Corbel"/>
                <w:noProof/>
              </w:rPr>
              <w:t>D. Suggested List of Questions</w:t>
            </w:r>
            <w:r>
              <w:rPr>
                <w:noProof/>
                <w:webHidden/>
              </w:rPr>
              <w:tab/>
            </w:r>
            <w:r>
              <w:rPr>
                <w:noProof/>
                <w:webHidden/>
              </w:rPr>
              <w:fldChar w:fldCharType="begin"/>
            </w:r>
            <w:r>
              <w:rPr>
                <w:noProof/>
                <w:webHidden/>
              </w:rPr>
              <w:instrText xml:space="preserve"> PAGEREF _Toc210037058 \h </w:instrText>
            </w:r>
            <w:r>
              <w:rPr>
                <w:noProof/>
                <w:webHidden/>
              </w:rPr>
            </w:r>
            <w:r>
              <w:rPr>
                <w:noProof/>
                <w:webHidden/>
              </w:rPr>
              <w:fldChar w:fldCharType="separate"/>
            </w:r>
            <w:r>
              <w:rPr>
                <w:noProof/>
                <w:webHidden/>
              </w:rPr>
              <w:t>9</w:t>
            </w:r>
            <w:r>
              <w:rPr>
                <w:noProof/>
                <w:webHidden/>
              </w:rPr>
              <w:fldChar w:fldCharType="end"/>
            </w:r>
          </w:hyperlink>
        </w:p>
        <w:p w14:paraId="4684A9B8" w14:textId="77777777" w:rsidR="00F45E68" w:rsidRDefault="00000000">
          <w:pPr>
            <w:widowControl w:val="0"/>
            <w:tabs>
              <w:tab w:val="right" w:leader="dot" w:pos="12000"/>
            </w:tabs>
            <w:spacing w:before="60"/>
            <w:rPr>
              <w:rFonts w:ascii="Arial" w:eastAsia="Arial" w:hAnsi="Arial" w:cs="Arial"/>
              <w:b/>
              <w:color w:val="000000"/>
              <w:sz w:val="22"/>
              <w:szCs w:val="22"/>
            </w:rPr>
          </w:pPr>
          <w:r>
            <w:fldChar w:fldCharType="end"/>
          </w:r>
        </w:p>
      </w:sdtContent>
    </w:sdt>
    <w:p w14:paraId="6A6FD8B9" w14:textId="77777777" w:rsidR="00F45E68" w:rsidRDefault="00F45E68">
      <w:pPr>
        <w:rPr>
          <w:rFonts w:ascii="Arial" w:eastAsia="Arial" w:hAnsi="Arial" w:cs="Arial"/>
          <w:color w:val="FFFFFF"/>
          <w:sz w:val="28"/>
          <w:szCs w:val="28"/>
        </w:rPr>
      </w:pPr>
    </w:p>
    <w:p w14:paraId="5FDA2C16" w14:textId="77777777" w:rsidR="00F45E68" w:rsidRDefault="00F45E68">
      <w:pPr>
        <w:rPr>
          <w:rFonts w:ascii="Arial" w:eastAsia="Arial" w:hAnsi="Arial" w:cs="Arial"/>
          <w:color w:val="FFFFFF"/>
          <w:sz w:val="28"/>
          <w:szCs w:val="28"/>
        </w:rPr>
      </w:pPr>
    </w:p>
    <w:p w14:paraId="4FDA43FF" w14:textId="77777777" w:rsidR="00F45E68" w:rsidRDefault="00F45E68">
      <w:pPr>
        <w:rPr>
          <w:rFonts w:ascii="Arial" w:eastAsia="Arial" w:hAnsi="Arial" w:cs="Arial"/>
          <w:color w:val="FFFFFF"/>
          <w:sz w:val="28"/>
          <w:szCs w:val="28"/>
        </w:rPr>
      </w:pPr>
    </w:p>
    <w:p w14:paraId="036F7F15" w14:textId="77777777" w:rsidR="00F45E68" w:rsidRDefault="00F45E68">
      <w:pPr>
        <w:rPr>
          <w:rFonts w:ascii="Arial" w:eastAsia="Arial" w:hAnsi="Arial" w:cs="Arial"/>
          <w:color w:val="FFFFFF"/>
          <w:sz w:val="28"/>
          <w:szCs w:val="28"/>
        </w:rPr>
      </w:pPr>
    </w:p>
    <w:p w14:paraId="676AFC41" w14:textId="77777777" w:rsidR="00F45E68" w:rsidRDefault="00F45E68">
      <w:pPr>
        <w:rPr>
          <w:rFonts w:ascii="Arial" w:eastAsia="Arial" w:hAnsi="Arial" w:cs="Arial"/>
          <w:b/>
          <w:i/>
          <w:color w:val="0563C1"/>
          <w:sz w:val="18"/>
          <w:szCs w:val="18"/>
          <w:u w:val="single"/>
        </w:rPr>
      </w:pPr>
    </w:p>
    <w:p w14:paraId="0E5C293A" w14:textId="77777777" w:rsidR="00F45E68" w:rsidRDefault="00F45E68">
      <w:pPr>
        <w:rPr>
          <w:rFonts w:ascii="Arial" w:eastAsia="Arial" w:hAnsi="Arial" w:cs="Arial"/>
          <w:color w:val="FFFFFF"/>
          <w:sz w:val="28"/>
          <w:szCs w:val="28"/>
        </w:rPr>
      </w:pPr>
    </w:p>
    <w:p w14:paraId="00A640DC" w14:textId="77777777" w:rsidR="00F45E68" w:rsidRDefault="00F45E68">
      <w:pPr>
        <w:rPr>
          <w:rFonts w:ascii="Arial" w:eastAsia="Arial" w:hAnsi="Arial" w:cs="Arial"/>
          <w:color w:val="FFFFFF"/>
          <w:sz w:val="28"/>
          <w:szCs w:val="28"/>
        </w:rPr>
      </w:pPr>
    </w:p>
    <w:p w14:paraId="0512E089" w14:textId="77777777" w:rsidR="00F45E68" w:rsidRDefault="00F45E68">
      <w:pPr>
        <w:rPr>
          <w:rFonts w:ascii="Arial" w:eastAsia="Arial" w:hAnsi="Arial" w:cs="Arial"/>
          <w:color w:val="FFFFFF"/>
          <w:sz w:val="28"/>
          <w:szCs w:val="28"/>
        </w:rPr>
      </w:pPr>
    </w:p>
    <w:p w14:paraId="403CAC7B" w14:textId="77777777" w:rsidR="00F45E68" w:rsidRDefault="00F45E68">
      <w:pPr>
        <w:rPr>
          <w:rFonts w:ascii="Arial" w:eastAsia="Arial" w:hAnsi="Arial" w:cs="Arial"/>
          <w:color w:val="FFFFFF"/>
          <w:sz w:val="28"/>
          <w:szCs w:val="28"/>
        </w:rPr>
      </w:pPr>
    </w:p>
    <w:p w14:paraId="72B1BF50" w14:textId="77777777" w:rsidR="00F45E68" w:rsidRDefault="00000000">
      <w:pPr>
        <w:rPr>
          <w:rFonts w:ascii="Arial" w:eastAsia="Arial" w:hAnsi="Arial" w:cs="Arial"/>
          <w:b/>
          <w:smallCaps/>
          <w:color w:val="FFFFFF"/>
          <w:sz w:val="28"/>
          <w:szCs w:val="28"/>
        </w:rPr>
      </w:pPr>
      <w:r>
        <w:br w:type="page"/>
      </w:r>
    </w:p>
    <w:p w14:paraId="28055361" w14:textId="77777777" w:rsidR="00F45E68" w:rsidRDefault="00000000" w:rsidP="00013016">
      <w:pPr>
        <w:pStyle w:val="Heading1"/>
        <w:spacing w:line="276" w:lineRule="auto"/>
        <w:ind w:left="0"/>
        <w:rPr>
          <w:sz w:val="20"/>
          <w:szCs w:val="20"/>
        </w:rPr>
      </w:pPr>
      <w:bookmarkStart w:id="1" w:name="_Toc210037046"/>
      <w:r>
        <w:lastRenderedPageBreak/>
        <w:t>A. Introduction</w:t>
      </w:r>
      <w:bookmarkEnd w:id="1"/>
    </w:p>
    <w:p w14:paraId="6F5C78B1" w14:textId="77777777" w:rsidR="00F45E68" w:rsidRDefault="00000000" w:rsidP="00776789">
      <w:pPr>
        <w:pBdr>
          <w:top w:val="nil"/>
          <w:left w:val="nil"/>
          <w:bottom w:val="nil"/>
          <w:right w:val="nil"/>
          <w:between w:val="nil"/>
        </w:pBdr>
        <w:spacing w:before="120" w:after="200" w:line="276" w:lineRule="auto"/>
        <w:jc w:val="both"/>
        <w:rPr>
          <w:rFonts w:ascii="Arial" w:eastAsia="Arial" w:hAnsi="Arial" w:cs="Arial"/>
          <w:sz w:val="20"/>
          <w:szCs w:val="20"/>
        </w:rPr>
      </w:pPr>
      <w:r>
        <w:rPr>
          <w:rFonts w:ascii="Arial" w:eastAsia="Arial" w:hAnsi="Arial" w:cs="Arial"/>
          <w:sz w:val="20"/>
          <w:szCs w:val="20"/>
        </w:rPr>
        <w:t xml:space="preserve">This comprehensive shadow report, jointly submitted by </w:t>
      </w:r>
      <w:r>
        <w:rPr>
          <w:rFonts w:ascii="Arial" w:eastAsia="Arial" w:hAnsi="Arial" w:cs="Arial"/>
          <w:b/>
          <w:sz w:val="20"/>
          <w:szCs w:val="20"/>
        </w:rPr>
        <w:t>Musawah</w:t>
      </w:r>
      <w:r>
        <w:rPr>
          <w:rFonts w:ascii="Arial" w:eastAsia="Arial" w:hAnsi="Arial" w:cs="Arial"/>
          <w:sz w:val="20"/>
          <w:szCs w:val="20"/>
        </w:rPr>
        <w:t xml:space="preserve"> (the global movement for equality and justice in the Muslim family), </w:t>
      </w:r>
      <w:proofErr w:type="spellStart"/>
      <w:r>
        <w:rPr>
          <w:rFonts w:ascii="Arial" w:eastAsia="Arial" w:hAnsi="Arial" w:cs="Arial"/>
          <w:b/>
          <w:sz w:val="20"/>
          <w:szCs w:val="20"/>
        </w:rPr>
        <w:t>Bharatiya</w:t>
      </w:r>
      <w:proofErr w:type="spellEnd"/>
      <w:r>
        <w:rPr>
          <w:rFonts w:ascii="Arial" w:eastAsia="Arial" w:hAnsi="Arial" w:cs="Arial"/>
          <w:b/>
          <w:sz w:val="20"/>
          <w:szCs w:val="20"/>
        </w:rPr>
        <w:t xml:space="preserve"> Muslim </w:t>
      </w:r>
      <w:proofErr w:type="spellStart"/>
      <w:r>
        <w:rPr>
          <w:rFonts w:ascii="Arial" w:eastAsia="Arial" w:hAnsi="Arial" w:cs="Arial"/>
          <w:b/>
          <w:sz w:val="20"/>
          <w:szCs w:val="20"/>
        </w:rPr>
        <w:t>Mahila</w:t>
      </w:r>
      <w:proofErr w:type="spellEnd"/>
      <w:r>
        <w:rPr>
          <w:rFonts w:ascii="Arial" w:eastAsia="Arial" w:hAnsi="Arial" w:cs="Arial"/>
          <w:b/>
          <w:sz w:val="20"/>
          <w:szCs w:val="20"/>
        </w:rPr>
        <w:t xml:space="preserve"> </w:t>
      </w:r>
      <w:proofErr w:type="spellStart"/>
      <w:r>
        <w:rPr>
          <w:rFonts w:ascii="Arial" w:eastAsia="Arial" w:hAnsi="Arial" w:cs="Arial"/>
          <w:b/>
          <w:sz w:val="20"/>
          <w:szCs w:val="20"/>
        </w:rPr>
        <w:t>Andolan</w:t>
      </w:r>
      <w:proofErr w:type="spellEnd"/>
      <w:r>
        <w:rPr>
          <w:rFonts w:ascii="Arial" w:eastAsia="Arial" w:hAnsi="Arial" w:cs="Arial"/>
          <w:sz w:val="20"/>
          <w:szCs w:val="20"/>
        </w:rPr>
        <w:t xml:space="preserve"> (BMMA), and the </w:t>
      </w:r>
      <w:r>
        <w:rPr>
          <w:rFonts w:ascii="Arial" w:eastAsia="Arial" w:hAnsi="Arial" w:cs="Arial"/>
          <w:b/>
          <w:sz w:val="20"/>
          <w:szCs w:val="20"/>
        </w:rPr>
        <w:t>Global Campaign for Equality in Family Law</w:t>
      </w:r>
      <w:r>
        <w:rPr>
          <w:rFonts w:ascii="Arial" w:eastAsia="Arial" w:hAnsi="Arial" w:cs="Arial"/>
          <w:b/>
          <w:sz w:val="20"/>
          <w:szCs w:val="20"/>
          <w:vertAlign w:val="superscript"/>
        </w:rPr>
        <w:footnoteReference w:id="1"/>
      </w:r>
      <w:r>
        <w:rPr>
          <w:rFonts w:ascii="Arial" w:eastAsia="Arial" w:hAnsi="Arial" w:cs="Arial"/>
          <w:sz w:val="20"/>
          <w:szCs w:val="20"/>
        </w:rPr>
        <w:t xml:space="preserve">. It highlights critical legal inequalities faced by Muslim women in India concerning personal status matters and family law. </w:t>
      </w:r>
    </w:p>
    <w:p w14:paraId="498F10F1" w14:textId="77777777" w:rsidR="00F45E68" w:rsidRDefault="00000000" w:rsidP="00776789">
      <w:pPr>
        <w:pBdr>
          <w:top w:val="nil"/>
          <w:left w:val="nil"/>
          <w:bottom w:val="nil"/>
          <w:right w:val="nil"/>
          <w:between w:val="nil"/>
        </w:pBdr>
        <w:spacing w:before="120" w:after="200" w:line="276" w:lineRule="auto"/>
        <w:jc w:val="both"/>
        <w:rPr>
          <w:rFonts w:ascii="Arial" w:eastAsia="Arial" w:hAnsi="Arial" w:cs="Arial"/>
          <w:sz w:val="20"/>
          <w:szCs w:val="20"/>
        </w:rPr>
      </w:pPr>
      <w:r>
        <w:rPr>
          <w:rFonts w:ascii="Arial" w:eastAsia="Arial" w:hAnsi="Arial" w:cs="Arial"/>
          <w:sz w:val="20"/>
          <w:szCs w:val="20"/>
        </w:rPr>
        <w:t xml:space="preserve">Despite India's ratification of </w:t>
      </w:r>
      <w:r>
        <w:rPr>
          <w:rFonts w:ascii="Arial" w:eastAsia="Arial" w:hAnsi="Arial" w:cs="Arial"/>
          <w:color w:val="001D35"/>
          <w:sz w:val="20"/>
          <w:szCs w:val="20"/>
          <w:highlight w:val="white"/>
        </w:rPr>
        <w:t>The Convention on the Elimination of All Forms of Discrimination against</w:t>
      </w:r>
      <w:r w:rsidR="00776789">
        <w:rPr>
          <w:rFonts w:ascii="Arial" w:eastAsia="Arial" w:hAnsi="Arial" w:cs="Arial"/>
          <w:color w:val="001D35"/>
          <w:sz w:val="20"/>
          <w:szCs w:val="20"/>
          <w:highlight w:val="white"/>
        </w:rPr>
        <w:t xml:space="preserve"> </w:t>
      </w:r>
      <w:r>
        <w:rPr>
          <w:rFonts w:ascii="Arial" w:eastAsia="Arial" w:hAnsi="Arial" w:cs="Arial"/>
          <w:color w:val="001D35"/>
          <w:sz w:val="20"/>
          <w:szCs w:val="20"/>
          <w:highlight w:val="white"/>
        </w:rPr>
        <w:t>Women</w:t>
      </w:r>
      <w:r>
        <w:rPr>
          <w:rFonts w:ascii="Arial" w:eastAsia="Arial" w:hAnsi="Arial" w:cs="Arial"/>
          <w:color w:val="001D35"/>
          <w:highlight w:val="white"/>
        </w:rPr>
        <w:t xml:space="preserve"> (</w:t>
      </w:r>
      <w:r>
        <w:rPr>
          <w:rFonts w:ascii="Arial" w:eastAsia="Arial" w:hAnsi="Arial" w:cs="Arial"/>
          <w:sz w:val="20"/>
          <w:szCs w:val="20"/>
        </w:rPr>
        <w:t>CEDAW) in 1993, Muslim women continue to experience systemic discrimination through</w:t>
      </w:r>
      <w:r w:rsidR="00776789">
        <w:rPr>
          <w:rFonts w:ascii="Arial" w:eastAsia="Arial" w:hAnsi="Arial" w:cs="Arial"/>
          <w:sz w:val="20"/>
          <w:szCs w:val="20"/>
        </w:rPr>
        <w:t xml:space="preserve"> </w:t>
      </w:r>
      <w:r>
        <w:rPr>
          <w:rFonts w:ascii="Arial" w:eastAsia="Arial" w:hAnsi="Arial" w:cs="Arial"/>
          <w:sz w:val="20"/>
          <w:szCs w:val="20"/>
        </w:rPr>
        <w:t>uncodified personal laws that violate their fundamental rights to equality, dignity, and non-discrimination. This report identifies nine key issue areas requiring urgent attention: comprehensive codification of Muslim family law, child marriage, polygamy, financial security, marriage registration, divorce procedures, child custody and guardianship, adoption, and inheritance rights.</w:t>
      </w:r>
    </w:p>
    <w:p w14:paraId="1089C3F2" w14:textId="77777777" w:rsidR="00F45E68" w:rsidRDefault="00000000" w:rsidP="00776789">
      <w:pPr>
        <w:pBdr>
          <w:top w:val="nil"/>
          <w:left w:val="nil"/>
          <w:bottom w:val="nil"/>
          <w:right w:val="nil"/>
          <w:between w:val="nil"/>
        </w:pBdr>
        <w:spacing w:before="120" w:after="200" w:line="276" w:lineRule="auto"/>
        <w:jc w:val="both"/>
        <w:rPr>
          <w:rFonts w:ascii="Arial" w:eastAsia="Arial" w:hAnsi="Arial" w:cs="Arial"/>
          <w:sz w:val="20"/>
          <w:szCs w:val="20"/>
        </w:rPr>
      </w:pPr>
      <w:r>
        <w:rPr>
          <w:rFonts w:ascii="Arial" w:eastAsia="Arial" w:hAnsi="Arial" w:cs="Arial"/>
          <w:sz w:val="20"/>
          <w:szCs w:val="20"/>
        </w:rPr>
        <w:t>Based on extensive field research and legal analysis, we provide concrete recommendations for legislative and policy reform to align India's legal framework with its constitutional and international human rights obligations. We urge the CEDAW Committee to pose our suggested questions to the Indian government during its 94th Pre-Sessional Working Group in October 2025.</w:t>
      </w:r>
    </w:p>
    <w:p w14:paraId="102EDEF4" w14:textId="77777777" w:rsidR="00F45E68" w:rsidRDefault="00000000">
      <w:pPr>
        <w:pStyle w:val="Heading1"/>
        <w:spacing w:line="276" w:lineRule="auto"/>
        <w:ind w:left="0"/>
      </w:pPr>
      <w:bookmarkStart w:id="2" w:name="_Toc210037047"/>
      <w:r>
        <w:t>B. Legal Framework and India’s International Obligations</w:t>
      </w:r>
      <w:bookmarkEnd w:id="2"/>
      <w:r>
        <w:t xml:space="preserve"> </w:t>
      </w:r>
    </w:p>
    <w:p w14:paraId="712BE76B" w14:textId="77777777" w:rsidR="00F45E68" w:rsidRDefault="00000000">
      <w:pPr>
        <w:pBdr>
          <w:top w:val="nil"/>
          <w:left w:val="nil"/>
          <w:bottom w:val="nil"/>
          <w:right w:val="nil"/>
          <w:between w:val="nil"/>
        </w:pBdr>
        <w:spacing w:before="120" w:after="200" w:line="276" w:lineRule="auto"/>
        <w:jc w:val="both"/>
        <w:rPr>
          <w:rFonts w:ascii="Arial" w:eastAsia="Arial" w:hAnsi="Arial" w:cs="Arial"/>
          <w:sz w:val="20"/>
          <w:szCs w:val="20"/>
        </w:rPr>
      </w:pPr>
      <w:r>
        <w:rPr>
          <w:rFonts w:ascii="Arial" w:eastAsia="Arial" w:hAnsi="Arial" w:cs="Arial"/>
          <w:sz w:val="20"/>
          <w:szCs w:val="20"/>
        </w:rPr>
        <w:t>India's commitment to gender equality is enshrined in its Constitution, particularly Articles 14 (right to equality), 15 (prohibition of discrimination), and 21 (right to life and personal liberty). The Directive Principle of State Policy under Article 44 calls for a Uniform Civil Code throughout India, aiming to secure equal rights for all citizens regardless of religion in matters of marriage, divorce, inheritance, and adoption. As a signatory to CEDAW, India has obligations to eliminate discrimination against women in all forms, including in family law matters. The persistent retention of uncodified and discriminatory aspects of Muslim personal law does not align with India's commitments under Articles 2(f), 5(a), 15, and 16 of CEDAW, which require states to modify or abolish discriminatory laws, customs, and practices.</w:t>
      </w:r>
    </w:p>
    <w:p w14:paraId="3C59D73A" w14:textId="77777777" w:rsidR="00F45E68" w:rsidRDefault="00000000">
      <w:pPr>
        <w:pStyle w:val="Heading1"/>
        <w:pBdr>
          <w:top w:val="nil"/>
          <w:left w:val="nil"/>
          <w:bottom w:val="nil"/>
          <w:right w:val="nil"/>
          <w:between w:val="nil"/>
        </w:pBdr>
        <w:spacing w:line="276" w:lineRule="auto"/>
        <w:ind w:left="0"/>
      </w:pPr>
      <w:bookmarkStart w:id="3" w:name="_Toc210037048"/>
      <w:r>
        <w:t>C. Key Issues</w:t>
      </w:r>
      <w:bookmarkEnd w:id="3"/>
      <w:r>
        <w:t xml:space="preserve"> </w:t>
      </w:r>
    </w:p>
    <w:p w14:paraId="5DA2A05D" w14:textId="77777777" w:rsidR="00F45E68" w:rsidRDefault="00F45E68">
      <w:pPr>
        <w:spacing w:line="276" w:lineRule="auto"/>
        <w:jc w:val="both"/>
        <w:rPr>
          <w:rFonts w:ascii="Arial" w:eastAsia="Arial" w:hAnsi="Arial" w:cs="Arial"/>
          <w:b/>
          <w:color w:val="FFFFFF"/>
          <w:sz w:val="26"/>
          <w:szCs w:val="26"/>
          <w:shd w:val="clear" w:color="auto" w:fill="BD0014"/>
        </w:rPr>
      </w:pPr>
    </w:p>
    <w:p w14:paraId="42EEF6E3" w14:textId="77777777" w:rsidR="00F45E68" w:rsidRDefault="00000000">
      <w:pPr>
        <w:pStyle w:val="Heading2"/>
        <w:numPr>
          <w:ilvl w:val="0"/>
          <w:numId w:val="1"/>
        </w:numPr>
        <w:spacing w:line="276" w:lineRule="auto"/>
      </w:pPr>
      <w:bookmarkStart w:id="4" w:name="_Toc210037049"/>
      <w:r>
        <w:t>Comprehensive Codification of Muslim Family Law</w:t>
      </w:r>
      <w:bookmarkEnd w:id="4"/>
    </w:p>
    <w:p w14:paraId="648239E7" w14:textId="77777777" w:rsidR="00F45E68" w:rsidRDefault="00F45E68">
      <w:pPr>
        <w:spacing w:line="276" w:lineRule="auto"/>
        <w:jc w:val="both"/>
        <w:rPr>
          <w:rFonts w:ascii="Arial" w:eastAsia="Arial" w:hAnsi="Arial" w:cs="Arial"/>
          <w:b/>
          <w:sz w:val="22"/>
          <w:szCs w:val="22"/>
        </w:rPr>
      </w:pPr>
    </w:p>
    <w:p w14:paraId="72F45225" w14:textId="77777777" w:rsidR="00F45E68" w:rsidRDefault="00000000">
      <w:pPr>
        <w:tabs>
          <w:tab w:val="left" w:pos="270"/>
          <w:tab w:val="left" w:pos="630"/>
        </w:tabs>
        <w:spacing w:line="276" w:lineRule="auto"/>
        <w:jc w:val="both"/>
        <w:rPr>
          <w:rFonts w:ascii="Arial" w:eastAsia="Arial" w:hAnsi="Arial" w:cs="Arial"/>
          <w:sz w:val="20"/>
          <w:szCs w:val="20"/>
        </w:rPr>
      </w:pPr>
      <w:r>
        <w:rPr>
          <w:rFonts w:ascii="Arial" w:eastAsia="Arial" w:hAnsi="Arial" w:cs="Arial"/>
          <w:sz w:val="20"/>
          <w:szCs w:val="20"/>
        </w:rPr>
        <w:t>Barring four instances of codified laws, The Muslim Personal Law [</w:t>
      </w:r>
      <w:proofErr w:type="spellStart"/>
      <w:r>
        <w:rPr>
          <w:rFonts w:ascii="Arial" w:eastAsia="Arial" w:hAnsi="Arial" w:cs="Arial"/>
          <w:sz w:val="20"/>
          <w:szCs w:val="20"/>
        </w:rPr>
        <w:t>Shariat</w:t>
      </w:r>
      <w:proofErr w:type="spellEnd"/>
      <w:r>
        <w:rPr>
          <w:rFonts w:ascii="Arial" w:eastAsia="Arial" w:hAnsi="Arial" w:cs="Arial"/>
          <w:sz w:val="20"/>
          <w:szCs w:val="20"/>
        </w:rPr>
        <w:t>] Application Act, 1937 The Dissolution of Muslim Marriage Act, 1939 The Muslim Women (Protection of Rights on Divorce) Act, 1986 and the Muslim Women (Protection of Rights on Marriage) Act, 2019, there is no codified family law for Indian Muslims.</w:t>
      </w:r>
      <w:r>
        <w:rPr>
          <w:rFonts w:ascii="Arial" w:eastAsia="Arial" w:hAnsi="Arial" w:cs="Arial"/>
          <w:sz w:val="20"/>
          <w:szCs w:val="20"/>
          <w:vertAlign w:val="superscript"/>
        </w:rPr>
        <w:footnoteReference w:id="2"/>
      </w:r>
    </w:p>
    <w:p w14:paraId="22003F9E" w14:textId="77777777" w:rsidR="00F45E68" w:rsidRDefault="00F45E68">
      <w:pPr>
        <w:tabs>
          <w:tab w:val="left" w:pos="270"/>
          <w:tab w:val="left" w:pos="630"/>
        </w:tabs>
        <w:spacing w:line="276" w:lineRule="auto"/>
        <w:jc w:val="both"/>
        <w:rPr>
          <w:rFonts w:ascii="Arial" w:eastAsia="Arial" w:hAnsi="Arial" w:cs="Arial"/>
          <w:sz w:val="20"/>
          <w:szCs w:val="20"/>
        </w:rPr>
      </w:pPr>
    </w:p>
    <w:p w14:paraId="7E9552B5" w14:textId="77777777" w:rsidR="00F45E68" w:rsidRDefault="00000000">
      <w:pPr>
        <w:tabs>
          <w:tab w:val="left" w:pos="270"/>
          <w:tab w:val="left" w:pos="630"/>
        </w:tabs>
        <w:spacing w:line="276" w:lineRule="auto"/>
        <w:jc w:val="both"/>
        <w:rPr>
          <w:rFonts w:ascii="Arial" w:eastAsia="Arial" w:hAnsi="Arial" w:cs="Arial"/>
          <w:b/>
          <w:sz w:val="20"/>
          <w:szCs w:val="20"/>
        </w:rPr>
      </w:pPr>
      <w:r>
        <w:rPr>
          <w:rFonts w:ascii="Arial" w:eastAsia="Arial" w:hAnsi="Arial" w:cs="Arial"/>
          <w:sz w:val="20"/>
          <w:szCs w:val="20"/>
        </w:rPr>
        <w:t>Of these four laws, two pertain to divorce, one to post-divorce maintenance and one a general call for the application of ‘</w:t>
      </w:r>
      <w:proofErr w:type="spellStart"/>
      <w:r>
        <w:rPr>
          <w:rFonts w:ascii="Arial" w:eastAsia="Arial" w:hAnsi="Arial" w:cs="Arial"/>
          <w:i/>
          <w:sz w:val="20"/>
          <w:szCs w:val="20"/>
        </w:rPr>
        <w:t>Shari’ah</w:t>
      </w:r>
      <w:proofErr w:type="spellEnd"/>
      <w:r>
        <w:rPr>
          <w:rFonts w:ascii="Arial" w:eastAsia="Arial" w:hAnsi="Arial" w:cs="Arial"/>
          <w:sz w:val="20"/>
          <w:szCs w:val="20"/>
        </w:rPr>
        <w:t xml:space="preserve">’. Other key issues </w:t>
      </w:r>
      <w:proofErr w:type="spellStart"/>
      <w:r>
        <w:rPr>
          <w:rFonts w:ascii="Arial" w:eastAsia="Arial" w:hAnsi="Arial" w:cs="Arial"/>
          <w:sz w:val="20"/>
          <w:szCs w:val="20"/>
        </w:rPr>
        <w:t>issues</w:t>
      </w:r>
      <w:proofErr w:type="spellEnd"/>
      <w:r>
        <w:rPr>
          <w:rFonts w:ascii="Arial" w:eastAsia="Arial" w:hAnsi="Arial" w:cs="Arial"/>
          <w:sz w:val="20"/>
          <w:szCs w:val="20"/>
        </w:rPr>
        <w:t xml:space="preserve"> like marriage, maintenance within marriage, age of marriage, </w:t>
      </w:r>
      <w:proofErr w:type="spellStart"/>
      <w:r>
        <w:rPr>
          <w:rFonts w:ascii="Arial" w:eastAsia="Arial" w:hAnsi="Arial" w:cs="Arial"/>
          <w:sz w:val="20"/>
          <w:szCs w:val="20"/>
        </w:rPr>
        <w:t>mehr</w:t>
      </w:r>
      <w:proofErr w:type="spellEnd"/>
      <w:r>
        <w:rPr>
          <w:rFonts w:ascii="Arial" w:eastAsia="Arial" w:hAnsi="Arial" w:cs="Arial"/>
          <w:sz w:val="20"/>
          <w:szCs w:val="20"/>
        </w:rPr>
        <w:t xml:space="preserve"> (dower), consent, polygamy, custody of children, adoption, guardianship, </w:t>
      </w:r>
      <w:r>
        <w:rPr>
          <w:rFonts w:ascii="Arial" w:eastAsia="Arial" w:hAnsi="Arial" w:cs="Arial"/>
          <w:sz w:val="20"/>
          <w:szCs w:val="20"/>
        </w:rPr>
        <w:lastRenderedPageBreak/>
        <w:t xml:space="preserve">inheritance, </w:t>
      </w:r>
      <w:r>
        <w:rPr>
          <w:rFonts w:ascii="Arial" w:eastAsia="Arial" w:hAnsi="Arial" w:cs="Arial"/>
          <w:i/>
          <w:sz w:val="20"/>
          <w:szCs w:val="20"/>
        </w:rPr>
        <w:t>halala</w:t>
      </w:r>
      <w:r>
        <w:rPr>
          <w:rFonts w:ascii="Arial" w:eastAsia="Arial" w:hAnsi="Arial" w:cs="Arial"/>
          <w:i/>
          <w:sz w:val="20"/>
          <w:szCs w:val="20"/>
          <w:vertAlign w:val="superscript"/>
        </w:rPr>
        <w:footnoteReference w:id="3"/>
      </w:r>
      <w:r>
        <w:rPr>
          <w:rFonts w:ascii="Arial" w:eastAsia="Arial" w:hAnsi="Arial" w:cs="Arial"/>
          <w:sz w:val="20"/>
          <w:szCs w:val="20"/>
        </w:rPr>
        <w:t xml:space="preserve">, </w:t>
      </w:r>
      <w:proofErr w:type="spellStart"/>
      <w:r>
        <w:rPr>
          <w:rFonts w:ascii="Arial" w:eastAsia="Arial" w:hAnsi="Arial" w:cs="Arial"/>
          <w:i/>
          <w:sz w:val="20"/>
          <w:szCs w:val="20"/>
        </w:rPr>
        <w:t>muta</w:t>
      </w:r>
      <w:proofErr w:type="spellEnd"/>
      <w:r>
        <w:rPr>
          <w:rFonts w:ascii="Arial" w:eastAsia="Arial" w:hAnsi="Arial" w:cs="Arial"/>
          <w:sz w:val="20"/>
          <w:szCs w:val="20"/>
        </w:rPr>
        <w:t xml:space="preserve"> (temporary) marriage, and other issues are not covered by a statutory law. As a </w:t>
      </w:r>
      <w:proofErr w:type="gramStart"/>
      <w:r>
        <w:rPr>
          <w:rFonts w:ascii="Arial" w:eastAsia="Arial" w:hAnsi="Arial" w:cs="Arial"/>
          <w:sz w:val="20"/>
          <w:szCs w:val="20"/>
        </w:rPr>
        <w:t>result</w:t>
      </w:r>
      <w:proofErr w:type="gramEnd"/>
      <w:r>
        <w:rPr>
          <w:rFonts w:ascii="Arial" w:eastAsia="Arial" w:hAnsi="Arial" w:cs="Arial"/>
          <w:sz w:val="20"/>
          <w:szCs w:val="20"/>
        </w:rPr>
        <w:t xml:space="preserve"> </w:t>
      </w:r>
      <w:r>
        <w:rPr>
          <w:rFonts w:ascii="Arial" w:eastAsia="Arial" w:hAnsi="Arial" w:cs="Arial"/>
          <w:b/>
          <w:sz w:val="20"/>
          <w:szCs w:val="20"/>
        </w:rPr>
        <w:t xml:space="preserve">Indian Muslims do not enjoy the protection of a comprehensively codified family law. </w:t>
      </w:r>
    </w:p>
    <w:p w14:paraId="4192E071" w14:textId="77777777" w:rsidR="00F45E68" w:rsidRDefault="00F45E68">
      <w:pPr>
        <w:tabs>
          <w:tab w:val="left" w:pos="270"/>
          <w:tab w:val="left" w:pos="630"/>
        </w:tabs>
        <w:spacing w:line="276" w:lineRule="auto"/>
        <w:jc w:val="both"/>
        <w:rPr>
          <w:rFonts w:ascii="Arial" w:eastAsia="Arial" w:hAnsi="Arial" w:cs="Arial"/>
          <w:sz w:val="20"/>
          <w:szCs w:val="20"/>
        </w:rPr>
      </w:pPr>
    </w:p>
    <w:p w14:paraId="3AB91E1A" w14:textId="77777777" w:rsidR="00F45E68" w:rsidRDefault="00000000">
      <w:pPr>
        <w:tabs>
          <w:tab w:val="left" w:pos="270"/>
          <w:tab w:val="left" w:pos="630"/>
        </w:tabs>
        <w:spacing w:line="276" w:lineRule="auto"/>
        <w:jc w:val="both"/>
        <w:rPr>
          <w:rFonts w:ascii="Arial" w:eastAsia="Arial" w:hAnsi="Arial" w:cs="Arial"/>
          <w:sz w:val="20"/>
          <w:szCs w:val="20"/>
        </w:rPr>
      </w:pPr>
      <w:r>
        <w:rPr>
          <w:rFonts w:ascii="Arial" w:eastAsia="Arial" w:hAnsi="Arial" w:cs="Arial"/>
          <w:sz w:val="20"/>
          <w:szCs w:val="20"/>
        </w:rPr>
        <w:t xml:space="preserve">Conflicting court jurisdictions on crucial issues and lack of political will on the part of previous and current governments has ensured that Muslim women remain out of the ambit of legal protection despite 78 years of an independent Indian state.  </w:t>
      </w:r>
    </w:p>
    <w:p w14:paraId="6AC4971F" w14:textId="77777777" w:rsidR="00F45E68" w:rsidRDefault="00F45E68">
      <w:pPr>
        <w:tabs>
          <w:tab w:val="left" w:pos="270"/>
          <w:tab w:val="left" w:pos="630"/>
        </w:tabs>
        <w:spacing w:line="276" w:lineRule="auto"/>
        <w:jc w:val="both"/>
        <w:rPr>
          <w:rFonts w:ascii="Arial" w:eastAsia="Arial" w:hAnsi="Arial" w:cs="Arial"/>
          <w:sz w:val="20"/>
          <w:szCs w:val="20"/>
        </w:rPr>
      </w:pPr>
    </w:p>
    <w:p w14:paraId="12E66BA3" w14:textId="77777777" w:rsidR="00F45E68" w:rsidRDefault="00000000">
      <w:pPr>
        <w:tabs>
          <w:tab w:val="left" w:pos="270"/>
          <w:tab w:val="left" w:pos="630"/>
        </w:tabs>
        <w:spacing w:line="276" w:lineRule="auto"/>
        <w:jc w:val="both"/>
        <w:rPr>
          <w:rFonts w:ascii="Arial" w:eastAsia="Arial" w:hAnsi="Arial" w:cs="Arial"/>
          <w:b/>
          <w:sz w:val="20"/>
          <w:szCs w:val="20"/>
        </w:rPr>
      </w:pPr>
      <w:r>
        <w:rPr>
          <w:rFonts w:ascii="Arial" w:eastAsia="Arial" w:hAnsi="Arial" w:cs="Arial"/>
          <w:sz w:val="20"/>
          <w:szCs w:val="20"/>
        </w:rPr>
        <w:t xml:space="preserve">In the absence of a comprehensive codified Muslim family law in India which grants Muslim women legislative and constitutional protection, BMMA’s advocacy has included preparing and submitting a draft law to various governments. </w:t>
      </w:r>
    </w:p>
    <w:p w14:paraId="2CBC0AEE" w14:textId="77777777" w:rsidR="00F45E68" w:rsidRDefault="00F45E68">
      <w:pPr>
        <w:spacing w:line="276" w:lineRule="auto"/>
        <w:jc w:val="both"/>
        <w:rPr>
          <w:rFonts w:ascii="Arial" w:eastAsia="Arial" w:hAnsi="Arial" w:cs="Arial"/>
          <w:sz w:val="20"/>
          <w:szCs w:val="20"/>
        </w:rPr>
      </w:pPr>
    </w:p>
    <w:p w14:paraId="44FC2793" w14:textId="77777777" w:rsidR="00F45E68" w:rsidRDefault="00F45E68">
      <w:pPr>
        <w:spacing w:line="276" w:lineRule="auto"/>
        <w:ind w:left="720"/>
        <w:jc w:val="both"/>
        <w:rPr>
          <w:rFonts w:ascii="Arial" w:eastAsia="Arial" w:hAnsi="Arial" w:cs="Arial"/>
          <w:sz w:val="20"/>
          <w:szCs w:val="20"/>
        </w:rPr>
      </w:pPr>
    </w:p>
    <w:p w14:paraId="18870773" w14:textId="77777777" w:rsidR="00F45E68" w:rsidRDefault="00000000">
      <w:pPr>
        <w:pStyle w:val="Heading2"/>
        <w:numPr>
          <w:ilvl w:val="0"/>
          <w:numId w:val="1"/>
        </w:numPr>
        <w:spacing w:line="276" w:lineRule="auto"/>
      </w:pPr>
      <w:bookmarkStart w:id="5" w:name="_Toc210037050"/>
      <w:r>
        <w:t>Child Marriage</w:t>
      </w:r>
      <w:bookmarkEnd w:id="5"/>
      <w:r>
        <w:t xml:space="preserve"> </w:t>
      </w:r>
    </w:p>
    <w:p w14:paraId="0F35807A" w14:textId="77777777" w:rsidR="00F45E68" w:rsidRDefault="00000000">
      <w:pPr>
        <w:spacing w:before="240" w:after="240" w:line="276" w:lineRule="auto"/>
        <w:jc w:val="both"/>
        <w:rPr>
          <w:rFonts w:ascii="Arial" w:eastAsia="Arial" w:hAnsi="Arial" w:cs="Arial"/>
          <w:sz w:val="20"/>
          <w:szCs w:val="20"/>
        </w:rPr>
      </w:pPr>
      <w:r>
        <w:rPr>
          <w:rFonts w:ascii="Arial" w:eastAsia="Arial" w:hAnsi="Arial" w:cs="Arial"/>
          <w:sz w:val="20"/>
          <w:szCs w:val="20"/>
        </w:rPr>
        <w:t>The Prohibition of Child Marriage Act (PCMA) was passed in 2006 with the objective to prohibit child marriages, to provide relief to victims and enhance punishment for those who abet, promote or solemnize such marriages. Any marriage of a girl below 18 and of a boy below 21 is a child marriage which is illegal, an offense and punishable under the law. The offense is cognizable and non-bailable. The Protection of Children from Sexual Offences (POCSO) Act, 2012 penalizes penetrative sexual assault on a child by anyone related to the child through marriage, penalizes sexual acts with a girl below 18 years of age, with or without her consent</w:t>
      </w:r>
    </w:p>
    <w:p w14:paraId="128E768E" w14:textId="77777777" w:rsidR="00F45E68" w:rsidRDefault="00000000">
      <w:pPr>
        <w:spacing w:before="240" w:after="240" w:line="276" w:lineRule="auto"/>
        <w:jc w:val="both"/>
        <w:rPr>
          <w:rFonts w:ascii="Arial" w:eastAsia="Arial" w:hAnsi="Arial" w:cs="Arial"/>
          <w:sz w:val="20"/>
          <w:szCs w:val="20"/>
        </w:rPr>
      </w:pPr>
      <w:proofErr w:type="gramStart"/>
      <w:r>
        <w:rPr>
          <w:rFonts w:ascii="Arial" w:eastAsia="Arial" w:hAnsi="Arial" w:cs="Arial"/>
          <w:sz w:val="20"/>
          <w:szCs w:val="20"/>
        </w:rPr>
        <w:t>However</w:t>
      </w:r>
      <w:proofErr w:type="gramEnd"/>
      <w:r>
        <w:rPr>
          <w:rFonts w:ascii="Arial" w:eastAsia="Arial" w:hAnsi="Arial" w:cs="Arial"/>
          <w:sz w:val="20"/>
          <w:szCs w:val="20"/>
        </w:rPr>
        <w:t xml:space="preserve"> in practice the PCMA and POCSO fail to protect the rights of Muslim girls. According to the Delhi/Punjab/Haryana High Court a Muslim girl was free to marry after attaining puberty, </w:t>
      </w:r>
      <w:proofErr w:type="gramStart"/>
      <w:r>
        <w:rPr>
          <w:rFonts w:ascii="Arial" w:eastAsia="Arial" w:hAnsi="Arial" w:cs="Arial"/>
          <w:sz w:val="20"/>
          <w:szCs w:val="20"/>
        </w:rPr>
        <w:t>i.e.</w:t>
      </w:r>
      <w:proofErr w:type="gramEnd"/>
      <w:r>
        <w:rPr>
          <w:rFonts w:ascii="Arial" w:eastAsia="Arial" w:hAnsi="Arial" w:cs="Arial"/>
          <w:sz w:val="20"/>
          <w:szCs w:val="20"/>
        </w:rPr>
        <w:t xml:space="preserve"> 15 years. But the Madras High Court and Gujarat High Court have given primacy to the PCMA. A judgment by the Supreme Court in a case in 2018</w:t>
      </w:r>
      <w:r>
        <w:rPr>
          <w:rFonts w:ascii="Arial" w:eastAsia="Arial" w:hAnsi="Arial" w:cs="Arial"/>
          <w:sz w:val="20"/>
          <w:szCs w:val="20"/>
          <w:vertAlign w:val="superscript"/>
        </w:rPr>
        <w:footnoteReference w:id="4"/>
      </w:r>
      <w:r>
        <w:rPr>
          <w:rFonts w:ascii="Arial" w:eastAsia="Arial" w:hAnsi="Arial" w:cs="Arial"/>
          <w:sz w:val="20"/>
          <w:szCs w:val="20"/>
        </w:rPr>
        <w:t xml:space="preserve">, recognized attaining puberty as a condition for a valid Muslim marriage. </w:t>
      </w:r>
    </w:p>
    <w:tbl>
      <w:tblPr>
        <w:tblStyle w:val="a0"/>
        <w:tblW w:w="89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920"/>
      </w:tblGrid>
      <w:tr w:rsidR="00F45E68" w14:paraId="35F31877" w14:textId="77777777">
        <w:tc>
          <w:tcPr>
            <w:tcW w:w="8920" w:type="dxa"/>
            <w:shd w:val="clear" w:color="auto" w:fill="auto"/>
            <w:tcMar>
              <w:top w:w="100" w:type="dxa"/>
              <w:left w:w="100" w:type="dxa"/>
              <w:bottom w:w="100" w:type="dxa"/>
              <w:right w:w="100" w:type="dxa"/>
            </w:tcMar>
          </w:tcPr>
          <w:sdt>
            <w:sdtPr>
              <w:tag w:val="goog_rdk_0"/>
              <w:id w:val="-1559562600"/>
              <w:lock w:val="contentLocked"/>
            </w:sdtPr>
            <w:sdtContent>
              <w:p w14:paraId="7E66DBD5" w14:textId="77777777" w:rsidR="00F45E68" w:rsidRDefault="00000000">
                <w:pPr>
                  <w:spacing w:line="276" w:lineRule="auto"/>
                  <w:jc w:val="both"/>
                  <w:rPr>
                    <w:rFonts w:ascii="Arial" w:eastAsia="Arial" w:hAnsi="Arial" w:cs="Arial"/>
                    <w:sz w:val="20"/>
                    <w:szCs w:val="20"/>
                  </w:rPr>
                </w:pPr>
                <w:r>
                  <w:rPr>
                    <w:rFonts w:ascii="Arial" w:eastAsia="Arial" w:hAnsi="Arial" w:cs="Arial"/>
                    <w:sz w:val="20"/>
                    <w:szCs w:val="20"/>
                  </w:rPr>
                  <w:t xml:space="preserve">A national study by BMMA  on Muslim women’s views on reforms of the Muslim Personal Law, revealed that 55% of the 4710 respondents were married before the age of 18 out of which 15% were below the age of 15. In another study in the state of Maharashtra, 333 out of 505 were married before the age of 18. </w:t>
                </w:r>
              </w:p>
              <w:p w14:paraId="4B0C67B3" w14:textId="77777777" w:rsidR="00F45E68" w:rsidRDefault="00000000">
                <w:pPr>
                  <w:spacing w:before="240" w:after="240" w:line="276" w:lineRule="auto"/>
                  <w:rPr>
                    <w:rFonts w:ascii="Arial" w:eastAsia="Arial" w:hAnsi="Arial" w:cs="Arial"/>
                    <w:i/>
                    <w:sz w:val="18"/>
                    <w:szCs w:val="18"/>
                  </w:rPr>
                </w:pPr>
                <w:r>
                  <w:rPr>
                    <w:rFonts w:ascii="Arial" w:eastAsia="Arial" w:hAnsi="Arial" w:cs="Arial"/>
                    <w:sz w:val="18"/>
                    <w:szCs w:val="18"/>
                  </w:rPr>
                  <w:t xml:space="preserve">Source: BMMA India (2016). </w:t>
                </w:r>
                <w:r>
                  <w:rPr>
                    <w:rFonts w:ascii="Arial" w:eastAsia="Arial" w:hAnsi="Arial" w:cs="Arial"/>
                    <w:i/>
                    <w:sz w:val="18"/>
                    <w:szCs w:val="18"/>
                  </w:rPr>
                  <w:t xml:space="preserve">Seeking Justice Within Family -  National Study on Muslim Women’s Views on Reforms in Muslim Personal Law </w:t>
                </w:r>
                <w:hyperlink r:id="rId18">
                  <w:r>
                    <w:rPr>
                      <w:rFonts w:ascii="Arial" w:eastAsia="Arial" w:hAnsi="Arial" w:cs="Arial"/>
                      <w:i/>
                      <w:color w:val="1155CC"/>
                      <w:sz w:val="18"/>
                      <w:szCs w:val="18"/>
                      <w:u w:val="single"/>
                    </w:rPr>
                    <w:t>https://wunrn.com/wp-content/uploads/BMMA-Seeking-Justice-Final.pdf</w:t>
                  </w:r>
                </w:hyperlink>
                <w:r>
                  <w:rPr>
                    <w:rFonts w:ascii="Arial" w:eastAsia="Arial" w:hAnsi="Arial" w:cs="Arial"/>
                    <w:i/>
                    <w:sz w:val="18"/>
                    <w:szCs w:val="18"/>
                  </w:rPr>
                  <w:t xml:space="preserve"> </w:t>
                </w:r>
              </w:p>
            </w:sdtContent>
          </w:sdt>
        </w:tc>
      </w:tr>
    </w:tbl>
    <w:p w14:paraId="49FE7049" w14:textId="77777777" w:rsidR="00F45E68" w:rsidRDefault="00F45E68">
      <w:pPr>
        <w:spacing w:line="276" w:lineRule="auto"/>
        <w:jc w:val="both"/>
        <w:rPr>
          <w:rFonts w:ascii="Arial" w:eastAsia="Arial" w:hAnsi="Arial" w:cs="Arial"/>
          <w:sz w:val="20"/>
          <w:szCs w:val="20"/>
        </w:rPr>
      </w:pPr>
    </w:p>
    <w:p w14:paraId="41267F4E" w14:textId="77777777" w:rsidR="00F45E68" w:rsidRDefault="00000000">
      <w:pPr>
        <w:spacing w:after="320" w:line="276" w:lineRule="auto"/>
        <w:rPr>
          <w:rFonts w:ascii="Arial" w:eastAsia="Arial" w:hAnsi="Arial" w:cs="Arial"/>
          <w:sz w:val="20"/>
          <w:szCs w:val="20"/>
        </w:rPr>
      </w:pPr>
      <w:r>
        <w:rPr>
          <w:rFonts w:ascii="Arial" w:eastAsia="Arial" w:hAnsi="Arial" w:cs="Arial"/>
          <w:color w:val="222222"/>
          <w:sz w:val="20"/>
          <w:szCs w:val="20"/>
        </w:rPr>
        <w:t xml:space="preserve">PCMA and POCSO are national and secular laws that fail to apply to all citizens of India. Despite the Supreme Court judgment restating PCMA’s secular nature, its provisions are still not being applied in cases of child marriage affecting Muslim women and girls. This gap needs urgent addressing because it has led to contradictory and inconsistent judgments in cases of child marriage in India. </w:t>
      </w:r>
    </w:p>
    <w:p w14:paraId="7CEEA48E" w14:textId="77777777" w:rsidR="00F45E68" w:rsidRDefault="00000000">
      <w:pPr>
        <w:spacing w:after="320" w:line="276" w:lineRule="auto"/>
        <w:rPr>
          <w:rFonts w:ascii="Arial" w:eastAsia="Arial" w:hAnsi="Arial" w:cs="Arial"/>
          <w:sz w:val="20"/>
          <w:szCs w:val="20"/>
        </w:rPr>
      </w:pPr>
      <w:r>
        <w:rPr>
          <w:rFonts w:ascii="Arial" w:eastAsia="Arial" w:hAnsi="Arial" w:cs="Arial"/>
          <w:color w:val="222222"/>
          <w:sz w:val="20"/>
          <w:szCs w:val="20"/>
        </w:rPr>
        <w:t xml:space="preserve">Women’s rights groups have been calling for PCMA, 2006, and any amendment to it to state unequivocally that this law applies to the Muslim community as well. Only an explicit provision will </w:t>
      </w:r>
      <w:r>
        <w:rPr>
          <w:rFonts w:ascii="Arial" w:eastAsia="Arial" w:hAnsi="Arial" w:cs="Arial"/>
          <w:color w:val="222222"/>
          <w:sz w:val="20"/>
          <w:szCs w:val="20"/>
        </w:rPr>
        <w:lastRenderedPageBreak/>
        <w:t xml:space="preserve">ensure that Muslim women in India can benefit from the law and have access to protection from child marriage.  </w:t>
      </w:r>
    </w:p>
    <w:p w14:paraId="6A2BD7E4" w14:textId="77777777" w:rsidR="00F45E68" w:rsidRDefault="00000000" w:rsidP="00013016">
      <w:pPr>
        <w:spacing w:after="320" w:line="276" w:lineRule="auto"/>
        <w:rPr>
          <w:rFonts w:ascii="Arial" w:eastAsia="Arial" w:hAnsi="Arial" w:cs="Arial"/>
          <w:color w:val="222222"/>
          <w:sz w:val="20"/>
          <w:szCs w:val="20"/>
        </w:rPr>
      </w:pPr>
      <w:r>
        <w:rPr>
          <w:rFonts w:ascii="Arial" w:eastAsia="Arial" w:hAnsi="Arial" w:cs="Arial"/>
          <w:b/>
          <w:color w:val="222222"/>
          <w:sz w:val="20"/>
          <w:szCs w:val="20"/>
        </w:rPr>
        <w:t>The PCMA and POSCO were enacted to protect the rights of all Indian children, but instead, it is being applied unevenly to children of different communities.</w:t>
      </w:r>
      <w:r>
        <w:rPr>
          <w:rFonts w:ascii="Arial" w:eastAsia="Arial" w:hAnsi="Arial" w:cs="Arial"/>
          <w:color w:val="222222"/>
          <w:sz w:val="20"/>
          <w:szCs w:val="20"/>
        </w:rPr>
        <w:t xml:space="preserve"> </w:t>
      </w:r>
    </w:p>
    <w:p w14:paraId="2F062CDB" w14:textId="77777777" w:rsidR="00013016" w:rsidRDefault="00013016" w:rsidP="00013016">
      <w:pPr>
        <w:spacing w:after="320" w:line="276" w:lineRule="auto"/>
        <w:rPr>
          <w:rFonts w:ascii="Arial" w:eastAsia="Arial" w:hAnsi="Arial" w:cs="Arial"/>
          <w:color w:val="222222"/>
          <w:sz w:val="20"/>
          <w:szCs w:val="20"/>
        </w:rPr>
      </w:pPr>
    </w:p>
    <w:p w14:paraId="1AF39E09" w14:textId="77777777" w:rsidR="00F45E68" w:rsidRDefault="00000000">
      <w:pPr>
        <w:pStyle w:val="Heading2"/>
        <w:numPr>
          <w:ilvl w:val="0"/>
          <w:numId w:val="1"/>
        </w:numPr>
        <w:spacing w:after="320" w:line="276" w:lineRule="auto"/>
      </w:pPr>
      <w:bookmarkStart w:id="6" w:name="_Toc210037051"/>
      <w:r>
        <w:t>Polygamy</w:t>
      </w:r>
      <w:bookmarkEnd w:id="6"/>
      <w:r>
        <w:t xml:space="preserve"> </w:t>
      </w:r>
    </w:p>
    <w:p w14:paraId="0F0275E5" w14:textId="77777777" w:rsidR="00F45E68" w:rsidRDefault="00000000">
      <w:pPr>
        <w:spacing w:before="240" w:after="240" w:line="276" w:lineRule="auto"/>
        <w:jc w:val="both"/>
        <w:rPr>
          <w:rFonts w:ascii="Arial" w:eastAsia="Arial" w:hAnsi="Arial" w:cs="Arial"/>
          <w:sz w:val="20"/>
          <w:szCs w:val="20"/>
        </w:rPr>
      </w:pPr>
      <w:r>
        <w:rPr>
          <w:rFonts w:ascii="Arial" w:eastAsia="Arial" w:hAnsi="Arial" w:cs="Arial"/>
          <w:sz w:val="20"/>
          <w:szCs w:val="20"/>
        </w:rPr>
        <w:t xml:space="preserve">The </w:t>
      </w:r>
      <w:proofErr w:type="spellStart"/>
      <w:r>
        <w:rPr>
          <w:rFonts w:ascii="Arial" w:eastAsia="Arial" w:hAnsi="Arial" w:cs="Arial"/>
          <w:sz w:val="20"/>
          <w:szCs w:val="20"/>
        </w:rPr>
        <w:t>Bharatiya</w:t>
      </w:r>
      <w:proofErr w:type="spellEnd"/>
      <w:r>
        <w:rPr>
          <w:rFonts w:ascii="Arial" w:eastAsia="Arial" w:hAnsi="Arial" w:cs="Arial"/>
          <w:sz w:val="20"/>
          <w:szCs w:val="20"/>
        </w:rPr>
        <w:t xml:space="preserve"> Nyaya Sanhita (BNS) Section 82 (which replaced Indian Penal Code’s Section 494 in 2024) prohibits polygamy with up to a seven-year imprisonment (non-cognizable, bailable, compoundable). The Hindu Marriage Act also prohibits polygamy, but Muslim women are denied equal protection. Section 2 of the Muslim Personal Law (</w:t>
      </w:r>
      <w:proofErr w:type="spellStart"/>
      <w:r>
        <w:rPr>
          <w:rFonts w:ascii="Arial" w:eastAsia="Arial" w:hAnsi="Arial" w:cs="Arial"/>
          <w:sz w:val="20"/>
          <w:szCs w:val="20"/>
        </w:rPr>
        <w:t>Shariat</w:t>
      </w:r>
      <w:proofErr w:type="spellEnd"/>
      <w:r>
        <w:rPr>
          <w:rFonts w:ascii="Arial" w:eastAsia="Arial" w:hAnsi="Arial" w:cs="Arial"/>
          <w:sz w:val="20"/>
          <w:szCs w:val="20"/>
        </w:rPr>
        <w:t xml:space="preserve">) Application Act, 1937 states that notwithstanding any custom or usage to the contrary, in questions of marriage where the parties are Muslims, the rule of the decision shall be the Muslim Personal Law. </w:t>
      </w:r>
    </w:p>
    <w:p w14:paraId="6C7195A0" w14:textId="77777777" w:rsidR="00F45E68" w:rsidRDefault="00000000">
      <w:pPr>
        <w:spacing w:before="240" w:after="240" w:line="276" w:lineRule="auto"/>
        <w:jc w:val="both"/>
        <w:rPr>
          <w:rFonts w:ascii="Arial" w:eastAsia="Arial" w:hAnsi="Arial" w:cs="Arial"/>
          <w:sz w:val="20"/>
          <w:szCs w:val="20"/>
        </w:rPr>
      </w:pPr>
      <w:r>
        <w:rPr>
          <w:rFonts w:ascii="Arial" w:eastAsia="Arial" w:hAnsi="Arial" w:cs="Arial"/>
          <w:sz w:val="20"/>
          <w:szCs w:val="20"/>
        </w:rPr>
        <w:t xml:space="preserve">A Supreme Court judgment looking at bigamous marriage in Khurshid Ahmed Khan vs state of UP and Orissa 9/2/2015, SC 1662/2015 argued that polygamy cannot be seen as an 'integral part of religion' and so does not receive constitutional protection under Article 25. It also argued that any law in </w:t>
      </w:r>
      <w:proofErr w:type="spellStart"/>
      <w:r>
        <w:rPr>
          <w:rFonts w:ascii="Arial" w:eastAsia="Arial" w:hAnsi="Arial" w:cs="Arial"/>
          <w:sz w:val="20"/>
          <w:szCs w:val="20"/>
        </w:rPr>
        <w:t>favour</w:t>
      </w:r>
      <w:proofErr w:type="spellEnd"/>
      <w:r>
        <w:rPr>
          <w:rFonts w:ascii="Arial" w:eastAsia="Arial" w:hAnsi="Arial" w:cs="Arial"/>
          <w:sz w:val="20"/>
          <w:szCs w:val="20"/>
        </w:rPr>
        <w:t xml:space="preserve"> of monogamy did not violate Article 25. Various High Courts have also made this case. Indian Constitution provides explicitly for equality and non-discrimination and protects personal laws insofar as they do not violate these essential articles.</w:t>
      </w:r>
    </w:p>
    <w:p w14:paraId="5C86073F" w14:textId="77777777" w:rsidR="00F45E68" w:rsidRDefault="00000000">
      <w:pPr>
        <w:spacing w:before="240" w:after="240" w:line="276" w:lineRule="auto"/>
        <w:jc w:val="both"/>
        <w:rPr>
          <w:rFonts w:ascii="Arial" w:eastAsia="Arial" w:hAnsi="Arial" w:cs="Arial"/>
          <w:sz w:val="20"/>
          <w:szCs w:val="20"/>
        </w:rPr>
      </w:pPr>
      <w:r>
        <w:rPr>
          <w:rFonts w:ascii="Arial" w:eastAsia="Arial" w:hAnsi="Arial" w:cs="Arial"/>
          <w:sz w:val="20"/>
          <w:szCs w:val="20"/>
        </w:rPr>
        <w:t xml:space="preserve">However, in the absence of a codified law, in practice there are no conditions stipulated if polygamy is to happen. Legally/statutorily a man is not expected to inform his existing wife, nor take her permission before marrying another woman. Advocates argue that polygamy blatantly violates Article 14 of the Indian Constitution on equality, as the lived realities reveal the harms of polygamy. </w:t>
      </w:r>
    </w:p>
    <w:tbl>
      <w:tblPr>
        <w:tblStyle w:val="a1"/>
        <w:tblW w:w="89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920"/>
      </w:tblGrid>
      <w:tr w:rsidR="00F45E68" w14:paraId="5AC3D7CA" w14:textId="77777777">
        <w:tc>
          <w:tcPr>
            <w:tcW w:w="8920" w:type="dxa"/>
            <w:shd w:val="clear" w:color="auto" w:fill="auto"/>
            <w:tcMar>
              <w:top w:w="100" w:type="dxa"/>
              <w:left w:w="100" w:type="dxa"/>
              <w:bottom w:w="100" w:type="dxa"/>
              <w:right w:w="100" w:type="dxa"/>
            </w:tcMar>
          </w:tcPr>
          <w:sdt>
            <w:sdtPr>
              <w:tag w:val="goog_rdk_1"/>
              <w:id w:val="-239686875"/>
              <w:lock w:val="contentLocked"/>
            </w:sdtPr>
            <w:sdtContent>
              <w:p w14:paraId="1CD0D9ED" w14:textId="77777777" w:rsidR="00F45E68" w:rsidRDefault="00000000">
                <w:pPr>
                  <w:spacing w:before="240" w:after="240" w:line="276" w:lineRule="auto"/>
                  <w:jc w:val="both"/>
                  <w:rPr>
                    <w:rFonts w:ascii="Arial" w:eastAsia="Arial" w:hAnsi="Arial" w:cs="Arial"/>
                    <w:sz w:val="20"/>
                    <w:szCs w:val="20"/>
                  </w:rPr>
                </w:pPr>
                <w:r>
                  <w:rPr>
                    <w:rFonts w:ascii="Arial" w:eastAsia="Arial" w:hAnsi="Arial" w:cs="Arial"/>
                    <w:sz w:val="20"/>
                    <w:szCs w:val="20"/>
                  </w:rPr>
                  <w:t xml:space="preserve">According to BMMA’s survey findings, polygamy is practiced within the Muslim communities, and has social, psychological, physical and financial impacts on women and families. In the study 91.7% of participants surveyed did not want their husband to have another wife, 73% wanted their husband should be punished, 84% said it should be made illegal, 50% faced mental trauma such as depression, self blame, lack of sleep, aches and pains, suicidal tendencies etc. </w:t>
                </w:r>
              </w:p>
              <w:p w14:paraId="13450B01" w14:textId="77777777" w:rsidR="00F45E68" w:rsidRDefault="00000000">
                <w:pPr>
                  <w:spacing w:before="240" w:after="240" w:line="276" w:lineRule="auto"/>
                  <w:rPr>
                    <w:rFonts w:ascii="Arial" w:eastAsia="Arial" w:hAnsi="Arial" w:cs="Arial"/>
                    <w:i/>
                    <w:sz w:val="18"/>
                    <w:szCs w:val="18"/>
                  </w:rPr>
                </w:pPr>
                <w:r>
                  <w:rPr>
                    <w:rFonts w:ascii="Arial" w:eastAsia="Arial" w:hAnsi="Arial" w:cs="Arial"/>
                    <w:sz w:val="18"/>
                    <w:szCs w:val="18"/>
                  </w:rPr>
                  <w:t xml:space="preserve">Source: BMMA India (2016). </w:t>
                </w:r>
                <w:r>
                  <w:rPr>
                    <w:rFonts w:ascii="Arial" w:eastAsia="Arial" w:hAnsi="Arial" w:cs="Arial"/>
                    <w:i/>
                    <w:sz w:val="18"/>
                    <w:szCs w:val="18"/>
                  </w:rPr>
                  <w:t xml:space="preserve">Seeking Justice Within Family - National Study on Muslim Women’s Views on Reforms in Muslim Personal Law </w:t>
                </w:r>
                <w:hyperlink r:id="rId19">
                  <w:r>
                    <w:rPr>
                      <w:rFonts w:ascii="Arial" w:eastAsia="Arial" w:hAnsi="Arial" w:cs="Arial"/>
                      <w:i/>
                      <w:color w:val="1155CC"/>
                      <w:sz w:val="18"/>
                      <w:szCs w:val="18"/>
                      <w:u w:val="single"/>
                    </w:rPr>
                    <w:t>https://wunrn.com/wp-content/uploads/BMMA-Seeking-Justice-Final.pdf</w:t>
                  </w:r>
                </w:hyperlink>
                <w:r>
                  <w:rPr>
                    <w:rFonts w:ascii="Arial" w:eastAsia="Arial" w:hAnsi="Arial" w:cs="Arial"/>
                    <w:i/>
                    <w:sz w:val="18"/>
                    <w:szCs w:val="18"/>
                  </w:rPr>
                  <w:t xml:space="preserve"> </w:t>
                </w:r>
              </w:p>
            </w:sdtContent>
          </w:sdt>
        </w:tc>
      </w:tr>
    </w:tbl>
    <w:p w14:paraId="263A4397" w14:textId="77777777" w:rsidR="00F45E68" w:rsidRDefault="00000000">
      <w:pPr>
        <w:spacing w:before="240" w:after="240" w:line="276" w:lineRule="auto"/>
        <w:jc w:val="both"/>
        <w:rPr>
          <w:rFonts w:ascii="Arial" w:eastAsia="Arial" w:hAnsi="Arial" w:cs="Arial"/>
          <w:sz w:val="20"/>
          <w:szCs w:val="20"/>
          <w:highlight w:val="yellow"/>
        </w:rPr>
      </w:pPr>
      <w:r>
        <w:rPr>
          <w:rFonts w:ascii="Arial" w:eastAsia="Arial" w:hAnsi="Arial" w:cs="Arial"/>
          <w:sz w:val="20"/>
          <w:szCs w:val="20"/>
        </w:rPr>
        <w:t xml:space="preserve">Polygamy is restricted in other Muslim contexts, such as Algeria, Bahrain, Malaysia, and Morocco, and completely prohibited in Tunisia, Turkey, </w:t>
      </w:r>
      <w:proofErr w:type="gramStart"/>
      <w:r>
        <w:rPr>
          <w:rFonts w:ascii="Arial" w:eastAsia="Arial" w:hAnsi="Arial" w:cs="Arial"/>
          <w:sz w:val="20"/>
          <w:szCs w:val="20"/>
        </w:rPr>
        <w:t>Kyrgyzstan ,</w:t>
      </w:r>
      <w:proofErr w:type="gramEnd"/>
      <w:r>
        <w:rPr>
          <w:rFonts w:ascii="Arial" w:eastAsia="Arial" w:hAnsi="Arial" w:cs="Arial"/>
          <w:sz w:val="20"/>
          <w:szCs w:val="20"/>
        </w:rPr>
        <w:t xml:space="preserve"> Tajikistan and Uzbekistan.</w:t>
      </w:r>
    </w:p>
    <w:p w14:paraId="243FBE37" w14:textId="77777777" w:rsidR="00F45E68" w:rsidRDefault="00000000">
      <w:pPr>
        <w:pStyle w:val="Heading2"/>
        <w:numPr>
          <w:ilvl w:val="0"/>
          <w:numId w:val="1"/>
        </w:numPr>
        <w:spacing w:before="240" w:after="240" w:line="276" w:lineRule="auto"/>
      </w:pPr>
      <w:bookmarkStart w:id="7" w:name="_Toc210037052"/>
      <w:r>
        <w:t>Financial Security during and after Marriage</w:t>
      </w:r>
      <w:bookmarkEnd w:id="7"/>
    </w:p>
    <w:p w14:paraId="3C710CF6" w14:textId="77777777" w:rsidR="00F45E68" w:rsidRDefault="00000000">
      <w:pPr>
        <w:spacing w:before="240" w:after="240" w:line="276" w:lineRule="auto"/>
        <w:jc w:val="both"/>
        <w:rPr>
          <w:rFonts w:ascii="Arial" w:eastAsia="Arial" w:hAnsi="Arial" w:cs="Arial"/>
          <w:sz w:val="20"/>
          <w:szCs w:val="20"/>
        </w:rPr>
      </w:pPr>
      <w:proofErr w:type="spellStart"/>
      <w:r>
        <w:rPr>
          <w:rFonts w:ascii="Arial" w:eastAsia="Arial" w:hAnsi="Arial" w:cs="Arial"/>
          <w:b/>
          <w:i/>
          <w:sz w:val="20"/>
          <w:szCs w:val="20"/>
        </w:rPr>
        <w:t>Mehr</w:t>
      </w:r>
      <w:proofErr w:type="spellEnd"/>
      <w:r>
        <w:rPr>
          <w:rFonts w:ascii="Arial" w:eastAsia="Arial" w:hAnsi="Arial" w:cs="Arial"/>
          <w:b/>
          <w:i/>
          <w:sz w:val="20"/>
          <w:szCs w:val="20"/>
        </w:rPr>
        <w:t xml:space="preserve"> - Dower:</w:t>
      </w:r>
      <w:r>
        <w:rPr>
          <w:rFonts w:ascii="Arial" w:eastAsia="Arial" w:hAnsi="Arial" w:cs="Arial"/>
          <w:sz w:val="20"/>
          <w:szCs w:val="20"/>
        </w:rPr>
        <w:t xml:space="preserve"> In Islamic tradition, Muslim women are entitled to receive </w:t>
      </w:r>
      <w:proofErr w:type="spellStart"/>
      <w:r>
        <w:rPr>
          <w:rFonts w:ascii="Arial" w:eastAsia="Arial" w:hAnsi="Arial" w:cs="Arial"/>
          <w:i/>
          <w:sz w:val="20"/>
          <w:szCs w:val="20"/>
        </w:rPr>
        <w:t>mehr</w:t>
      </w:r>
      <w:proofErr w:type="spellEnd"/>
      <w:r>
        <w:rPr>
          <w:rFonts w:ascii="Arial" w:eastAsia="Arial" w:hAnsi="Arial" w:cs="Arial"/>
          <w:sz w:val="20"/>
          <w:szCs w:val="20"/>
        </w:rPr>
        <w:t xml:space="preserve"> (dower) as a gift from the groom during the time of solemnization of the marriage, intended to contribute towards her financial security. However, in practice, and in the absence of a clear codified provision, a token amount of </w:t>
      </w:r>
      <w:proofErr w:type="spellStart"/>
      <w:r>
        <w:rPr>
          <w:rFonts w:ascii="Arial" w:eastAsia="Arial" w:hAnsi="Arial" w:cs="Arial"/>
          <w:sz w:val="20"/>
          <w:szCs w:val="20"/>
        </w:rPr>
        <w:t>mehr</w:t>
      </w:r>
      <w:proofErr w:type="spellEnd"/>
      <w:r>
        <w:rPr>
          <w:rFonts w:ascii="Arial" w:eastAsia="Arial" w:hAnsi="Arial" w:cs="Arial"/>
          <w:sz w:val="20"/>
          <w:szCs w:val="20"/>
        </w:rPr>
        <w:t xml:space="preserve"> is given to brides, or deferred to future events like divorce or widowhood. BMMA study reveals that 40% of the respondents received less than Rs. </w:t>
      </w:r>
      <w:proofErr w:type="gramStart"/>
      <w:r>
        <w:rPr>
          <w:rFonts w:ascii="Arial" w:eastAsia="Arial" w:hAnsi="Arial" w:cs="Arial"/>
          <w:sz w:val="20"/>
          <w:szCs w:val="20"/>
        </w:rPr>
        <w:t>1000  as</w:t>
      </w:r>
      <w:proofErr w:type="gramEnd"/>
      <w:r>
        <w:rPr>
          <w:rFonts w:ascii="Arial" w:eastAsia="Arial" w:hAnsi="Arial" w:cs="Arial"/>
          <w:sz w:val="20"/>
          <w:szCs w:val="20"/>
        </w:rPr>
        <w:t xml:space="preserve"> </w:t>
      </w:r>
      <w:proofErr w:type="spellStart"/>
      <w:r>
        <w:rPr>
          <w:rFonts w:ascii="Arial" w:eastAsia="Arial" w:hAnsi="Arial" w:cs="Arial"/>
          <w:sz w:val="20"/>
          <w:szCs w:val="20"/>
        </w:rPr>
        <w:t>mehr</w:t>
      </w:r>
      <w:proofErr w:type="spellEnd"/>
      <w:r>
        <w:rPr>
          <w:rFonts w:ascii="Arial" w:eastAsia="Arial" w:hAnsi="Arial" w:cs="Arial"/>
          <w:sz w:val="20"/>
          <w:szCs w:val="20"/>
        </w:rPr>
        <w:t xml:space="preserve"> ($11). In practice, it is also common for the </w:t>
      </w:r>
      <w:proofErr w:type="spellStart"/>
      <w:r>
        <w:rPr>
          <w:rFonts w:ascii="Arial" w:eastAsia="Arial" w:hAnsi="Arial" w:cs="Arial"/>
          <w:i/>
          <w:sz w:val="20"/>
          <w:szCs w:val="20"/>
        </w:rPr>
        <w:t>mehr</w:t>
      </w:r>
      <w:proofErr w:type="spellEnd"/>
      <w:r>
        <w:rPr>
          <w:rFonts w:ascii="Arial" w:eastAsia="Arial" w:hAnsi="Arial" w:cs="Arial"/>
          <w:i/>
          <w:sz w:val="20"/>
          <w:szCs w:val="20"/>
        </w:rPr>
        <w:t xml:space="preserve"> </w:t>
      </w:r>
      <w:r>
        <w:rPr>
          <w:rFonts w:ascii="Arial" w:eastAsia="Arial" w:hAnsi="Arial" w:cs="Arial"/>
          <w:sz w:val="20"/>
          <w:szCs w:val="20"/>
        </w:rPr>
        <w:t xml:space="preserve">to be returned to the husband if the wife initiates the divorce, even in instances where she has faced harm within marriage. </w:t>
      </w:r>
    </w:p>
    <w:p w14:paraId="580B100F" w14:textId="77777777" w:rsidR="00F45E68" w:rsidRDefault="00000000">
      <w:pPr>
        <w:spacing w:before="240" w:after="240" w:line="276" w:lineRule="auto"/>
        <w:jc w:val="both"/>
        <w:rPr>
          <w:rFonts w:ascii="Arial" w:eastAsia="Arial" w:hAnsi="Arial" w:cs="Arial"/>
          <w:sz w:val="20"/>
          <w:szCs w:val="20"/>
        </w:rPr>
      </w:pPr>
      <w:r>
        <w:rPr>
          <w:rFonts w:ascii="Arial" w:eastAsia="Arial" w:hAnsi="Arial" w:cs="Arial"/>
          <w:b/>
          <w:i/>
          <w:sz w:val="20"/>
          <w:szCs w:val="20"/>
        </w:rPr>
        <w:lastRenderedPageBreak/>
        <w:t xml:space="preserve">Maintenance: </w:t>
      </w:r>
      <w:r>
        <w:rPr>
          <w:rFonts w:ascii="Arial" w:eastAsia="Arial" w:hAnsi="Arial" w:cs="Arial"/>
          <w:sz w:val="20"/>
          <w:szCs w:val="20"/>
        </w:rPr>
        <w:t xml:space="preserve">The law of maintenance within marriage in the </w:t>
      </w:r>
      <w:proofErr w:type="spellStart"/>
      <w:r>
        <w:rPr>
          <w:rFonts w:ascii="Arial" w:eastAsia="Arial" w:hAnsi="Arial" w:cs="Arial"/>
          <w:sz w:val="20"/>
          <w:szCs w:val="20"/>
        </w:rPr>
        <w:t>Bharatiya</w:t>
      </w:r>
      <w:proofErr w:type="spellEnd"/>
      <w:r>
        <w:rPr>
          <w:rFonts w:ascii="Arial" w:eastAsia="Arial" w:hAnsi="Arial" w:cs="Arial"/>
          <w:sz w:val="20"/>
          <w:szCs w:val="20"/>
        </w:rPr>
        <w:t xml:space="preserve"> </w:t>
      </w:r>
      <w:proofErr w:type="spellStart"/>
      <w:r>
        <w:rPr>
          <w:rFonts w:ascii="Arial" w:eastAsia="Arial" w:hAnsi="Arial" w:cs="Arial"/>
          <w:sz w:val="20"/>
          <w:szCs w:val="20"/>
        </w:rPr>
        <w:t>Nagarik</w:t>
      </w:r>
      <w:proofErr w:type="spellEnd"/>
      <w:r>
        <w:rPr>
          <w:rFonts w:ascii="Arial" w:eastAsia="Arial" w:hAnsi="Arial" w:cs="Arial"/>
          <w:sz w:val="20"/>
          <w:szCs w:val="20"/>
        </w:rPr>
        <w:t xml:space="preserve"> Suraksha Sanhita (BNSS) is covered under Section 144, which provides for maintenance to a person's wife, children, and parents who are unable to maintain themselves, replaced Section 125 of the previous Code of Criminal Procedure. However, Muslim communities are not subject to this provision. As a </w:t>
      </w:r>
      <w:proofErr w:type="gramStart"/>
      <w:r>
        <w:rPr>
          <w:rFonts w:ascii="Arial" w:eastAsia="Arial" w:hAnsi="Arial" w:cs="Arial"/>
          <w:sz w:val="20"/>
          <w:szCs w:val="20"/>
        </w:rPr>
        <w:t>result</w:t>
      </w:r>
      <w:proofErr w:type="gramEnd"/>
      <w:r>
        <w:rPr>
          <w:rFonts w:ascii="Arial" w:eastAsia="Arial" w:hAnsi="Arial" w:cs="Arial"/>
          <w:sz w:val="20"/>
          <w:szCs w:val="20"/>
        </w:rPr>
        <w:t xml:space="preserve"> there is no guideline, nor legislation governing the right of maintenance for Muslim women. </w:t>
      </w:r>
    </w:p>
    <w:p w14:paraId="3B73EF5C" w14:textId="77777777" w:rsidR="00F45E68" w:rsidRDefault="00000000">
      <w:pPr>
        <w:spacing w:before="240" w:after="240" w:line="276" w:lineRule="auto"/>
        <w:jc w:val="both"/>
        <w:rPr>
          <w:rFonts w:ascii="Arial" w:eastAsia="Arial" w:hAnsi="Arial" w:cs="Arial"/>
          <w:sz w:val="20"/>
          <w:szCs w:val="20"/>
        </w:rPr>
      </w:pPr>
      <w:r>
        <w:rPr>
          <w:rFonts w:ascii="Arial" w:eastAsia="Arial" w:hAnsi="Arial" w:cs="Arial"/>
          <w:sz w:val="20"/>
          <w:szCs w:val="20"/>
        </w:rPr>
        <w:t xml:space="preserve">Post-divorce maintenance is governed by the Muslim Women (Protection of Rights on Divorce) Act, 1986. However, this too lacks clear guidelines on how maintenance is calculated, regulated and implemented. </w:t>
      </w:r>
    </w:p>
    <w:tbl>
      <w:tblPr>
        <w:tblStyle w:val="a2"/>
        <w:tblW w:w="89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920"/>
      </w:tblGrid>
      <w:tr w:rsidR="00F45E68" w14:paraId="58D5FA78" w14:textId="77777777">
        <w:tc>
          <w:tcPr>
            <w:tcW w:w="8920" w:type="dxa"/>
            <w:shd w:val="clear" w:color="auto" w:fill="auto"/>
            <w:tcMar>
              <w:top w:w="100" w:type="dxa"/>
              <w:left w:w="100" w:type="dxa"/>
              <w:bottom w:w="100" w:type="dxa"/>
              <w:right w:w="100" w:type="dxa"/>
            </w:tcMar>
          </w:tcPr>
          <w:sdt>
            <w:sdtPr>
              <w:tag w:val="goog_rdk_2"/>
              <w:id w:val="-97219067"/>
              <w:lock w:val="contentLocked"/>
            </w:sdtPr>
            <w:sdtContent>
              <w:p w14:paraId="69B26314" w14:textId="77777777" w:rsidR="00F45E68" w:rsidRDefault="00000000">
                <w:pPr>
                  <w:spacing w:before="240" w:after="240" w:line="276" w:lineRule="auto"/>
                  <w:jc w:val="both"/>
                  <w:rPr>
                    <w:rFonts w:ascii="Arial" w:eastAsia="Arial" w:hAnsi="Arial" w:cs="Arial"/>
                    <w:sz w:val="20"/>
                    <w:szCs w:val="20"/>
                  </w:rPr>
                </w:pPr>
                <w:r>
                  <w:rPr>
                    <w:rFonts w:ascii="Arial" w:eastAsia="Arial" w:hAnsi="Arial" w:cs="Arial"/>
                    <w:sz w:val="20"/>
                    <w:szCs w:val="20"/>
                  </w:rPr>
                  <w:t xml:space="preserve">As per BMMA’s national study, after divorce Muslim women are left in financially vulnerable situations, as many receive miniscule support from their ex-husbands or their in-laws. 95% of divorced women surveyed did not get any financial support from their former husbands. These figures also coincide with the figures for maintenance of children. 47% of women surveyed had to support their children and while 46% received the support of their parents to do so. </w:t>
                </w:r>
              </w:p>
              <w:p w14:paraId="7B8FDB1E" w14:textId="77777777" w:rsidR="00F45E68" w:rsidRDefault="00000000">
                <w:pPr>
                  <w:spacing w:before="240" w:after="240" w:line="276" w:lineRule="auto"/>
                  <w:rPr>
                    <w:rFonts w:ascii="Arial" w:eastAsia="Arial" w:hAnsi="Arial" w:cs="Arial"/>
                    <w:i/>
                    <w:sz w:val="18"/>
                    <w:szCs w:val="18"/>
                  </w:rPr>
                </w:pPr>
                <w:r>
                  <w:rPr>
                    <w:rFonts w:ascii="Arial" w:eastAsia="Arial" w:hAnsi="Arial" w:cs="Arial"/>
                    <w:sz w:val="18"/>
                    <w:szCs w:val="18"/>
                  </w:rPr>
                  <w:t xml:space="preserve">Source: BMMA India (2016). </w:t>
                </w:r>
                <w:r>
                  <w:rPr>
                    <w:rFonts w:ascii="Arial" w:eastAsia="Arial" w:hAnsi="Arial" w:cs="Arial"/>
                    <w:i/>
                    <w:sz w:val="18"/>
                    <w:szCs w:val="18"/>
                  </w:rPr>
                  <w:t xml:space="preserve">Seeking Justice Within Family - National Study on Muslim Women’s Views on Reforms in Muslim Personal Law </w:t>
                </w:r>
                <w:hyperlink r:id="rId20">
                  <w:r>
                    <w:rPr>
                      <w:rFonts w:ascii="Arial" w:eastAsia="Arial" w:hAnsi="Arial" w:cs="Arial"/>
                      <w:i/>
                      <w:color w:val="1155CC"/>
                      <w:sz w:val="18"/>
                      <w:szCs w:val="18"/>
                      <w:u w:val="single"/>
                    </w:rPr>
                    <w:t>https://wunrn.com/wp-content/uploads/BMMA-Seeking-Justice-Final.pdf</w:t>
                  </w:r>
                </w:hyperlink>
                <w:r>
                  <w:rPr>
                    <w:rFonts w:ascii="Arial" w:eastAsia="Arial" w:hAnsi="Arial" w:cs="Arial"/>
                    <w:i/>
                    <w:sz w:val="18"/>
                    <w:szCs w:val="18"/>
                  </w:rPr>
                  <w:t xml:space="preserve"> </w:t>
                </w:r>
              </w:p>
            </w:sdtContent>
          </w:sdt>
        </w:tc>
      </w:tr>
    </w:tbl>
    <w:p w14:paraId="23F6AF14" w14:textId="77777777" w:rsidR="00013016" w:rsidRDefault="00013016" w:rsidP="00013016">
      <w:pPr>
        <w:pStyle w:val="Heading2"/>
        <w:spacing w:before="240" w:after="240" w:line="276" w:lineRule="auto"/>
        <w:ind w:left="0" w:firstLine="0"/>
      </w:pPr>
    </w:p>
    <w:p w14:paraId="49A751CE" w14:textId="77777777" w:rsidR="00F45E68" w:rsidRDefault="00000000">
      <w:pPr>
        <w:pStyle w:val="Heading2"/>
        <w:numPr>
          <w:ilvl w:val="0"/>
          <w:numId w:val="1"/>
        </w:numPr>
        <w:spacing w:before="240" w:after="240" w:line="276" w:lineRule="auto"/>
      </w:pPr>
      <w:bookmarkStart w:id="8" w:name="_Toc210037053"/>
      <w:r>
        <w:t>Marriage Registration</w:t>
      </w:r>
      <w:bookmarkEnd w:id="8"/>
    </w:p>
    <w:p w14:paraId="32FA26E0" w14:textId="77777777" w:rsidR="00F45E68" w:rsidRDefault="00000000">
      <w:pPr>
        <w:spacing w:before="240" w:after="240" w:line="276" w:lineRule="auto"/>
        <w:jc w:val="both"/>
        <w:rPr>
          <w:rFonts w:ascii="Arial" w:eastAsia="Arial" w:hAnsi="Arial" w:cs="Arial"/>
          <w:sz w:val="20"/>
          <w:szCs w:val="20"/>
        </w:rPr>
      </w:pPr>
      <w:r>
        <w:rPr>
          <w:rFonts w:ascii="Arial" w:eastAsia="Arial" w:hAnsi="Arial" w:cs="Arial"/>
          <w:sz w:val="20"/>
          <w:szCs w:val="20"/>
        </w:rPr>
        <w:t>The registration of Muslim marriages is governed by The Muslim Personal Law (</w:t>
      </w:r>
      <w:proofErr w:type="spellStart"/>
      <w:r>
        <w:rPr>
          <w:rFonts w:ascii="Arial" w:eastAsia="Arial" w:hAnsi="Arial" w:cs="Arial"/>
          <w:sz w:val="20"/>
          <w:szCs w:val="20"/>
        </w:rPr>
        <w:t>Shariat</w:t>
      </w:r>
      <w:proofErr w:type="spellEnd"/>
      <w:r>
        <w:rPr>
          <w:rFonts w:ascii="Arial" w:eastAsia="Arial" w:hAnsi="Arial" w:cs="Arial"/>
          <w:sz w:val="20"/>
          <w:szCs w:val="20"/>
        </w:rPr>
        <w:t>) Application Act, 1937. This act mandates that Muslim personal law (Islamic law/</w:t>
      </w:r>
      <w:r>
        <w:rPr>
          <w:rFonts w:ascii="Arial" w:eastAsia="Arial" w:hAnsi="Arial" w:cs="Arial"/>
          <w:i/>
          <w:sz w:val="20"/>
          <w:szCs w:val="20"/>
        </w:rPr>
        <w:t xml:space="preserve">Shariah) </w:t>
      </w:r>
      <w:r>
        <w:rPr>
          <w:rFonts w:ascii="Arial" w:eastAsia="Arial" w:hAnsi="Arial" w:cs="Arial"/>
          <w:sz w:val="20"/>
          <w:szCs w:val="20"/>
        </w:rPr>
        <w:t xml:space="preserve">applies to Muslims for their marriage and family matters, including marriage, succession, and inheritance for Muslims. However, to issue Muslim marriage certificates, different states have different guide lines. There are some states for which marriage registration is compulsory and for some it is not. These laws are not applicable in Goa state, where the Goa Civil Code is applicable for all persons irrespective of their religion. These laws are also not applicable to Muslims who have married under the Special Marriage Act, 1954. While other religious communities in India have codified laws, Muslim personal law is not codified in India. In practice, a system of private registration of marriages with </w:t>
      </w:r>
      <w:proofErr w:type="spellStart"/>
      <w:r>
        <w:rPr>
          <w:rFonts w:ascii="Arial" w:eastAsia="Arial" w:hAnsi="Arial" w:cs="Arial"/>
          <w:i/>
          <w:sz w:val="20"/>
          <w:szCs w:val="20"/>
        </w:rPr>
        <w:t>qazis</w:t>
      </w:r>
      <w:proofErr w:type="spellEnd"/>
      <w:r>
        <w:rPr>
          <w:rFonts w:ascii="Arial" w:eastAsia="Arial" w:hAnsi="Arial" w:cs="Arial"/>
          <w:i/>
          <w:sz w:val="20"/>
          <w:szCs w:val="20"/>
        </w:rPr>
        <w:t xml:space="preserve"> </w:t>
      </w:r>
      <w:r>
        <w:rPr>
          <w:rFonts w:ascii="Arial" w:eastAsia="Arial" w:hAnsi="Arial" w:cs="Arial"/>
          <w:sz w:val="20"/>
          <w:szCs w:val="20"/>
        </w:rPr>
        <w:t>(Muslim judges)</w:t>
      </w:r>
      <w:r>
        <w:rPr>
          <w:rFonts w:ascii="Arial" w:eastAsia="Arial" w:hAnsi="Arial" w:cs="Arial"/>
          <w:i/>
          <w:sz w:val="20"/>
          <w:szCs w:val="20"/>
        </w:rPr>
        <w:t xml:space="preserve"> </w:t>
      </w:r>
      <w:r>
        <w:rPr>
          <w:rFonts w:ascii="Arial" w:eastAsia="Arial" w:hAnsi="Arial" w:cs="Arial"/>
          <w:sz w:val="20"/>
          <w:szCs w:val="20"/>
        </w:rPr>
        <w:t>has always prevailed among the Indian Muslims.</w:t>
      </w:r>
    </w:p>
    <w:tbl>
      <w:tblPr>
        <w:tblStyle w:val="a3"/>
        <w:tblW w:w="89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920"/>
      </w:tblGrid>
      <w:tr w:rsidR="00F45E68" w14:paraId="20DB233A" w14:textId="77777777">
        <w:tc>
          <w:tcPr>
            <w:tcW w:w="8920" w:type="dxa"/>
            <w:shd w:val="clear" w:color="auto" w:fill="auto"/>
            <w:tcMar>
              <w:top w:w="100" w:type="dxa"/>
              <w:left w:w="100" w:type="dxa"/>
              <w:bottom w:w="100" w:type="dxa"/>
              <w:right w:w="100" w:type="dxa"/>
            </w:tcMar>
          </w:tcPr>
          <w:sdt>
            <w:sdtPr>
              <w:tag w:val="goog_rdk_3"/>
              <w:id w:val="1245182334"/>
              <w:lock w:val="contentLocked"/>
            </w:sdtPr>
            <w:sdtContent>
              <w:p w14:paraId="41B22D73" w14:textId="77777777" w:rsidR="00F45E68" w:rsidRDefault="00000000">
                <w:pPr>
                  <w:spacing w:before="240" w:after="240" w:line="276" w:lineRule="auto"/>
                  <w:jc w:val="both"/>
                  <w:rPr>
                    <w:rFonts w:ascii="Arial" w:eastAsia="Arial" w:hAnsi="Arial" w:cs="Arial"/>
                    <w:sz w:val="20"/>
                    <w:szCs w:val="20"/>
                  </w:rPr>
                </w:pPr>
                <w:r>
                  <w:rPr>
                    <w:rFonts w:ascii="Arial" w:eastAsia="Arial" w:hAnsi="Arial" w:cs="Arial"/>
                    <w:sz w:val="20"/>
                    <w:szCs w:val="20"/>
                  </w:rPr>
                  <w:t xml:space="preserve">A study by BMMA revealed that more than 47% of Muslim women do not have a marriage contract </w:t>
                </w:r>
                <w:r>
                  <w:rPr>
                    <w:rFonts w:ascii="Arial" w:eastAsia="Arial" w:hAnsi="Arial" w:cs="Arial"/>
                    <w:i/>
                    <w:sz w:val="20"/>
                    <w:szCs w:val="20"/>
                  </w:rPr>
                  <w:t>(nikahnama)</w:t>
                </w:r>
                <w:r>
                  <w:rPr>
                    <w:rFonts w:ascii="Arial" w:eastAsia="Arial" w:hAnsi="Arial" w:cs="Arial"/>
                    <w:sz w:val="20"/>
                    <w:szCs w:val="20"/>
                  </w:rPr>
                  <w:t xml:space="preserve">. Out of the 2219 respondents without a </w:t>
                </w:r>
                <w:r>
                  <w:rPr>
                    <w:rFonts w:ascii="Arial" w:eastAsia="Arial" w:hAnsi="Arial" w:cs="Arial"/>
                    <w:i/>
                    <w:sz w:val="20"/>
                    <w:szCs w:val="20"/>
                  </w:rPr>
                  <w:t>nikahnama</w:t>
                </w:r>
                <w:r>
                  <w:rPr>
                    <w:rFonts w:ascii="Arial" w:eastAsia="Arial" w:hAnsi="Arial" w:cs="Arial"/>
                    <w:sz w:val="20"/>
                    <w:szCs w:val="20"/>
                  </w:rPr>
                  <w:t xml:space="preserve">, 1185 women (53%) did not know its whereabouts or whether it was made at all. Moreover, 835 responded that they had knowledge of the existence of a nikahnama, but were not given a copy of it, while 205 women stated that no nikahnama was made. Over 75% of women had not read the nikahnama before signing, reducing this critical document to a formality. </w:t>
                </w:r>
              </w:p>
              <w:p w14:paraId="6B8678F4" w14:textId="77777777" w:rsidR="00F45E68" w:rsidRDefault="00000000">
                <w:pPr>
                  <w:spacing w:before="240" w:after="240" w:line="276" w:lineRule="auto"/>
                  <w:rPr>
                    <w:rFonts w:ascii="Arial" w:eastAsia="Arial" w:hAnsi="Arial" w:cs="Arial"/>
                    <w:i/>
                    <w:sz w:val="18"/>
                    <w:szCs w:val="18"/>
                  </w:rPr>
                </w:pPr>
                <w:r>
                  <w:rPr>
                    <w:rFonts w:ascii="Arial" w:eastAsia="Arial" w:hAnsi="Arial" w:cs="Arial"/>
                    <w:sz w:val="18"/>
                    <w:szCs w:val="18"/>
                  </w:rPr>
                  <w:t xml:space="preserve">Source: BMMA India (2016). </w:t>
                </w:r>
                <w:r>
                  <w:rPr>
                    <w:rFonts w:ascii="Arial" w:eastAsia="Arial" w:hAnsi="Arial" w:cs="Arial"/>
                    <w:i/>
                    <w:sz w:val="18"/>
                    <w:szCs w:val="18"/>
                  </w:rPr>
                  <w:t xml:space="preserve">Seeking Justice Within Family - National Study on Muslim Women’s Views on Reforms in Muslim Personal Law </w:t>
                </w:r>
                <w:hyperlink r:id="rId21">
                  <w:r>
                    <w:rPr>
                      <w:rFonts w:ascii="Arial" w:eastAsia="Arial" w:hAnsi="Arial" w:cs="Arial"/>
                      <w:i/>
                      <w:color w:val="1155CC"/>
                      <w:sz w:val="18"/>
                      <w:szCs w:val="18"/>
                      <w:u w:val="single"/>
                    </w:rPr>
                    <w:t>https://wunrn.com/wp-content/uploads/BMMA-Seeking-Justice-Final.pdf</w:t>
                  </w:r>
                </w:hyperlink>
                <w:r>
                  <w:rPr>
                    <w:rFonts w:ascii="Arial" w:eastAsia="Arial" w:hAnsi="Arial" w:cs="Arial"/>
                    <w:i/>
                    <w:sz w:val="18"/>
                    <w:szCs w:val="18"/>
                  </w:rPr>
                  <w:t xml:space="preserve"> </w:t>
                </w:r>
              </w:p>
            </w:sdtContent>
          </w:sdt>
        </w:tc>
      </w:tr>
    </w:tbl>
    <w:p w14:paraId="11E321D8" w14:textId="77777777" w:rsidR="00013016" w:rsidRDefault="00000000">
      <w:pPr>
        <w:spacing w:before="240" w:after="240" w:line="276" w:lineRule="auto"/>
        <w:jc w:val="both"/>
        <w:rPr>
          <w:rFonts w:ascii="Arial" w:eastAsia="Arial" w:hAnsi="Arial" w:cs="Arial"/>
          <w:sz w:val="20"/>
          <w:szCs w:val="20"/>
        </w:rPr>
      </w:pPr>
      <w:r>
        <w:rPr>
          <w:rFonts w:ascii="Arial" w:eastAsia="Arial" w:hAnsi="Arial" w:cs="Arial"/>
          <w:sz w:val="20"/>
          <w:szCs w:val="20"/>
        </w:rPr>
        <w:t xml:space="preserve">The lack of registration impedes access to passports and other citizenship documents. It is important that all Muslim marriages have a mandatorily registered </w:t>
      </w:r>
      <w:proofErr w:type="spellStart"/>
      <w:r>
        <w:rPr>
          <w:rFonts w:ascii="Arial" w:eastAsia="Arial" w:hAnsi="Arial" w:cs="Arial"/>
          <w:sz w:val="20"/>
          <w:szCs w:val="20"/>
        </w:rPr>
        <w:t>nikahnama</w:t>
      </w:r>
      <w:proofErr w:type="spellEnd"/>
      <w:r>
        <w:rPr>
          <w:rFonts w:ascii="Arial" w:eastAsia="Arial" w:hAnsi="Arial" w:cs="Arial"/>
          <w:sz w:val="20"/>
          <w:szCs w:val="20"/>
        </w:rPr>
        <w:t xml:space="preserve"> under the </w:t>
      </w:r>
      <w:proofErr w:type="spellStart"/>
      <w:r>
        <w:rPr>
          <w:rFonts w:ascii="Arial" w:eastAsia="Arial" w:hAnsi="Arial" w:cs="Arial"/>
          <w:sz w:val="20"/>
          <w:szCs w:val="20"/>
        </w:rPr>
        <w:t>Shariat</w:t>
      </w:r>
      <w:proofErr w:type="spellEnd"/>
      <w:r>
        <w:rPr>
          <w:rFonts w:ascii="Arial" w:eastAsia="Arial" w:hAnsi="Arial" w:cs="Arial"/>
          <w:sz w:val="20"/>
          <w:szCs w:val="20"/>
        </w:rPr>
        <w:t xml:space="preserve"> Application Act, 1937, or relevant state laws</w:t>
      </w:r>
      <w:r w:rsidR="00013016">
        <w:rPr>
          <w:rFonts w:ascii="Arial" w:eastAsia="Arial" w:hAnsi="Arial" w:cs="Arial"/>
          <w:sz w:val="20"/>
          <w:szCs w:val="20"/>
        </w:rPr>
        <w:t>.</w:t>
      </w:r>
    </w:p>
    <w:p w14:paraId="519610AB" w14:textId="77777777" w:rsidR="00F45E68" w:rsidRDefault="00000000">
      <w:pPr>
        <w:spacing w:before="240" w:after="240" w:line="276" w:lineRule="auto"/>
        <w:jc w:val="both"/>
        <w:rPr>
          <w:rFonts w:ascii="Arial" w:eastAsia="Arial" w:hAnsi="Arial" w:cs="Arial"/>
          <w:sz w:val="20"/>
          <w:szCs w:val="20"/>
        </w:rPr>
      </w:pPr>
      <w:r>
        <w:rPr>
          <w:rFonts w:ascii="Arial" w:eastAsia="Arial" w:hAnsi="Arial" w:cs="Arial"/>
          <w:sz w:val="20"/>
          <w:szCs w:val="20"/>
        </w:rPr>
        <w:t xml:space="preserve"> </w:t>
      </w:r>
    </w:p>
    <w:p w14:paraId="050A489E" w14:textId="77777777" w:rsidR="00F45E68" w:rsidRDefault="00000000">
      <w:pPr>
        <w:pStyle w:val="Heading2"/>
        <w:numPr>
          <w:ilvl w:val="0"/>
          <w:numId w:val="1"/>
        </w:numPr>
        <w:spacing w:before="240" w:after="240" w:line="276" w:lineRule="auto"/>
      </w:pPr>
      <w:bookmarkStart w:id="9" w:name="_Toc210037054"/>
      <w:r>
        <w:lastRenderedPageBreak/>
        <w:t>Divorce</w:t>
      </w:r>
      <w:bookmarkEnd w:id="9"/>
      <w:r>
        <w:t xml:space="preserve"> </w:t>
      </w:r>
    </w:p>
    <w:p w14:paraId="7690765D" w14:textId="77777777" w:rsidR="00F45E68" w:rsidRDefault="00000000">
      <w:pPr>
        <w:spacing w:before="240" w:after="240" w:line="276" w:lineRule="auto"/>
        <w:jc w:val="both"/>
        <w:rPr>
          <w:rFonts w:ascii="Arial" w:eastAsia="Arial" w:hAnsi="Arial" w:cs="Arial"/>
          <w:sz w:val="20"/>
          <w:szCs w:val="20"/>
        </w:rPr>
      </w:pPr>
      <w:r>
        <w:rPr>
          <w:rFonts w:ascii="Arial" w:eastAsia="Arial" w:hAnsi="Arial" w:cs="Arial"/>
          <w:sz w:val="20"/>
          <w:szCs w:val="20"/>
        </w:rPr>
        <w:t>While the Muslim Women (Protection of Rights on Marriage) Act, 2019 criminalized the practice of instant triple talaq (</w:t>
      </w:r>
      <w:r>
        <w:rPr>
          <w:rFonts w:ascii="Arial" w:eastAsia="Arial" w:hAnsi="Arial" w:cs="Arial"/>
          <w:i/>
          <w:sz w:val="20"/>
          <w:szCs w:val="20"/>
        </w:rPr>
        <w:t>Talaq-e-</w:t>
      </w:r>
      <w:proofErr w:type="spellStart"/>
      <w:r>
        <w:rPr>
          <w:rFonts w:ascii="Arial" w:eastAsia="Arial" w:hAnsi="Arial" w:cs="Arial"/>
          <w:i/>
          <w:sz w:val="20"/>
          <w:szCs w:val="20"/>
        </w:rPr>
        <w:t>Biddat</w:t>
      </w:r>
      <w:proofErr w:type="spellEnd"/>
      <w:r>
        <w:rPr>
          <w:rFonts w:ascii="Arial" w:eastAsia="Arial" w:hAnsi="Arial" w:cs="Arial"/>
          <w:sz w:val="20"/>
          <w:szCs w:val="20"/>
        </w:rPr>
        <w:t>)</w:t>
      </w:r>
      <w:r>
        <w:rPr>
          <w:rFonts w:ascii="Arial" w:eastAsia="Arial" w:hAnsi="Arial" w:cs="Arial"/>
          <w:sz w:val="20"/>
          <w:szCs w:val="20"/>
          <w:vertAlign w:val="superscript"/>
        </w:rPr>
        <w:footnoteReference w:id="5"/>
      </w:r>
      <w:r>
        <w:rPr>
          <w:rFonts w:ascii="Arial" w:eastAsia="Arial" w:hAnsi="Arial" w:cs="Arial"/>
          <w:sz w:val="20"/>
          <w:szCs w:val="20"/>
        </w:rPr>
        <w:t>, it did not establish a comprehensive civil procedure for how divorce should be conducted for Muslims in India. The Dissolution of Muslim Marriages Act, 1939 provides Muslim women with specific grounds to seek divorce through the courts but does not regulate men's divorce practices. As a result, a legal vacuum exists concerning the valid procedure for divorce.</w:t>
      </w:r>
    </w:p>
    <w:tbl>
      <w:tblPr>
        <w:tblStyle w:val="a4"/>
        <w:tblW w:w="89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920"/>
      </w:tblGrid>
      <w:tr w:rsidR="00F45E68" w14:paraId="3B8D39D5" w14:textId="77777777">
        <w:tc>
          <w:tcPr>
            <w:tcW w:w="8920" w:type="dxa"/>
            <w:shd w:val="clear" w:color="auto" w:fill="auto"/>
            <w:tcMar>
              <w:top w:w="100" w:type="dxa"/>
              <w:left w:w="100" w:type="dxa"/>
              <w:bottom w:w="100" w:type="dxa"/>
              <w:right w:w="100" w:type="dxa"/>
            </w:tcMar>
          </w:tcPr>
          <w:sdt>
            <w:sdtPr>
              <w:tag w:val="goog_rdk_4"/>
              <w:id w:val="-602491670"/>
              <w:lock w:val="contentLocked"/>
            </w:sdtPr>
            <w:sdtContent>
              <w:p w14:paraId="1F19CAFE" w14:textId="77777777" w:rsidR="00F45E68" w:rsidRDefault="00000000">
                <w:pPr>
                  <w:spacing w:before="240" w:after="240"/>
                  <w:jc w:val="both"/>
                  <w:rPr>
                    <w:rFonts w:ascii="Arial" w:eastAsia="Arial" w:hAnsi="Arial" w:cs="Arial"/>
                    <w:sz w:val="20"/>
                    <w:szCs w:val="20"/>
                  </w:rPr>
                </w:pPr>
                <w:r>
                  <w:rPr>
                    <w:rFonts w:ascii="Arial" w:eastAsia="Arial" w:hAnsi="Arial" w:cs="Arial"/>
                    <w:sz w:val="20"/>
                    <w:szCs w:val="20"/>
                  </w:rPr>
                  <w:t xml:space="preserve">According to the BMMA study, 93% of women surveyed wanted a compulsory six month arbitration period before a divorce is granted, as reconciliation is considered an important process  in Islamic jurisprudence before any decision of divorce is taken. This and other recommendations addressing gaps and issues pertaining to divorce have been submitted by the BMMA to the government, however, no progress has been made to date. </w:t>
                </w:r>
              </w:p>
            </w:sdtContent>
          </w:sdt>
        </w:tc>
      </w:tr>
    </w:tbl>
    <w:p w14:paraId="33F065C3" w14:textId="77777777" w:rsidR="00F45E68" w:rsidRDefault="00000000">
      <w:pPr>
        <w:spacing w:before="240" w:after="240" w:line="276" w:lineRule="auto"/>
        <w:jc w:val="both"/>
        <w:rPr>
          <w:rFonts w:ascii="Arial" w:eastAsia="Arial" w:hAnsi="Arial" w:cs="Arial"/>
          <w:sz w:val="20"/>
          <w:szCs w:val="20"/>
        </w:rPr>
      </w:pPr>
      <w:r>
        <w:rPr>
          <w:rFonts w:ascii="Arial" w:eastAsia="Arial" w:hAnsi="Arial" w:cs="Arial"/>
          <w:b/>
          <w:i/>
          <w:sz w:val="20"/>
          <w:szCs w:val="20"/>
        </w:rPr>
        <w:t xml:space="preserve">Prevalence of halala </w:t>
      </w:r>
      <w:proofErr w:type="gramStart"/>
      <w:r>
        <w:rPr>
          <w:rFonts w:ascii="Arial" w:eastAsia="Arial" w:hAnsi="Arial" w:cs="Arial"/>
          <w:b/>
          <w:i/>
          <w:sz w:val="20"/>
          <w:szCs w:val="20"/>
        </w:rPr>
        <w:t xml:space="preserve">- </w:t>
      </w:r>
      <w:r>
        <w:rPr>
          <w:sz w:val="20"/>
          <w:szCs w:val="20"/>
        </w:rPr>
        <w:t xml:space="preserve"> </w:t>
      </w:r>
      <w:r>
        <w:rPr>
          <w:rFonts w:ascii="Arial" w:eastAsia="Arial" w:hAnsi="Arial" w:cs="Arial"/>
          <w:i/>
          <w:sz w:val="20"/>
          <w:szCs w:val="20"/>
        </w:rPr>
        <w:t>Halala</w:t>
      </w:r>
      <w:proofErr w:type="gramEnd"/>
      <w:r>
        <w:rPr>
          <w:rFonts w:ascii="Arial" w:eastAsia="Arial" w:hAnsi="Arial" w:cs="Arial"/>
          <w:sz w:val="20"/>
          <w:szCs w:val="20"/>
        </w:rPr>
        <w:t xml:space="preserve"> is a practice in which a Muslim woman, after being divorced by her husband by triple talaq, is forced to marry another man, consummate the marriage, and get divorced again, before reconciling with her previous husband. This occurs in instances when ex-husband want to reconcile the marriage. In BMMA’s national survey, a minority of women were survivors of </w:t>
      </w:r>
      <w:r>
        <w:rPr>
          <w:rFonts w:ascii="Arial" w:eastAsia="Arial" w:hAnsi="Arial" w:cs="Arial"/>
          <w:i/>
          <w:sz w:val="20"/>
          <w:szCs w:val="20"/>
        </w:rPr>
        <w:t xml:space="preserve">halala, </w:t>
      </w:r>
      <w:r>
        <w:rPr>
          <w:rFonts w:ascii="Arial" w:eastAsia="Arial" w:hAnsi="Arial" w:cs="Arial"/>
          <w:sz w:val="20"/>
          <w:szCs w:val="20"/>
        </w:rPr>
        <w:t xml:space="preserve">which can be considered as rape and must be expressly banned. </w:t>
      </w:r>
    </w:p>
    <w:p w14:paraId="287CCB53" w14:textId="77777777" w:rsidR="00013016" w:rsidRDefault="00013016">
      <w:pPr>
        <w:spacing w:before="240" w:after="240" w:line="276" w:lineRule="auto"/>
        <w:jc w:val="both"/>
        <w:rPr>
          <w:rFonts w:ascii="Arial" w:eastAsia="Arial" w:hAnsi="Arial" w:cs="Arial"/>
          <w:sz w:val="20"/>
          <w:szCs w:val="20"/>
        </w:rPr>
      </w:pPr>
    </w:p>
    <w:p w14:paraId="5690EEB1" w14:textId="77777777" w:rsidR="00F45E68" w:rsidRDefault="00000000">
      <w:pPr>
        <w:pStyle w:val="Heading2"/>
        <w:numPr>
          <w:ilvl w:val="0"/>
          <w:numId w:val="1"/>
        </w:numPr>
        <w:spacing w:before="240" w:after="240" w:line="276" w:lineRule="auto"/>
      </w:pPr>
      <w:bookmarkStart w:id="10" w:name="_Toc210037055"/>
      <w:r>
        <w:t>Custody and Guardianship of Children</w:t>
      </w:r>
      <w:bookmarkEnd w:id="10"/>
      <w:r>
        <w:t xml:space="preserve"> </w:t>
      </w:r>
    </w:p>
    <w:p w14:paraId="1121D758" w14:textId="77777777" w:rsidR="00F45E68" w:rsidRDefault="00000000">
      <w:pPr>
        <w:spacing w:before="240" w:after="240" w:line="276" w:lineRule="auto"/>
        <w:jc w:val="both"/>
        <w:rPr>
          <w:rFonts w:ascii="Arial" w:eastAsia="Arial" w:hAnsi="Arial" w:cs="Arial"/>
          <w:sz w:val="20"/>
          <w:szCs w:val="20"/>
        </w:rPr>
      </w:pPr>
      <w:r>
        <w:rPr>
          <w:rFonts w:ascii="Arial" w:eastAsia="Arial" w:hAnsi="Arial" w:cs="Arial"/>
          <w:sz w:val="20"/>
          <w:szCs w:val="20"/>
        </w:rPr>
        <w:t>India lacks a unified codified law on child custody for Muslims. Custody matters, particularly upon divorce, are typically adjudicated by courts based on traditional Islamic legal principles (</w:t>
      </w:r>
      <w:proofErr w:type="spellStart"/>
      <w:r>
        <w:rPr>
          <w:rFonts w:ascii="Arial" w:eastAsia="Arial" w:hAnsi="Arial" w:cs="Arial"/>
          <w:i/>
          <w:sz w:val="20"/>
          <w:szCs w:val="20"/>
        </w:rPr>
        <w:t>fiqh</w:t>
      </w:r>
      <w:proofErr w:type="spellEnd"/>
      <w:r>
        <w:rPr>
          <w:rFonts w:ascii="Arial" w:eastAsia="Arial" w:hAnsi="Arial" w:cs="Arial"/>
          <w:sz w:val="20"/>
          <w:szCs w:val="20"/>
        </w:rPr>
        <w:t>) and the secular Guardians and Wards Act, 1890.</w:t>
      </w:r>
    </w:p>
    <w:p w14:paraId="5A4EF2AE" w14:textId="77777777" w:rsidR="00F45E68" w:rsidRDefault="00000000">
      <w:pPr>
        <w:spacing w:before="240" w:after="240" w:line="276" w:lineRule="auto"/>
        <w:jc w:val="both"/>
        <w:rPr>
          <w:rFonts w:ascii="Arial" w:eastAsia="Arial" w:hAnsi="Arial" w:cs="Arial"/>
          <w:sz w:val="20"/>
          <w:szCs w:val="20"/>
        </w:rPr>
      </w:pPr>
      <w:r>
        <w:rPr>
          <w:rFonts w:ascii="Arial" w:eastAsia="Arial" w:hAnsi="Arial" w:cs="Arial"/>
          <w:sz w:val="20"/>
          <w:szCs w:val="20"/>
        </w:rPr>
        <w:t xml:space="preserve">Traditional uncodified interpretations often grant the mother the right to custody of young children, but this right is not absolute and can be lost under certain conditions, such as if the mother remarries a person not considered a </w:t>
      </w:r>
      <w:r>
        <w:rPr>
          <w:rFonts w:ascii="Arial" w:eastAsia="Arial" w:hAnsi="Arial" w:cs="Arial"/>
          <w:i/>
          <w:sz w:val="20"/>
          <w:szCs w:val="20"/>
        </w:rPr>
        <w:t>mahram</w:t>
      </w:r>
      <w:r>
        <w:rPr>
          <w:rFonts w:ascii="Arial" w:eastAsia="Arial" w:hAnsi="Arial" w:cs="Arial"/>
          <w:sz w:val="20"/>
          <w:szCs w:val="20"/>
        </w:rPr>
        <w:t xml:space="preserve"> to the child. </w:t>
      </w:r>
    </w:p>
    <w:tbl>
      <w:tblPr>
        <w:tblStyle w:val="a5"/>
        <w:tblW w:w="89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920"/>
      </w:tblGrid>
      <w:tr w:rsidR="00F45E68" w14:paraId="49CDD2E9" w14:textId="77777777">
        <w:tc>
          <w:tcPr>
            <w:tcW w:w="8920" w:type="dxa"/>
            <w:shd w:val="clear" w:color="auto" w:fill="auto"/>
            <w:tcMar>
              <w:top w:w="100" w:type="dxa"/>
              <w:left w:w="100" w:type="dxa"/>
              <w:bottom w:w="100" w:type="dxa"/>
              <w:right w:w="100" w:type="dxa"/>
            </w:tcMar>
          </w:tcPr>
          <w:sdt>
            <w:sdtPr>
              <w:tag w:val="goog_rdk_5"/>
              <w:id w:val="797661147"/>
              <w:lock w:val="contentLocked"/>
            </w:sdtPr>
            <w:sdtContent>
              <w:p w14:paraId="21C0E164" w14:textId="77777777" w:rsidR="00F45E68" w:rsidRDefault="00000000">
                <w:pPr>
                  <w:spacing w:before="240" w:after="240" w:line="276" w:lineRule="auto"/>
                  <w:jc w:val="both"/>
                  <w:rPr>
                    <w:rFonts w:ascii="Arial" w:eastAsia="Arial" w:hAnsi="Arial" w:cs="Arial"/>
                    <w:sz w:val="20"/>
                    <w:szCs w:val="20"/>
                  </w:rPr>
                </w:pPr>
                <w:r>
                  <w:rPr>
                    <w:rFonts w:ascii="Arial" w:eastAsia="Arial" w:hAnsi="Arial" w:cs="Arial"/>
                    <w:sz w:val="20"/>
                    <w:szCs w:val="20"/>
                  </w:rPr>
                  <w:t xml:space="preserve">The national study by the BMMA reinforced the known fact that after divorce, women retain custody of children. Out of the total 525 women who were divorced, 324 women retained the custody of their children. </w:t>
                </w:r>
              </w:p>
              <w:p w14:paraId="7F938D8B" w14:textId="77777777" w:rsidR="00F45E68" w:rsidRDefault="00000000">
                <w:pPr>
                  <w:spacing w:before="240" w:after="240" w:line="276" w:lineRule="auto"/>
                  <w:jc w:val="both"/>
                  <w:rPr>
                    <w:rFonts w:ascii="Arial" w:eastAsia="Arial" w:hAnsi="Arial" w:cs="Arial"/>
                    <w:sz w:val="20"/>
                    <w:szCs w:val="20"/>
                  </w:rPr>
                </w:pPr>
                <w:r>
                  <w:rPr>
                    <w:rFonts w:ascii="Arial" w:eastAsia="Arial" w:hAnsi="Arial" w:cs="Arial"/>
                    <w:sz w:val="20"/>
                    <w:szCs w:val="20"/>
                  </w:rPr>
                  <w:t xml:space="preserve">For the future, respondents had clearly indicated that they would want to retain the custody of the children. Almost 89% of women wanted their children to remain with them. The study brought forth the view that 95.6% women think that if the custody of the child/children is with the mother, they should claim maintenance from their ex-husband. The study revealed that 4368 women (92.7%) agreed that while deciding the custody of the child, the consent and well being of the child should be taken into consideration. </w:t>
                </w:r>
              </w:p>
              <w:p w14:paraId="5AAA13FE" w14:textId="77777777" w:rsidR="00F45E68" w:rsidRDefault="00000000">
                <w:pPr>
                  <w:spacing w:before="240" w:after="240" w:line="276" w:lineRule="auto"/>
                  <w:rPr>
                    <w:rFonts w:ascii="Arial" w:eastAsia="Arial" w:hAnsi="Arial" w:cs="Arial"/>
                    <w:sz w:val="20"/>
                    <w:szCs w:val="20"/>
                  </w:rPr>
                </w:pPr>
                <w:r>
                  <w:rPr>
                    <w:rFonts w:ascii="Arial" w:eastAsia="Arial" w:hAnsi="Arial" w:cs="Arial"/>
                    <w:sz w:val="18"/>
                    <w:szCs w:val="18"/>
                  </w:rPr>
                  <w:t xml:space="preserve">Source: BMMA India (2016). </w:t>
                </w:r>
                <w:r>
                  <w:rPr>
                    <w:rFonts w:ascii="Arial" w:eastAsia="Arial" w:hAnsi="Arial" w:cs="Arial"/>
                    <w:i/>
                    <w:sz w:val="18"/>
                    <w:szCs w:val="18"/>
                  </w:rPr>
                  <w:t xml:space="preserve">Seeking Justice Within Family - National Study on Muslim Women’s Views on Reforms in Muslim Personal Law </w:t>
                </w:r>
                <w:hyperlink r:id="rId22">
                  <w:r>
                    <w:rPr>
                      <w:rFonts w:ascii="Arial" w:eastAsia="Arial" w:hAnsi="Arial" w:cs="Arial"/>
                      <w:i/>
                      <w:color w:val="1155CC"/>
                      <w:sz w:val="18"/>
                      <w:szCs w:val="18"/>
                      <w:u w:val="single"/>
                    </w:rPr>
                    <w:t>https://wunrn.com/wp-content/uploads/BMMA-Seeking-Justice-Final.pdf</w:t>
                  </w:r>
                </w:hyperlink>
                <w:r>
                  <w:rPr>
                    <w:rFonts w:ascii="Arial" w:eastAsia="Arial" w:hAnsi="Arial" w:cs="Arial"/>
                    <w:i/>
                    <w:sz w:val="18"/>
                    <w:szCs w:val="18"/>
                  </w:rPr>
                  <w:t xml:space="preserve"> </w:t>
                </w:r>
              </w:p>
            </w:sdtContent>
          </w:sdt>
        </w:tc>
      </w:tr>
    </w:tbl>
    <w:p w14:paraId="7821141A" w14:textId="77777777" w:rsidR="00F45E68" w:rsidRDefault="00000000">
      <w:pPr>
        <w:spacing w:before="240" w:after="240" w:line="276" w:lineRule="auto"/>
        <w:jc w:val="both"/>
        <w:rPr>
          <w:rFonts w:ascii="Arial" w:eastAsia="Arial" w:hAnsi="Arial" w:cs="Arial"/>
          <w:sz w:val="20"/>
          <w:szCs w:val="20"/>
        </w:rPr>
      </w:pPr>
      <w:r>
        <w:rPr>
          <w:rFonts w:ascii="Arial" w:eastAsia="Arial" w:hAnsi="Arial" w:cs="Arial"/>
          <w:sz w:val="20"/>
          <w:szCs w:val="20"/>
        </w:rPr>
        <w:lastRenderedPageBreak/>
        <w:t>According to a draft law submitted by the BMMA to the State, both parents are recognized as natural guardians of the child, with custody following divorce residing primarily with the mother until the child reaches 14 years of age, at which point the child's own decision takes precedence; an arbitrator intervenes if the child is unable to decide, guided solely by the principle of the child's best interest, physical safety, and emotional well-being, while ensuring fair visitation rights for the non-custodial parent and explicitly stipulating that a mother's custody is not lost due to remarriage or change of religion.</w:t>
      </w:r>
    </w:p>
    <w:p w14:paraId="280D1305" w14:textId="77777777" w:rsidR="00013016" w:rsidRDefault="00013016">
      <w:pPr>
        <w:spacing w:before="240" w:after="240" w:line="276" w:lineRule="auto"/>
        <w:jc w:val="both"/>
        <w:rPr>
          <w:rFonts w:ascii="Arial" w:eastAsia="Arial" w:hAnsi="Arial" w:cs="Arial"/>
          <w:sz w:val="20"/>
          <w:szCs w:val="20"/>
        </w:rPr>
      </w:pPr>
    </w:p>
    <w:p w14:paraId="189F7E1C" w14:textId="77777777" w:rsidR="00F45E68" w:rsidRDefault="00000000">
      <w:pPr>
        <w:pStyle w:val="Heading2"/>
        <w:numPr>
          <w:ilvl w:val="0"/>
          <w:numId w:val="1"/>
        </w:numPr>
        <w:spacing w:before="240" w:after="240" w:line="276" w:lineRule="auto"/>
      </w:pPr>
      <w:bookmarkStart w:id="11" w:name="_Toc210037056"/>
      <w:r>
        <w:t>Adoption</w:t>
      </w:r>
      <w:bookmarkEnd w:id="11"/>
      <w:r>
        <w:t xml:space="preserve"> </w:t>
      </w:r>
    </w:p>
    <w:p w14:paraId="39B5C31A" w14:textId="77777777" w:rsidR="00F45E68" w:rsidRDefault="00000000">
      <w:pPr>
        <w:spacing w:before="240" w:after="240" w:line="276" w:lineRule="auto"/>
        <w:jc w:val="both"/>
        <w:rPr>
          <w:rFonts w:ascii="Arial" w:eastAsia="Arial" w:hAnsi="Arial" w:cs="Arial"/>
          <w:sz w:val="20"/>
          <w:szCs w:val="20"/>
        </w:rPr>
      </w:pPr>
      <w:r>
        <w:rPr>
          <w:rFonts w:ascii="Arial" w:eastAsia="Arial" w:hAnsi="Arial" w:cs="Arial"/>
          <w:sz w:val="20"/>
          <w:szCs w:val="20"/>
        </w:rPr>
        <w:t>In India, the secular Juvenile Justice (Care and Protection of Children) Act, 2015, provides a legal framework for adoption, applicable to all citizens irrespective of their religion. This Act allows Muslims to adopt children legally, overcoming the limitations of traditional Muslim law. However, there is a significant gap between legal possibility and community awareness.</w:t>
      </w:r>
    </w:p>
    <w:tbl>
      <w:tblPr>
        <w:tblStyle w:val="a6"/>
        <w:tblW w:w="89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920"/>
      </w:tblGrid>
      <w:tr w:rsidR="00F45E68" w14:paraId="2EF3554F" w14:textId="77777777">
        <w:tc>
          <w:tcPr>
            <w:tcW w:w="8920" w:type="dxa"/>
            <w:shd w:val="clear" w:color="auto" w:fill="auto"/>
            <w:tcMar>
              <w:top w:w="100" w:type="dxa"/>
              <w:left w:w="100" w:type="dxa"/>
              <w:bottom w:w="100" w:type="dxa"/>
              <w:right w:w="100" w:type="dxa"/>
            </w:tcMar>
          </w:tcPr>
          <w:sdt>
            <w:sdtPr>
              <w:tag w:val="goog_rdk_6"/>
              <w:id w:val="-1747759790"/>
              <w:lock w:val="contentLocked"/>
            </w:sdtPr>
            <w:sdtContent>
              <w:p w14:paraId="0D0A8880" w14:textId="77777777" w:rsidR="00F45E68" w:rsidRDefault="00000000">
                <w:pPr>
                  <w:spacing w:before="240" w:after="240" w:line="276" w:lineRule="auto"/>
                  <w:jc w:val="both"/>
                  <w:rPr>
                    <w:rFonts w:ascii="Arial" w:eastAsia="Arial" w:hAnsi="Arial" w:cs="Arial"/>
                    <w:sz w:val="20"/>
                    <w:szCs w:val="20"/>
                  </w:rPr>
                </w:pPr>
                <w:r>
                  <w:rPr>
                    <w:rFonts w:ascii="Arial" w:eastAsia="Arial" w:hAnsi="Arial" w:cs="Arial"/>
                    <w:sz w:val="20"/>
                    <w:szCs w:val="20"/>
                  </w:rPr>
                  <w:t xml:space="preserve">Although adoption is not uncommon in the community, according to the study conducted by BMMA, 75.7% women were not aware of the fact that a Muslim couple cannot legally adopt a child. Almost the same number, 78.9%, were not aware of the reasons for adoption not being legal in Islam. Slightly less but a good number 66.2% are not aware that an adopted child cannot become a natural heir to one’s property. Another significant finding was that 83.3% wanted adoption to be made legal, which includes the notion that the adopted child should be treated as a natural heir to property. Close to 80% wanted their adopted child to inherit their property. </w:t>
                </w:r>
              </w:p>
              <w:p w14:paraId="682357FC" w14:textId="77777777" w:rsidR="00F45E68" w:rsidRDefault="00000000">
                <w:pPr>
                  <w:spacing w:before="240" w:after="240" w:line="276" w:lineRule="auto"/>
                  <w:rPr>
                    <w:rFonts w:ascii="Arial" w:eastAsia="Arial" w:hAnsi="Arial" w:cs="Arial"/>
                    <w:sz w:val="20"/>
                    <w:szCs w:val="20"/>
                  </w:rPr>
                </w:pPr>
                <w:r>
                  <w:rPr>
                    <w:rFonts w:ascii="Arial" w:eastAsia="Arial" w:hAnsi="Arial" w:cs="Arial"/>
                    <w:sz w:val="18"/>
                    <w:szCs w:val="18"/>
                  </w:rPr>
                  <w:t xml:space="preserve">Source: BMMA India (2016). </w:t>
                </w:r>
                <w:r>
                  <w:rPr>
                    <w:rFonts w:ascii="Arial" w:eastAsia="Arial" w:hAnsi="Arial" w:cs="Arial"/>
                    <w:i/>
                    <w:sz w:val="18"/>
                    <w:szCs w:val="18"/>
                  </w:rPr>
                  <w:t xml:space="preserve">Seeking Justice Within Family - National Study on Muslim Women’s Views on Reforms in Muslim Personal Law </w:t>
                </w:r>
                <w:hyperlink r:id="rId23">
                  <w:r>
                    <w:rPr>
                      <w:rFonts w:ascii="Arial" w:eastAsia="Arial" w:hAnsi="Arial" w:cs="Arial"/>
                      <w:i/>
                      <w:color w:val="1155CC"/>
                      <w:sz w:val="18"/>
                      <w:szCs w:val="18"/>
                      <w:u w:val="single"/>
                    </w:rPr>
                    <w:t>https://wunrn.com/wp-content/uploads/BMMA-Seeking-Justice-Final.pdf</w:t>
                  </w:r>
                </w:hyperlink>
                <w:r>
                  <w:rPr>
                    <w:rFonts w:ascii="Arial" w:eastAsia="Arial" w:hAnsi="Arial" w:cs="Arial"/>
                    <w:i/>
                    <w:sz w:val="18"/>
                    <w:szCs w:val="18"/>
                  </w:rPr>
                  <w:t xml:space="preserve"> </w:t>
                </w:r>
              </w:p>
            </w:sdtContent>
          </w:sdt>
        </w:tc>
      </w:tr>
    </w:tbl>
    <w:p w14:paraId="481C8DB7" w14:textId="77777777" w:rsidR="00F45E68" w:rsidRDefault="00000000">
      <w:pPr>
        <w:spacing w:before="240" w:after="240" w:line="276" w:lineRule="auto"/>
        <w:jc w:val="both"/>
        <w:rPr>
          <w:rFonts w:ascii="Arial" w:eastAsia="Arial" w:hAnsi="Arial" w:cs="Arial"/>
          <w:sz w:val="20"/>
          <w:szCs w:val="20"/>
        </w:rPr>
      </w:pPr>
      <w:r>
        <w:rPr>
          <w:rFonts w:ascii="Arial" w:eastAsia="Arial" w:hAnsi="Arial" w:cs="Arial"/>
          <w:sz w:val="20"/>
          <w:szCs w:val="20"/>
        </w:rPr>
        <w:t xml:space="preserve">According to BMMA’s recommended draft law, the Juvenile Justice (Care and Protection of Children) Act must be made applicable to the Muslim community expressly through legislation. </w:t>
      </w:r>
    </w:p>
    <w:p w14:paraId="0A759367" w14:textId="77777777" w:rsidR="00013016" w:rsidRDefault="00013016">
      <w:pPr>
        <w:spacing w:before="240" w:after="240" w:line="276" w:lineRule="auto"/>
        <w:jc w:val="both"/>
        <w:rPr>
          <w:rFonts w:ascii="Arial" w:eastAsia="Arial" w:hAnsi="Arial" w:cs="Arial"/>
          <w:sz w:val="20"/>
          <w:szCs w:val="20"/>
        </w:rPr>
      </w:pPr>
    </w:p>
    <w:p w14:paraId="5BA49BCD" w14:textId="77777777" w:rsidR="00F45E68" w:rsidRDefault="00000000">
      <w:pPr>
        <w:pStyle w:val="Heading2"/>
        <w:numPr>
          <w:ilvl w:val="0"/>
          <w:numId w:val="1"/>
        </w:numPr>
        <w:spacing w:before="240" w:after="240" w:line="276" w:lineRule="auto"/>
      </w:pPr>
      <w:bookmarkStart w:id="12" w:name="_Toc210037057"/>
      <w:r>
        <w:t xml:space="preserve">Inheritance and </w:t>
      </w:r>
      <w:r w:rsidR="00F61CF7">
        <w:t>M</w:t>
      </w:r>
      <w:r>
        <w:t xml:space="preserve">arital </w:t>
      </w:r>
      <w:r w:rsidR="00F61CF7">
        <w:t>Pr</w:t>
      </w:r>
      <w:r>
        <w:t xml:space="preserve">operty </w:t>
      </w:r>
      <w:r w:rsidR="00F61CF7">
        <w:t>R</w:t>
      </w:r>
      <w:r>
        <w:t>ights</w:t>
      </w:r>
      <w:bookmarkEnd w:id="12"/>
      <w:r>
        <w:t xml:space="preserve"> </w:t>
      </w:r>
    </w:p>
    <w:p w14:paraId="54F9E8F4" w14:textId="77777777" w:rsidR="00F45E68" w:rsidRDefault="00000000">
      <w:pPr>
        <w:spacing w:before="240" w:after="240" w:line="276" w:lineRule="auto"/>
        <w:jc w:val="both"/>
        <w:rPr>
          <w:rFonts w:ascii="Arial" w:eastAsia="Arial" w:hAnsi="Arial" w:cs="Arial"/>
          <w:sz w:val="20"/>
          <w:szCs w:val="20"/>
        </w:rPr>
      </w:pPr>
      <w:r>
        <w:rPr>
          <w:rFonts w:ascii="Arial" w:eastAsia="Arial" w:hAnsi="Arial" w:cs="Arial"/>
          <w:sz w:val="20"/>
          <w:szCs w:val="20"/>
        </w:rPr>
        <w:t>The Muslim Personal Law (</w:t>
      </w:r>
      <w:proofErr w:type="spellStart"/>
      <w:r>
        <w:rPr>
          <w:rFonts w:ascii="Arial" w:eastAsia="Arial" w:hAnsi="Arial" w:cs="Arial"/>
          <w:sz w:val="20"/>
          <w:szCs w:val="20"/>
        </w:rPr>
        <w:t>Shariat</w:t>
      </w:r>
      <w:proofErr w:type="spellEnd"/>
      <w:r>
        <w:rPr>
          <w:rFonts w:ascii="Arial" w:eastAsia="Arial" w:hAnsi="Arial" w:cs="Arial"/>
          <w:sz w:val="20"/>
          <w:szCs w:val="20"/>
        </w:rPr>
        <w:t xml:space="preserve">) Application Act, 1937 mandates that inheritance among Muslims in India is governed by Islamic law. Under traditional interpretations of Shariah, female heirs, such as daughters, typically receive a share equal to half of that given to a male heir in the same category (e.g., a daughter receives half the share of a son). A wife is entitled to one-eighth of her deceased husband's estate if they have children. </w:t>
      </w:r>
    </w:p>
    <w:tbl>
      <w:tblPr>
        <w:tblStyle w:val="a7"/>
        <w:tblW w:w="89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920"/>
      </w:tblGrid>
      <w:tr w:rsidR="00F45E68" w14:paraId="5746F499" w14:textId="77777777">
        <w:tc>
          <w:tcPr>
            <w:tcW w:w="8920" w:type="dxa"/>
            <w:shd w:val="clear" w:color="auto" w:fill="auto"/>
            <w:tcMar>
              <w:top w:w="100" w:type="dxa"/>
              <w:left w:w="100" w:type="dxa"/>
              <w:bottom w:w="100" w:type="dxa"/>
              <w:right w:w="100" w:type="dxa"/>
            </w:tcMar>
          </w:tcPr>
          <w:sdt>
            <w:sdtPr>
              <w:tag w:val="goog_rdk_7"/>
              <w:id w:val="-1363310472"/>
              <w:lock w:val="contentLocked"/>
            </w:sdtPr>
            <w:sdtContent>
              <w:p w14:paraId="126ABE8C" w14:textId="77777777" w:rsidR="00F45E68" w:rsidRDefault="00000000">
                <w:pPr>
                  <w:spacing w:before="240" w:after="240" w:line="276" w:lineRule="auto"/>
                  <w:jc w:val="both"/>
                  <w:rPr>
                    <w:rFonts w:ascii="Arial" w:eastAsia="Arial" w:hAnsi="Arial" w:cs="Arial"/>
                    <w:sz w:val="20"/>
                    <w:szCs w:val="20"/>
                  </w:rPr>
                </w:pPr>
                <w:r>
                  <w:rPr>
                    <w:rFonts w:ascii="Arial" w:eastAsia="Arial" w:hAnsi="Arial" w:cs="Arial"/>
                    <w:sz w:val="20"/>
                    <w:szCs w:val="20"/>
                  </w:rPr>
                  <w:t xml:space="preserve">According to the national study conducted by BMMA, of 4710 Muslim women from 10 states surveyed, a striking 82% reported owning no property whatsoever, underscoring the profound economic marginalization faced by the community. </w:t>
                </w:r>
              </w:p>
              <w:p w14:paraId="241CB589" w14:textId="77777777" w:rsidR="00F45E68" w:rsidRDefault="00000000">
                <w:pPr>
                  <w:spacing w:before="240" w:after="240" w:line="276" w:lineRule="auto"/>
                  <w:jc w:val="both"/>
                  <w:rPr>
                    <w:rFonts w:ascii="Arial" w:eastAsia="Arial" w:hAnsi="Arial" w:cs="Arial"/>
                    <w:sz w:val="20"/>
                    <w:szCs w:val="20"/>
                  </w:rPr>
                </w:pPr>
                <w:r>
                  <w:rPr>
                    <w:rFonts w:ascii="Arial" w:eastAsia="Arial" w:hAnsi="Arial" w:cs="Arial"/>
                    <w:sz w:val="20"/>
                    <w:szCs w:val="20"/>
                  </w:rPr>
                  <w:t xml:space="preserve">Among the minority who did own property (850 women), the primary source of assets was inheritance from their husbands (520 women), while a very small number (78 women) had acquired property through their own means, highlighting the significant barriers to economic self-sufficiency without education and livelihood opportunities. Furthermore, only 240 women had received property from their parents, suggesting a potential pattern of parents neglecting to pass on any property to </w:t>
                </w:r>
                <w:r>
                  <w:rPr>
                    <w:rFonts w:ascii="Arial" w:eastAsia="Arial" w:hAnsi="Arial" w:cs="Arial"/>
                    <w:sz w:val="20"/>
                    <w:szCs w:val="20"/>
                  </w:rPr>
                  <w:lastRenderedPageBreak/>
                  <w:t>daughters. This widespread asset deprivation is further evidenced by the fact that nearly 84% of all respondents did not hold ownership rights to their current residence.</w:t>
                </w:r>
              </w:p>
              <w:p w14:paraId="7C6D16D7" w14:textId="77777777" w:rsidR="00F45E68" w:rsidRDefault="00000000">
                <w:pPr>
                  <w:spacing w:before="240" w:after="240" w:line="276" w:lineRule="auto"/>
                  <w:jc w:val="both"/>
                  <w:rPr>
                    <w:rFonts w:ascii="Arial" w:eastAsia="Arial" w:hAnsi="Arial" w:cs="Arial"/>
                    <w:sz w:val="20"/>
                    <w:szCs w:val="20"/>
                  </w:rPr>
                </w:pPr>
                <w:r>
                  <w:rPr>
                    <w:rFonts w:ascii="Arial" w:eastAsia="Arial" w:hAnsi="Arial" w:cs="Arial"/>
                    <w:sz w:val="20"/>
                    <w:szCs w:val="20"/>
                  </w:rPr>
                  <w:t>Of the 850 women who owned property, the vast majority possessed assets of relatively low value. Specifically, 373 women (43.9% of property owners) held property worth less than INR 500,000 (approx. USD 5,630). The distribution of higher-value assets was as follows: 136 women (2.9%) owned property valued between INR 500,000 and 1,000,000; 83 women (1.8%) held assets worth INR 1,000,000 to 2,000,000; 70 women (1.5%) owned property valued at INR 2,000,000 to 4,000,000; and 188 women (4%) possessed assets exceeding INR 4,000,000. This data confirms that among the minority of women who own property, most hold assets of modest value.</w:t>
                </w:r>
              </w:p>
              <w:p w14:paraId="001240A7" w14:textId="77777777" w:rsidR="00F45E68" w:rsidRDefault="00000000">
                <w:pPr>
                  <w:spacing w:before="240" w:after="240" w:line="276" w:lineRule="auto"/>
                  <w:rPr>
                    <w:rFonts w:ascii="Arial" w:eastAsia="Arial" w:hAnsi="Arial" w:cs="Arial"/>
                    <w:sz w:val="20"/>
                    <w:szCs w:val="20"/>
                  </w:rPr>
                </w:pPr>
                <w:r>
                  <w:rPr>
                    <w:rFonts w:ascii="Arial" w:eastAsia="Arial" w:hAnsi="Arial" w:cs="Arial"/>
                    <w:sz w:val="18"/>
                    <w:szCs w:val="18"/>
                  </w:rPr>
                  <w:t xml:space="preserve">Source: BMMA India (2016). </w:t>
                </w:r>
                <w:r>
                  <w:rPr>
                    <w:rFonts w:ascii="Arial" w:eastAsia="Arial" w:hAnsi="Arial" w:cs="Arial"/>
                    <w:i/>
                    <w:sz w:val="18"/>
                    <w:szCs w:val="18"/>
                  </w:rPr>
                  <w:t xml:space="preserve">Seeking Justice Within Family - National Study on Muslim Women’s Views on Reforms in Muslim Personal Law </w:t>
                </w:r>
                <w:hyperlink r:id="rId24">
                  <w:r>
                    <w:rPr>
                      <w:rFonts w:ascii="Arial" w:eastAsia="Arial" w:hAnsi="Arial" w:cs="Arial"/>
                      <w:i/>
                      <w:color w:val="1155CC"/>
                      <w:sz w:val="18"/>
                      <w:szCs w:val="18"/>
                      <w:u w:val="single"/>
                    </w:rPr>
                    <w:t>https://wunrn.com/wp-content/uploads/BMMA-Seeking-Justice-Final.pdf</w:t>
                  </w:r>
                </w:hyperlink>
                <w:r>
                  <w:rPr>
                    <w:rFonts w:ascii="Arial" w:eastAsia="Arial" w:hAnsi="Arial" w:cs="Arial"/>
                    <w:i/>
                    <w:sz w:val="18"/>
                    <w:szCs w:val="18"/>
                  </w:rPr>
                  <w:t xml:space="preserve"> </w:t>
                </w:r>
              </w:p>
            </w:sdtContent>
          </w:sdt>
        </w:tc>
      </w:tr>
    </w:tbl>
    <w:p w14:paraId="582278AF" w14:textId="77777777" w:rsidR="00F45E68" w:rsidRDefault="00000000" w:rsidP="00013016">
      <w:pPr>
        <w:spacing w:before="240" w:after="240" w:line="276" w:lineRule="auto"/>
        <w:jc w:val="both"/>
        <w:rPr>
          <w:rFonts w:ascii="Arial" w:eastAsia="Arial" w:hAnsi="Arial" w:cs="Arial"/>
          <w:sz w:val="20"/>
          <w:szCs w:val="20"/>
        </w:rPr>
      </w:pPr>
      <w:r>
        <w:rPr>
          <w:rFonts w:ascii="Arial" w:eastAsia="Arial" w:hAnsi="Arial" w:cs="Arial"/>
          <w:sz w:val="20"/>
          <w:szCs w:val="20"/>
        </w:rPr>
        <w:lastRenderedPageBreak/>
        <w:t xml:space="preserve">The BMMA's draft law proposes a reformed framework for inheritance based on principles of fairness and economic justice. This includes, among other matters, the equal right to inherit parental property, distinct and separate from other financial rights like dower, dowry or gifts received during her </w:t>
      </w:r>
      <w:proofErr w:type="gramStart"/>
      <w:r>
        <w:rPr>
          <w:rFonts w:ascii="Arial" w:eastAsia="Arial" w:hAnsi="Arial" w:cs="Arial"/>
          <w:sz w:val="20"/>
          <w:szCs w:val="20"/>
        </w:rPr>
        <w:t>lifetime;  and</w:t>
      </w:r>
      <w:proofErr w:type="gramEnd"/>
      <w:r>
        <w:rPr>
          <w:rFonts w:ascii="Arial" w:eastAsia="Arial" w:hAnsi="Arial" w:cs="Arial"/>
          <w:sz w:val="20"/>
          <w:szCs w:val="20"/>
        </w:rPr>
        <w:t xml:space="preserve"> recognition of non-financial contributions like unpaid </w:t>
      </w:r>
      <w:proofErr w:type="spellStart"/>
      <w:r>
        <w:rPr>
          <w:rFonts w:ascii="Arial" w:eastAsia="Arial" w:hAnsi="Arial" w:cs="Arial"/>
          <w:sz w:val="20"/>
          <w:szCs w:val="20"/>
        </w:rPr>
        <w:t>labour</w:t>
      </w:r>
      <w:proofErr w:type="spellEnd"/>
      <w:r>
        <w:rPr>
          <w:rFonts w:ascii="Arial" w:eastAsia="Arial" w:hAnsi="Arial" w:cs="Arial"/>
          <w:sz w:val="20"/>
          <w:szCs w:val="20"/>
        </w:rPr>
        <w:t xml:space="preserve"> and care work in the distribution of marital property during marriage and/or at the time of divorce.</w:t>
      </w:r>
    </w:p>
    <w:p w14:paraId="3D7CB6A7" w14:textId="77777777" w:rsidR="00013016" w:rsidRDefault="00013016" w:rsidP="00013016">
      <w:pPr>
        <w:spacing w:before="240" w:after="240" w:line="276" w:lineRule="auto"/>
        <w:jc w:val="both"/>
        <w:rPr>
          <w:rFonts w:ascii="Arial" w:eastAsia="Arial" w:hAnsi="Arial" w:cs="Arial"/>
          <w:sz w:val="20"/>
          <w:szCs w:val="20"/>
        </w:rPr>
      </w:pPr>
    </w:p>
    <w:p w14:paraId="7477FFC7" w14:textId="77777777" w:rsidR="00F45E68" w:rsidRDefault="00000000">
      <w:pPr>
        <w:pStyle w:val="Heading1"/>
        <w:pBdr>
          <w:top w:val="nil"/>
          <w:left w:val="nil"/>
          <w:bottom w:val="nil"/>
          <w:right w:val="nil"/>
          <w:between w:val="nil"/>
        </w:pBdr>
        <w:spacing w:line="276" w:lineRule="auto"/>
        <w:ind w:hanging="540"/>
      </w:pPr>
      <w:bookmarkStart w:id="13" w:name="_Toc210037058"/>
      <w:r>
        <w:t>D. Suggested List of Questions</w:t>
      </w:r>
      <w:bookmarkEnd w:id="13"/>
    </w:p>
    <w:p w14:paraId="3A9C70B3" w14:textId="77777777" w:rsidR="00F45E68" w:rsidRDefault="00F45E68">
      <w:pPr>
        <w:spacing w:line="276" w:lineRule="auto"/>
        <w:jc w:val="both"/>
        <w:rPr>
          <w:rFonts w:ascii="Arial" w:eastAsia="Arial" w:hAnsi="Arial" w:cs="Arial"/>
          <w:sz w:val="20"/>
          <w:szCs w:val="20"/>
          <w:highlight w:val="white"/>
        </w:rPr>
      </w:pPr>
    </w:p>
    <w:tbl>
      <w:tblPr>
        <w:tblStyle w:val="a8"/>
        <w:tblW w:w="89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903"/>
      </w:tblGrid>
      <w:tr w:rsidR="00F45E68" w14:paraId="48D9552A" w14:textId="77777777">
        <w:trPr>
          <w:trHeight w:val="735"/>
        </w:trPr>
        <w:tc>
          <w:tcPr>
            <w:tcW w:w="8903" w:type="dxa"/>
            <w:shd w:val="clear" w:color="auto" w:fill="D9D9D9"/>
            <w:tcMar>
              <w:top w:w="100" w:type="dxa"/>
              <w:left w:w="100" w:type="dxa"/>
              <w:bottom w:w="100" w:type="dxa"/>
              <w:right w:w="100" w:type="dxa"/>
            </w:tcMar>
          </w:tcPr>
          <w:p w14:paraId="1E9C632A" w14:textId="77777777" w:rsidR="00F45E68" w:rsidRDefault="00000000" w:rsidP="00013016">
            <w:pPr>
              <w:pBdr>
                <w:top w:val="nil"/>
                <w:left w:val="nil"/>
                <w:bottom w:val="nil"/>
                <w:right w:val="nil"/>
                <w:between w:val="nil"/>
              </w:pBdr>
              <w:spacing w:line="276" w:lineRule="auto"/>
              <w:jc w:val="both"/>
              <w:rPr>
                <w:rFonts w:ascii="Arial" w:eastAsia="Arial" w:hAnsi="Arial" w:cs="Arial"/>
                <w:sz w:val="20"/>
                <w:szCs w:val="20"/>
              </w:rPr>
            </w:pPr>
            <w:r>
              <w:rPr>
                <w:rFonts w:ascii="Arial" w:eastAsia="Arial" w:hAnsi="Arial" w:cs="Arial"/>
                <w:sz w:val="20"/>
                <w:szCs w:val="20"/>
              </w:rPr>
              <w:t>We recommend the CEDAW Committee to include the following questions in its List of Issues to State Party:</w:t>
            </w:r>
          </w:p>
          <w:p w14:paraId="7094F774" w14:textId="77777777" w:rsidR="00F45E68" w:rsidRDefault="00000000">
            <w:pPr>
              <w:numPr>
                <w:ilvl w:val="0"/>
                <w:numId w:val="2"/>
              </w:numPr>
              <w:spacing w:before="240" w:after="240" w:line="276" w:lineRule="auto"/>
              <w:jc w:val="both"/>
              <w:rPr>
                <w:rFonts w:ascii="Arial" w:eastAsia="Arial" w:hAnsi="Arial" w:cs="Arial"/>
                <w:sz w:val="20"/>
                <w:szCs w:val="20"/>
              </w:rPr>
            </w:pPr>
            <w:r>
              <w:rPr>
                <w:rFonts w:ascii="Arial" w:eastAsia="Arial" w:hAnsi="Arial" w:cs="Arial"/>
                <w:sz w:val="20"/>
                <w:szCs w:val="20"/>
              </w:rPr>
              <w:t xml:space="preserve">Please detail the specific legislative and policy measures taken, along with a clear timeline, to abolish discriminatory practices such a polygamy, </w:t>
            </w:r>
            <w:r>
              <w:rPr>
                <w:rFonts w:ascii="Arial" w:eastAsia="Arial" w:hAnsi="Arial" w:cs="Arial"/>
                <w:i/>
                <w:sz w:val="20"/>
                <w:szCs w:val="20"/>
              </w:rPr>
              <w:t>halala</w:t>
            </w:r>
            <w:r>
              <w:rPr>
                <w:rFonts w:ascii="Arial" w:eastAsia="Arial" w:hAnsi="Arial" w:cs="Arial"/>
                <w:sz w:val="20"/>
                <w:szCs w:val="20"/>
              </w:rPr>
              <w:t xml:space="preserve">, and </w:t>
            </w:r>
            <w:proofErr w:type="spellStart"/>
            <w:r>
              <w:rPr>
                <w:rFonts w:ascii="Arial" w:eastAsia="Arial" w:hAnsi="Arial" w:cs="Arial"/>
                <w:i/>
                <w:sz w:val="20"/>
                <w:szCs w:val="20"/>
              </w:rPr>
              <w:t>muta</w:t>
            </w:r>
            <w:proofErr w:type="spellEnd"/>
            <w:r>
              <w:rPr>
                <w:rFonts w:ascii="Arial" w:eastAsia="Arial" w:hAnsi="Arial" w:cs="Arial"/>
                <w:sz w:val="20"/>
                <w:szCs w:val="20"/>
              </w:rPr>
              <w:t xml:space="preserve"> (temporary) marriage, and to ensure the uniform application of provisions from the </w:t>
            </w:r>
            <w:proofErr w:type="spellStart"/>
            <w:r>
              <w:rPr>
                <w:rFonts w:ascii="Arial" w:eastAsia="Arial" w:hAnsi="Arial" w:cs="Arial"/>
                <w:sz w:val="20"/>
                <w:szCs w:val="20"/>
              </w:rPr>
              <w:t>Bharatiya</w:t>
            </w:r>
            <w:proofErr w:type="spellEnd"/>
            <w:r>
              <w:rPr>
                <w:rFonts w:ascii="Arial" w:eastAsia="Arial" w:hAnsi="Arial" w:cs="Arial"/>
                <w:sz w:val="20"/>
                <w:szCs w:val="20"/>
              </w:rPr>
              <w:t xml:space="preserve"> Nyaya Sanhita (BNS) to all citizens, including Muslims.</w:t>
            </w:r>
          </w:p>
          <w:p w14:paraId="1DE61BFF" w14:textId="77777777" w:rsidR="00F45E68" w:rsidRDefault="00000000">
            <w:pPr>
              <w:numPr>
                <w:ilvl w:val="0"/>
                <w:numId w:val="2"/>
              </w:numPr>
              <w:pBdr>
                <w:top w:val="nil"/>
                <w:left w:val="nil"/>
                <w:bottom w:val="nil"/>
                <w:right w:val="nil"/>
                <w:between w:val="nil"/>
              </w:pBdr>
              <w:spacing w:line="276" w:lineRule="auto"/>
              <w:jc w:val="both"/>
              <w:rPr>
                <w:rFonts w:ascii="Arial" w:eastAsia="Arial" w:hAnsi="Arial" w:cs="Arial"/>
                <w:color w:val="000000"/>
                <w:sz w:val="20"/>
                <w:szCs w:val="20"/>
              </w:rPr>
            </w:pPr>
            <w:r>
              <w:rPr>
                <w:rFonts w:ascii="Arial" w:eastAsia="Arial" w:hAnsi="Arial" w:cs="Arial"/>
                <w:sz w:val="20"/>
                <w:szCs w:val="20"/>
              </w:rPr>
              <w:t xml:space="preserve">What concrete steps is the State party taking towards the comprehensive codification of Muslim family law to ensure equality for women and girls? Please provide a detailed timeline for this reform and specify how it will address discrimination in matters including, but not limited to, child marriage, mandatory marriage registration, polygamy, divorce procedures, </w:t>
            </w:r>
            <w:r>
              <w:rPr>
                <w:rFonts w:ascii="Arial" w:eastAsia="Arial" w:hAnsi="Arial" w:cs="Arial"/>
                <w:i/>
                <w:sz w:val="20"/>
                <w:szCs w:val="20"/>
              </w:rPr>
              <w:t>halala</w:t>
            </w:r>
            <w:r>
              <w:rPr>
                <w:rFonts w:ascii="Arial" w:eastAsia="Arial" w:hAnsi="Arial" w:cs="Arial"/>
                <w:sz w:val="20"/>
                <w:szCs w:val="20"/>
              </w:rPr>
              <w:t>, inheritance rights, marital property rights and child custody.</w:t>
            </w:r>
          </w:p>
          <w:p w14:paraId="1FCCCD0C" w14:textId="77777777" w:rsidR="00F45E68" w:rsidRDefault="00F45E68">
            <w:pPr>
              <w:pBdr>
                <w:top w:val="nil"/>
                <w:left w:val="nil"/>
                <w:bottom w:val="nil"/>
                <w:right w:val="nil"/>
                <w:between w:val="nil"/>
              </w:pBdr>
              <w:spacing w:line="276" w:lineRule="auto"/>
              <w:jc w:val="both"/>
              <w:rPr>
                <w:rFonts w:ascii="Arial" w:eastAsia="Arial" w:hAnsi="Arial" w:cs="Arial"/>
                <w:sz w:val="20"/>
                <w:szCs w:val="20"/>
              </w:rPr>
            </w:pPr>
          </w:p>
          <w:p w14:paraId="0EE2FCCF" w14:textId="77777777" w:rsidR="00F45E68" w:rsidRDefault="00000000">
            <w:pPr>
              <w:numPr>
                <w:ilvl w:val="0"/>
                <w:numId w:val="2"/>
              </w:numPr>
              <w:spacing w:line="276" w:lineRule="auto"/>
              <w:jc w:val="both"/>
              <w:rPr>
                <w:rFonts w:ascii="Arial" w:eastAsia="Arial" w:hAnsi="Arial" w:cs="Arial"/>
                <w:sz w:val="20"/>
                <w:szCs w:val="20"/>
              </w:rPr>
            </w:pPr>
            <w:r>
              <w:rPr>
                <w:rFonts w:ascii="Arial" w:eastAsia="Arial" w:hAnsi="Arial" w:cs="Arial"/>
                <w:sz w:val="20"/>
                <w:szCs w:val="20"/>
              </w:rPr>
              <w:t xml:space="preserve">Please provide details on how and when the government will address the </w:t>
            </w:r>
            <w:proofErr w:type="spellStart"/>
            <w:r>
              <w:rPr>
                <w:rFonts w:ascii="Arial" w:eastAsia="Arial" w:hAnsi="Arial" w:cs="Arial"/>
                <w:sz w:val="20"/>
                <w:szCs w:val="20"/>
              </w:rPr>
              <w:t>llack</w:t>
            </w:r>
            <w:proofErr w:type="spellEnd"/>
            <w:r>
              <w:rPr>
                <w:rFonts w:ascii="Arial" w:eastAsia="Arial" w:hAnsi="Arial" w:cs="Arial"/>
                <w:sz w:val="20"/>
                <w:szCs w:val="20"/>
              </w:rPr>
              <w:t xml:space="preserve"> of uniform application of the Prevention of Child Marriages Act (PCMA) to family laws, especially of the Muslim community and enact legislation to make it compulsory to register all marriages and ensure the PCMA is implemented without exception. </w:t>
            </w:r>
          </w:p>
          <w:p w14:paraId="35095490" w14:textId="77777777" w:rsidR="00F45E68" w:rsidRDefault="00F45E68">
            <w:pPr>
              <w:spacing w:line="276" w:lineRule="auto"/>
              <w:ind w:left="720"/>
              <w:jc w:val="both"/>
              <w:rPr>
                <w:rFonts w:ascii="Arial" w:eastAsia="Arial" w:hAnsi="Arial" w:cs="Arial"/>
                <w:sz w:val="20"/>
                <w:szCs w:val="20"/>
              </w:rPr>
            </w:pPr>
          </w:p>
          <w:p w14:paraId="41FDD71A" w14:textId="77777777" w:rsidR="00F45E68" w:rsidRDefault="00000000">
            <w:pPr>
              <w:numPr>
                <w:ilvl w:val="0"/>
                <w:numId w:val="2"/>
              </w:numPr>
              <w:pBdr>
                <w:top w:val="nil"/>
                <w:left w:val="nil"/>
                <w:bottom w:val="nil"/>
                <w:right w:val="nil"/>
                <w:between w:val="nil"/>
              </w:pBdr>
              <w:spacing w:line="276" w:lineRule="auto"/>
              <w:jc w:val="both"/>
              <w:rPr>
                <w:rFonts w:ascii="Arial" w:eastAsia="Arial" w:hAnsi="Arial" w:cs="Arial"/>
                <w:sz w:val="20"/>
                <w:szCs w:val="20"/>
              </w:rPr>
            </w:pPr>
            <w:r>
              <w:rPr>
                <w:rFonts w:ascii="Arial" w:eastAsia="Arial" w:hAnsi="Arial" w:cs="Arial"/>
                <w:sz w:val="20"/>
                <w:szCs w:val="20"/>
              </w:rPr>
              <w:t xml:space="preserve">Women’s rights </w:t>
            </w:r>
            <w:proofErr w:type="spellStart"/>
            <w:r>
              <w:rPr>
                <w:rFonts w:ascii="Arial" w:eastAsia="Arial" w:hAnsi="Arial" w:cs="Arial"/>
                <w:sz w:val="20"/>
                <w:szCs w:val="20"/>
              </w:rPr>
              <w:t>organisations</w:t>
            </w:r>
            <w:proofErr w:type="spellEnd"/>
            <w:r>
              <w:rPr>
                <w:rFonts w:ascii="Arial" w:eastAsia="Arial" w:hAnsi="Arial" w:cs="Arial"/>
                <w:sz w:val="20"/>
                <w:szCs w:val="20"/>
              </w:rPr>
              <w:t xml:space="preserve">, including the </w:t>
            </w:r>
            <w:proofErr w:type="spellStart"/>
            <w:r>
              <w:rPr>
                <w:rFonts w:ascii="Arial" w:eastAsia="Arial" w:hAnsi="Arial" w:cs="Arial"/>
                <w:sz w:val="20"/>
                <w:szCs w:val="20"/>
              </w:rPr>
              <w:t>Bharatiya</w:t>
            </w:r>
            <w:proofErr w:type="spellEnd"/>
            <w:r>
              <w:rPr>
                <w:rFonts w:ascii="Arial" w:eastAsia="Arial" w:hAnsi="Arial" w:cs="Arial"/>
                <w:sz w:val="20"/>
                <w:szCs w:val="20"/>
              </w:rPr>
              <w:t xml:space="preserve"> Muslim </w:t>
            </w:r>
            <w:proofErr w:type="spellStart"/>
            <w:r>
              <w:rPr>
                <w:rFonts w:ascii="Arial" w:eastAsia="Arial" w:hAnsi="Arial" w:cs="Arial"/>
                <w:sz w:val="20"/>
                <w:szCs w:val="20"/>
              </w:rPr>
              <w:t>Mahila</w:t>
            </w:r>
            <w:proofErr w:type="spellEnd"/>
            <w:r>
              <w:rPr>
                <w:rFonts w:ascii="Arial" w:eastAsia="Arial" w:hAnsi="Arial" w:cs="Arial"/>
                <w:sz w:val="20"/>
                <w:szCs w:val="20"/>
              </w:rPr>
              <w:t xml:space="preserve"> </w:t>
            </w:r>
            <w:proofErr w:type="spellStart"/>
            <w:r>
              <w:rPr>
                <w:rFonts w:ascii="Arial" w:eastAsia="Arial" w:hAnsi="Arial" w:cs="Arial"/>
                <w:sz w:val="20"/>
                <w:szCs w:val="20"/>
              </w:rPr>
              <w:t>Andolan</w:t>
            </w:r>
            <w:proofErr w:type="spellEnd"/>
            <w:r>
              <w:rPr>
                <w:rFonts w:ascii="Arial" w:eastAsia="Arial" w:hAnsi="Arial" w:cs="Arial"/>
                <w:sz w:val="20"/>
                <w:szCs w:val="20"/>
              </w:rPr>
              <w:t xml:space="preserve"> (BMMA), have submitted a comprehensive draft for a codified Muslim family law to the PM Office as well as to its National Law and Women’s Commission on multiple occasions. What specific action has been taken to review and act upon these submissions, and how is the State party ensuring the meaningful participation of Muslim women’s groups in the drafting of any related legislation?</w:t>
            </w:r>
          </w:p>
          <w:p w14:paraId="4231E287" w14:textId="77777777" w:rsidR="00F45E68" w:rsidRDefault="00F45E68">
            <w:pPr>
              <w:pBdr>
                <w:top w:val="nil"/>
                <w:left w:val="nil"/>
                <w:bottom w:val="nil"/>
                <w:right w:val="nil"/>
                <w:between w:val="nil"/>
              </w:pBdr>
              <w:spacing w:line="276" w:lineRule="auto"/>
              <w:jc w:val="both"/>
              <w:rPr>
                <w:rFonts w:ascii="Arial" w:eastAsia="Arial" w:hAnsi="Arial" w:cs="Arial"/>
                <w:color w:val="000000"/>
                <w:sz w:val="20"/>
                <w:szCs w:val="20"/>
              </w:rPr>
            </w:pPr>
          </w:p>
          <w:p w14:paraId="0ECC25F8" w14:textId="77777777" w:rsidR="00F45E68" w:rsidRDefault="00000000">
            <w:pPr>
              <w:numPr>
                <w:ilvl w:val="0"/>
                <w:numId w:val="2"/>
              </w:numPr>
              <w:pBdr>
                <w:top w:val="nil"/>
                <w:left w:val="nil"/>
                <w:bottom w:val="nil"/>
                <w:right w:val="nil"/>
                <w:between w:val="nil"/>
              </w:pBdr>
              <w:spacing w:after="160" w:line="276" w:lineRule="auto"/>
              <w:jc w:val="both"/>
              <w:rPr>
                <w:rFonts w:ascii="Arial" w:eastAsia="Arial" w:hAnsi="Arial" w:cs="Arial"/>
                <w:color w:val="000000"/>
                <w:sz w:val="20"/>
                <w:szCs w:val="20"/>
              </w:rPr>
            </w:pPr>
            <w:r>
              <w:rPr>
                <w:rFonts w:ascii="Arial" w:eastAsia="Arial" w:hAnsi="Arial" w:cs="Arial"/>
                <w:sz w:val="20"/>
                <w:szCs w:val="20"/>
              </w:rPr>
              <w:t xml:space="preserve">If the State party is proceeding with a uniform family or civil code for all citizens, please explain how such a code would specifically prohibit discriminatory community practices like </w:t>
            </w:r>
            <w:r>
              <w:rPr>
                <w:rFonts w:ascii="Arial" w:eastAsia="Arial" w:hAnsi="Arial" w:cs="Arial"/>
                <w:i/>
                <w:sz w:val="20"/>
                <w:szCs w:val="20"/>
              </w:rPr>
              <w:lastRenderedPageBreak/>
              <w:t>halala</w:t>
            </w:r>
            <w:r>
              <w:rPr>
                <w:rFonts w:ascii="Arial" w:eastAsia="Arial" w:hAnsi="Arial" w:cs="Arial"/>
                <w:sz w:val="20"/>
                <w:szCs w:val="20"/>
              </w:rPr>
              <w:t xml:space="preserve"> and </w:t>
            </w:r>
            <w:proofErr w:type="spellStart"/>
            <w:r>
              <w:rPr>
                <w:rFonts w:ascii="Arial" w:eastAsia="Arial" w:hAnsi="Arial" w:cs="Arial"/>
                <w:i/>
                <w:sz w:val="20"/>
                <w:szCs w:val="20"/>
              </w:rPr>
              <w:t>muta</w:t>
            </w:r>
            <w:proofErr w:type="spellEnd"/>
            <w:r>
              <w:rPr>
                <w:rFonts w:ascii="Arial" w:eastAsia="Arial" w:hAnsi="Arial" w:cs="Arial"/>
                <w:sz w:val="20"/>
                <w:szCs w:val="20"/>
              </w:rPr>
              <w:t xml:space="preserve"> (temporary) marriage, while explicitly protecting positive provisions available to Muslim women under religious principles, such as the right to </w:t>
            </w:r>
            <w:proofErr w:type="spellStart"/>
            <w:r>
              <w:rPr>
                <w:rFonts w:ascii="Arial" w:eastAsia="Arial" w:hAnsi="Arial" w:cs="Arial"/>
                <w:i/>
                <w:sz w:val="20"/>
                <w:szCs w:val="20"/>
              </w:rPr>
              <w:t>mehr</w:t>
            </w:r>
            <w:proofErr w:type="spellEnd"/>
            <w:r>
              <w:rPr>
                <w:rFonts w:ascii="Arial" w:eastAsia="Arial" w:hAnsi="Arial" w:cs="Arial"/>
                <w:sz w:val="20"/>
                <w:szCs w:val="20"/>
              </w:rPr>
              <w:t xml:space="preserve"> (dower) and </w:t>
            </w:r>
            <w:proofErr w:type="spellStart"/>
            <w:r>
              <w:rPr>
                <w:rFonts w:ascii="Arial" w:eastAsia="Arial" w:hAnsi="Arial" w:cs="Arial"/>
                <w:i/>
                <w:sz w:val="20"/>
                <w:szCs w:val="20"/>
              </w:rPr>
              <w:t>khula</w:t>
            </w:r>
            <w:proofErr w:type="spellEnd"/>
            <w:r>
              <w:rPr>
                <w:rFonts w:ascii="Arial" w:eastAsia="Arial" w:hAnsi="Arial" w:cs="Arial"/>
                <w:sz w:val="20"/>
                <w:szCs w:val="20"/>
              </w:rPr>
              <w:t xml:space="preserve"> (woman-initiated divorce). How will the Code guarantee that these rights are enforceable as statutory legal entitlements?</w:t>
            </w:r>
          </w:p>
        </w:tc>
      </w:tr>
    </w:tbl>
    <w:p w14:paraId="54A4FD54" w14:textId="77777777" w:rsidR="00F45E68" w:rsidRDefault="00F45E68">
      <w:pPr>
        <w:spacing w:line="276" w:lineRule="auto"/>
        <w:jc w:val="both"/>
        <w:rPr>
          <w:rFonts w:ascii="Arial" w:eastAsia="Arial" w:hAnsi="Arial" w:cs="Arial"/>
        </w:rPr>
      </w:pPr>
    </w:p>
    <w:sectPr w:rsidR="00F45E68">
      <w:pgSz w:w="11900" w:h="16820"/>
      <w:pgMar w:top="1170" w:right="1454" w:bottom="540" w:left="1526" w:header="360" w:footer="3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D26E70" w14:textId="77777777" w:rsidR="00D12DF6" w:rsidRDefault="00D12DF6">
      <w:r>
        <w:separator/>
      </w:r>
    </w:p>
  </w:endnote>
  <w:endnote w:type="continuationSeparator" w:id="0">
    <w:p w14:paraId="607083F0" w14:textId="77777777" w:rsidR="00D12DF6" w:rsidRDefault="00D12D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rbel">
    <w:panose1 w:val="020B0503020204020204"/>
    <w:charset w:val="00"/>
    <w:family w:val="swiss"/>
    <w:pitch w:val="variable"/>
    <w:sig w:usb0="A00002EF" w:usb1="4000A44B" w:usb2="00000000" w:usb3="00000000" w:csb0="0000019F" w:csb1="00000000"/>
  </w:font>
  <w:font w:name="Lucida Grande">
    <w:panose1 w:val="020B0600040502020204"/>
    <w:charset w:val="00"/>
    <w:family w:val="swiss"/>
    <w:pitch w:val="variable"/>
    <w:sig w:usb0="E1000AEF" w:usb1="5000A1FF" w:usb2="00000000" w:usb3="00000000" w:csb0="000001B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D78F74" w14:textId="77777777" w:rsidR="00F45E68" w:rsidRDefault="00000000">
    <w:pPr>
      <w:pBdr>
        <w:top w:val="nil"/>
        <w:left w:val="nil"/>
        <w:bottom w:val="nil"/>
        <w:right w:val="nil"/>
        <w:between w:val="nil"/>
      </w:pBdr>
      <w:tabs>
        <w:tab w:val="center" w:pos="4320"/>
        <w:tab w:val="right" w:pos="8640"/>
      </w:tabs>
      <w:jc w:val="right"/>
      <w:rPr>
        <w:color w:val="000000"/>
      </w:rPr>
    </w:pPr>
    <w:r>
      <w:rPr>
        <w:color w:val="000000"/>
      </w:rPr>
      <w:fldChar w:fldCharType="begin"/>
    </w:r>
    <w:r>
      <w:rPr>
        <w:color w:val="000000"/>
      </w:rPr>
      <w:instrText>PAGE</w:instrText>
    </w:r>
    <w:r>
      <w:rPr>
        <w:color w:val="000000"/>
      </w:rPr>
      <w:fldChar w:fldCharType="separate"/>
    </w:r>
    <w:r w:rsidR="00F61CF7">
      <w:rPr>
        <w:noProof/>
        <w:color w:val="000000"/>
      </w:rPr>
      <w:t>2</w:t>
    </w:r>
    <w:r>
      <w:rPr>
        <w:color w:val="000000"/>
      </w:rPr>
      <w:fldChar w:fldCharType="end"/>
    </w:r>
  </w:p>
  <w:p w14:paraId="62A73220" w14:textId="77777777" w:rsidR="00F45E68" w:rsidRDefault="00F45E68">
    <w:pPr>
      <w:pBdr>
        <w:top w:val="nil"/>
        <w:left w:val="nil"/>
        <w:bottom w:val="nil"/>
        <w:right w:val="nil"/>
        <w:between w:val="nil"/>
      </w:pBdr>
      <w:ind w:right="360"/>
      <w:jc w:val="right"/>
      <w:rPr>
        <w:rFonts w:ascii="Corbel" w:eastAsia="Corbel" w:hAnsi="Corbel" w:cs="Corbel"/>
        <w:color w:val="000000"/>
        <w:sz w:val="22"/>
        <w:szCs w:val="22"/>
      </w:rPr>
    </w:pPr>
  </w:p>
  <w:p w14:paraId="433ADF6D" w14:textId="77777777" w:rsidR="00F45E68" w:rsidRDefault="00F45E68">
    <w:pPr>
      <w:pBdr>
        <w:top w:val="nil"/>
        <w:left w:val="nil"/>
        <w:bottom w:val="nil"/>
        <w:right w:val="nil"/>
        <w:between w:val="nil"/>
      </w:pBdr>
      <w:spacing w:after="720"/>
      <w:ind w:right="360"/>
      <w:rPr>
        <w:rFonts w:ascii="Corbel" w:eastAsia="Corbel" w:hAnsi="Corbel" w:cs="Corbel"/>
        <w:color w:val="000000"/>
        <w:sz w:val="22"/>
        <w:szCs w:val="22"/>
      </w:rPr>
    </w:pPr>
  </w:p>
  <w:p w14:paraId="449A1E5B" w14:textId="77777777" w:rsidR="00F45E68" w:rsidRDefault="00F45E68">
    <w:pPr>
      <w:pBdr>
        <w:top w:val="nil"/>
        <w:left w:val="nil"/>
        <w:bottom w:val="nil"/>
        <w:right w:val="nil"/>
        <w:between w:val="nil"/>
      </w:pBdr>
      <w:spacing w:before="120" w:after="200" w:line="264" w:lineRule="auto"/>
      <w:rPr>
        <w:rFonts w:ascii="Corbel" w:eastAsia="Corbel" w:hAnsi="Corbel" w:cs="Corbel"/>
        <w:color w:val="000000"/>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FBFC1D" w14:textId="77777777" w:rsidR="00F45E68" w:rsidRDefault="00000000">
    <w:pPr>
      <w:pBdr>
        <w:top w:val="nil"/>
        <w:left w:val="nil"/>
        <w:bottom w:val="nil"/>
        <w:right w:val="nil"/>
        <w:between w:val="nil"/>
      </w:pBdr>
      <w:tabs>
        <w:tab w:val="center" w:pos="4320"/>
        <w:tab w:val="right" w:pos="8640"/>
      </w:tabs>
      <w:jc w:val="right"/>
      <w:rPr>
        <w:color w:val="000000"/>
        <w:sz w:val="22"/>
        <w:szCs w:val="22"/>
      </w:rPr>
    </w:pPr>
    <w:r>
      <w:rPr>
        <w:color w:val="000000"/>
        <w:sz w:val="22"/>
        <w:szCs w:val="22"/>
      </w:rPr>
      <w:fldChar w:fldCharType="begin"/>
    </w:r>
    <w:r>
      <w:rPr>
        <w:color w:val="000000"/>
        <w:sz w:val="22"/>
        <w:szCs w:val="22"/>
      </w:rPr>
      <w:instrText>PAGE</w:instrText>
    </w:r>
    <w:r>
      <w:rPr>
        <w:color w:val="000000"/>
        <w:sz w:val="22"/>
        <w:szCs w:val="22"/>
      </w:rPr>
      <w:fldChar w:fldCharType="separate"/>
    </w:r>
    <w:r w:rsidR="00013016">
      <w:rPr>
        <w:noProof/>
        <w:color w:val="000000"/>
        <w:sz w:val="22"/>
        <w:szCs w:val="22"/>
      </w:rPr>
      <w:t>2</w:t>
    </w:r>
    <w:r>
      <w:rPr>
        <w:color w:val="000000"/>
        <w:sz w:val="22"/>
        <w:szCs w:val="22"/>
      </w:rPr>
      <w:fldChar w:fldCharType="end"/>
    </w:r>
  </w:p>
  <w:p w14:paraId="0303C173" w14:textId="77777777" w:rsidR="00F45E68" w:rsidRDefault="00F45E68">
    <w:pPr>
      <w:pBdr>
        <w:top w:val="nil"/>
        <w:left w:val="nil"/>
        <w:bottom w:val="nil"/>
        <w:right w:val="nil"/>
        <w:between w:val="nil"/>
      </w:pBdr>
      <w:ind w:right="360"/>
      <w:rPr>
        <w:rFonts w:ascii="Corbel" w:eastAsia="Corbel" w:hAnsi="Corbel" w:cs="Corbel"/>
        <w:color w:val="000000"/>
        <w:sz w:val="22"/>
        <w:szCs w:val="22"/>
      </w:rPr>
    </w:pPr>
  </w:p>
  <w:p w14:paraId="4221153F" w14:textId="77777777" w:rsidR="00F45E68" w:rsidRDefault="00F45E68">
    <w:pPr>
      <w:pBdr>
        <w:top w:val="nil"/>
        <w:left w:val="nil"/>
        <w:bottom w:val="nil"/>
        <w:right w:val="nil"/>
        <w:between w:val="nil"/>
      </w:pBdr>
      <w:jc w:val="right"/>
      <w:rPr>
        <w:rFonts w:ascii="Arial" w:eastAsia="Arial" w:hAnsi="Arial" w:cs="Arial"/>
        <w:color w:val="000000"/>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34ABCC" w14:textId="77777777" w:rsidR="00D12DF6" w:rsidRDefault="00D12DF6">
      <w:r>
        <w:separator/>
      </w:r>
    </w:p>
  </w:footnote>
  <w:footnote w:type="continuationSeparator" w:id="0">
    <w:p w14:paraId="4C7CD85F" w14:textId="77777777" w:rsidR="00D12DF6" w:rsidRDefault="00D12DF6">
      <w:r>
        <w:continuationSeparator/>
      </w:r>
    </w:p>
  </w:footnote>
  <w:footnote w:id="1">
    <w:p w14:paraId="27305180" w14:textId="77777777" w:rsidR="00F45E68" w:rsidRDefault="00000000">
      <w:pPr>
        <w:rPr>
          <w:rFonts w:ascii="Arial" w:eastAsia="Arial" w:hAnsi="Arial" w:cs="Arial"/>
          <w:sz w:val="20"/>
          <w:szCs w:val="20"/>
        </w:rPr>
      </w:pPr>
      <w:r>
        <w:rPr>
          <w:rStyle w:val="FootnoteReference"/>
        </w:rPr>
        <w:footnoteRef/>
      </w:r>
      <w:r>
        <w:rPr>
          <w:rFonts w:ascii="Arial" w:eastAsia="Arial" w:hAnsi="Arial" w:cs="Arial"/>
          <w:sz w:val="18"/>
          <w:szCs w:val="18"/>
        </w:rPr>
        <w:t xml:space="preserve"> The Global Campaign for Equality in Family Law (GCEFL) was launched by eight women’s rights, human rights and </w:t>
      </w:r>
      <w:proofErr w:type="gramStart"/>
      <w:r>
        <w:rPr>
          <w:rFonts w:ascii="Arial" w:eastAsia="Arial" w:hAnsi="Arial" w:cs="Arial"/>
          <w:sz w:val="18"/>
          <w:szCs w:val="18"/>
        </w:rPr>
        <w:t>faith based</w:t>
      </w:r>
      <w:proofErr w:type="gramEnd"/>
      <w:r>
        <w:rPr>
          <w:rFonts w:ascii="Arial" w:eastAsia="Arial" w:hAnsi="Arial" w:cs="Arial"/>
          <w:sz w:val="18"/>
          <w:szCs w:val="18"/>
        </w:rPr>
        <w:t xml:space="preserve"> </w:t>
      </w:r>
      <w:proofErr w:type="spellStart"/>
      <w:r>
        <w:rPr>
          <w:rFonts w:ascii="Arial" w:eastAsia="Arial" w:hAnsi="Arial" w:cs="Arial"/>
          <w:sz w:val="18"/>
          <w:szCs w:val="18"/>
        </w:rPr>
        <w:t>organisations</w:t>
      </w:r>
      <w:proofErr w:type="spellEnd"/>
      <w:r>
        <w:rPr>
          <w:rFonts w:ascii="Arial" w:eastAsia="Arial" w:hAnsi="Arial" w:cs="Arial"/>
          <w:sz w:val="18"/>
          <w:szCs w:val="18"/>
        </w:rPr>
        <w:t xml:space="preserve"> in 2020, as a concerted and strategic global effort drawing attention to and calling for reform of discriminatory family laws as a fundamental women’s rights and human rights issue. The overarching goal of the GCEFL is equality for women and girls and other </w:t>
      </w:r>
      <w:proofErr w:type="spellStart"/>
      <w:r>
        <w:rPr>
          <w:rFonts w:ascii="Arial" w:eastAsia="Arial" w:hAnsi="Arial" w:cs="Arial"/>
          <w:sz w:val="18"/>
          <w:szCs w:val="18"/>
        </w:rPr>
        <w:t>marginalised</w:t>
      </w:r>
      <w:proofErr w:type="spellEnd"/>
      <w:r>
        <w:rPr>
          <w:rFonts w:ascii="Arial" w:eastAsia="Arial" w:hAnsi="Arial" w:cs="Arial"/>
          <w:sz w:val="18"/>
          <w:szCs w:val="18"/>
        </w:rPr>
        <w:t xml:space="preserve"> groups under law, policy, and practice in matters relating to families in all their diversity, regardless of religion and culture. More info: </w:t>
      </w:r>
      <w:hyperlink r:id="rId1">
        <w:r>
          <w:rPr>
            <w:rFonts w:ascii="Arial" w:eastAsia="Arial" w:hAnsi="Arial" w:cs="Arial"/>
            <w:color w:val="1155CC"/>
            <w:sz w:val="18"/>
            <w:szCs w:val="18"/>
            <w:u w:val="single"/>
          </w:rPr>
          <w:t>www.equalfamilylaws.org</w:t>
        </w:r>
      </w:hyperlink>
      <w:r>
        <w:rPr>
          <w:rFonts w:ascii="Arial" w:eastAsia="Arial" w:hAnsi="Arial" w:cs="Arial"/>
          <w:sz w:val="18"/>
          <w:szCs w:val="18"/>
        </w:rPr>
        <w:t xml:space="preserve"> </w:t>
      </w:r>
    </w:p>
  </w:footnote>
  <w:footnote w:id="2">
    <w:p w14:paraId="03B3677B" w14:textId="77777777" w:rsidR="00F45E68" w:rsidRDefault="00000000">
      <w:pPr>
        <w:rPr>
          <w:rFonts w:ascii="Arial" w:eastAsia="Arial" w:hAnsi="Arial" w:cs="Arial"/>
          <w:sz w:val="18"/>
          <w:szCs w:val="18"/>
        </w:rPr>
      </w:pPr>
      <w:r>
        <w:rPr>
          <w:rStyle w:val="FootnoteReference"/>
        </w:rPr>
        <w:footnoteRef/>
      </w:r>
      <w:r>
        <w:rPr>
          <w:rFonts w:ascii="Arial" w:eastAsia="Arial" w:hAnsi="Arial" w:cs="Arial"/>
          <w:sz w:val="18"/>
          <w:szCs w:val="18"/>
        </w:rPr>
        <w:t xml:space="preserve"> For a detailed overview of legislative frameworks, available case law, policies, procedures and practices of Muslim family laws in India, see </w:t>
      </w:r>
      <w:proofErr w:type="spellStart"/>
      <w:r>
        <w:rPr>
          <w:rFonts w:ascii="Arial" w:eastAsia="Arial" w:hAnsi="Arial" w:cs="Arial"/>
          <w:sz w:val="18"/>
          <w:szCs w:val="18"/>
        </w:rPr>
        <w:t>Musawah’s</w:t>
      </w:r>
      <w:proofErr w:type="spellEnd"/>
      <w:r>
        <w:rPr>
          <w:rFonts w:ascii="Arial" w:eastAsia="Arial" w:hAnsi="Arial" w:cs="Arial"/>
          <w:sz w:val="18"/>
          <w:szCs w:val="18"/>
        </w:rPr>
        <w:t xml:space="preserve"> Country Table - India (2022). </w:t>
      </w:r>
      <w:hyperlink r:id="rId2">
        <w:r>
          <w:rPr>
            <w:rFonts w:ascii="Arial" w:eastAsia="Arial" w:hAnsi="Arial" w:cs="Arial"/>
            <w:color w:val="1155CC"/>
            <w:sz w:val="18"/>
            <w:szCs w:val="18"/>
            <w:u w:val="single"/>
          </w:rPr>
          <w:t>https://www.musawah.org/resources/country-table-india/</w:t>
        </w:r>
      </w:hyperlink>
    </w:p>
  </w:footnote>
  <w:footnote w:id="3">
    <w:p w14:paraId="14959435" w14:textId="77777777" w:rsidR="00F45E68" w:rsidRDefault="00000000">
      <w:pPr>
        <w:rPr>
          <w:rFonts w:ascii="Arial" w:eastAsia="Arial" w:hAnsi="Arial" w:cs="Arial"/>
          <w:sz w:val="18"/>
          <w:szCs w:val="18"/>
        </w:rPr>
      </w:pPr>
      <w:r>
        <w:rPr>
          <w:rStyle w:val="FootnoteReference"/>
        </w:rPr>
        <w:footnoteRef/>
      </w:r>
      <w:r>
        <w:rPr>
          <w:sz w:val="20"/>
          <w:szCs w:val="20"/>
        </w:rPr>
        <w:t xml:space="preserve"> </w:t>
      </w:r>
      <w:r>
        <w:rPr>
          <w:rFonts w:ascii="Arial" w:eastAsia="Arial" w:hAnsi="Arial" w:cs="Arial"/>
          <w:sz w:val="18"/>
          <w:szCs w:val="18"/>
        </w:rPr>
        <w:t>A practice in which a woman, after being divorced by her husband by triple talaq, marries another man, consummates the marriage, and gets divorced again</w:t>
      </w:r>
    </w:p>
  </w:footnote>
  <w:footnote w:id="4">
    <w:p w14:paraId="49636369" w14:textId="77777777" w:rsidR="00F45E68" w:rsidRDefault="00000000">
      <w:pPr>
        <w:rPr>
          <w:rFonts w:ascii="Arial" w:eastAsia="Arial" w:hAnsi="Arial" w:cs="Arial"/>
          <w:color w:val="1155CC"/>
          <w:sz w:val="18"/>
          <w:szCs w:val="18"/>
          <w:u w:val="single"/>
        </w:rPr>
      </w:pPr>
      <w:r>
        <w:rPr>
          <w:rStyle w:val="FootnoteReference"/>
        </w:rPr>
        <w:footnoteRef/>
      </w:r>
      <w:r>
        <w:rPr>
          <w:rFonts w:ascii="Arial" w:eastAsia="Arial" w:hAnsi="Arial" w:cs="Arial"/>
          <w:sz w:val="18"/>
          <w:szCs w:val="18"/>
        </w:rPr>
        <w:t xml:space="preserve"> Mahapatra, D. (2019, September 11). </w:t>
      </w:r>
      <w:r>
        <w:rPr>
          <w:rFonts w:ascii="Arial" w:eastAsia="Arial" w:hAnsi="Arial" w:cs="Arial"/>
          <w:i/>
          <w:sz w:val="18"/>
          <w:szCs w:val="18"/>
        </w:rPr>
        <w:t>SC to study if under‑18 Muslim girl can marry on attaining puberty</w:t>
      </w:r>
      <w:r>
        <w:rPr>
          <w:rFonts w:ascii="Arial" w:eastAsia="Arial" w:hAnsi="Arial" w:cs="Arial"/>
          <w:sz w:val="18"/>
          <w:szCs w:val="18"/>
        </w:rPr>
        <w:t xml:space="preserve">. </w:t>
      </w:r>
      <w:r>
        <w:rPr>
          <w:rFonts w:ascii="Arial" w:eastAsia="Arial" w:hAnsi="Arial" w:cs="Arial"/>
          <w:i/>
          <w:sz w:val="18"/>
          <w:szCs w:val="18"/>
        </w:rPr>
        <w:t>The Times of India</w:t>
      </w:r>
      <w:r>
        <w:rPr>
          <w:rFonts w:ascii="Arial" w:eastAsia="Arial" w:hAnsi="Arial" w:cs="Arial"/>
          <w:sz w:val="18"/>
          <w:szCs w:val="18"/>
        </w:rPr>
        <w:t>.</w:t>
      </w:r>
      <w:hyperlink r:id="rId3">
        <w:r>
          <w:rPr>
            <w:rFonts w:ascii="Arial" w:eastAsia="Arial" w:hAnsi="Arial" w:cs="Arial"/>
            <w:sz w:val="18"/>
            <w:szCs w:val="18"/>
          </w:rPr>
          <w:t xml:space="preserve"> </w:t>
        </w:r>
      </w:hyperlink>
      <w:hyperlink r:id="rId4">
        <w:r>
          <w:rPr>
            <w:rFonts w:ascii="Arial" w:eastAsia="Arial" w:hAnsi="Arial" w:cs="Arial"/>
            <w:color w:val="1155CC"/>
            <w:sz w:val="18"/>
            <w:szCs w:val="18"/>
            <w:u w:val="single"/>
          </w:rPr>
          <w:t>https://timesofindia.indiatimes.com/india/sc-to-study-if-under-18-muslim-girl-can-marry-on-attaining-puberty/articleshow/71072845.cms</w:t>
        </w:r>
      </w:hyperlink>
    </w:p>
    <w:p w14:paraId="04E988CB" w14:textId="77777777" w:rsidR="00F45E68" w:rsidRDefault="00F45E68">
      <w:pPr>
        <w:rPr>
          <w:sz w:val="20"/>
          <w:szCs w:val="20"/>
        </w:rPr>
      </w:pPr>
    </w:p>
    <w:p w14:paraId="0E317877" w14:textId="77777777" w:rsidR="00F45E68" w:rsidRDefault="00F45E68">
      <w:pPr>
        <w:rPr>
          <w:sz w:val="20"/>
          <w:szCs w:val="20"/>
        </w:rPr>
      </w:pPr>
    </w:p>
    <w:p w14:paraId="1AE720DC" w14:textId="77777777" w:rsidR="00F45E68" w:rsidRDefault="00F45E68">
      <w:pPr>
        <w:rPr>
          <w:sz w:val="20"/>
          <w:szCs w:val="20"/>
        </w:rPr>
      </w:pPr>
    </w:p>
  </w:footnote>
  <w:footnote w:id="5">
    <w:p w14:paraId="2FE4512B" w14:textId="77777777" w:rsidR="00F45E68" w:rsidRDefault="00000000">
      <w:pPr>
        <w:rPr>
          <w:sz w:val="20"/>
          <w:szCs w:val="20"/>
        </w:rPr>
      </w:pPr>
      <w:r>
        <w:rPr>
          <w:rStyle w:val="FootnoteReference"/>
        </w:rPr>
        <w:footnoteRef/>
      </w:r>
      <w:r>
        <w:rPr>
          <w:sz w:val="20"/>
          <w:szCs w:val="20"/>
        </w:rPr>
        <w:t xml:space="preserve"> Triple talaq, or instant triple divorce/</w:t>
      </w:r>
      <w:r>
        <w:rPr>
          <w:i/>
          <w:sz w:val="20"/>
          <w:szCs w:val="20"/>
        </w:rPr>
        <w:t>Talaq-e-</w:t>
      </w:r>
      <w:proofErr w:type="spellStart"/>
      <w:r>
        <w:rPr>
          <w:i/>
          <w:sz w:val="20"/>
          <w:szCs w:val="20"/>
        </w:rPr>
        <w:t>Biddat</w:t>
      </w:r>
      <w:proofErr w:type="spellEnd"/>
      <w:r>
        <w:rPr>
          <w:sz w:val="20"/>
          <w:szCs w:val="20"/>
        </w:rPr>
        <w:t xml:space="preserve">, is a practice where a husband divorces his wife by saying "talaq" (divorce) three times in one sitting, which results in an immediate and irrevocable divorce under some schools of thought in Islam.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C426C4"/>
    <w:multiLevelType w:val="multilevel"/>
    <w:tmpl w:val="BC7A4752"/>
    <w:lvl w:ilvl="0">
      <w:start w:val="1"/>
      <w:numFmt w:val="decimal"/>
      <w:pStyle w:val="NoSpacing"/>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38A975EE"/>
    <w:multiLevelType w:val="multilevel"/>
    <w:tmpl w:val="EAD0C7B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463C2AA8"/>
    <w:multiLevelType w:val="multilevel"/>
    <w:tmpl w:val="3A9613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709140306">
    <w:abstractNumId w:val="1"/>
  </w:num>
  <w:num w:numId="2" w16cid:durableId="913007419">
    <w:abstractNumId w:val="2"/>
  </w:num>
  <w:num w:numId="3" w16cid:durableId="10474926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E68"/>
    <w:rsid w:val="00013016"/>
    <w:rsid w:val="00776789"/>
    <w:rsid w:val="00D12DF6"/>
    <w:rsid w:val="00E80FCF"/>
    <w:rsid w:val="00F45E68"/>
    <w:rsid w:val="00F61CF7"/>
  </w:rsids>
  <m:mathPr>
    <m:mathFont m:val="Cambria Math"/>
    <m:brkBin m:val="before"/>
    <m:brkBinSub m:val="--"/>
    <m:smallFrac m:val="0"/>
    <m:dispDef/>
    <m:lMargin m:val="0"/>
    <m:rMargin m:val="0"/>
    <m:defJc m:val="centerGroup"/>
    <m:wrapIndent m:val="1440"/>
    <m:intLim m:val="subSup"/>
    <m:naryLim m:val="undOvr"/>
  </m:mathPr>
  <w:themeFontLang w:val="en-PK" w:bidi="ar-SA"/>
  <w:clrSchemeMapping w:bg1="light1" w:t1="dark1" w:bg2="light2" w:t2="dark2" w:accent1="accent1" w:accent2="accent2" w:accent3="accent3" w:accent4="accent4" w:accent5="accent5" w:accent6="accent6" w:hyperlink="hyperlink" w:followedHyperlink="followedHyperlink"/>
  <w:decimalSymbol w:val="."/>
  <w:listSeparator w:val=","/>
  <w14:docId w14:val="0B908435"/>
  <w15:docId w15:val="{62D37553-A9BA-5A42-8699-3BEB49B973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shd w:val="clear" w:color="auto" w:fill="BD0014"/>
      <w:tabs>
        <w:tab w:val="left" w:pos="270"/>
        <w:tab w:val="left" w:pos="630"/>
      </w:tabs>
      <w:spacing w:before="120"/>
      <w:ind w:left="540"/>
      <w:outlineLvl w:val="0"/>
    </w:pPr>
    <w:rPr>
      <w:rFonts w:ascii="Arial" w:eastAsia="Arial" w:hAnsi="Arial" w:cs="Arial"/>
      <w:b/>
      <w:smallCaps/>
      <w:color w:val="FFFFFF"/>
      <w:sz w:val="28"/>
      <w:szCs w:val="28"/>
    </w:rPr>
  </w:style>
  <w:style w:type="paragraph" w:styleId="Heading2">
    <w:name w:val="heading 2"/>
    <w:basedOn w:val="Normal"/>
    <w:next w:val="Normal"/>
    <w:link w:val="Heading2Char"/>
    <w:uiPriority w:val="9"/>
    <w:unhideWhenUsed/>
    <w:qFormat/>
    <w:pPr>
      <w:ind w:left="720" w:hanging="360"/>
      <w:jc w:val="both"/>
      <w:outlineLvl w:val="1"/>
    </w:pPr>
    <w:rPr>
      <w:rFonts w:ascii="Arial" w:eastAsia="Arial" w:hAnsi="Arial" w:cs="Arial"/>
      <w:b/>
      <w:sz w:val="22"/>
      <w:szCs w:val="22"/>
    </w:rPr>
  </w:style>
  <w:style w:type="paragraph" w:styleId="Heading3">
    <w:name w:val="heading 3"/>
    <w:basedOn w:val="Normal"/>
    <w:next w:val="Normal"/>
    <w:link w:val="Heading3Char"/>
    <w:uiPriority w:val="9"/>
    <w:semiHidden/>
    <w:unhideWhenUsed/>
    <w:qFormat/>
    <w:pPr>
      <w:pBdr>
        <w:top w:val="nil"/>
        <w:left w:val="nil"/>
        <w:bottom w:val="nil"/>
        <w:right w:val="nil"/>
        <w:between w:val="nil"/>
      </w:pBdr>
      <w:spacing w:before="120" w:after="200"/>
      <w:outlineLvl w:val="2"/>
    </w:pPr>
    <w:rPr>
      <w:rFonts w:ascii="Arial" w:eastAsia="Arial" w:hAnsi="Arial" w:cs="Arial"/>
      <w:b/>
      <w:color w:val="000000"/>
      <w:sz w:val="22"/>
      <w:szCs w:val="22"/>
    </w:rPr>
  </w:style>
  <w:style w:type="paragraph" w:styleId="Heading4">
    <w:name w:val="heading 4"/>
    <w:basedOn w:val="Normal"/>
    <w:next w:val="Normal"/>
    <w:link w:val="Heading4Char"/>
    <w:uiPriority w:val="9"/>
    <w:semiHidden/>
    <w:unhideWhenUsed/>
    <w:qFormat/>
    <w:pPr>
      <w:pBdr>
        <w:top w:val="dotted" w:sz="6" w:space="2" w:color="099BDD"/>
        <w:left w:val="nil"/>
        <w:bottom w:val="nil"/>
        <w:right w:val="nil"/>
        <w:between w:val="nil"/>
      </w:pBdr>
      <w:spacing w:before="200" w:line="264" w:lineRule="auto"/>
      <w:outlineLvl w:val="3"/>
    </w:pPr>
    <w:rPr>
      <w:rFonts w:ascii="Corbel" w:eastAsia="Corbel" w:hAnsi="Corbel" w:cs="Corbel"/>
      <w:smallCaps/>
      <w:color w:val="0673A5"/>
      <w:sz w:val="22"/>
      <w:szCs w:val="22"/>
    </w:rPr>
  </w:style>
  <w:style w:type="paragraph" w:styleId="Heading5">
    <w:name w:val="heading 5"/>
    <w:basedOn w:val="Normal"/>
    <w:next w:val="Normal"/>
    <w:link w:val="Heading5Char"/>
    <w:uiPriority w:val="9"/>
    <w:semiHidden/>
    <w:unhideWhenUsed/>
    <w:qFormat/>
    <w:pPr>
      <w:pBdr>
        <w:top w:val="nil"/>
        <w:left w:val="nil"/>
        <w:bottom w:val="single" w:sz="6" w:space="1" w:color="099BDD"/>
        <w:right w:val="nil"/>
        <w:between w:val="nil"/>
      </w:pBdr>
      <w:spacing w:before="200" w:line="264" w:lineRule="auto"/>
      <w:outlineLvl w:val="4"/>
    </w:pPr>
    <w:rPr>
      <w:rFonts w:ascii="Corbel" w:eastAsia="Corbel" w:hAnsi="Corbel" w:cs="Corbel"/>
      <w:smallCaps/>
      <w:color w:val="0673A5"/>
      <w:sz w:val="22"/>
      <w:szCs w:val="22"/>
    </w:rPr>
  </w:style>
  <w:style w:type="paragraph" w:styleId="Heading6">
    <w:name w:val="heading 6"/>
    <w:basedOn w:val="Normal"/>
    <w:next w:val="Normal"/>
    <w:link w:val="Heading6Char"/>
    <w:uiPriority w:val="9"/>
    <w:semiHidden/>
    <w:unhideWhenUsed/>
    <w:qFormat/>
    <w:pPr>
      <w:pBdr>
        <w:top w:val="nil"/>
        <w:left w:val="nil"/>
        <w:bottom w:val="dotted" w:sz="6" w:space="1" w:color="099BDD"/>
        <w:right w:val="nil"/>
        <w:between w:val="nil"/>
      </w:pBdr>
      <w:spacing w:before="200" w:line="264" w:lineRule="auto"/>
      <w:outlineLvl w:val="5"/>
    </w:pPr>
    <w:rPr>
      <w:rFonts w:ascii="Corbel" w:eastAsia="Corbel" w:hAnsi="Corbel" w:cs="Corbel"/>
      <w:smallCaps/>
      <w:color w:val="0673A5"/>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pBdr>
        <w:top w:val="nil"/>
        <w:left w:val="nil"/>
        <w:bottom w:val="nil"/>
        <w:right w:val="nil"/>
        <w:between w:val="nil"/>
      </w:pBdr>
      <w:spacing w:line="264" w:lineRule="auto"/>
    </w:pPr>
    <w:rPr>
      <w:rFonts w:ascii="Corbel" w:eastAsia="Corbel" w:hAnsi="Corbel" w:cs="Corbel"/>
      <w:smallCaps/>
      <w:color w:val="0673A5"/>
      <w:sz w:val="52"/>
      <w:szCs w:val="52"/>
    </w:rPr>
  </w:style>
  <w:style w:type="character" w:customStyle="1" w:styleId="Heading1Char">
    <w:name w:val="Heading 1 Char"/>
    <w:basedOn w:val="DefaultParagraphFont"/>
    <w:link w:val="Heading1"/>
    <w:rsid w:val="00892FA5"/>
    <w:rPr>
      <w:rFonts w:asciiTheme="minorBidi" w:eastAsia="Arial" w:hAnsiTheme="minorBidi"/>
      <w:b/>
      <w:smallCaps/>
      <w:color w:val="FFFFFF"/>
      <w:sz w:val="28"/>
      <w:szCs w:val="28"/>
      <w:shd w:val="clear" w:color="auto" w:fill="BD0014"/>
    </w:rPr>
  </w:style>
  <w:style w:type="character" w:customStyle="1" w:styleId="Heading2Char">
    <w:name w:val="Heading 2 Char"/>
    <w:basedOn w:val="DefaultParagraphFont"/>
    <w:link w:val="Heading2"/>
    <w:rsid w:val="00892FA5"/>
    <w:rPr>
      <w:rFonts w:asciiTheme="minorBidi" w:eastAsia="Arial" w:hAnsiTheme="minorBidi"/>
      <w:b/>
      <w:smallCaps/>
      <w:color w:val="000000"/>
      <w:shd w:val="clear" w:color="auto" w:fill="FCB040"/>
    </w:rPr>
  </w:style>
  <w:style w:type="character" w:customStyle="1" w:styleId="Heading3Char">
    <w:name w:val="Heading 3 Char"/>
    <w:basedOn w:val="DefaultParagraphFont"/>
    <w:link w:val="Heading3"/>
    <w:rsid w:val="00E26F24"/>
    <w:rPr>
      <w:rFonts w:ascii="Arial" w:eastAsia="Arial" w:hAnsi="Arial" w:cs="Arial"/>
      <w:b/>
      <w:color w:val="000000"/>
      <w:sz w:val="22"/>
      <w:szCs w:val="22"/>
    </w:rPr>
  </w:style>
  <w:style w:type="character" w:customStyle="1" w:styleId="Heading4Char">
    <w:name w:val="Heading 4 Char"/>
    <w:basedOn w:val="DefaultParagraphFont"/>
    <w:link w:val="Heading4"/>
    <w:rsid w:val="00E26F24"/>
    <w:rPr>
      <w:rFonts w:ascii="Corbel" w:eastAsia="Corbel" w:hAnsi="Corbel" w:cs="Corbel"/>
      <w:smallCaps/>
      <w:color w:val="0673A5"/>
      <w:sz w:val="22"/>
      <w:szCs w:val="22"/>
    </w:rPr>
  </w:style>
  <w:style w:type="character" w:customStyle="1" w:styleId="Heading5Char">
    <w:name w:val="Heading 5 Char"/>
    <w:basedOn w:val="DefaultParagraphFont"/>
    <w:link w:val="Heading5"/>
    <w:rsid w:val="00E26F24"/>
    <w:rPr>
      <w:rFonts w:ascii="Corbel" w:eastAsia="Corbel" w:hAnsi="Corbel" w:cs="Corbel"/>
      <w:smallCaps/>
      <w:color w:val="0673A5"/>
      <w:sz w:val="22"/>
      <w:szCs w:val="22"/>
    </w:rPr>
  </w:style>
  <w:style w:type="character" w:customStyle="1" w:styleId="Heading6Char">
    <w:name w:val="Heading 6 Char"/>
    <w:basedOn w:val="DefaultParagraphFont"/>
    <w:link w:val="Heading6"/>
    <w:rsid w:val="00E26F24"/>
    <w:rPr>
      <w:rFonts w:ascii="Corbel" w:eastAsia="Corbel" w:hAnsi="Corbel" w:cs="Corbel"/>
      <w:smallCaps/>
      <w:color w:val="0673A5"/>
      <w:sz w:val="22"/>
      <w:szCs w:val="22"/>
    </w:rPr>
  </w:style>
  <w:style w:type="paragraph" w:customStyle="1" w:styleId="Normal1">
    <w:name w:val="Normal1"/>
    <w:rsid w:val="00E26F24"/>
    <w:pPr>
      <w:pBdr>
        <w:top w:val="nil"/>
        <w:left w:val="nil"/>
        <w:bottom w:val="nil"/>
        <w:right w:val="nil"/>
        <w:between w:val="nil"/>
      </w:pBdr>
      <w:spacing w:before="120" w:after="200" w:line="264" w:lineRule="auto"/>
    </w:pPr>
    <w:rPr>
      <w:rFonts w:ascii="Corbel" w:eastAsia="Corbel" w:hAnsi="Corbel" w:cs="Corbel"/>
      <w:color w:val="000000"/>
      <w:sz w:val="22"/>
      <w:szCs w:val="22"/>
    </w:rPr>
  </w:style>
  <w:style w:type="character" w:customStyle="1" w:styleId="TitleChar">
    <w:name w:val="Title Char"/>
    <w:basedOn w:val="DefaultParagraphFont"/>
    <w:link w:val="Title"/>
    <w:rsid w:val="00E26F24"/>
    <w:rPr>
      <w:rFonts w:ascii="Corbel" w:eastAsia="Corbel" w:hAnsi="Corbel" w:cs="Corbel"/>
      <w:smallCaps/>
      <w:color w:val="0673A5"/>
      <w:sz w:val="52"/>
      <w:szCs w:val="52"/>
    </w:rPr>
  </w:style>
  <w:style w:type="character" w:customStyle="1" w:styleId="SubtitleChar">
    <w:name w:val="Subtitle Char"/>
    <w:basedOn w:val="DefaultParagraphFont"/>
    <w:link w:val="Subtitle"/>
    <w:rsid w:val="00E26F24"/>
    <w:rPr>
      <w:rFonts w:ascii="Corbel" w:eastAsia="Corbel" w:hAnsi="Corbel" w:cs="Corbel"/>
      <w:color w:val="404040"/>
      <w:sz w:val="22"/>
      <w:szCs w:val="22"/>
    </w:rPr>
  </w:style>
  <w:style w:type="paragraph" w:styleId="CommentText">
    <w:name w:val="annotation text"/>
    <w:basedOn w:val="Normal"/>
    <w:link w:val="CommentTextChar"/>
    <w:uiPriority w:val="99"/>
    <w:unhideWhenUsed/>
    <w:rsid w:val="00E26F24"/>
  </w:style>
  <w:style w:type="character" w:customStyle="1" w:styleId="CommentTextChar">
    <w:name w:val="Comment Text Char"/>
    <w:basedOn w:val="DefaultParagraphFont"/>
    <w:link w:val="CommentText"/>
    <w:uiPriority w:val="99"/>
    <w:rsid w:val="00E26F24"/>
    <w:rPr>
      <w:rFonts w:ascii="Times New Roman" w:eastAsia="Times New Roman" w:hAnsi="Times New Roman" w:cs="Times New Roman"/>
      <w:lang w:eastAsia="zh-CN"/>
    </w:rPr>
  </w:style>
  <w:style w:type="character" w:styleId="CommentReference">
    <w:name w:val="annotation reference"/>
    <w:basedOn w:val="DefaultParagraphFont"/>
    <w:uiPriority w:val="99"/>
    <w:semiHidden/>
    <w:unhideWhenUsed/>
    <w:rsid w:val="00E26F24"/>
    <w:rPr>
      <w:sz w:val="18"/>
      <w:szCs w:val="18"/>
    </w:rPr>
  </w:style>
  <w:style w:type="paragraph" w:styleId="BalloonText">
    <w:name w:val="Balloon Text"/>
    <w:basedOn w:val="Normal"/>
    <w:link w:val="BalloonTextChar"/>
    <w:uiPriority w:val="99"/>
    <w:semiHidden/>
    <w:unhideWhenUsed/>
    <w:rsid w:val="00E26F2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26F24"/>
    <w:rPr>
      <w:rFonts w:ascii="Lucida Grande" w:eastAsia="Times New Roman" w:hAnsi="Lucida Grande" w:cs="Lucida Grande"/>
      <w:sz w:val="18"/>
      <w:szCs w:val="18"/>
      <w:lang w:eastAsia="zh-CN"/>
    </w:rPr>
  </w:style>
  <w:style w:type="paragraph" w:styleId="DocumentMap">
    <w:name w:val="Document Map"/>
    <w:basedOn w:val="Normal"/>
    <w:link w:val="DocumentMapChar"/>
    <w:uiPriority w:val="99"/>
    <w:semiHidden/>
    <w:unhideWhenUsed/>
    <w:rsid w:val="00E26F24"/>
    <w:rPr>
      <w:rFonts w:ascii="Lucida Grande" w:hAnsi="Lucida Grande" w:cs="Lucida Grande"/>
    </w:rPr>
  </w:style>
  <w:style w:type="character" w:customStyle="1" w:styleId="DocumentMapChar">
    <w:name w:val="Document Map Char"/>
    <w:basedOn w:val="DefaultParagraphFont"/>
    <w:link w:val="DocumentMap"/>
    <w:uiPriority w:val="99"/>
    <w:semiHidden/>
    <w:rsid w:val="00E26F24"/>
    <w:rPr>
      <w:rFonts w:ascii="Lucida Grande" w:eastAsia="Times New Roman" w:hAnsi="Lucida Grande" w:cs="Lucida Grande"/>
      <w:lang w:eastAsia="zh-CN"/>
    </w:rPr>
  </w:style>
  <w:style w:type="paragraph" w:styleId="Header">
    <w:name w:val="header"/>
    <w:basedOn w:val="Normal"/>
    <w:link w:val="HeaderChar"/>
    <w:uiPriority w:val="99"/>
    <w:unhideWhenUsed/>
    <w:rsid w:val="00E26F24"/>
    <w:pPr>
      <w:tabs>
        <w:tab w:val="center" w:pos="4320"/>
        <w:tab w:val="right" w:pos="8640"/>
      </w:tabs>
    </w:pPr>
  </w:style>
  <w:style w:type="character" w:customStyle="1" w:styleId="HeaderChar">
    <w:name w:val="Header Char"/>
    <w:basedOn w:val="DefaultParagraphFont"/>
    <w:link w:val="Header"/>
    <w:uiPriority w:val="99"/>
    <w:rsid w:val="00E26F24"/>
    <w:rPr>
      <w:rFonts w:ascii="Times New Roman" w:eastAsia="Times New Roman" w:hAnsi="Times New Roman" w:cs="Times New Roman"/>
      <w:lang w:eastAsia="zh-CN"/>
    </w:rPr>
  </w:style>
  <w:style w:type="paragraph" w:styleId="Footer">
    <w:name w:val="footer"/>
    <w:basedOn w:val="Normal"/>
    <w:link w:val="FooterChar"/>
    <w:uiPriority w:val="99"/>
    <w:unhideWhenUsed/>
    <w:rsid w:val="00E26F24"/>
    <w:pPr>
      <w:tabs>
        <w:tab w:val="center" w:pos="4320"/>
        <w:tab w:val="right" w:pos="8640"/>
      </w:tabs>
    </w:pPr>
  </w:style>
  <w:style w:type="character" w:customStyle="1" w:styleId="FooterChar">
    <w:name w:val="Footer Char"/>
    <w:basedOn w:val="DefaultParagraphFont"/>
    <w:link w:val="Footer"/>
    <w:uiPriority w:val="99"/>
    <w:rsid w:val="00E26F24"/>
    <w:rPr>
      <w:rFonts w:ascii="Times New Roman" w:eastAsia="Times New Roman" w:hAnsi="Times New Roman" w:cs="Times New Roman"/>
      <w:lang w:eastAsia="zh-CN"/>
    </w:rPr>
  </w:style>
  <w:style w:type="paragraph" w:styleId="NoSpacing">
    <w:name w:val="No Spacing"/>
    <w:uiPriority w:val="1"/>
    <w:qFormat/>
    <w:rsid w:val="00E26F24"/>
    <w:pPr>
      <w:numPr>
        <w:numId w:val="3"/>
      </w:numPr>
      <w:pBdr>
        <w:top w:val="nil"/>
        <w:left w:val="nil"/>
        <w:bottom w:val="nil"/>
        <w:right w:val="nil"/>
        <w:between w:val="nil"/>
      </w:pBdr>
    </w:pPr>
    <w:rPr>
      <w:rFonts w:ascii="Arial" w:eastAsia="Corbel" w:hAnsi="Arial" w:cs="Corbel"/>
      <w:color w:val="000000"/>
      <w:sz w:val="20"/>
      <w:szCs w:val="20"/>
    </w:rPr>
  </w:style>
  <w:style w:type="paragraph" w:styleId="TOCHeading">
    <w:name w:val="TOC Heading"/>
    <w:basedOn w:val="Heading1"/>
    <w:next w:val="Normal"/>
    <w:uiPriority w:val="39"/>
    <w:unhideWhenUsed/>
    <w:qFormat/>
    <w:rsid w:val="00E26F24"/>
    <w:pPr>
      <w:keepNext/>
      <w:keepLines/>
      <w:shd w:val="clear" w:color="auto" w:fill="auto"/>
      <w:tabs>
        <w:tab w:val="clear" w:pos="270"/>
        <w:tab w:val="clear" w:pos="630"/>
      </w:tabs>
      <w:spacing w:before="480" w:line="276" w:lineRule="auto"/>
      <w:ind w:left="0"/>
      <w:outlineLvl w:val="9"/>
    </w:pPr>
    <w:rPr>
      <w:rFonts w:asciiTheme="majorHAnsi" w:eastAsiaTheme="majorEastAsia" w:hAnsiTheme="majorHAnsi" w:cstheme="majorBidi"/>
      <w:bCs/>
      <w:smallCaps w:val="0"/>
      <w:color w:val="2F5496" w:themeColor="accent1" w:themeShade="BF"/>
    </w:rPr>
  </w:style>
  <w:style w:type="paragraph" w:styleId="TOC1">
    <w:name w:val="toc 1"/>
    <w:basedOn w:val="Normal"/>
    <w:next w:val="Normal"/>
    <w:autoRedefine/>
    <w:uiPriority w:val="39"/>
    <w:unhideWhenUsed/>
    <w:rsid w:val="00E26F24"/>
    <w:pPr>
      <w:spacing w:before="120"/>
    </w:pPr>
    <w:rPr>
      <w:rFonts w:asciiTheme="minorHAnsi" w:hAnsiTheme="minorHAnsi" w:cstheme="minorHAnsi"/>
      <w:b/>
      <w:bCs/>
      <w:i/>
      <w:iCs/>
      <w:szCs w:val="28"/>
    </w:rPr>
  </w:style>
  <w:style w:type="paragraph" w:styleId="TOC2">
    <w:name w:val="toc 2"/>
    <w:basedOn w:val="Normal"/>
    <w:next w:val="Normal"/>
    <w:autoRedefine/>
    <w:uiPriority w:val="39"/>
    <w:unhideWhenUsed/>
    <w:rsid w:val="00E26F24"/>
    <w:pPr>
      <w:spacing w:before="120"/>
      <w:ind w:left="240"/>
    </w:pPr>
    <w:rPr>
      <w:rFonts w:asciiTheme="minorHAnsi" w:hAnsiTheme="minorHAnsi" w:cstheme="minorHAnsi"/>
      <w:b/>
      <w:bCs/>
      <w:sz w:val="22"/>
      <w:szCs w:val="26"/>
    </w:rPr>
  </w:style>
  <w:style w:type="paragraph" w:styleId="TOC3">
    <w:name w:val="toc 3"/>
    <w:basedOn w:val="Normal"/>
    <w:next w:val="Normal"/>
    <w:autoRedefine/>
    <w:uiPriority w:val="39"/>
    <w:semiHidden/>
    <w:unhideWhenUsed/>
    <w:rsid w:val="00E26F24"/>
    <w:pPr>
      <w:ind w:left="480"/>
    </w:pPr>
    <w:rPr>
      <w:rFonts w:asciiTheme="minorHAnsi" w:hAnsiTheme="minorHAnsi" w:cstheme="minorHAnsi"/>
      <w:sz w:val="20"/>
    </w:rPr>
  </w:style>
  <w:style w:type="paragraph" w:styleId="TOC4">
    <w:name w:val="toc 4"/>
    <w:basedOn w:val="Normal"/>
    <w:next w:val="Normal"/>
    <w:autoRedefine/>
    <w:uiPriority w:val="39"/>
    <w:semiHidden/>
    <w:unhideWhenUsed/>
    <w:rsid w:val="00E26F24"/>
    <w:pPr>
      <w:ind w:left="720"/>
    </w:pPr>
    <w:rPr>
      <w:rFonts w:asciiTheme="minorHAnsi" w:hAnsiTheme="minorHAnsi" w:cstheme="minorHAnsi"/>
      <w:sz w:val="20"/>
    </w:rPr>
  </w:style>
  <w:style w:type="paragraph" w:styleId="TOC5">
    <w:name w:val="toc 5"/>
    <w:basedOn w:val="Normal"/>
    <w:next w:val="Normal"/>
    <w:autoRedefine/>
    <w:uiPriority w:val="39"/>
    <w:semiHidden/>
    <w:unhideWhenUsed/>
    <w:rsid w:val="00E26F24"/>
    <w:pPr>
      <w:ind w:left="960"/>
    </w:pPr>
    <w:rPr>
      <w:rFonts w:asciiTheme="minorHAnsi" w:hAnsiTheme="minorHAnsi" w:cstheme="minorHAnsi"/>
      <w:sz w:val="20"/>
    </w:rPr>
  </w:style>
  <w:style w:type="paragraph" w:styleId="TOC6">
    <w:name w:val="toc 6"/>
    <w:basedOn w:val="Normal"/>
    <w:next w:val="Normal"/>
    <w:autoRedefine/>
    <w:uiPriority w:val="39"/>
    <w:semiHidden/>
    <w:unhideWhenUsed/>
    <w:rsid w:val="00E26F24"/>
    <w:pPr>
      <w:ind w:left="1200"/>
    </w:pPr>
    <w:rPr>
      <w:rFonts w:asciiTheme="minorHAnsi" w:hAnsiTheme="minorHAnsi" w:cstheme="minorHAnsi"/>
      <w:sz w:val="20"/>
    </w:rPr>
  </w:style>
  <w:style w:type="paragraph" w:styleId="TOC7">
    <w:name w:val="toc 7"/>
    <w:basedOn w:val="Normal"/>
    <w:next w:val="Normal"/>
    <w:autoRedefine/>
    <w:uiPriority w:val="39"/>
    <w:semiHidden/>
    <w:unhideWhenUsed/>
    <w:rsid w:val="00E26F24"/>
    <w:pPr>
      <w:ind w:left="1440"/>
    </w:pPr>
    <w:rPr>
      <w:rFonts w:asciiTheme="minorHAnsi" w:hAnsiTheme="minorHAnsi" w:cstheme="minorHAnsi"/>
      <w:sz w:val="20"/>
    </w:rPr>
  </w:style>
  <w:style w:type="paragraph" w:styleId="TOC8">
    <w:name w:val="toc 8"/>
    <w:basedOn w:val="Normal"/>
    <w:next w:val="Normal"/>
    <w:autoRedefine/>
    <w:uiPriority w:val="39"/>
    <w:semiHidden/>
    <w:unhideWhenUsed/>
    <w:rsid w:val="00E26F24"/>
    <w:pPr>
      <w:ind w:left="1680"/>
    </w:pPr>
    <w:rPr>
      <w:rFonts w:asciiTheme="minorHAnsi" w:hAnsiTheme="minorHAnsi" w:cstheme="minorHAnsi"/>
      <w:sz w:val="20"/>
    </w:rPr>
  </w:style>
  <w:style w:type="paragraph" w:styleId="TOC9">
    <w:name w:val="toc 9"/>
    <w:basedOn w:val="Normal"/>
    <w:next w:val="Normal"/>
    <w:autoRedefine/>
    <w:uiPriority w:val="39"/>
    <w:semiHidden/>
    <w:unhideWhenUsed/>
    <w:rsid w:val="00E26F24"/>
    <w:pPr>
      <w:ind w:left="1920"/>
    </w:pPr>
    <w:rPr>
      <w:rFonts w:asciiTheme="minorHAnsi" w:hAnsiTheme="minorHAnsi" w:cstheme="minorHAnsi"/>
      <w:sz w:val="20"/>
    </w:rPr>
  </w:style>
  <w:style w:type="paragraph" w:styleId="FootnoteText">
    <w:name w:val="footnote text"/>
    <w:basedOn w:val="Normal"/>
    <w:link w:val="FootnoteTextChar"/>
    <w:uiPriority w:val="99"/>
    <w:unhideWhenUsed/>
    <w:rsid w:val="00E26F24"/>
  </w:style>
  <w:style w:type="character" w:customStyle="1" w:styleId="FootnoteTextChar">
    <w:name w:val="Footnote Text Char"/>
    <w:basedOn w:val="DefaultParagraphFont"/>
    <w:link w:val="FootnoteText"/>
    <w:uiPriority w:val="99"/>
    <w:rsid w:val="00E26F24"/>
    <w:rPr>
      <w:rFonts w:ascii="Times New Roman" w:eastAsia="Times New Roman" w:hAnsi="Times New Roman" w:cs="Times New Roman"/>
      <w:lang w:eastAsia="zh-CN"/>
    </w:rPr>
  </w:style>
  <w:style w:type="character" w:styleId="FootnoteReference">
    <w:name w:val="footnote reference"/>
    <w:basedOn w:val="DefaultParagraphFont"/>
    <w:uiPriority w:val="99"/>
    <w:unhideWhenUsed/>
    <w:rsid w:val="00E26F24"/>
    <w:rPr>
      <w:vertAlign w:val="superscript"/>
    </w:rPr>
  </w:style>
  <w:style w:type="paragraph" w:customStyle="1" w:styleId="Normal2">
    <w:name w:val="Normal2"/>
    <w:rsid w:val="00E26F24"/>
    <w:pPr>
      <w:pBdr>
        <w:top w:val="nil"/>
        <w:left w:val="nil"/>
        <w:bottom w:val="nil"/>
        <w:right w:val="nil"/>
        <w:between w:val="nil"/>
      </w:pBdr>
      <w:spacing w:before="120" w:after="200" w:line="264" w:lineRule="auto"/>
    </w:pPr>
    <w:rPr>
      <w:rFonts w:ascii="Corbel" w:eastAsia="Corbel" w:hAnsi="Corbel" w:cs="Corbel"/>
      <w:color w:val="000000"/>
      <w:sz w:val="22"/>
      <w:szCs w:val="22"/>
    </w:rPr>
  </w:style>
  <w:style w:type="paragraph" w:styleId="CommentSubject">
    <w:name w:val="annotation subject"/>
    <w:basedOn w:val="CommentText"/>
    <w:next w:val="CommentText"/>
    <w:link w:val="CommentSubjectChar"/>
    <w:uiPriority w:val="99"/>
    <w:semiHidden/>
    <w:unhideWhenUsed/>
    <w:rsid w:val="00E26F24"/>
    <w:rPr>
      <w:b/>
      <w:bCs/>
      <w:sz w:val="20"/>
      <w:szCs w:val="20"/>
    </w:rPr>
  </w:style>
  <w:style w:type="character" w:customStyle="1" w:styleId="CommentSubjectChar">
    <w:name w:val="Comment Subject Char"/>
    <w:basedOn w:val="CommentTextChar"/>
    <w:link w:val="CommentSubject"/>
    <w:uiPriority w:val="99"/>
    <w:semiHidden/>
    <w:rsid w:val="00E26F24"/>
    <w:rPr>
      <w:rFonts w:ascii="Times New Roman" w:eastAsia="Times New Roman" w:hAnsi="Times New Roman" w:cs="Times New Roman"/>
      <w:b/>
      <w:bCs/>
      <w:sz w:val="20"/>
      <w:szCs w:val="20"/>
      <w:lang w:eastAsia="zh-CN"/>
    </w:rPr>
  </w:style>
  <w:style w:type="character" w:styleId="Hyperlink">
    <w:name w:val="Hyperlink"/>
    <w:basedOn w:val="DefaultParagraphFont"/>
    <w:uiPriority w:val="99"/>
    <w:unhideWhenUsed/>
    <w:rsid w:val="00E26F24"/>
    <w:rPr>
      <w:color w:val="0563C1" w:themeColor="hyperlink"/>
      <w:u w:val="single"/>
    </w:rPr>
  </w:style>
  <w:style w:type="paragraph" w:customStyle="1" w:styleId="paragraph">
    <w:name w:val="paragraph"/>
    <w:basedOn w:val="Normal"/>
    <w:rsid w:val="00E26F24"/>
    <w:pPr>
      <w:spacing w:before="100" w:beforeAutospacing="1" w:after="100" w:afterAutospacing="1"/>
    </w:pPr>
  </w:style>
  <w:style w:type="character" w:customStyle="1" w:styleId="normaltextrun">
    <w:name w:val="normaltextrun"/>
    <w:basedOn w:val="DefaultParagraphFont"/>
    <w:rsid w:val="00E26F24"/>
  </w:style>
  <w:style w:type="character" w:customStyle="1" w:styleId="apple-converted-space">
    <w:name w:val="apple-converted-space"/>
    <w:basedOn w:val="DefaultParagraphFont"/>
    <w:rsid w:val="00E26F24"/>
  </w:style>
  <w:style w:type="character" w:customStyle="1" w:styleId="eop">
    <w:name w:val="eop"/>
    <w:basedOn w:val="DefaultParagraphFont"/>
    <w:rsid w:val="00E26F24"/>
  </w:style>
  <w:style w:type="character" w:customStyle="1" w:styleId="scxw150688746">
    <w:name w:val="scxw150688746"/>
    <w:basedOn w:val="DefaultParagraphFont"/>
    <w:rsid w:val="00E26F24"/>
  </w:style>
  <w:style w:type="character" w:customStyle="1" w:styleId="spellingerror">
    <w:name w:val="spellingerror"/>
    <w:basedOn w:val="DefaultParagraphFont"/>
    <w:rsid w:val="00E26F24"/>
  </w:style>
  <w:style w:type="character" w:customStyle="1" w:styleId="scxw52846940">
    <w:name w:val="scxw52846940"/>
    <w:basedOn w:val="DefaultParagraphFont"/>
    <w:rsid w:val="00E26F24"/>
  </w:style>
  <w:style w:type="character" w:customStyle="1" w:styleId="scxw49425527">
    <w:name w:val="scxw49425527"/>
    <w:basedOn w:val="DefaultParagraphFont"/>
    <w:rsid w:val="00E26F24"/>
  </w:style>
  <w:style w:type="character" w:customStyle="1" w:styleId="scxw244817963">
    <w:name w:val="scxw244817963"/>
    <w:basedOn w:val="DefaultParagraphFont"/>
    <w:rsid w:val="00E26F24"/>
  </w:style>
  <w:style w:type="character" w:customStyle="1" w:styleId="scxw73071516">
    <w:name w:val="scxw73071516"/>
    <w:basedOn w:val="DefaultParagraphFont"/>
    <w:rsid w:val="00E26F24"/>
  </w:style>
  <w:style w:type="character" w:customStyle="1" w:styleId="scxw53269209">
    <w:name w:val="scxw53269209"/>
    <w:basedOn w:val="DefaultParagraphFont"/>
    <w:rsid w:val="00E26F24"/>
  </w:style>
  <w:style w:type="character" w:customStyle="1" w:styleId="scxw204070412">
    <w:name w:val="scxw204070412"/>
    <w:basedOn w:val="DefaultParagraphFont"/>
    <w:rsid w:val="00E26F24"/>
  </w:style>
  <w:style w:type="character" w:customStyle="1" w:styleId="scxw132778717">
    <w:name w:val="scxw132778717"/>
    <w:basedOn w:val="DefaultParagraphFont"/>
    <w:rsid w:val="00E26F24"/>
  </w:style>
  <w:style w:type="character" w:customStyle="1" w:styleId="scxw125445437">
    <w:name w:val="scxw125445437"/>
    <w:basedOn w:val="DefaultParagraphFont"/>
    <w:rsid w:val="00E26F24"/>
  </w:style>
  <w:style w:type="paragraph" w:styleId="NormalWeb">
    <w:name w:val="Normal (Web)"/>
    <w:basedOn w:val="Normal"/>
    <w:uiPriority w:val="99"/>
    <w:unhideWhenUsed/>
    <w:rsid w:val="00E26F24"/>
  </w:style>
  <w:style w:type="character" w:customStyle="1" w:styleId="UnresolvedMention1">
    <w:name w:val="Unresolved Mention1"/>
    <w:basedOn w:val="DefaultParagraphFont"/>
    <w:uiPriority w:val="99"/>
    <w:semiHidden/>
    <w:unhideWhenUsed/>
    <w:rsid w:val="00E26F24"/>
    <w:rPr>
      <w:color w:val="605E5C"/>
      <w:shd w:val="clear" w:color="auto" w:fill="E1DFDD"/>
    </w:rPr>
  </w:style>
  <w:style w:type="paragraph" w:styleId="EndnoteText">
    <w:name w:val="endnote text"/>
    <w:basedOn w:val="Normal"/>
    <w:link w:val="EndnoteTextChar"/>
    <w:uiPriority w:val="99"/>
    <w:semiHidden/>
    <w:unhideWhenUsed/>
    <w:rsid w:val="00E26F24"/>
    <w:rPr>
      <w:sz w:val="20"/>
      <w:szCs w:val="20"/>
    </w:rPr>
  </w:style>
  <w:style w:type="character" w:customStyle="1" w:styleId="EndnoteTextChar">
    <w:name w:val="Endnote Text Char"/>
    <w:basedOn w:val="DefaultParagraphFont"/>
    <w:link w:val="EndnoteText"/>
    <w:uiPriority w:val="99"/>
    <w:semiHidden/>
    <w:rsid w:val="00E26F24"/>
    <w:rPr>
      <w:rFonts w:ascii="Times New Roman" w:eastAsia="Times New Roman" w:hAnsi="Times New Roman" w:cs="Times New Roman"/>
      <w:sz w:val="20"/>
      <w:szCs w:val="20"/>
      <w:lang w:eastAsia="zh-CN"/>
    </w:rPr>
  </w:style>
  <w:style w:type="character" w:styleId="EndnoteReference">
    <w:name w:val="endnote reference"/>
    <w:basedOn w:val="DefaultParagraphFont"/>
    <w:uiPriority w:val="99"/>
    <w:semiHidden/>
    <w:unhideWhenUsed/>
    <w:rsid w:val="00E26F24"/>
    <w:rPr>
      <w:vertAlign w:val="superscript"/>
    </w:rPr>
  </w:style>
  <w:style w:type="character" w:customStyle="1" w:styleId="scxw10823761">
    <w:name w:val="scxw10823761"/>
    <w:basedOn w:val="DefaultParagraphFont"/>
    <w:rsid w:val="00E26F24"/>
  </w:style>
  <w:style w:type="paragraph" w:styleId="ListParagraph">
    <w:name w:val="List Paragraph"/>
    <w:basedOn w:val="Normal"/>
    <w:link w:val="ListParagraphChar"/>
    <w:uiPriority w:val="34"/>
    <w:qFormat/>
    <w:rsid w:val="00E26F24"/>
    <w:pPr>
      <w:ind w:left="720"/>
      <w:contextualSpacing/>
    </w:pPr>
  </w:style>
  <w:style w:type="character" w:customStyle="1" w:styleId="UnresolvedMention2">
    <w:name w:val="Unresolved Mention2"/>
    <w:basedOn w:val="DefaultParagraphFont"/>
    <w:uiPriority w:val="99"/>
    <w:semiHidden/>
    <w:unhideWhenUsed/>
    <w:rsid w:val="00E26F24"/>
    <w:rPr>
      <w:color w:val="605E5C"/>
      <w:shd w:val="clear" w:color="auto" w:fill="E1DFDD"/>
    </w:rPr>
  </w:style>
  <w:style w:type="character" w:styleId="FollowedHyperlink">
    <w:name w:val="FollowedHyperlink"/>
    <w:basedOn w:val="DefaultParagraphFont"/>
    <w:uiPriority w:val="99"/>
    <w:semiHidden/>
    <w:unhideWhenUsed/>
    <w:rsid w:val="00E26F24"/>
    <w:rPr>
      <w:color w:val="954F72" w:themeColor="followedHyperlink"/>
      <w:u w:val="single"/>
    </w:rPr>
  </w:style>
  <w:style w:type="character" w:customStyle="1" w:styleId="UnresolvedMention3">
    <w:name w:val="Unresolved Mention3"/>
    <w:basedOn w:val="DefaultParagraphFont"/>
    <w:uiPriority w:val="99"/>
    <w:semiHidden/>
    <w:unhideWhenUsed/>
    <w:rsid w:val="00E26F24"/>
    <w:rPr>
      <w:color w:val="605E5C"/>
      <w:shd w:val="clear" w:color="auto" w:fill="E1DFDD"/>
    </w:rPr>
  </w:style>
  <w:style w:type="paragraph" w:styleId="Revision">
    <w:name w:val="Revision"/>
    <w:hidden/>
    <w:uiPriority w:val="99"/>
    <w:semiHidden/>
    <w:rsid w:val="00E26F24"/>
    <w:rPr>
      <w:rFonts w:ascii="Corbel" w:eastAsia="Corbel" w:hAnsi="Corbel" w:cs="Corbel"/>
      <w:color w:val="000000"/>
      <w:sz w:val="22"/>
      <w:szCs w:val="22"/>
    </w:rPr>
  </w:style>
  <w:style w:type="character" w:customStyle="1" w:styleId="UnresolvedMention4">
    <w:name w:val="Unresolved Mention4"/>
    <w:basedOn w:val="DefaultParagraphFont"/>
    <w:uiPriority w:val="99"/>
    <w:semiHidden/>
    <w:unhideWhenUsed/>
    <w:rsid w:val="00E26F24"/>
    <w:rPr>
      <w:color w:val="605E5C"/>
      <w:shd w:val="clear" w:color="auto" w:fill="E1DFDD"/>
    </w:rPr>
  </w:style>
  <w:style w:type="character" w:customStyle="1" w:styleId="ListParagraphChar">
    <w:name w:val="List Paragraph Char"/>
    <w:basedOn w:val="DefaultParagraphFont"/>
    <w:link w:val="ListParagraph"/>
    <w:uiPriority w:val="34"/>
    <w:locked/>
    <w:rsid w:val="00E26F24"/>
    <w:rPr>
      <w:rFonts w:ascii="Times New Roman" w:eastAsia="Times New Roman" w:hAnsi="Times New Roman" w:cs="Times New Roman"/>
      <w:lang w:eastAsia="zh-CN"/>
    </w:rPr>
  </w:style>
  <w:style w:type="character" w:customStyle="1" w:styleId="UnresolvedMention5">
    <w:name w:val="Unresolved Mention5"/>
    <w:basedOn w:val="DefaultParagraphFont"/>
    <w:uiPriority w:val="99"/>
    <w:semiHidden/>
    <w:unhideWhenUsed/>
    <w:rsid w:val="00E26F24"/>
    <w:rPr>
      <w:color w:val="605E5C"/>
      <w:shd w:val="clear" w:color="auto" w:fill="E1DFDD"/>
    </w:rPr>
  </w:style>
  <w:style w:type="character" w:styleId="Strong">
    <w:name w:val="Strong"/>
    <w:basedOn w:val="DefaultParagraphFont"/>
    <w:uiPriority w:val="22"/>
    <w:qFormat/>
    <w:rsid w:val="00E26F24"/>
    <w:rPr>
      <w:b/>
      <w:bCs/>
    </w:rPr>
  </w:style>
  <w:style w:type="character" w:customStyle="1" w:styleId="quran1">
    <w:name w:val="quran1"/>
    <w:basedOn w:val="DefaultParagraphFont"/>
    <w:rsid w:val="00473D28"/>
    <w:rPr>
      <w:b/>
      <w:bCs/>
      <w:color w:val="000033"/>
    </w:rPr>
  </w:style>
  <w:style w:type="character" w:styleId="Emphasis">
    <w:name w:val="Emphasis"/>
    <w:basedOn w:val="DefaultParagraphFont"/>
    <w:uiPriority w:val="20"/>
    <w:qFormat/>
    <w:rsid w:val="00D018E4"/>
    <w:rPr>
      <w:i/>
      <w:iCs/>
    </w:rPr>
  </w:style>
  <w:style w:type="character" w:customStyle="1" w:styleId="UnresolvedMention6">
    <w:name w:val="Unresolved Mention6"/>
    <w:basedOn w:val="DefaultParagraphFont"/>
    <w:uiPriority w:val="99"/>
    <w:semiHidden/>
    <w:unhideWhenUsed/>
    <w:rsid w:val="00D46770"/>
    <w:rPr>
      <w:color w:val="605E5C"/>
      <w:shd w:val="clear" w:color="auto" w:fill="E1DFDD"/>
    </w:rPr>
  </w:style>
  <w:style w:type="character" w:styleId="UnresolvedMention">
    <w:name w:val="Unresolved Mention"/>
    <w:basedOn w:val="DefaultParagraphFont"/>
    <w:uiPriority w:val="99"/>
    <w:semiHidden/>
    <w:unhideWhenUsed/>
    <w:rsid w:val="00006434"/>
    <w:rPr>
      <w:color w:val="605E5C"/>
      <w:shd w:val="clear" w:color="auto" w:fill="E1DFDD"/>
    </w:rPr>
  </w:style>
  <w:style w:type="paragraph" w:customStyle="1" w:styleId="Default">
    <w:name w:val="Default"/>
    <w:rsid w:val="007C55CD"/>
    <w:pPr>
      <w:autoSpaceDE w:val="0"/>
      <w:autoSpaceDN w:val="0"/>
      <w:adjustRightInd w:val="0"/>
    </w:pPr>
    <w:rPr>
      <w:rFonts w:ascii="Arial" w:eastAsia="Arial" w:hAnsi="Arial" w:cs="Arial"/>
      <w:color w:val="000000"/>
      <w:lang w:val="en-GB"/>
    </w:rPr>
  </w:style>
  <w:style w:type="character" w:styleId="PageNumber">
    <w:name w:val="page number"/>
    <w:basedOn w:val="DefaultParagraphFont"/>
    <w:uiPriority w:val="99"/>
    <w:semiHidden/>
    <w:unhideWhenUsed/>
    <w:rsid w:val="00F97BAE"/>
  </w:style>
  <w:style w:type="character" w:customStyle="1" w:styleId="apple-tab-span">
    <w:name w:val="apple-tab-span"/>
    <w:basedOn w:val="DefaultParagraphFont"/>
    <w:rsid w:val="008366D8"/>
  </w:style>
  <w:style w:type="table" w:styleId="TableGrid">
    <w:name w:val="Table Grid"/>
    <w:basedOn w:val="TableNormal"/>
    <w:uiPriority w:val="39"/>
    <w:rsid w:val="00EE22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pPr>
      <w:pBdr>
        <w:top w:val="nil"/>
        <w:left w:val="nil"/>
        <w:bottom w:val="nil"/>
        <w:right w:val="nil"/>
        <w:between w:val="nil"/>
      </w:pBdr>
      <w:spacing w:before="120" w:after="160" w:line="264" w:lineRule="auto"/>
    </w:pPr>
    <w:rPr>
      <w:rFonts w:ascii="Corbel" w:eastAsia="Corbel" w:hAnsi="Corbel" w:cs="Corbel"/>
      <w:color w:val="404040"/>
      <w:sz w:val="22"/>
      <w:szCs w:val="22"/>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www.musawah.org" TargetMode="External"/><Relationship Id="rId18" Type="http://schemas.openxmlformats.org/officeDocument/2006/relationships/hyperlink" Target="https://wunrn.com/wp-content/uploads/BMMA-Seeking-Justice-Final.pdf"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unrn.com/wp-content/uploads/BMMA-Seeking-Justice-Final.pdf" TargetMode="External"/><Relationship Id="rId7" Type="http://schemas.openxmlformats.org/officeDocument/2006/relationships/endnotes" Target="endnotes.xml"/><Relationship Id="rId12" Type="http://schemas.openxmlformats.org/officeDocument/2006/relationships/hyperlink" Target="mailto:musawah@musawah.org" TargetMode="External"/><Relationship Id="rId17" Type="http://schemas.openxmlformats.org/officeDocument/2006/relationships/hyperlink" Target="http://www.equalfamilylaws.org"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s://wunrn.com/wp-content/uploads/BMMA-Seeking-Justice-Final.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wunrn.com/wp-content/uploads/BMMA-Seeking-Justice-Final.pdf" TargetMode="Externa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hyperlink" Target="https://wunrn.com/wp-content/uploads/BMMA-Seeking-Justice-Final.pdf" TargetMode="External"/><Relationship Id="rId10" Type="http://schemas.openxmlformats.org/officeDocument/2006/relationships/hyperlink" Target="https://bmmaindia.wordpress.com/" TargetMode="External"/><Relationship Id="rId19" Type="http://schemas.openxmlformats.org/officeDocument/2006/relationships/hyperlink" Target="https://wunrn.com/wp-content/uploads/BMMA-Seeking-Justice-Final.pdf" TargetMode="External"/><Relationship Id="rId4" Type="http://schemas.openxmlformats.org/officeDocument/2006/relationships/settings" Target="settings.xml"/><Relationship Id="rId9" Type="http://schemas.openxmlformats.org/officeDocument/2006/relationships/hyperlink" Target="mailto:noorjehan.sn1@gmail.com" TargetMode="External"/><Relationship Id="rId14" Type="http://schemas.openxmlformats.org/officeDocument/2006/relationships/image" Target="media/image3.png"/><Relationship Id="rId22" Type="http://schemas.openxmlformats.org/officeDocument/2006/relationships/hyperlink" Target="https://wunrn.com/wp-content/uploads/BMMA-Seeking-Justice-Final.pdf"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timesofindia.indiatimes.com/india/sc-to-study-if-under-18-muslim-girl-can-marry-on-attaining-puberty/articleshow/71072845.cms?utm_source=chatgpt.com" TargetMode="External"/><Relationship Id="rId2" Type="http://schemas.openxmlformats.org/officeDocument/2006/relationships/hyperlink" Target="https://www.musawah.org/resources/country-table-india/" TargetMode="External"/><Relationship Id="rId1" Type="http://schemas.openxmlformats.org/officeDocument/2006/relationships/hyperlink" Target="http://www.equalfamilylaws.org" TargetMode="External"/><Relationship Id="rId4" Type="http://schemas.openxmlformats.org/officeDocument/2006/relationships/hyperlink" Target="https://timesofindia.indiatimes.com/india/sc-to-study-if-under-18-muslim-girl-can-marry-on-attaining-puberty/articleshow/71072845.cms?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M/udvuhHSdglbjGXoOsj7pcQdzw==">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</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10</Pages>
  <Words>3805</Words>
  <Characters>21046</Characters>
  <Application>Microsoft Office Word</Application>
  <DocSecurity>0</DocSecurity>
  <Lines>375</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Waheedi, Salma</dc:creator>
  <cp:lastModifiedBy>Ansari, Fer Ghanaa-HLSCLINICS</cp:lastModifiedBy>
  <cp:revision>4</cp:revision>
  <dcterms:created xsi:type="dcterms:W3CDTF">2023-01-30T15:52:00Z</dcterms:created>
  <dcterms:modified xsi:type="dcterms:W3CDTF">2025-09-29T06:32:00Z</dcterms:modified>
</cp:coreProperties>
</file>