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A42A05" w:rsidRPr="0018632F" w14:paraId="580A58EA" w14:textId="77777777" w:rsidTr="005801FD">
        <w:tc>
          <w:tcPr>
            <w:tcW w:w="4541" w:type="dxa"/>
          </w:tcPr>
          <w:p w14:paraId="73BAE54D" w14:textId="77777777" w:rsidR="00A42A05" w:rsidRPr="0018632F" w:rsidRDefault="00A42A05" w:rsidP="00B05446">
            <w:pPr>
              <w:widowControl w:val="0"/>
              <w:rPr>
                <w:rFonts w:asciiTheme="majorBidi" w:hAnsiTheme="majorBidi" w:cstheme="majorBidi"/>
              </w:rPr>
            </w:pPr>
            <w:bookmarkStart w:id="0" w:name="_GoBack"/>
            <w:bookmarkEnd w:id="0"/>
            <w:r w:rsidRPr="0018632F">
              <w:rPr>
                <w:rFonts w:asciiTheme="majorBidi" w:hAnsiTheme="majorBidi" w:cstheme="majorBidi"/>
                <w:noProof/>
                <w:lang w:val="en-GB" w:eastAsia="en-GB"/>
              </w:rPr>
              <w:drawing>
                <wp:anchor distT="0" distB="0" distL="114300" distR="114300" simplePos="0" relativeHeight="251659264" behindDoc="0" locked="0" layoutInCell="1" allowOverlap="1" wp14:anchorId="43908E55" wp14:editId="1BB1235B">
                  <wp:simplePos x="0" y="0"/>
                  <wp:positionH relativeFrom="margin">
                    <wp:posOffset>872118</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63FBA658" w14:textId="77777777" w:rsidR="00A42A05" w:rsidRPr="0018632F" w:rsidRDefault="00A42A05" w:rsidP="00B05446">
            <w:pPr>
              <w:widowControl w:val="0"/>
              <w:rPr>
                <w:rFonts w:asciiTheme="majorBidi" w:hAnsiTheme="majorBidi" w:cstheme="majorBidi"/>
              </w:rPr>
            </w:pPr>
          </w:p>
          <w:p w14:paraId="4829630C" w14:textId="77777777" w:rsidR="00A42A05" w:rsidRPr="0018632F" w:rsidRDefault="00A42A05" w:rsidP="00B05446">
            <w:pPr>
              <w:widowControl w:val="0"/>
              <w:rPr>
                <w:rFonts w:asciiTheme="majorBidi" w:hAnsiTheme="majorBidi" w:cstheme="majorBidi"/>
              </w:rPr>
            </w:pPr>
          </w:p>
        </w:tc>
        <w:tc>
          <w:tcPr>
            <w:tcW w:w="4315" w:type="dxa"/>
          </w:tcPr>
          <w:p w14:paraId="76C99E78" w14:textId="77777777" w:rsidR="00A42A05" w:rsidRPr="0018632F" w:rsidRDefault="00A42A05" w:rsidP="00B05446">
            <w:pPr>
              <w:widowControl w:val="0"/>
              <w:rPr>
                <w:rFonts w:asciiTheme="majorBidi" w:hAnsiTheme="majorBidi" w:cstheme="majorBidi"/>
                <w:b/>
              </w:rPr>
            </w:pPr>
            <w:r w:rsidRPr="0018632F">
              <w:rPr>
                <w:rFonts w:asciiTheme="majorBidi" w:hAnsiTheme="majorBidi" w:cstheme="majorBidi"/>
                <w:b/>
              </w:rPr>
              <w:t>CRC (87th Session)</w:t>
            </w:r>
          </w:p>
          <w:p w14:paraId="2FD15D01" w14:textId="77777777" w:rsidR="00A42A05" w:rsidRPr="0018632F" w:rsidRDefault="00A42A05" w:rsidP="00B05446">
            <w:pPr>
              <w:widowControl w:val="0"/>
              <w:rPr>
                <w:rFonts w:asciiTheme="majorBidi" w:hAnsiTheme="majorBidi" w:cstheme="majorBidi"/>
              </w:rPr>
            </w:pPr>
            <w:r w:rsidRPr="0018632F">
              <w:rPr>
                <w:rFonts w:asciiTheme="majorBidi" w:hAnsiTheme="majorBidi" w:cstheme="majorBidi"/>
              </w:rPr>
              <w:t>Country name: Canada</w:t>
            </w:r>
          </w:p>
          <w:p w14:paraId="0DE9A923" w14:textId="77777777" w:rsidR="00A42A05" w:rsidRPr="0018632F" w:rsidRDefault="00A42A05" w:rsidP="00B05446">
            <w:pPr>
              <w:widowControl w:val="0"/>
              <w:rPr>
                <w:rFonts w:asciiTheme="majorBidi" w:hAnsiTheme="majorBidi" w:cstheme="majorBidi"/>
              </w:rPr>
            </w:pPr>
          </w:p>
        </w:tc>
      </w:tr>
      <w:tr w:rsidR="00A42A05" w:rsidRPr="0018632F" w14:paraId="379DC9FB" w14:textId="77777777" w:rsidTr="005801FD">
        <w:tc>
          <w:tcPr>
            <w:tcW w:w="8856" w:type="dxa"/>
            <w:gridSpan w:val="2"/>
          </w:tcPr>
          <w:p w14:paraId="2001E180" w14:textId="77777777" w:rsidR="00A42A05" w:rsidRPr="0018632F" w:rsidRDefault="00A42A05" w:rsidP="00B05446">
            <w:pPr>
              <w:widowControl w:val="0"/>
              <w:jc w:val="center"/>
              <w:rPr>
                <w:rFonts w:asciiTheme="majorBidi" w:eastAsia="Times New Roman" w:hAnsiTheme="majorBidi" w:cstheme="majorBidi"/>
                <w:b/>
                <w:color w:val="222222"/>
                <w:shd w:val="clear" w:color="auto" w:fill="FFFFFF"/>
              </w:rPr>
            </w:pPr>
            <w:r w:rsidRPr="0018632F">
              <w:rPr>
                <w:rFonts w:asciiTheme="majorBidi" w:eastAsia="Times New Roman" w:hAnsiTheme="majorBidi" w:cstheme="majorBidi"/>
                <w:b/>
                <w:color w:val="222222"/>
                <w:shd w:val="clear" w:color="auto" w:fill="FFFFFF"/>
              </w:rPr>
              <w:t>Appropriate pretrial detention times for children</w:t>
            </w:r>
          </w:p>
          <w:p w14:paraId="0334B2D6" w14:textId="77777777" w:rsidR="00A42A05" w:rsidRPr="0018632F" w:rsidRDefault="00A42A05" w:rsidP="00B05446">
            <w:pPr>
              <w:widowControl w:val="0"/>
              <w:rPr>
                <w:rFonts w:asciiTheme="majorBidi" w:eastAsia="Times New Roman" w:hAnsiTheme="majorBidi" w:cstheme="majorBidi"/>
                <w:color w:val="222222"/>
                <w:shd w:val="clear" w:color="auto" w:fill="FFFFFF"/>
              </w:rPr>
            </w:pPr>
          </w:p>
          <w:p w14:paraId="17BD6C39" w14:textId="77777777" w:rsidR="00A42A05" w:rsidRPr="0018632F" w:rsidRDefault="00A42A05" w:rsidP="00B05446">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Cluster of rights:</w:t>
            </w:r>
          </w:p>
          <w:p w14:paraId="58ED8E31" w14:textId="77777777" w:rsidR="00A42A05" w:rsidRPr="0018632F" w:rsidRDefault="00A42A05" w:rsidP="00B05446">
            <w:pPr>
              <w:pStyle w:val="NormalWeb"/>
              <w:widowControl w:val="0"/>
              <w:spacing w:before="0" w:beforeAutospacing="0" w:after="0" w:afterAutospacing="0"/>
              <w:rPr>
                <w:rFonts w:asciiTheme="majorBidi" w:hAnsiTheme="majorBidi" w:cstheme="majorBidi"/>
                <w:color w:val="222222"/>
                <w:shd w:val="clear" w:color="auto" w:fill="FFFFFF"/>
              </w:rPr>
            </w:pPr>
          </w:p>
          <w:p w14:paraId="2C74C338" w14:textId="77777777" w:rsidR="00A42A05" w:rsidRPr="0018632F" w:rsidRDefault="00A42A05" w:rsidP="00B05446">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Right to lawful deprivation of liberty</w:t>
            </w:r>
          </w:p>
          <w:p w14:paraId="167217E2" w14:textId="77777777" w:rsidR="00A42A05" w:rsidRPr="0018632F" w:rsidRDefault="00A42A05" w:rsidP="00B05446">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Right to speedy trial and brevity of pretrial detention</w:t>
            </w:r>
          </w:p>
          <w:p w14:paraId="320AF917" w14:textId="77777777" w:rsidR="00A42A05" w:rsidRPr="0018632F" w:rsidRDefault="00A42A05" w:rsidP="00B05446">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Convention on the Rights of the Child Article 37(b)</w:t>
            </w:r>
          </w:p>
          <w:p w14:paraId="6A02C5D6" w14:textId="77777777" w:rsidR="00A42A05" w:rsidRPr="0018632F" w:rsidRDefault="00A42A05" w:rsidP="00B05446">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Convention Against Torture Article 2</w:t>
            </w:r>
          </w:p>
          <w:p w14:paraId="076CA4D2" w14:textId="77777777" w:rsidR="00A42A05" w:rsidRPr="0018632F" w:rsidRDefault="00A42A05" w:rsidP="00B05446">
            <w:pPr>
              <w:widowControl w:val="0"/>
              <w:rPr>
                <w:rFonts w:asciiTheme="majorBidi" w:eastAsia="Times New Roman" w:hAnsiTheme="majorBidi" w:cstheme="majorBidi"/>
                <w:color w:val="222222"/>
                <w:shd w:val="clear" w:color="auto" w:fill="FFFFFF"/>
              </w:rPr>
            </w:pPr>
          </w:p>
          <w:p w14:paraId="6DFBCC5A" w14:textId="77777777" w:rsidR="00A42A05" w:rsidRPr="0018632F" w:rsidRDefault="00A42A05" w:rsidP="00B05446">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Areas of concern:</w:t>
            </w:r>
          </w:p>
          <w:p w14:paraId="6FDB7E25" w14:textId="77777777" w:rsidR="00A42A05" w:rsidRPr="0018632F" w:rsidRDefault="00A42A05" w:rsidP="00B05446">
            <w:pPr>
              <w:widowControl w:val="0"/>
              <w:rPr>
                <w:rFonts w:asciiTheme="majorBidi" w:eastAsia="Times New Roman" w:hAnsiTheme="majorBidi" w:cstheme="majorBidi"/>
                <w:color w:val="222222"/>
                <w:shd w:val="clear" w:color="auto" w:fill="FFFFFF"/>
              </w:rPr>
            </w:pPr>
          </w:p>
          <w:p w14:paraId="52834F8B" w14:textId="226D849C" w:rsidR="00A42A05" w:rsidRPr="0018632F" w:rsidRDefault="00A42A05" w:rsidP="00B05446">
            <w:pPr>
              <w:widowControl w:val="0"/>
              <w:rPr>
                <w:rFonts w:asciiTheme="majorBidi" w:hAnsiTheme="majorBidi" w:cstheme="majorBidi"/>
              </w:rPr>
            </w:pPr>
            <w:r w:rsidRPr="0018632F">
              <w:rPr>
                <w:rFonts w:asciiTheme="majorBidi" w:hAnsiTheme="majorBidi" w:cstheme="majorBidi"/>
              </w:rPr>
              <w:t>International law strictly limits the circumstances in which children can be placed in detention while awaiting trial or while under investigation before being charged. Pretrial detention should only be used in exceptional circumstances</w:t>
            </w:r>
            <w:r w:rsidR="00F70FAA" w:rsidRPr="0018632F">
              <w:rPr>
                <w:rFonts w:asciiTheme="majorBidi" w:hAnsiTheme="majorBidi" w:cstheme="majorBidi"/>
              </w:rPr>
              <w:t>—</w:t>
            </w:r>
            <w:r w:rsidRPr="0018632F">
              <w:rPr>
                <w:rFonts w:asciiTheme="majorBidi" w:hAnsiTheme="majorBidi" w:cstheme="majorBidi"/>
              </w:rPr>
              <w:t>where it is necessary to ensure the child’s appearance at the court proceedings, or where the child is an immediate danger to himself/herself or others.</w:t>
            </w:r>
            <w:r w:rsidRPr="0018632F">
              <w:rPr>
                <w:rFonts w:asciiTheme="majorBidi" w:hAnsiTheme="majorBidi" w:cstheme="majorBidi"/>
                <w:vertAlign w:val="superscript"/>
              </w:rPr>
              <w:footnoteReference w:id="1"/>
            </w:r>
            <w:r w:rsidRPr="0018632F">
              <w:rPr>
                <w:rFonts w:asciiTheme="majorBidi" w:hAnsiTheme="majorBidi" w:cstheme="majorBidi"/>
              </w:rPr>
              <w:t xml:space="preserve"> </w:t>
            </w:r>
            <w:r w:rsidR="00F70FAA" w:rsidRPr="0018632F">
              <w:rPr>
                <w:rFonts w:asciiTheme="majorBidi" w:hAnsiTheme="majorBidi" w:cstheme="majorBidi"/>
              </w:rPr>
              <w:t>The Convention on the Rights of the Child permits p</w:t>
            </w:r>
            <w:r w:rsidRPr="0018632F">
              <w:rPr>
                <w:rFonts w:asciiTheme="majorBidi" w:hAnsiTheme="majorBidi" w:cstheme="majorBidi"/>
              </w:rPr>
              <w:t>retrial detention only as a measure of last resort and for “</w:t>
            </w:r>
            <w:r w:rsidRPr="0018632F">
              <w:rPr>
                <w:rFonts w:asciiTheme="majorBidi" w:hAnsiTheme="majorBidi" w:cstheme="majorBidi"/>
                <w:iCs/>
              </w:rPr>
              <w:t>the shortest appropriate period of time</w:t>
            </w:r>
            <w:r w:rsidRPr="0018632F">
              <w:rPr>
                <w:rFonts w:asciiTheme="majorBidi" w:hAnsiTheme="majorBidi" w:cstheme="majorBidi"/>
              </w:rPr>
              <w:t>.”</w:t>
            </w:r>
            <w:bookmarkStart w:id="1" w:name="_Ref509599856"/>
            <w:r w:rsidRPr="0018632F">
              <w:rPr>
                <w:rFonts w:asciiTheme="majorBidi" w:hAnsiTheme="majorBidi" w:cstheme="majorBidi"/>
                <w:vertAlign w:val="superscript"/>
              </w:rPr>
              <w:footnoteReference w:id="2"/>
            </w:r>
            <w:bookmarkEnd w:id="1"/>
            <w:r w:rsidRPr="0018632F">
              <w:rPr>
                <w:rFonts w:asciiTheme="majorBidi" w:hAnsiTheme="majorBidi" w:cstheme="majorBidi"/>
              </w:rPr>
              <w:t xml:space="preserve"> However, </w:t>
            </w:r>
            <w:r w:rsidR="00F70FAA" w:rsidRPr="0018632F">
              <w:rPr>
                <w:rFonts w:asciiTheme="majorBidi" w:hAnsiTheme="majorBidi" w:cstheme="majorBidi"/>
              </w:rPr>
              <w:t>it is not entirely clear what an</w:t>
            </w:r>
            <w:r w:rsidRPr="0018632F">
              <w:rPr>
                <w:rFonts w:asciiTheme="majorBidi" w:hAnsiTheme="majorBidi" w:cstheme="majorBidi"/>
              </w:rPr>
              <w:t> “</w:t>
            </w:r>
            <w:r w:rsidRPr="0018632F">
              <w:rPr>
                <w:rFonts w:asciiTheme="majorBidi" w:hAnsiTheme="majorBidi" w:cstheme="majorBidi"/>
                <w:iCs/>
              </w:rPr>
              <w:t>appropriate period of time”</w:t>
            </w:r>
            <w:r w:rsidR="00F70FAA" w:rsidRPr="0018632F">
              <w:rPr>
                <w:rFonts w:asciiTheme="majorBidi" w:hAnsiTheme="majorBidi" w:cstheme="majorBidi"/>
                <w:iCs/>
              </w:rPr>
              <w:t xml:space="preserve"> is.</w:t>
            </w:r>
            <w:r w:rsidRPr="0018632F">
              <w:rPr>
                <w:rFonts w:asciiTheme="majorBidi" w:hAnsiTheme="majorBidi" w:cstheme="majorBidi"/>
              </w:rPr>
              <w:t xml:space="preserve"> The Committee on the Rights of the Child, in General Comment 10, recommended that children who are detained should be formally charged within thirty days and that once charged, a final decision should be made by the court within six months.</w:t>
            </w:r>
            <w:bookmarkStart w:id="2" w:name="_Ref511739094"/>
            <w:r w:rsidRPr="0018632F">
              <w:rPr>
                <w:rStyle w:val="FootnoteReference"/>
                <w:rFonts w:asciiTheme="majorBidi" w:hAnsiTheme="majorBidi" w:cstheme="majorBidi"/>
              </w:rPr>
              <w:footnoteReference w:id="3"/>
            </w:r>
            <w:bookmarkEnd w:id="2"/>
            <w:r w:rsidRPr="0018632F">
              <w:rPr>
                <w:rFonts w:asciiTheme="majorBidi" w:hAnsiTheme="majorBidi" w:cstheme="majorBidi"/>
              </w:rPr>
              <w:t xml:space="preserve"> The Committee additionally recommended that any such detention should be reviewed regularly by a competent body</w:t>
            </w:r>
            <w:r w:rsidR="00F70FAA" w:rsidRPr="0018632F">
              <w:rPr>
                <w:rFonts w:asciiTheme="majorBidi" w:hAnsiTheme="majorBidi" w:cstheme="majorBidi"/>
              </w:rPr>
              <w:t>.</w:t>
            </w:r>
            <w:r w:rsidRPr="0018632F">
              <w:rPr>
                <w:rStyle w:val="FootnoteReference"/>
                <w:rFonts w:asciiTheme="majorBidi" w:hAnsiTheme="majorBidi" w:cstheme="majorBidi"/>
              </w:rPr>
              <w:footnoteReference w:id="4"/>
            </w:r>
            <w:r w:rsidRPr="0018632F">
              <w:rPr>
                <w:rFonts w:asciiTheme="majorBidi" w:hAnsiTheme="majorBidi" w:cstheme="majorBidi"/>
              </w:rPr>
              <w:t xml:space="preserve"> These recommendations can and should be strengthened.</w:t>
            </w:r>
          </w:p>
          <w:p w14:paraId="128F7C50" w14:textId="77777777" w:rsidR="00A42A05" w:rsidRPr="0018632F" w:rsidRDefault="00A42A05" w:rsidP="00B05446">
            <w:pPr>
              <w:widowControl w:val="0"/>
              <w:rPr>
                <w:rFonts w:asciiTheme="majorBidi" w:hAnsiTheme="majorBidi" w:cstheme="majorBidi"/>
              </w:rPr>
            </w:pPr>
          </w:p>
          <w:p w14:paraId="25A0C35C" w14:textId="7A48EF0E" w:rsidR="00A42A05" w:rsidRPr="0018632F" w:rsidRDefault="00A42A05" w:rsidP="00B05446">
            <w:pPr>
              <w:widowControl w:val="0"/>
              <w:rPr>
                <w:rFonts w:asciiTheme="majorBidi" w:hAnsiTheme="majorBidi" w:cstheme="majorBidi"/>
              </w:rPr>
            </w:pPr>
            <w:r w:rsidRPr="0018632F">
              <w:rPr>
                <w:rFonts w:asciiTheme="majorBidi" w:hAnsiTheme="majorBidi" w:cstheme="majorBidi"/>
              </w:rPr>
              <w:t>Defendants in pretrial detention are more likely to be abused, mistreated and tortured,</w:t>
            </w:r>
            <w:bookmarkStart w:id="3" w:name="_Ref509596657"/>
            <w:r w:rsidRPr="0018632F">
              <w:rPr>
                <w:rFonts w:asciiTheme="majorBidi" w:hAnsiTheme="majorBidi" w:cstheme="majorBidi"/>
                <w:vertAlign w:val="superscript"/>
              </w:rPr>
              <w:footnoteReference w:id="5"/>
            </w:r>
            <w:bookmarkEnd w:id="3"/>
            <w:r w:rsidRPr="0018632F">
              <w:rPr>
                <w:rFonts w:asciiTheme="majorBidi" w:hAnsiTheme="majorBidi" w:cstheme="majorBidi"/>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00561777">
              <w:rPr>
                <w:rFonts w:asciiTheme="majorBidi" w:hAnsiTheme="majorBidi" w:cstheme="majorBidi"/>
              </w:rPr>
              <w:t>dropping out of school</w:t>
            </w:r>
            <w:r w:rsidRPr="0018632F">
              <w:rPr>
                <w:rFonts w:asciiTheme="majorBidi" w:hAnsiTheme="majorBidi" w:cstheme="majorBidi"/>
              </w:rPr>
              <w:t>, and drug use among children.</w:t>
            </w:r>
            <w:bookmarkStart w:id="4" w:name="_Ref509598336"/>
            <w:r w:rsidRPr="0018632F">
              <w:rPr>
                <w:rFonts w:asciiTheme="majorBidi" w:hAnsiTheme="majorBidi" w:cstheme="majorBidi"/>
                <w:vertAlign w:val="superscript"/>
              </w:rPr>
              <w:footnoteReference w:id="6"/>
            </w:r>
            <w:bookmarkEnd w:id="4"/>
            <w:r w:rsidRPr="0018632F">
              <w:rPr>
                <w:rFonts w:asciiTheme="majorBidi" w:hAnsiTheme="majorBidi" w:cstheme="majorBidi"/>
              </w:rPr>
              <w:t xml:space="preserve"> Unfortunately, </w:t>
            </w:r>
            <w:r w:rsidRPr="0018632F">
              <w:rPr>
                <w:rFonts w:asciiTheme="majorBidi" w:hAnsiTheme="majorBidi" w:cstheme="majorBidi"/>
              </w:rPr>
              <w:lastRenderedPageBreak/>
              <w:t>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common for children to receive conditional release or diversion after months of pretrial detention</w:t>
            </w:r>
            <w:r w:rsidRPr="0018632F">
              <w:rPr>
                <w:rFonts w:asciiTheme="majorBidi" w:hAnsiTheme="majorBidi" w:cstheme="majorBidi"/>
                <w:vertAlign w:val="superscript"/>
              </w:rPr>
              <w:footnoteReference w:id="7"/>
            </w:r>
            <w:r w:rsidRPr="0018632F">
              <w:rPr>
                <w:rFonts w:asciiTheme="majorBidi" w:hAnsiTheme="majorBidi" w:cstheme="majorBidi"/>
              </w:rPr>
              <w:t xml:space="preserve">. This means that the most significant </w:t>
            </w:r>
            <w:r w:rsidR="00DE7F9E" w:rsidRPr="0018632F">
              <w:rPr>
                <w:rFonts w:asciiTheme="majorBidi" w:hAnsiTheme="majorBidi" w:cstheme="majorBidi"/>
              </w:rPr>
              <w:t xml:space="preserve">deprivation of </w:t>
            </w:r>
            <w:r w:rsidR="00561777">
              <w:rPr>
                <w:rFonts w:asciiTheme="majorBidi" w:hAnsiTheme="majorBidi" w:cstheme="majorBidi"/>
              </w:rPr>
              <w:t xml:space="preserve">children’s </w:t>
            </w:r>
            <w:r w:rsidR="00DE7F9E" w:rsidRPr="0018632F">
              <w:rPr>
                <w:rFonts w:asciiTheme="majorBidi" w:hAnsiTheme="majorBidi" w:cstheme="majorBidi"/>
              </w:rPr>
              <w:t>liberty occurs</w:t>
            </w:r>
            <w:r w:rsidRPr="0018632F">
              <w:rPr>
                <w:rFonts w:asciiTheme="majorBidi" w:hAnsiTheme="majorBidi" w:cstheme="majorBidi"/>
              </w:rPr>
              <w:t xml:space="preserve"> while awaiting trial, when </w:t>
            </w:r>
            <w:r w:rsidR="00561777">
              <w:rPr>
                <w:rFonts w:asciiTheme="majorBidi" w:hAnsiTheme="majorBidi" w:cstheme="majorBidi"/>
              </w:rPr>
              <w:t>they</w:t>
            </w:r>
            <w:r w:rsidRPr="0018632F">
              <w:rPr>
                <w:rFonts w:asciiTheme="majorBidi" w:hAnsiTheme="majorBidi" w:cstheme="majorBidi"/>
              </w:rPr>
              <w:t xml:space="preserve"> are ostensibly presumed innocent.</w:t>
            </w:r>
          </w:p>
          <w:p w14:paraId="49EEFF3D" w14:textId="77777777" w:rsidR="00DE7F9E" w:rsidRPr="0018632F" w:rsidRDefault="00DE7F9E" w:rsidP="00B05446">
            <w:pPr>
              <w:widowControl w:val="0"/>
              <w:rPr>
                <w:rFonts w:asciiTheme="majorBidi" w:hAnsiTheme="majorBidi" w:cstheme="majorBidi"/>
              </w:rPr>
            </w:pPr>
          </w:p>
          <w:p w14:paraId="1C381B47" w14:textId="181EEB94" w:rsidR="00A42A05" w:rsidRPr="0018632F" w:rsidRDefault="00DE7F9E" w:rsidP="00B05446">
            <w:pPr>
              <w:widowControl w:val="0"/>
              <w:rPr>
                <w:rFonts w:asciiTheme="majorBidi" w:hAnsiTheme="majorBidi" w:cstheme="majorBidi"/>
              </w:rPr>
            </w:pPr>
            <w:r w:rsidRPr="0018632F">
              <w:rPr>
                <w:rFonts w:asciiTheme="majorBidi" w:hAnsiTheme="majorBidi" w:cstheme="majorBidi"/>
              </w:rPr>
              <w:t>In 2018, Juvenile Justice Advocates International</w:t>
            </w:r>
            <w:r w:rsidR="00A42A05" w:rsidRPr="0018632F">
              <w:rPr>
                <w:rFonts w:asciiTheme="majorBidi" w:hAnsiTheme="majorBidi" w:cstheme="majorBidi"/>
              </w:rPr>
              <w:t xml:space="preserve"> </w:t>
            </w:r>
            <w:r w:rsidR="00EF6B36" w:rsidRPr="0018632F">
              <w:rPr>
                <w:rFonts w:asciiTheme="majorBidi" w:hAnsiTheme="majorBidi" w:cstheme="majorBidi"/>
              </w:rPr>
              <w:t>co</w:t>
            </w:r>
            <w:r w:rsidRPr="0018632F">
              <w:rPr>
                <w:rFonts w:asciiTheme="majorBidi" w:hAnsiTheme="majorBidi" w:cstheme="majorBidi"/>
              </w:rPr>
              <w:t xml:space="preserve">authored a </w:t>
            </w:r>
            <w:r w:rsidR="00A42A05" w:rsidRPr="0018632F">
              <w:rPr>
                <w:rFonts w:asciiTheme="majorBidi" w:hAnsiTheme="majorBidi" w:cstheme="majorBidi"/>
              </w:rPr>
              <w:t xml:space="preserve">report </w:t>
            </w:r>
            <w:r w:rsidRPr="0018632F">
              <w:rPr>
                <w:rFonts w:asciiTheme="majorBidi" w:hAnsiTheme="majorBidi" w:cstheme="majorBidi"/>
              </w:rPr>
              <w:t xml:space="preserve">titled </w:t>
            </w:r>
            <w:r w:rsidR="00A42A05" w:rsidRPr="0018632F">
              <w:rPr>
                <w:rFonts w:asciiTheme="majorBidi" w:hAnsiTheme="majorBidi" w:cstheme="majorBidi"/>
                <w:i/>
                <w:iCs/>
              </w:rPr>
              <w:t>Children in Pretrial Detention: Promoting Stronger International Time Limits</w:t>
            </w:r>
            <w:r w:rsidRPr="0018632F">
              <w:rPr>
                <w:rFonts w:asciiTheme="majorBidi" w:hAnsiTheme="majorBidi" w:cstheme="majorBidi"/>
              </w:rPr>
              <w:t>. The report</w:t>
            </w:r>
            <w:r w:rsidR="00A42A05" w:rsidRPr="0018632F">
              <w:rPr>
                <w:rFonts w:asciiTheme="majorBidi" w:hAnsiTheme="majorBidi" w:cstheme="majorBidi"/>
              </w:rPr>
              <w:t xml:space="preserve"> is the first </w:t>
            </w:r>
            <w:r w:rsidRPr="0018632F">
              <w:rPr>
                <w:rFonts w:asciiTheme="majorBidi" w:hAnsiTheme="majorBidi" w:cstheme="majorBidi"/>
              </w:rPr>
              <w:t xml:space="preserve">global </w:t>
            </w:r>
            <w:r w:rsidR="00A42A05" w:rsidRPr="0018632F">
              <w:rPr>
                <w:rFonts w:asciiTheme="majorBidi" w:hAnsiTheme="majorBidi" w:cstheme="majorBidi"/>
              </w:rPr>
              <w:t xml:space="preserve">study of </w:t>
            </w:r>
            <w:r w:rsidRPr="0018632F">
              <w:rPr>
                <w:rFonts w:asciiTheme="majorBidi" w:hAnsiTheme="majorBidi" w:cstheme="majorBidi"/>
              </w:rPr>
              <w:t xml:space="preserve">the </w:t>
            </w:r>
            <w:r w:rsidR="00EF6B36" w:rsidRPr="0018632F">
              <w:rPr>
                <w:rFonts w:asciiTheme="majorBidi" w:hAnsiTheme="majorBidi" w:cstheme="majorBidi"/>
              </w:rPr>
              <w:t xml:space="preserve">legally permissible </w:t>
            </w:r>
            <w:r w:rsidRPr="0018632F">
              <w:rPr>
                <w:rFonts w:asciiTheme="majorBidi" w:hAnsiTheme="majorBidi" w:cstheme="majorBidi"/>
              </w:rPr>
              <w:t>length of pretrial detention of children</w:t>
            </w:r>
            <w:r w:rsidR="00A42A05" w:rsidRPr="0018632F">
              <w:rPr>
                <w:rFonts w:asciiTheme="majorBidi" w:hAnsiTheme="majorBidi" w:cstheme="majorBidi"/>
              </w:rPr>
              <w:t>. Looking at the legal limits</w:t>
            </w:r>
            <w:r w:rsidR="00EF6B36" w:rsidRPr="0018632F">
              <w:rPr>
                <w:rFonts w:asciiTheme="majorBidi" w:hAnsiTheme="majorBidi" w:cstheme="majorBidi"/>
              </w:rPr>
              <w:t xml:space="preserve"> </w:t>
            </w:r>
            <w:r w:rsidR="00A42A05" w:rsidRPr="0018632F">
              <w:rPr>
                <w:rFonts w:asciiTheme="majorBidi" w:hAnsiTheme="majorBidi" w:cstheme="majorBidi"/>
              </w:rPr>
              <w:t xml:space="preserve">in 118 countries, the report found that 26% of </w:t>
            </w:r>
            <w:r w:rsidRPr="0018632F">
              <w:rPr>
                <w:rFonts w:asciiTheme="majorBidi" w:hAnsiTheme="majorBidi" w:cstheme="majorBidi"/>
              </w:rPr>
              <w:t xml:space="preserve">the </w:t>
            </w:r>
            <w:r w:rsidR="00A42A05" w:rsidRPr="0018632F">
              <w:rPr>
                <w:rFonts w:asciiTheme="majorBidi" w:hAnsiTheme="majorBidi" w:cstheme="majorBidi"/>
              </w:rPr>
              <w:t xml:space="preserve">countries </w:t>
            </w:r>
            <w:r w:rsidRPr="0018632F">
              <w:rPr>
                <w:rFonts w:asciiTheme="majorBidi" w:hAnsiTheme="majorBidi" w:cstheme="majorBidi"/>
              </w:rPr>
              <w:t xml:space="preserve">examined </w:t>
            </w:r>
            <w:r w:rsidR="00A42A05" w:rsidRPr="0018632F">
              <w:rPr>
                <w:rFonts w:asciiTheme="majorBidi" w:hAnsiTheme="majorBidi" w:cstheme="majorBidi"/>
              </w:rPr>
              <w:t xml:space="preserve">have no time limit and 40% of countries </w:t>
            </w:r>
            <w:r w:rsidRPr="0018632F">
              <w:rPr>
                <w:rFonts w:asciiTheme="majorBidi" w:hAnsiTheme="majorBidi" w:cstheme="majorBidi"/>
              </w:rPr>
              <w:t xml:space="preserve">have limits that </w:t>
            </w:r>
            <w:r w:rsidR="00EF6B36" w:rsidRPr="0018632F">
              <w:rPr>
                <w:rFonts w:asciiTheme="majorBidi" w:hAnsiTheme="majorBidi" w:cstheme="majorBidi"/>
              </w:rPr>
              <w:t>allow</w:t>
            </w:r>
            <w:r w:rsidRPr="0018632F">
              <w:rPr>
                <w:rFonts w:asciiTheme="majorBidi" w:hAnsiTheme="majorBidi" w:cstheme="majorBidi"/>
              </w:rPr>
              <w:t xml:space="preserve"> </w:t>
            </w:r>
            <w:r w:rsidR="00A42A05" w:rsidRPr="0018632F">
              <w:rPr>
                <w:rFonts w:asciiTheme="majorBidi" w:hAnsiTheme="majorBidi" w:cstheme="majorBidi"/>
              </w:rPr>
              <w:t>exceptions</w:t>
            </w:r>
            <w:r w:rsidRPr="0018632F">
              <w:rPr>
                <w:rFonts w:asciiTheme="majorBidi" w:hAnsiTheme="majorBidi" w:cstheme="majorBidi"/>
              </w:rPr>
              <w:t xml:space="preserve"> and extensions</w:t>
            </w:r>
            <w:r w:rsidR="00A42A05" w:rsidRPr="0018632F">
              <w:rPr>
                <w:rFonts w:asciiTheme="majorBidi" w:hAnsiTheme="majorBidi" w:cstheme="majorBidi"/>
              </w:rPr>
              <w:t xml:space="preserve">, </w:t>
            </w:r>
            <w:r w:rsidRPr="0018632F">
              <w:rPr>
                <w:rFonts w:asciiTheme="majorBidi" w:hAnsiTheme="majorBidi" w:cstheme="majorBidi"/>
              </w:rPr>
              <w:t xml:space="preserve">which </w:t>
            </w:r>
            <w:r w:rsidR="00A42A05" w:rsidRPr="0018632F">
              <w:rPr>
                <w:rFonts w:asciiTheme="majorBidi" w:hAnsiTheme="majorBidi" w:cstheme="majorBidi"/>
              </w:rPr>
              <w:t>risk</w:t>
            </w:r>
            <w:r w:rsidRPr="0018632F">
              <w:rPr>
                <w:rFonts w:asciiTheme="majorBidi" w:hAnsiTheme="majorBidi" w:cstheme="majorBidi"/>
              </w:rPr>
              <w:t xml:space="preserve">s </w:t>
            </w:r>
            <w:r w:rsidR="00A42A05" w:rsidRPr="0018632F">
              <w:rPr>
                <w:rFonts w:asciiTheme="majorBidi" w:hAnsiTheme="majorBidi" w:cstheme="majorBidi"/>
              </w:rPr>
              <w:t xml:space="preserve">indefinite detention. </w:t>
            </w:r>
            <w:r w:rsidRPr="0018632F">
              <w:rPr>
                <w:rFonts w:asciiTheme="majorBidi" w:hAnsiTheme="majorBidi" w:cstheme="majorBidi"/>
              </w:rPr>
              <w:t>The report also found that countries have not been collecting or reporting data concerning the actual length of time children spend in detention while awaiting trial.</w:t>
            </w:r>
            <w:r w:rsidR="00A42A05" w:rsidRPr="0018632F">
              <w:rPr>
                <w:rFonts w:asciiTheme="majorBidi" w:hAnsiTheme="majorBidi" w:cstheme="majorBidi"/>
              </w:rPr>
              <w:t xml:space="preserve"> </w:t>
            </w:r>
          </w:p>
          <w:p w14:paraId="25D64FF1" w14:textId="75B7812C" w:rsidR="00A42A05" w:rsidRPr="0018632F" w:rsidRDefault="00A42A05" w:rsidP="00B05446">
            <w:pPr>
              <w:widowControl w:val="0"/>
              <w:rPr>
                <w:rFonts w:asciiTheme="majorBidi" w:hAnsiTheme="majorBidi" w:cstheme="majorBidi"/>
              </w:rPr>
            </w:pPr>
          </w:p>
          <w:p w14:paraId="29C5A140" w14:textId="77777777" w:rsidR="00A42A05" w:rsidRPr="0018632F" w:rsidRDefault="00A42A05" w:rsidP="00B05446">
            <w:pPr>
              <w:widowControl w:val="0"/>
              <w:rPr>
                <w:rFonts w:asciiTheme="majorBidi" w:hAnsiTheme="majorBidi" w:cstheme="majorBidi"/>
              </w:rPr>
            </w:pPr>
            <w:r w:rsidRPr="0018632F">
              <w:rPr>
                <w:rFonts w:asciiTheme="majorBidi" w:hAnsiTheme="majorBidi" w:cstheme="majorBidi"/>
              </w:rPr>
              <w:t xml:space="preserve">The </w:t>
            </w:r>
            <w:r w:rsidRPr="0018632F">
              <w:rPr>
                <w:rFonts w:asciiTheme="majorBidi" w:hAnsiTheme="majorBidi" w:cstheme="majorBidi"/>
                <w:i/>
              </w:rPr>
              <w:t>Children in Pretrial Detention: Promoting Stronger International Time Limits</w:t>
            </w:r>
            <w:r w:rsidRPr="0018632F">
              <w:rPr>
                <w:rFonts w:asciiTheme="majorBidi" w:hAnsiTheme="majorBidi" w:cstheme="majorBidi"/>
              </w:rPr>
              <w:t xml:space="preserve"> report serves as a baseline for the Committee to expand on country practices regarding times of pretrial detention of children. </w:t>
            </w:r>
          </w:p>
          <w:p w14:paraId="1DC7DFC8" w14:textId="77777777" w:rsidR="00A42A05" w:rsidRPr="0018632F" w:rsidRDefault="00A42A05" w:rsidP="00B05446">
            <w:pPr>
              <w:widowControl w:val="0"/>
              <w:rPr>
                <w:rFonts w:asciiTheme="majorBidi" w:eastAsia="Times New Roman" w:hAnsiTheme="majorBidi" w:cstheme="majorBidi"/>
                <w:color w:val="222222"/>
                <w:shd w:val="clear" w:color="auto" w:fill="FFFFFF"/>
              </w:rPr>
            </w:pPr>
            <w:r w:rsidRPr="0018632F">
              <w:rPr>
                <w:rFonts w:asciiTheme="majorBidi" w:hAnsiTheme="majorBidi" w:cstheme="majorBidi"/>
              </w:rPr>
              <w:br w:type="page"/>
            </w:r>
            <w:bookmarkStart w:id="5" w:name="_4g83oi30h3up" w:colFirst="0" w:colLast="0"/>
            <w:bookmarkEnd w:id="5"/>
          </w:p>
          <w:p w14:paraId="17E0B2BB" w14:textId="77777777" w:rsidR="00A42A05" w:rsidRPr="0018632F" w:rsidRDefault="00A42A05" w:rsidP="00B05446">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Methodology:</w:t>
            </w:r>
          </w:p>
          <w:p w14:paraId="223576D1" w14:textId="77777777" w:rsidR="00A42A05" w:rsidRPr="0018632F" w:rsidRDefault="00A42A05" w:rsidP="00B05446">
            <w:pPr>
              <w:widowControl w:val="0"/>
              <w:rPr>
                <w:rFonts w:asciiTheme="majorBidi" w:eastAsia="Times New Roman" w:hAnsiTheme="majorBidi" w:cstheme="majorBidi"/>
                <w:color w:val="222222"/>
                <w:shd w:val="clear" w:color="auto" w:fill="FFFFFF"/>
              </w:rPr>
            </w:pPr>
          </w:p>
          <w:p w14:paraId="781C0351" w14:textId="046CA43A" w:rsidR="00A42A05" w:rsidRPr="0018632F" w:rsidRDefault="00A42A05" w:rsidP="00B05446">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 xml:space="preserve">This alternative report is based on the </w:t>
            </w:r>
            <w:r w:rsidRPr="0018632F">
              <w:rPr>
                <w:rFonts w:asciiTheme="majorBidi" w:eastAsia="Times New Roman" w:hAnsiTheme="majorBidi" w:cstheme="majorBidi"/>
                <w:i/>
                <w:color w:val="222222"/>
                <w:shd w:val="clear" w:color="auto" w:fill="FFFFFF"/>
              </w:rPr>
              <w:t xml:space="preserve">Children in Pretrial Detention </w:t>
            </w:r>
            <w:r w:rsidRPr="0018632F">
              <w:rPr>
                <w:rFonts w:asciiTheme="majorBidi" w:eastAsia="Times New Roman" w:hAnsiTheme="majorBidi" w:cstheme="majorBidi"/>
                <w:color w:val="222222"/>
                <w:shd w:val="clear" w:color="auto" w:fill="FFFFFF"/>
              </w:rPr>
              <w:t>report on pretrial detention times of 11</w:t>
            </w:r>
            <w:r w:rsidR="00EF6B36" w:rsidRPr="0018632F">
              <w:rPr>
                <w:rFonts w:asciiTheme="majorBidi" w:eastAsia="Times New Roman" w:hAnsiTheme="majorBidi" w:cstheme="majorBidi"/>
                <w:color w:val="222222"/>
                <w:shd w:val="clear" w:color="auto" w:fill="FFFFFF"/>
              </w:rPr>
              <w:t>8</w:t>
            </w:r>
            <w:r w:rsidRPr="0018632F">
              <w:rPr>
                <w:rFonts w:asciiTheme="majorBidi" w:eastAsia="Times New Roman" w:hAnsiTheme="majorBidi" w:cstheme="majorBidi"/>
                <w:color w:val="222222"/>
                <w:shd w:val="clear" w:color="auto" w:fill="FFFFFF"/>
              </w:rPr>
              <w:t xml:space="preserve"> CRC State parties.</w:t>
            </w:r>
            <w:r w:rsidRPr="0018632F">
              <w:rPr>
                <w:rStyle w:val="FootnoteReference"/>
                <w:rFonts w:asciiTheme="majorBidi" w:eastAsia="Times New Roman" w:hAnsiTheme="majorBidi" w:cstheme="majorBidi"/>
                <w:color w:val="222222"/>
                <w:shd w:val="clear" w:color="auto" w:fill="FFFFFF"/>
              </w:rPr>
              <w:footnoteReference w:id="8"/>
            </w:r>
            <w:r w:rsidRPr="0018632F">
              <w:rPr>
                <w:rFonts w:asciiTheme="majorBidi" w:eastAsia="Times New Roman" w:hAnsiTheme="majorBidi" w:cstheme="majorBidi"/>
                <w:color w:val="222222"/>
                <w:shd w:val="clear" w:color="auto" w:fill="FFFFFF"/>
              </w:rPr>
              <w:t xml:space="preserve"> </w:t>
            </w:r>
            <w:r w:rsidR="002F7DA3" w:rsidRPr="0018632F">
              <w:rPr>
                <w:rFonts w:asciiTheme="majorBidi" w:eastAsia="Times New Roman" w:hAnsiTheme="majorBidi" w:cstheme="majorBidi"/>
                <w:color w:val="222222"/>
                <w:shd w:val="clear" w:color="auto" w:fill="FFFFFF"/>
              </w:rPr>
              <w:t>The</w:t>
            </w:r>
            <w:r w:rsidRPr="0018632F">
              <w:rPr>
                <w:rFonts w:asciiTheme="majorBidi" w:eastAsia="Times New Roman" w:hAnsiTheme="majorBidi" w:cstheme="majorBidi"/>
                <w:color w:val="222222"/>
                <w:shd w:val="clear" w:color="auto" w:fill="FFFFFF"/>
              </w:rPr>
              <w:t xml:space="preserve"> report </w:t>
            </w:r>
            <w:r w:rsidR="00151E23" w:rsidRPr="0018632F">
              <w:rPr>
                <w:rFonts w:asciiTheme="majorBidi" w:eastAsia="Times New Roman" w:hAnsiTheme="majorBidi" w:cstheme="majorBidi"/>
                <w:color w:val="222222"/>
                <w:shd w:val="clear" w:color="auto" w:fill="FFFFFF"/>
              </w:rPr>
              <w:t>reviewed</w:t>
            </w:r>
            <w:r w:rsidRPr="0018632F">
              <w:rPr>
                <w:rFonts w:asciiTheme="majorBidi" w:eastAsia="Times New Roman" w:hAnsiTheme="majorBidi" w:cstheme="majorBidi"/>
                <w:color w:val="222222"/>
                <w:shd w:val="clear" w:color="auto" w:fill="FFFFFF"/>
              </w:rPr>
              <w:t xml:space="preserve"> statutes or court rules in force at the time that the data was collected. </w:t>
            </w:r>
          </w:p>
          <w:p w14:paraId="50EBE834" w14:textId="77777777" w:rsidR="00EA33DE" w:rsidRPr="0018632F" w:rsidRDefault="00EA33DE" w:rsidP="00B05446">
            <w:pPr>
              <w:widowControl w:val="0"/>
              <w:rPr>
                <w:rFonts w:asciiTheme="majorBidi" w:eastAsia="Times New Roman" w:hAnsiTheme="majorBidi" w:cstheme="majorBidi"/>
                <w:color w:val="222222"/>
                <w:shd w:val="clear" w:color="auto" w:fill="FFFFFF"/>
              </w:rPr>
            </w:pPr>
          </w:p>
          <w:p w14:paraId="65B840FF" w14:textId="34DA0960" w:rsidR="00A42A05" w:rsidRPr="0018632F" w:rsidRDefault="00472932" w:rsidP="00B05446">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Where possible, t</w:t>
            </w:r>
            <w:r w:rsidR="002F7DA3" w:rsidRPr="0018632F">
              <w:rPr>
                <w:rFonts w:asciiTheme="majorBidi" w:eastAsia="Times New Roman" w:hAnsiTheme="majorBidi" w:cstheme="majorBidi"/>
                <w:color w:val="222222"/>
                <w:shd w:val="clear" w:color="auto" w:fill="FFFFFF"/>
              </w:rPr>
              <w:t>h</w:t>
            </w:r>
            <w:r w:rsidRPr="0018632F">
              <w:rPr>
                <w:rFonts w:asciiTheme="majorBidi" w:eastAsia="Times New Roman" w:hAnsiTheme="majorBidi" w:cstheme="majorBidi"/>
                <w:color w:val="222222"/>
                <w:shd w:val="clear" w:color="auto" w:fill="FFFFFF"/>
              </w:rPr>
              <w:t>e</w:t>
            </w:r>
            <w:r w:rsidR="002F7DA3" w:rsidRPr="0018632F">
              <w:rPr>
                <w:rFonts w:asciiTheme="majorBidi" w:eastAsia="Times New Roman" w:hAnsiTheme="majorBidi" w:cstheme="majorBidi"/>
                <w:color w:val="222222"/>
                <w:shd w:val="clear" w:color="auto" w:fill="FFFFFF"/>
              </w:rPr>
              <w:t xml:space="preserve"> report </w:t>
            </w:r>
            <w:r w:rsidR="00151E23" w:rsidRPr="0018632F">
              <w:rPr>
                <w:rFonts w:asciiTheme="majorBidi" w:eastAsia="Times New Roman" w:hAnsiTheme="majorBidi" w:cstheme="majorBidi"/>
                <w:color w:val="222222"/>
                <w:shd w:val="clear" w:color="auto" w:fill="FFFFFF"/>
              </w:rPr>
              <w:t>defines</w:t>
            </w:r>
            <w:r w:rsidRPr="0018632F">
              <w:rPr>
                <w:rFonts w:asciiTheme="majorBidi" w:eastAsia="Times New Roman" w:hAnsiTheme="majorBidi" w:cstheme="majorBidi"/>
                <w:color w:val="222222"/>
                <w:shd w:val="clear" w:color="auto" w:fill="FFFFFF"/>
              </w:rPr>
              <w:t xml:space="preserve"> the statutory time period of</w:t>
            </w:r>
            <w:r w:rsidR="00151E23" w:rsidRPr="0018632F">
              <w:rPr>
                <w:rFonts w:asciiTheme="majorBidi" w:eastAsia="Times New Roman" w:hAnsiTheme="majorBidi" w:cstheme="majorBidi"/>
                <w:color w:val="222222"/>
                <w:shd w:val="clear" w:color="auto" w:fill="FFFFFF"/>
              </w:rPr>
              <w:t xml:space="preserve"> pretrial detention as </w:t>
            </w:r>
            <w:r w:rsidR="006B6A7F" w:rsidRPr="0018632F">
              <w:rPr>
                <w:rFonts w:asciiTheme="majorBidi" w:eastAsia="Times New Roman" w:hAnsiTheme="majorBidi" w:cstheme="majorBidi"/>
                <w:color w:val="222222"/>
                <w:shd w:val="clear" w:color="auto" w:fill="FFFFFF"/>
              </w:rPr>
              <w:t xml:space="preserve">the </w:t>
            </w:r>
            <w:r w:rsidRPr="0018632F">
              <w:rPr>
                <w:rFonts w:asciiTheme="majorBidi" w:eastAsia="Times New Roman" w:hAnsiTheme="majorBidi" w:cstheme="majorBidi"/>
                <w:color w:val="222222"/>
                <w:shd w:val="clear" w:color="auto" w:fill="FFFFFF"/>
              </w:rPr>
              <w:t xml:space="preserve">statutory maximum length of </w:t>
            </w:r>
            <w:r w:rsidR="006B6A7F" w:rsidRPr="0018632F">
              <w:rPr>
                <w:rFonts w:asciiTheme="majorBidi" w:eastAsia="Times New Roman" w:hAnsiTheme="majorBidi" w:cstheme="majorBidi"/>
                <w:color w:val="222222"/>
                <w:shd w:val="clear" w:color="auto" w:fill="FFFFFF"/>
              </w:rPr>
              <w:t>detention</w:t>
            </w:r>
            <w:r w:rsidR="00EA33DE" w:rsidRPr="0018632F">
              <w:rPr>
                <w:rFonts w:asciiTheme="majorBidi" w:eastAsia="Times New Roman" w:hAnsiTheme="majorBidi" w:cstheme="majorBidi"/>
                <w:color w:val="222222"/>
                <w:shd w:val="clear" w:color="auto" w:fill="FFFFFF"/>
              </w:rPr>
              <w:t xml:space="preserve"> from</w:t>
            </w:r>
            <w:r w:rsidR="006B6A7F" w:rsidRPr="0018632F">
              <w:rPr>
                <w:rFonts w:asciiTheme="majorBidi" w:eastAsia="Times New Roman" w:hAnsiTheme="majorBidi" w:cstheme="majorBidi"/>
                <w:color w:val="222222"/>
                <w:shd w:val="clear" w:color="auto" w:fill="FFFFFF"/>
              </w:rPr>
              <w:t xml:space="preserve"> arrest the case is resolved and a sentence is established</w:t>
            </w:r>
            <w:r w:rsidR="00A42A05" w:rsidRPr="0018632F">
              <w:rPr>
                <w:rFonts w:asciiTheme="majorBidi" w:eastAsia="Times New Roman" w:hAnsiTheme="majorBidi" w:cstheme="majorBidi"/>
                <w:color w:val="222222"/>
                <w:shd w:val="clear" w:color="auto" w:fill="FFFFFF"/>
              </w:rPr>
              <w:t xml:space="preserve">. However, </w:t>
            </w:r>
            <w:r w:rsidR="000F3048" w:rsidRPr="0018632F">
              <w:rPr>
                <w:rFonts w:asciiTheme="majorBidi" w:eastAsia="Times New Roman" w:hAnsiTheme="majorBidi" w:cstheme="majorBidi"/>
                <w:color w:val="222222"/>
                <w:shd w:val="clear" w:color="auto" w:fill="FFFFFF"/>
              </w:rPr>
              <w:t>some</w:t>
            </w:r>
            <w:r w:rsidR="00A42A05" w:rsidRPr="0018632F">
              <w:rPr>
                <w:rFonts w:asciiTheme="majorBidi" w:eastAsia="Times New Roman" w:hAnsiTheme="majorBidi" w:cstheme="majorBidi"/>
                <w:color w:val="222222"/>
                <w:shd w:val="clear" w:color="auto" w:fill="FFFFFF"/>
              </w:rPr>
              <w:t xml:space="preserve"> jurisdictions define pretrial detention</w:t>
            </w:r>
            <w:r w:rsidR="00A42A05" w:rsidRPr="0018632F" w:rsidDel="002B3A25">
              <w:rPr>
                <w:rFonts w:asciiTheme="majorBidi" w:eastAsia="Times New Roman" w:hAnsiTheme="majorBidi" w:cstheme="majorBidi"/>
                <w:color w:val="222222"/>
                <w:shd w:val="clear" w:color="auto" w:fill="FFFFFF"/>
              </w:rPr>
              <w:t xml:space="preserve"> </w:t>
            </w:r>
            <w:r w:rsidR="00A42A05" w:rsidRPr="0018632F">
              <w:rPr>
                <w:rFonts w:asciiTheme="majorBidi" w:eastAsia="Times New Roman" w:hAnsiTheme="majorBidi" w:cstheme="majorBidi"/>
                <w:color w:val="222222"/>
                <w:shd w:val="clear" w:color="auto" w:fill="FFFFFF"/>
              </w:rPr>
              <w:t xml:space="preserve">differently or set limits based on alternative procedural milestones. Where </w:t>
            </w:r>
            <w:r w:rsidR="000F3048" w:rsidRPr="0018632F">
              <w:rPr>
                <w:rFonts w:asciiTheme="majorBidi" w:eastAsia="Times New Roman" w:hAnsiTheme="majorBidi" w:cstheme="majorBidi"/>
                <w:color w:val="222222"/>
                <w:shd w:val="clear" w:color="auto" w:fill="FFFFFF"/>
              </w:rPr>
              <w:t>this is the case</w:t>
            </w:r>
            <w:r w:rsidR="00A42A05" w:rsidRPr="0018632F">
              <w:rPr>
                <w:rFonts w:asciiTheme="majorBidi" w:eastAsia="Times New Roman" w:hAnsiTheme="majorBidi" w:cstheme="majorBidi"/>
                <w:color w:val="222222"/>
                <w:shd w:val="clear" w:color="auto" w:fill="FFFFFF"/>
              </w:rPr>
              <w:t xml:space="preserve">, the </w:t>
            </w:r>
            <w:r w:rsidR="000F3048" w:rsidRPr="0018632F">
              <w:rPr>
                <w:rFonts w:asciiTheme="majorBidi" w:eastAsia="Times New Roman" w:hAnsiTheme="majorBidi" w:cstheme="majorBidi"/>
                <w:color w:val="222222"/>
                <w:shd w:val="clear" w:color="auto" w:fill="FFFFFF"/>
              </w:rPr>
              <w:t xml:space="preserve">statutory time period </w:t>
            </w:r>
            <w:r w:rsidR="00A42A05" w:rsidRPr="0018632F">
              <w:rPr>
                <w:rFonts w:asciiTheme="majorBidi" w:eastAsia="Times New Roman" w:hAnsiTheme="majorBidi" w:cstheme="majorBidi"/>
                <w:color w:val="222222"/>
                <w:shd w:val="clear" w:color="auto" w:fill="FFFFFF"/>
              </w:rPr>
              <w:t xml:space="preserve">of </w:t>
            </w:r>
            <w:r w:rsidR="000F3048" w:rsidRPr="0018632F">
              <w:rPr>
                <w:rFonts w:asciiTheme="majorBidi" w:eastAsia="Times New Roman" w:hAnsiTheme="majorBidi" w:cstheme="majorBidi"/>
                <w:color w:val="222222"/>
                <w:shd w:val="clear" w:color="auto" w:fill="FFFFFF"/>
              </w:rPr>
              <w:t>pretrial detention</w:t>
            </w:r>
            <w:r w:rsidR="00A42A05" w:rsidRPr="0018632F">
              <w:rPr>
                <w:rFonts w:asciiTheme="majorBidi" w:eastAsia="Times New Roman" w:hAnsiTheme="majorBidi" w:cstheme="majorBidi"/>
                <w:color w:val="222222"/>
                <w:shd w:val="clear" w:color="auto" w:fill="FFFFFF"/>
              </w:rPr>
              <w:t xml:space="preserve"> was based on the national law’s definition of pretrial detention. </w:t>
            </w:r>
          </w:p>
          <w:p w14:paraId="68A2592A" w14:textId="77777777" w:rsidR="00A42A05" w:rsidRPr="0018632F" w:rsidRDefault="00A42A05" w:rsidP="00B05446">
            <w:pPr>
              <w:widowControl w:val="0"/>
              <w:rPr>
                <w:rFonts w:asciiTheme="majorBidi" w:eastAsia="Times New Roman" w:hAnsiTheme="majorBidi" w:cstheme="majorBidi"/>
                <w:color w:val="222222"/>
                <w:shd w:val="clear" w:color="auto" w:fill="FFFFFF"/>
              </w:rPr>
            </w:pPr>
          </w:p>
          <w:p w14:paraId="37439AFE" w14:textId="231AA5FD" w:rsidR="00A42A05" w:rsidRPr="0018632F" w:rsidRDefault="00A42A05" w:rsidP="00B05446">
            <w:pPr>
              <w:widowControl w:val="0"/>
              <w:rPr>
                <w:rFonts w:asciiTheme="majorBidi" w:eastAsia="Times New Roman" w:hAnsiTheme="majorBidi" w:cstheme="majorBidi"/>
                <w:color w:val="222222"/>
                <w:shd w:val="clear" w:color="auto" w:fill="FFFFFF"/>
              </w:rPr>
            </w:pPr>
            <w:r w:rsidRPr="0018632F">
              <w:rPr>
                <w:rFonts w:asciiTheme="majorBidi" w:hAnsiTheme="majorBidi" w:cstheme="majorBidi"/>
              </w:rPr>
              <w:t xml:space="preserve">Most jurisdictions did not indicate any time limit for children in pretrial detention pending appeal. For the sake of uniformity, only limits based on pretrial detention before the first adjudication were used. </w:t>
            </w:r>
          </w:p>
        </w:tc>
      </w:tr>
    </w:tbl>
    <w:p w14:paraId="69FC5F18" w14:textId="3BB81CF0" w:rsidR="00A42A05" w:rsidRDefault="00A42A05" w:rsidP="00B05446">
      <w:pPr>
        <w:widowControl w:val="0"/>
        <w:rPr>
          <w:rFonts w:asciiTheme="majorBidi" w:hAnsiTheme="majorBidi" w:cstheme="majorBidi"/>
        </w:rPr>
      </w:pPr>
    </w:p>
    <w:p w14:paraId="213AEAD2" w14:textId="77777777" w:rsidR="00B05446" w:rsidRPr="0018632F" w:rsidRDefault="00B05446" w:rsidP="00B05446">
      <w:pPr>
        <w:widowControl w:val="0"/>
        <w:rPr>
          <w:rFonts w:asciiTheme="majorBidi" w:hAnsiTheme="majorBidi" w:cstheme="majorBidi"/>
        </w:rPr>
      </w:pPr>
    </w:p>
    <w:p w14:paraId="11D91614" w14:textId="219F1D98" w:rsidR="00A42A05" w:rsidRPr="0018632F" w:rsidRDefault="00F70FAA" w:rsidP="00B05446">
      <w:pPr>
        <w:widowControl w:val="0"/>
        <w:jc w:val="center"/>
        <w:rPr>
          <w:rFonts w:asciiTheme="majorBidi" w:hAnsiTheme="majorBidi" w:cstheme="majorBidi"/>
          <w:b/>
        </w:rPr>
      </w:pPr>
      <w:r w:rsidRPr="00B05446">
        <w:rPr>
          <w:rFonts w:asciiTheme="majorBidi" w:hAnsiTheme="majorBidi" w:cstheme="majorBidi"/>
          <w:b/>
          <w:sz w:val="28"/>
          <w:szCs w:val="28"/>
        </w:rPr>
        <w:t>Canada</w:t>
      </w:r>
    </w:p>
    <w:p w14:paraId="5030C87E" w14:textId="77777777" w:rsidR="00A42A05" w:rsidRPr="0018632F" w:rsidRDefault="00A42A05" w:rsidP="00B05446">
      <w:pPr>
        <w:widowControl w:val="0"/>
        <w:rPr>
          <w:rFonts w:asciiTheme="majorBidi" w:hAnsiTheme="majorBidi" w:cstheme="majorBidi"/>
        </w:rPr>
      </w:pPr>
    </w:p>
    <w:tbl>
      <w:tblPr>
        <w:tblStyle w:val="TableGrid"/>
        <w:tblW w:w="8856" w:type="dxa"/>
        <w:tblLayout w:type="fixed"/>
        <w:tblLook w:val="04A0" w:firstRow="1" w:lastRow="0" w:firstColumn="1" w:lastColumn="0" w:noHBand="0" w:noVBand="1"/>
      </w:tblPr>
      <w:tblGrid>
        <w:gridCol w:w="2141"/>
        <w:gridCol w:w="6715"/>
      </w:tblGrid>
      <w:tr w:rsidR="00A42A05" w:rsidRPr="0018632F" w14:paraId="5F7EB764" w14:textId="77777777" w:rsidTr="005801FD">
        <w:tc>
          <w:tcPr>
            <w:tcW w:w="8856" w:type="dxa"/>
            <w:gridSpan w:val="2"/>
          </w:tcPr>
          <w:p w14:paraId="7A8871B2" w14:textId="4ABB6D4A" w:rsidR="00574079" w:rsidRPr="0018632F" w:rsidRDefault="00CB192C" w:rsidP="00E5441D">
            <w:pPr>
              <w:widowControl w:val="0"/>
              <w:jc w:val="both"/>
              <w:rPr>
                <w:rFonts w:asciiTheme="majorBidi" w:hAnsiTheme="majorBidi" w:cstheme="majorBidi"/>
              </w:rPr>
            </w:pPr>
            <w:r w:rsidRPr="0018632F">
              <w:rPr>
                <w:rFonts w:asciiTheme="majorBidi" w:hAnsiTheme="majorBidi" w:cstheme="majorBidi"/>
              </w:rPr>
              <w:t>Canada</w:t>
            </w:r>
            <w:r w:rsidR="00A42A05" w:rsidRPr="0018632F">
              <w:rPr>
                <w:rFonts w:asciiTheme="majorBidi" w:hAnsiTheme="majorBidi" w:cstheme="majorBidi"/>
              </w:rPr>
              <w:t xml:space="preserve"> has</w:t>
            </w:r>
            <w:r w:rsidRPr="0018632F">
              <w:rPr>
                <w:rFonts w:asciiTheme="majorBidi" w:hAnsiTheme="majorBidi" w:cstheme="majorBidi"/>
              </w:rPr>
              <w:t xml:space="preserve"> </w:t>
            </w:r>
            <w:r w:rsidR="00E5441D">
              <w:rPr>
                <w:rFonts w:asciiTheme="majorBidi" w:hAnsiTheme="majorBidi" w:cstheme="majorBidi"/>
              </w:rPr>
              <w:t>a specific child pretrial detention limit of 30 days with exceptions.</w:t>
            </w:r>
            <w:r w:rsidR="00B2536B" w:rsidRPr="0018632F">
              <w:rPr>
                <w:rFonts w:asciiTheme="majorBidi" w:hAnsiTheme="majorBidi" w:cstheme="majorBidi"/>
              </w:rPr>
              <w:t xml:space="preserve"> the Youth Criminal Justice Act (YJCA) is based on the principle of “diminished moral blameworthiness or culpability” and</w:t>
            </w:r>
            <w:r w:rsidR="00484136" w:rsidRPr="0018632F">
              <w:rPr>
                <w:rFonts w:asciiTheme="majorBidi" w:hAnsiTheme="majorBidi" w:cstheme="majorBidi"/>
              </w:rPr>
              <w:t xml:space="preserve"> </w:t>
            </w:r>
            <w:r w:rsidR="00B2536B" w:rsidRPr="0018632F">
              <w:rPr>
                <w:rFonts w:asciiTheme="majorBidi" w:hAnsiTheme="majorBidi" w:cstheme="majorBidi"/>
              </w:rPr>
              <w:t>incorporates</w:t>
            </w:r>
            <w:r w:rsidR="00484136" w:rsidRPr="0018632F">
              <w:rPr>
                <w:rFonts w:asciiTheme="majorBidi" w:hAnsiTheme="majorBidi" w:cstheme="majorBidi"/>
              </w:rPr>
              <w:t xml:space="preserve"> a presumption against the detention </w:t>
            </w:r>
            <w:r w:rsidR="00B2536B" w:rsidRPr="0018632F">
              <w:rPr>
                <w:rFonts w:asciiTheme="majorBidi" w:hAnsiTheme="majorBidi" w:cstheme="majorBidi"/>
              </w:rPr>
              <w:t>of</w:t>
            </w:r>
            <w:r w:rsidR="00484136" w:rsidRPr="0018632F">
              <w:rPr>
                <w:rFonts w:asciiTheme="majorBidi" w:hAnsiTheme="majorBidi" w:cstheme="majorBidi"/>
              </w:rPr>
              <w:t xml:space="preserve"> children. </w:t>
            </w:r>
            <w:r w:rsidR="00B2536B" w:rsidRPr="0018632F">
              <w:rPr>
                <w:rFonts w:asciiTheme="majorBidi" w:hAnsiTheme="majorBidi" w:cstheme="majorBidi"/>
              </w:rPr>
              <w:t xml:space="preserve">Under the YJCA, youth court judges must presume that detention is not necessary unless the child has committed a violent crime, failed to comply with two or more non-custodial sentences, or committed an indictable offense for which an adult would be imprisoned for more than two years and has a history of criminal acts. </w:t>
            </w:r>
            <w:r w:rsidR="00574079" w:rsidRPr="0018632F">
              <w:rPr>
                <w:rFonts w:asciiTheme="majorBidi" w:hAnsiTheme="majorBidi" w:cstheme="majorBidi"/>
              </w:rPr>
              <w:t xml:space="preserve">If a child is detained and trial has not commenced within 30 days of initial custody, a judge should conduct a hearing to determine whether or not the child should be released from custody. </w:t>
            </w:r>
          </w:p>
        </w:tc>
      </w:tr>
      <w:tr w:rsidR="00A42A05" w:rsidRPr="0018632F" w14:paraId="0CA5BE92" w14:textId="77777777" w:rsidTr="005801FD">
        <w:tc>
          <w:tcPr>
            <w:tcW w:w="2141" w:type="dxa"/>
          </w:tcPr>
          <w:p w14:paraId="1B4E6FBE" w14:textId="77777777" w:rsidR="00A42A05" w:rsidRPr="0018632F" w:rsidRDefault="00A42A05" w:rsidP="00B05446">
            <w:pPr>
              <w:widowControl w:val="0"/>
              <w:rPr>
                <w:rFonts w:asciiTheme="majorBidi" w:hAnsiTheme="majorBidi" w:cstheme="majorBidi"/>
              </w:rPr>
            </w:pPr>
            <w:r w:rsidRPr="0018632F">
              <w:rPr>
                <w:rFonts w:asciiTheme="majorBidi" w:hAnsiTheme="majorBidi" w:cstheme="majorBidi"/>
              </w:rPr>
              <w:t>Statute Citation</w:t>
            </w:r>
          </w:p>
        </w:tc>
        <w:tc>
          <w:tcPr>
            <w:tcW w:w="6715" w:type="dxa"/>
          </w:tcPr>
          <w:p w14:paraId="0ED140C0" w14:textId="693537B0" w:rsidR="00A42A05" w:rsidRPr="0018632F" w:rsidRDefault="00B2536B" w:rsidP="00B05446">
            <w:pPr>
              <w:widowControl w:val="0"/>
              <w:rPr>
                <w:rFonts w:asciiTheme="majorBidi" w:hAnsiTheme="majorBidi" w:cstheme="majorBidi"/>
                <w:b/>
              </w:rPr>
            </w:pPr>
            <w:r w:rsidRPr="0018632F">
              <w:rPr>
                <w:rFonts w:asciiTheme="majorBidi" w:hAnsiTheme="majorBidi" w:cstheme="majorBidi"/>
                <w:b/>
              </w:rPr>
              <w:t>Youth Criminal Justice Act (S.C. 2002, c. 1)</w:t>
            </w:r>
            <w:r w:rsidR="00CE65F9" w:rsidRPr="0018632F">
              <w:rPr>
                <w:rFonts w:asciiTheme="majorBidi" w:hAnsiTheme="majorBidi" w:cstheme="majorBidi"/>
                <w:b/>
              </w:rPr>
              <w:t xml:space="preserve"> Art. 39</w:t>
            </w:r>
          </w:p>
          <w:p w14:paraId="15B8C409" w14:textId="77777777" w:rsidR="00574079" w:rsidRPr="0018632F" w:rsidRDefault="00574079" w:rsidP="00B05446">
            <w:pPr>
              <w:widowControl w:val="0"/>
              <w:rPr>
                <w:rFonts w:asciiTheme="majorBidi" w:hAnsiTheme="majorBidi" w:cstheme="majorBidi"/>
                <w:bCs/>
              </w:rPr>
            </w:pPr>
            <w:r w:rsidRPr="0018632F">
              <w:rPr>
                <w:rFonts w:asciiTheme="majorBidi" w:hAnsiTheme="majorBidi" w:cstheme="majorBidi"/>
                <w:bCs/>
              </w:rPr>
              <w:t xml:space="preserve">Committal to custody Placement </w:t>
            </w:r>
          </w:p>
          <w:p w14:paraId="4968BE6D" w14:textId="135C8FA5" w:rsidR="00574079" w:rsidRPr="0018632F" w:rsidRDefault="00574079" w:rsidP="00B05446">
            <w:pPr>
              <w:widowControl w:val="0"/>
              <w:rPr>
                <w:rFonts w:asciiTheme="majorBidi" w:hAnsiTheme="majorBidi" w:cstheme="majorBidi"/>
                <w:bCs/>
              </w:rPr>
            </w:pPr>
            <w:r w:rsidRPr="0018632F">
              <w:rPr>
                <w:rFonts w:asciiTheme="majorBidi" w:hAnsiTheme="majorBidi" w:cstheme="majorBidi"/>
                <w:bCs/>
              </w:rPr>
              <w:t xml:space="preserve">39 (1) A youth justice court shall not commit a young person to custody under section 42 (youth sentences) unless </w:t>
            </w:r>
          </w:p>
          <w:p w14:paraId="60BC929D" w14:textId="77777777" w:rsidR="00574079" w:rsidRPr="0018632F" w:rsidRDefault="00574079" w:rsidP="00B05446">
            <w:pPr>
              <w:widowControl w:val="0"/>
              <w:rPr>
                <w:rFonts w:asciiTheme="majorBidi" w:hAnsiTheme="majorBidi" w:cstheme="majorBidi"/>
                <w:bCs/>
              </w:rPr>
            </w:pPr>
            <w:r w:rsidRPr="0018632F">
              <w:rPr>
                <w:rFonts w:asciiTheme="majorBidi" w:hAnsiTheme="majorBidi" w:cstheme="majorBidi"/>
                <w:bCs/>
              </w:rPr>
              <w:t xml:space="preserve">(a)  the young person has committed a violent offence; </w:t>
            </w:r>
          </w:p>
          <w:p w14:paraId="7B213B24" w14:textId="77777777" w:rsidR="00574079" w:rsidRPr="0018632F" w:rsidRDefault="00574079" w:rsidP="00B05446">
            <w:pPr>
              <w:widowControl w:val="0"/>
              <w:rPr>
                <w:rFonts w:asciiTheme="majorBidi" w:hAnsiTheme="majorBidi" w:cstheme="majorBidi"/>
                <w:bCs/>
              </w:rPr>
            </w:pPr>
            <w:r w:rsidRPr="0018632F">
              <w:rPr>
                <w:rFonts w:asciiTheme="majorBidi" w:hAnsiTheme="majorBidi" w:cstheme="majorBidi"/>
                <w:bCs/>
              </w:rPr>
              <w:t xml:space="preserve">(b)  the young person has previously been found guilty of an offence under section 137 in relation to more than one sentence and, if the court is imposing a sentence for an offence under subsections 145 (2) to (5) of the </w:t>
            </w:r>
            <w:r w:rsidRPr="0018632F">
              <w:rPr>
                <w:rFonts w:asciiTheme="majorBidi" w:hAnsiTheme="majorBidi" w:cstheme="majorBidi"/>
                <w:bCs/>
                <w:i/>
                <w:iCs/>
              </w:rPr>
              <w:t>Criminal Code</w:t>
            </w:r>
            <w:r w:rsidRPr="0018632F">
              <w:rPr>
                <w:rFonts w:asciiTheme="majorBidi" w:hAnsiTheme="majorBidi" w:cstheme="majorBidi"/>
                <w:bCs/>
              </w:rPr>
              <w:t xml:space="preserve"> or section 137, the young person caused harm, or a risk of harm, to the safety of the public in committing that offence; </w:t>
            </w:r>
          </w:p>
          <w:p w14:paraId="6778D3BF" w14:textId="77777777" w:rsidR="00574079" w:rsidRPr="0018632F" w:rsidRDefault="00574079" w:rsidP="00B05446">
            <w:pPr>
              <w:widowControl w:val="0"/>
              <w:rPr>
                <w:rFonts w:asciiTheme="majorBidi" w:hAnsiTheme="majorBidi" w:cstheme="majorBidi"/>
                <w:bCs/>
              </w:rPr>
            </w:pPr>
            <w:r w:rsidRPr="0018632F">
              <w:rPr>
                <w:rFonts w:asciiTheme="majorBidi" w:hAnsiTheme="majorBidi" w:cstheme="majorBidi"/>
                <w:bCs/>
              </w:rPr>
              <w:t xml:space="preserve">(c)  the young person has committed an indictable offence for which an adult would be liable to imprisonment for a term of more than two years and has a history that indicates a pattern of either extrajudicial sanctions or of findings of guilt or of both under this Act or the Young Offenders Act , chapter Y-1 of the Revised Statutes of Canada, 1985 ; or </w:t>
            </w:r>
          </w:p>
          <w:p w14:paraId="3CFBCA2C" w14:textId="77777777" w:rsidR="00574079" w:rsidRPr="0018632F" w:rsidRDefault="00574079" w:rsidP="00B05446">
            <w:pPr>
              <w:widowControl w:val="0"/>
              <w:rPr>
                <w:rFonts w:asciiTheme="majorBidi" w:hAnsiTheme="majorBidi" w:cstheme="majorBidi"/>
                <w:bCs/>
              </w:rPr>
            </w:pPr>
            <w:r w:rsidRPr="0018632F">
              <w:rPr>
                <w:rFonts w:asciiTheme="majorBidi" w:hAnsiTheme="majorBidi" w:cstheme="majorBidi"/>
                <w:bCs/>
              </w:rPr>
              <w:t>(d)  in exceptional cases where the young person has committed an indictable offence, the aggravating circumstances of the offence are such that the imposition of a non-custodial sentence would be inconsistent with the purpose and principles set out in section 38.</w:t>
            </w:r>
          </w:p>
          <w:p w14:paraId="4EBF43DE" w14:textId="77777777" w:rsidR="00574079" w:rsidRPr="0018632F" w:rsidRDefault="00574079" w:rsidP="00B05446">
            <w:pPr>
              <w:widowControl w:val="0"/>
              <w:rPr>
                <w:rFonts w:asciiTheme="majorBidi" w:hAnsiTheme="majorBidi" w:cstheme="majorBidi"/>
                <w:bCs/>
              </w:rPr>
            </w:pPr>
          </w:p>
          <w:p w14:paraId="5B4FD30D" w14:textId="152BFA6C" w:rsidR="00574079" w:rsidRPr="0018632F" w:rsidRDefault="00574079" w:rsidP="00B05446">
            <w:pPr>
              <w:widowControl w:val="0"/>
              <w:rPr>
                <w:rFonts w:asciiTheme="majorBidi" w:hAnsiTheme="majorBidi" w:cstheme="majorBidi"/>
                <w:b/>
              </w:rPr>
            </w:pPr>
            <w:r w:rsidRPr="0018632F">
              <w:rPr>
                <w:rFonts w:asciiTheme="majorBidi" w:hAnsiTheme="majorBidi" w:cstheme="majorBidi"/>
                <w:b/>
              </w:rPr>
              <w:t>Criminal Code (R.S.C., 1985, c. C-46)</w:t>
            </w:r>
            <w:r w:rsidR="00CE65F9" w:rsidRPr="0018632F">
              <w:rPr>
                <w:rFonts w:asciiTheme="majorBidi" w:hAnsiTheme="majorBidi" w:cstheme="majorBidi"/>
                <w:b/>
              </w:rPr>
              <w:t xml:space="preserve"> Art. 525</w:t>
            </w:r>
          </w:p>
          <w:p w14:paraId="6187B99D" w14:textId="00B429E7" w:rsidR="00CE65F9" w:rsidRPr="0018632F" w:rsidRDefault="00CE65F9" w:rsidP="00B05446">
            <w:pPr>
              <w:widowControl w:val="0"/>
              <w:rPr>
                <w:rFonts w:asciiTheme="majorBidi" w:hAnsiTheme="majorBidi" w:cstheme="majorBidi"/>
                <w:bCs/>
              </w:rPr>
            </w:pPr>
            <w:r w:rsidRPr="0018632F">
              <w:rPr>
                <w:rFonts w:asciiTheme="majorBidi" w:hAnsiTheme="majorBidi" w:cstheme="majorBidi"/>
                <w:bCs/>
              </w:rPr>
              <w:t>Review of Detention where Trial Delayed</w:t>
            </w:r>
          </w:p>
          <w:p w14:paraId="2FC9D602" w14:textId="3A4D8747" w:rsidR="00CE65F9" w:rsidRPr="0018632F" w:rsidRDefault="00CE65F9" w:rsidP="00B05446">
            <w:pPr>
              <w:widowControl w:val="0"/>
              <w:rPr>
                <w:rFonts w:asciiTheme="majorBidi" w:hAnsiTheme="majorBidi" w:cstheme="majorBidi"/>
                <w:bCs/>
              </w:rPr>
            </w:pPr>
            <w:r w:rsidRPr="0018632F">
              <w:rPr>
                <w:rFonts w:asciiTheme="majorBidi" w:hAnsiTheme="majorBidi" w:cstheme="majorBidi"/>
                <w:bCs/>
              </w:rPr>
              <w:t>Time for application to judge</w:t>
            </w:r>
          </w:p>
          <w:p w14:paraId="138EB12A" w14:textId="57D24FD5" w:rsidR="00CE65F9" w:rsidRPr="0018632F" w:rsidRDefault="00CE65F9" w:rsidP="00B05446">
            <w:pPr>
              <w:widowControl w:val="0"/>
              <w:rPr>
                <w:rFonts w:asciiTheme="majorBidi" w:hAnsiTheme="majorBidi" w:cstheme="majorBidi"/>
                <w:bCs/>
              </w:rPr>
            </w:pPr>
            <w:r w:rsidRPr="0018632F">
              <w:rPr>
                <w:rFonts w:asciiTheme="majorBidi" w:hAnsiTheme="majorBidi" w:cstheme="majorBidi"/>
                <w:bCs/>
              </w:rPr>
              <w:t>525 (1) The person having the custody of an accused — who has been charged with an offence other than an offence listed in section 469, who is being detained in custody pending their trial for that offence and who is not required to be detained in custody in respect of any other matter — shall apply to a judge having jurisdiction in the place in which the accused is in custody to fix a date for a hearing to determine whether or not the accused should be released from custody, if the trial has not commenced within 90 days from</w:t>
            </w:r>
          </w:p>
          <w:p w14:paraId="05344014" w14:textId="2D7A6CDE" w:rsidR="00CE65F9" w:rsidRPr="0018632F" w:rsidRDefault="00CE65F9" w:rsidP="00B05446">
            <w:pPr>
              <w:widowControl w:val="0"/>
              <w:rPr>
                <w:rFonts w:asciiTheme="majorBidi" w:hAnsiTheme="majorBidi" w:cstheme="majorBidi"/>
                <w:bCs/>
              </w:rPr>
            </w:pPr>
            <w:r w:rsidRPr="0018632F">
              <w:rPr>
                <w:rFonts w:asciiTheme="majorBidi" w:hAnsiTheme="majorBidi" w:cstheme="majorBidi"/>
                <w:bCs/>
              </w:rPr>
              <w:t xml:space="preserve">       (a) the day on which the accused was taken before a justice under section 503; or</w:t>
            </w:r>
          </w:p>
          <w:p w14:paraId="2B111168" w14:textId="77777777" w:rsidR="00CE65F9" w:rsidRPr="0018632F" w:rsidRDefault="00CE65F9" w:rsidP="00B05446">
            <w:pPr>
              <w:widowControl w:val="0"/>
              <w:rPr>
                <w:rFonts w:asciiTheme="majorBidi" w:hAnsiTheme="majorBidi" w:cstheme="majorBidi"/>
                <w:bCs/>
              </w:rPr>
            </w:pPr>
            <w:r w:rsidRPr="0018632F">
              <w:rPr>
                <w:rFonts w:asciiTheme="majorBidi" w:hAnsiTheme="majorBidi" w:cstheme="majorBidi"/>
                <w:bCs/>
              </w:rPr>
              <w:t xml:space="preserve">        (b) in the case where an order that the accused be detained in custody has been made under section 521, paragraph 523.1(3)(b)(ii) or section 524, or a decision has been made with respect to a review under section 520, the later of the day on which the accused was taken into custody under that order and the day of the decision.</w:t>
            </w:r>
          </w:p>
          <w:p w14:paraId="7C3B1595" w14:textId="4456C8E5" w:rsidR="00574079" w:rsidRPr="0018632F" w:rsidRDefault="00CE65F9" w:rsidP="00B05446">
            <w:pPr>
              <w:widowControl w:val="0"/>
              <w:rPr>
                <w:rFonts w:asciiTheme="majorBidi" w:hAnsiTheme="majorBidi" w:cstheme="majorBidi"/>
                <w:bCs/>
              </w:rPr>
            </w:pPr>
            <w:r w:rsidRPr="0018632F">
              <w:rPr>
                <w:rFonts w:asciiTheme="majorBidi" w:hAnsiTheme="majorBidi" w:cstheme="majorBidi"/>
                <w:bCs/>
              </w:rPr>
              <w:t xml:space="preserve">    The person shall make the application immediately after the expiry of those 90 days.</w:t>
            </w:r>
          </w:p>
          <w:p w14:paraId="077424D7" w14:textId="18E18DE5" w:rsidR="00CE65F9" w:rsidRPr="0018632F" w:rsidRDefault="00CE65F9" w:rsidP="00B05446">
            <w:pPr>
              <w:widowControl w:val="0"/>
              <w:rPr>
                <w:rFonts w:asciiTheme="majorBidi" w:hAnsiTheme="majorBidi" w:cstheme="majorBidi"/>
                <w:bCs/>
              </w:rPr>
            </w:pPr>
          </w:p>
          <w:p w14:paraId="37610697" w14:textId="1F4CE75F" w:rsidR="00CE65F9" w:rsidRPr="0018632F" w:rsidRDefault="00CE65F9" w:rsidP="00B05446">
            <w:pPr>
              <w:widowControl w:val="0"/>
              <w:rPr>
                <w:rFonts w:asciiTheme="majorBidi" w:hAnsiTheme="majorBidi" w:cstheme="majorBidi"/>
                <w:b/>
              </w:rPr>
            </w:pPr>
            <w:r w:rsidRPr="0018632F">
              <w:rPr>
                <w:rFonts w:asciiTheme="majorBidi" w:hAnsiTheme="majorBidi" w:cstheme="majorBidi"/>
                <w:b/>
              </w:rPr>
              <w:t>Youth Criminal Justice Act (S.C. 2002, c. 1) Art. 30</w:t>
            </w:r>
          </w:p>
          <w:p w14:paraId="4F2C89BD" w14:textId="77777777" w:rsidR="00CE65F9" w:rsidRPr="0018632F" w:rsidRDefault="00CE65F9" w:rsidP="00B05446">
            <w:pPr>
              <w:widowControl w:val="0"/>
              <w:rPr>
                <w:rFonts w:asciiTheme="majorBidi" w:hAnsiTheme="majorBidi" w:cstheme="majorBidi"/>
                <w:bCs/>
              </w:rPr>
            </w:pPr>
            <w:r w:rsidRPr="0018632F">
              <w:rPr>
                <w:rFonts w:asciiTheme="majorBidi" w:hAnsiTheme="majorBidi" w:cstheme="majorBidi"/>
                <w:bCs/>
              </w:rPr>
              <w:t>Review of detention — 30-day period</w:t>
            </w:r>
          </w:p>
          <w:p w14:paraId="200D401B" w14:textId="4B6473E6" w:rsidR="00CE65F9" w:rsidRPr="0018632F" w:rsidRDefault="00CE65F9" w:rsidP="00B05446">
            <w:pPr>
              <w:widowControl w:val="0"/>
              <w:rPr>
                <w:rFonts w:asciiTheme="majorBidi" w:hAnsiTheme="majorBidi" w:cstheme="majorBidi"/>
                <w:bCs/>
              </w:rPr>
            </w:pPr>
            <w:r w:rsidRPr="0018632F">
              <w:rPr>
                <w:rFonts w:asciiTheme="majorBidi" w:hAnsiTheme="majorBidi" w:cstheme="majorBidi"/>
                <w:bCs/>
              </w:rPr>
              <w:t>30.1  For  the  purposes  of  section 525 of  the Criminal Code  with  respect  to  a  young  person  who  has  been charged with an offence for which they are being prosecuted in proceedings by way of summary conviction, every reference in that provision to “90 days” or “90-day” is to be read and construed as a reference to “30 days” or“30-day” respectively.</w:t>
            </w:r>
          </w:p>
          <w:p w14:paraId="08B7C24D" w14:textId="01B7E90C" w:rsidR="00CE65F9" w:rsidRPr="0018632F" w:rsidRDefault="00CE65F9" w:rsidP="00B05446">
            <w:pPr>
              <w:widowControl w:val="0"/>
              <w:rPr>
                <w:rFonts w:asciiTheme="majorBidi" w:hAnsiTheme="majorBidi" w:cstheme="majorBidi"/>
                <w:bCs/>
              </w:rPr>
            </w:pPr>
          </w:p>
        </w:tc>
      </w:tr>
      <w:tr w:rsidR="0018632F" w:rsidRPr="0018632F" w14:paraId="7380728A" w14:textId="77777777" w:rsidTr="005801FD">
        <w:tc>
          <w:tcPr>
            <w:tcW w:w="2141" w:type="dxa"/>
          </w:tcPr>
          <w:p w14:paraId="4D8C9C2A" w14:textId="77777777" w:rsidR="0018632F" w:rsidRPr="0018632F" w:rsidRDefault="0018632F" w:rsidP="00B05446">
            <w:pPr>
              <w:widowControl w:val="0"/>
              <w:rPr>
                <w:rFonts w:asciiTheme="majorBidi" w:hAnsiTheme="majorBidi" w:cstheme="majorBidi"/>
              </w:rPr>
            </w:pPr>
            <w:r w:rsidRPr="0018632F">
              <w:rPr>
                <w:rFonts w:asciiTheme="majorBidi" w:hAnsiTheme="majorBidi" w:cstheme="majorBidi"/>
              </w:rPr>
              <w:t>Recommended changes to statutory limit according to international law:</w:t>
            </w:r>
          </w:p>
        </w:tc>
        <w:tc>
          <w:tcPr>
            <w:tcW w:w="6715" w:type="dxa"/>
          </w:tcPr>
          <w:p w14:paraId="59218B14" w14:textId="58A63DC1" w:rsidR="0018632F" w:rsidRPr="0018632F" w:rsidRDefault="0018632F" w:rsidP="00B05446">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JJAI recommends that </w:t>
            </w:r>
            <w:r>
              <w:rPr>
                <w:rFonts w:asciiTheme="majorBidi" w:hAnsiTheme="majorBidi" w:cstheme="majorBidi"/>
              </w:rPr>
              <w:t>Canada</w:t>
            </w:r>
            <w:r w:rsidRPr="0018632F">
              <w:rPr>
                <w:rFonts w:asciiTheme="majorBidi" w:hAnsiTheme="majorBidi" w:cstheme="majorBidi"/>
              </w:rPr>
              <w:t xml:space="preserve"> starts working towards a 30-day </w:t>
            </w:r>
            <w:r>
              <w:rPr>
                <w:rFonts w:asciiTheme="majorBidi" w:hAnsiTheme="majorBidi" w:cstheme="majorBidi"/>
              </w:rPr>
              <w:t xml:space="preserve">limit </w:t>
            </w:r>
            <w:r w:rsidRPr="0018632F">
              <w:rPr>
                <w:rFonts w:asciiTheme="majorBidi" w:hAnsiTheme="majorBidi" w:cstheme="majorBidi"/>
              </w:rPr>
              <w:t xml:space="preserve">for children detained while awaiting trial under all courts. </w:t>
            </w:r>
          </w:p>
          <w:p w14:paraId="76E16CC8" w14:textId="554AC6C0" w:rsidR="0018632F" w:rsidRPr="0018632F" w:rsidRDefault="0018632F" w:rsidP="00B05446">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JJAI recommends that pretrial detention only be allowed to be extended once by a judge for up to 30 more days based upon the procedural needs of the case. </w:t>
            </w:r>
            <w:r>
              <w:rPr>
                <w:rFonts w:asciiTheme="majorBidi" w:hAnsiTheme="majorBidi" w:cstheme="majorBidi"/>
              </w:rPr>
              <w:t xml:space="preserve">The </w:t>
            </w:r>
            <w:r w:rsidRPr="0018632F">
              <w:rPr>
                <w:rFonts w:asciiTheme="majorBidi" w:hAnsiTheme="majorBidi" w:cstheme="majorBidi"/>
              </w:rPr>
              <w:t xml:space="preserve">statute </w:t>
            </w:r>
            <w:r>
              <w:rPr>
                <w:rFonts w:asciiTheme="majorBidi" w:hAnsiTheme="majorBidi" w:cstheme="majorBidi"/>
              </w:rPr>
              <w:t xml:space="preserve">should clearly define </w:t>
            </w:r>
            <w:r w:rsidRPr="0018632F">
              <w:rPr>
                <w:rFonts w:asciiTheme="majorBidi" w:hAnsiTheme="majorBidi" w:cstheme="majorBidi"/>
              </w:rPr>
              <w:t xml:space="preserve">the </w:t>
            </w:r>
            <w:r>
              <w:rPr>
                <w:rFonts w:asciiTheme="majorBidi" w:hAnsiTheme="majorBidi" w:cstheme="majorBidi"/>
              </w:rPr>
              <w:t>permissible</w:t>
            </w:r>
            <w:r w:rsidRPr="0018632F">
              <w:rPr>
                <w:rFonts w:asciiTheme="majorBidi" w:hAnsiTheme="majorBidi" w:cstheme="majorBidi"/>
              </w:rPr>
              <w:t xml:space="preserve"> needs for extending pretrial detentio</w:t>
            </w:r>
            <w:r w:rsidR="00B75634">
              <w:rPr>
                <w:rFonts w:asciiTheme="majorBidi" w:hAnsiTheme="majorBidi" w:cstheme="majorBidi"/>
              </w:rPr>
              <w:t>n</w:t>
            </w:r>
            <w:r w:rsidRPr="0018632F">
              <w:rPr>
                <w:rFonts w:asciiTheme="majorBidi" w:hAnsiTheme="majorBidi" w:cstheme="majorBidi"/>
              </w:rPr>
              <w:t xml:space="preserve">. </w:t>
            </w:r>
          </w:p>
          <w:p w14:paraId="411731C9" w14:textId="42FF2294" w:rsidR="0018632F" w:rsidRPr="0018632F" w:rsidRDefault="0018632F" w:rsidP="00B05446">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Children who are in detention for the statutory maximum number of days should be placed in supervised release immediately and </w:t>
            </w:r>
            <w:r>
              <w:rPr>
                <w:rFonts w:asciiTheme="majorBidi" w:hAnsiTheme="majorBidi" w:cstheme="majorBidi"/>
              </w:rPr>
              <w:t xml:space="preserve">should </w:t>
            </w:r>
            <w:r w:rsidRPr="0018632F">
              <w:rPr>
                <w:rFonts w:asciiTheme="majorBidi" w:hAnsiTheme="majorBidi" w:cstheme="majorBidi"/>
              </w:rPr>
              <w:t>not re-detained for the same offense.</w:t>
            </w:r>
          </w:p>
          <w:p w14:paraId="25F643D6" w14:textId="30B7A498" w:rsidR="0018632F" w:rsidRPr="0018632F" w:rsidRDefault="0018632F" w:rsidP="00B05446">
            <w:pPr>
              <w:pStyle w:val="ListParagraph"/>
              <w:widowControl w:val="0"/>
              <w:numPr>
                <w:ilvl w:val="0"/>
                <w:numId w:val="4"/>
              </w:numPr>
              <w:spacing w:after="160" w:line="259" w:lineRule="auto"/>
              <w:ind w:left="361"/>
              <w:rPr>
                <w:rFonts w:asciiTheme="majorBidi" w:hAnsiTheme="majorBidi" w:cstheme="majorBidi"/>
              </w:rPr>
            </w:pPr>
            <w:r w:rsidRPr="0018632F">
              <w:rPr>
                <w:rFonts w:asciiTheme="majorBidi" w:hAnsiTheme="majorBidi" w:cstheme="majorBidi"/>
              </w:rPr>
              <w:t>Recruitment and trainings for a sufficient number of prison personnel to ensure the adequate treatment of detainees are to be ensured along with adequate access to medical and psychological treatment for juvenile detainees</w:t>
            </w:r>
            <w:r w:rsidR="00B75634">
              <w:rPr>
                <w:rFonts w:asciiTheme="majorBidi" w:hAnsiTheme="majorBidi" w:cstheme="majorBidi"/>
              </w:rPr>
              <w:t>.</w:t>
            </w:r>
          </w:p>
          <w:p w14:paraId="0675E28A" w14:textId="50DE5085" w:rsidR="0018632F" w:rsidRPr="0018632F" w:rsidRDefault="0018632F" w:rsidP="00B05446">
            <w:pPr>
              <w:pStyle w:val="ListParagraph"/>
              <w:widowControl w:val="0"/>
              <w:numPr>
                <w:ilvl w:val="0"/>
                <w:numId w:val="4"/>
              </w:numPr>
              <w:spacing w:after="160" w:line="259" w:lineRule="auto"/>
              <w:ind w:left="361"/>
              <w:rPr>
                <w:rFonts w:asciiTheme="majorBidi" w:hAnsiTheme="majorBidi" w:cstheme="majorBidi"/>
              </w:rPr>
            </w:pPr>
            <w:r w:rsidRPr="0018632F">
              <w:rPr>
                <w:rFonts w:asciiTheme="majorBidi" w:hAnsiTheme="majorBidi" w:cstheme="majorBidi"/>
              </w:rPr>
              <w:t>Necessary measures to provide juvenile detainees with perspectives for their future, including their full reintegration into the society should be ensured</w:t>
            </w:r>
            <w:r>
              <w:rPr>
                <w:rFonts w:asciiTheme="majorBidi" w:hAnsiTheme="majorBidi" w:cstheme="majorBidi"/>
              </w:rPr>
              <w:t>.</w:t>
            </w:r>
          </w:p>
        </w:tc>
      </w:tr>
      <w:tr w:rsidR="0018632F" w:rsidRPr="0018632F" w14:paraId="119CFC6B" w14:textId="77777777" w:rsidTr="005801FD">
        <w:tc>
          <w:tcPr>
            <w:tcW w:w="2141" w:type="dxa"/>
          </w:tcPr>
          <w:p w14:paraId="21B710FF" w14:textId="77777777" w:rsidR="0018632F" w:rsidRPr="0018632F" w:rsidRDefault="0018632F" w:rsidP="00B05446">
            <w:pPr>
              <w:widowControl w:val="0"/>
              <w:rPr>
                <w:rFonts w:asciiTheme="majorBidi" w:hAnsiTheme="majorBidi" w:cstheme="majorBidi"/>
              </w:rPr>
            </w:pPr>
            <w:r w:rsidRPr="0018632F">
              <w:rPr>
                <w:rFonts w:asciiTheme="majorBidi" w:hAnsiTheme="majorBidi" w:cstheme="majorBidi"/>
              </w:rPr>
              <w:t>Additional Information on the country</w:t>
            </w:r>
          </w:p>
        </w:tc>
        <w:tc>
          <w:tcPr>
            <w:tcW w:w="6715" w:type="dxa"/>
          </w:tcPr>
          <w:p w14:paraId="0713B9AB" w14:textId="2A8E0EFC" w:rsidR="0018632F" w:rsidRPr="0018632F" w:rsidRDefault="0018632F" w:rsidP="00B05446">
            <w:pPr>
              <w:pStyle w:val="ListParagraph"/>
              <w:widowControl w:val="0"/>
              <w:numPr>
                <w:ilvl w:val="0"/>
                <w:numId w:val="3"/>
              </w:numPr>
              <w:spacing w:after="160" w:line="259" w:lineRule="auto"/>
              <w:rPr>
                <w:rFonts w:asciiTheme="majorBidi" w:hAnsiTheme="majorBidi" w:cstheme="majorBidi"/>
              </w:rPr>
            </w:pPr>
            <w:r w:rsidRPr="0018632F">
              <w:rPr>
                <w:rFonts w:asciiTheme="majorBidi" w:hAnsiTheme="majorBidi" w:cstheme="majorBidi"/>
              </w:rPr>
              <w:t>The minimum age of criminal responsibility is 12 years.</w:t>
            </w:r>
          </w:p>
          <w:p w14:paraId="3B4D6D2B" w14:textId="339DACAC" w:rsidR="0018632F" w:rsidRPr="0018632F" w:rsidRDefault="0018632F" w:rsidP="00B05446">
            <w:pPr>
              <w:pStyle w:val="ListParagraph"/>
              <w:widowControl w:val="0"/>
              <w:numPr>
                <w:ilvl w:val="0"/>
                <w:numId w:val="3"/>
              </w:numPr>
              <w:rPr>
                <w:rFonts w:asciiTheme="majorBidi" w:hAnsiTheme="majorBidi" w:cstheme="majorBidi"/>
              </w:rPr>
            </w:pPr>
            <w:r w:rsidRPr="0018632F">
              <w:rPr>
                <w:rFonts w:asciiTheme="majorBidi" w:hAnsiTheme="majorBidi" w:cstheme="majorBidi"/>
              </w:rPr>
              <w:t>According to data compiled by Canada’s national statistics office, youth are often supervised in correctional services for short periods of time. In 2017/2018, 78% of youth released from pretrial detention in the six reporting jurisdictions had been there for one month or less, 19% had been in pretrial detention for one to six months, and 2% had been in pretrial detention for six months to a year.</w:t>
            </w:r>
            <w:r w:rsidRPr="0018632F">
              <w:rPr>
                <w:rStyle w:val="FootnoteReference"/>
                <w:rFonts w:asciiTheme="majorBidi" w:hAnsiTheme="majorBidi" w:cstheme="majorBidi"/>
              </w:rPr>
              <w:footnoteReference w:id="9"/>
            </w:r>
          </w:p>
          <w:p w14:paraId="1AC240AB" w14:textId="01432DC6" w:rsidR="0018632F" w:rsidRPr="0018632F" w:rsidRDefault="0018632F" w:rsidP="00B05446">
            <w:pPr>
              <w:pStyle w:val="ListParagraph"/>
              <w:widowControl w:val="0"/>
              <w:numPr>
                <w:ilvl w:val="0"/>
                <w:numId w:val="3"/>
              </w:numPr>
              <w:rPr>
                <w:rFonts w:asciiTheme="majorBidi" w:hAnsiTheme="majorBidi" w:cstheme="majorBidi"/>
              </w:rPr>
            </w:pPr>
            <w:r w:rsidRPr="0018632F">
              <w:rPr>
                <w:rFonts w:asciiTheme="majorBidi" w:hAnsiTheme="majorBidi" w:cstheme="majorBidi"/>
              </w:rPr>
              <w:t>In 2017/2018, 71% of youth in correctional services were under community supervision, 28% were in pretrial detention, and 1% were serving a custodial sentence.</w:t>
            </w:r>
            <w:r w:rsidRPr="0018632F">
              <w:rPr>
                <w:rStyle w:val="FootnoteReference"/>
                <w:rFonts w:asciiTheme="majorBidi" w:hAnsiTheme="majorBidi" w:cstheme="majorBidi"/>
              </w:rPr>
              <w:footnoteReference w:id="10"/>
            </w:r>
          </w:p>
          <w:p w14:paraId="7FF2B0BF" w14:textId="6387674B" w:rsidR="0018632F" w:rsidRPr="0018632F" w:rsidRDefault="0018632F" w:rsidP="00B05446">
            <w:pPr>
              <w:pStyle w:val="ListParagraph"/>
              <w:widowControl w:val="0"/>
              <w:numPr>
                <w:ilvl w:val="0"/>
                <w:numId w:val="3"/>
              </w:numPr>
              <w:rPr>
                <w:rFonts w:asciiTheme="majorBidi" w:hAnsiTheme="majorBidi" w:cstheme="majorBidi"/>
              </w:rPr>
            </w:pPr>
            <w:r w:rsidRPr="0018632F">
              <w:rPr>
                <w:rFonts w:asciiTheme="majorBidi" w:hAnsiTheme="majorBidi" w:cstheme="majorBidi"/>
              </w:rPr>
              <w:t>Aboriginal youth are overrepresented in the correctional system. They comprise 8% of the Canadian youth population but 48% of custody admissions and 39% of community</w:t>
            </w:r>
            <w:r>
              <w:rPr>
                <w:rFonts w:asciiTheme="majorBidi" w:hAnsiTheme="majorBidi" w:cstheme="majorBidi"/>
              </w:rPr>
              <w:t xml:space="preserve"> </w:t>
            </w:r>
            <w:r w:rsidRPr="0018632F">
              <w:rPr>
                <w:rFonts w:asciiTheme="majorBidi" w:hAnsiTheme="majorBidi" w:cstheme="majorBidi"/>
              </w:rPr>
              <w:t>admissions.</w:t>
            </w:r>
            <w:r w:rsidRPr="0018632F">
              <w:rPr>
                <w:rStyle w:val="FootnoteReference"/>
                <w:rFonts w:asciiTheme="majorBidi" w:hAnsiTheme="majorBidi" w:cstheme="majorBidi"/>
              </w:rPr>
              <w:footnoteReference w:id="11"/>
            </w:r>
            <w:r w:rsidRPr="0018632F">
              <w:rPr>
                <w:rFonts w:asciiTheme="majorBidi" w:hAnsiTheme="majorBidi" w:cstheme="majorBidi"/>
              </w:rPr>
              <w:t xml:space="preserve"> </w:t>
            </w:r>
          </w:p>
          <w:p w14:paraId="7E3039A8" w14:textId="77777777" w:rsidR="0018632F" w:rsidRDefault="0018632F" w:rsidP="00B05446">
            <w:pPr>
              <w:pStyle w:val="ListParagraph"/>
              <w:widowControl w:val="0"/>
              <w:numPr>
                <w:ilvl w:val="0"/>
                <w:numId w:val="3"/>
              </w:numPr>
              <w:rPr>
                <w:rFonts w:asciiTheme="majorBidi" w:hAnsiTheme="majorBidi" w:cstheme="majorBidi"/>
              </w:rPr>
            </w:pPr>
            <w:r w:rsidRPr="0018632F">
              <w:rPr>
                <w:rFonts w:asciiTheme="majorBidi" w:hAnsiTheme="majorBidi" w:cstheme="majorBidi"/>
              </w:rPr>
              <w:t>Although rates of child incarceration continue to decrease, rates of pretrial detention of children have not decreased to the same degree.</w:t>
            </w:r>
            <w:r w:rsidRPr="0018632F">
              <w:rPr>
                <w:rStyle w:val="FootnoteReference"/>
                <w:rFonts w:asciiTheme="majorBidi" w:hAnsiTheme="majorBidi" w:cstheme="majorBidi"/>
              </w:rPr>
              <w:footnoteReference w:id="12"/>
            </w:r>
          </w:p>
          <w:p w14:paraId="39ABDF29" w14:textId="7F901174" w:rsidR="0018632F" w:rsidRPr="0018632F" w:rsidRDefault="0018632F" w:rsidP="00B05446">
            <w:pPr>
              <w:pStyle w:val="ListParagraph"/>
              <w:widowControl w:val="0"/>
              <w:numPr>
                <w:ilvl w:val="0"/>
                <w:numId w:val="3"/>
              </w:numPr>
              <w:rPr>
                <w:rFonts w:asciiTheme="majorBidi" w:hAnsiTheme="majorBidi" w:cstheme="majorBidi"/>
              </w:rPr>
            </w:pPr>
            <w:r w:rsidRPr="0018632F">
              <w:rPr>
                <w:rFonts w:asciiTheme="majorBidi" w:hAnsiTheme="majorBidi" w:cstheme="majorBidi"/>
              </w:rPr>
              <w:t xml:space="preserve">Committee on the Rights of the Child, </w:t>
            </w:r>
            <w:r w:rsidRPr="0018632F">
              <w:rPr>
                <w:rFonts w:asciiTheme="majorBidi" w:hAnsiTheme="majorBidi" w:cstheme="majorBidi"/>
                <w:i/>
              </w:rPr>
              <w:t xml:space="preserve">Concluding Observations on the Combined Third and Fourth Periodic Report of </w:t>
            </w:r>
            <w:r w:rsidR="00B05446">
              <w:rPr>
                <w:rFonts w:asciiTheme="majorBidi" w:hAnsiTheme="majorBidi" w:cstheme="majorBidi"/>
                <w:i/>
              </w:rPr>
              <w:t>Canada</w:t>
            </w:r>
            <w:r w:rsidRPr="0018632F">
              <w:rPr>
                <w:rFonts w:asciiTheme="majorBidi" w:hAnsiTheme="majorBidi" w:cstheme="majorBidi"/>
              </w:rPr>
              <w:t xml:space="preserve">, ¶ </w:t>
            </w:r>
            <w:r w:rsidR="00B05446">
              <w:rPr>
                <w:rFonts w:asciiTheme="majorBidi" w:hAnsiTheme="majorBidi" w:cstheme="majorBidi"/>
              </w:rPr>
              <w:t>85</w:t>
            </w:r>
            <w:r w:rsidRPr="0018632F">
              <w:rPr>
                <w:rFonts w:asciiTheme="majorBidi" w:hAnsiTheme="majorBidi" w:cstheme="majorBidi"/>
              </w:rPr>
              <w:t>, U.N. Doc. CRC/C/</w:t>
            </w:r>
            <w:r w:rsidR="00B05446">
              <w:rPr>
                <w:rFonts w:asciiTheme="majorBidi" w:hAnsiTheme="majorBidi" w:cstheme="majorBidi"/>
              </w:rPr>
              <w:t>CAN</w:t>
            </w:r>
            <w:r w:rsidRPr="0018632F">
              <w:rPr>
                <w:rFonts w:asciiTheme="majorBidi" w:hAnsiTheme="majorBidi" w:cstheme="majorBidi"/>
              </w:rPr>
              <w:t xml:space="preserve">/CO/3-4 (Dec. </w:t>
            </w:r>
            <w:r w:rsidR="00B05446">
              <w:rPr>
                <w:rFonts w:asciiTheme="majorBidi" w:hAnsiTheme="majorBidi" w:cstheme="majorBidi"/>
              </w:rPr>
              <w:t>6</w:t>
            </w:r>
            <w:r w:rsidRPr="0018632F">
              <w:rPr>
                <w:rFonts w:asciiTheme="majorBidi" w:hAnsiTheme="majorBidi" w:cstheme="majorBidi"/>
              </w:rPr>
              <w:t xml:space="preserve">, 2012), </w:t>
            </w:r>
            <w:r w:rsidR="00B05446" w:rsidRPr="00B05446">
              <w:rPr>
                <w:rFonts w:asciiTheme="majorBidi" w:hAnsiTheme="majorBidi" w:cstheme="majorBidi"/>
              </w:rPr>
              <w:t>https://tbinternet.ohchr.org/_layouts/15/treatybodyexternal/Download.aspx?symbolno=CRC/C/CAN/CO/3-4&amp;Lang=En</w:t>
            </w:r>
            <w:r w:rsidR="00B05446">
              <w:rPr>
                <w:rFonts w:asciiTheme="majorBidi" w:hAnsiTheme="majorBidi" w:cstheme="majorBidi"/>
              </w:rPr>
              <w:t>.</w:t>
            </w:r>
            <w:r w:rsidRPr="0018632F">
              <w:rPr>
                <w:rFonts w:asciiTheme="majorBidi" w:hAnsiTheme="majorBidi" w:cstheme="majorBidi"/>
              </w:rPr>
              <w:t xml:space="preserve"> </w:t>
            </w:r>
          </w:p>
        </w:tc>
      </w:tr>
      <w:tr w:rsidR="00B05446" w:rsidRPr="0018632F" w14:paraId="636704E0" w14:textId="77777777" w:rsidTr="005801FD">
        <w:tc>
          <w:tcPr>
            <w:tcW w:w="2141" w:type="dxa"/>
          </w:tcPr>
          <w:p w14:paraId="7185127A" w14:textId="55C12FC4" w:rsidR="00B05446" w:rsidRPr="0018632F" w:rsidRDefault="00B05446" w:rsidP="00B05446">
            <w:pPr>
              <w:widowControl w:val="0"/>
              <w:rPr>
                <w:rFonts w:asciiTheme="majorBidi" w:hAnsiTheme="majorBidi" w:cstheme="majorBidi"/>
              </w:rPr>
            </w:pPr>
            <w:r w:rsidRPr="0018632F">
              <w:rPr>
                <w:rFonts w:asciiTheme="majorBidi" w:hAnsiTheme="majorBidi" w:cstheme="majorBidi"/>
              </w:rPr>
              <w:t>Questions for the state party related to child pretrial detention time limits:</w:t>
            </w:r>
          </w:p>
        </w:tc>
        <w:tc>
          <w:tcPr>
            <w:tcW w:w="6715" w:type="dxa"/>
          </w:tcPr>
          <w:p w14:paraId="2446BC74" w14:textId="3424FF73" w:rsidR="00B05446" w:rsidRDefault="00B05446" w:rsidP="00B05446">
            <w:pPr>
              <w:pStyle w:val="ListParagraph"/>
              <w:widowControl w:val="0"/>
              <w:numPr>
                <w:ilvl w:val="1"/>
                <w:numId w:val="2"/>
              </w:numPr>
              <w:pBdr>
                <w:top w:val="nil"/>
                <w:left w:val="nil"/>
                <w:bottom w:val="nil"/>
                <w:right w:val="nil"/>
                <w:between w:val="nil"/>
              </w:pBdr>
              <w:spacing w:after="160" w:line="259" w:lineRule="auto"/>
              <w:rPr>
                <w:rFonts w:asciiTheme="majorBidi" w:hAnsiTheme="majorBidi" w:cstheme="majorBidi"/>
              </w:rPr>
            </w:pPr>
            <w:r w:rsidRPr="0018632F">
              <w:rPr>
                <w:rFonts w:asciiTheme="majorBidi" w:hAnsiTheme="majorBidi" w:cstheme="majorBidi"/>
              </w:rPr>
              <w:t>Data on duration of pretrial detention as it varies by race, gender, religion or other relevant characteristics.</w:t>
            </w:r>
          </w:p>
          <w:p w14:paraId="0A689E18" w14:textId="7BF826B7" w:rsidR="00E30F94" w:rsidRPr="0018632F" w:rsidRDefault="00E30F94" w:rsidP="00B05446">
            <w:pPr>
              <w:pStyle w:val="ListParagraph"/>
              <w:widowControl w:val="0"/>
              <w:numPr>
                <w:ilvl w:val="1"/>
                <w:numId w:val="2"/>
              </w:numPr>
              <w:pBdr>
                <w:top w:val="nil"/>
                <w:left w:val="nil"/>
                <w:bottom w:val="nil"/>
                <w:right w:val="nil"/>
                <w:between w:val="nil"/>
              </w:pBdr>
              <w:spacing w:after="160" w:line="259" w:lineRule="auto"/>
              <w:rPr>
                <w:rFonts w:asciiTheme="majorBidi" w:hAnsiTheme="majorBidi" w:cstheme="majorBidi"/>
              </w:rPr>
            </w:pPr>
            <w:r>
              <w:rPr>
                <w:rFonts w:asciiTheme="majorBidi" w:hAnsiTheme="majorBidi" w:cstheme="majorBidi"/>
              </w:rPr>
              <w:t>Information on steps taken to reduce the overrepresentation of aboriginal youth in the criminal justice system.</w:t>
            </w:r>
          </w:p>
          <w:p w14:paraId="48B86F07" w14:textId="77777777" w:rsidR="00B05446" w:rsidRPr="0018632F" w:rsidRDefault="00B05446" w:rsidP="00B05446">
            <w:pPr>
              <w:pStyle w:val="ListParagraph"/>
              <w:widowControl w:val="0"/>
              <w:numPr>
                <w:ilvl w:val="1"/>
                <w:numId w:val="2"/>
              </w:numPr>
              <w:pBdr>
                <w:top w:val="nil"/>
                <w:left w:val="nil"/>
                <w:bottom w:val="nil"/>
                <w:right w:val="nil"/>
                <w:between w:val="nil"/>
              </w:pBdr>
              <w:spacing w:after="160" w:line="259" w:lineRule="auto"/>
              <w:rPr>
                <w:rFonts w:asciiTheme="majorBidi" w:hAnsiTheme="majorBidi" w:cstheme="majorBidi"/>
              </w:rPr>
            </w:pPr>
            <w:r w:rsidRPr="0018632F">
              <w:rPr>
                <w:rFonts w:asciiTheme="majorBidi" w:hAnsiTheme="majorBidi" w:cstheme="majorBidi"/>
              </w:rPr>
              <w:t>Data on efforts to reduce the length of pretrial detention and expedite cases.</w:t>
            </w:r>
          </w:p>
          <w:p w14:paraId="4540FD17" w14:textId="77777777" w:rsidR="00B75634" w:rsidRPr="0018632F" w:rsidRDefault="00B75634" w:rsidP="00B75634">
            <w:pPr>
              <w:pStyle w:val="ListParagraph"/>
              <w:widowControl w:val="0"/>
              <w:numPr>
                <w:ilvl w:val="1"/>
                <w:numId w:val="2"/>
              </w:numPr>
              <w:pBdr>
                <w:top w:val="nil"/>
                <w:left w:val="nil"/>
                <w:bottom w:val="nil"/>
                <w:right w:val="nil"/>
                <w:between w:val="nil"/>
              </w:pBdr>
              <w:spacing w:after="160" w:line="259" w:lineRule="auto"/>
              <w:rPr>
                <w:rFonts w:asciiTheme="majorBidi" w:hAnsiTheme="majorBidi" w:cstheme="majorBidi"/>
              </w:rPr>
            </w:pPr>
            <w:r w:rsidRPr="0018632F">
              <w:rPr>
                <w:rFonts w:asciiTheme="majorBidi" w:hAnsiTheme="majorBidi" w:cstheme="majorBidi"/>
              </w:rPr>
              <w:t xml:space="preserve">Data </w:t>
            </w:r>
            <w:r>
              <w:rPr>
                <w:rFonts w:asciiTheme="majorBidi" w:hAnsiTheme="majorBidi" w:cstheme="majorBidi"/>
              </w:rPr>
              <w:t>on the number of children tried as adults.</w:t>
            </w:r>
          </w:p>
          <w:p w14:paraId="668844EB" w14:textId="77777777" w:rsidR="00B05446" w:rsidRPr="0018632F" w:rsidRDefault="00B05446" w:rsidP="00B05446">
            <w:pPr>
              <w:pStyle w:val="ListParagraph"/>
              <w:widowControl w:val="0"/>
              <w:numPr>
                <w:ilvl w:val="1"/>
                <w:numId w:val="2"/>
              </w:numPr>
              <w:pBdr>
                <w:top w:val="nil"/>
                <w:left w:val="nil"/>
                <w:bottom w:val="nil"/>
                <w:right w:val="nil"/>
                <w:between w:val="nil"/>
              </w:pBdr>
              <w:spacing w:after="160" w:line="259" w:lineRule="auto"/>
              <w:rPr>
                <w:rFonts w:asciiTheme="majorBidi" w:hAnsiTheme="majorBidi" w:cstheme="majorBidi"/>
              </w:rPr>
            </w:pPr>
            <w:r w:rsidRPr="0018632F">
              <w:rPr>
                <w:rFonts w:asciiTheme="majorBidi" w:hAnsiTheme="majorBidi" w:cstheme="majorBidi"/>
              </w:rPr>
              <w:t>Information on how appeals and other challenges affect duration of pretrial detention.</w:t>
            </w:r>
          </w:p>
          <w:p w14:paraId="14C8E25C" w14:textId="77777777" w:rsidR="00B05446" w:rsidRPr="0018632F" w:rsidRDefault="00B05446" w:rsidP="00B05446">
            <w:pPr>
              <w:pStyle w:val="ListParagraph"/>
              <w:widowControl w:val="0"/>
              <w:numPr>
                <w:ilvl w:val="1"/>
                <w:numId w:val="2"/>
              </w:numPr>
              <w:pBdr>
                <w:top w:val="nil"/>
                <w:left w:val="nil"/>
                <w:bottom w:val="nil"/>
                <w:right w:val="nil"/>
                <w:between w:val="nil"/>
              </w:pBdr>
              <w:spacing w:after="160" w:line="259" w:lineRule="auto"/>
              <w:rPr>
                <w:rFonts w:asciiTheme="majorBidi" w:hAnsiTheme="majorBidi" w:cstheme="majorBidi"/>
              </w:rPr>
            </w:pPr>
            <w:r w:rsidRPr="0018632F">
              <w:rPr>
                <w:rFonts w:asciiTheme="majorBidi" w:hAnsiTheme="majorBidi" w:cstheme="majorBidi"/>
              </w:rPr>
              <w:t>Information on the procedure and conditions for imposing solitary confinement, including oversight of its use</w:t>
            </w:r>
          </w:p>
          <w:p w14:paraId="79A0A7FA" w14:textId="77777777" w:rsidR="00B05446" w:rsidRPr="0018632F" w:rsidRDefault="00B05446" w:rsidP="00B05446">
            <w:pPr>
              <w:pStyle w:val="ListParagraph"/>
              <w:widowControl w:val="0"/>
              <w:numPr>
                <w:ilvl w:val="1"/>
                <w:numId w:val="2"/>
              </w:numPr>
              <w:pBdr>
                <w:top w:val="nil"/>
                <w:left w:val="nil"/>
                <w:bottom w:val="nil"/>
                <w:right w:val="nil"/>
                <w:between w:val="nil"/>
              </w:pBdr>
              <w:spacing w:after="160" w:line="259" w:lineRule="auto"/>
              <w:rPr>
                <w:rFonts w:asciiTheme="majorBidi" w:hAnsiTheme="majorBidi" w:cstheme="majorBidi"/>
              </w:rPr>
            </w:pPr>
            <w:r w:rsidRPr="0018632F">
              <w:rPr>
                <w:rFonts w:asciiTheme="majorBidi" w:hAnsiTheme="majorBidi" w:cstheme="majorBidi"/>
              </w:rPr>
              <w:t>Data on the number of detained persons placed in solitary confinement</w:t>
            </w:r>
          </w:p>
          <w:p w14:paraId="050EA91B" w14:textId="77777777" w:rsidR="00B05446" w:rsidRDefault="00B05446" w:rsidP="00B05446">
            <w:pPr>
              <w:pStyle w:val="ListParagraph"/>
              <w:widowControl w:val="0"/>
              <w:numPr>
                <w:ilvl w:val="1"/>
                <w:numId w:val="2"/>
              </w:numPr>
              <w:pBdr>
                <w:top w:val="nil"/>
                <w:left w:val="nil"/>
                <w:bottom w:val="nil"/>
                <w:right w:val="nil"/>
                <w:between w:val="nil"/>
              </w:pBdr>
              <w:spacing w:after="160" w:line="259" w:lineRule="auto"/>
              <w:rPr>
                <w:rFonts w:asciiTheme="majorBidi" w:hAnsiTheme="majorBidi" w:cstheme="majorBidi"/>
              </w:rPr>
            </w:pPr>
            <w:r w:rsidRPr="0018632F">
              <w:rPr>
                <w:rFonts w:asciiTheme="majorBidi" w:hAnsiTheme="majorBidi" w:cstheme="majorBidi"/>
              </w:rPr>
              <w:t>Data on the maximum and average duration of solitary confinement</w:t>
            </w:r>
          </w:p>
          <w:p w14:paraId="1922B42E" w14:textId="578C1596" w:rsidR="00E30F94" w:rsidRPr="00E30F94" w:rsidRDefault="00B05446" w:rsidP="00E30F94">
            <w:pPr>
              <w:pStyle w:val="ListParagraph"/>
              <w:widowControl w:val="0"/>
              <w:numPr>
                <w:ilvl w:val="1"/>
                <w:numId w:val="2"/>
              </w:numPr>
              <w:pBdr>
                <w:top w:val="nil"/>
                <w:left w:val="nil"/>
                <w:bottom w:val="nil"/>
                <w:right w:val="nil"/>
                <w:between w:val="nil"/>
              </w:pBdr>
              <w:spacing w:after="160" w:line="259" w:lineRule="auto"/>
              <w:rPr>
                <w:rFonts w:asciiTheme="majorBidi" w:hAnsiTheme="majorBidi" w:cstheme="majorBidi"/>
              </w:rPr>
            </w:pPr>
            <w:r w:rsidRPr="00B05446">
              <w:rPr>
                <w:rFonts w:asciiTheme="majorBidi" w:hAnsiTheme="majorBidi" w:cstheme="majorBidi"/>
              </w:rPr>
              <w:t>Information on the safeguards applied to inmates in disciplinary procedures.</w:t>
            </w:r>
          </w:p>
        </w:tc>
      </w:tr>
      <w:tr w:rsidR="00B05446" w:rsidRPr="0018632F" w14:paraId="56F58376" w14:textId="77777777" w:rsidTr="005801FD">
        <w:tc>
          <w:tcPr>
            <w:tcW w:w="2141" w:type="dxa"/>
          </w:tcPr>
          <w:p w14:paraId="6E6304DF" w14:textId="77777777" w:rsidR="00B05446" w:rsidRPr="0018632F" w:rsidRDefault="00B05446" w:rsidP="00B05446">
            <w:pPr>
              <w:widowControl w:val="0"/>
              <w:rPr>
                <w:rFonts w:asciiTheme="majorBidi" w:hAnsiTheme="majorBidi" w:cstheme="majorBidi"/>
              </w:rPr>
            </w:pPr>
            <w:r w:rsidRPr="0018632F">
              <w:rPr>
                <w:rFonts w:asciiTheme="majorBidi" w:hAnsiTheme="majorBidi" w:cstheme="majorBidi"/>
              </w:rPr>
              <w:t>Link to Global Study</w:t>
            </w:r>
          </w:p>
        </w:tc>
        <w:tc>
          <w:tcPr>
            <w:tcW w:w="6715" w:type="dxa"/>
          </w:tcPr>
          <w:p w14:paraId="1DAED386" w14:textId="1AA412C1" w:rsidR="00B05446" w:rsidRPr="0018632F" w:rsidRDefault="00AD38B4" w:rsidP="00B05446">
            <w:pPr>
              <w:widowControl w:val="0"/>
              <w:shd w:val="clear" w:color="auto" w:fill="FFFFFF"/>
              <w:rPr>
                <w:rFonts w:asciiTheme="majorBidi" w:hAnsiTheme="majorBidi" w:cstheme="majorBidi"/>
                <w:color w:val="222222"/>
              </w:rPr>
            </w:pPr>
            <w:hyperlink r:id="rId8" w:history="1">
              <w:r w:rsidR="00561777" w:rsidRPr="007F034C">
                <w:rPr>
                  <w:rStyle w:val="Hyperlink"/>
                  <w:rFonts w:asciiTheme="majorBidi" w:hAnsiTheme="majorBidi" w:cstheme="majorBidi"/>
                </w:rPr>
                <w:t>https://jjimexico.org/ptd-report/</w:t>
              </w:r>
            </w:hyperlink>
          </w:p>
        </w:tc>
      </w:tr>
    </w:tbl>
    <w:p w14:paraId="36EDA8C6" w14:textId="77777777" w:rsidR="002F7DA3" w:rsidRPr="0018632F" w:rsidRDefault="002F7DA3" w:rsidP="00B05446">
      <w:pPr>
        <w:widowControl w:val="0"/>
        <w:rPr>
          <w:rFonts w:asciiTheme="majorBidi" w:hAnsiTheme="majorBidi" w:cstheme="majorBidi"/>
        </w:rPr>
      </w:pPr>
    </w:p>
    <w:sectPr w:rsidR="002F7DA3" w:rsidRPr="0018632F"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7C9E07" w14:textId="77777777" w:rsidR="00773446" w:rsidRDefault="00773446" w:rsidP="00A42A05">
      <w:r>
        <w:separator/>
      </w:r>
    </w:p>
  </w:endnote>
  <w:endnote w:type="continuationSeparator" w:id="0">
    <w:p w14:paraId="509FD8C4" w14:textId="77777777" w:rsidR="00773446" w:rsidRDefault="00773446" w:rsidP="00A4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5DED82" w14:textId="77777777" w:rsidR="00773446" w:rsidRDefault="00773446" w:rsidP="00A42A05">
      <w:r>
        <w:separator/>
      </w:r>
    </w:p>
  </w:footnote>
  <w:footnote w:type="continuationSeparator" w:id="0">
    <w:p w14:paraId="0B9A8592" w14:textId="77777777" w:rsidR="00773446" w:rsidRDefault="00773446" w:rsidP="00A42A05">
      <w:r>
        <w:continuationSeparator/>
      </w:r>
    </w:p>
  </w:footnote>
  <w:footnote w:id="1">
    <w:p w14:paraId="75A610AE" w14:textId="77777777" w:rsidR="00A42A05" w:rsidRPr="0018632F" w:rsidRDefault="00A42A05" w:rsidP="00B05446">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Patrick Webb &amp; William Allen </w:t>
      </w:r>
      <w:proofErr w:type="spellStart"/>
      <w:r w:rsidRPr="0018632F">
        <w:rPr>
          <w:rFonts w:asciiTheme="majorBidi" w:eastAsia="Calibri" w:hAnsiTheme="majorBidi" w:cstheme="majorBidi"/>
          <w:sz w:val="20"/>
          <w:szCs w:val="20"/>
        </w:rPr>
        <w:t>Kritsonis</w:t>
      </w:r>
      <w:proofErr w:type="spellEnd"/>
      <w:r w:rsidRPr="0018632F">
        <w:rPr>
          <w:rFonts w:asciiTheme="majorBidi" w:eastAsia="Calibri" w:hAnsiTheme="majorBidi" w:cstheme="majorBidi"/>
          <w:sz w:val="20"/>
          <w:szCs w:val="20"/>
        </w:rPr>
        <w:t xml:space="preserve">, </w:t>
      </w:r>
      <w:r w:rsidRPr="0018632F">
        <w:rPr>
          <w:rFonts w:asciiTheme="majorBidi" w:eastAsia="Calibri" w:hAnsiTheme="majorBidi" w:cstheme="majorBidi"/>
          <w:i/>
          <w:sz w:val="20"/>
          <w:szCs w:val="20"/>
        </w:rPr>
        <w:t>Controlling those Kids: Social Control and the Use of Pretrial Detention among Youth in the United States of America: National Implications</w:t>
      </w:r>
      <w:r w:rsidRPr="0018632F">
        <w:rPr>
          <w:rFonts w:asciiTheme="majorBidi" w:eastAsia="Calibri" w:hAnsiTheme="majorBidi" w:cstheme="majorBidi"/>
          <w:sz w:val="20"/>
          <w:szCs w:val="20"/>
        </w:rPr>
        <w:t xml:space="preserve">, </w:t>
      </w:r>
      <w:r w:rsidRPr="0018632F">
        <w:rPr>
          <w:rFonts w:asciiTheme="majorBidi" w:eastAsia="Calibri" w:hAnsiTheme="majorBidi" w:cstheme="majorBidi"/>
          <w:smallCaps/>
          <w:sz w:val="20"/>
          <w:szCs w:val="20"/>
        </w:rPr>
        <w:t xml:space="preserve">ERIC </w:t>
      </w:r>
      <w:r w:rsidRPr="0018632F">
        <w:rPr>
          <w:rFonts w:asciiTheme="majorBidi" w:eastAsia="Calibri" w:hAnsiTheme="majorBidi" w:cstheme="majorBidi"/>
          <w:sz w:val="20"/>
          <w:szCs w:val="20"/>
        </w:rPr>
        <w:t>(Oct. 2006), https://eric.ed.gov/?id=ED493565.</w:t>
      </w:r>
      <w:r w:rsidRPr="0018632F" w:rsidDel="00253B3B">
        <w:rPr>
          <w:rFonts w:asciiTheme="majorBidi" w:eastAsia="Calibri" w:hAnsiTheme="majorBidi" w:cstheme="majorBidi"/>
          <w:sz w:val="20"/>
          <w:szCs w:val="20"/>
        </w:rPr>
        <w:t xml:space="preserve"> </w:t>
      </w:r>
    </w:p>
  </w:footnote>
  <w:footnote w:id="2">
    <w:p w14:paraId="7EDACD02" w14:textId="77777777" w:rsidR="00A42A05" w:rsidRPr="0018632F" w:rsidRDefault="00A42A05" w:rsidP="00B05446">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w:t>
      </w:r>
      <w:r w:rsidRPr="0018632F">
        <w:rPr>
          <w:rFonts w:asciiTheme="majorBidi" w:hAnsiTheme="majorBidi" w:cstheme="majorBidi"/>
          <w:sz w:val="20"/>
          <w:szCs w:val="20"/>
        </w:rPr>
        <w:t>G.A. Res. 44/25, Convention on the Rights of the Child, art. 37(b) (Nov. 20, 1989) [hereinafter CRC].</w:t>
      </w:r>
    </w:p>
  </w:footnote>
  <w:footnote w:id="3">
    <w:p w14:paraId="2AF7B1DA" w14:textId="77777777" w:rsidR="00A42A05" w:rsidRPr="0018632F" w:rsidRDefault="00A42A05" w:rsidP="00B05446">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Comm. on the Rights of the Child, </w:t>
      </w:r>
      <w:r w:rsidRPr="0018632F">
        <w:rPr>
          <w:rFonts w:asciiTheme="majorBidi" w:hAnsiTheme="majorBidi" w:cstheme="majorBidi"/>
          <w:bCs/>
        </w:rPr>
        <w:t>General Comment 10: Children's Rights in Juvenile Justice</w:t>
      </w:r>
      <w:r w:rsidRPr="0018632F">
        <w:rPr>
          <w:rFonts w:asciiTheme="majorBidi" w:hAnsiTheme="majorBidi" w:cstheme="majorBidi"/>
        </w:rPr>
        <w:t>, § 80, U.N. Doc. CRC/C/GC/10 (Apr. 25, 2007) [hereinafter CRC General Comment 10].</w:t>
      </w:r>
    </w:p>
  </w:footnote>
  <w:footnote w:id="4">
    <w:p w14:paraId="7B6EAFDD" w14:textId="77777777" w:rsidR="00A42A05" w:rsidRPr="0018632F" w:rsidRDefault="00A42A05" w:rsidP="00B05446">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w:t>
      </w:r>
      <w:r w:rsidRPr="0018632F">
        <w:rPr>
          <w:rFonts w:asciiTheme="majorBidi" w:hAnsiTheme="majorBidi" w:cstheme="majorBidi"/>
          <w:i/>
        </w:rPr>
        <w:t xml:space="preserve">Id. </w:t>
      </w:r>
      <w:r w:rsidRPr="0018632F">
        <w:rPr>
          <w:rFonts w:asciiTheme="majorBidi" w:hAnsiTheme="majorBidi" w:cstheme="majorBidi"/>
        </w:rPr>
        <w:t>¶ 83 (specifying that regular review is “preferably every two weeks”).</w:t>
      </w:r>
    </w:p>
  </w:footnote>
  <w:footnote w:id="5">
    <w:p w14:paraId="605DAFEA" w14:textId="77777777" w:rsidR="00A42A05" w:rsidRPr="0018632F" w:rsidRDefault="00A42A05" w:rsidP="00B05446">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w:t>
      </w:r>
      <w:r w:rsidRPr="0018632F">
        <w:rPr>
          <w:rFonts w:asciiTheme="majorBidi" w:hAnsiTheme="majorBidi" w:cstheme="majorBidi"/>
          <w:sz w:val="20"/>
          <w:szCs w:val="20"/>
        </w:rPr>
        <w:t xml:space="preserve">Moritz </w:t>
      </w:r>
      <w:proofErr w:type="spellStart"/>
      <w:r w:rsidRPr="0018632F">
        <w:rPr>
          <w:rFonts w:asciiTheme="majorBidi" w:hAnsiTheme="majorBidi" w:cstheme="majorBidi"/>
          <w:sz w:val="20"/>
          <w:szCs w:val="20"/>
        </w:rPr>
        <w:t>Birk</w:t>
      </w:r>
      <w:proofErr w:type="spellEnd"/>
      <w:r w:rsidRPr="0018632F">
        <w:rPr>
          <w:rFonts w:asciiTheme="majorBidi" w:hAnsiTheme="majorBidi" w:cstheme="majorBidi"/>
          <w:sz w:val="20"/>
          <w:szCs w:val="20"/>
        </w:rPr>
        <w:t xml:space="preserve"> et. al., </w:t>
      </w:r>
      <w:r w:rsidRPr="0018632F">
        <w:rPr>
          <w:rFonts w:asciiTheme="majorBidi" w:eastAsia="Calibri" w:hAnsiTheme="majorBidi" w:cstheme="majorBidi"/>
          <w:i/>
          <w:sz w:val="20"/>
          <w:szCs w:val="20"/>
        </w:rPr>
        <w:t>Pretrial Detention and Torture: Why Pretrial Detainees Face the Greatest Risk</w:t>
      </w:r>
      <w:r w:rsidRPr="0018632F">
        <w:rPr>
          <w:rFonts w:asciiTheme="majorBidi" w:eastAsia="Calibri" w:hAnsiTheme="majorBidi" w:cstheme="majorBidi"/>
          <w:sz w:val="20"/>
          <w:szCs w:val="20"/>
        </w:rPr>
        <w:t xml:space="preserve">, 27, </w:t>
      </w:r>
      <w:r w:rsidRPr="0018632F">
        <w:rPr>
          <w:rFonts w:asciiTheme="majorBidi" w:eastAsia="Calibri" w:hAnsiTheme="majorBidi" w:cstheme="majorBidi"/>
          <w:smallCaps/>
          <w:sz w:val="20"/>
          <w:szCs w:val="20"/>
        </w:rPr>
        <w:t>Open Soc’y Found</w:t>
      </w:r>
      <w:r w:rsidRPr="0018632F">
        <w:rPr>
          <w:rFonts w:asciiTheme="majorBidi" w:eastAsia="Calibri" w:hAnsiTheme="majorBidi" w:cstheme="majorBidi"/>
          <w:sz w:val="20"/>
          <w:szCs w:val="20"/>
        </w:rPr>
        <w:t xml:space="preserve">. (2011), </w:t>
      </w:r>
      <w:hyperlink r:id="rId1" w:history="1">
        <w:r w:rsidRPr="0018632F">
          <w:rPr>
            <w:rStyle w:val="Hyperlink"/>
            <w:rFonts w:asciiTheme="majorBidi" w:eastAsia="Calibri" w:hAnsiTheme="majorBidi" w:cstheme="majorBidi"/>
            <w:sz w:val="20"/>
            <w:szCs w:val="20"/>
            <w:u w:val="none"/>
          </w:rPr>
          <w:t>https://www.opensocietyfoundations.org/sites/default/files/pretrial-detention-and-torture-06222011.pdf</w:t>
        </w:r>
      </w:hyperlink>
      <w:r w:rsidRPr="0018632F">
        <w:rPr>
          <w:rFonts w:asciiTheme="majorBidi" w:eastAsia="Calibri" w:hAnsiTheme="majorBidi" w:cstheme="majorBidi"/>
          <w:sz w:val="20"/>
          <w:szCs w:val="20"/>
        </w:rPr>
        <w:t xml:space="preserve">. </w:t>
      </w:r>
    </w:p>
  </w:footnote>
  <w:footnote w:id="6">
    <w:p w14:paraId="05327CF4" w14:textId="77777777" w:rsidR="00A42A05" w:rsidRPr="0018632F" w:rsidRDefault="00A42A05" w:rsidP="00B05446">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Barry Holman &amp; Jason </w:t>
      </w:r>
      <w:proofErr w:type="spellStart"/>
      <w:r w:rsidRPr="0018632F">
        <w:rPr>
          <w:rFonts w:asciiTheme="majorBidi" w:eastAsia="Calibri" w:hAnsiTheme="majorBidi" w:cstheme="majorBidi"/>
          <w:sz w:val="20"/>
          <w:szCs w:val="20"/>
        </w:rPr>
        <w:t>Ziedenberg</w:t>
      </w:r>
      <w:proofErr w:type="spellEnd"/>
      <w:r w:rsidRPr="0018632F">
        <w:rPr>
          <w:rFonts w:asciiTheme="majorBidi" w:eastAsia="Calibri" w:hAnsiTheme="majorBidi" w:cstheme="majorBidi"/>
          <w:sz w:val="20"/>
          <w:szCs w:val="20"/>
        </w:rPr>
        <w:t xml:space="preserve">. </w:t>
      </w:r>
      <w:r w:rsidRPr="0018632F">
        <w:rPr>
          <w:rFonts w:asciiTheme="majorBidi" w:eastAsia="Calibri" w:hAnsiTheme="majorBidi" w:cstheme="majorBidi"/>
          <w:i/>
          <w:sz w:val="20"/>
          <w:szCs w:val="20"/>
        </w:rPr>
        <w:t>The Dangers of Detention: The Impact of Incarcerating Youth in Detention and Other Secure Facilities</w:t>
      </w:r>
      <w:r w:rsidRPr="0018632F">
        <w:rPr>
          <w:rFonts w:asciiTheme="majorBidi" w:eastAsia="Calibri" w:hAnsiTheme="majorBidi" w:cstheme="majorBidi"/>
          <w:sz w:val="20"/>
          <w:szCs w:val="20"/>
        </w:rPr>
        <w:t xml:space="preserve">, 3–10, </w:t>
      </w:r>
      <w:r w:rsidRPr="0018632F">
        <w:rPr>
          <w:rFonts w:asciiTheme="majorBidi" w:eastAsia="Calibri" w:hAnsiTheme="majorBidi" w:cstheme="majorBidi"/>
          <w:smallCaps/>
          <w:sz w:val="20"/>
          <w:szCs w:val="20"/>
        </w:rPr>
        <w:t xml:space="preserve">Just. </w:t>
      </w:r>
      <w:proofErr w:type="spellStart"/>
      <w:r w:rsidRPr="0018632F">
        <w:rPr>
          <w:rFonts w:asciiTheme="majorBidi" w:eastAsia="Calibri" w:hAnsiTheme="majorBidi" w:cstheme="majorBidi"/>
          <w:smallCaps/>
          <w:sz w:val="20"/>
          <w:szCs w:val="20"/>
        </w:rPr>
        <w:t>Pol’y</w:t>
      </w:r>
      <w:proofErr w:type="spellEnd"/>
      <w:r w:rsidRPr="0018632F">
        <w:rPr>
          <w:rFonts w:asciiTheme="majorBidi" w:eastAsia="Calibri" w:hAnsiTheme="majorBidi" w:cstheme="majorBidi"/>
          <w:smallCaps/>
          <w:sz w:val="20"/>
          <w:szCs w:val="20"/>
        </w:rPr>
        <w:t xml:space="preserve"> Inst.</w:t>
      </w:r>
      <w:r w:rsidRPr="0018632F">
        <w:rPr>
          <w:rFonts w:asciiTheme="majorBidi" w:eastAsia="Calibri" w:hAnsiTheme="majorBidi" w:cstheme="majorBidi"/>
          <w:sz w:val="20"/>
          <w:szCs w:val="20"/>
        </w:rPr>
        <w:t xml:space="preserve"> (Nov. 28, 2006), </w:t>
      </w:r>
      <w:hyperlink r:id="rId2" w:history="1">
        <w:r w:rsidRPr="0018632F">
          <w:rPr>
            <w:rStyle w:val="Hyperlink"/>
            <w:rFonts w:asciiTheme="majorBidi" w:eastAsia="Calibri" w:hAnsiTheme="majorBidi" w:cstheme="majorBidi"/>
            <w:sz w:val="20"/>
            <w:szCs w:val="20"/>
            <w:u w:val="none"/>
          </w:rPr>
          <w:t>http://www.justicepolicy.org/images/upload/06-11_rep_dangersofdetention_jj.pdf</w:t>
        </w:r>
      </w:hyperlink>
      <w:r w:rsidRPr="0018632F">
        <w:rPr>
          <w:rFonts w:asciiTheme="majorBidi" w:eastAsia="Calibri" w:hAnsiTheme="majorBidi" w:cstheme="majorBidi"/>
          <w:sz w:val="20"/>
          <w:szCs w:val="20"/>
        </w:rPr>
        <w:t xml:space="preserve">. </w:t>
      </w:r>
    </w:p>
  </w:footnote>
  <w:footnote w:id="7">
    <w:p w14:paraId="7CF0410D" w14:textId="77777777" w:rsidR="00A42A05" w:rsidRPr="0018632F" w:rsidRDefault="00A42A05" w:rsidP="00B05446">
      <w:pPr>
        <w:widowControl w:val="0"/>
        <w:rPr>
          <w:rFonts w:asciiTheme="majorBidi" w:eastAsia="Calibri" w:hAnsiTheme="majorBidi" w:cstheme="majorBidi"/>
          <w:sz w:val="20"/>
          <w:lang w:val="es-MX"/>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lang w:val="es-MX"/>
        </w:rPr>
        <w:t xml:space="preserve"> </w:t>
      </w:r>
      <w:r w:rsidRPr="0018632F">
        <w:rPr>
          <w:rFonts w:asciiTheme="majorBidi" w:eastAsia="Calibri" w:hAnsiTheme="majorBidi" w:cstheme="majorBidi"/>
          <w:i/>
          <w:sz w:val="20"/>
          <w:szCs w:val="20"/>
          <w:lang w:val="es-MX"/>
        </w:rPr>
        <w:t>See, e.g.</w:t>
      </w:r>
      <w:r w:rsidRPr="0018632F">
        <w:rPr>
          <w:rFonts w:asciiTheme="majorBidi" w:eastAsia="Calibri" w:hAnsiTheme="majorBidi" w:cstheme="majorBidi"/>
          <w:sz w:val="20"/>
          <w:szCs w:val="20"/>
          <w:lang w:val="es-MX"/>
        </w:rPr>
        <w:t xml:space="preserve">, </w:t>
      </w:r>
      <w:r w:rsidRPr="0018632F">
        <w:rPr>
          <w:rFonts w:asciiTheme="majorBidi" w:hAnsiTheme="majorBidi" w:cstheme="majorBidi"/>
          <w:i/>
          <w:sz w:val="20"/>
          <w:szCs w:val="20"/>
          <w:lang w:val="es-MX"/>
        </w:rPr>
        <w:t>Diagnóstico del Sistema de Justicia Para Adolescentes del Estado de Chihuahua: “Buenas Prácticas para las Alternativas a la Detención”</w:t>
      </w:r>
      <w:r w:rsidRPr="0018632F">
        <w:rPr>
          <w:rFonts w:asciiTheme="majorBidi" w:hAnsiTheme="majorBidi" w:cstheme="majorBidi"/>
          <w:sz w:val="20"/>
          <w:szCs w:val="20"/>
          <w:lang w:val="es-MX"/>
        </w:rPr>
        <w:t xml:space="preserve">, 8–10, </w:t>
      </w:r>
      <w:r w:rsidRPr="0018632F">
        <w:rPr>
          <w:rFonts w:asciiTheme="majorBidi" w:hAnsiTheme="majorBidi" w:cstheme="majorBidi"/>
          <w:smallCaps/>
          <w:sz w:val="20"/>
          <w:szCs w:val="20"/>
          <w:lang w:val="es-MX"/>
        </w:rPr>
        <w:t>Justicia Juvenil Int’l</w:t>
      </w:r>
      <w:r w:rsidRPr="0018632F">
        <w:rPr>
          <w:rFonts w:asciiTheme="majorBidi" w:hAnsiTheme="majorBidi" w:cstheme="majorBidi"/>
          <w:sz w:val="20"/>
          <w:szCs w:val="20"/>
          <w:lang w:val="es-MX"/>
        </w:rPr>
        <w:t xml:space="preserve"> (Sept. 2017) https://jjimexico.org/projects/chihuahua</w:t>
      </w:r>
      <w:r w:rsidRPr="0018632F">
        <w:rPr>
          <w:rFonts w:asciiTheme="majorBidi" w:hAnsiTheme="majorBidi" w:cstheme="majorBidi"/>
          <w:color w:val="FF0000"/>
          <w:sz w:val="20"/>
          <w:szCs w:val="20"/>
          <w:lang w:val="es-MX"/>
        </w:rPr>
        <w:t xml:space="preserve"> </w:t>
      </w:r>
      <w:r w:rsidRPr="0018632F">
        <w:rPr>
          <w:rFonts w:asciiTheme="majorBidi" w:hAnsiTheme="majorBidi" w:cstheme="majorBidi"/>
          <w:sz w:val="20"/>
          <w:szCs w:val="20"/>
          <w:lang w:val="es-MX"/>
        </w:rPr>
        <w:t xml:space="preserve">[hereinafter </w:t>
      </w:r>
      <w:r w:rsidRPr="0018632F">
        <w:rPr>
          <w:rFonts w:asciiTheme="majorBidi" w:hAnsiTheme="majorBidi" w:cstheme="majorBidi"/>
          <w:i/>
          <w:sz w:val="20"/>
          <w:szCs w:val="20"/>
          <w:lang w:val="es-MX"/>
        </w:rPr>
        <w:t>Diagnóstico 2017</w:t>
      </w:r>
      <w:r w:rsidRPr="0018632F">
        <w:rPr>
          <w:rFonts w:asciiTheme="majorBidi" w:hAnsiTheme="majorBidi" w:cstheme="majorBidi"/>
          <w:sz w:val="20"/>
          <w:szCs w:val="20"/>
          <w:lang w:val="es-MX"/>
        </w:rPr>
        <w:t>].</w:t>
      </w:r>
    </w:p>
  </w:footnote>
  <w:footnote w:id="8">
    <w:p w14:paraId="27FC9A91" w14:textId="3EDBC5F4" w:rsidR="00A42A05" w:rsidRPr="0018632F" w:rsidRDefault="00A42A05" w:rsidP="00B05446">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Additional methodological information available in </w:t>
      </w:r>
      <w:r w:rsidRPr="0018632F">
        <w:rPr>
          <w:rFonts w:asciiTheme="majorBidi" w:hAnsiTheme="majorBidi" w:cstheme="majorBidi"/>
          <w:i/>
        </w:rPr>
        <w:t xml:space="preserve">Children in Pretrial Detention: Promoting Stronger International Time Limits, </w:t>
      </w:r>
      <w:r w:rsidRPr="0018632F">
        <w:rPr>
          <w:rFonts w:asciiTheme="majorBidi" w:hAnsiTheme="majorBidi" w:cstheme="majorBidi"/>
          <w:smallCaps/>
        </w:rPr>
        <w:t>Juvenile Justice Advocates Int’l.</w:t>
      </w:r>
      <w:r w:rsidRPr="0018632F">
        <w:rPr>
          <w:rFonts w:asciiTheme="majorBidi" w:hAnsiTheme="majorBidi" w:cstheme="majorBidi"/>
        </w:rPr>
        <w:t xml:space="preserve"> (May, 2018) (available at https:jjimexico.org/ptd-report/)</w:t>
      </w:r>
    </w:p>
  </w:footnote>
  <w:footnote w:id="9">
    <w:p w14:paraId="583FFC67" w14:textId="66CB1693" w:rsidR="0018632F" w:rsidRPr="0018632F" w:rsidRDefault="0018632F" w:rsidP="00B05446">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Jamil </w:t>
      </w:r>
      <w:proofErr w:type="spellStart"/>
      <w:r w:rsidRPr="0018632F">
        <w:rPr>
          <w:rFonts w:asciiTheme="majorBidi" w:hAnsiTheme="majorBidi" w:cstheme="majorBidi"/>
        </w:rPr>
        <w:t>Malakieh</w:t>
      </w:r>
      <w:proofErr w:type="spellEnd"/>
      <w:r w:rsidRPr="0018632F">
        <w:rPr>
          <w:rFonts w:asciiTheme="majorBidi" w:hAnsiTheme="majorBidi" w:cstheme="majorBidi"/>
          <w:i/>
          <w:iCs/>
        </w:rPr>
        <w:t>, Adult and youth correctional statistics in Canada, 2017/2018</w:t>
      </w:r>
      <w:r w:rsidRPr="0018632F">
        <w:rPr>
          <w:rFonts w:asciiTheme="majorBidi" w:hAnsiTheme="majorBidi" w:cstheme="majorBidi"/>
        </w:rPr>
        <w:t xml:space="preserve">, </w:t>
      </w:r>
      <w:r w:rsidRPr="0018632F">
        <w:rPr>
          <w:rFonts w:asciiTheme="majorBidi" w:hAnsiTheme="majorBidi" w:cstheme="majorBidi"/>
          <w:smallCaps/>
        </w:rPr>
        <w:t>Statistics Canada</w:t>
      </w:r>
      <w:r w:rsidRPr="0018632F">
        <w:rPr>
          <w:rFonts w:asciiTheme="majorBidi" w:hAnsiTheme="majorBidi" w:cstheme="majorBidi"/>
        </w:rPr>
        <w:t xml:space="preserve"> (May 9, 2019), https://www150.statcan.gc.ca/n1/pub/85-002-x/2019001/article/00010-eng.htm#c-g07.</w:t>
      </w:r>
    </w:p>
  </w:footnote>
  <w:footnote w:id="10">
    <w:p w14:paraId="093FBEEE" w14:textId="039C1638" w:rsidR="0018632F" w:rsidRPr="0018632F" w:rsidRDefault="0018632F" w:rsidP="00B05446">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w:t>
      </w:r>
      <w:r w:rsidRPr="0018632F">
        <w:rPr>
          <w:rFonts w:asciiTheme="majorBidi" w:hAnsiTheme="majorBidi" w:cstheme="majorBidi"/>
          <w:i/>
          <w:iCs/>
        </w:rPr>
        <w:t>Id.</w:t>
      </w:r>
    </w:p>
  </w:footnote>
  <w:footnote w:id="11">
    <w:p w14:paraId="7F859B11" w14:textId="576ADEB3" w:rsidR="0018632F" w:rsidRPr="0018632F" w:rsidRDefault="0018632F" w:rsidP="00B05446">
      <w:pPr>
        <w:pStyle w:val="FootnoteText"/>
        <w:widowControl w:val="0"/>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w:t>
      </w:r>
      <w:r w:rsidRPr="0018632F">
        <w:rPr>
          <w:rFonts w:asciiTheme="majorBidi" w:hAnsiTheme="majorBidi" w:cstheme="majorBidi"/>
          <w:i/>
          <w:iCs/>
        </w:rPr>
        <w:t>Id.</w:t>
      </w:r>
    </w:p>
  </w:footnote>
  <w:footnote w:id="12">
    <w:p w14:paraId="221E83C8" w14:textId="77777777" w:rsidR="0018632F" w:rsidRPr="0018632F" w:rsidRDefault="0018632F" w:rsidP="00B05446">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Anthony </w:t>
      </w:r>
      <w:proofErr w:type="spellStart"/>
      <w:r w:rsidRPr="0018632F">
        <w:rPr>
          <w:rFonts w:asciiTheme="majorBidi" w:hAnsiTheme="majorBidi" w:cstheme="majorBidi"/>
        </w:rPr>
        <w:t>Doob</w:t>
      </w:r>
      <w:proofErr w:type="spellEnd"/>
      <w:r w:rsidRPr="0018632F">
        <w:rPr>
          <w:rFonts w:asciiTheme="majorBidi" w:hAnsiTheme="majorBidi" w:cstheme="majorBidi"/>
        </w:rPr>
        <w:t xml:space="preserve"> et al., </w:t>
      </w:r>
      <w:r w:rsidRPr="0018632F">
        <w:rPr>
          <w:rFonts w:asciiTheme="majorBidi" w:hAnsiTheme="majorBidi" w:cstheme="majorBidi"/>
          <w:i/>
          <w:iCs/>
        </w:rPr>
        <w:t>Learning from our success in reducing youth imprisonment</w:t>
      </w:r>
      <w:r w:rsidRPr="0018632F">
        <w:rPr>
          <w:rFonts w:asciiTheme="majorBidi" w:hAnsiTheme="majorBidi" w:cstheme="majorBidi"/>
        </w:rPr>
        <w:t xml:space="preserve">, </w:t>
      </w:r>
      <w:proofErr w:type="spellStart"/>
      <w:r w:rsidRPr="0018632F">
        <w:rPr>
          <w:rFonts w:asciiTheme="majorBidi" w:hAnsiTheme="majorBidi" w:cstheme="majorBidi"/>
          <w:smallCaps/>
        </w:rPr>
        <w:t>Pol’y</w:t>
      </w:r>
      <w:proofErr w:type="spellEnd"/>
      <w:r w:rsidRPr="0018632F">
        <w:rPr>
          <w:rFonts w:asciiTheme="majorBidi" w:hAnsiTheme="majorBidi" w:cstheme="majorBidi"/>
          <w:smallCaps/>
        </w:rPr>
        <w:t xml:space="preserve"> Options</w:t>
      </w:r>
      <w:r w:rsidRPr="0018632F">
        <w:rPr>
          <w:rFonts w:asciiTheme="majorBidi" w:hAnsiTheme="majorBidi" w:cstheme="majorBidi"/>
        </w:rPr>
        <w:t xml:space="preserve"> (May 10, 2018), </w:t>
      </w:r>
      <w:hyperlink r:id="rId3" w:history="1">
        <w:r w:rsidRPr="0018632F">
          <w:rPr>
            <w:rStyle w:val="Hyperlink"/>
            <w:rFonts w:asciiTheme="majorBidi" w:hAnsiTheme="majorBidi" w:cstheme="majorBidi"/>
            <w:u w:val="none"/>
          </w:rPr>
          <w:t>https://policyoptions.irpp.org/magazines/</w:t>
        </w:r>
      </w:hyperlink>
      <w:r w:rsidRPr="0018632F">
        <w:rPr>
          <w:rFonts w:asciiTheme="majorBidi" w:hAnsiTheme="majorBidi" w:cstheme="majorBidi"/>
        </w:rPr>
        <w:t xml:space="preserve"> may-2018/learning-from-our-success-in-reducing-youth-imprisonment/.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C0059F"/>
    <w:multiLevelType w:val="hybridMultilevel"/>
    <w:tmpl w:val="8CAC4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9D0"/>
    <w:rsid w:val="000766CE"/>
    <w:rsid w:val="000A0DE5"/>
    <w:rsid w:val="000F3048"/>
    <w:rsid w:val="00151E23"/>
    <w:rsid w:val="001829D0"/>
    <w:rsid w:val="0018632F"/>
    <w:rsid w:val="00212E55"/>
    <w:rsid w:val="002F7DA3"/>
    <w:rsid w:val="00472932"/>
    <w:rsid w:val="00484136"/>
    <w:rsid w:val="004A7919"/>
    <w:rsid w:val="004F7622"/>
    <w:rsid w:val="00561777"/>
    <w:rsid w:val="00574079"/>
    <w:rsid w:val="0057765E"/>
    <w:rsid w:val="006B6A7F"/>
    <w:rsid w:val="00773446"/>
    <w:rsid w:val="007E26D6"/>
    <w:rsid w:val="008A1547"/>
    <w:rsid w:val="008F47C8"/>
    <w:rsid w:val="009D2393"/>
    <w:rsid w:val="00A359BF"/>
    <w:rsid w:val="00A42A05"/>
    <w:rsid w:val="00AD38B4"/>
    <w:rsid w:val="00AD6168"/>
    <w:rsid w:val="00B05446"/>
    <w:rsid w:val="00B2536B"/>
    <w:rsid w:val="00B37933"/>
    <w:rsid w:val="00B75634"/>
    <w:rsid w:val="00BC7726"/>
    <w:rsid w:val="00C027E2"/>
    <w:rsid w:val="00CB192C"/>
    <w:rsid w:val="00CB49DE"/>
    <w:rsid w:val="00CE65F9"/>
    <w:rsid w:val="00D303CB"/>
    <w:rsid w:val="00DE7F9E"/>
    <w:rsid w:val="00DF7B86"/>
    <w:rsid w:val="00E27751"/>
    <w:rsid w:val="00E30F94"/>
    <w:rsid w:val="00E5441D"/>
    <w:rsid w:val="00EA33DE"/>
    <w:rsid w:val="00EF6B36"/>
    <w:rsid w:val="00F70FAA"/>
    <w:rsid w:val="00FC5F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1BBE0"/>
  <w15:chartTrackingRefBased/>
  <w15:docId w15:val="{5E85038E-D8C1-4277-90AC-D40D16E3E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A05"/>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9DE"/>
    <w:pPr>
      <w:ind w:left="720"/>
      <w:contextualSpacing/>
    </w:pPr>
  </w:style>
  <w:style w:type="table" w:styleId="TableGrid">
    <w:name w:val="Table Grid"/>
    <w:basedOn w:val="TableNormal"/>
    <w:uiPriority w:val="59"/>
    <w:rsid w:val="00A42A05"/>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42A05"/>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A42A05"/>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A42A05"/>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A42A05"/>
    <w:rPr>
      <w:vertAlign w:val="superscript"/>
    </w:rPr>
  </w:style>
  <w:style w:type="character" w:styleId="Hyperlink">
    <w:name w:val="Hyperlink"/>
    <w:basedOn w:val="DefaultParagraphFont"/>
    <w:uiPriority w:val="99"/>
    <w:unhideWhenUsed/>
    <w:rsid w:val="00A42A05"/>
    <w:rPr>
      <w:color w:val="auto"/>
      <w:u w:val="single"/>
    </w:rPr>
  </w:style>
  <w:style w:type="paragraph" w:styleId="BalloonText">
    <w:name w:val="Balloon Text"/>
    <w:basedOn w:val="Normal"/>
    <w:link w:val="BalloonTextChar"/>
    <w:uiPriority w:val="99"/>
    <w:semiHidden/>
    <w:unhideWhenUsed/>
    <w:rsid w:val="00F70F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0FAA"/>
    <w:rPr>
      <w:rFonts w:ascii="Segoe UI" w:eastAsiaTheme="minorEastAsia" w:hAnsi="Segoe UI" w:cs="Segoe UI"/>
      <w:sz w:val="18"/>
      <w:szCs w:val="18"/>
    </w:rPr>
  </w:style>
  <w:style w:type="character" w:styleId="FollowedHyperlink">
    <w:name w:val="FollowedHyperlink"/>
    <w:basedOn w:val="DefaultParagraphFont"/>
    <w:uiPriority w:val="99"/>
    <w:semiHidden/>
    <w:unhideWhenUsed/>
    <w:rsid w:val="00CB192C"/>
    <w:rPr>
      <w:color w:val="954F72" w:themeColor="followedHyperlink"/>
      <w:u w:val="single"/>
    </w:rPr>
  </w:style>
  <w:style w:type="character" w:customStyle="1" w:styleId="UnresolvedMention">
    <w:name w:val="Unresolved Mention"/>
    <w:basedOn w:val="DefaultParagraphFont"/>
    <w:uiPriority w:val="99"/>
    <w:semiHidden/>
    <w:unhideWhenUsed/>
    <w:rsid w:val="001863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255846">
      <w:bodyDiv w:val="1"/>
      <w:marLeft w:val="0"/>
      <w:marRight w:val="0"/>
      <w:marTop w:val="0"/>
      <w:marBottom w:val="0"/>
      <w:divBdr>
        <w:top w:val="none" w:sz="0" w:space="0" w:color="auto"/>
        <w:left w:val="none" w:sz="0" w:space="0" w:color="auto"/>
        <w:bottom w:val="none" w:sz="0" w:space="0" w:color="auto"/>
        <w:right w:val="none" w:sz="0" w:space="0" w:color="auto"/>
      </w:divBdr>
    </w:div>
    <w:div w:id="606810547">
      <w:bodyDiv w:val="1"/>
      <w:marLeft w:val="0"/>
      <w:marRight w:val="0"/>
      <w:marTop w:val="0"/>
      <w:marBottom w:val="0"/>
      <w:divBdr>
        <w:top w:val="none" w:sz="0" w:space="0" w:color="auto"/>
        <w:left w:val="none" w:sz="0" w:space="0" w:color="auto"/>
        <w:bottom w:val="none" w:sz="0" w:space="0" w:color="auto"/>
        <w:right w:val="none" w:sz="0" w:space="0" w:color="auto"/>
      </w:divBdr>
    </w:div>
    <w:div w:id="1277786472">
      <w:bodyDiv w:val="1"/>
      <w:marLeft w:val="0"/>
      <w:marRight w:val="0"/>
      <w:marTop w:val="0"/>
      <w:marBottom w:val="0"/>
      <w:divBdr>
        <w:top w:val="none" w:sz="0" w:space="0" w:color="auto"/>
        <w:left w:val="none" w:sz="0" w:space="0" w:color="auto"/>
        <w:bottom w:val="none" w:sz="0" w:space="0" w:color="auto"/>
        <w:right w:val="none" w:sz="0" w:space="0" w:color="auto"/>
      </w:divBdr>
    </w:div>
    <w:div w:id="196210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policyoptions.irpp.org/magazines/"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9C36FF-534D-43E3-B26E-089A960CBA09}"/>
</file>

<file path=customXml/itemProps2.xml><?xml version="1.0" encoding="utf-8"?>
<ds:datastoreItem xmlns:ds="http://schemas.openxmlformats.org/officeDocument/2006/customXml" ds:itemID="{39D25448-2438-4879-919E-6E5E41E09F99}"/>
</file>

<file path=customXml/itemProps3.xml><?xml version="1.0" encoding="utf-8"?>
<ds:datastoreItem xmlns:ds="http://schemas.openxmlformats.org/officeDocument/2006/customXml" ds:itemID="{F57BFE05-D5F3-4776-8C03-1963B38D7DCF}"/>
</file>

<file path=docProps/app.xml><?xml version="1.0" encoding="utf-8"?>
<Properties xmlns="http://schemas.openxmlformats.org/officeDocument/2006/extended-properties" xmlns:vt="http://schemas.openxmlformats.org/officeDocument/2006/docPropsVTypes">
  <Template>Normal.dotm</Template>
  <TotalTime>1</TotalTime>
  <Pages>5</Pages>
  <Words>1661</Words>
  <Characters>9474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Tarabishy</dc:creator>
  <cp:keywords/>
  <dc:description/>
  <cp:lastModifiedBy>BOIT James</cp:lastModifiedBy>
  <cp:revision>2</cp:revision>
  <dcterms:created xsi:type="dcterms:W3CDTF">2020-05-21T14:07:00Z</dcterms:created>
  <dcterms:modified xsi:type="dcterms:W3CDTF">2020-05-21T14:07:00Z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