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4A0769" w14:textId="77777777" w:rsidR="00F94F52" w:rsidRDefault="00F94F52" w:rsidP="00F94F52">
      <w:pPr>
        <w:widowControl w:val="0"/>
        <w:jc w:val="center"/>
        <w:rPr>
          <w:rFonts w:ascii="Times New Roman" w:eastAsia="Georgia" w:hAnsi="Times New Roman" w:cs="Times New Roman"/>
          <w:b/>
          <w:color w:val="000000"/>
          <w:sz w:val="44"/>
        </w:rPr>
      </w:pPr>
    </w:p>
    <w:p w14:paraId="5F0B04A9" w14:textId="77777777" w:rsidR="00F94F52" w:rsidRDefault="00F94F52" w:rsidP="00F94F52">
      <w:pPr>
        <w:widowControl w:val="0"/>
        <w:jc w:val="center"/>
        <w:rPr>
          <w:rFonts w:ascii="Times New Roman" w:eastAsia="Georgia" w:hAnsi="Times New Roman" w:cs="Times New Roman"/>
          <w:b/>
          <w:color w:val="000000"/>
          <w:sz w:val="44"/>
        </w:rPr>
      </w:pPr>
    </w:p>
    <w:p w14:paraId="19E25126" w14:textId="77777777" w:rsidR="00F94F52" w:rsidRDefault="00F94F52" w:rsidP="00F94F52">
      <w:pPr>
        <w:widowControl w:val="0"/>
        <w:jc w:val="center"/>
        <w:rPr>
          <w:rFonts w:ascii="Times New Roman" w:eastAsia="Georgia" w:hAnsi="Times New Roman" w:cs="Times New Roman"/>
          <w:b/>
          <w:color w:val="000000"/>
          <w:sz w:val="44"/>
        </w:rPr>
      </w:pPr>
    </w:p>
    <w:p w14:paraId="1A4FD355" w14:textId="1588F9D9" w:rsidR="00F94F52" w:rsidRDefault="00F94F52" w:rsidP="00F94F52">
      <w:pPr>
        <w:widowControl w:val="0"/>
        <w:jc w:val="center"/>
        <w:rPr>
          <w:rFonts w:ascii="Times New Roman" w:eastAsia="Georgia" w:hAnsi="Times New Roman" w:cs="Times New Roman"/>
          <w:b/>
          <w:color w:val="000000"/>
          <w:sz w:val="44"/>
        </w:rPr>
      </w:pPr>
      <w:r>
        <w:rPr>
          <w:noProof/>
          <w:lang w:val="es-ES"/>
        </w:rPr>
        <w:drawing>
          <wp:inline distT="0" distB="0" distL="0" distR="0" wp14:anchorId="42E5BAA5" wp14:editId="02362A5B">
            <wp:extent cx="1847088" cy="1847088"/>
            <wp:effectExtent l="0" t="0" r="1270" b="127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I_logo_en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47088" cy="1847088"/>
                    </a:xfrm>
                    <a:prstGeom prst="rect">
                      <a:avLst/>
                    </a:prstGeom>
                  </pic:spPr>
                </pic:pic>
              </a:graphicData>
            </a:graphic>
          </wp:inline>
        </w:drawing>
      </w:r>
      <w:bookmarkStart w:id="0" w:name="_GoBack"/>
      <w:bookmarkEnd w:id="0"/>
    </w:p>
    <w:p w14:paraId="036B2406" w14:textId="77777777" w:rsidR="00F94F52" w:rsidRDefault="00F94F52" w:rsidP="00F94F52">
      <w:pPr>
        <w:widowControl w:val="0"/>
        <w:jc w:val="center"/>
        <w:rPr>
          <w:rFonts w:ascii="Times New Roman" w:eastAsia="Georgia" w:hAnsi="Times New Roman" w:cs="Times New Roman"/>
          <w:b/>
          <w:color w:val="000000"/>
          <w:sz w:val="44"/>
        </w:rPr>
      </w:pPr>
    </w:p>
    <w:p w14:paraId="405199E0" w14:textId="77777777" w:rsidR="00F94F52" w:rsidRDefault="00F94F52" w:rsidP="00F94F52">
      <w:pPr>
        <w:widowControl w:val="0"/>
        <w:jc w:val="center"/>
        <w:rPr>
          <w:rFonts w:ascii="Times New Roman" w:eastAsia="Georgia" w:hAnsi="Times New Roman" w:cs="Times New Roman"/>
          <w:b/>
          <w:color w:val="000000"/>
          <w:sz w:val="44"/>
        </w:rPr>
      </w:pPr>
    </w:p>
    <w:p w14:paraId="3BCAE276" w14:textId="3DFAA8C2" w:rsidR="00F94F52" w:rsidRDefault="00F94F52" w:rsidP="00337267">
      <w:pPr>
        <w:widowControl w:val="0"/>
        <w:jc w:val="center"/>
        <w:rPr>
          <w:rFonts w:ascii="Times New Roman" w:eastAsia="Georgia" w:hAnsi="Times New Roman" w:cs="Times New Roman"/>
          <w:b/>
          <w:color w:val="000000"/>
          <w:sz w:val="44"/>
        </w:rPr>
      </w:pPr>
      <w:r>
        <w:rPr>
          <w:rFonts w:ascii="Times New Roman" w:eastAsia="Georgia" w:hAnsi="Times New Roman" w:cs="Times New Roman"/>
          <w:b/>
          <w:color w:val="000000"/>
          <w:sz w:val="44"/>
        </w:rPr>
        <w:t xml:space="preserve">Situación de las mujeres y niñas en </w:t>
      </w:r>
      <w:r w:rsidR="00005031">
        <w:rPr>
          <w:rFonts w:ascii="Times New Roman" w:eastAsia="Georgia" w:hAnsi="Times New Roman" w:cs="Times New Roman"/>
          <w:b/>
          <w:color w:val="000000"/>
          <w:sz w:val="44"/>
        </w:rPr>
        <w:t>la vigente implementación del acuerdo</w:t>
      </w:r>
      <w:r>
        <w:rPr>
          <w:rFonts w:ascii="Times New Roman" w:eastAsia="Georgia" w:hAnsi="Times New Roman" w:cs="Times New Roman"/>
          <w:b/>
          <w:color w:val="000000"/>
          <w:sz w:val="44"/>
        </w:rPr>
        <w:t xml:space="preserve"> de paz en Colombia. Mujeres migrantes retornadas y sus </w:t>
      </w:r>
      <w:r w:rsidR="00005031">
        <w:rPr>
          <w:rFonts w:ascii="Times New Roman" w:eastAsia="Georgia" w:hAnsi="Times New Roman" w:cs="Times New Roman"/>
          <w:b/>
          <w:color w:val="000000"/>
          <w:sz w:val="44"/>
        </w:rPr>
        <w:t>derechos sociales.</w:t>
      </w:r>
    </w:p>
    <w:p w14:paraId="5A99B0D7" w14:textId="73039370" w:rsidR="00CA5E6B" w:rsidRPr="00610903" w:rsidRDefault="00CA5E6B" w:rsidP="00F94F52">
      <w:pPr>
        <w:widowControl w:val="0"/>
        <w:rPr>
          <w:rFonts w:ascii="Times New Roman" w:eastAsia="Georgia" w:hAnsi="Times New Roman" w:cs="Times New Roman"/>
          <w:b/>
          <w:color w:val="000000"/>
          <w:sz w:val="32"/>
        </w:rPr>
      </w:pPr>
    </w:p>
    <w:p w14:paraId="55220637" w14:textId="77777777" w:rsidR="00CA5E6B" w:rsidRDefault="00CA5E6B" w:rsidP="00CA5E6B">
      <w:pPr>
        <w:widowControl w:val="0"/>
        <w:jc w:val="center"/>
        <w:rPr>
          <w:rFonts w:ascii="Times New Roman" w:eastAsia="Georgia" w:hAnsi="Times New Roman" w:cs="Times New Roman"/>
          <w:b/>
          <w:color w:val="000000"/>
          <w:sz w:val="32"/>
        </w:rPr>
      </w:pPr>
    </w:p>
    <w:p w14:paraId="15554B38" w14:textId="77777777" w:rsidR="00CA5E6B" w:rsidRDefault="00CA5E6B" w:rsidP="00CA5E6B">
      <w:pPr>
        <w:widowControl w:val="0"/>
        <w:jc w:val="center"/>
        <w:rPr>
          <w:rFonts w:ascii="Times New Roman" w:eastAsia="Georgia" w:hAnsi="Times New Roman" w:cs="Times New Roman"/>
          <w:b/>
          <w:color w:val="000000"/>
          <w:sz w:val="32"/>
        </w:rPr>
      </w:pPr>
    </w:p>
    <w:p w14:paraId="3FD030E2" w14:textId="77777777" w:rsidR="00CA5E6B" w:rsidRDefault="00CA5E6B" w:rsidP="00DF4EFF">
      <w:pPr>
        <w:widowControl w:val="0"/>
        <w:rPr>
          <w:rFonts w:ascii="Times New Roman" w:eastAsia="Georgia" w:hAnsi="Times New Roman" w:cs="Times New Roman"/>
          <w:b/>
          <w:color w:val="000000"/>
          <w:sz w:val="32"/>
        </w:rPr>
      </w:pPr>
    </w:p>
    <w:p w14:paraId="365B29BD" w14:textId="77777777" w:rsidR="00F94F52" w:rsidRDefault="00F94F52" w:rsidP="00DF4EFF">
      <w:pPr>
        <w:widowControl w:val="0"/>
        <w:rPr>
          <w:rFonts w:ascii="Times New Roman" w:eastAsia="Georgia" w:hAnsi="Times New Roman" w:cs="Times New Roman"/>
          <w:b/>
          <w:color w:val="000000"/>
          <w:sz w:val="32"/>
        </w:rPr>
      </w:pPr>
    </w:p>
    <w:p w14:paraId="625D09EE" w14:textId="77777777" w:rsidR="00F94F52" w:rsidRPr="00610903" w:rsidRDefault="00F94F52" w:rsidP="00DF4EFF">
      <w:pPr>
        <w:widowControl w:val="0"/>
        <w:rPr>
          <w:rFonts w:ascii="Times New Roman" w:eastAsia="Georgia" w:hAnsi="Times New Roman" w:cs="Times New Roman"/>
          <w:b/>
          <w:color w:val="000000"/>
          <w:sz w:val="32"/>
        </w:rPr>
      </w:pPr>
    </w:p>
    <w:p w14:paraId="30F0374D" w14:textId="77777777" w:rsidR="00CA5E6B" w:rsidRPr="00610903" w:rsidRDefault="00CA5E6B" w:rsidP="00CA5E6B">
      <w:pPr>
        <w:widowControl w:val="0"/>
        <w:jc w:val="center"/>
        <w:rPr>
          <w:rFonts w:ascii="Times New Roman" w:eastAsia="Georgia" w:hAnsi="Times New Roman" w:cs="Times New Roman"/>
          <w:b/>
          <w:color w:val="000000"/>
          <w:sz w:val="32"/>
        </w:rPr>
      </w:pPr>
      <w:r w:rsidRPr="00610903">
        <w:rPr>
          <w:rFonts w:ascii="Times New Roman" w:eastAsia="Georgia" w:hAnsi="Times New Roman" w:cs="Times New Roman"/>
          <w:b/>
          <w:color w:val="000000"/>
          <w:sz w:val="32"/>
        </w:rPr>
        <w:t xml:space="preserve">Asociación Miraismo Internacional </w:t>
      </w:r>
    </w:p>
    <w:p w14:paraId="0A865FB7" w14:textId="21E14D2F" w:rsidR="00CA5E6B" w:rsidRPr="00610903" w:rsidRDefault="00F94F52" w:rsidP="00CA5E6B">
      <w:pPr>
        <w:widowControl w:val="0"/>
        <w:jc w:val="center"/>
        <w:rPr>
          <w:rFonts w:ascii="Times New Roman" w:eastAsia="Georgia" w:hAnsi="Times New Roman" w:cs="Times New Roman"/>
          <w:b/>
          <w:color w:val="000000"/>
          <w:sz w:val="32"/>
        </w:rPr>
      </w:pPr>
      <w:r>
        <w:rPr>
          <w:rFonts w:ascii="Times New Roman" w:eastAsia="Georgia" w:hAnsi="Times New Roman" w:cs="Times New Roman"/>
          <w:b/>
          <w:color w:val="000000"/>
          <w:sz w:val="32"/>
        </w:rPr>
        <w:t>Jul</w:t>
      </w:r>
      <w:r w:rsidR="00307B4C">
        <w:rPr>
          <w:rFonts w:ascii="Times New Roman" w:eastAsia="Georgia" w:hAnsi="Times New Roman" w:cs="Times New Roman"/>
          <w:b/>
          <w:color w:val="000000"/>
          <w:sz w:val="32"/>
        </w:rPr>
        <w:t>io</w:t>
      </w:r>
      <w:r w:rsidR="00CA5E6B" w:rsidRPr="00610903">
        <w:rPr>
          <w:rFonts w:ascii="Times New Roman" w:eastAsia="Georgia" w:hAnsi="Times New Roman" w:cs="Times New Roman"/>
          <w:b/>
          <w:color w:val="000000"/>
          <w:sz w:val="32"/>
        </w:rPr>
        <w:t xml:space="preserve">, 2017 </w:t>
      </w:r>
    </w:p>
    <w:p w14:paraId="6012A1AE" w14:textId="77777777" w:rsidR="00CA5E6B" w:rsidRDefault="00CA5E6B" w:rsidP="00CA5E6B">
      <w:pPr>
        <w:widowControl w:val="0"/>
        <w:jc w:val="center"/>
        <w:rPr>
          <w:rFonts w:ascii="Times New Roman" w:eastAsia="Georgia" w:hAnsi="Times New Roman" w:cs="Times New Roman"/>
          <w:b/>
          <w:color w:val="000000"/>
          <w:sz w:val="32"/>
        </w:rPr>
      </w:pPr>
    </w:p>
    <w:p w14:paraId="45D184E0" w14:textId="77777777" w:rsidR="00CA5E6B" w:rsidRDefault="00CA5E6B" w:rsidP="00CA5E6B">
      <w:pPr>
        <w:widowControl w:val="0"/>
        <w:jc w:val="center"/>
        <w:rPr>
          <w:rFonts w:ascii="Times New Roman" w:eastAsia="Georgia" w:hAnsi="Times New Roman" w:cs="Times New Roman"/>
          <w:b/>
          <w:color w:val="000000"/>
          <w:sz w:val="32"/>
        </w:rPr>
      </w:pPr>
    </w:p>
    <w:p w14:paraId="131C471B" w14:textId="77777777" w:rsidR="00DF4EFF" w:rsidRPr="00F94F52" w:rsidRDefault="00DF4EFF" w:rsidP="00F94F52">
      <w:pPr>
        <w:rPr>
          <w:rFonts w:ascii="Times New Roman" w:hAnsi="Times New Roman" w:cs="Times New Roman"/>
          <w:b/>
        </w:rPr>
      </w:pPr>
    </w:p>
    <w:p w14:paraId="3EE09BE5" w14:textId="77777777" w:rsidR="00DF4EFF" w:rsidRDefault="00DF4EFF" w:rsidP="00CA5E6B">
      <w:pPr>
        <w:pStyle w:val="Prrafodelista"/>
        <w:rPr>
          <w:rFonts w:ascii="Times New Roman" w:hAnsi="Times New Roman" w:cs="Times New Roman"/>
          <w:b/>
        </w:rPr>
      </w:pPr>
    </w:p>
    <w:p w14:paraId="538B036A" w14:textId="77777777" w:rsidR="00F94F52" w:rsidRDefault="00F94F52">
      <w:pPr>
        <w:rPr>
          <w:rFonts w:ascii="Times New Roman" w:eastAsia="MS Mincho" w:hAnsi="Times New Roman"/>
        </w:rPr>
      </w:pPr>
      <w:bookmarkStart w:id="1" w:name="_Hlk482627193"/>
      <w:r>
        <w:rPr>
          <w:rFonts w:ascii="Times New Roman" w:eastAsia="MS Mincho" w:hAnsi="Times New Roman"/>
        </w:rPr>
        <w:br w:type="page"/>
      </w:r>
    </w:p>
    <w:p w14:paraId="4F9A812A" w14:textId="2652DA3C" w:rsidR="00F94F52" w:rsidRDefault="00F94F52" w:rsidP="00F94F52">
      <w:pPr>
        <w:spacing w:line="276" w:lineRule="auto"/>
        <w:jc w:val="both"/>
        <w:rPr>
          <w:rFonts w:ascii="Times New Roman" w:eastAsia="MS Mincho" w:hAnsi="Times New Roman"/>
        </w:rPr>
      </w:pPr>
      <w:r w:rsidRPr="00C63773">
        <w:rPr>
          <w:rFonts w:ascii="Times New Roman" w:eastAsia="MS Mincho" w:hAnsi="Times New Roman"/>
        </w:rPr>
        <w:lastRenderedPageBreak/>
        <w:t xml:space="preserve">Para la </w:t>
      </w:r>
      <w:r w:rsidRPr="00C63773">
        <w:rPr>
          <w:rFonts w:ascii="Times New Roman" w:eastAsia="MS Mincho" w:hAnsi="Times New Roman"/>
          <w:i/>
        </w:rPr>
        <w:t>Asociación Miraísmo Internacional</w:t>
      </w:r>
      <w:r w:rsidRPr="00C63773">
        <w:rPr>
          <w:rFonts w:ascii="Times New Roman" w:eastAsia="MS Mincho" w:hAnsi="Times New Roman"/>
        </w:rPr>
        <w:t xml:space="preserve"> es fundamental seguir de cerca el cumplimiento de los artículos integrados en el Pacto Internacional de los Derechos económicos, sociales y culturales, en esta ocasión, el área de enfoque sobre el cual se pretende hacer especial seguimiento es la situación actual de las mujeres y niñas en el proceso de paz y actual proceso de implementación de los Acuerdos de paz</w:t>
      </w:r>
      <w:r>
        <w:rPr>
          <w:rFonts w:ascii="Times New Roman" w:eastAsia="MS Mincho" w:hAnsi="Times New Roman"/>
        </w:rPr>
        <w:t xml:space="preserve"> en Colombia</w:t>
      </w:r>
      <w:r w:rsidRPr="00C63773">
        <w:rPr>
          <w:rFonts w:ascii="Times New Roman" w:eastAsia="MS Mincho" w:hAnsi="Times New Roman"/>
        </w:rPr>
        <w:t>.</w:t>
      </w:r>
    </w:p>
    <w:p w14:paraId="7559F62E" w14:textId="77777777" w:rsidR="00F94F52" w:rsidRPr="00C63773" w:rsidRDefault="00F94F52" w:rsidP="00F94F52">
      <w:pPr>
        <w:spacing w:line="276" w:lineRule="auto"/>
        <w:jc w:val="both"/>
        <w:rPr>
          <w:rFonts w:ascii="Times New Roman" w:eastAsia="MS Mincho" w:hAnsi="Times New Roman"/>
        </w:rPr>
      </w:pPr>
    </w:p>
    <w:p w14:paraId="17463F52" w14:textId="77777777" w:rsidR="00F94F52" w:rsidRPr="00C63773" w:rsidRDefault="00F94F52" w:rsidP="00F94F52">
      <w:pPr>
        <w:spacing w:line="276" w:lineRule="auto"/>
        <w:jc w:val="both"/>
        <w:rPr>
          <w:rFonts w:ascii="Times New Roman" w:eastAsia="MS Mincho" w:hAnsi="Times New Roman"/>
        </w:rPr>
      </w:pPr>
      <w:r w:rsidRPr="00C63773">
        <w:rPr>
          <w:rFonts w:ascii="Times New Roman" w:eastAsia="MS Mincho" w:hAnsi="Times New Roman"/>
        </w:rPr>
        <w:t xml:space="preserve">Entre tanto que, bajo el marco de la migración global a causa de las crisis económicas mundiales y la escasa cobertura de empleabilidad bajo condiciones laborales de estabilidad económica, en virtud del artículo 11 del Pacto Internacional de derechos económicos, sociales y culturales, a cuyo tenor se expresa: </w:t>
      </w:r>
      <w:r w:rsidRPr="00C63773">
        <w:rPr>
          <w:rFonts w:ascii="Times New Roman" w:eastAsia="MS Mincho" w:hAnsi="Times New Roman"/>
          <w:i/>
        </w:rPr>
        <w:t>“…mejora continua de las condiciones de existencia…”</w:t>
      </w:r>
      <w:r w:rsidRPr="00C63773">
        <w:rPr>
          <w:rFonts w:ascii="Times New Roman" w:eastAsia="MS Mincho" w:hAnsi="Times New Roman"/>
        </w:rPr>
        <w:t>, el retorno de los colombianos y las colombianas está teniendo un fuerte impacto en el país, especialmente, en la pobre legislación y prestación de garantías sociales para quienes retornan. Esta situación nos hace plantear la siguiente cuestión: ¿Es realmente un retorno productivo?, avanzando entonces con la investigación, el presente informe resalta aspectos contrarios a los definidos en los derechos objeto de evaluación.</w:t>
      </w:r>
    </w:p>
    <w:p w14:paraId="7CF7E2F5" w14:textId="77777777" w:rsidR="00F94F52" w:rsidRPr="00C63773" w:rsidRDefault="00F94F52" w:rsidP="00F94F52">
      <w:pPr>
        <w:spacing w:line="276" w:lineRule="auto"/>
        <w:jc w:val="both"/>
        <w:rPr>
          <w:rFonts w:ascii="Times New Roman" w:eastAsia="MS Mincho" w:hAnsi="Times New Roman"/>
        </w:rPr>
      </w:pPr>
    </w:p>
    <w:p w14:paraId="4CCADDB8" w14:textId="77777777" w:rsidR="00F94F52" w:rsidRDefault="00F94F52" w:rsidP="00F94F52">
      <w:pPr>
        <w:spacing w:line="276" w:lineRule="auto"/>
        <w:jc w:val="both"/>
        <w:rPr>
          <w:rFonts w:ascii="Times New Roman" w:eastAsia="MS Mincho" w:hAnsi="Times New Roman"/>
        </w:rPr>
      </w:pPr>
      <w:r w:rsidRPr="00C63773">
        <w:rPr>
          <w:rFonts w:ascii="Times New Roman" w:eastAsia="MS Mincho" w:hAnsi="Times New Roman"/>
        </w:rPr>
        <w:t xml:space="preserve">Entrando en materia, el actual proceso de implementación de los Acuerdos de paz en Colombia y su antecedente, el proceso de paz, ha traído consigo sendos agravios a la población, especialmente, a las niñas y mujeres que viven en las zonas de conflicto. En virtud del artículo 12 del PIDESC, que señala el derecho de disfrutar del más alto nivel de salud física y mental, </w:t>
      </w:r>
      <w:r>
        <w:rPr>
          <w:rFonts w:ascii="Times New Roman" w:eastAsia="MS Mincho" w:hAnsi="Times New Roman"/>
        </w:rPr>
        <w:t>nos encontramos</w:t>
      </w:r>
      <w:r w:rsidRPr="00C63773">
        <w:rPr>
          <w:rFonts w:ascii="Times New Roman" w:eastAsia="MS Mincho" w:hAnsi="Times New Roman"/>
        </w:rPr>
        <w:t xml:space="preserve">, ante un panorama </w:t>
      </w:r>
      <w:r>
        <w:rPr>
          <w:rFonts w:ascii="Times New Roman" w:eastAsia="MS Mincho" w:hAnsi="Times New Roman"/>
        </w:rPr>
        <w:t>contrario</w:t>
      </w:r>
      <w:r w:rsidRPr="00C63773">
        <w:rPr>
          <w:rFonts w:ascii="Times New Roman" w:eastAsia="MS Mincho" w:hAnsi="Times New Roman"/>
        </w:rPr>
        <w:t>.</w:t>
      </w:r>
    </w:p>
    <w:p w14:paraId="1DA8BA55" w14:textId="77777777" w:rsidR="00F94F52" w:rsidRPr="00C63773" w:rsidRDefault="00F94F52" w:rsidP="00F94F52">
      <w:pPr>
        <w:spacing w:line="276" w:lineRule="auto"/>
        <w:jc w:val="both"/>
        <w:rPr>
          <w:rFonts w:ascii="Times New Roman" w:eastAsia="MS Mincho" w:hAnsi="Times New Roman"/>
        </w:rPr>
      </w:pPr>
    </w:p>
    <w:p w14:paraId="6D01043A" w14:textId="77777777" w:rsidR="00F94F52" w:rsidRPr="00C63773" w:rsidRDefault="00F94F52" w:rsidP="00F94F52">
      <w:pPr>
        <w:spacing w:line="276" w:lineRule="auto"/>
        <w:jc w:val="both"/>
        <w:rPr>
          <w:rFonts w:ascii="Times New Roman" w:hAnsi="Times New Roman"/>
          <w:color w:val="222222"/>
          <w:highlight w:val="white"/>
        </w:rPr>
      </w:pPr>
      <w:r w:rsidRPr="00C63773">
        <w:rPr>
          <w:rFonts w:ascii="Times New Roman" w:eastAsia="MS Mincho" w:hAnsi="Times New Roman"/>
        </w:rPr>
        <w:t xml:space="preserve">La </w:t>
      </w:r>
      <w:r w:rsidRPr="00C63773">
        <w:rPr>
          <w:rFonts w:ascii="Times New Roman" w:hAnsi="Times New Roman"/>
          <w:color w:val="222222"/>
          <w:highlight w:val="white"/>
        </w:rPr>
        <w:t>violencia sexual contra la mujer a razón del conflicto</w:t>
      </w:r>
      <w:r w:rsidRPr="00C63773">
        <w:rPr>
          <w:rStyle w:val="Refdenotaalpie"/>
          <w:rFonts w:ascii="Times New Roman" w:hAnsi="Times New Roman"/>
          <w:color w:val="222222"/>
          <w:highlight w:val="white"/>
        </w:rPr>
        <w:footnoteReference w:id="1"/>
      </w:r>
      <w:r>
        <w:rPr>
          <w:rFonts w:ascii="Times New Roman" w:hAnsi="Times New Roman"/>
          <w:color w:val="222222"/>
          <w:highlight w:val="white"/>
        </w:rPr>
        <w:t xml:space="preserve"> </w:t>
      </w:r>
      <w:r w:rsidRPr="00C63773">
        <w:rPr>
          <w:rFonts w:ascii="Times New Roman" w:hAnsi="Times New Roman"/>
          <w:color w:val="222222"/>
          <w:highlight w:val="white"/>
        </w:rPr>
        <w:t>muestra la dificultad para establecer con certeza el número de mujeres, niños y niñas que han sufrido violencia sexual en el contexto del conflicto armado, porque e</w:t>
      </w:r>
      <w:r>
        <w:rPr>
          <w:rFonts w:ascii="Times New Roman" w:hAnsi="Times New Roman"/>
          <w:color w:val="222222"/>
          <w:highlight w:val="white"/>
        </w:rPr>
        <w:t>sta situación ha estado invisibilizada</w:t>
      </w:r>
      <w:r w:rsidRPr="00C63773">
        <w:rPr>
          <w:rFonts w:ascii="Times New Roman" w:hAnsi="Times New Roman"/>
          <w:color w:val="222222"/>
          <w:highlight w:val="white"/>
        </w:rPr>
        <w:t xml:space="preserve">, toda vez que, la existencia de casos no denunciados ha dificultado la determinación exacta de las cifras. La violencia sexual es un crimen con alto nivel de sub-registro, altos niveles de impunidad y difícil acceso a la justicia. Según este informe la violencia sexual en el conflicto es </w:t>
      </w:r>
      <w:r w:rsidRPr="00C63773">
        <w:rPr>
          <w:rFonts w:ascii="Times New Roman" w:hAnsi="Times New Roman"/>
          <w:i/>
          <w:color w:val="222222"/>
          <w:highlight w:val="white"/>
        </w:rPr>
        <w:t>‘una práctica habitual, extensa, sistemática e invisible’</w:t>
      </w:r>
      <w:r w:rsidRPr="00C63773">
        <w:rPr>
          <w:rFonts w:ascii="Times New Roman" w:hAnsi="Times New Roman"/>
          <w:color w:val="222222"/>
          <w:highlight w:val="white"/>
        </w:rPr>
        <w:t xml:space="preserve">. </w:t>
      </w:r>
    </w:p>
    <w:p w14:paraId="5B0C0B7F" w14:textId="77777777" w:rsidR="00F94F52" w:rsidRPr="00C63773" w:rsidRDefault="00F94F52" w:rsidP="00F94F52">
      <w:pPr>
        <w:spacing w:line="276" w:lineRule="auto"/>
        <w:jc w:val="both"/>
        <w:rPr>
          <w:rFonts w:ascii="Times New Roman" w:hAnsi="Times New Roman"/>
          <w:color w:val="222222"/>
          <w:highlight w:val="white"/>
        </w:rPr>
      </w:pPr>
      <w:r w:rsidRPr="00C63773">
        <w:rPr>
          <w:rFonts w:ascii="Times New Roman" w:hAnsi="Times New Roman"/>
          <w:color w:val="222222"/>
          <w:highlight w:val="white"/>
        </w:rPr>
        <w:t xml:space="preserve">Entre los años 2000 y 2009, </w:t>
      </w:r>
      <w:r w:rsidRPr="00715592">
        <w:rPr>
          <w:rFonts w:ascii="Times New Roman" w:hAnsi="Times New Roman"/>
          <w:color w:val="222222"/>
          <w:highlight w:val="white"/>
        </w:rPr>
        <w:t>12.809 mujeres fueron víctimas de violación relacionada al conflicto; 1.575 mujeres han sido obligadas a ejercer la prostitución; 4.415 han tenido embarazos forzados; 1.810 han tenido abortos forzados</w:t>
      </w:r>
      <w:r w:rsidRPr="00C63773">
        <w:rPr>
          <w:rFonts w:ascii="Times New Roman" w:hAnsi="Times New Roman"/>
          <w:color w:val="222222"/>
          <w:highlight w:val="white"/>
          <w:vertAlign w:val="superscript"/>
        </w:rPr>
        <w:footnoteReference w:id="2"/>
      </w:r>
      <w:r w:rsidRPr="00C63773">
        <w:rPr>
          <w:rFonts w:ascii="Times New Roman" w:hAnsi="Times New Roman"/>
          <w:color w:val="222222"/>
          <w:highlight w:val="white"/>
        </w:rPr>
        <w:t>. Por otro lado, Colombia tiene la décima tasa de feminicidios más alta del mundo</w:t>
      </w:r>
      <w:r w:rsidRPr="00C63773">
        <w:rPr>
          <w:rFonts w:ascii="Times New Roman" w:hAnsi="Times New Roman"/>
          <w:color w:val="222222"/>
          <w:highlight w:val="white"/>
          <w:vertAlign w:val="superscript"/>
        </w:rPr>
        <w:footnoteReference w:id="3"/>
      </w:r>
      <w:r w:rsidRPr="00C63773">
        <w:rPr>
          <w:rFonts w:ascii="Times New Roman" w:hAnsi="Times New Roman"/>
          <w:color w:val="222222"/>
          <w:highlight w:val="white"/>
        </w:rPr>
        <w:t xml:space="preserve">, con lo cual se demuestra que el cuerpo de la mujer se ha usado por grupos al margen de la ley (paramilitares y BACRIM, bandas </w:t>
      </w:r>
      <w:r w:rsidRPr="00C63773">
        <w:rPr>
          <w:rFonts w:ascii="Times New Roman" w:hAnsi="Times New Roman"/>
          <w:color w:val="222222"/>
          <w:highlight w:val="white"/>
        </w:rPr>
        <w:lastRenderedPageBreak/>
        <w:t>criminales) como una forma de ejercer control social y territorial</w:t>
      </w:r>
      <w:r w:rsidRPr="00C63773">
        <w:rPr>
          <w:rFonts w:ascii="Times New Roman" w:hAnsi="Times New Roman"/>
          <w:color w:val="222222"/>
          <w:highlight w:val="white"/>
          <w:vertAlign w:val="superscript"/>
        </w:rPr>
        <w:footnoteReference w:id="4"/>
      </w:r>
      <w:r w:rsidRPr="00C63773">
        <w:rPr>
          <w:rFonts w:ascii="Times New Roman" w:hAnsi="Times New Roman"/>
          <w:color w:val="222222"/>
          <w:highlight w:val="white"/>
        </w:rPr>
        <w:t>. Desde otra perspectiva, la violencia también se manifiesta en el ejercicio de redes de prostitución organizadas por paramilitares</w:t>
      </w:r>
      <w:r w:rsidRPr="00C63773">
        <w:rPr>
          <w:rFonts w:ascii="Times New Roman" w:hAnsi="Times New Roman"/>
          <w:color w:val="222222"/>
          <w:highlight w:val="white"/>
          <w:vertAlign w:val="superscript"/>
        </w:rPr>
        <w:footnoteReference w:id="5"/>
      </w:r>
      <w:r w:rsidRPr="00C63773">
        <w:rPr>
          <w:rFonts w:ascii="Times New Roman" w:hAnsi="Times New Roman"/>
          <w:color w:val="222222"/>
          <w:highlight w:val="white"/>
        </w:rPr>
        <w:t xml:space="preserve">. </w:t>
      </w:r>
      <w:r>
        <w:rPr>
          <w:rFonts w:ascii="Times New Roman" w:hAnsi="Times New Roman"/>
          <w:color w:val="222222"/>
          <w:highlight w:val="white"/>
        </w:rPr>
        <w:t>Adicionalmente,</w:t>
      </w:r>
      <w:r w:rsidRPr="00C63773">
        <w:rPr>
          <w:rFonts w:ascii="Times New Roman" w:hAnsi="Times New Roman"/>
          <w:color w:val="222222"/>
          <w:highlight w:val="white"/>
        </w:rPr>
        <w:t xml:space="preserve"> </w:t>
      </w:r>
      <w:r>
        <w:rPr>
          <w:rFonts w:ascii="Times New Roman" w:hAnsi="Times New Roman"/>
          <w:color w:val="222222"/>
          <w:highlight w:val="white"/>
        </w:rPr>
        <w:t xml:space="preserve">la </w:t>
      </w:r>
      <w:r w:rsidRPr="00C63773">
        <w:rPr>
          <w:rFonts w:ascii="Times New Roman" w:hAnsi="Times New Roman"/>
          <w:color w:val="222222"/>
          <w:highlight w:val="white"/>
        </w:rPr>
        <w:t>Fuerza Pública también ha cometido violencia sexual</w:t>
      </w:r>
      <w:r w:rsidRPr="00C63773">
        <w:rPr>
          <w:rStyle w:val="Refdenotaalpie"/>
          <w:rFonts w:ascii="Times New Roman" w:hAnsi="Times New Roman"/>
          <w:color w:val="222222"/>
          <w:highlight w:val="white"/>
        </w:rPr>
        <w:footnoteReference w:id="6"/>
      </w:r>
      <w:r w:rsidRPr="00C63773">
        <w:rPr>
          <w:rFonts w:ascii="Times New Roman" w:hAnsi="Times New Roman"/>
          <w:color w:val="222222"/>
          <w:highlight w:val="white"/>
        </w:rPr>
        <w:t xml:space="preserve">, especialmente en zonas social y económicamente vulnerables, donde la comunidad se ha visto desprotegida al carecer de entidades estatales a las que acudir para denunciar. El Ministerio de Defensa colombiano afirma que los crímenes sexuales por parte de las Fuerzas de Seguridad no son generalizados, sin embargo, análisis realizados por Defensoría del Pueblo, la Corte Constitucional y la Corte Penal Internacional sostienen que ésta si es una “práctica sistemática y generalizada”. </w:t>
      </w:r>
      <w:r>
        <w:rPr>
          <w:rFonts w:ascii="Times New Roman" w:hAnsi="Times New Roman"/>
          <w:color w:val="222222"/>
          <w:highlight w:val="white"/>
        </w:rPr>
        <w:t xml:space="preserve">Es decir, que </w:t>
      </w:r>
      <w:r w:rsidRPr="00C63773">
        <w:rPr>
          <w:rFonts w:ascii="Times New Roman" w:hAnsi="Times New Roman"/>
          <w:color w:val="222222"/>
          <w:highlight w:val="white"/>
        </w:rPr>
        <w:t xml:space="preserve">los altos índices de violencia sexual se suma la ausencia de protección estatal y la presencia de grupos al margen de la ley. </w:t>
      </w:r>
    </w:p>
    <w:p w14:paraId="7821ECA9" w14:textId="77777777" w:rsidR="00F94F52" w:rsidRDefault="00F94F52" w:rsidP="00F94F52">
      <w:pPr>
        <w:spacing w:line="276" w:lineRule="auto"/>
        <w:jc w:val="both"/>
        <w:rPr>
          <w:rFonts w:ascii="Times New Roman" w:hAnsi="Times New Roman"/>
          <w:color w:val="222222"/>
          <w:highlight w:val="white"/>
        </w:rPr>
      </w:pPr>
      <w:r w:rsidRPr="00C63773">
        <w:rPr>
          <w:rFonts w:ascii="Times New Roman" w:hAnsi="Times New Roman"/>
          <w:color w:val="222222"/>
          <w:highlight w:val="white"/>
        </w:rPr>
        <w:t>Solo el 18% de mujeres víctimas de delitos sexuales denuncian su caso ante las autoridades, muchas enfrentan procesos deficientes en los que las autoridades administrativas incitan a la repetición injustificada de los sucesos delictivos, dando lugar a la re-victimización. (</w:t>
      </w:r>
      <w:proofErr w:type="gramStart"/>
      <w:r w:rsidRPr="00C63773">
        <w:rPr>
          <w:rFonts w:ascii="Times New Roman" w:hAnsi="Times New Roman"/>
          <w:color w:val="222222"/>
          <w:highlight w:val="white"/>
        </w:rPr>
        <w:t>ver</w:t>
      </w:r>
      <w:proofErr w:type="gramEnd"/>
      <w:r w:rsidRPr="00C63773">
        <w:rPr>
          <w:rFonts w:ascii="Times New Roman" w:hAnsi="Times New Roman"/>
          <w:color w:val="222222"/>
          <w:highlight w:val="white"/>
        </w:rPr>
        <w:t xml:space="preserve"> hoja de anexos, tabla 1: la presencia de grupos paramilitares. anexo 1.)</w:t>
      </w:r>
    </w:p>
    <w:p w14:paraId="170EEEA0" w14:textId="77777777" w:rsidR="00F94F52" w:rsidRPr="00C63773" w:rsidRDefault="00F94F52" w:rsidP="00F94F52">
      <w:pPr>
        <w:spacing w:line="276" w:lineRule="auto"/>
        <w:jc w:val="both"/>
        <w:rPr>
          <w:rFonts w:ascii="Times New Roman" w:hAnsi="Times New Roman"/>
          <w:color w:val="222222"/>
          <w:highlight w:val="white"/>
        </w:rPr>
      </w:pPr>
    </w:p>
    <w:p w14:paraId="48811451" w14:textId="77777777" w:rsidR="00F94F52" w:rsidRPr="00C63773" w:rsidRDefault="00F94F52" w:rsidP="00F94F52">
      <w:pPr>
        <w:spacing w:line="276" w:lineRule="auto"/>
        <w:jc w:val="both"/>
        <w:rPr>
          <w:rFonts w:ascii="Times New Roman" w:hAnsi="Times New Roman"/>
          <w:color w:val="222222"/>
          <w:highlight w:val="white"/>
        </w:rPr>
      </w:pPr>
      <w:r w:rsidRPr="00C63773">
        <w:rPr>
          <w:rFonts w:ascii="Times New Roman" w:hAnsi="Times New Roman"/>
          <w:color w:val="222222"/>
          <w:highlight w:val="white"/>
        </w:rPr>
        <w:t>La presencia de los paramilitares no ha sido reconocida por el Gobierno Nacional como grupos al margen de la ley, sino como bandas criminales (BACRIM) lo que impide que los delitos sexuales cometidos por éstos sean tenidos en cuenta como crímenes de guerra.</w:t>
      </w:r>
    </w:p>
    <w:p w14:paraId="1AF54A1C" w14:textId="77777777" w:rsidR="00F94F52" w:rsidRPr="00C63773" w:rsidRDefault="00F94F52" w:rsidP="00F94F52">
      <w:pPr>
        <w:spacing w:line="276" w:lineRule="auto"/>
        <w:jc w:val="both"/>
        <w:rPr>
          <w:rFonts w:ascii="Times New Roman" w:hAnsi="Times New Roman"/>
          <w:color w:val="222222"/>
          <w:highlight w:val="white"/>
        </w:rPr>
      </w:pPr>
      <w:r w:rsidRPr="00C63773">
        <w:rPr>
          <w:rFonts w:ascii="Times New Roman" w:hAnsi="Times New Roman"/>
          <w:color w:val="222222"/>
          <w:highlight w:val="white"/>
        </w:rPr>
        <w:t xml:space="preserve">Ante lo anterior, el pronunciamiento de la </w:t>
      </w:r>
      <w:r w:rsidRPr="00C63773">
        <w:rPr>
          <w:rFonts w:ascii="Times New Roman" w:hAnsi="Times New Roman"/>
          <w:i/>
          <w:color w:val="222222"/>
          <w:highlight w:val="white"/>
        </w:rPr>
        <w:t>Comisión Interamericana de Derechos Humanos</w:t>
      </w:r>
      <w:r w:rsidRPr="00C63773">
        <w:rPr>
          <w:rFonts w:ascii="Times New Roman" w:hAnsi="Times New Roman"/>
          <w:color w:val="222222"/>
          <w:highlight w:val="white"/>
        </w:rPr>
        <w:t xml:space="preserve"> afirma que la violencia sexual contra las mujeres y niñas se usa como arma para hacer daño al enemigo, para marcar territorio o para infundir miedo en una comunidad. De esta forma se pretende informar a la comunidad internacional de los sucesos reales al respecto:</w:t>
      </w:r>
    </w:p>
    <w:p w14:paraId="32E51FEE" w14:textId="77777777" w:rsidR="00F94F52" w:rsidRDefault="00F94F52" w:rsidP="00F94F52">
      <w:pPr>
        <w:spacing w:line="276" w:lineRule="auto"/>
        <w:jc w:val="both"/>
        <w:rPr>
          <w:rFonts w:ascii="Times New Roman" w:hAnsi="Times New Roman"/>
          <w:b/>
          <w:color w:val="222222"/>
          <w:highlight w:val="white"/>
        </w:rPr>
      </w:pPr>
    </w:p>
    <w:p w14:paraId="4F28D01D" w14:textId="77777777" w:rsidR="00F94F52" w:rsidRPr="00C63773" w:rsidRDefault="00F94F52" w:rsidP="00F94F52">
      <w:pPr>
        <w:spacing w:line="276" w:lineRule="auto"/>
        <w:jc w:val="both"/>
        <w:rPr>
          <w:rFonts w:ascii="Times New Roman" w:hAnsi="Times New Roman"/>
          <w:i/>
          <w:color w:val="222222"/>
          <w:highlight w:val="white"/>
        </w:rPr>
      </w:pPr>
      <w:r w:rsidRPr="00C63773">
        <w:rPr>
          <w:rFonts w:ascii="Times New Roman" w:hAnsi="Times New Roman"/>
          <w:b/>
          <w:color w:val="222222"/>
          <w:highlight w:val="white"/>
        </w:rPr>
        <w:t>“</w:t>
      </w:r>
      <w:r w:rsidRPr="00C63773">
        <w:rPr>
          <w:rFonts w:ascii="Times New Roman" w:hAnsi="Times New Roman"/>
          <w:i/>
          <w:color w:val="222222"/>
          <w:highlight w:val="white"/>
        </w:rPr>
        <w:t xml:space="preserve">Una pelea entre dos mujeres jóvenes en una discoteca habría sido solo eso si Los Rastrojos (grupo paramilitar) no hubiese estado presente. Al día siguiente, como castigo Natalie (no es su nombre real) fue obligada por Los Rastrojos a barrer las calles. Cuando terminó, el comandante que venía a ver su trabajo llegó a caballo. El animal defecó, y Natalia recibió la orden de limpiar - ella se negó. El comandante entonces le arrancó la ropa y la obligó a comerse el estiércol. Más tarde, el comandante se enteró que alguien había informado a la Cruz Roja. Entonces, ordenó a la gente del pueblo a reunirse en la sala de deportes, tomó a Natalie por el pelo y le disparó en la cabeza. Luego anunció que ‘no debían informar a nadie de afuera y que todos sus teléfonos estaban intervenidos’. </w:t>
      </w:r>
    </w:p>
    <w:p w14:paraId="1B06C2F5" w14:textId="77777777" w:rsidR="00F94F52" w:rsidRDefault="00F94F52" w:rsidP="00F94F52">
      <w:pPr>
        <w:spacing w:line="276" w:lineRule="auto"/>
        <w:jc w:val="both"/>
        <w:rPr>
          <w:rFonts w:ascii="Times New Roman" w:hAnsi="Times New Roman"/>
          <w:b/>
          <w:i/>
          <w:color w:val="222222"/>
        </w:rPr>
      </w:pPr>
    </w:p>
    <w:p w14:paraId="6BC4CE5C" w14:textId="77777777" w:rsidR="00F94F52" w:rsidRPr="00C63773" w:rsidRDefault="00F94F52" w:rsidP="00F94F52">
      <w:pPr>
        <w:spacing w:line="276" w:lineRule="auto"/>
        <w:jc w:val="both"/>
        <w:rPr>
          <w:rFonts w:ascii="Times New Roman" w:hAnsi="Times New Roman"/>
          <w:i/>
          <w:color w:val="222222"/>
          <w:highlight w:val="white"/>
        </w:rPr>
      </w:pPr>
      <w:r w:rsidRPr="00C63773">
        <w:rPr>
          <w:rFonts w:ascii="Times New Roman" w:hAnsi="Times New Roman"/>
          <w:b/>
          <w:i/>
          <w:color w:val="222222"/>
        </w:rPr>
        <w:t>Caso real:</w:t>
      </w:r>
      <w:r w:rsidRPr="00C63773">
        <w:rPr>
          <w:rFonts w:ascii="Times New Roman" w:hAnsi="Times New Roman"/>
          <w:i/>
          <w:color w:val="222222"/>
        </w:rPr>
        <w:t xml:space="preserve"> Llegaron a la ciudad los paramilitares, congregaron a todos, pusieron música y empezaron a beber. Mataron unos pollos, violaron a algunas mujeres, dieron muerte a </w:t>
      </w:r>
      <w:r w:rsidRPr="00C63773">
        <w:rPr>
          <w:rFonts w:ascii="Times New Roman" w:hAnsi="Times New Roman"/>
          <w:i/>
          <w:color w:val="222222"/>
        </w:rPr>
        <w:lastRenderedPageBreak/>
        <w:t xml:space="preserve">unas cuantas personas y bailaron. Los paramilitares llevaban pasamontañas… Únicamente violaron a las jovencitas. La fiesta se prolongó cuatro días. Los cadáveres empezaron a pudrirse en las calles. Quemaron a algunos de </w:t>
      </w:r>
      <w:proofErr w:type="gramStart"/>
      <w:r w:rsidRPr="00C63773">
        <w:rPr>
          <w:rFonts w:ascii="Times New Roman" w:hAnsi="Times New Roman"/>
          <w:i/>
          <w:color w:val="222222"/>
        </w:rPr>
        <w:t>ellos ...</w:t>
      </w:r>
      <w:proofErr w:type="gramEnd"/>
      <w:r w:rsidRPr="00C63773">
        <w:rPr>
          <w:rFonts w:ascii="Times New Roman" w:hAnsi="Times New Roman"/>
          <w:i/>
          <w:color w:val="222222"/>
        </w:rPr>
        <w:t xml:space="preserve"> Oímos sobrevolar a un helicóptero, pero no pasó nada hasta el cuarto día. Los paramilitares se quitaron los pasamontañas y dijeron que había llegado el ejército... Creemos que el ejército estaba impidiendo la entrada al poblado mientras se producía la matanza.” Testimonio de una mujer de Pueblo Nuevo.</w:t>
      </w:r>
    </w:p>
    <w:p w14:paraId="6D71EE25" w14:textId="77777777" w:rsidR="00F94F52" w:rsidRDefault="00F94F52" w:rsidP="00F94F52">
      <w:pPr>
        <w:spacing w:line="276" w:lineRule="auto"/>
        <w:jc w:val="both"/>
        <w:rPr>
          <w:rFonts w:ascii="Times New Roman" w:hAnsi="Times New Roman"/>
          <w:color w:val="222222"/>
          <w:highlight w:val="white"/>
        </w:rPr>
      </w:pPr>
    </w:p>
    <w:p w14:paraId="782D99DA" w14:textId="77777777" w:rsidR="00F94F52" w:rsidRPr="00C63773" w:rsidRDefault="00F94F52" w:rsidP="00F94F52">
      <w:pPr>
        <w:spacing w:line="276" w:lineRule="auto"/>
        <w:jc w:val="both"/>
        <w:rPr>
          <w:rFonts w:ascii="Times New Roman" w:hAnsi="Times New Roman"/>
          <w:color w:val="222222"/>
          <w:highlight w:val="white"/>
        </w:rPr>
      </w:pPr>
      <w:r w:rsidRPr="00C63773">
        <w:rPr>
          <w:rFonts w:ascii="Times New Roman" w:hAnsi="Times New Roman"/>
          <w:color w:val="222222"/>
          <w:highlight w:val="white"/>
        </w:rPr>
        <w:t xml:space="preserve">Entre tanto que se acusa a los grupos armados ilegales de la comisión de estos delitos, se han conocido denuncias sobre la complicidad del ejército colombiano en la comisión de abusos y violencia sexual. La </w:t>
      </w:r>
      <w:r w:rsidRPr="00C63773">
        <w:rPr>
          <w:rFonts w:ascii="Times New Roman" w:hAnsi="Times New Roman"/>
          <w:i/>
          <w:color w:val="222222"/>
          <w:highlight w:val="white"/>
        </w:rPr>
        <w:t>Unidad Nacional de la Fiscalía General de la Oficina de Justicia y Paz</w:t>
      </w:r>
      <w:r w:rsidRPr="00C63773">
        <w:rPr>
          <w:rFonts w:ascii="Times New Roman" w:hAnsi="Times New Roman"/>
          <w:color w:val="222222"/>
          <w:highlight w:val="white"/>
        </w:rPr>
        <w:t xml:space="preserve"> ha recopilado 81 casos de brutalidad contra las mujeres por parte de grupos ilegales, incluyendo masacres. Se encontró que casi nunca se denunciaban estos casos a causa de la indiferencia de las autoridades, quienes en ocasiones no creían o no se documentaba la denuncia ni se tomaba ninguna medida al respecto. Las mujeres siempre estuvieron sin ninguna garantía ante el horror.</w:t>
      </w:r>
    </w:p>
    <w:p w14:paraId="46C9E3AC" w14:textId="77777777" w:rsidR="00F94F52" w:rsidRDefault="00F94F52" w:rsidP="00F94F52">
      <w:pPr>
        <w:spacing w:line="276" w:lineRule="auto"/>
        <w:jc w:val="both"/>
        <w:rPr>
          <w:rFonts w:ascii="Times New Roman" w:hAnsi="Times New Roman"/>
          <w:b/>
          <w:color w:val="222222"/>
          <w:highlight w:val="white"/>
        </w:rPr>
      </w:pPr>
    </w:p>
    <w:p w14:paraId="087438C2" w14:textId="77777777" w:rsidR="00F94F52" w:rsidRPr="00C63773" w:rsidRDefault="00F94F52" w:rsidP="00F94F52">
      <w:pPr>
        <w:spacing w:line="276" w:lineRule="auto"/>
        <w:jc w:val="both"/>
        <w:rPr>
          <w:rFonts w:ascii="Times New Roman" w:hAnsi="Times New Roman"/>
          <w:i/>
          <w:color w:val="222222"/>
          <w:highlight w:val="white"/>
        </w:rPr>
      </w:pPr>
      <w:r w:rsidRPr="00C63773">
        <w:rPr>
          <w:rFonts w:ascii="Times New Roman" w:hAnsi="Times New Roman"/>
          <w:b/>
          <w:color w:val="222222"/>
          <w:highlight w:val="white"/>
        </w:rPr>
        <w:t>Caso real</w:t>
      </w:r>
      <w:r w:rsidRPr="00C63773">
        <w:rPr>
          <w:rFonts w:ascii="Times New Roman" w:hAnsi="Times New Roman"/>
          <w:color w:val="222222"/>
          <w:highlight w:val="white"/>
        </w:rPr>
        <w:t xml:space="preserve">: </w:t>
      </w:r>
      <w:r w:rsidRPr="00C63773">
        <w:rPr>
          <w:rFonts w:ascii="Times New Roman" w:hAnsi="Times New Roman"/>
          <w:i/>
          <w:color w:val="222222"/>
          <w:highlight w:val="white"/>
        </w:rPr>
        <w:t>‘En julio de 2005, Yolanda (no es su nombre real) de 11 años, regresaba a su casa desde la escuela... cuando un soldado le dio el alto. El soldado acosaba a Yolanda desde hacía un tiempo para que tuviera relaciones sexuales con él. Cuando Yolanda se negó de nuevo, el soldado la agarró y se la llevó a donde estaba acampada su unidad militar, donde la violó y la mantuvo en cautividad hasta la mañana siguiente’</w:t>
      </w:r>
    </w:p>
    <w:p w14:paraId="4A301C6B" w14:textId="77777777" w:rsidR="00F94F52" w:rsidRDefault="00F94F52" w:rsidP="00F94F52">
      <w:pPr>
        <w:spacing w:line="276" w:lineRule="auto"/>
        <w:jc w:val="both"/>
        <w:rPr>
          <w:rFonts w:ascii="Times New Roman" w:hAnsi="Times New Roman"/>
          <w:color w:val="222222"/>
          <w:highlight w:val="white"/>
        </w:rPr>
      </w:pPr>
    </w:p>
    <w:p w14:paraId="6DB227FD" w14:textId="77777777" w:rsidR="00F94F52" w:rsidRPr="00C63773" w:rsidRDefault="00F94F52" w:rsidP="00F94F52">
      <w:pPr>
        <w:spacing w:line="276" w:lineRule="auto"/>
        <w:jc w:val="both"/>
        <w:rPr>
          <w:rFonts w:ascii="Times New Roman" w:hAnsi="Times New Roman"/>
          <w:color w:val="222222"/>
          <w:highlight w:val="white"/>
        </w:rPr>
      </w:pPr>
      <w:r w:rsidRPr="00C63773">
        <w:rPr>
          <w:rFonts w:ascii="Times New Roman" w:hAnsi="Times New Roman"/>
          <w:color w:val="222222"/>
          <w:highlight w:val="white"/>
        </w:rPr>
        <w:t>Según este informe, es importante tener en cuenta que el hecho de que un suceso ocurra no significa que este sea documentado. Así, los casos rastreados son solo los que han sido denunciados, no están incluidos aquellos que no tienen denuncia ante las autoridades. Este sub-registro sucede en regiones más alejadas y sin mucha presencia de las autoridades. En un periodo de cinco años, en 2008, con un número de violaciones sexuales a 5.583 niñas y 1.014 niños; en 2012, las cifras aumentaron vertiginosame</w:t>
      </w:r>
      <w:r>
        <w:rPr>
          <w:rFonts w:ascii="Times New Roman" w:hAnsi="Times New Roman"/>
          <w:color w:val="222222"/>
          <w:highlight w:val="white"/>
        </w:rPr>
        <w:t>nte, 10.818 niñas y 2.412 niños,</w:t>
      </w:r>
      <w:r w:rsidRPr="00C63773">
        <w:rPr>
          <w:rFonts w:ascii="Times New Roman" w:hAnsi="Times New Roman"/>
          <w:color w:val="222222"/>
          <w:highlight w:val="white"/>
        </w:rPr>
        <w:t xml:space="preserve"> los cuales ocurrieron principalmente en ciudades capitales, (ver hoja de anexos. Gráfica 1. Víctimas de la violencia sexual en Colombia en escenarios de conflicto armado) siendo la región de Antioquia la mayor afectada con 6.870 casos de violaciones, seguida de la región de Bogotá Distrito Capital con un número de 6.626 casos. (Ver hoja de anexos. Gráfica 2. Regiones con índices de casos)</w:t>
      </w:r>
    </w:p>
    <w:p w14:paraId="32BF1408" w14:textId="77777777" w:rsidR="00F94F52" w:rsidRDefault="00F94F52" w:rsidP="00F94F52">
      <w:pPr>
        <w:spacing w:line="276" w:lineRule="auto"/>
        <w:jc w:val="both"/>
        <w:rPr>
          <w:rFonts w:ascii="Times New Roman" w:hAnsi="Times New Roman"/>
          <w:color w:val="222222"/>
          <w:highlight w:val="white"/>
        </w:rPr>
      </w:pPr>
    </w:p>
    <w:p w14:paraId="66B519FB" w14:textId="21618C96" w:rsidR="00F94F52" w:rsidRPr="00C63773" w:rsidRDefault="00F94F52" w:rsidP="00F94F52">
      <w:pPr>
        <w:spacing w:line="276" w:lineRule="auto"/>
        <w:jc w:val="both"/>
        <w:rPr>
          <w:rFonts w:ascii="Times New Roman" w:hAnsi="Times New Roman"/>
          <w:color w:val="222222"/>
          <w:highlight w:val="white"/>
        </w:rPr>
      </w:pPr>
      <w:r w:rsidRPr="00C63773">
        <w:rPr>
          <w:rFonts w:ascii="Times New Roman" w:hAnsi="Times New Roman"/>
          <w:color w:val="222222"/>
          <w:highlight w:val="white"/>
        </w:rPr>
        <w:t>El alto índice de impunidad es un mensaje de condescendencia para los violentos. Tampoco se encuentran medidas de protección eficaces cuando la víctima tiene un alto grado de vulnerabilidad tras la denuncia. A la hora de la declaración hay demoras que hacen que la víctima pierda el interés en denunciar. Según este informe se habla de un intervalo de entre 80% y 87% de sub</w:t>
      </w:r>
      <w:r>
        <w:rPr>
          <w:rFonts w:ascii="Times New Roman" w:hAnsi="Times New Roman"/>
          <w:color w:val="222222"/>
          <w:highlight w:val="white"/>
        </w:rPr>
        <w:t>-</w:t>
      </w:r>
      <w:r w:rsidRPr="00C63773">
        <w:rPr>
          <w:rFonts w:ascii="Times New Roman" w:hAnsi="Times New Roman"/>
          <w:color w:val="222222"/>
          <w:highlight w:val="white"/>
        </w:rPr>
        <w:t>registro.</w:t>
      </w:r>
    </w:p>
    <w:p w14:paraId="4CB2A2CD" w14:textId="77777777" w:rsidR="00F94F52" w:rsidRPr="00C63773" w:rsidRDefault="00F94F52" w:rsidP="00F94F52">
      <w:pPr>
        <w:spacing w:line="276" w:lineRule="auto"/>
        <w:jc w:val="both"/>
        <w:rPr>
          <w:rFonts w:ascii="Times New Roman" w:hAnsi="Times New Roman"/>
          <w:color w:val="222222"/>
          <w:highlight w:val="white"/>
        </w:rPr>
      </w:pPr>
      <w:r w:rsidRPr="00C63773">
        <w:rPr>
          <w:rFonts w:ascii="Times New Roman" w:hAnsi="Times New Roman"/>
          <w:color w:val="222222"/>
          <w:highlight w:val="white"/>
        </w:rPr>
        <w:lastRenderedPageBreak/>
        <w:t>De los datos recopilados se desconoce la cifra de mujeres y niñas víctimas de violencia sexual de origen étnico o raizal, como también, se desconoce la cifra de las mujeres o niñas que presuntamente hayan retornado al país.</w:t>
      </w:r>
    </w:p>
    <w:p w14:paraId="6770449B" w14:textId="77777777" w:rsidR="00F94F52" w:rsidRDefault="00F94F52" w:rsidP="00F94F52">
      <w:pPr>
        <w:spacing w:line="276" w:lineRule="auto"/>
        <w:jc w:val="both"/>
        <w:rPr>
          <w:rFonts w:ascii="Times New Roman" w:hAnsi="Times New Roman"/>
          <w:color w:val="222222"/>
        </w:rPr>
      </w:pPr>
    </w:p>
    <w:p w14:paraId="7C1C6C88" w14:textId="77777777" w:rsidR="00F94F52" w:rsidRPr="00CC19BC" w:rsidRDefault="00F94F52" w:rsidP="00F94F52">
      <w:pPr>
        <w:spacing w:line="276" w:lineRule="auto"/>
        <w:jc w:val="both"/>
        <w:rPr>
          <w:rFonts w:ascii="Times New Roman" w:hAnsi="Times New Roman"/>
          <w:color w:val="222222"/>
        </w:rPr>
      </w:pPr>
      <w:r w:rsidRPr="00CC19BC">
        <w:rPr>
          <w:rFonts w:ascii="Times New Roman" w:hAnsi="Times New Roman"/>
          <w:color w:val="222222"/>
        </w:rPr>
        <w:t>Los siguientes son testimonios reales de mujeres que</w:t>
      </w:r>
      <w:r>
        <w:rPr>
          <w:rFonts w:ascii="Times New Roman" w:hAnsi="Times New Roman"/>
          <w:color w:val="222222"/>
        </w:rPr>
        <w:t>,</w:t>
      </w:r>
      <w:r w:rsidRPr="00CC19BC">
        <w:rPr>
          <w:rFonts w:ascii="Times New Roman" w:hAnsi="Times New Roman"/>
          <w:color w:val="222222"/>
        </w:rPr>
        <w:t xml:space="preserve"> en algún momento de su vida, por diferentes motivos, dejaron su país natal para buscar nuevas oportunidades en el exterior. Aquí presentamos un resumen de lo que fue su experiencia al estar lejos de los suyos y de su regreso a su país de origen. Los nombres usados son seudónimos para proteger la identida</w:t>
      </w:r>
      <w:r>
        <w:rPr>
          <w:rFonts w:ascii="Times New Roman" w:hAnsi="Times New Roman"/>
          <w:color w:val="222222"/>
        </w:rPr>
        <w:t>d de las mujeres entrevistadas.</w:t>
      </w:r>
    </w:p>
    <w:p w14:paraId="5904D602" w14:textId="77777777" w:rsidR="00F94F52" w:rsidRDefault="00F94F52" w:rsidP="00F94F52">
      <w:pPr>
        <w:spacing w:line="276" w:lineRule="auto"/>
        <w:jc w:val="both"/>
        <w:rPr>
          <w:rFonts w:ascii="Times New Roman" w:hAnsi="Times New Roman"/>
          <w:i/>
          <w:color w:val="222222"/>
        </w:rPr>
      </w:pPr>
    </w:p>
    <w:p w14:paraId="697CAA58" w14:textId="77777777" w:rsidR="00F94F52" w:rsidRPr="00CC19BC" w:rsidRDefault="00F94F52" w:rsidP="00F94F52">
      <w:pPr>
        <w:spacing w:line="276" w:lineRule="auto"/>
        <w:jc w:val="both"/>
        <w:rPr>
          <w:rFonts w:ascii="Times New Roman" w:hAnsi="Times New Roman"/>
          <w:i/>
          <w:color w:val="222222"/>
        </w:rPr>
      </w:pPr>
      <w:r w:rsidRPr="00CC19BC">
        <w:rPr>
          <w:rFonts w:ascii="Times New Roman" w:hAnsi="Times New Roman"/>
          <w:i/>
          <w:color w:val="222222"/>
        </w:rPr>
        <w:t>Testimonio 1</w:t>
      </w:r>
    </w:p>
    <w:p w14:paraId="6E9FE56E" w14:textId="77777777" w:rsidR="00F94F52" w:rsidRPr="00CC19BC" w:rsidRDefault="00F94F52" w:rsidP="00F94F52">
      <w:pPr>
        <w:spacing w:line="276" w:lineRule="auto"/>
        <w:jc w:val="both"/>
        <w:rPr>
          <w:rFonts w:ascii="Times New Roman" w:hAnsi="Times New Roman"/>
          <w:i/>
          <w:color w:val="222222"/>
        </w:rPr>
      </w:pPr>
      <w:r w:rsidRPr="00CC19BC">
        <w:rPr>
          <w:rFonts w:ascii="Times New Roman" w:hAnsi="Times New Roman"/>
          <w:i/>
          <w:color w:val="222222"/>
        </w:rPr>
        <w:t xml:space="preserve">En Colombia, Rita tenía un buen cargo en una cooperativa de ahorro, en la cual presentaba muy buen desempeño y podía ejercer su profesión sin problema. Sin embargo, por razones ajenas a Rita, esta cooperativa cayó en quiebra, lo que llevó al cierre de sus oficinas, dejando a muchos clientes inconformes por la pérdida del dinero que estos habían guardado allí. Rita, sin culpa de lo que pasó en la cooperativa donde era empleada, comenzó a sufrir amenazas y persecución. Perseguida y asustada a causa de las constantes llamadas de amenaza que recibía hacia ella y su familia, decidió salir del país. En 1999 llegó a Estados Unidos, donde estuvo por cerca de 8 años trabajando como mesera. Posteriormente viajó a Canadá, con la esperanza de solicitar refugio, ya que volver a Colombia representaba un riesgo para ella, a causa de la persecución y amenazas sufridas años atrás. Una vez en Canadá, realizó el respectivo trámite como solicitante de asilo. Rita tuvo que esperar cinco años para recibir respuesta de los oficiales de migración, y saber si su petición era aceptada o no. Allí en ese país tuvo que empezar desde cero, ya que, al mudarse desde los Estados Unidos, tuvo que dejar todas sus pertenencias que había adquirido durante los años que estuvo en ese país. Mientras esperaba su respuesta, Rita trabajó como operaria en un centro de recepción de alimentos, lugar en el cual sufrió un accidente laboral, que perjudicó una de sus rodillas. A raíz de su accidente, su empleador tuvo que crear un cargo especialmente para ella, ya que no podía ejecutar las mismas actividades que desempeñaba antes de sufrir el accidente. Desde ese momento Rita comenzó a sufrir persecución y </w:t>
      </w:r>
      <w:proofErr w:type="spellStart"/>
      <w:r w:rsidRPr="00CC19BC">
        <w:rPr>
          <w:rFonts w:ascii="Times New Roman" w:hAnsi="Times New Roman"/>
          <w:i/>
          <w:color w:val="222222"/>
        </w:rPr>
        <w:t>bullying</w:t>
      </w:r>
      <w:proofErr w:type="spellEnd"/>
      <w:r w:rsidRPr="00CC19BC">
        <w:rPr>
          <w:rFonts w:ascii="Times New Roman" w:hAnsi="Times New Roman"/>
          <w:i/>
          <w:color w:val="222222"/>
        </w:rPr>
        <w:t xml:space="preserve"> en su trabajo, hasta que finalmente, cansada de la situación, decidió renunciar. Tiempo después recibió la respuesta a su petición de refugio: su deportación fue notificada de una manera en que Rita no pudiera apelar, donde los oficiales argumentaban que su vida no corría peligro en Colombia y por ende la respuesta a su aplicación fue negativa. Al regresar a Colombia, tuvo que dejar nuevamente todas sus pertenencias adquiridas durante los cinco años que estuvo en Canadá, así Rita volvió a su país, con solo dos maletas de 40 libras que contaban su historia de más de 12 años de exilio, y con expectativas que difícilmente pudo cumplir por su edad y por la falta de dinero, lo que la dejó sin oportunidades ni garantías para comenzar de nuevo.</w:t>
      </w:r>
    </w:p>
    <w:p w14:paraId="0731A9A5" w14:textId="77777777" w:rsidR="00F94F52" w:rsidRPr="00CC19BC" w:rsidRDefault="00F94F52" w:rsidP="00F94F52">
      <w:pPr>
        <w:spacing w:line="276" w:lineRule="auto"/>
        <w:jc w:val="both"/>
        <w:rPr>
          <w:rFonts w:ascii="Times New Roman" w:hAnsi="Times New Roman"/>
          <w:i/>
          <w:color w:val="222222"/>
        </w:rPr>
      </w:pPr>
    </w:p>
    <w:p w14:paraId="6E1613FD" w14:textId="77777777" w:rsidR="00F94F52" w:rsidRPr="00CC19BC" w:rsidRDefault="00F94F52" w:rsidP="00F94F52">
      <w:pPr>
        <w:spacing w:line="276" w:lineRule="auto"/>
        <w:jc w:val="both"/>
        <w:rPr>
          <w:rFonts w:ascii="Times New Roman" w:hAnsi="Times New Roman"/>
          <w:i/>
          <w:color w:val="222222"/>
        </w:rPr>
      </w:pPr>
      <w:r w:rsidRPr="00CC19BC">
        <w:rPr>
          <w:rFonts w:ascii="Times New Roman" w:hAnsi="Times New Roman"/>
          <w:i/>
          <w:color w:val="222222"/>
        </w:rPr>
        <w:t>Testimonio 2</w:t>
      </w:r>
    </w:p>
    <w:p w14:paraId="6009B3E4" w14:textId="77777777" w:rsidR="00F94F52" w:rsidRPr="00E15FBD" w:rsidRDefault="00F94F52" w:rsidP="00F94F52">
      <w:pPr>
        <w:spacing w:line="276" w:lineRule="auto"/>
        <w:jc w:val="both"/>
        <w:rPr>
          <w:rFonts w:ascii="Times New Roman" w:hAnsi="Times New Roman"/>
          <w:i/>
          <w:color w:val="222222"/>
          <w:highlight w:val="white"/>
        </w:rPr>
      </w:pPr>
      <w:r w:rsidRPr="00CC19BC">
        <w:rPr>
          <w:rFonts w:ascii="Times New Roman" w:hAnsi="Times New Roman"/>
          <w:i/>
          <w:color w:val="222222"/>
        </w:rPr>
        <w:lastRenderedPageBreak/>
        <w:t>Alexandra es una colombiana que viajó a Estados Unidos en busca de mejores oportunidades laborales. Una vez instalada en Nueva York, consiguió empleo como niñera, labor que desempeñó durante los 18 años que vivió en ese país. Al regresar a su país natal, Alexandra lamenta el nunca haber tenido información oportuna sobre cómo cotizar una pensión para su regreso a Colombia, ya que nunca recibió orientación por parte de la embajada colombiana sobre cómo optimizar su estadía en el exterior y tener mejores posibilidades al regresar a su país natal. En los años en que Alexandra vivió y trabajó en USA, constantemente enviaba a su familia en Colombia lo que ganaba allá, generando remesas en beneficio del estado colombiano. Al regresar a su país, Alexandra no contó con ningún tipo de acompañamiento como retornada, lo que le deja la sensación de que el retorno a su país después de tantos años de trabajo pudo haber contado con más garantías por parte del estado.</w:t>
      </w:r>
    </w:p>
    <w:p w14:paraId="6F4709B7" w14:textId="77777777" w:rsidR="00F94F52" w:rsidRPr="00C63773" w:rsidRDefault="00F94F52" w:rsidP="00F94F52">
      <w:pPr>
        <w:spacing w:line="276" w:lineRule="auto"/>
        <w:jc w:val="both"/>
        <w:rPr>
          <w:rFonts w:ascii="Times New Roman" w:hAnsi="Times New Roman"/>
          <w:color w:val="222222"/>
          <w:highlight w:val="white"/>
        </w:rPr>
      </w:pPr>
    </w:p>
    <w:p w14:paraId="134CB429" w14:textId="77777777" w:rsidR="00F94F52" w:rsidRPr="00C63773" w:rsidRDefault="00F94F52" w:rsidP="00F94F52">
      <w:pPr>
        <w:spacing w:line="276" w:lineRule="auto"/>
        <w:jc w:val="both"/>
        <w:rPr>
          <w:rFonts w:ascii="Times New Roman" w:hAnsi="Times New Roman"/>
          <w:color w:val="222222"/>
        </w:rPr>
      </w:pPr>
      <w:r w:rsidRPr="00C63773">
        <w:rPr>
          <w:rFonts w:ascii="Times New Roman" w:hAnsi="Times New Roman"/>
          <w:color w:val="222222"/>
        </w:rPr>
        <w:t>Dando continuidad a la segunda materia propuesta para este análisis, en virtud del artículo 11 del PIDESC, la Protección de un nivel de vida adecuado; la situación actual de la población colombiana nos lleva a hacer mención sobre el particular. La búsqueda de una mejora continua de las condiciones de existencia a través de la disminución de la pobreza, el derecho a la alimentación, el derecho al agua, y el derecho a una vivienda adecuada, dependerá, en gran medida de las condiciones socioeconómicas de los ciudadanos, y de igual manera del migrante retornado y su grupo familiar. Es por esto que es esencial conocer la situación del desarrollo social y económico de las mujeres migrantes a su retorno.</w:t>
      </w:r>
    </w:p>
    <w:p w14:paraId="2992F38E" w14:textId="77777777" w:rsidR="00F94F52" w:rsidRDefault="00F94F52" w:rsidP="00F94F52">
      <w:pPr>
        <w:spacing w:line="276" w:lineRule="auto"/>
        <w:jc w:val="both"/>
        <w:rPr>
          <w:rFonts w:ascii="Times New Roman" w:hAnsi="Times New Roman"/>
          <w:color w:val="222222"/>
        </w:rPr>
      </w:pPr>
    </w:p>
    <w:p w14:paraId="00A833FC" w14:textId="77777777" w:rsidR="00F94F52" w:rsidRPr="00C63773" w:rsidRDefault="00F94F52" w:rsidP="00F94F52">
      <w:pPr>
        <w:spacing w:line="276" w:lineRule="auto"/>
        <w:jc w:val="both"/>
        <w:rPr>
          <w:rFonts w:ascii="Times New Roman" w:hAnsi="Times New Roman"/>
          <w:color w:val="222222"/>
        </w:rPr>
      </w:pPr>
      <w:r w:rsidRPr="00C63773">
        <w:rPr>
          <w:rFonts w:ascii="Times New Roman" w:hAnsi="Times New Roman"/>
          <w:color w:val="222222"/>
        </w:rPr>
        <w:t>En primer lugar, las características de los retornados y en particular, su nivel de educación afecta la posibilidad de retornar, así como su contribución al país luego de regresar. Los diferentes programas que promueven y facilitan la educación superior en el exterior</w:t>
      </w:r>
      <w:r w:rsidRPr="00C63773">
        <w:rPr>
          <w:rStyle w:val="Refdenotaalpie"/>
          <w:rFonts w:ascii="Times New Roman" w:hAnsi="Times New Roman"/>
          <w:color w:val="222222"/>
        </w:rPr>
        <w:footnoteReference w:id="7"/>
      </w:r>
      <w:r w:rsidRPr="00C63773">
        <w:rPr>
          <w:rFonts w:ascii="Times New Roman" w:hAnsi="Times New Roman"/>
          <w:color w:val="222222"/>
        </w:rPr>
        <w:t>, forman un grupo de migrantes, hombres y mujeres, con educación de alta calidad, mayor experiencia e innovación que regresan al país no sólo con un título académico internacional sino, con aspiraciones laborales que satisfagan sus expectativas de desarrollo profesional o, en algunos casos, incentiven la creación de empresa. Siguiendo este contexto,</w:t>
      </w:r>
      <w:r w:rsidRPr="00C63773">
        <w:rPr>
          <w:rFonts w:ascii="Times New Roman" w:hAnsi="Times New Roman"/>
        </w:rPr>
        <w:t xml:space="preserve"> la promoción</w:t>
      </w:r>
      <w:r w:rsidRPr="00C63773">
        <w:rPr>
          <w:rFonts w:ascii="Times New Roman" w:hAnsi="Times New Roman"/>
          <w:color w:val="222222"/>
        </w:rPr>
        <w:t xml:space="preserve"> de un empleo constructivo es indispensable en la reducción de pobreza. En la actualidad las mujeres migrantes retornadas no cuentan con un programa robusto que les brinde asesoría y direccionamiento en su proceso de incorporación al trabajo; será necesario entonces, favorecer la contratación de mujeres, especialmente cabeza de hogar, jóvenes y migrantes retornados, con especial atención a aquellas que cumplen con todas las características ya mencionadas. </w:t>
      </w:r>
    </w:p>
    <w:p w14:paraId="0596467D" w14:textId="77777777" w:rsidR="00F94F52" w:rsidRDefault="00F94F52" w:rsidP="00F94F52">
      <w:pPr>
        <w:spacing w:line="276" w:lineRule="auto"/>
        <w:jc w:val="both"/>
        <w:rPr>
          <w:rFonts w:ascii="Times New Roman" w:hAnsi="Times New Roman"/>
          <w:color w:val="222222"/>
        </w:rPr>
      </w:pPr>
    </w:p>
    <w:p w14:paraId="4FDEE8AB" w14:textId="77777777" w:rsidR="00F94F52" w:rsidRPr="00C63773" w:rsidRDefault="00F94F52" w:rsidP="00F94F52">
      <w:pPr>
        <w:spacing w:line="276" w:lineRule="auto"/>
        <w:jc w:val="both"/>
        <w:rPr>
          <w:rFonts w:ascii="Times New Roman" w:hAnsi="Times New Roman"/>
          <w:color w:val="222222"/>
        </w:rPr>
      </w:pPr>
      <w:r w:rsidRPr="00C63773">
        <w:rPr>
          <w:rFonts w:ascii="Times New Roman" w:hAnsi="Times New Roman"/>
          <w:color w:val="222222"/>
        </w:rPr>
        <w:t xml:space="preserve">Según </w:t>
      </w:r>
      <w:r w:rsidRPr="00C63773">
        <w:rPr>
          <w:rFonts w:ascii="Times New Roman" w:hAnsi="Times New Roman"/>
          <w:i/>
          <w:color w:val="222222"/>
        </w:rPr>
        <w:t xml:space="preserve">IZA </w:t>
      </w:r>
      <w:proofErr w:type="spellStart"/>
      <w:r w:rsidRPr="00C63773">
        <w:rPr>
          <w:rFonts w:ascii="Times New Roman" w:hAnsi="Times New Roman"/>
          <w:i/>
          <w:color w:val="222222"/>
        </w:rPr>
        <w:t>World</w:t>
      </w:r>
      <w:proofErr w:type="spellEnd"/>
      <w:r w:rsidRPr="00C63773">
        <w:rPr>
          <w:rFonts w:ascii="Times New Roman" w:hAnsi="Times New Roman"/>
          <w:i/>
          <w:color w:val="222222"/>
        </w:rPr>
        <w:t xml:space="preserve"> of Labor,</w:t>
      </w:r>
      <w:r w:rsidRPr="00C63773">
        <w:rPr>
          <w:rFonts w:ascii="Times New Roman" w:hAnsi="Times New Roman"/>
          <w:color w:val="222222"/>
        </w:rPr>
        <w:t xml:space="preserve"> cuando un migrante retornado no logra reintegrarse en el mercado laboral de su país luego de un periodo de ausencia, o si retorna con habilidades </w:t>
      </w:r>
      <w:r w:rsidRPr="00C63773">
        <w:rPr>
          <w:rFonts w:ascii="Times New Roman" w:hAnsi="Times New Roman"/>
          <w:color w:val="222222"/>
        </w:rPr>
        <w:lastRenderedPageBreak/>
        <w:t xml:space="preserve">que no cumplen los requerimientos del mercado laboral local, esto podría conllevar a un </w:t>
      </w:r>
      <w:r w:rsidRPr="00C63773">
        <w:rPr>
          <w:rFonts w:ascii="Times New Roman" w:hAnsi="Times New Roman"/>
          <w:i/>
          <w:color w:val="222222"/>
        </w:rPr>
        <w:t>“</w:t>
      </w:r>
      <w:proofErr w:type="spellStart"/>
      <w:r w:rsidRPr="00C63773">
        <w:rPr>
          <w:rFonts w:ascii="Times New Roman" w:hAnsi="Times New Roman"/>
          <w:i/>
          <w:color w:val="222222"/>
        </w:rPr>
        <w:t>brain</w:t>
      </w:r>
      <w:proofErr w:type="spellEnd"/>
      <w:r w:rsidRPr="00C63773">
        <w:rPr>
          <w:rFonts w:ascii="Times New Roman" w:hAnsi="Times New Roman"/>
          <w:i/>
          <w:color w:val="222222"/>
        </w:rPr>
        <w:t xml:space="preserve"> </w:t>
      </w:r>
      <w:proofErr w:type="spellStart"/>
      <w:r w:rsidRPr="00C63773">
        <w:rPr>
          <w:rFonts w:ascii="Times New Roman" w:hAnsi="Times New Roman"/>
          <w:i/>
          <w:color w:val="222222"/>
        </w:rPr>
        <w:t>waste</w:t>
      </w:r>
      <w:proofErr w:type="spellEnd"/>
      <w:r w:rsidRPr="00C63773">
        <w:rPr>
          <w:rFonts w:ascii="Times New Roman" w:hAnsi="Times New Roman"/>
          <w:i/>
          <w:color w:val="222222"/>
        </w:rPr>
        <w:t>”</w:t>
      </w:r>
      <w:r w:rsidRPr="00C63773">
        <w:rPr>
          <w:rFonts w:ascii="Times New Roman" w:hAnsi="Times New Roman"/>
          <w:color w:val="222222"/>
        </w:rPr>
        <w:t xml:space="preserve"> en lugar de </w:t>
      </w:r>
      <w:r w:rsidRPr="00C63773">
        <w:rPr>
          <w:rFonts w:ascii="Times New Roman" w:hAnsi="Times New Roman"/>
          <w:i/>
          <w:color w:val="222222"/>
        </w:rPr>
        <w:t>“</w:t>
      </w:r>
      <w:proofErr w:type="spellStart"/>
      <w:r w:rsidRPr="00C63773">
        <w:rPr>
          <w:rFonts w:ascii="Times New Roman" w:hAnsi="Times New Roman"/>
          <w:i/>
          <w:color w:val="222222"/>
        </w:rPr>
        <w:t>brain</w:t>
      </w:r>
      <w:proofErr w:type="spellEnd"/>
      <w:r w:rsidRPr="00C63773">
        <w:rPr>
          <w:rFonts w:ascii="Times New Roman" w:hAnsi="Times New Roman"/>
          <w:i/>
          <w:color w:val="222222"/>
        </w:rPr>
        <w:t xml:space="preserve"> </w:t>
      </w:r>
      <w:proofErr w:type="spellStart"/>
      <w:r w:rsidRPr="00C63773">
        <w:rPr>
          <w:rFonts w:ascii="Times New Roman" w:hAnsi="Times New Roman"/>
          <w:i/>
          <w:color w:val="222222"/>
        </w:rPr>
        <w:t>gain</w:t>
      </w:r>
      <w:proofErr w:type="spellEnd"/>
      <w:r w:rsidRPr="00C63773">
        <w:rPr>
          <w:rFonts w:ascii="Times New Roman" w:hAnsi="Times New Roman"/>
          <w:color w:val="222222"/>
        </w:rPr>
        <w:t>”</w:t>
      </w:r>
      <w:r w:rsidRPr="00C63773">
        <w:rPr>
          <w:rStyle w:val="Refdenotaalpie"/>
          <w:rFonts w:ascii="Times New Roman" w:hAnsi="Times New Roman"/>
          <w:color w:val="222222"/>
        </w:rPr>
        <w:footnoteReference w:id="8"/>
      </w:r>
      <w:r w:rsidRPr="00C63773">
        <w:rPr>
          <w:rFonts w:ascii="Times New Roman" w:hAnsi="Times New Roman"/>
          <w:color w:val="222222"/>
        </w:rPr>
        <w:t>. Por su parte, el gobierno del Ecuador ha iniciado con reconocer y buscar las condiciones necesarias para la reinserción laboral y productiva de la población migrante que retorna al país. Dos de los ejes que reconocen son: i) Identificar potencialidades productivas en las localidades de origen, y apoyar con crédito y asesoría técnica a las iniciativas de los jóvenes migrantes en esas líneas de producción. ii) Impulsar bolsas de empleo para la reinserción laboral, valorizando los aprendizajes y el entrenamiento adquiridos en el exterior</w:t>
      </w:r>
      <w:r w:rsidRPr="00C63773">
        <w:rPr>
          <w:rStyle w:val="Refdenotaalpie"/>
          <w:rFonts w:ascii="Times New Roman" w:hAnsi="Times New Roman"/>
          <w:color w:val="222222"/>
        </w:rPr>
        <w:footnoteReference w:id="9"/>
      </w:r>
      <w:r w:rsidRPr="00C63773">
        <w:rPr>
          <w:rFonts w:ascii="Times New Roman" w:hAnsi="Times New Roman"/>
          <w:color w:val="222222"/>
        </w:rPr>
        <w:t xml:space="preserve">. </w:t>
      </w:r>
    </w:p>
    <w:p w14:paraId="711AC9DA" w14:textId="77777777" w:rsidR="00F94F52" w:rsidRDefault="00F94F52" w:rsidP="00F94F52">
      <w:pPr>
        <w:spacing w:line="276" w:lineRule="auto"/>
        <w:jc w:val="both"/>
        <w:rPr>
          <w:rFonts w:ascii="Times New Roman" w:hAnsi="Times New Roman"/>
          <w:color w:val="222222"/>
        </w:rPr>
      </w:pPr>
    </w:p>
    <w:p w14:paraId="3590C2B6" w14:textId="77777777" w:rsidR="00F94F52" w:rsidRPr="00C63773" w:rsidRDefault="00F94F52" w:rsidP="00F94F52">
      <w:pPr>
        <w:spacing w:line="276" w:lineRule="auto"/>
        <w:jc w:val="both"/>
        <w:rPr>
          <w:rFonts w:ascii="Times New Roman" w:hAnsi="Times New Roman"/>
          <w:color w:val="222222"/>
        </w:rPr>
      </w:pPr>
      <w:r w:rsidRPr="00C63773">
        <w:rPr>
          <w:rFonts w:ascii="Times New Roman" w:hAnsi="Times New Roman"/>
          <w:color w:val="222222"/>
        </w:rPr>
        <w:t xml:space="preserve">Los migrantes que deciden retornar no son solamente aquellos afectados por el desempleo producto de la crisis económica que impacta el país de acogida. Según IZA </w:t>
      </w:r>
      <w:proofErr w:type="spellStart"/>
      <w:r w:rsidRPr="00C63773">
        <w:rPr>
          <w:rFonts w:ascii="Times New Roman" w:hAnsi="Times New Roman"/>
          <w:color w:val="222222"/>
        </w:rPr>
        <w:t>World</w:t>
      </w:r>
      <w:proofErr w:type="spellEnd"/>
      <w:r w:rsidRPr="00C63773">
        <w:rPr>
          <w:rFonts w:ascii="Times New Roman" w:hAnsi="Times New Roman"/>
          <w:color w:val="222222"/>
        </w:rPr>
        <w:t xml:space="preserve"> of Labor el retorno también es influenciado por el éxito de los inmigrantes en el país receptor. Aquellos inmigrantes exitosos son propensos a un temprano retorno en razón a que han logrado sus metas de ahorro</w:t>
      </w:r>
      <w:r w:rsidRPr="00C63773">
        <w:rPr>
          <w:rStyle w:val="Refdenotaalpie"/>
          <w:rFonts w:ascii="Times New Roman" w:hAnsi="Times New Roman"/>
          <w:color w:val="222222"/>
        </w:rPr>
        <w:footnoteReference w:id="10"/>
      </w:r>
      <w:r w:rsidRPr="00C63773">
        <w:rPr>
          <w:rFonts w:ascii="Times New Roman" w:hAnsi="Times New Roman"/>
          <w:color w:val="222222"/>
        </w:rPr>
        <w:t>.</w:t>
      </w:r>
    </w:p>
    <w:p w14:paraId="2BBEA2FD" w14:textId="77777777" w:rsidR="00F94F52" w:rsidRDefault="00F94F52" w:rsidP="00F94F52">
      <w:pPr>
        <w:spacing w:line="276" w:lineRule="auto"/>
        <w:jc w:val="both"/>
        <w:rPr>
          <w:rFonts w:ascii="Times New Roman" w:hAnsi="Times New Roman"/>
          <w:color w:val="222222"/>
        </w:rPr>
      </w:pPr>
    </w:p>
    <w:p w14:paraId="0D8A9637" w14:textId="77777777" w:rsidR="00F94F52" w:rsidRPr="00C63773" w:rsidRDefault="00F94F52" w:rsidP="00F94F52">
      <w:pPr>
        <w:spacing w:line="276" w:lineRule="auto"/>
        <w:jc w:val="both"/>
        <w:rPr>
          <w:rFonts w:ascii="Times New Roman" w:hAnsi="Times New Roman"/>
          <w:color w:val="222222"/>
        </w:rPr>
      </w:pPr>
      <w:r w:rsidRPr="001A763E">
        <w:rPr>
          <w:rFonts w:ascii="Times New Roman" w:hAnsi="Times New Roman"/>
          <w:color w:val="222222"/>
        </w:rPr>
        <w:t>En segundo lugar, vivir en situación de pobreza condiciona la calidad del derecho a una alimentación adecuada, al agua y a un óptimo nivel de vida en general.  Es importante señalar que los planes para la disminución de la pobreza tendrán que reconocer el potencial que tienen las mujeres retornadas dentro de la economía del país, y por su contrario, el impacto negativo que tiene la inequidad de género dentro de las causas que generan la pobreza.</w:t>
      </w:r>
      <w:r w:rsidRPr="00C63773">
        <w:rPr>
          <w:rFonts w:ascii="Times New Roman" w:hAnsi="Times New Roman"/>
          <w:color w:val="222222"/>
        </w:rPr>
        <w:t xml:space="preserve"> </w:t>
      </w:r>
    </w:p>
    <w:p w14:paraId="4B7F81E0" w14:textId="77777777" w:rsidR="00F94F52" w:rsidRDefault="00F94F52" w:rsidP="00F94F52">
      <w:pPr>
        <w:spacing w:line="276" w:lineRule="auto"/>
        <w:jc w:val="both"/>
        <w:rPr>
          <w:rFonts w:ascii="Times New Roman" w:hAnsi="Times New Roman"/>
          <w:color w:val="222222"/>
        </w:rPr>
      </w:pPr>
    </w:p>
    <w:p w14:paraId="18B16425" w14:textId="77777777" w:rsidR="00F94F52" w:rsidRPr="00C63773" w:rsidRDefault="00F94F52" w:rsidP="00F94F52">
      <w:pPr>
        <w:spacing w:line="276" w:lineRule="auto"/>
        <w:jc w:val="both"/>
        <w:rPr>
          <w:rFonts w:ascii="Times New Roman" w:hAnsi="Times New Roman"/>
          <w:color w:val="222222"/>
        </w:rPr>
      </w:pPr>
      <w:r w:rsidRPr="001A763E">
        <w:rPr>
          <w:rFonts w:ascii="Times New Roman" w:hAnsi="Times New Roman"/>
          <w:color w:val="222222"/>
        </w:rPr>
        <w:t xml:space="preserve">Los programas de reintegración social y económica deben contar con una orientación en perspectiva de género, dado que durante el proceso de migración hay ciertos cambios relacionados con la construcción de género y la identidad que deben ser considerados. De acuerdo con la organización </w:t>
      </w:r>
      <w:r w:rsidRPr="001A763E">
        <w:rPr>
          <w:rFonts w:ascii="Times New Roman" w:hAnsi="Times New Roman"/>
          <w:i/>
          <w:color w:val="222222"/>
        </w:rPr>
        <w:t xml:space="preserve">Caritas </w:t>
      </w:r>
      <w:proofErr w:type="spellStart"/>
      <w:r w:rsidRPr="001A763E">
        <w:rPr>
          <w:rFonts w:ascii="Times New Roman" w:hAnsi="Times New Roman"/>
          <w:i/>
          <w:color w:val="222222"/>
        </w:rPr>
        <w:t>Internationalis</w:t>
      </w:r>
      <w:proofErr w:type="spellEnd"/>
      <w:r w:rsidRPr="001A763E">
        <w:rPr>
          <w:rStyle w:val="Refdenotaalpie"/>
          <w:rFonts w:ascii="Times New Roman" w:hAnsi="Times New Roman"/>
          <w:i/>
          <w:color w:val="222222"/>
        </w:rPr>
        <w:footnoteReference w:id="11"/>
      </w:r>
      <w:r w:rsidRPr="001A763E">
        <w:rPr>
          <w:rFonts w:ascii="Times New Roman" w:hAnsi="Times New Roman"/>
          <w:color w:val="222222"/>
        </w:rPr>
        <w:t>, las mujeres que retornan con frecuencia lamentan la pérdida de sus ventajas de igualdad</w:t>
      </w:r>
      <w:r>
        <w:rPr>
          <w:rFonts w:ascii="Times New Roman" w:hAnsi="Times New Roman"/>
          <w:color w:val="222222"/>
        </w:rPr>
        <w:t xml:space="preserve"> propias de los países de acogida</w:t>
      </w:r>
      <w:r w:rsidRPr="001A763E">
        <w:rPr>
          <w:rFonts w:ascii="Times New Roman" w:hAnsi="Times New Roman"/>
          <w:color w:val="222222"/>
        </w:rPr>
        <w:t>, asunto que se evidencia en una mayor dependencia hacia los hombres miembros de la familia, o en el menor acceso al empleo. Por último, la inclusión de mujeres migrantes en los planes nacionales de reducción de pobreza considera integrarlas en programas para garantizar la reinserción social y económica, acceso a un nivel de vida adecuado, al trabajo y a la educación.</w:t>
      </w:r>
    </w:p>
    <w:p w14:paraId="685BA0B4" w14:textId="77777777" w:rsidR="00F94F52" w:rsidRDefault="00F94F52" w:rsidP="00F94F52">
      <w:pPr>
        <w:spacing w:after="200" w:line="276" w:lineRule="auto"/>
        <w:jc w:val="both"/>
        <w:rPr>
          <w:rFonts w:ascii="Times New Roman" w:hAnsi="Times New Roman"/>
          <w:b/>
        </w:rPr>
      </w:pPr>
    </w:p>
    <w:p w14:paraId="1E30FB40" w14:textId="77777777" w:rsidR="00F94F52" w:rsidRDefault="00F94F52" w:rsidP="00F94F52">
      <w:pPr>
        <w:spacing w:after="200" w:line="276" w:lineRule="auto"/>
        <w:jc w:val="both"/>
        <w:rPr>
          <w:rFonts w:ascii="Times New Roman" w:hAnsi="Times New Roman"/>
          <w:b/>
        </w:rPr>
      </w:pPr>
      <w:r>
        <w:rPr>
          <w:rFonts w:ascii="Times New Roman" w:hAnsi="Times New Roman"/>
          <w:b/>
        </w:rPr>
        <w:lastRenderedPageBreak/>
        <w:t>Medidas de Atención y Reparación para las Víctimas</w:t>
      </w:r>
    </w:p>
    <w:p w14:paraId="58238244" w14:textId="77777777" w:rsidR="00F94F52" w:rsidRDefault="00F94F52" w:rsidP="00F94F52">
      <w:pPr>
        <w:spacing w:after="200" w:line="276" w:lineRule="auto"/>
        <w:jc w:val="both"/>
        <w:rPr>
          <w:rFonts w:ascii="Times New Roman" w:hAnsi="Times New Roman"/>
        </w:rPr>
      </w:pPr>
      <w:r>
        <w:rPr>
          <w:rFonts w:ascii="Times New Roman" w:hAnsi="Times New Roman"/>
        </w:rPr>
        <w:t xml:space="preserve">Colombia reconoció por primera vez el conflicto armado interno por medio de la Ley 1448 de 2011, la cual reconocía la responsabilidad del Estado para reparar y garantizar los derechos a la verdad y garantías de no repetición. Desde 2011 hasta hoy (2017) se han reconocido </w:t>
      </w:r>
      <w:r w:rsidRPr="00553F49">
        <w:rPr>
          <w:rFonts w:ascii="Times New Roman" w:hAnsi="Times New Roman"/>
        </w:rPr>
        <w:t>9.842.805</w:t>
      </w:r>
      <w:r>
        <w:rPr>
          <w:rFonts w:ascii="Times New Roman" w:hAnsi="Times New Roman"/>
        </w:rPr>
        <w:t xml:space="preserve"> de víctimas a nivel nacional, de las cuales hay  son </w:t>
      </w:r>
      <w:r w:rsidRPr="00553F49">
        <w:rPr>
          <w:rFonts w:ascii="Times New Roman" w:hAnsi="Times New Roman"/>
        </w:rPr>
        <w:t>4.051.692</w:t>
      </w:r>
      <w:r>
        <w:rPr>
          <w:rFonts w:ascii="Times New Roman" w:hAnsi="Times New Roman"/>
        </w:rPr>
        <w:t xml:space="preserve"> </w:t>
      </w:r>
      <w:r w:rsidRPr="00553F49">
        <w:rPr>
          <w:rFonts w:ascii="Times New Roman" w:hAnsi="Times New Roman"/>
        </w:rPr>
        <w:t>Mujer</w:t>
      </w:r>
      <w:r>
        <w:rPr>
          <w:rFonts w:ascii="Times New Roman" w:hAnsi="Times New Roman"/>
        </w:rPr>
        <w:t xml:space="preserve">es y </w:t>
      </w:r>
      <w:r w:rsidRPr="00553F49">
        <w:rPr>
          <w:rFonts w:ascii="Times New Roman" w:hAnsi="Times New Roman"/>
        </w:rPr>
        <w:t>4.048.209</w:t>
      </w:r>
      <w:r>
        <w:rPr>
          <w:rFonts w:ascii="Times New Roman" w:hAnsi="Times New Roman"/>
        </w:rPr>
        <w:t xml:space="preserve"> </w:t>
      </w:r>
      <w:r w:rsidRPr="00553F49">
        <w:rPr>
          <w:rFonts w:ascii="Times New Roman" w:hAnsi="Times New Roman"/>
        </w:rPr>
        <w:t>Hombre</w:t>
      </w:r>
      <w:r>
        <w:rPr>
          <w:rFonts w:ascii="Times New Roman" w:hAnsi="Times New Roman"/>
        </w:rPr>
        <w:t>. Lo que demuestra que en el marco general la mujer es la más afectada por la violencia en el marco del conflicto</w:t>
      </w:r>
      <w:r>
        <w:rPr>
          <w:rStyle w:val="Refdenotaalpie"/>
          <w:rFonts w:ascii="Times New Roman" w:hAnsi="Times New Roman"/>
        </w:rPr>
        <w:footnoteReference w:id="12"/>
      </w:r>
      <w:r>
        <w:rPr>
          <w:rFonts w:ascii="Times New Roman" w:hAnsi="Times New Roman"/>
        </w:rPr>
        <w:t xml:space="preserve">. </w:t>
      </w:r>
    </w:p>
    <w:p w14:paraId="6549577F" w14:textId="77777777" w:rsidR="00F94F52" w:rsidRPr="008E25D8" w:rsidRDefault="00F94F52" w:rsidP="00F94F52">
      <w:pPr>
        <w:spacing w:after="200" w:line="276" w:lineRule="auto"/>
        <w:jc w:val="both"/>
        <w:rPr>
          <w:rFonts w:ascii="Times New Roman" w:hAnsi="Times New Roman"/>
        </w:rPr>
      </w:pPr>
      <w:r>
        <w:rPr>
          <w:rFonts w:ascii="Times New Roman" w:hAnsi="Times New Roman"/>
        </w:rPr>
        <w:t>Ahora, entre 2010 y el 2011</w:t>
      </w:r>
      <w:r w:rsidRPr="00553F49">
        <w:rPr>
          <w:rFonts w:ascii="Times New Roman" w:hAnsi="Times New Roman"/>
        </w:rPr>
        <w:tab/>
      </w:r>
      <w:r>
        <w:rPr>
          <w:rFonts w:ascii="Times New Roman" w:hAnsi="Times New Roman"/>
        </w:rPr>
        <w:t>ACNUR reportó el reconocimiento de 53.000 colombianos como refugiados por parte del gobierno de Ecuador</w:t>
      </w:r>
      <w:r>
        <w:rPr>
          <w:rStyle w:val="Refdenotaalpie"/>
          <w:rFonts w:ascii="Times New Roman" w:hAnsi="Times New Roman"/>
        </w:rPr>
        <w:footnoteReference w:id="13"/>
      </w:r>
      <w:r>
        <w:rPr>
          <w:rFonts w:ascii="Times New Roman" w:hAnsi="Times New Roman"/>
        </w:rPr>
        <w:t>. Ya en su informe de 2012 estableció que en Ecuador ya había más de 123.000 colombianos en condición de refugio o similares en Ecuador y al menos, 203.600 en Venezuela</w:t>
      </w:r>
      <w:r>
        <w:rPr>
          <w:rStyle w:val="Refdenotaalpie"/>
          <w:rFonts w:ascii="Times New Roman" w:hAnsi="Times New Roman"/>
        </w:rPr>
        <w:footnoteReference w:id="14"/>
      </w:r>
      <w:r>
        <w:rPr>
          <w:rFonts w:ascii="Times New Roman" w:hAnsi="Times New Roman"/>
        </w:rPr>
        <w:t xml:space="preserve"> y a nivel global cerca de 400.000 personas identificadas en situación de refugio o similares. Lo que quiere decir que cerca del 10% de los colombianos en el exterior son víctimas del conflicto</w:t>
      </w:r>
      <w:r>
        <w:rPr>
          <w:rStyle w:val="Refdenotaalpie"/>
          <w:rFonts w:ascii="Times New Roman" w:hAnsi="Times New Roman"/>
        </w:rPr>
        <w:footnoteReference w:id="15"/>
      </w:r>
      <w:r>
        <w:rPr>
          <w:rFonts w:ascii="Times New Roman" w:hAnsi="Times New Roman"/>
        </w:rPr>
        <w:t>. Ante este panorama, solo</w:t>
      </w:r>
      <w:r w:rsidRPr="008E25D8">
        <w:rPr>
          <w:rFonts w:ascii="Times New Roman" w:hAnsi="Times New Roman"/>
        </w:rPr>
        <w:t xml:space="preserve"> 13.181 personas </w:t>
      </w:r>
      <w:r>
        <w:rPr>
          <w:rFonts w:ascii="Times New Roman" w:hAnsi="Times New Roman"/>
        </w:rPr>
        <w:t>han sido reconocidas por el Estado colombiano en el marco de la Ley de Víctimas</w:t>
      </w:r>
      <w:r>
        <w:rPr>
          <w:rStyle w:val="Refdenotaalpie"/>
          <w:rFonts w:ascii="Times New Roman" w:hAnsi="Times New Roman"/>
        </w:rPr>
        <w:footnoteReference w:id="16"/>
      </w:r>
      <w:r w:rsidRPr="008E25D8">
        <w:rPr>
          <w:rFonts w:ascii="Times New Roman" w:hAnsi="Times New Roman"/>
        </w:rPr>
        <w:t xml:space="preserve">: </w:t>
      </w:r>
    </w:p>
    <w:p w14:paraId="49AE9973" w14:textId="77777777" w:rsidR="00F94F52" w:rsidRPr="008E25D8" w:rsidRDefault="00F94F52" w:rsidP="00F94F52">
      <w:pPr>
        <w:spacing w:line="276" w:lineRule="auto"/>
        <w:jc w:val="both"/>
        <w:rPr>
          <w:rFonts w:ascii="Times New Roman" w:hAnsi="Times New Roman"/>
        </w:rPr>
      </w:pPr>
      <w:r w:rsidRPr="008E25D8">
        <w:rPr>
          <w:rFonts w:ascii="Times New Roman" w:hAnsi="Times New Roman"/>
        </w:rPr>
        <w:t xml:space="preserve">     -Hombres: 6.757 (51,27%)</w:t>
      </w:r>
    </w:p>
    <w:p w14:paraId="4A41A359" w14:textId="77777777" w:rsidR="00F94F52" w:rsidRDefault="00F94F52" w:rsidP="00F94F52">
      <w:pPr>
        <w:spacing w:line="276" w:lineRule="auto"/>
        <w:jc w:val="both"/>
        <w:rPr>
          <w:rFonts w:ascii="Times New Roman" w:hAnsi="Times New Roman"/>
        </w:rPr>
      </w:pPr>
      <w:r w:rsidRPr="008E25D8">
        <w:rPr>
          <w:rFonts w:ascii="Times New Roman" w:hAnsi="Times New Roman"/>
        </w:rPr>
        <w:t xml:space="preserve">     -Mujeres: 6.238 (47,32%)</w:t>
      </w:r>
    </w:p>
    <w:p w14:paraId="53246D9D" w14:textId="77777777" w:rsidR="00F94F52" w:rsidRPr="008E25D8" w:rsidRDefault="00F94F52" w:rsidP="00F94F52">
      <w:pPr>
        <w:spacing w:line="276" w:lineRule="auto"/>
        <w:jc w:val="both"/>
        <w:rPr>
          <w:rFonts w:ascii="Times New Roman" w:hAnsi="Times New Roman"/>
        </w:rPr>
      </w:pPr>
      <w:r w:rsidRPr="008E25D8">
        <w:rPr>
          <w:rFonts w:ascii="Times New Roman" w:hAnsi="Times New Roman"/>
        </w:rPr>
        <w:t xml:space="preserve">     -LGTBI: 37 (0,28%)</w:t>
      </w:r>
    </w:p>
    <w:p w14:paraId="378E0989" w14:textId="77777777" w:rsidR="00F94F52" w:rsidRDefault="00F94F52" w:rsidP="00F94F52">
      <w:pPr>
        <w:spacing w:line="276" w:lineRule="auto"/>
        <w:jc w:val="both"/>
        <w:rPr>
          <w:rFonts w:ascii="Times New Roman" w:hAnsi="Times New Roman"/>
        </w:rPr>
      </w:pPr>
      <w:r w:rsidRPr="008E25D8">
        <w:rPr>
          <w:rFonts w:ascii="Times New Roman" w:hAnsi="Times New Roman"/>
        </w:rPr>
        <w:t xml:space="preserve">     -No definido: 149 (1,15%)</w:t>
      </w:r>
    </w:p>
    <w:p w14:paraId="5F109D04" w14:textId="77777777" w:rsidR="00F94F52" w:rsidRPr="00553F49" w:rsidRDefault="00F94F52" w:rsidP="00F94F52">
      <w:pPr>
        <w:spacing w:line="276" w:lineRule="auto"/>
        <w:jc w:val="both"/>
        <w:rPr>
          <w:rFonts w:ascii="Times New Roman" w:hAnsi="Times New Roman"/>
        </w:rPr>
      </w:pPr>
    </w:p>
    <w:p w14:paraId="1B6490E6" w14:textId="77777777" w:rsidR="00F94F52" w:rsidRPr="008E25D8" w:rsidRDefault="00F94F52" w:rsidP="00F94F52">
      <w:pPr>
        <w:spacing w:after="200" w:line="276" w:lineRule="auto"/>
        <w:jc w:val="both"/>
        <w:rPr>
          <w:rFonts w:ascii="Times New Roman" w:hAnsi="Times New Roman"/>
        </w:rPr>
      </w:pPr>
      <w:r w:rsidRPr="008E25D8">
        <w:rPr>
          <w:rFonts w:ascii="Times New Roman" w:hAnsi="Times New Roman"/>
        </w:rPr>
        <w:t xml:space="preserve">10 países con mayor número de </w:t>
      </w:r>
      <w:r>
        <w:rPr>
          <w:rFonts w:ascii="Times New Roman" w:hAnsi="Times New Roman"/>
        </w:rPr>
        <w:t>solicitud de reconocimiento</w:t>
      </w:r>
      <w:r w:rsidRPr="008E25D8">
        <w:rPr>
          <w:rFonts w:ascii="Times New Roman" w:hAnsi="Times New Roman"/>
        </w:rPr>
        <w:t>:</w:t>
      </w:r>
    </w:p>
    <w:p w14:paraId="7C17975A" w14:textId="77777777" w:rsidR="00F94F52" w:rsidRPr="008E25D8" w:rsidRDefault="00F94F52" w:rsidP="00F94F52">
      <w:pPr>
        <w:jc w:val="both"/>
        <w:rPr>
          <w:rFonts w:ascii="Times New Roman" w:hAnsi="Times New Roman"/>
        </w:rPr>
      </w:pPr>
      <w:r w:rsidRPr="008E25D8">
        <w:rPr>
          <w:rFonts w:ascii="Times New Roman" w:hAnsi="Times New Roman"/>
        </w:rPr>
        <w:t>1.</w:t>
      </w:r>
      <w:r w:rsidRPr="008E25D8">
        <w:rPr>
          <w:rFonts w:ascii="Times New Roman" w:hAnsi="Times New Roman"/>
        </w:rPr>
        <w:tab/>
        <w:t>Ecuador: 1.979</w:t>
      </w:r>
    </w:p>
    <w:p w14:paraId="301642B2" w14:textId="77777777" w:rsidR="00F94F52" w:rsidRPr="008E25D8" w:rsidRDefault="00F94F52" w:rsidP="00F94F52">
      <w:pPr>
        <w:jc w:val="both"/>
        <w:rPr>
          <w:rFonts w:ascii="Times New Roman" w:hAnsi="Times New Roman"/>
        </w:rPr>
      </w:pPr>
      <w:r w:rsidRPr="008E25D8">
        <w:rPr>
          <w:rFonts w:ascii="Times New Roman" w:hAnsi="Times New Roman"/>
        </w:rPr>
        <w:t>2.</w:t>
      </w:r>
      <w:r w:rsidRPr="008E25D8">
        <w:rPr>
          <w:rFonts w:ascii="Times New Roman" w:hAnsi="Times New Roman"/>
        </w:rPr>
        <w:tab/>
        <w:t>Venezuela: 1.390</w:t>
      </w:r>
    </w:p>
    <w:p w14:paraId="610968D3" w14:textId="77777777" w:rsidR="00F94F52" w:rsidRPr="008E25D8" w:rsidRDefault="00F94F52" w:rsidP="00F94F52">
      <w:pPr>
        <w:jc w:val="both"/>
        <w:rPr>
          <w:rFonts w:ascii="Times New Roman" w:hAnsi="Times New Roman"/>
        </w:rPr>
      </w:pPr>
      <w:r w:rsidRPr="008E25D8">
        <w:rPr>
          <w:rFonts w:ascii="Times New Roman" w:hAnsi="Times New Roman"/>
        </w:rPr>
        <w:t>3.</w:t>
      </w:r>
      <w:r w:rsidRPr="008E25D8">
        <w:rPr>
          <w:rFonts w:ascii="Times New Roman" w:hAnsi="Times New Roman"/>
        </w:rPr>
        <w:tab/>
        <w:t>Canadá: 1.202</w:t>
      </w:r>
    </w:p>
    <w:p w14:paraId="41074F67" w14:textId="77777777" w:rsidR="00F94F52" w:rsidRPr="008E25D8" w:rsidRDefault="00F94F52" w:rsidP="00F94F52">
      <w:pPr>
        <w:jc w:val="both"/>
        <w:rPr>
          <w:rFonts w:ascii="Times New Roman" w:hAnsi="Times New Roman"/>
        </w:rPr>
      </w:pPr>
      <w:r w:rsidRPr="008E25D8">
        <w:rPr>
          <w:rFonts w:ascii="Times New Roman" w:hAnsi="Times New Roman"/>
        </w:rPr>
        <w:t>4.</w:t>
      </w:r>
      <w:r w:rsidRPr="008E25D8">
        <w:rPr>
          <w:rFonts w:ascii="Times New Roman" w:hAnsi="Times New Roman"/>
        </w:rPr>
        <w:tab/>
        <w:t>Estados Unidos:</w:t>
      </w:r>
      <w:r>
        <w:rPr>
          <w:rFonts w:ascii="Times New Roman" w:hAnsi="Times New Roman"/>
        </w:rPr>
        <w:t xml:space="preserve"> </w:t>
      </w:r>
      <w:r w:rsidRPr="008E25D8">
        <w:rPr>
          <w:rFonts w:ascii="Times New Roman" w:hAnsi="Times New Roman"/>
        </w:rPr>
        <w:t>1.031</w:t>
      </w:r>
    </w:p>
    <w:p w14:paraId="507DF9B5" w14:textId="77777777" w:rsidR="00F94F52" w:rsidRPr="008E25D8" w:rsidRDefault="00F94F52" w:rsidP="00F94F52">
      <w:pPr>
        <w:jc w:val="both"/>
        <w:rPr>
          <w:rFonts w:ascii="Times New Roman" w:hAnsi="Times New Roman"/>
        </w:rPr>
      </w:pPr>
      <w:r w:rsidRPr="008E25D8">
        <w:rPr>
          <w:rFonts w:ascii="Times New Roman" w:hAnsi="Times New Roman"/>
        </w:rPr>
        <w:t>5.</w:t>
      </w:r>
      <w:r w:rsidRPr="008E25D8">
        <w:rPr>
          <w:rFonts w:ascii="Times New Roman" w:hAnsi="Times New Roman"/>
        </w:rPr>
        <w:tab/>
        <w:t>España: 782</w:t>
      </w:r>
    </w:p>
    <w:p w14:paraId="0BE1860D" w14:textId="77777777" w:rsidR="00F94F52" w:rsidRPr="008E25D8" w:rsidRDefault="00F94F52" w:rsidP="00F94F52">
      <w:pPr>
        <w:jc w:val="both"/>
        <w:rPr>
          <w:rFonts w:ascii="Times New Roman" w:hAnsi="Times New Roman"/>
        </w:rPr>
      </w:pPr>
      <w:r w:rsidRPr="008E25D8">
        <w:rPr>
          <w:rFonts w:ascii="Times New Roman" w:hAnsi="Times New Roman"/>
        </w:rPr>
        <w:t>6.</w:t>
      </w:r>
      <w:r w:rsidRPr="008E25D8">
        <w:rPr>
          <w:rFonts w:ascii="Times New Roman" w:hAnsi="Times New Roman"/>
        </w:rPr>
        <w:tab/>
        <w:t>Panamá: 386</w:t>
      </w:r>
    </w:p>
    <w:p w14:paraId="65E04669" w14:textId="77777777" w:rsidR="00F94F52" w:rsidRPr="008E25D8" w:rsidRDefault="00F94F52" w:rsidP="00F94F52">
      <w:pPr>
        <w:jc w:val="both"/>
        <w:rPr>
          <w:rFonts w:ascii="Times New Roman" w:hAnsi="Times New Roman"/>
        </w:rPr>
      </w:pPr>
      <w:r w:rsidRPr="008E25D8">
        <w:rPr>
          <w:rFonts w:ascii="Times New Roman" w:hAnsi="Times New Roman"/>
        </w:rPr>
        <w:t>7.</w:t>
      </w:r>
      <w:r w:rsidRPr="008E25D8">
        <w:rPr>
          <w:rFonts w:ascii="Times New Roman" w:hAnsi="Times New Roman"/>
        </w:rPr>
        <w:tab/>
        <w:t>Costa Rica: 277</w:t>
      </w:r>
    </w:p>
    <w:p w14:paraId="67FA11FE" w14:textId="77777777" w:rsidR="00F94F52" w:rsidRPr="008E25D8" w:rsidRDefault="00F94F52" w:rsidP="00F94F52">
      <w:pPr>
        <w:jc w:val="both"/>
        <w:rPr>
          <w:rFonts w:ascii="Times New Roman" w:hAnsi="Times New Roman"/>
        </w:rPr>
      </w:pPr>
      <w:r w:rsidRPr="008E25D8">
        <w:rPr>
          <w:rFonts w:ascii="Times New Roman" w:hAnsi="Times New Roman"/>
        </w:rPr>
        <w:t>8.</w:t>
      </w:r>
      <w:r w:rsidRPr="008E25D8">
        <w:rPr>
          <w:rFonts w:ascii="Times New Roman" w:hAnsi="Times New Roman"/>
        </w:rPr>
        <w:tab/>
        <w:t>Chile: 207</w:t>
      </w:r>
    </w:p>
    <w:p w14:paraId="7F913408" w14:textId="77777777" w:rsidR="00F94F52" w:rsidRPr="008E25D8" w:rsidRDefault="00F94F52" w:rsidP="00F94F52">
      <w:pPr>
        <w:jc w:val="both"/>
        <w:rPr>
          <w:rFonts w:ascii="Times New Roman" w:hAnsi="Times New Roman"/>
        </w:rPr>
      </w:pPr>
      <w:r w:rsidRPr="008E25D8">
        <w:rPr>
          <w:rFonts w:ascii="Times New Roman" w:hAnsi="Times New Roman"/>
        </w:rPr>
        <w:lastRenderedPageBreak/>
        <w:t>9.</w:t>
      </w:r>
      <w:r w:rsidRPr="008E25D8">
        <w:rPr>
          <w:rFonts w:ascii="Times New Roman" w:hAnsi="Times New Roman"/>
        </w:rPr>
        <w:tab/>
        <w:t>Suecia: 79</w:t>
      </w:r>
    </w:p>
    <w:p w14:paraId="0086134B" w14:textId="77777777" w:rsidR="00F94F52" w:rsidRDefault="00F94F52" w:rsidP="00F94F52">
      <w:pPr>
        <w:jc w:val="both"/>
        <w:rPr>
          <w:rFonts w:ascii="Times New Roman" w:hAnsi="Times New Roman"/>
        </w:rPr>
      </w:pPr>
      <w:r w:rsidRPr="008E25D8">
        <w:rPr>
          <w:rFonts w:ascii="Times New Roman" w:hAnsi="Times New Roman"/>
        </w:rPr>
        <w:t>10.</w:t>
      </w:r>
      <w:r w:rsidRPr="008E25D8">
        <w:rPr>
          <w:rFonts w:ascii="Times New Roman" w:hAnsi="Times New Roman"/>
        </w:rPr>
        <w:tab/>
        <w:t>Gran Bretaña: 75</w:t>
      </w:r>
    </w:p>
    <w:p w14:paraId="329EC571" w14:textId="77777777" w:rsidR="00F94F52" w:rsidRDefault="00F94F52" w:rsidP="00F94F52">
      <w:pPr>
        <w:jc w:val="both"/>
        <w:rPr>
          <w:rFonts w:ascii="Times New Roman" w:hAnsi="Times New Roman"/>
        </w:rPr>
      </w:pPr>
    </w:p>
    <w:p w14:paraId="10094570" w14:textId="77777777" w:rsidR="00F94F52" w:rsidRDefault="00F94F52" w:rsidP="00F94F52">
      <w:pPr>
        <w:jc w:val="both"/>
        <w:rPr>
          <w:rFonts w:ascii="Times New Roman" w:hAnsi="Times New Roman"/>
        </w:rPr>
      </w:pPr>
      <w:r>
        <w:rPr>
          <w:rFonts w:ascii="Times New Roman" w:hAnsi="Times New Roman"/>
        </w:rPr>
        <w:t xml:space="preserve">En este contexto es evidente que si bien los países fronterizos son el principal destino de los desplazados por la violencia, así también hay una presencia importante de esta población en otros países. En este sentido vale la pena recalcar que la mujer migrante en este esquema presenta la mayor vulnerabilidad al convertirse en presa fácil de modos de explotación y tráfico, en el aprovechamiento de su condición de exilio. </w:t>
      </w:r>
    </w:p>
    <w:p w14:paraId="4EB9A04F" w14:textId="77777777" w:rsidR="00F94F52" w:rsidRDefault="00F94F52" w:rsidP="00F94F52">
      <w:pPr>
        <w:jc w:val="both"/>
        <w:rPr>
          <w:rFonts w:ascii="Times New Roman" w:hAnsi="Times New Roman"/>
        </w:rPr>
      </w:pPr>
    </w:p>
    <w:p w14:paraId="4247C4E3" w14:textId="77777777" w:rsidR="00F94F52" w:rsidRDefault="00F94F52" w:rsidP="00F94F52">
      <w:pPr>
        <w:jc w:val="both"/>
        <w:rPr>
          <w:rFonts w:ascii="Times New Roman" w:hAnsi="Times New Roman"/>
        </w:rPr>
      </w:pPr>
      <w:r>
        <w:rPr>
          <w:rFonts w:ascii="Times New Roman" w:hAnsi="Times New Roman"/>
        </w:rPr>
        <w:t>Así lo demuestra la organización Comisión Colombiana de Juristas, con apoyo del Consejo Noruego de Refugiados, advirtió en 2011 la grave situación de las mujeres colombianas víctimas de frontera, clasificadas como Personas con Necesidad de Protección Internacional PNPI:</w:t>
      </w:r>
    </w:p>
    <w:p w14:paraId="565913F4" w14:textId="77777777" w:rsidR="00F94F52" w:rsidRDefault="00F94F52" w:rsidP="00F94F52">
      <w:pPr>
        <w:jc w:val="both"/>
        <w:rPr>
          <w:rFonts w:ascii="Times New Roman" w:hAnsi="Times New Roman"/>
        </w:rPr>
      </w:pPr>
    </w:p>
    <w:p w14:paraId="325F492A" w14:textId="77777777" w:rsidR="00F94F52" w:rsidRDefault="00F94F52" w:rsidP="00F94F52">
      <w:pPr>
        <w:jc w:val="both"/>
        <w:rPr>
          <w:rFonts w:ascii="Times New Roman" w:hAnsi="Times New Roman"/>
        </w:rPr>
      </w:pPr>
      <w:r>
        <w:rPr>
          <w:rFonts w:ascii="Times New Roman" w:hAnsi="Times New Roman"/>
          <w:i/>
        </w:rPr>
        <w:t>“</w:t>
      </w:r>
      <w:r w:rsidRPr="0034685E">
        <w:rPr>
          <w:rFonts w:ascii="Times New Roman" w:hAnsi="Times New Roman"/>
          <w:i/>
        </w:rPr>
        <w:t>Una situación de especial vulnerabilidad y desprotección es en la que se encuentran las mujeres en necesidad de protección internacional. En los tres países existen denuncias serias sobre la violencia sexual a la que son sometidas las mujeres y niñas a ambos lados de la frontera, tanto por autoridades colombianas como por autoridades de los otros países. Las redes de trata de personas son una realidad a la que son forzadas a vincularse muchas de las mujeres que cruzan las fronteras, o a la que se vinculan de manera “voluntaria” ante la falta de opciones y oportunidades. Una situación crítica se vive en Ecuador, en donde existen por lo menos 280 prostíbulos legales, y otros tantos que funcionan de manera ilegal en la zona de frontera, muchos de los cuales se encuentran ubicados en la carretera principal que une al municipio de Tulcán con la ciudad de Quito. A este panorama se suma la xenofobia y discriminación a la que son sometidos los colombianos y colombianas en necesidad de protección internacional en los tres países, que tiene varias causas. Una de ellas está relacionada con los trabajos que asumen estas personas en los países de acogida, como ocurre con las mujeres trabajadoras sexuales, lo cual ha generado un estereotipo sobre todas las mujeres colombianas y, con ello, tratos discriminatorios hacia ellas</w:t>
      </w:r>
      <w:r>
        <w:rPr>
          <w:rFonts w:ascii="Times New Roman" w:hAnsi="Times New Roman"/>
          <w:i/>
        </w:rPr>
        <w:t>”</w:t>
      </w:r>
      <w:r>
        <w:rPr>
          <w:rStyle w:val="Refdenotaalpie"/>
          <w:rFonts w:ascii="Times New Roman" w:hAnsi="Times New Roman"/>
          <w:i/>
        </w:rPr>
        <w:footnoteReference w:id="17"/>
      </w:r>
      <w:r w:rsidRPr="00F33CC9">
        <w:rPr>
          <w:rFonts w:ascii="Times New Roman" w:hAnsi="Times New Roman"/>
        </w:rPr>
        <w:t>.</w:t>
      </w:r>
    </w:p>
    <w:p w14:paraId="0C869BB7" w14:textId="77777777" w:rsidR="00F94F52" w:rsidRDefault="00F94F52" w:rsidP="00F94F52">
      <w:pPr>
        <w:jc w:val="both"/>
        <w:rPr>
          <w:rFonts w:ascii="Times New Roman" w:hAnsi="Times New Roman"/>
        </w:rPr>
      </w:pPr>
    </w:p>
    <w:p w14:paraId="23106B96" w14:textId="77777777" w:rsidR="00F94F52" w:rsidRDefault="00F94F52" w:rsidP="00F94F52">
      <w:pPr>
        <w:jc w:val="both"/>
        <w:rPr>
          <w:rFonts w:ascii="Times New Roman" w:hAnsi="Times New Roman"/>
        </w:rPr>
      </w:pPr>
      <w:r>
        <w:rPr>
          <w:rFonts w:ascii="Times New Roman" w:hAnsi="Times New Roman"/>
        </w:rPr>
        <w:t xml:space="preserve">En este sentido, la protección internacional a los migrantes, especialmente a las mujeres, debe ser un tema de amplio desarrollo teniendo en cuenta las tendencias globales de desplazamiento interno y transfronterizo de los países en conflicto y en transición hacia la paz. </w:t>
      </w:r>
    </w:p>
    <w:p w14:paraId="47FC247F" w14:textId="77777777" w:rsidR="00F94F52" w:rsidRPr="008E25D8" w:rsidRDefault="00F94F52" w:rsidP="00F94F52">
      <w:pPr>
        <w:jc w:val="both"/>
        <w:rPr>
          <w:rFonts w:ascii="Times New Roman" w:hAnsi="Times New Roman"/>
        </w:rPr>
      </w:pPr>
    </w:p>
    <w:p w14:paraId="2F10EF29" w14:textId="7383C676" w:rsidR="00F94F52" w:rsidRPr="00C63773" w:rsidRDefault="00F94F52" w:rsidP="00F94F52">
      <w:pPr>
        <w:spacing w:after="200" w:line="276" w:lineRule="auto"/>
        <w:jc w:val="both"/>
        <w:rPr>
          <w:rFonts w:ascii="Times New Roman" w:hAnsi="Times New Roman"/>
          <w:b/>
        </w:rPr>
      </w:pPr>
      <w:r w:rsidRPr="00C63773">
        <w:rPr>
          <w:rFonts w:ascii="Times New Roman" w:hAnsi="Times New Roman"/>
          <w:b/>
        </w:rPr>
        <w:t xml:space="preserve">RECOMENDACIONES AL </w:t>
      </w:r>
      <w:r>
        <w:rPr>
          <w:rFonts w:ascii="Times New Roman" w:hAnsi="Times New Roman"/>
          <w:b/>
        </w:rPr>
        <w:t>ESTADO COLOMBIANO</w:t>
      </w:r>
      <w:r w:rsidRPr="00C63773">
        <w:rPr>
          <w:rFonts w:ascii="Times New Roman" w:hAnsi="Times New Roman"/>
          <w:b/>
        </w:rPr>
        <w:t xml:space="preserve"> </w:t>
      </w:r>
    </w:p>
    <w:p w14:paraId="37B3B543" w14:textId="77777777" w:rsidR="00F94F52" w:rsidRPr="00C63773" w:rsidRDefault="00F94F52" w:rsidP="00F94F52">
      <w:pPr>
        <w:numPr>
          <w:ilvl w:val="0"/>
          <w:numId w:val="14"/>
        </w:numPr>
        <w:spacing w:after="200" w:line="276" w:lineRule="auto"/>
        <w:jc w:val="both"/>
        <w:rPr>
          <w:rFonts w:ascii="Times New Roman" w:hAnsi="Times New Roman"/>
        </w:rPr>
      </w:pPr>
      <w:r w:rsidRPr="00C63773">
        <w:rPr>
          <w:rFonts w:ascii="Times New Roman" w:hAnsi="Times New Roman"/>
        </w:rPr>
        <w:t xml:space="preserve">Frente a la carencia de legislación que proteja a mujeres y niñas de las agresiones físicas y sexuales, se recomienda la Estado colombiano, promover acciones normativas que protejan la integridad física de las mujeres y niñas que tengan como residencia las áreas de incidencia de grupos al margen de la ley. Así lo establece los artículos 3 y 5 de la Declaración Universal de los Derechos Humanos, como </w:t>
      </w:r>
      <w:r w:rsidRPr="00C63773">
        <w:rPr>
          <w:rFonts w:ascii="Times New Roman" w:hAnsi="Times New Roman"/>
        </w:rPr>
        <w:lastRenderedPageBreak/>
        <w:t>también, la Constitución Política de Colombia reconoce en sus artículos 11, 12, 16,44, 45 la protección de la vida, la prohibición de tratos degradantes, el libre desarrollo de la personalidad, la protección de la vida y la integridad física de los niños, la protección del adolescente, respectivamente; que de forma fehaciente y sistemática contravienen las fuerzas públicas y grupos armados ilegales.</w:t>
      </w:r>
    </w:p>
    <w:p w14:paraId="043D9C1E" w14:textId="00EFEE22" w:rsidR="00F94F52" w:rsidRPr="00C63773" w:rsidRDefault="00F94F52" w:rsidP="00F94F52">
      <w:pPr>
        <w:numPr>
          <w:ilvl w:val="0"/>
          <w:numId w:val="14"/>
        </w:numPr>
        <w:spacing w:after="200" w:line="276" w:lineRule="auto"/>
        <w:jc w:val="both"/>
        <w:rPr>
          <w:rFonts w:ascii="Times New Roman" w:hAnsi="Times New Roman"/>
        </w:rPr>
      </w:pPr>
      <w:r w:rsidRPr="00C63773">
        <w:rPr>
          <w:rFonts w:ascii="Times New Roman" w:hAnsi="Times New Roman"/>
        </w:rPr>
        <w:t>Se recomienda, la creación de disposiciones normativas que castiguen la comisión de delitos citados en los artículos 11</w:t>
      </w:r>
      <w:r>
        <w:rPr>
          <w:rFonts w:ascii="Times New Roman" w:hAnsi="Times New Roman"/>
        </w:rPr>
        <w:t xml:space="preserve">, </w:t>
      </w:r>
      <w:r w:rsidRPr="00C63773">
        <w:rPr>
          <w:rFonts w:ascii="Times New Roman" w:hAnsi="Times New Roman"/>
        </w:rPr>
        <w:t>12</w:t>
      </w:r>
      <w:r>
        <w:rPr>
          <w:rFonts w:ascii="Times New Roman" w:hAnsi="Times New Roman"/>
        </w:rPr>
        <w:t>,</w:t>
      </w:r>
      <w:r w:rsidRPr="00C63773">
        <w:rPr>
          <w:rFonts w:ascii="Times New Roman" w:hAnsi="Times New Roman"/>
        </w:rPr>
        <w:t>16,</w:t>
      </w:r>
      <w:r>
        <w:rPr>
          <w:rFonts w:ascii="Times New Roman" w:hAnsi="Times New Roman"/>
        </w:rPr>
        <w:t xml:space="preserve"> </w:t>
      </w:r>
      <w:r w:rsidRPr="00C63773">
        <w:rPr>
          <w:rFonts w:ascii="Times New Roman" w:hAnsi="Times New Roman"/>
        </w:rPr>
        <w:t>44 y 45 de la Constitución. Así mismo, se recomienda el incremento de autoridades públicas que actúen en beneficio de la población, como es su mandato, de protección y defensa del territorio contra la acción de los grupos armados ilegales.</w:t>
      </w:r>
    </w:p>
    <w:p w14:paraId="4A9AD708" w14:textId="0807FABC" w:rsidR="00F94F52" w:rsidRPr="00C63773" w:rsidRDefault="00F94F52" w:rsidP="00F94F52">
      <w:pPr>
        <w:numPr>
          <w:ilvl w:val="0"/>
          <w:numId w:val="14"/>
        </w:numPr>
        <w:spacing w:after="200" w:line="276" w:lineRule="auto"/>
        <w:jc w:val="both"/>
        <w:rPr>
          <w:rFonts w:ascii="Times New Roman" w:hAnsi="Times New Roman"/>
        </w:rPr>
      </w:pPr>
      <w:r w:rsidRPr="00C63773">
        <w:rPr>
          <w:rFonts w:ascii="Times New Roman" w:hAnsi="Times New Roman"/>
        </w:rPr>
        <w:t>Se recomienda al Estado, establecer Bases de Datos que indiquen la clasificación por etnias, raizales, comunidades afro, mujeres y niñas retornadas, a fin de crear programas especiali</w:t>
      </w:r>
      <w:r>
        <w:rPr>
          <w:rFonts w:ascii="Times New Roman" w:hAnsi="Times New Roman"/>
        </w:rPr>
        <w:t>zados en materia de ayuda psico</w:t>
      </w:r>
      <w:r w:rsidRPr="00C63773">
        <w:rPr>
          <w:rFonts w:ascii="Times New Roman" w:hAnsi="Times New Roman"/>
        </w:rPr>
        <w:t>social, salud mental, de atención primaria y especializada ante riesgos de enfermedades de transmisión sexual, abortos y embarazos.</w:t>
      </w:r>
    </w:p>
    <w:p w14:paraId="31382739" w14:textId="77777777" w:rsidR="00F94F52" w:rsidRDefault="00F94F52" w:rsidP="00F94F52">
      <w:pPr>
        <w:numPr>
          <w:ilvl w:val="0"/>
          <w:numId w:val="14"/>
        </w:numPr>
        <w:spacing w:after="200" w:line="276" w:lineRule="auto"/>
        <w:jc w:val="both"/>
        <w:rPr>
          <w:rFonts w:ascii="Times New Roman" w:hAnsi="Times New Roman"/>
        </w:rPr>
      </w:pPr>
      <w:r w:rsidRPr="00C63773">
        <w:rPr>
          <w:rFonts w:ascii="Times New Roman" w:hAnsi="Times New Roman"/>
        </w:rPr>
        <w:t xml:space="preserve">Se recomienda, la implementación de estrategias de Emprendimiento y líneas especiales de crédito a los colombianos y colombianas retornadas. La falta de acceso al crédito que actualmente enfrentan los migrantes a su retorno limita el emprendimiento. Las pequeñas y medianas empresas pueden generar nuevos empleos y reducir la pobreza, haciendo del emprendimiento un motor de crecimiento. </w:t>
      </w:r>
    </w:p>
    <w:p w14:paraId="52457CF7" w14:textId="32234E9C" w:rsidR="00F94F52" w:rsidRDefault="00F94F52" w:rsidP="00F94F52">
      <w:pPr>
        <w:numPr>
          <w:ilvl w:val="0"/>
          <w:numId w:val="14"/>
        </w:numPr>
        <w:spacing w:after="200" w:line="276" w:lineRule="auto"/>
        <w:jc w:val="both"/>
        <w:rPr>
          <w:rFonts w:ascii="Times New Roman" w:hAnsi="Times New Roman"/>
        </w:rPr>
      </w:pPr>
      <w:r>
        <w:rPr>
          <w:rFonts w:ascii="Times New Roman" w:hAnsi="Times New Roman"/>
        </w:rPr>
        <w:t>S</w:t>
      </w:r>
      <w:r w:rsidRPr="00C63773">
        <w:rPr>
          <w:rFonts w:ascii="Times New Roman" w:hAnsi="Times New Roman"/>
        </w:rPr>
        <w:t>e recomienda, el diseño, implementación y evaluación de polític</w:t>
      </w:r>
      <w:r>
        <w:rPr>
          <w:rFonts w:ascii="Times New Roman" w:hAnsi="Times New Roman"/>
        </w:rPr>
        <w:t>as y planes de acción encaminado</w:t>
      </w:r>
      <w:r w:rsidRPr="00C63773">
        <w:rPr>
          <w:rFonts w:ascii="Times New Roman" w:hAnsi="Times New Roman"/>
        </w:rPr>
        <w:t xml:space="preserve">s a garantizar una mejor calidad de vida a los y las retornadas. Una mayor atención al desarrollo social y económico que reconozca igualdad de género producirá un proceso de retorno más organizado y de beneficio para la sociedad en general.  </w:t>
      </w:r>
    </w:p>
    <w:p w14:paraId="63A1AD88" w14:textId="0EAE4B42" w:rsidR="00B26D4E" w:rsidRPr="00F94F52" w:rsidRDefault="00F94F52" w:rsidP="00F94F52">
      <w:pPr>
        <w:numPr>
          <w:ilvl w:val="0"/>
          <w:numId w:val="14"/>
        </w:numPr>
        <w:spacing w:after="200" w:line="276" w:lineRule="auto"/>
        <w:jc w:val="both"/>
        <w:rPr>
          <w:rFonts w:ascii="Times New Roman" w:hAnsi="Times New Roman"/>
        </w:rPr>
      </w:pPr>
      <w:r>
        <w:rPr>
          <w:rFonts w:ascii="Times New Roman" w:hAnsi="Times New Roman"/>
        </w:rPr>
        <w:t>Se recomienda la creación de un protocolo interinstitucional de los entes gubernamentales colombianos, en conjunto con la comunidad internacional para prevenir, atender y tratar los fenómenos de violencia contra la mujer, cualquiera sea su naturaleza. La coordinación y fortalecimiento de los canales de denuncia, atención y ayuda, permitirá una mejor lucha contra las redes de trata, tráfico y medidas efectivas para los agresores.</w:t>
      </w:r>
      <w:bookmarkEnd w:id="1"/>
    </w:p>
    <w:sectPr w:rsidR="00B26D4E" w:rsidRPr="00F94F52" w:rsidSect="003E07FA">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958411" w14:textId="77777777" w:rsidR="00487516" w:rsidRDefault="00487516" w:rsidP="002A09F6">
      <w:r>
        <w:separator/>
      </w:r>
    </w:p>
  </w:endnote>
  <w:endnote w:type="continuationSeparator" w:id="0">
    <w:p w14:paraId="2334B688" w14:textId="77777777" w:rsidR="00487516" w:rsidRDefault="00487516" w:rsidP="002A0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015B89" w14:textId="77777777" w:rsidR="00487516" w:rsidRDefault="00487516" w:rsidP="002A09F6">
      <w:r>
        <w:separator/>
      </w:r>
    </w:p>
  </w:footnote>
  <w:footnote w:type="continuationSeparator" w:id="0">
    <w:p w14:paraId="7E01E65E" w14:textId="77777777" w:rsidR="00487516" w:rsidRDefault="00487516" w:rsidP="002A09F6">
      <w:r>
        <w:continuationSeparator/>
      </w:r>
    </w:p>
  </w:footnote>
  <w:footnote w:id="1">
    <w:p w14:paraId="7824B70C" w14:textId="77777777" w:rsidR="00F94F52" w:rsidRPr="00AE409D" w:rsidRDefault="00F94F52" w:rsidP="00F94F52">
      <w:pPr>
        <w:pStyle w:val="Textonotapie"/>
        <w:jc w:val="both"/>
        <w:rPr>
          <w:rFonts w:ascii="Times New Roman" w:hAnsi="Times New Roman"/>
          <w:sz w:val="18"/>
          <w:szCs w:val="18"/>
        </w:rPr>
      </w:pPr>
      <w:r w:rsidRPr="00AE409D">
        <w:rPr>
          <w:rStyle w:val="Refdenotaalpie"/>
          <w:rFonts w:ascii="Times New Roman" w:hAnsi="Times New Roman"/>
          <w:sz w:val="18"/>
          <w:szCs w:val="18"/>
        </w:rPr>
        <w:footnoteRef/>
      </w:r>
      <w:r w:rsidRPr="00AE409D">
        <w:rPr>
          <w:rFonts w:ascii="Times New Roman" w:hAnsi="Times New Roman"/>
          <w:sz w:val="18"/>
          <w:szCs w:val="18"/>
        </w:rPr>
        <w:t xml:space="preserve">SISMA MUJER: Informe “Colombia: Mujeres, violencia sexual en el conflicto y el proceso de paz.” 2013. Recuperado de: </w:t>
      </w:r>
      <w:hyperlink r:id="rId1" w:history="1">
        <w:r w:rsidRPr="00AE409D">
          <w:rPr>
            <w:rStyle w:val="Hipervnculo"/>
            <w:rFonts w:ascii="Times New Roman" w:hAnsi="Times New Roman"/>
            <w:sz w:val="18"/>
            <w:szCs w:val="18"/>
          </w:rPr>
          <w:t>http://www.abcolombia.org.uk/downloads/Sexual_violence_report_Spanish.pdf</w:t>
        </w:r>
      </w:hyperlink>
    </w:p>
    <w:p w14:paraId="338F307C" w14:textId="77777777" w:rsidR="00F94F52" w:rsidRPr="00AE409D" w:rsidRDefault="00F94F52" w:rsidP="00F94F52">
      <w:pPr>
        <w:pStyle w:val="Textonotapie"/>
        <w:jc w:val="both"/>
        <w:rPr>
          <w:rFonts w:ascii="Times New Roman" w:hAnsi="Times New Roman"/>
          <w:sz w:val="18"/>
          <w:szCs w:val="18"/>
        </w:rPr>
      </w:pPr>
      <w:r w:rsidRPr="00AE409D">
        <w:rPr>
          <w:rFonts w:ascii="Times New Roman" w:hAnsi="Times New Roman"/>
          <w:sz w:val="18"/>
          <w:szCs w:val="18"/>
        </w:rPr>
        <w:t>Consultado el 30 de abril de 2017.</w:t>
      </w:r>
    </w:p>
    <w:p w14:paraId="1743D8E5" w14:textId="77777777" w:rsidR="00F94F52" w:rsidRDefault="00F94F52" w:rsidP="00F94F52">
      <w:pPr>
        <w:pStyle w:val="Textonotapie"/>
      </w:pPr>
    </w:p>
  </w:footnote>
  <w:footnote w:id="2">
    <w:p w14:paraId="20E4867C" w14:textId="77777777" w:rsidR="00F94F52" w:rsidRPr="009356FA" w:rsidRDefault="00F94F52" w:rsidP="00F94F52">
      <w:pPr>
        <w:jc w:val="both"/>
        <w:rPr>
          <w:rFonts w:ascii="Times New Roman" w:hAnsi="Times New Roman"/>
          <w:color w:val="000000"/>
          <w:sz w:val="18"/>
          <w:szCs w:val="18"/>
        </w:rPr>
      </w:pPr>
      <w:r w:rsidRPr="009356FA">
        <w:rPr>
          <w:rFonts w:ascii="Times New Roman" w:hAnsi="Times New Roman"/>
          <w:sz w:val="18"/>
          <w:szCs w:val="18"/>
          <w:vertAlign w:val="superscript"/>
        </w:rPr>
        <w:footnoteRef/>
      </w:r>
      <w:r w:rsidRPr="009356FA">
        <w:rPr>
          <w:rFonts w:ascii="Times New Roman" w:hAnsi="Times New Roman"/>
          <w:sz w:val="18"/>
          <w:szCs w:val="18"/>
        </w:rPr>
        <w:t xml:space="preserve"> </w:t>
      </w:r>
      <w:r w:rsidRPr="009356FA">
        <w:rPr>
          <w:rFonts w:ascii="Times New Roman" w:hAnsi="Times New Roman"/>
          <w:color w:val="222222"/>
          <w:sz w:val="18"/>
          <w:szCs w:val="18"/>
          <w:highlight w:val="white"/>
        </w:rPr>
        <w:t>Campaña ‘Violaciones y otra violencia: Saquen Mi Cuerpo de la Guerra’, Primera Encuesta de Prevalencia Primera Encuesta de Prevalencia de la Violencia Sexual en contra de las Mujeres en el Contexto del Conflicto Armado Colombiano abarcando el período 2001-2009</w:t>
      </w:r>
    </w:p>
  </w:footnote>
  <w:footnote w:id="3">
    <w:p w14:paraId="7A080CD9" w14:textId="77777777" w:rsidR="00F94F52" w:rsidRPr="009356FA" w:rsidRDefault="00F94F52" w:rsidP="00F94F52">
      <w:pPr>
        <w:jc w:val="both"/>
        <w:rPr>
          <w:rFonts w:ascii="Times New Roman" w:hAnsi="Times New Roman"/>
          <w:sz w:val="18"/>
          <w:szCs w:val="18"/>
        </w:rPr>
      </w:pPr>
      <w:r w:rsidRPr="009356FA">
        <w:rPr>
          <w:rFonts w:ascii="Times New Roman" w:hAnsi="Times New Roman"/>
          <w:sz w:val="18"/>
          <w:szCs w:val="18"/>
          <w:vertAlign w:val="superscript"/>
        </w:rPr>
        <w:footnoteRef/>
      </w:r>
      <w:r w:rsidRPr="009356FA">
        <w:rPr>
          <w:rFonts w:ascii="Times New Roman" w:hAnsi="Times New Roman"/>
          <w:sz w:val="18"/>
          <w:szCs w:val="18"/>
        </w:rPr>
        <w:t xml:space="preserve"> </w:t>
      </w:r>
      <w:r w:rsidRPr="009356FA">
        <w:rPr>
          <w:rFonts w:ascii="Times New Roman" w:hAnsi="Times New Roman"/>
          <w:i/>
          <w:color w:val="222222"/>
          <w:sz w:val="18"/>
          <w:szCs w:val="18"/>
          <w:highlight w:val="white"/>
        </w:rPr>
        <w:t>De acuerdo con el Consejo Académico del Sistema de las Naciones Unidas Oficina de Enlace de Viena, ‘</w:t>
      </w:r>
      <w:proofErr w:type="spellStart"/>
      <w:r w:rsidRPr="009356FA">
        <w:rPr>
          <w:rFonts w:ascii="Times New Roman" w:hAnsi="Times New Roman"/>
          <w:i/>
          <w:color w:val="222222"/>
          <w:sz w:val="18"/>
          <w:szCs w:val="18"/>
          <w:highlight w:val="white"/>
        </w:rPr>
        <w:t>Femicidio</w:t>
      </w:r>
      <w:proofErr w:type="spellEnd"/>
      <w:r w:rsidRPr="009356FA">
        <w:rPr>
          <w:rFonts w:ascii="Times New Roman" w:hAnsi="Times New Roman"/>
          <w:i/>
          <w:color w:val="222222"/>
          <w:sz w:val="18"/>
          <w:szCs w:val="18"/>
          <w:highlight w:val="white"/>
        </w:rPr>
        <w:t xml:space="preserve">: una cuestión mundial que Demandan Acción’ (‘Femicide: A Global </w:t>
      </w:r>
      <w:proofErr w:type="spellStart"/>
      <w:r w:rsidRPr="009356FA">
        <w:rPr>
          <w:rFonts w:ascii="Times New Roman" w:hAnsi="Times New Roman"/>
          <w:i/>
          <w:color w:val="222222"/>
          <w:sz w:val="18"/>
          <w:szCs w:val="18"/>
          <w:highlight w:val="white"/>
        </w:rPr>
        <w:t>Issue</w:t>
      </w:r>
      <w:proofErr w:type="spellEnd"/>
      <w:r w:rsidRPr="009356FA">
        <w:rPr>
          <w:rFonts w:ascii="Times New Roman" w:hAnsi="Times New Roman"/>
          <w:i/>
          <w:color w:val="222222"/>
          <w:sz w:val="18"/>
          <w:szCs w:val="18"/>
          <w:highlight w:val="white"/>
        </w:rPr>
        <w:t xml:space="preserve"> </w:t>
      </w:r>
      <w:proofErr w:type="spellStart"/>
      <w:r w:rsidRPr="009356FA">
        <w:rPr>
          <w:rFonts w:ascii="Times New Roman" w:hAnsi="Times New Roman"/>
          <w:i/>
          <w:color w:val="222222"/>
          <w:sz w:val="18"/>
          <w:szCs w:val="18"/>
          <w:highlight w:val="white"/>
        </w:rPr>
        <w:t>that</w:t>
      </w:r>
      <w:proofErr w:type="spellEnd"/>
      <w:r w:rsidRPr="009356FA">
        <w:rPr>
          <w:rFonts w:ascii="Times New Roman" w:hAnsi="Times New Roman"/>
          <w:i/>
          <w:color w:val="222222"/>
          <w:sz w:val="18"/>
          <w:szCs w:val="18"/>
          <w:highlight w:val="white"/>
        </w:rPr>
        <w:t xml:space="preserve"> </w:t>
      </w:r>
      <w:proofErr w:type="spellStart"/>
      <w:r w:rsidRPr="009356FA">
        <w:rPr>
          <w:rFonts w:ascii="Times New Roman" w:hAnsi="Times New Roman"/>
          <w:i/>
          <w:color w:val="222222"/>
          <w:sz w:val="18"/>
          <w:szCs w:val="18"/>
          <w:highlight w:val="white"/>
        </w:rPr>
        <w:t>Demands</w:t>
      </w:r>
      <w:proofErr w:type="spellEnd"/>
      <w:r w:rsidRPr="009356FA">
        <w:rPr>
          <w:rFonts w:ascii="Times New Roman" w:hAnsi="Times New Roman"/>
          <w:i/>
          <w:color w:val="222222"/>
          <w:sz w:val="18"/>
          <w:szCs w:val="18"/>
          <w:highlight w:val="white"/>
        </w:rPr>
        <w:t xml:space="preserve"> </w:t>
      </w:r>
      <w:proofErr w:type="spellStart"/>
      <w:r w:rsidRPr="009356FA">
        <w:rPr>
          <w:rFonts w:ascii="Times New Roman" w:hAnsi="Times New Roman"/>
          <w:i/>
          <w:color w:val="222222"/>
          <w:sz w:val="18"/>
          <w:szCs w:val="18"/>
          <w:highlight w:val="white"/>
        </w:rPr>
        <w:t>Action</w:t>
      </w:r>
      <w:proofErr w:type="spellEnd"/>
      <w:r w:rsidRPr="009356FA">
        <w:rPr>
          <w:rFonts w:ascii="Times New Roman" w:hAnsi="Times New Roman"/>
          <w:i/>
          <w:color w:val="222222"/>
          <w:sz w:val="18"/>
          <w:szCs w:val="18"/>
          <w:highlight w:val="white"/>
        </w:rPr>
        <w:t>’), 2013.</w:t>
      </w:r>
    </w:p>
  </w:footnote>
  <w:footnote w:id="4">
    <w:p w14:paraId="21E1DDD1" w14:textId="77777777" w:rsidR="00F94F52" w:rsidRPr="009356FA" w:rsidRDefault="00F94F52" w:rsidP="00F94F52">
      <w:pPr>
        <w:jc w:val="both"/>
        <w:rPr>
          <w:rFonts w:ascii="Times New Roman" w:hAnsi="Times New Roman"/>
          <w:sz w:val="18"/>
          <w:szCs w:val="18"/>
        </w:rPr>
      </w:pPr>
      <w:r w:rsidRPr="009356FA">
        <w:rPr>
          <w:rFonts w:ascii="Times New Roman" w:hAnsi="Times New Roman"/>
          <w:sz w:val="18"/>
          <w:szCs w:val="18"/>
          <w:vertAlign w:val="superscript"/>
        </w:rPr>
        <w:footnoteRef/>
      </w:r>
      <w:r w:rsidRPr="009356FA">
        <w:rPr>
          <w:rFonts w:ascii="Times New Roman" w:hAnsi="Times New Roman"/>
          <w:sz w:val="18"/>
          <w:szCs w:val="18"/>
        </w:rPr>
        <w:t xml:space="preserve"> </w:t>
      </w:r>
      <w:r w:rsidRPr="009356FA">
        <w:rPr>
          <w:rFonts w:ascii="Times New Roman" w:hAnsi="Times New Roman"/>
          <w:color w:val="222222"/>
          <w:sz w:val="18"/>
          <w:szCs w:val="18"/>
          <w:highlight w:val="white"/>
        </w:rPr>
        <w:t xml:space="preserve"> </w:t>
      </w:r>
      <w:r w:rsidRPr="009356FA">
        <w:rPr>
          <w:rFonts w:ascii="Times New Roman" w:hAnsi="Times New Roman"/>
          <w:i/>
          <w:color w:val="222222"/>
          <w:sz w:val="18"/>
          <w:szCs w:val="18"/>
          <w:highlight w:val="white"/>
        </w:rPr>
        <w:t>Centro Nacional de Memoria Histórica, ¡Basta Ya! Colombia: Memorias de Guerra y Dignidad, 2013</w:t>
      </w:r>
    </w:p>
  </w:footnote>
  <w:footnote w:id="5">
    <w:p w14:paraId="71074D80" w14:textId="77777777" w:rsidR="00F94F52" w:rsidRPr="009356FA" w:rsidRDefault="00F94F52" w:rsidP="00F94F52">
      <w:pPr>
        <w:jc w:val="both"/>
        <w:rPr>
          <w:rFonts w:ascii="Times New Roman" w:hAnsi="Times New Roman"/>
          <w:color w:val="000000"/>
          <w:sz w:val="18"/>
          <w:szCs w:val="18"/>
        </w:rPr>
      </w:pPr>
      <w:r w:rsidRPr="009356FA">
        <w:rPr>
          <w:rFonts w:ascii="Times New Roman" w:hAnsi="Times New Roman"/>
          <w:sz w:val="18"/>
          <w:szCs w:val="18"/>
          <w:vertAlign w:val="superscript"/>
        </w:rPr>
        <w:footnoteRef/>
      </w:r>
      <w:r w:rsidRPr="009356FA">
        <w:rPr>
          <w:rFonts w:ascii="Times New Roman" w:hAnsi="Times New Roman"/>
          <w:sz w:val="18"/>
          <w:szCs w:val="18"/>
        </w:rPr>
        <w:t xml:space="preserve"> </w:t>
      </w:r>
      <w:r w:rsidRPr="009356FA">
        <w:rPr>
          <w:rFonts w:ascii="Times New Roman" w:hAnsi="Times New Roman"/>
          <w:i/>
          <w:color w:val="222222"/>
          <w:sz w:val="18"/>
          <w:szCs w:val="18"/>
          <w:highlight w:val="white"/>
        </w:rPr>
        <w:t>Consejo de Seguridad de la ONU, Violencia sexual relacionada con los conflictos Informe del Secretario General, 14 de marzo de 2013, párrafo 9.</w:t>
      </w:r>
    </w:p>
  </w:footnote>
  <w:footnote w:id="6">
    <w:p w14:paraId="403518A4" w14:textId="77777777" w:rsidR="00F94F52" w:rsidRPr="009356FA" w:rsidRDefault="00F94F52" w:rsidP="00F94F52">
      <w:pPr>
        <w:pStyle w:val="Textonotapie"/>
        <w:jc w:val="both"/>
        <w:rPr>
          <w:rFonts w:ascii="Times New Roman" w:hAnsi="Times New Roman"/>
          <w:sz w:val="18"/>
          <w:szCs w:val="18"/>
        </w:rPr>
      </w:pPr>
      <w:r w:rsidRPr="009356FA">
        <w:rPr>
          <w:rStyle w:val="Refdenotaalpie"/>
          <w:rFonts w:ascii="Times New Roman" w:hAnsi="Times New Roman"/>
          <w:sz w:val="18"/>
          <w:szCs w:val="18"/>
        </w:rPr>
        <w:footnoteRef/>
      </w:r>
      <w:r w:rsidRPr="009356FA">
        <w:rPr>
          <w:rFonts w:ascii="Times New Roman" w:hAnsi="Times New Roman"/>
          <w:sz w:val="18"/>
          <w:szCs w:val="18"/>
        </w:rPr>
        <w:t xml:space="preserve"> ASAMBLEA GENERAL DEL CONSEJO DE SEGURIDAD DE NACIONES UNIDAS. 66ºperíodo de sesiones. 13 de Enero de 2012. Violencia Sexual relacionada con los conflictos. Colombia. Archivo en </w:t>
      </w:r>
      <w:proofErr w:type="spellStart"/>
      <w:r w:rsidRPr="009356FA">
        <w:rPr>
          <w:rFonts w:ascii="Times New Roman" w:hAnsi="Times New Roman"/>
          <w:sz w:val="18"/>
          <w:szCs w:val="18"/>
        </w:rPr>
        <w:t>pdf</w:t>
      </w:r>
      <w:proofErr w:type="spellEnd"/>
      <w:r w:rsidRPr="009356FA">
        <w:rPr>
          <w:rFonts w:ascii="Times New Roman" w:hAnsi="Times New Roman"/>
          <w:sz w:val="18"/>
          <w:szCs w:val="18"/>
        </w:rPr>
        <w:t xml:space="preserve">. Pag.6. consultado en: </w:t>
      </w:r>
      <w:hyperlink r:id="rId2" w:history="1">
        <w:r w:rsidRPr="009356FA">
          <w:rPr>
            <w:rStyle w:val="Hipervnculo"/>
            <w:rFonts w:ascii="Times New Roman" w:hAnsi="Times New Roman"/>
            <w:sz w:val="18"/>
            <w:szCs w:val="18"/>
          </w:rPr>
          <w:t>http://www.un.org/es/globalissues/women/informe2012.pdf</w:t>
        </w:r>
      </w:hyperlink>
    </w:p>
    <w:p w14:paraId="4FFF300E" w14:textId="77777777" w:rsidR="00F94F52" w:rsidRDefault="00F94F52" w:rsidP="00F94F52">
      <w:pPr>
        <w:pStyle w:val="Textonotapie"/>
        <w:jc w:val="both"/>
      </w:pPr>
      <w:r w:rsidRPr="009356FA">
        <w:rPr>
          <w:rFonts w:ascii="Times New Roman" w:hAnsi="Times New Roman"/>
          <w:sz w:val="18"/>
          <w:szCs w:val="18"/>
        </w:rPr>
        <w:t>Recuperado el 15 de mayo de 2017</w:t>
      </w:r>
    </w:p>
  </w:footnote>
  <w:footnote w:id="7">
    <w:p w14:paraId="0BE3792F" w14:textId="77777777" w:rsidR="00F94F52" w:rsidRPr="00C63773" w:rsidRDefault="00F94F52" w:rsidP="00F94F52">
      <w:pPr>
        <w:pStyle w:val="Textonotapie"/>
        <w:rPr>
          <w:rFonts w:ascii="Times New Roman" w:hAnsi="Times New Roman"/>
          <w:sz w:val="18"/>
          <w:szCs w:val="18"/>
        </w:rPr>
      </w:pPr>
      <w:r w:rsidRPr="00C63773">
        <w:rPr>
          <w:rStyle w:val="Refdenotaalpie"/>
          <w:rFonts w:ascii="Times New Roman" w:hAnsi="Times New Roman"/>
          <w:sz w:val="18"/>
          <w:szCs w:val="18"/>
        </w:rPr>
        <w:footnoteRef/>
      </w:r>
      <w:r w:rsidRPr="00C63773">
        <w:rPr>
          <w:rFonts w:ascii="Times New Roman" w:hAnsi="Times New Roman"/>
          <w:sz w:val="18"/>
          <w:szCs w:val="18"/>
        </w:rPr>
        <w:t xml:space="preserve"> Programas de becas y créditos promovidos por instituciones como el ICETEX, </w:t>
      </w:r>
      <w:proofErr w:type="spellStart"/>
      <w:r w:rsidRPr="00C63773">
        <w:rPr>
          <w:rFonts w:ascii="Times New Roman" w:hAnsi="Times New Roman"/>
          <w:sz w:val="18"/>
          <w:szCs w:val="18"/>
        </w:rPr>
        <w:t>Colfuturo</w:t>
      </w:r>
      <w:proofErr w:type="spellEnd"/>
      <w:r w:rsidRPr="00C63773">
        <w:rPr>
          <w:rFonts w:ascii="Times New Roman" w:hAnsi="Times New Roman"/>
          <w:sz w:val="18"/>
          <w:szCs w:val="18"/>
        </w:rPr>
        <w:t xml:space="preserve">, </w:t>
      </w:r>
      <w:proofErr w:type="spellStart"/>
      <w:r w:rsidRPr="00C63773">
        <w:rPr>
          <w:rFonts w:ascii="Times New Roman" w:hAnsi="Times New Roman"/>
          <w:sz w:val="18"/>
          <w:szCs w:val="18"/>
        </w:rPr>
        <w:t>Fulbright</w:t>
      </w:r>
      <w:proofErr w:type="spellEnd"/>
      <w:r w:rsidRPr="00C63773">
        <w:rPr>
          <w:rFonts w:ascii="Times New Roman" w:hAnsi="Times New Roman"/>
          <w:sz w:val="18"/>
          <w:szCs w:val="18"/>
        </w:rPr>
        <w:t>, entre otras.</w:t>
      </w:r>
    </w:p>
  </w:footnote>
  <w:footnote w:id="8">
    <w:p w14:paraId="30ACA95C" w14:textId="77777777" w:rsidR="00F94F52" w:rsidRPr="00F94F52" w:rsidRDefault="00F94F52" w:rsidP="00F94F52">
      <w:pPr>
        <w:pStyle w:val="Textonotapie"/>
        <w:rPr>
          <w:lang w:val="es-ES"/>
        </w:rPr>
      </w:pPr>
      <w:r w:rsidRPr="00C63773">
        <w:rPr>
          <w:rStyle w:val="Refdenotaalpie"/>
          <w:rFonts w:ascii="Times New Roman" w:hAnsi="Times New Roman"/>
          <w:sz w:val="18"/>
          <w:szCs w:val="18"/>
        </w:rPr>
        <w:footnoteRef/>
      </w:r>
      <w:r w:rsidRPr="00C63773">
        <w:rPr>
          <w:rFonts w:ascii="Times New Roman" w:hAnsi="Times New Roman"/>
          <w:sz w:val="18"/>
          <w:szCs w:val="18"/>
          <w:lang w:val="en-US"/>
        </w:rPr>
        <w:t xml:space="preserve"> IZA World of Labor, Who benefits from return migration to developing countries, </w:t>
      </w:r>
      <w:proofErr w:type="spellStart"/>
      <w:r w:rsidRPr="00C63773">
        <w:rPr>
          <w:rFonts w:ascii="Times New Roman" w:hAnsi="Times New Roman"/>
          <w:sz w:val="18"/>
          <w:szCs w:val="18"/>
          <w:lang w:val="en-US"/>
        </w:rPr>
        <w:t>Jacklline</w:t>
      </w:r>
      <w:proofErr w:type="spellEnd"/>
      <w:r w:rsidRPr="00C63773">
        <w:rPr>
          <w:rFonts w:ascii="Times New Roman" w:hAnsi="Times New Roman"/>
          <w:sz w:val="18"/>
          <w:szCs w:val="18"/>
          <w:lang w:val="en-US"/>
        </w:rPr>
        <w:t xml:space="preserve"> </w:t>
      </w:r>
      <w:proofErr w:type="spellStart"/>
      <w:r w:rsidRPr="00C63773">
        <w:rPr>
          <w:rFonts w:ascii="Times New Roman" w:hAnsi="Times New Roman"/>
          <w:sz w:val="18"/>
          <w:szCs w:val="18"/>
          <w:lang w:val="en-US"/>
        </w:rPr>
        <w:t>Wahba</w:t>
      </w:r>
      <w:proofErr w:type="spellEnd"/>
      <w:r w:rsidRPr="00C63773">
        <w:rPr>
          <w:rFonts w:ascii="Times New Roman" w:hAnsi="Times New Roman"/>
          <w:sz w:val="18"/>
          <w:szCs w:val="18"/>
          <w:lang w:val="en-US"/>
        </w:rPr>
        <w:t xml:space="preserve">, University of Southampton UK, and IZA Germany, February 2015, P.6, </w:t>
      </w:r>
      <w:r w:rsidR="00487516">
        <w:fldChar w:fldCharType="begin"/>
      </w:r>
      <w:r w:rsidR="00487516" w:rsidRPr="00005031">
        <w:rPr>
          <w:lang w:val="en-US"/>
        </w:rPr>
        <w:instrText xml:space="preserve"> HYPERLINK "https://wol.iza.org/uploads/articles/123/pdfs/who-benefits-from-return-migration-to-developing-countries.pdf" </w:instrText>
      </w:r>
      <w:r w:rsidR="00487516">
        <w:fldChar w:fldCharType="separate"/>
      </w:r>
      <w:r w:rsidRPr="00C63773">
        <w:rPr>
          <w:rStyle w:val="Hipervnculo"/>
          <w:rFonts w:ascii="Times New Roman" w:hAnsi="Times New Roman"/>
          <w:sz w:val="18"/>
          <w:szCs w:val="18"/>
          <w:lang w:val="en-US"/>
        </w:rPr>
        <w:t>https://wol.iza.org/uploads/articles/123/pdfs/who-benefits-from-return-migration-to-developing-countries.pdf</w:t>
      </w:r>
      <w:r w:rsidR="00487516">
        <w:rPr>
          <w:rStyle w:val="Hipervnculo"/>
          <w:rFonts w:ascii="Times New Roman" w:hAnsi="Times New Roman"/>
          <w:sz w:val="18"/>
          <w:szCs w:val="18"/>
          <w:lang w:val="en-US"/>
        </w:rPr>
        <w:fldChar w:fldCharType="end"/>
      </w:r>
      <w:proofErr w:type="gramStart"/>
      <w:r w:rsidRPr="00C63773">
        <w:rPr>
          <w:rFonts w:ascii="Times New Roman" w:hAnsi="Times New Roman"/>
          <w:sz w:val="18"/>
          <w:szCs w:val="18"/>
          <w:lang w:val="en-US"/>
        </w:rPr>
        <w:t>.</w:t>
      </w:r>
      <w:proofErr w:type="gramEnd"/>
      <w:r w:rsidRPr="00C63773">
        <w:rPr>
          <w:rFonts w:ascii="Times New Roman" w:hAnsi="Times New Roman"/>
          <w:sz w:val="18"/>
          <w:szCs w:val="18"/>
          <w:lang w:val="en-US"/>
        </w:rPr>
        <w:t xml:space="preserve"> </w:t>
      </w:r>
      <w:r w:rsidRPr="00F94F52">
        <w:rPr>
          <w:rFonts w:ascii="Times New Roman" w:hAnsi="Times New Roman"/>
          <w:sz w:val="18"/>
          <w:szCs w:val="18"/>
          <w:lang w:val="es-ES"/>
        </w:rPr>
        <w:t>Consultado el: 25 Mayo 2017.</w:t>
      </w:r>
    </w:p>
  </w:footnote>
  <w:footnote w:id="9">
    <w:p w14:paraId="6AEA0B7B" w14:textId="77777777" w:rsidR="00F94F52" w:rsidRPr="00C63773" w:rsidRDefault="00F94F52" w:rsidP="00F94F52">
      <w:pPr>
        <w:pStyle w:val="Textonotapie"/>
        <w:rPr>
          <w:rFonts w:ascii="Times New Roman" w:hAnsi="Times New Roman"/>
          <w:sz w:val="18"/>
          <w:szCs w:val="18"/>
        </w:rPr>
      </w:pPr>
      <w:r w:rsidRPr="00C63773">
        <w:rPr>
          <w:rStyle w:val="Refdenotaalpie"/>
          <w:rFonts w:ascii="Times New Roman" w:hAnsi="Times New Roman"/>
          <w:sz w:val="18"/>
          <w:szCs w:val="18"/>
        </w:rPr>
        <w:footnoteRef/>
      </w:r>
      <w:r w:rsidRPr="00C63773">
        <w:rPr>
          <w:rFonts w:ascii="Times New Roman" w:hAnsi="Times New Roman"/>
          <w:sz w:val="18"/>
          <w:szCs w:val="18"/>
        </w:rPr>
        <w:t xml:space="preserve"> República de Ecuador PND 2009-2013, http://www.planificacion.gob.ec/wp-content/uploads/downloads/2012/07/Plan_Nacional_para_el_Buen_Vivir.pdf, Consultado 24 </w:t>
      </w:r>
      <w:proofErr w:type="spellStart"/>
      <w:r w:rsidRPr="00C63773">
        <w:rPr>
          <w:rFonts w:ascii="Times New Roman" w:hAnsi="Times New Roman"/>
          <w:sz w:val="18"/>
          <w:szCs w:val="18"/>
        </w:rPr>
        <w:t>May</w:t>
      </w:r>
      <w:proofErr w:type="spellEnd"/>
      <w:r w:rsidRPr="00C63773">
        <w:rPr>
          <w:rFonts w:ascii="Times New Roman" w:hAnsi="Times New Roman"/>
          <w:sz w:val="18"/>
          <w:szCs w:val="18"/>
        </w:rPr>
        <w:t xml:space="preserve"> 2017 </w:t>
      </w:r>
    </w:p>
  </w:footnote>
  <w:footnote w:id="10">
    <w:p w14:paraId="2FC75E74" w14:textId="77777777" w:rsidR="00F94F52" w:rsidRPr="00C63773" w:rsidRDefault="00F94F52" w:rsidP="00F94F52">
      <w:pPr>
        <w:pStyle w:val="Textonotapie"/>
        <w:rPr>
          <w:rFonts w:ascii="Times New Roman" w:hAnsi="Times New Roman"/>
          <w:sz w:val="18"/>
          <w:szCs w:val="18"/>
          <w:lang w:val="en-US"/>
        </w:rPr>
      </w:pPr>
      <w:r w:rsidRPr="00C63773">
        <w:rPr>
          <w:rStyle w:val="Refdenotaalpie"/>
          <w:rFonts w:ascii="Times New Roman" w:hAnsi="Times New Roman"/>
          <w:sz w:val="18"/>
          <w:szCs w:val="18"/>
        </w:rPr>
        <w:footnoteRef/>
      </w:r>
      <w:r w:rsidRPr="00C63773">
        <w:rPr>
          <w:rFonts w:ascii="Times New Roman" w:hAnsi="Times New Roman"/>
          <w:sz w:val="18"/>
          <w:szCs w:val="18"/>
          <w:lang w:val="en-US"/>
        </w:rPr>
        <w:t xml:space="preserve"> IZA World of Labor, Who benefits from return migration to developing countries, </w:t>
      </w:r>
      <w:proofErr w:type="spellStart"/>
      <w:r w:rsidRPr="00C63773">
        <w:rPr>
          <w:rFonts w:ascii="Times New Roman" w:hAnsi="Times New Roman"/>
          <w:sz w:val="18"/>
          <w:szCs w:val="18"/>
          <w:lang w:val="en-US"/>
        </w:rPr>
        <w:t>Jacklline</w:t>
      </w:r>
      <w:proofErr w:type="spellEnd"/>
      <w:r w:rsidRPr="00C63773">
        <w:rPr>
          <w:rFonts w:ascii="Times New Roman" w:hAnsi="Times New Roman"/>
          <w:sz w:val="18"/>
          <w:szCs w:val="18"/>
          <w:lang w:val="en-US"/>
        </w:rPr>
        <w:t xml:space="preserve"> </w:t>
      </w:r>
      <w:proofErr w:type="spellStart"/>
      <w:r w:rsidRPr="00C63773">
        <w:rPr>
          <w:rFonts w:ascii="Times New Roman" w:hAnsi="Times New Roman"/>
          <w:sz w:val="18"/>
          <w:szCs w:val="18"/>
          <w:lang w:val="en-US"/>
        </w:rPr>
        <w:t>Wahba</w:t>
      </w:r>
      <w:proofErr w:type="spellEnd"/>
      <w:r w:rsidRPr="00C63773">
        <w:rPr>
          <w:rFonts w:ascii="Times New Roman" w:hAnsi="Times New Roman"/>
          <w:sz w:val="18"/>
          <w:szCs w:val="18"/>
          <w:lang w:val="en-US"/>
        </w:rPr>
        <w:t xml:space="preserve">, University of Southampton UK, and IZA Germany, February 2015, P.6, https://wol.iza.org/uploads/articles/123/pdfs/who-benefits-from-return-migration-to-developing-countries.pdf, </w:t>
      </w:r>
      <w:proofErr w:type="spellStart"/>
      <w:r w:rsidRPr="00C63773">
        <w:rPr>
          <w:rFonts w:ascii="Times New Roman" w:hAnsi="Times New Roman"/>
          <w:sz w:val="18"/>
          <w:szCs w:val="18"/>
          <w:lang w:val="en-US"/>
        </w:rPr>
        <w:t>consultado</w:t>
      </w:r>
      <w:proofErr w:type="spellEnd"/>
      <w:r w:rsidRPr="00C63773">
        <w:rPr>
          <w:rFonts w:ascii="Times New Roman" w:hAnsi="Times New Roman"/>
          <w:sz w:val="18"/>
          <w:szCs w:val="18"/>
          <w:lang w:val="en-US"/>
        </w:rPr>
        <w:t xml:space="preserve"> 25 May 2017</w:t>
      </w:r>
    </w:p>
  </w:footnote>
  <w:footnote w:id="11">
    <w:p w14:paraId="0E7F49DB" w14:textId="77777777" w:rsidR="00F94F52" w:rsidRPr="00240728" w:rsidRDefault="00F94F52" w:rsidP="00F94F52">
      <w:pPr>
        <w:pStyle w:val="Textonotapie"/>
        <w:rPr>
          <w:lang w:val="en-US"/>
        </w:rPr>
      </w:pPr>
      <w:r w:rsidRPr="00C63773">
        <w:rPr>
          <w:rStyle w:val="Refdenotaalpie"/>
          <w:rFonts w:ascii="Times New Roman" w:hAnsi="Times New Roman"/>
          <w:sz w:val="18"/>
          <w:szCs w:val="18"/>
        </w:rPr>
        <w:footnoteRef/>
      </w:r>
      <w:r w:rsidRPr="00C63773">
        <w:rPr>
          <w:rFonts w:ascii="Times New Roman" w:hAnsi="Times New Roman"/>
          <w:sz w:val="18"/>
          <w:szCs w:val="18"/>
          <w:lang w:val="en-US"/>
        </w:rPr>
        <w:t xml:space="preserve"> </w:t>
      </w:r>
      <w:bookmarkStart w:id="2" w:name="_Hlk484367284"/>
      <w:r w:rsidRPr="00C63773">
        <w:rPr>
          <w:rFonts w:ascii="Times New Roman" w:hAnsi="Times New Roman"/>
          <w:sz w:val="18"/>
          <w:szCs w:val="18"/>
          <w:lang w:val="en-US"/>
        </w:rPr>
        <w:t xml:space="preserve">Caritas Internationalis, The Female Face of </w:t>
      </w:r>
      <w:proofErr w:type="spellStart"/>
      <w:r w:rsidRPr="00C63773">
        <w:rPr>
          <w:rFonts w:ascii="Times New Roman" w:hAnsi="Times New Roman"/>
          <w:sz w:val="18"/>
          <w:szCs w:val="18"/>
          <w:lang w:val="en-US"/>
        </w:rPr>
        <w:t>MIgration</w:t>
      </w:r>
      <w:proofErr w:type="spellEnd"/>
      <w:r w:rsidRPr="00C63773">
        <w:rPr>
          <w:rFonts w:ascii="Times New Roman" w:hAnsi="Times New Roman"/>
          <w:sz w:val="18"/>
          <w:szCs w:val="18"/>
          <w:lang w:val="en-US"/>
        </w:rPr>
        <w:t xml:space="preserve">, Background Paper, p. 14-15, http://www.caritas.org/includes/pdf/backgroundmigration.pdf, </w:t>
      </w:r>
      <w:proofErr w:type="spellStart"/>
      <w:r w:rsidRPr="00C63773">
        <w:rPr>
          <w:rFonts w:ascii="Times New Roman" w:hAnsi="Times New Roman"/>
          <w:sz w:val="18"/>
          <w:szCs w:val="18"/>
          <w:lang w:val="en-US"/>
        </w:rPr>
        <w:t>Consultado</w:t>
      </w:r>
      <w:proofErr w:type="spellEnd"/>
      <w:r w:rsidRPr="00C63773">
        <w:rPr>
          <w:rFonts w:ascii="Times New Roman" w:hAnsi="Times New Roman"/>
          <w:sz w:val="18"/>
          <w:szCs w:val="18"/>
          <w:lang w:val="en-US"/>
        </w:rPr>
        <w:t xml:space="preserve"> 26 May 2017.</w:t>
      </w:r>
      <w:bookmarkEnd w:id="2"/>
    </w:p>
  </w:footnote>
  <w:footnote w:id="12">
    <w:p w14:paraId="44411580" w14:textId="77777777" w:rsidR="00F94F52" w:rsidRPr="008E25D8" w:rsidRDefault="00F94F52" w:rsidP="00F94F52">
      <w:pPr>
        <w:pStyle w:val="Textonotapie"/>
        <w:rPr>
          <w:sz w:val="20"/>
          <w:lang w:val="es-ES"/>
        </w:rPr>
      </w:pPr>
      <w:r w:rsidRPr="008E25D8">
        <w:rPr>
          <w:rStyle w:val="Refdenotaalpie"/>
          <w:sz w:val="20"/>
        </w:rPr>
        <w:footnoteRef/>
      </w:r>
      <w:r w:rsidRPr="008E25D8">
        <w:rPr>
          <w:sz w:val="20"/>
          <w:lang w:val="es-ES"/>
        </w:rPr>
        <w:t xml:space="preserve"> Red Nacional de Información sobre Víctimas del Conflicto del Gobierno de Colombia. Registro Único de Víctimas. Unidad de Atención y Reparación Integral para las Víctimas. Consultado en julio de 2017:  https://rni.unidadvictimas.gov.co/RUV</w:t>
      </w:r>
    </w:p>
  </w:footnote>
  <w:footnote w:id="13">
    <w:p w14:paraId="0FE29928" w14:textId="77777777" w:rsidR="00F94F52" w:rsidRPr="008E25D8" w:rsidRDefault="00F94F52" w:rsidP="00F94F52">
      <w:pPr>
        <w:pStyle w:val="Textonotapie"/>
        <w:rPr>
          <w:sz w:val="20"/>
          <w:lang w:val="es-CO"/>
        </w:rPr>
      </w:pPr>
      <w:r w:rsidRPr="008E25D8">
        <w:rPr>
          <w:rStyle w:val="Refdenotaalpie"/>
          <w:sz w:val="20"/>
        </w:rPr>
        <w:footnoteRef/>
      </w:r>
      <w:r w:rsidRPr="008E25D8">
        <w:rPr>
          <w:sz w:val="20"/>
        </w:rPr>
        <w:t xml:space="preserve"> </w:t>
      </w:r>
      <w:r w:rsidRPr="008E25D8">
        <w:rPr>
          <w:sz w:val="20"/>
          <w:lang w:val="es-CO"/>
        </w:rPr>
        <w:t xml:space="preserve">ACNUR. Colombia </w:t>
      </w:r>
      <w:proofErr w:type="spellStart"/>
      <w:r w:rsidRPr="008E25D8">
        <w:rPr>
          <w:sz w:val="20"/>
          <w:lang w:val="es-CO"/>
        </w:rPr>
        <w:t>Situation</w:t>
      </w:r>
      <w:proofErr w:type="spellEnd"/>
      <w:r w:rsidRPr="008E25D8">
        <w:rPr>
          <w:sz w:val="20"/>
          <w:lang w:val="es-CO"/>
        </w:rPr>
        <w:t>. Fronteras Ecuador-Colombia-Venezuela). 2011</w:t>
      </w:r>
    </w:p>
  </w:footnote>
  <w:footnote w:id="14">
    <w:p w14:paraId="031A5C37" w14:textId="77777777" w:rsidR="00F94F52" w:rsidRPr="008E25D8" w:rsidRDefault="00F94F52" w:rsidP="00F94F52">
      <w:pPr>
        <w:pStyle w:val="Textonotapie"/>
        <w:rPr>
          <w:sz w:val="20"/>
          <w:lang w:val="es-CO"/>
        </w:rPr>
      </w:pPr>
      <w:r w:rsidRPr="008E25D8">
        <w:rPr>
          <w:rStyle w:val="Refdenotaalpie"/>
          <w:sz w:val="20"/>
        </w:rPr>
        <w:footnoteRef/>
      </w:r>
      <w:r w:rsidRPr="008E25D8">
        <w:rPr>
          <w:sz w:val="20"/>
        </w:rPr>
        <w:t xml:space="preserve"> </w:t>
      </w:r>
      <w:r w:rsidRPr="008E25D8">
        <w:rPr>
          <w:sz w:val="20"/>
          <w:lang w:val="es-CO"/>
        </w:rPr>
        <w:t xml:space="preserve">ACNUR. Tendencias Globales. Desplazamiento. 2012. </w:t>
      </w:r>
    </w:p>
  </w:footnote>
  <w:footnote w:id="15">
    <w:p w14:paraId="255064CD" w14:textId="77777777" w:rsidR="00F94F52" w:rsidRPr="008E25D8" w:rsidRDefault="00F94F52" w:rsidP="00F94F52">
      <w:pPr>
        <w:pStyle w:val="Textonotapie"/>
        <w:rPr>
          <w:sz w:val="20"/>
          <w:lang w:val="es-CO"/>
        </w:rPr>
      </w:pPr>
      <w:r w:rsidRPr="008E25D8">
        <w:rPr>
          <w:rStyle w:val="Refdenotaalpie"/>
          <w:sz w:val="20"/>
        </w:rPr>
        <w:footnoteRef/>
      </w:r>
      <w:r w:rsidRPr="008E25D8">
        <w:rPr>
          <w:sz w:val="20"/>
        </w:rPr>
        <w:t xml:space="preserve"> Según el Ministerio de Relaciones exteriores se calcula que hay al menos 4.7 millones de colombianos residentes en el exterior. Consultado en julio de 2017. https://www.cancilleria.gov.co/sites/default/files/informe-ejecutivo-2013-vinculacion-colombianos-exterior.pdf</w:t>
      </w:r>
    </w:p>
  </w:footnote>
  <w:footnote w:id="16">
    <w:p w14:paraId="1837D682" w14:textId="77777777" w:rsidR="00F94F52" w:rsidRPr="008E25D8" w:rsidRDefault="00F94F52" w:rsidP="00F94F52">
      <w:pPr>
        <w:pStyle w:val="Textonotapie"/>
        <w:rPr>
          <w:lang w:val="es-CO"/>
        </w:rPr>
      </w:pPr>
      <w:r w:rsidRPr="008E25D8">
        <w:rPr>
          <w:rStyle w:val="Refdenotaalpie"/>
          <w:sz w:val="20"/>
        </w:rPr>
        <w:footnoteRef/>
      </w:r>
      <w:r w:rsidRPr="008E25D8">
        <w:rPr>
          <w:sz w:val="20"/>
        </w:rPr>
        <w:t xml:space="preserve"> Informe Cifras Víctimas en el Exterior Unidad de Víctimas. Corte: 31 de mayo 2017. Elaborado por: Grupo de Atención a  Víctimas en el Exterior Subdirección General</w:t>
      </w:r>
      <w:r>
        <w:rPr>
          <w:sz w:val="20"/>
        </w:rPr>
        <w:t xml:space="preserve">, en respuesta a solicitud de información de la Congresista Ana Paola Agudelo, Representante a la Cámara por los Colombianos en el Exterior. </w:t>
      </w:r>
      <w:r w:rsidRPr="008E25D8">
        <w:rPr>
          <w:sz w:val="20"/>
        </w:rPr>
        <w:t xml:space="preserve"> </w:t>
      </w:r>
    </w:p>
  </w:footnote>
  <w:footnote w:id="17">
    <w:p w14:paraId="312CEF07" w14:textId="77777777" w:rsidR="00F94F52" w:rsidRPr="0034685E" w:rsidRDefault="00F94F52" w:rsidP="00F94F52">
      <w:pPr>
        <w:pStyle w:val="Textonotapie"/>
        <w:rPr>
          <w:lang w:val="es-CO"/>
        </w:rPr>
      </w:pPr>
      <w:r>
        <w:rPr>
          <w:rStyle w:val="Refdenotaalpie"/>
        </w:rPr>
        <w:footnoteRef/>
      </w:r>
      <w:r>
        <w:t xml:space="preserve"> </w:t>
      </w:r>
      <w:r w:rsidRPr="0034685E">
        <w:rPr>
          <w:rFonts w:ascii="Arial Narrow" w:hAnsi="Arial Narrow"/>
          <w:sz w:val="20"/>
          <w:lang w:val="es-CO"/>
        </w:rPr>
        <w:t xml:space="preserve">Comisión Colombiana de Juristas.2012. Refugiados y Ley de Víctimas. </w:t>
      </w:r>
      <w:r w:rsidRPr="0034685E">
        <w:rPr>
          <w:rFonts w:ascii="Arial Narrow" w:hAnsi="Arial Narrow"/>
          <w:i/>
          <w:sz w:val="20"/>
          <w:lang w:val="es-CO"/>
        </w:rPr>
        <w:t>Impactos de la Ley de Víctimas en la situación de las personas que se encuentran en necesidad de protección internacional</w:t>
      </w:r>
      <w:r w:rsidRPr="0034685E">
        <w:rPr>
          <w:rFonts w:ascii="Arial Narrow" w:hAnsi="Arial Narrow"/>
          <w:sz w:val="20"/>
          <w:lang w:val="es-CO"/>
        </w:rPr>
        <w:t>. Bogotá, Colombia</w:t>
      </w:r>
      <w:r>
        <w:rPr>
          <w:lang w:val="es-CO"/>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3466B"/>
    <w:multiLevelType w:val="hybridMultilevel"/>
    <w:tmpl w:val="8C10BF8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8B36AFE"/>
    <w:multiLevelType w:val="hybridMultilevel"/>
    <w:tmpl w:val="DF5EBA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88B38FA"/>
    <w:multiLevelType w:val="hybridMultilevel"/>
    <w:tmpl w:val="616033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C1E5F6D"/>
    <w:multiLevelType w:val="hybridMultilevel"/>
    <w:tmpl w:val="F4422940"/>
    <w:lvl w:ilvl="0" w:tplc="6A0A9BD6">
      <w:numFmt w:val="bullet"/>
      <w:pStyle w:val="cuerpo"/>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CA21E1A"/>
    <w:multiLevelType w:val="multilevel"/>
    <w:tmpl w:val="0840F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49263C0"/>
    <w:multiLevelType w:val="hybridMultilevel"/>
    <w:tmpl w:val="C6624CE4"/>
    <w:lvl w:ilvl="0" w:tplc="35C883E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48EB3197"/>
    <w:multiLevelType w:val="multilevel"/>
    <w:tmpl w:val="6CD823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52054892"/>
    <w:multiLevelType w:val="hybridMultilevel"/>
    <w:tmpl w:val="9028DC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559A2AA1"/>
    <w:multiLevelType w:val="hybridMultilevel"/>
    <w:tmpl w:val="1AA240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69304D8"/>
    <w:multiLevelType w:val="hybridMultilevel"/>
    <w:tmpl w:val="6F741BA6"/>
    <w:lvl w:ilvl="0" w:tplc="5B44B00C">
      <w:start w:val="1"/>
      <w:numFmt w:val="upperRoman"/>
      <w:lvlText w:val="%1)"/>
      <w:lvlJc w:val="left"/>
      <w:pPr>
        <w:ind w:left="2844" w:hanging="720"/>
      </w:pPr>
      <w:rPr>
        <w:rFonts w:hint="default"/>
      </w:rPr>
    </w:lvl>
    <w:lvl w:ilvl="1" w:tplc="040A0019" w:tentative="1">
      <w:start w:val="1"/>
      <w:numFmt w:val="lowerLetter"/>
      <w:lvlText w:val="%2."/>
      <w:lvlJc w:val="left"/>
      <w:pPr>
        <w:ind w:left="3204" w:hanging="360"/>
      </w:pPr>
    </w:lvl>
    <w:lvl w:ilvl="2" w:tplc="040A001B" w:tentative="1">
      <w:start w:val="1"/>
      <w:numFmt w:val="lowerRoman"/>
      <w:lvlText w:val="%3."/>
      <w:lvlJc w:val="right"/>
      <w:pPr>
        <w:ind w:left="3924" w:hanging="180"/>
      </w:pPr>
    </w:lvl>
    <w:lvl w:ilvl="3" w:tplc="040A000F" w:tentative="1">
      <w:start w:val="1"/>
      <w:numFmt w:val="decimal"/>
      <w:lvlText w:val="%4."/>
      <w:lvlJc w:val="left"/>
      <w:pPr>
        <w:ind w:left="4644" w:hanging="360"/>
      </w:pPr>
    </w:lvl>
    <w:lvl w:ilvl="4" w:tplc="040A0019" w:tentative="1">
      <w:start w:val="1"/>
      <w:numFmt w:val="lowerLetter"/>
      <w:lvlText w:val="%5."/>
      <w:lvlJc w:val="left"/>
      <w:pPr>
        <w:ind w:left="5364" w:hanging="360"/>
      </w:pPr>
    </w:lvl>
    <w:lvl w:ilvl="5" w:tplc="040A001B" w:tentative="1">
      <w:start w:val="1"/>
      <w:numFmt w:val="lowerRoman"/>
      <w:lvlText w:val="%6."/>
      <w:lvlJc w:val="right"/>
      <w:pPr>
        <w:ind w:left="6084" w:hanging="180"/>
      </w:pPr>
    </w:lvl>
    <w:lvl w:ilvl="6" w:tplc="040A000F" w:tentative="1">
      <w:start w:val="1"/>
      <w:numFmt w:val="decimal"/>
      <w:lvlText w:val="%7."/>
      <w:lvlJc w:val="left"/>
      <w:pPr>
        <w:ind w:left="6804" w:hanging="360"/>
      </w:pPr>
    </w:lvl>
    <w:lvl w:ilvl="7" w:tplc="040A0019" w:tentative="1">
      <w:start w:val="1"/>
      <w:numFmt w:val="lowerLetter"/>
      <w:lvlText w:val="%8."/>
      <w:lvlJc w:val="left"/>
      <w:pPr>
        <w:ind w:left="7524" w:hanging="360"/>
      </w:pPr>
    </w:lvl>
    <w:lvl w:ilvl="8" w:tplc="040A001B" w:tentative="1">
      <w:start w:val="1"/>
      <w:numFmt w:val="lowerRoman"/>
      <w:lvlText w:val="%9."/>
      <w:lvlJc w:val="right"/>
      <w:pPr>
        <w:ind w:left="8244" w:hanging="180"/>
      </w:pPr>
    </w:lvl>
  </w:abstractNum>
  <w:abstractNum w:abstractNumId="10">
    <w:nsid w:val="5CC25028"/>
    <w:multiLevelType w:val="hybridMultilevel"/>
    <w:tmpl w:val="BBC2780C"/>
    <w:lvl w:ilvl="0" w:tplc="35C883EE">
      <w:numFmt w:val="bullet"/>
      <w:lvlText w:val="-"/>
      <w:lvlJc w:val="left"/>
      <w:pPr>
        <w:ind w:left="2160" w:hanging="360"/>
      </w:pPr>
      <w:rPr>
        <w:rFonts w:ascii="Times New Roman" w:eastAsia="Times New Roman" w:hAnsi="Times New Roman" w:cs="Times New Roman" w:hint="default"/>
      </w:rPr>
    </w:lvl>
    <w:lvl w:ilvl="1" w:tplc="0C0A0003" w:tentative="1">
      <w:start w:val="1"/>
      <w:numFmt w:val="bullet"/>
      <w:lvlText w:val="o"/>
      <w:lvlJc w:val="left"/>
      <w:pPr>
        <w:ind w:left="2880" w:hanging="360"/>
      </w:pPr>
      <w:rPr>
        <w:rFonts w:ascii="Courier New" w:hAnsi="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11">
    <w:nsid w:val="75DC3A6D"/>
    <w:multiLevelType w:val="hybridMultilevel"/>
    <w:tmpl w:val="29168C48"/>
    <w:lvl w:ilvl="0" w:tplc="35C883E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798707EF"/>
    <w:multiLevelType w:val="hybridMultilevel"/>
    <w:tmpl w:val="3EE8D966"/>
    <w:lvl w:ilvl="0" w:tplc="35C883E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7D9334D1"/>
    <w:multiLevelType w:val="hybridMultilevel"/>
    <w:tmpl w:val="FA42472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2"/>
  </w:num>
  <w:num w:numId="2">
    <w:abstractNumId w:val="13"/>
  </w:num>
  <w:num w:numId="3">
    <w:abstractNumId w:val="10"/>
  </w:num>
  <w:num w:numId="4">
    <w:abstractNumId w:val="5"/>
  </w:num>
  <w:num w:numId="5">
    <w:abstractNumId w:val="11"/>
  </w:num>
  <w:num w:numId="6">
    <w:abstractNumId w:val="3"/>
  </w:num>
  <w:num w:numId="7">
    <w:abstractNumId w:val="7"/>
  </w:num>
  <w:num w:numId="8">
    <w:abstractNumId w:val="12"/>
  </w:num>
  <w:num w:numId="9">
    <w:abstractNumId w:val="8"/>
  </w:num>
  <w:num w:numId="10">
    <w:abstractNumId w:val="4"/>
  </w:num>
  <w:num w:numId="11">
    <w:abstractNumId w:val="6"/>
  </w:num>
  <w:num w:numId="12">
    <w:abstractNumId w:val="1"/>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E6B"/>
    <w:rsid w:val="00005031"/>
    <w:rsid w:val="00066BDC"/>
    <w:rsid w:val="00094992"/>
    <w:rsid w:val="000971E9"/>
    <w:rsid w:val="000A0FC0"/>
    <w:rsid w:val="000A5F61"/>
    <w:rsid w:val="00121ABF"/>
    <w:rsid w:val="0014668A"/>
    <w:rsid w:val="001B3B3E"/>
    <w:rsid w:val="002005CB"/>
    <w:rsid w:val="0027460F"/>
    <w:rsid w:val="0029410E"/>
    <w:rsid w:val="002A09F6"/>
    <w:rsid w:val="002A4EB4"/>
    <w:rsid w:val="002A66B7"/>
    <w:rsid w:val="002B2A04"/>
    <w:rsid w:val="00307B4C"/>
    <w:rsid w:val="00337267"/>
    <w:rsid w:val="0035472D"/>
    <w:rsid w:val="003631DF"/>
    <w:rsid w:val="00377B16"/>
    <w:rsid w:val="00384143"/>
    <w:rsid w:val="00397B5F"/>
    <w:rsid w:val="003A5D8F"/>
    <w:rsid w:val="003C0041"/>
    <w:rsid w:val="003E07FA"/>
    <w:rsid w:val="003F31C6"/>
    <w:rsid w:val="00427DDE"/>
    <w:rsid w:val="00455D93"/>
    <w:rsid w:val="00487516"/>
    <w:rsid w:val="004963C2"/>
    <w:rsid w:val="004C5376"/>
    <w:rsid w:val="004F3699"/>
    <w:rsid w:val="00517A79"/>
    <w:rsid w:val="00523172"/>
    <w:rsid w:val="00551230"/>
    <w:rsid w:val="005B0321"/>
    <w:rsid w:val="00676F4C"/>
    <w:rsid w:val="00723F3B"/>
    <w:rsid w:val="00752751"/>
    <w:rsid w:val="00761732"/>
    <w:rsid w:val="007617BE"/>
    <w:rsid w:val="0076242F"/>
    <w:rsid w:val="00781C4A"/>
    <w:rsid w:val="008338AE"/>
    <w:rsid w:val="00835FBF"/>
    <w:rsid w:val="008A0F66"/>
    <w:rsid w:val="008D1F2C"/>
    <w:rsid w:val="00955193"/>
    <w:rsid w:val="00955D3C"/>
    <w:rsid w:val="00981020"/>
    <w:rsid w:val="009B4F2F"/>
    <w:rsid w:val="009E20DA"/>
    <w:rsid w:val="00A17393"/>
    <w:rsid w:val="00A17426"/>
    <w:rsid w:val="00A20DCB"/>
    <w:rsid w:val="00A30D51"/>
    <w:rsid w:val="00A3531E"/>
    <w:rsid w:val="00AA1A18"/>
    <w:rsid w:val="00AB1B8C"/>
    <w:rsid w:val="00B21EDC"/>
    <w:rsid w:val="00B26D4E"/>
    <w:rsid w:val="00B52567"/>
    <w:rsid w:val="00BA404A"/>
    <w:rsid w:val="00BA4578"/>
    <w:rsid w:val="00BB2198"/>
    <w:rsid w:val="00BF236A"/>
    <w:rsid w:val="00C2556B"/>
    <w:rsid w:val="00C52E48"/>
    <w:rsid w:val="00CA5E6B"/>
    <w:rsid w:val="00CB7B63"/>
    <w:rsid w:val="00CC50F7"/>
    <w:rsid w:val="00D10EEF"/>
    <w:rsid w:val="00D165B8"/>
    <w:rsid w:val="00D25CCC"/>
    <w:rsid w:val="00D30033"/>
    <w:rsid w:val="00D305B0"/>
    <w:rsid w:val="00D3301E"/>
    <w:rsid w:val="00D640C7"/>
    <w:rsid w:val="00DD3780"/>
    <w:rsid w:val="00DF2EFE"/>
    <w:rsid w:val="00DF4EFF"/>
    <w:rsid w:val="00E20F3F"/>
    <w:rsid w:val="00E43DC9"/>
    <w:rsid w:val="00E6787C"/>
    <w:rsid w:val="00E836A9"/>
    <w:rsid w:val="00EA3523"/>
    <w:rsid w:val="00EB01BB"/>
    <w:rsid w:val="00ED1BA9"/>
    <w:rsid w:val="00F136D7"/>
    <w:rsid w:val="00F25FB8"/>
    <w:rsid w:val="00F47251"/>
    <w:rsid w:val="00F94F52"/>
    <w:rsid w:val="00FA227B"/>
    <w:rsid w:val="00FE7AC3"/>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5E0F9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B26D4E"/>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A5E6B"/>
    <w:pPr>
      <w:ind w:left="720"/>
      <w:contextualSpacing/>
    </w:pPr>
  </w:style>
  <w:style w:type="paragraph" w:customStyle="1" w:styleId="cuerpo">
    <w:name w:val="cuerpo"/>
    <w:basedOn w:val="Prrafodelista"/>
    <w:rsid w:val="003F31C6"/>
    <w:pPr>
      <w:numPr>
        <w:numId w:val="6"/>
      </w:numPr>
    </w:pPr>
    <w:rPr>
      <w:rFonts w:ascii="Times New Roman" w:hAnsi="Times New Roman" w:cs="Times New Roman"/>
    </w:rPr>
  </w:style>
  <w:style w:type="paragraph" w:styleId="Textodeglobo">
    <w:name w:val="Balloon Text"/>
    <w:basedOn w:val="Normal"/>
    <w:link w:val="TextodegloboCar"/>
    <w:uiPriority w:val="99"/>
    <w:semiHidden/>
    <w:unhideWhenUsed/>
    <w:rsid w:val="004F3699"/>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4F3699"/>
    <w:rPr>
      <w:rFonts w:ascii="Lucida Grande" w:hAnsi="Lucida Grande" w:cs="Lucida Grande"/>
      <w:sz w:val="18"/>
      <w:szCs w:val="18"/>
    </w:rPr>
  </w:style>
  <w:style w:type="character" w:customStyle="1" w:styleId="Ttulo1Car">
    <w:name w:val="Título 1 Car"/>
    <w:basedOn w:val="Fuentedeprrafopredeter"/>
    <w:link w:val="Ttulo1"/>
    <w:uiPriority w:val="9"/>
    <w:rsid w:val="00B26D4E"/>
    <w:rPr>
      <w:rFonts w:asciiTheme="majorHAnsi" w:eastAsiaTheme="majorEastAsia" w:hAnsiTheme="majorHAnsi" w:cstheme="majorBidi"/>
      <w:b/>
      <w:bCs/>
      <w:color w:val="365F91" w:themeColor="accent1" w:themeShade="BF"/>
      <w:sz w:val="28"/>
      <w:szCs w:val="28"/>
    </w:rPr>
  </w:style>
  <w:style w:type="paragraph" w:styleId="Bibliografa">
    <w:name w:val="Bibliography"/>
    <w:basedOn w:val="Normal"/>
    <w:next w:val="Normal"/>
    <w:uiPriority w:val="37"/>
    <w:unhideWhenUsed/>
    <w:rsid w:val="00B26D4E"/>
  </w:style>
  <w:style w:type="character" w:styleId="Hipervnculo">
    <w:name w:val="Hyperlink"/>
    <w:basedOn w:val="Fuentedeprrafopredeter"/>
    <w:uiPriority w:val="99"/>
    <w:unhideWhenUsed/>
    <w:rsid w:val="002A66B7"/>
    <w:rPr>
      <w:color w:val="0000FF" w:themeColor="hyperlink"/>
      <w:u w:val="single"/>
    </w:rPr>
  </w:style>
  <w:style w:type="paragraph" w:styleId="Textonotapie">
    <w:name w:val="footnote text"/>
    <w:basedOn w:val="Normal"/>
    <w:link w:val="TextonotapieCar"/>
    <w:uiPriority w:val="99"/>
    <w:semiHidden/>
    <w:unhideWhenUsed/>
    <w:rsid w:val="00F94F52"/>
    <w:rPr>
      <w:rFonts w:ascii="Calibri" w:eastAsia="Calibri" w:hAnsi="Calibri" w:cs="Times New Roman"/>
      <w:lang w:eastAsia="en-US"/>
    </w:rPr>
  </w:style>
  <w:style w:type="character" w:customStyle="1" w:styleId="TextonotapieCar">
    <w:name w:val="Texto nota pie Car"/>
    <w:basedOn w:val="Fuentedeprrafopredeter"/>
    <w:link w:val="Textonotapie"/>
    <w:uiPriority w:val="99"/>
    <w:semiHidden/>
    <w:rsid w:val="00F94F52"/>
    <w:rPr>
      <w:rFonts w:ascii="Calibri" w:eastAsia="Calibri" w:hAnsi="Calibri" w:cs="Times New Roman"/>
      <w:lang w:eastAsia="en-US"/>
    </w:rPr>
  </w:style>
  <w:style w:type="character" w:styleId="Refdenotaalpie">
    <w:name w:val="footnote reference"/>
    <w:uiPriority w:val="99"/>
    <w:semiHidden/>
    <w:unhideWhenUsed/>
    <w:rsid w:val="00F94F5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B26D4E"/>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A5E6B"/>
    <w:pPr>
      <w:ind w:left="720"/>
      <w:contextualSpacing/>
    </w:pPr>
  </w:style>
  <w:style w:type="paragraph" w:customStyle="1" w:styleId="cuerpo">
    <w:name w:val="cuerpo"/>
    <w:basedOn w:val="Prrafodelista"/>
    <w:rsid w:val="003F31C6"/>
    <w:pPr>
      <w:numPr>
        <w:numId w:val="6"/>
      </w:numPr>
    </w:pPr>
    <w:rPr>
      <w:rFonts w:ascii="Times New Roman" w:hAnsi="Times New Roman" w:cs="Times New Roman"/>
    </w:rPr>
  </w:style>
  <w:style w:type="paragraph" w:styleId="Textodeglobo">
    <w:name w:val="Balloon Text"/>
    <w:basedOn w:val="Normal"/>
    <w:link w:val="TextodegloboCar"/>
    <w:uiPriority w:val="99"/>
    <w:semiHidden/>
    <w:unhideWhenUsed/>
    <w:rsid w:val="004F3699"/>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4F3699"/>
    <w:rPr>
      <w:rFonts w:ascii="Lucida Grande" w:hAnsi="Lucida Grande" w:cs="Lucida Grande"/>
      <w:sz w:val="18"/>
      <w:szCs w:val="18"/>
    </w:rPr>
  </w:style>
  <w:style w:type="character" w:customStyle="1" w:styleId="Ttulo1Car">
    <w:name w:val="Título 1 Car"/>
    <w:basedOn w:val="Fuentedeprrafopredeter"/>
    <w:link w:val="Ttulo1"/>
    <w:uiPriority w:val="9"/>
    <w:rsid w:val="00B26D4E"/>
    <w:rPr>
      <w:rFonts w:asciiTheme="majorHAnsi" w:eastAsiaTheme="majorEastAsia" w:hAnsiTheme="majorHAnsi" w:cstheme="majorBidi"/>
      <w:b/>
      <w:bCs/>
      <w:color w:val="365F91" w:themeColor="accent1" w:themeShade="BF"/>
      <w:sz w:val="28"/>
      <w:szCs w:val="28"/>
    </w:rPr>
  </w:style>
  <w:style w:type="paragraph" w:styleId="Bibliografa">
    <w:name w:val="Bibliography"/>
    <w:basedOn w:val="Normal"/>
    <w:next w:val="Normal"/>
    <w:uiPriority w:val="37"/>
    <w:unhideWhenUsed/>
    <w:rsid w:val="00B26D4E"/>
  </w:style>
  <w:style w:type="character" w:styleId="Hipervnculo">
    <w:name w:val="Hyperlink"/>
    <w:basedOn w:val="Fuentedeprrafopredeter"/>
    <w:uiPriority w:val="99"/>
    <w:unhideWhenUsed/>
    <w:rsid w:val="002A66B7"/>
    <w:rPr>
      <w:color w:val="0000FF" w:themeColor="hyperlink"/>
      <w:u w:val="single"/>
    </w:rPr>
  </w:style>
  <w:style w:type="paragraph" w:styleId="Textonotapie">
    <w:name w:val="footnote text"/>
    <w:basedOn w:val="Normal"/>
    <w:link w:val="TextonotapieCar"/>
    <w:uiPriority w:val="99"/>
    <w:semiHidden/>
    <w:unhideWhenUsed/>
    <w:rsid w:val="00F94F52"/>
    <w:rPr>
      <w:rFonts w:ascii="Calibri" w:eastAsia="Calibri" w:hAnsi="Calibri" w:cs="Times New Roman"/>
      <w:lang w:eastAsia="en-US"/>
    </w:rPr>
  </w:style>
  <w:style w:type="character" w:customStyle="1" w:styleId="TextonotapieCar">
    <w:name w:val="Texto nota pie Car"/>
    <w:basedOn w:val="Fuentedeprrafopredeter"/>
    <w:link w:val="Textonotapie"/>
    <w:uiPriority w:val="99"/>
    <w:semiHidden/>
    <w:rsid w:val="00F94F52"/>
    <w:rPr>
      <w:rFonts w:ascii="Calibri" w:eastAsia="Calibri" w:hAnsi="Calibri" w:cs="Times New Roman"/>
      <w:lang w:eastAsia="en-US"/>
    </w:rPr>
  </w:style>
  <w:style w:type="character" w:styleId="Refdenotaalpie">
    <w:name w:val="footnote reference"/>
    <w:uiPriority w:val="99"/>
    <w:semiHidden/>
    <w:unhideWhenUsed/>
    <w:rsid w:val="00F94F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23833">
      <w:bodyDiv w:val="1"/>
      <w:marLeft w:val="0"/>
      <w:marRight w:val="0"/>
      <w:marTop w:val="0"/>
      <w:marBottom w:val="0"/>
      <w:divBdr>
        <w:top w:val="none" w:sz="0" w:space="0" w:color="auto"/>
        <w:left w:val="none" w:sz="0" w:space="0" w:color="auto"/>
        <w:bottom w:val="none" w:sz="0" w:space="0" w:color="auto"/>
        <w:right w:val="none" w:sz="0" w:space="0" w:color="auto"/>
      </w:divBdr>
    </w:div>
    <w:div w:id="78447425">
      <w:bodyDiv w:val="1"/>
      <w:marLeft w:val="0"/>
      <w:marRight w:val="0"/>
      <w:marTop w:val="0"/>
      <w:marBottom w:val="0"/>
      <w:divBdr>
        <w:top w:val="none" w:sz="0" w:space="0" w:color="auto"/>
        <w:left w:val="none" w:sz="0" w:space="0" w:color="auto"/>
        <w:bottom w:val="none" w:sz="0" w:space="0" w:color="auto"/>
        <w:right w:val="none" w:sz="0" w:space="0" w:color="auto"/>
      </w:divBdr>
    </w:div>
    <w:div w:id="96293920">
      <w:bodyDiv w:val="1"/>
      <w:marLeft w:val="0"/>
      <w:marRight w:val="0"/>
      <w:marTop w:val="0"/>
      <w:marBottom w:val="0"/>
      <w:divBdr>
        <w:top w:val="none" w:sz="0" w:space="0" w:color="auto"/>
        <w:left w:val="none" w:sz="0" w:space="0" w:color="auto"/>
        <w:bottom w:val="none" w:sz="0" w:space="0" w:color="auto"/>
        <w:right w:val="none" w:sz="0" w:space="0" w:color="auto"/>
      </w:divBdr>
    </w:div>
    <w:div w:id="116343332">
      <w:bodyDiv w:val="1"/>
      <w:marLeft w:val="0"/>
      <w:marRight w:val="0"/>
      <w:marTop w:val="0"/>
      <w:marBottom w:val="0"/>
      <w:divBdr>
        <w:top w:val="none" w:sz="0" w:space="0" w:color="auto"/>
        <w:left w:val="none" w:sz="0" w:space="0" w:color="auto"/>
        <w:bottom w:val="none" w:sz="0" w:space="0" w:color="auto"/>
        <w:right w:val="none" w:sz="0" w:space="0" w:color="auto"/>
      </w:divBdr>
    </w:div>
    <w:div w:id="116532378">
      <w:bodyDiv w:val="1"/>
      <w:marLeft w:val="0"/>
      <w:marRight w:val="0"/>
      <w:marTop w:val="0"/>
      <w:marBottom w:val="0"/>
      <w:divBdr>
        <w:top w:val="none" w:sz="0" w:space="0" w:color="auto"/>
        <w:left w:val="none" w:sz="0" w:space="0" w:color="auto"/>
        <w:bottom w:val="none" w:sz="0" w:space="0" w:color="auto"/>
        <w:right w:val="none" w:sz="0" w:space="0" w:color="auto"/>
      </w:divBdr>
    </w:div>
    <w:div w:id="187183506">
      <w:bodyDiv w:val="1"/>
      <w:marLeft w:val="0"/>
      <w:marRight w:val="0"/>
      <w:marTop w:val="0"/>
      <w:marBottom w:val="0"/>
      <w:divBdr>
        <w:top w:val="none" w:sz="0" w:space="0" w:color="auto"/>
        <w:left w:val="none" w:sz="0" w:space="0" w:color="auto"/>
        <w:bottom w:val="none" w:sz="0" w:space="0" w:color="auto"/>
        <w:right w:val="none" w:sz="0" w:space="0" w:color="auto"/>
      </w:divBdr>
    </w:div>
    <w:div w:id="218366418">
      <w:bodyDiv w:val="1"/>
      <w:marLeft w:val="0"/>
      <w:marRight w:val="0"/>
      <w:marTop w:val="0"/>
      <w:marBottom w:val="0"/>
      <w:divBdr>
        <w:top w:val="none" w:sz="0" w:space="0" w:color="auto"/>
        <w:left w:val="none" w:sz="0" w:space="0" w:color="auto"/>
        <w:bottom w:val="none" w:sz="0" w:space="0" w:color="auto"/>
        <w:right w:val="none" w:sz="0" w:space="0" w:color="auto"/>
      </w:divBdr>
    </w:div>
    <w:div w:id="249705975">
      <w:bodyDiv w:val="1"/>
      <w:marLeft w:val="0"/>
      <w:marRight w:val="0"/>
      <w:marTop w:val="0"/>
      <w:marBottom w:val="0"/>
      <w:divBdr>
        <w:top w:val="none" w:sz="0" w:space="0" w:color="auto"/>
        <w:left w:val="none" w:sz="0" w:space="0" w:color="auto"/>
        <w:bottom w:val="none" w:sz="0" w:space="0" w:color="auto"/>
        <w:right w:val="none" w:sz="0" w:space="0" w:color="auto"/>
      </w:divBdr>
    </w:div>
    <w:div w:id="277108003">
      <w:bodyDiv w:val="1"/>
      <w:marLeft w:val="0"/>
      <w:marRight w:val="0"/>
      <w:marTop w:val="0"/>
      <w:marBottom w:val="0"/>
      <w:divBdr>
        <w:top w:val="none" w:sz="0" w:space="0" w:color="auto"/>
        <w:left w:val="none" w:sz="0" w:space="0" w:color="auto"/>
        <w:bottom w:val="none" w:sz="0" w:space="0" w:color="auto"/>
        <w:right w:val="none" w:sz="0" w:space="0" w:color="auto"/>
      </w:divBdr>
    </w:div>
    <w:div w:id="291791733">
      <w:bodyDiv w:val="1"/>
      <w:marLeft w:val="0"/>
      <w:marRight w:val="0"/>
      <w:marTop w:val="0"/>
      <w:marBottom w:val="0"/>
      <w:divBdr>
        <w:top w:val="none" w:sz="0" w:space="0" w:color="auto"/>
        <w:left w:val="none" w:sz="0" w:space="0" w:color="auto"/>
        <w:bottom w:val="none" w:sz="0" w:space="0" w:color="auto"/>
        <w:right w:val="none" w:sz="0" w:space="0" w:color="auto"/>
      </w:divBdr>
    </w:div>
    <w:div w:id="296953711">
      <w:bodyDiv w:val="1"/>
      <w:marLeft w:val="0"/>
      <w:marRight w:val="0"/>
      <w:marTop w:val="0"/>
      <w:marBottom w:val="0"/>
      <w:divBdr>
        <w:top w:val="none" w:sz="0" w:space="0" w:color="auto"/>
        <w:left w:val="none" w:sz="0" w:space="0" w:color="auto"/>
        <w:bottom w:val="none" w:sz="0" w:space="0" w:color="auto"/>
        <w:right w:val="none" w:sz="0" w:space="0" w:color="auto"/>
      </w:divBdr>
    </w:div>
    <w:div w:id="327363454">
      <w:bodyDiv w:val="1"/>
      <w:marLeft w:val="0"/>
      <w:marRight w:val="0"/>
      <w:marTop w:val="0"/>
      <w:marBottom w:val="0"/>
      <w:divBdr>
        <w:top w:val="none" w:sz="0" w:space="0" w:color="auto"/>
        <w:left w:val="none" w:sz="0" w:space="0" w:color="auto"/>
        <w:bottom w:val="none" w:sz="0" w:space="0" w:color="auto"/>
        <w:right w:val="none" w:sz="0" w:space="0" w:color="auto"/>
      </w:divBdr>
    </w:div>
    <w:div w:id="334500655">
      <w:bodyDiv w:val="1"/>
      <w:marLeft w:val="0"/>
      <w:marRight w:val="0"/>
      <w:marTop w:val="0"/>
      <w:marBottom w:val="0"/>
      <w:divBdr>
        <w:top w:val="none" w:sz="0" w:space="0" w:color="auto"/>
        <w:left w:val="none" w:sz="0" w:space="0" w:color="auto"/>
        <w:bottom w:val="none" w:sz="0" w:space="0" w:color="auto"/>
        <w:right w:val="none" w:sz="0" w:space="0" w:color="auto"/>
      </w:divBdr>
    </w:div>
    <w:div w:id="347634207">
      <w:bodyDiv w:val="1"/>
      <w:marLeft w:val="0"/>
      <w:marRight w:val="0"/>
      <w:marTop w:val="0"/>
      <w:marBottom w:val="0"/>
      <w:divBdr>
        <w:top w:val="none" w:sz="0" w:space="0" w:color="auto"/>
        <w:left w:val="none" w:sz="0" w:space="0" w:color="auto"/>
        <w:bottom w:val="none" w:sz="0" w:space="0" w:color="auto"/>
        <w:right w:val="none" w:sz="0" w:space="0" w:color="auto"/>
      </w:divBdr>
    </w:div>
    <w:div w:id="432357192">
      <w:bodyDiv w:val="1"/>
      <w:marLeft w:val="0"/>
      <w:marRight w:val="0"/>
      <w:marTop w:val="0"/>
      <w:marBottom w:val="0"/>
      <w:divBdr>
        <w:top w:val="none" w:sz="0" w:space="0" w:color="auto"/>
        <w:left w:val="none" w:sz="0" w:space="0" w:color="auto"/>
        <w:bottom w:val="none" w:sz="0" w:space="0" w:color="auto"/>
        <w:right w:val="none" w:sz="0" w:space="0" w:color="auto"/>
      </w:divBdr>
    </w:div>
    <w:div w:id="456996463">
      <w:bodyDiv w:val="1"/>
      <w:marLeft w:val="0"/>
      <w:marRight w:val="0"/>
      <w:marTop w:val="0"/>
      <w:marBottom w:val="0"/>
      <w:divBdr>
        <w:top w:val="none" w:sz="0" w:space="0" w:color="auto"/>
        <w:left w:val="none" w:sz="0" w:space="0" w:color="auto"/>
        <w:bottom w:val="none" w:sz="0" w:space="0" w:color="auto"/>
        <w:right w:val="none" w:sz="0" w:space="0" w:color="auto"/>
      </w:divBdr>
    </w:div>
    <w:div w:id="462430778">
      <w:bodyDiv w:val="1"/>
      <w:marLeft w:val="0"/>
      <w:marRight w:val="0"/>
      <w:marTop w:val="0"/>
      <w:marBottom w:val="0"/>
      <w:divBdr>
        <w:top w:val="none" w:sz="0" w:space="0" w:color="auto"/>
        <w:left w:val="none" w:sz="0" w:space="0" w:color="auto"/>
        <w:bottom w:val="none" w:sz="0" w:space="0" w:color="auto"/>
        <w:right w:val="none" w:sz="0" w:space="0" w:color="auto"/>
      </w:divBdr>
    </w:div>
    <w:div w:id="501438120">
      <w:bodyDiv w:val="1"/>
      <w:marLeft w:val="0"/>
      <w:marRight w:val="0"/>
      <w:marTop w:val="0"/>
      <w:marBottom w:val="0"/>
      <w:divBdr>
        <w:top w:val="none" w:sz="0" w:space="0" w:color="auto"/>
        <w:left w:val="none" w:sz="0" w:space="0" w:color="auto"/>
        <w:bottom w:val="none" w:sz="0" w:space="0" w:color="auto"/>
        <w:right w:val="none" w:sz="0" w:space="0" w:color="auto"/>
      </w:divBdr>
    </w:div>
    <w:div w:id="522089793">
      <w:bodyDiv w:val="1"/>
      <w:marLeft w:val="0"/>
      <w:marRight w:val="0"/>
      <w:marTop w:val="0"/>
      <w:marBottom w:val="0"/>
      <w:divBdr>
        <w:top w:val="none" w:sz="0" w:space="0" w:color="auto"/>
        <w:left w:val="none" w:sz="0" w:space="0" w:color="auto"/>
        <w:bottom w:val="none" w:sz="0" w:space="0" w:color="auto"/>
        <w:right w:val="none" w:sz="0" w:space="0" w:color="auto"/>
      </w:divBdr>
    </w:div>
    <w:div w:id="561209552">
      <w:bodyDiv w:val="1"/>
      <w:marLeft w:val="0"/>
      <w:marRight w:val="0"/>
      <w:marTop w:val="0"/>
      <w:marBottom w:val="0"/>
      <w:divBdr>
        <w:top w:val="none" w:sz="0" w:space="0" w:color="auto"/>
        <w:left w:val="none" w:sz="0" w:space="0" w:color="auto"/>
        <w:bottom w:val="none" w:sz="0" w:space="0" w:color="auto"/>
        <w:right w:val="none" w:sz="0" w:space="0" w:color="auto"/>
      </w:divBdr>
    </w:div>
    <w:div w:id="606740854">
      <w:bodyDiv w:val="1"/>
      <w:marLeft w:val="0"/>
      <w:marRight w:val="0"/>
      <w:marTop w:val="0"/>
      <w:marBottom w:val="0"/>
      <w:divBdr>
        <w:top w:val="none" w:sz="0" w:space="0" w:color="auto"/>
        <w:left w:val="none" w:sz="0" w:space="0" w:color="auto"/>
        <w:bottom w:val="none" w:sz="0" w:space="0" w:color="auto"/>
        <w:right w:val="none" w:sz="0" w:space="0" w:color="auto"/>
      </w:divBdr>
    </w:div>
    <w:div w:id="613487185">
      <w:bodyDiv w:val="1"/>
      <w:marLeft w:val="0"/>
      <w:marRight w:val="0"/>
      <w:marTop w:val="0"/>
      <w:marBottom w:val="0"/>
      <w:divBdr>
        <w:top w:val="none" w:sz="0" w:space="0" w:color="auto"/>
        <w:left w:val="none" w:sz="0" w:space="0" w:color="auto"/>
        <w:bottom w:val="none" w:sz="0" w:space="0" w:color="auto"/>
        <w:right w:val="none" w:sz="0" w:space="0" w:color="auto"/>
      </w:divBdr>
    </w:div>
    <w:div w:id="639723491">
      <w:bodyDiv w:val="1"/>
      <w:marLeft w:val="0"/>
      <w:marRight w:val="0"/>
      <w:marTop w:val="0"/>
      <w:marBottom w:val="0"/>
      <w:divBdr>
        <w:top w:val="none" w:sz="0" w:space="0" w:color="auto"/>
        <w:left w:val="none" w:sz="0" w:space="0" w:color="auto"/>
        <w:bottom w:val="none" w:sz="0" w:space="0" w:color="auto"/>
        <w:right w:val="none" w:sz="0" w:space="0" w:color="auto"/>
      </w:divBdr>
    </w:div>
    <w:div w:id="666591839">
      <w:bodyDiv w:val="1"/>
      <w:marLeft w:val="0"/>
      <w:marRight w:val="0"/>
      <w:marTop w:val="0"/>
      <w:marBottom w:val="0"/>
      <w:divBdr>
        <w:top w:val="none" w:sz="0" w:space="0" w:color="auto"/>
        <w:left w:val="none" w:sz="0" w:space="0" w:color="auto"/>
        <w:bottom w:val="none" w:sz="0" w:space="0" w:color="auto"/>
        <w:right w:val="none" w:sz="0" w:space="0" w:color="auto"/>
      </w:divBdr>
    </w:div>
    <w:div w:id="714239310">
      <w:bodyDiv w:val="1"/>
      <w:marLeft w:val="0"/>
      <w:marRight w:val="0"/>
      <w:marTop w:val="0"/>
      <w:marBottom w:val="0"/>
      <w:divBdr>
        <w:top w:val="none" w:sz="0" w:space="0" w:color="auto"/>
        <w:left w:val="none" w:sz="0" w:space="0" w:color="auto"/>
        <w:bottom w:val="none" w:sz="0" w:space="0" w:color="auto"/>
        <w:right w:val="none" w:sz="0" w:space="0" w:color="auto"/>
      </w:divBdr>
    </w:div>
    <w:div w:id="718283396">
      <w:bodyDiv w:val="1"/>
      <w:marLeft w:val="0"/>
      <w:marRight w:val="0"/>
      <w:marTop w:val="0"/>
      <w:marBottom w:val="0"/>
      <w:divBdr>
        <w:top w:val="none" w:sz="0" w:space="0" w:color="auto"/>
        <w:left w:val="none" w:sz="0" w:space="0" w:color="auto"/>
        <w:bottom w:val="none" w:sz="0" w:space="0" w:color="auto"/>
        <w:right w:val="none" w:sz="0" w:space="0" w:color="auto"/>
      </w:divBdr>
    </w:div>
    <w:div w:id="735661113">
      <w:bodyDiv w:val="1"/>
      <w:marLeft w:val="0"/>
      <w:marRight w:val="0"/>
      <w:marTop w:val="0"/>
      <w:marBottom w:val="0"/>
      <w:divBdr>
        <w:top w:val="none" w:sz="0" w:space="0" w:color="auto"/>
        <w:left w:val="none" w:sz="0" w:space="0" w:color="auto"/>
        <w:bottom w:val="none" w:sz="0" w:space="0" w:color="auto"/>
        <w:right w:val="none" w:sz="0" w:space="0" w:color="auto"/>
      </w:divBdr>
    </w:div>
    <w:div w:id="743063922">
      <w:bodyDiv w:val="1"/>
      <w:marLeft w:val="0"/>
      <w:marRight w:val="0"/>
      <w:marTop w:val="0"/>
      <w:marBottom w:val="0"/>
      <w:divBdr>
        <w:top w:val="none" w:sz="0" w:space="0" w:color="auto"/>
        <w:left w:val="none" w:sz="0" w:space="0" w:color="auto"/>
        <w:bottom w:val="none" w:sz="0" w:space="0" w:color="auto"/>
        <w:right w:val="none" w:sz="0" w:space="0" w:color="auto"/>
      </w:divBdr>
    </w:div>
    <w:div w:id="798646250">
      <w:bodyDiv w:val="1"/>
      <w:marLeft w:val="0"/>
      <w:marRight w:val="0"/>
      <w:marTop w:val="0"/>
      <w:marBottom w:val="0"/>
      <w:divBdr>
        <w:top w:val="none" w:sz="0" w:space="0" w:color="auto"/>
        <w:left w:val="none" w:sz="0" w:space="0" w:color="auto"/>
        <w:bottom w:val="none" w:sz="0" w:space="0" w:color="auto"/>
        <w:right w:val="none" w:sz="0" w:space="0" w:color="auto"/>
      </w:divBdr>
    </w:div>
    <w:div w:id="832456060">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900022530">
      <w:bodyDiv w:val="1"/>
      <w:marLeft w:val="0"/>
      <w:marRight w:val="0"/>
      <w:marTop w:val="0"/>
      <w:marBottom w:val="0"/>
      <w:divBdr>
        <w:top w:val="none" w:sz="0" w:space="0" w:color="auto"/>
        <w:left w:val="none" w:sz="0" w:space="0" w:color="auto"/>
        <w:bottom w:val="none" w:sz="0" w:space="0" w:color="auto"/>
        <w:right w:val="none" w:sz="0" w:space="0" w:color="auto"/>
      </w:divBdr>
    </w:div>
    <w:div w:id="902643583">
      <w:bodyDiv w:val="1"/>
      <w:marLeft w:val="0"/>
      <w:marRight w:val="0"/>
      <w:marTop w:val="0"/>
      <w:marBottom w:val="0"/>
      <w:divBdr>
        <w:top w:val="none" w:sz="0" w:space="0" w:color="auto"/>
        <w:left w:val="none" w:sz="0" w:space="0" w:color="auto"/>
        <w:bottom w:val="none" w:sz="0" w:space="0" w:color="auto"/>
        <w:right w:val="none" w:sz="0" w:space="0" w:color="auto"/>
      </w:divBdr>
    </w:div>
    <w:div w:id="906309443">
      <w:bodyDiv w:val="1"/>
      <w:marLeft w:val="0"/>
      <w:marRight w:val="0"/>
      <w:marTop w:val="0"/>
      <w:marBottom w:val="0"/>
      <w:divBdr>
        <w:top w:val="none" w:sz="0" w:space="0" w:color="auto"/>
        <w:left w:val="none" w:sz="0" w:space="0" w:color="auto"/>
        <w:bottom w:val="none" w:sz="0" w:space="0" w:color="auto"/>
        <w:right w:val="none" w:sz="0" w:space="0" w:color="auto"/>
      </w:divBdr>
    </w:div>
    <w:div w:id="921567813">
      <w:bodyDiv w:val="1"/>
      <w:marLeft w:val="0"/>
      <w:marRight w:val="0"/>
      <w:marTop w:val="0"/>
      <w:marBottom w:val="0"/>
      <w:divBdr>
        <w:top w:val="none" w:sz="0" w:space="0" w:color="auto"/>
        <w:left w:val="none" w:sz="0" w:space="0" w:color="auto"/>
        <w:bottom w:val="none" w:sz="0" w:space="0" w:color="auto"/>
        <w:right w:val="none" w:sz="0" w:space="0" w:color="auto"/>
      </w:divBdr>
    </w:div>
    <w:div w:id="1011295639">
      <w:bodyDiv w:val="1"/>
      <w:marLeft w:val="0"/>
      <w:marRight w:val="0"/>
      <w:marTop w:val="0"/>
      <w:marBottom w:val="0"/>
      <w:divBdr>
        <w:top w:val="none" w:sz="0" w:space="0" w:color="auto"/>
        <w:left w:val="none" w:sz="0" w:space="0" w:color="auto"/>
        <w:bottom w:val="none" w:sz="0" w:space="0" w:color="auto"/>
        <w:right w:val="none" w:sz="0" w:space="0" w:color="auto"/>
      </w:divBdr>
    </w:div>
    <w:div w:id="1039358175">
      <w:bodyDiv w:val="1"/>
      <w:marLeft w:val="0"/>
      <w:marRight w:val="0"/>
      <w:marTop w:val="0"/>
      <w:marBottom w:val="0"/>
      <w:divBdr>
        <w:top w:val="none" w:sz="0" w:space="0" w:color="auto"/>
        <w:left w:val="none" w:sz="0" w:space="0" w:color="auto"/>
        <w:bottom w:val="none" w:sz="0" w:space="0" w:color="auto"/>
        <w:right w:val="none" w:sz="0" w:space="0" w:color="auto"/>
      </w:divBdr>
    </w:div>
    <w:div w:id="1043410882">
      <w:bodyDiv w:val="1"/>
      <w:marLeft w:val="0"/>
      <w:marRight w:val="0"/>
      <w:marTop w:val="0"/>
      <w:marBottom w:val="0"/>
      <w:divBdr>
        <w:top w:val="none" w:sz="0" w:space="0" w:color="auto"/>
        <w:left w:val="none" w:sz="0" w:space="0" w:color="auto"/>
        <w:bottom w:val="none" w:sz="0" w:space="0" w:color="auto"/>
        <w:right w:val="none" w:sz="0" w:space="0" w:color="auto"/>
      </w:divBdr>
    </w:div>
    <w:div w:id="1127165026">
      <w:bodyDiv w:val="1"/>
      <w:marLeft w:val="0"/>
      <w:marRight w:val="0"/>
      <w:marTop w:val="0"/>
      <w:marBottom w:val="0"/>
      <w:divBdr>
        <w:top w:val="none" w:sz="0" w:space="0" w:color="auto"/>
        <w:left w:val="none" w:sz="0" w:space="0" w:color="auto"/>
        <w:bottom w:val="none" w:sz="0" w:space="0" w:color="auto"/>
        <w:right w:val="none" w:sz="0" w:space="0" w:color="auto"/>
      </w:divBdr>
    </w:div>
    <w:div w:id="1127578236">
      <w:bodyDiv w:val="1"/>
      <w:marLeft w:val="0"/>
      <w:marRight w:val="0"/>
      <w:marTop w:val="0"/>
      <w:marBottom w:val="0"/>
      <w:divBdr>
        <w:top w:val="none" w:sz="0" w:space="0" w:color="auto"/>
        <w:left w:val="none" w:sz="0" w:space="0" w:color="auto"/>
        <w:bottom w:val="none" w:sz="0" w:space="0" w:color="auto"/>
        <w:right w:val="none" w:sz="0" w:space="0" w:color="auto"/>
      </w:divBdr>
    </w:div>
    <w:div w:id="1182158325">
      <w:bodyDiv w:val="1"/>
      <w:marLeft w:val="0"/>
      <w:marRight w:val="0"/>
      <w:marTop w:val="0"/>
      <w:marBottom w:val="0"/>
      <w:divBdr>
        <w:top w:val="none" w:sz="0" w:space="0" w:color="auto"/>
        <w:left w:val="none" w:sz="0" w:space="0" w:color="auto"/>
        <w:bottom w:val="none" w:sz="0" w:space="0" w:color="auto"/>
        <w:right w:val="none" w:sz="0" w:space="0" w:color="auto"/>
      </w:divBdr>
    </w:div>
    <w:div w:id="1206060401">
      <w:bodyDiv w:val="1"/>
      <w:marLeft w:val="0"/>
      <w:marRight w:val="0"/>
      <w:marTop w:val="0"/>
      <w:marBottom w:val="0"/>
      <w:divBdr>
        <w:top w:val="none" w:sz="0" w:space="0" w:color="auto"/>
        <w:left w:val="none" w:sz="0" w:space="0" w:color="auto"/>
        <w:bottom w:val="none" w:sz="0" w:space="0" w:color="auto"/>
        <w:right w:val="none" w:sz="0" w:space="0" w:color="auto"/>
      </w:divBdr>
    </w:div>
    <w:div w:id="1207639537">
      <w:bodyDiv w:val="1"/>
      <w:marLeft w:val="0"/>
      <w:marRight w:val="0"/>
      <w:marTop w:val="0"/>
      <w:marBottom w:val="0"/>
      <w:divBdr>
        <w:top w:val="none" w:sz="0" w:space="0" w:color="auto"/>
        <w:left w:val="none" w:sz="0" w:space="0" w:color="auto"/>
        <w:bottom w:val="none" w:sz="0" w:space="0" w:color="auto"/>
        <w:right w:val="none" w:sz="0" w:space="0" w:color="auto"/>
      </w:divBdr>
    </w:div>
    <w:div w:id="1232039377">
      <w:bodyDiv w:val="1"/>
      <w:marLeft w:val="0"/>
      <w:marRight w:val="0"/>
      <w:marTop w:val="0"/>
      <w:marBottom w:val="0"/>
      <w:divBdr>
        <w:top w:val="none" w:sz="0" w:space="0" w:color="auto"/>
        <w:left w:val="none" w:sz="0" w:space="0" w:color="auto"/>
        <w:bottom w:val="none" w:sz="0" w:space="0" w:color="auto"/>
        <w:right w:val="none" w:sz="0" w:space="0" w:color="auto"/>
      </w:divBdr>
    </w:div>
    <w:div w:id="1265262068">
      <w:bodyDiv w:val="1"/>
      <w:marLeft w:val="0"/>
      <w:marRight w:val="0"/>
      <w:marTop w:val="0"/>
      <w:marBottom w:val="0"/>
      <w:divBdr>
        <w:top w:val="none" w:sz="0" w:space="0" w:color="auto"/>
        <w:left w:val="none" w:sz="0" w:space="0" w:color="auto"/>
        <w:bottom w:val="none" w:sz="0" w:space="0" w:color="auto"/>
        <w:right w:val="none" w:sz="0" w:space="0" w:color="auto"/>
      </w:divBdr>
    </w:div>
    <w:div w:id="1266157795">
      <w:bodyDiv w:val="1"/>
      <w:marLeft w:val="0"/>
      <w:marRight w:val="0"/>
      <w:marTop w:val="0"/>
      <w:marBottom w:val="0"/>
      <w:divBdr>
        <w:top w:val="none" w:sz="0" w:space="0" w:color="auto"/>
        <w:left w:val="none" w:sz="0" w:space="0" w:color="auto"/>
        <w:bottom w:val="none" w:sz="0" w:space="0" w:color="auto"/>
        <w:right w:val="none" w:sz="0" w:space="0" w:color="auto"/>
      </w:divBdr>
    </w:div>
    <w:div w:id="1279024495">
      <w:bodyDiv w:val="1"/>
      <w:marLeft w:val="0"/>
      <w:marRight w:val="0"/>
      <w:marTop w:val="0"/>
      <w:marBottom w:val="0"/>
      <w:divBdr>
        <w:top w:val="none" w:sz="0" w:space="0" w:color="auto"/>
        <w:left w:val="none" w:sz="0" w:space="0" w:color="auto"/>
        <w:bottom w:val="none" w:sz="0" w:space="0" w:color="auto"/>
        <w:right w:val="none" w:sz="0" w:space="0" w:color="auto"/>
      </w:divBdr>
    </w:div>
    <w:div w:id="1346516233">
      <w:bodyDiv w:val="1"/>
      <w:marLeft w:val="0"/>
      <w:marRight w:val="0"/>
      <w:marTop w:val="0"/>
      <w:marBottom w:val="0"/>
      <w:divBdr>
        <w:top w:val="none" w:sz="0" w:space="0" w:color="auto"/>
        <w:left w:val="none" w:sz="0" w:space="0" w:color="auto"/>
        <w:bottom w:val="none" w:sz="0" w:space="0" w:color="auto"/>
        <w:right w:val="none" w:sz="0" w:space="0" w:color="auto"/>
      </w:divBdr>
    </w:div>
    <w:div w:id="1360156783">
      <w:bodyDiv w:val="1"/>
      <w:marLeft w:val="0"/>
      <w:marRight w:val="0"/>
      <w:marTop w:val="0"/>
      <w:marBottom w:val="0"/>
      <w:divBdr>
        <w:top w:val="none" w:sz="0" w:space="0" w:color="auto"/>
        <w:left w:val="none" w:sz="0" w:space="0" w:color="auto"/>
        <w:bottom w:val="none" w:sz="0" w:space="0" w:color="auto"/>
        <w:right w:val="none" w:sz="0" w:space="0" w:color="auto"/>
      </w:divBdr>
    </w:div>
    <w:div w:id="1369456490">
      <w:bodyDiv w:val="1"/>
      <w:marLeft w:val="0"/>
      <w:marRight w:val="0"/>
      <w:marTop w:val="0"/>
      <w:marBottom w:val="0"/>
      <w:divBdr>
        <w:top w:val="none" w:sz="0" w:space="0" w:color="auto"/>
        <w:left w:val="none" w:sz="0" w:space="0" w:color="auto"/>
        <w:bottom w:val="none" w:sz="0" w:space="0" w:color="auto"/>
        <w:right w:val="none" w:sz="0" w:space="0" w:color="auto"/>
      </w:divBdr>
    </w:div>
    <w:div w:id="1373655399">
      <w:bodyDiv w:val="1"/>
      <w:marLeft w:val="0"/>
      <w:marRight w:val="0"/>
      <w:marTop w:val="0"/>
      <w:marBottom w:val="0"/>
      <w:divBdr>
        <w:top w:val="none" w:sz="0" w:space="0" w:color="auto"/>
        <w:left w:val="none" w:sz="0" w:space="0" w:color="auto"/>
        <w:bottom w:val="none" w:sz="0" w:space="0" w:color="auto"/>
        <w:right w:val="none" w:sz="0" w:space="0" w:color="auto"/>
      </w:divBdr>
    </w:div>
    <w:div w:id="1388184251">
      <w:bodyDiv w:val="1"/>
      <w:marLeft w:val="0"/>
      <w:marRight w:val="0"/>
      <w:marTop w:val="0"/>
      <w:marBottom w:val="0"/>
      <w:divBdr>
        <w:top w:val="none" w:sz="0" w:space="0" w:color="auto"/>
        <w:left w:val="none" w:sz="0" w:space="0" w:color="auto"/>
        <w:bottom w:val="none" w:sz="0" w:space="0" w:color="auto"/>
        <w:right w:val="none" w:sz="0" w:space="0" w:color="auto"/>
      </w:divBdr>
    </w:div>
    <w:div w:id="1391223027">
      <w:bodyDiv w:val="1"/>
      <w:marLeft w:val="0"/>
      <w:marRight w:val="0"/>
      <w:marTop w:val="0"/>
      <w:marBottom w:val="0"/>
      <w:divBdr>
        <w:top w:val="none" w:sz="0" w:space="0" w:color="auto"/>
        <w:left w:val="none" w:sz="0" w:space="0" w:color="auto"/>
        <w:bottom w:val="none" w:sz="0" w:space="0" w:color="auto"/>
        <w:right w:val="none" w:sz="0" w:space="0" w:color="auto"/>
      </w:divBdr>
    </w:div>
    <w:div w:id="1391726251">
      <w:bodyDiv w:val="1"/>
      <w:marLeft w:val="0"/>
      <w:marRight w:val="0"/>
      <w:marTop w:val="0"/>
      <w:marBottom w:val="0"/>
      <w:divBdr>
        <w:top w:val="none" w:sz="0" w:space="0" w:color="auto"/>
        <w:left w:val="none" w:sz="0" w:space="0" w:color="auto"/>
        <w:bottom w:val="none" w:sz="0" w:space="0" w:color="auto"/>
        <w:right w:val="none" w:sz="0" w:space="0" w:color="auto"/>
      </w:divBdr>
    </w:div>
    <w:div w:id="1427848831">
      <w:bodyDiv w:val="1"/>
      <w:marLeft w:val="0"/>
      <w:marRight w:val="0"/>
      <w:marTop w:val="0"/>
      <w:marBottom w:val="0"/>
      <w:divBdr>
        <w:top w:val="none" w:sz="0" w:space="0" w:color="auto"/>
        <w:left w:val="none" w:sz="0" w:space="0" w:color="auto"/>
        <w:bottom w:val="none" w:sz="0" w:space="0" w:color="auto"/>
        <w:right w:val="none" w:sz="0" w:space="0" w:color="auto"/>
      </w:divBdr>
    </w:div>
    <w:div w:id="1452285181">
      <w:bodyDiv w:val="1"/>
      <w:marLeft w:val="0"/>
      <w:marRight w:val="0"/>
      <w:marTop w:val="0"/>
      <w:marBottom w:val="0"/>
      <w:divBdr>
        <w:top w:val="none" w:sz="0" w:space="0" w:color="auto"/>
        <w:left w:val="none" w:sz="0" w:space="0" w:color="auto"/>
        <w:bottom w:val="none" w:sz="0" w:space="0" w:color="auto"/>
        <w:right w:val="none" w:sz="0" w:space="0" w:color="auto"/>
      </w:divBdr>
    </w:div>
    <w:div w:id="1470316117">
      <w:bodyDiv w:val="1"/>
      <w:marLeft w:val="0"/>
      <w:marRight w:val="0"/>
      <w:marTop w:val="0"/>
      <w:marBottom w:val="0"/>
      <w:divBdr>
        <w:top w:val="none" w:sz="0" w:space="0" w:color="auto"/>
        <w:left w:val="none" w:sz="0" w:space="0" w:color="auto"/>
        <w:bottom w:val="none" w:sz="0" w:space="0" w:color="auto"/>
        <w:right w:val="none" w:sz="0" w:space="0" w:color="auto"/>
      </w:divBdr>
    </w:div>
    <w:div w:id="1520120740">
      <w:bodyDiv w:val="1"/>
      <w:marLeft w:val="0"/>
      <w:marRight w:val="0"/>
      <w:marTop w:val="0"/>
      <w:marBottom w:val="0"/>
      <w:divBdr>
        <w:top w:val="none" w:sz="0" w:space="0" w:color="auto"/>
        <w:left w:val="none" w:sz="0" w:space="0" w:color="auto"/>
        <w:bottom w:val="none" w:sz="0" w:space="0" w:color="auto"/>
        <w:right w:val="none" w:sz="0" w:space="0" w:color="auto"/>
      </w:divBdr>
    </w:div>
    <w:div w:id="1569027199">
      <w:bodyDiv w:val="1"/>
      <w:marLeft w:val="0"/>
      <w:marRight w:val="0"/>
      <w:marTop w:val="0"/>
      <w:marBottom w:val="0"/>
      <w:divBdr>
        <w:top w:val="none" w:sz="0" w:space="0" w:color="auto"/>
        <w:left w:val="none" w:sz="0" w:space="0" w:color="auto"/>
        <w:bottom w:val="none" w:sz="0" w:space="0" w:color="auto"/>
        <w:right w:val="none" w:sz="0" w:space="0" w:color="auto"/>
      </w:divBdr>
    </w:div>
    <w:div w:id="1595672627">
      <w:bodyDiv w:val="1"/>
      <w:marLeft w:val="0"/>
      <w:marRight w:val="0"/>
      <w:marTop w:val="0"/>
      <w:marBottom w:val="0"/>
      <w:divBdr>
        <w:top w:val="none" w:sz="0" w:space="0" w:color="auto"/>
        <w:left w:val="none" w:sz="0" w:space="0" w:color="auto"/>
        <w:bottom w:val="none" w:sz="0" w:space="0" w:color="auto"/>
        <w:right w:val="none" w:sz="0" w:space="0" w:color="auto"/>
      </w:divBdr>
    </w:div>
    <w:div w:id="1617449693">
      <w:bodyDiv w:val="1"/>
      <w:marLeft w:val="0"/>
      <w:marRight w:val="0"/>
      <w:marTop w:val="0"/>
      <w:marBottom w:val="0"/>
      <w:divBdr>
        <w:top w:val="none" w:sz="0" w:space="0" w:color="auto"/>
        <w:left w:val="none" w:sz="0" w:space="0" w:color="auto"/>
        <w:bottom w:val="none" w:sz="0" w:space="0" w:color="auto"/>
        <w:right w:val="none" w:sz="0" w:space="0" w:color="auto"/>
      </w:divBdr>
    </w:div>
    <w:div w:id="1628438862">
      <w:bodyDiv w:val="1"/>
      <w:marLeft w:val="0"/>
      <w:marRight w:val="0"/>
      <w:marTop w:val="0"/>
      <w:marBottom w:val="0"/>
      <w:divBdr>
        <w:top w:val="none" w:sz="0" w:space="0" w:color="auto"/>
        <w:left w:val="none" w:sz="0" w:space="0" w:color="auto"/>
        <w:bottom w:val="none" w:sz="0" w:space="0" w:color="auto"/>
        <w:right w:val="none" w:sz="0" w:space="0" w:color="auto"/>
      </w:divBdr>
    </w:div>
    <w:div w:id="1639146903">
      <w:bodyDiv w:val="1"/>
      <w:marLeft w:val="0"/>
      <w:marRight w:val="0"/>
      <w:marTop w:val="0"/>
      <w:marBottom w:val="0"/>
      <w:divBdr>
        <w:top w:val="none" w:sz="0" w:space="0" w:color="auto"/>
        <w:left w:val="none" w:sz="0" w:space="0" w:color="auto"/>
        <w:bottom w:val="none" w:sz="0" w:space="0" w:color="auto"/>
        <w:right w:val="none" w:sz="0" w:space="0" w:color="auto"/>
      </w:divBdr>
    </w:div>
    <w:div w:id="1644890489">
      <w:bodyDiv w:val="1"/>
      <w:marLeft w:val="0"/>
      <w:marRight w:val="0"/>
      <w:marTop w:val="0"/>
      <w:marBottom w:val="0"/>
      <w:divBdr>
        <w:top w:val="none" w:sz="0" w:space="0" w:color="auto"/>
        <w:left w:val="none" w:sz="0" w:space="0" w:color="auto"/>
        <w:bottom w:val="none" w:sz="0" w:space="0" w:color="auto"/>
        <w:right w:val="none" w:sz="0" w:space="0" w:color="auto"/>
      </w:divBdr>
    </w:div>
    <w:div w:id="1653216993">
      <w:bodyDiv w:val="1"/>
      <w:marLeft w:val="0"/>
      <w:marRight w:val="0"/>
      <w:marTop w:val="0"/>
      <w:marBottom w:val="0"/>
      <w:divBdr>
        <w:top w:val="none" w:sz="0" w:space="0" w:color="auto"/>
        <w:left w:val="none" w:sz="0" w:space="0" w:color="auto"/>
        <w:bottom w:val="none" w:sz="0" w:space="0" w:color="auto"/>
        <w:right w:val="none" w:sz="0" w:space="0" w:color="auto"/>
      </w:divBdr>
    </w:div>
    <w:div w:id="1691102381">
      <w:bodyDiv w:val="1"/>
      <w:marLeft w:val="0"/>
      <w:marRight w:val="0"/>
      <w:marTop w:val="0"/>
      <w:marBottom w:val="0"/>
      <w:divBdr>
        <w:top w:val="none" w:sz="0" w:space="0" w:color="auto"/>
        <w:left w:val="none" w:sz="0" w:space="0" w:color="auto"/>
        <w:bottom w:val="none" w:sz="0" w:space="0" w:color="auto"/>
        <w:right w:val="none" w:sz="0" w:space="0" w:color="auto"/>
      </w:divBdr>
    </w:div>
    <w:div w:id="1727878054">
      <w:bodyDiv w:val="1"/>
      <w:marLeft w:val="0"/>
      <w:marRight w:val="0"/>
      <w:marTop w:val="0"/>
      <w:marBottom w:val="0"/>
      <w:divBdr>
        <w:top w:val="none" w:sz="0" w:space="0" w:color="auto"/>
        <w:left w:val="none" w:sz="0" w:space="0" w:color="auto"/>
        <w:bottom w:val="none" w:sz="0" w:space="0" w:color="auto"/>
        <w:right w:val="none" w:sz="0" w:space="0" w:color="auto"/>
      </w:divBdr>
    </w:div>
    <w:div w:id="1762490267">
      <w:bodyDiv w:val="1"/>
      <w:marLeft w:val="0"/>
      <w:marRight w:val="0"/>
      <w:marTop w:val="0"/>
      <w:marBottom w:val="0"/>
      <w:divBdr>
        <w:top w:val="none" w:sz="0" w:space="0" w:color="auto"/>
        <w:left w:val="none" w:sz="0" w:space="0" w:color="auto"/>
        <w:bottom w:val="none" w:sz="0" w:space="0" w:color="auto"/>
        <w:right w:val="none" w:sz="0" w:space="0" w:color="auto"/>
      </w:divBdr>
    </w:div>
    <w:div w:id="1772117342">
      <w:bodyDiv w:val="1"/>
      <w:marLeft w:val="0"/>
      <w:marRight w:val="0"/>
      <w:marTop w:val="0"/>
      <w:marBottom w:val="0"/>
      <w:divBdr>
        <w:top w:val="none" w:sz="0" w:space="0" w:color="auto"/>
        <w:left w:val="none" w:sz="0" w:space="0" w:color="auto"/>
        <w:bottom w:val="none" w:sz="0" w:space="0" w:color="auto"/>
        <w:right w:val="none" w:sz="0" w:space="0" w:color="auto"/>
      </w:divBdr>
    </w:div>
    <w:div w:id="1791313085">
      <w:bodyDiv w:val="1"/>
      <w:marLeft w:val="0"/>
      <w:marRight w:val="0"/>
      <w:marTop w:val="0"/>
      <w:marBottom w:val="0"/>
      <w:divBdr>
        <w:top w:val="none" w:sz="0" w:space="0" w:color="auto"/>
        <w:left w:val="none" w:sz="0" w:space="0" w:color="auto"/>
        <w:bottom w:val="none" w:sz="0" w:space="0" w:color="auto"/>
        <w:right w:val="none" w:sz="0" w:space="0" w:color="auto"/>
      </w:divBdr>
    </w:div>
    <w:div w:id="1833988291">
      <w:bodyDiv w:val="1"/>
      <w:marLeft w:val="0"/>
      <w:marRight w:val="0"/>
      <w:marTop w:val="0"/>
      <w:marBottom w:val="0"/>
      <w:divBdr>
        <w:top w:val="none" w:sz="0" w:space="0" w:color="auto"/>
        <w:left w:val="none" w:sz="0" w:space="0" w:color="auto"/>
        <w:bottom w:val="none" w:sz="0" w:space="0" w:color="auto"/>
        <w:right w:val="none" w:sz="0" w:space="0" w:color="auto"/>
      </w:divBdr>
    </w:div>
    <w:div w:id="1851141486">
      <w:bodyDiv w:val="1"/>
      <w:marLeft w:val="0"/>
      <w:marRight w:val="0"/>
      <w:marTop w:val="0"/>
      <w:marBottom w:val="0"/>
      <w:divBdr>
        <w:top w:val="none" w:sz="0" w:space="0" w:color="auto"/>
        <w:left w:val="none" w:sz="0" w:space="0" w:color="auto"/>
        <w:bottom w:val="none" w:sz="0" w:space="0" w:color="auto"/>
        <w:right w:val="none" w:sz="0" w:space="0" w:color="auto"/>
      </w:divBdr>
    </w:div>
    <w:div w:id="1878470279">
      <w:bodyDiv w:val="1"/>
      <w:marLeft w:val="0"/>
      <w:marRight w:val="0"/>
      <w:marTop w:val="0"/>
      <w:marBottom w:val="0"/>
      <w:divBdr>
        <w:top w:val="none" w:sz="0" w:space="0" w:color="auto"/>
        <w:left w:val="none" w:sz="0" w:space="0" w:color="auto"/>
        <w:bottom w:val="none" w:sz="0" w:space="0" w:color="auto"/>
        <w:right w:val="none" w:sz="0" w:space="0" w:color="auto"/>
      </w:divBdr>
    </w:div>
    <w:div w:id="1911571747">
      <w:bodyDiv w:val="1"/>
      <w:marLeft w:val="0"/>
      <w:marRight w:val="0"/>
      <w:marTop w:val="0"/>
      <w:marBottom w:val="0"/>
      <w:divBdr>
        <w:top w:val="none" w:sz="0" w:space="0" w:color="auto"/>
        <w:left w:val="none" w:sz="0" w:space="0" w:color="auto"/>
        <w:bottom w:val="none" w:sz="0" w:space="0" w:color="auto"/>
        <w:right w:val="none" w:sz="0" w:space="0" w:color="auto"/>
      </w:divBdr>
    </w:div>
    <w:div w:id="1948850786">
      <w:bodyDiv w:val="1"/>
      <w:marLeft w:val="0"/>
      <w:marRight w:val="0"/>
      <w:marTop w:val="0"/>
      <w:marBottom w:val="0"/>
      <w:divBdr>
        <w:top w:val="none" w:sz="0" w:space="0" w:color="auto"/>
        <w:left w:val="none" w:sz="0" w:space="0" w:color="auto"/>
        <w:bottom w:val="none" w:sz="0" w:space="0" w:color="auto"/>
        <w:right w:val="none" w:sz="0" w:space="0" w:color="auto"/>
      </w:divBdr>
    </w:div>
    <w:div w:id="1957102396">
      <w:bodyDiv w:val="1"/>
      <w:marLeft w:val="0"/>
      <w:marRight w:val="0"/>
      <w:marTop w:val="0"/>
      <w:marBottom w:val="0"/>
      <w:divBdr>
        <w:top w:val="none" w:sz="0" w:space="0" w:color="auto"/>
        <w:left w:val="none" w:sz="0" w:space="0" w:color="auto"/>
        <w:bottom w:val="none" w:sz="0" w:space="0" w:color="auto"/>
        <w:right w:val="none" w:sz="0" w:space="0" w:color="auto"/>
      </w:divBdr>
    </w:div>
    <w:div w:id="2015840446">
      <w:bodyDiv w:val="1"/>
      <w:marLeft w:val="0"/>
      <w:marRight w:val="0"/>
      <w:marTop w:val="0"/>
      <w:marBottom w:val="0"/>
      <w:divBdr>
        <w:top w:val="none" w:sz="0" w:space="0" w:color="auto"/>
        <w:left w:val="none" w:sz="0" w:space="0" w:color="auto"/>
        <w:bottom w:val="none" w:sz="0" w:space="0" w:color="auto"/>
        <w:right w:val="none" w:sz="0" w:space="0" w:color="auto"/>
      </w:divBdr>
    </w:div>
    <w:div w:id="2036147335">
      <w:bodyDiv w:val="1"/>
      <w:marLeft w:val="0"/>
      <w:marRight w:val="0"/>
      <w:marTop w:val="0"/>
      <w:marBottom w:val="0"/>
      <w:divBdr>
        <w:top w:val="none" w:sz="0" w:space="0" w:color="auto"/>
        <w:left w:val="none" w:sz="0" w:space="0" w:color="auto"/>
        <w:bottom w:val="none" w:sz="0" w:space="0" w:color="auto"/>
        <w:right w:val="none" w:sz="0" w:space="0" w:color="auto"/>
      </w:divBdr>
    </w:div>
    <w:div w:id="2064137190">
      <w:bodyDiv w:val="1"/>
      <w:marLeft w:val="0"/>
      <w:marRight w:val="0"/>
      <w:marTop w:val="0"/>
      <w:marBottom w:val="0"/>
      <w:divBdr>
        <w:top w:val="none" w:sz="0" w:space="0" w:color="auto"/>
        <w:left w:val="none" w:sz="0" w:space="0" w:color="auto"/>
        <w:bottom w:val="none" w:sz="0" w:space="0" w:color="auto"/>
        <w:right w:val="none" w:sz="0" w:space="0" w:color="auto"/>
      </w:divBdr>
    </w:div>
    <w:div w:id="21309320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un.org/es/globalissues/women/informe2012.pdf" TargetMode="External"/><Relationship Id="rId1" Type="http://schemas.openxmlformats.org/officeDocument/2006/relationships/hyperlink" Target="http://www.abcolombia.org.uk/downloads/Sexual_violence_report_Spanish.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b:Tag>Jos97</b:Tag>
    <b:SourceType>DocumentFromInternetSite</b:SourceType>
    <b:Guid>{A0522E09-A646-CE49-B9A8-CB98D16D8EE1}</b:Guid>
    <b:Author>
      <b:Author>
        <b:NameList>
          <b:Person>
            <b:Last>Castillo</b:Last>
            <b:First>José</b:First>
          </b:Person>
        </b:NameList>
      </b:Author>
      <b:ProducerName>
        <b:NameList>
          <b:Person>
            <b:Last>migrante</b:Last>
            <b:First>Politicas</b:First>
            <b:Middle>de retorno del</b:Middle>
          </b:Person>
        </b:NameList>
      </b:ProducerName>
    </b:Author>
    <b:Title>academia.edu</b:Title>
    <b:InternetSiteTitle>Teorias de la migracion de retorno</b:InternetSiteTitle>
    <b:URL>http://s3.amazonaws.com/academia.edu.documents/35564376/CC_33_art_3.pdf?AWSAccessKeyId=AKIAIWOWYYGZ2Y53UL3A&amp;Expires=1495761111&amp;Signature=lGW%2BSv5wbf3STO0amY6doj%2FyOt0%3D&amp;response-content-disposition=inline%3B%20filename%3DTEORIAS_DE_LA_MIGRACION_DE_RETORNO.pdf</b:URL>
    <b:ProductionCompany>Universidad Complutence</b:ProductionCompany>
    <b:Year>1997</b:Year>
    <b:YearAccessed>2017</b:YearAccessed>
    <b:MonthAccessed>Mayo</b:MonthAccessed>
    <b:RefOrder>4</b:RefOrder>
  </b:Source>
  <b:Source>
    <b:Tag>Ped13</b:Tag>
    <b:SourceType>DocumentFromInternetSite</b:SourceType>
    <b:Guid>{93B73919-9A81-5748-BD65-0B734324663E}</b:Guid>
    <b:Title>Universidad Autonoma de Barcelona</b:Title>
    <b:URL>http://institutinfancia.cat/wp-content/uploads/2016/08/2013_politicas-publicas-migracion-familiar-retorno_publicacio_cast-copia.pdf</b:URL>
    <b:Author>
      <b:ProducerName>
        <b:NameList>
          <b:Person>
            <b:Last>Politicas publicas</b:Last>
            <b:First>migracion</b:First>
            <b:Middle>familiar y retorno de la poblacion migrante latinoamericana</b:Middle>
          </b:Person>
        </b:NameList>
      </b:ProducerName>
      <b:Author>
        <b:NameList>
          <b:Person>
            <b:Last>Pedone</b:Last>
            <b:First>Claudia</b:First>
          </b:Person>
          <b:Person>
            <b:Last>Gil</b:Last>
            <b:First>Sandra</b:First>
          </b:Person>
        </b:NameList>
      </b:Author>
    </b:Author>
    <b:Year>2013</b:Year>
    <b:YearAccessed>2017</b:YearAccessed>
    <b:MonthAccessed>Mayo</b:MonthAccessed>
    <b:InternetSiteTitle>Politicas publicas, migracion familiar y retorno de la poblacion migrante latinoamericana</b:InternetSiteTitle>
    <b:RefOrder>5</b:RefOrder>
  </b:Source>
  <b:Source>
    <b:Tag>ONU90</b:Tag>
    <b:SourceType>DocumentFromInternetSite</b:SourceType>
    <b:Guid>{D931394F-E8E4-8648-B784-9D2C496A305A}</b:Guid>
    <b:Author>
      <b:Author>
        <b:Corporate>ONU</b:Corporate>
      </b:Author>
      <b:ProducerName>
        <b:NameList>
          <b:Person>
            <b:Last>familiares</b:Last>
            <b:First>Convención</b:First>
            <b:Middle>internConvención internacional sobre la protección de los derechos de los trabajadores migratorios y de sus familiaresacional sobre la protección de los derechos de los trabajadores migratorios y de sus</b:Middle>
          </b:Person>
        </b:NameList>
      </b:ProducerName>
    </b:Author>
    <b:Title>Oficina del Alto Comisionado de Derechos Humanos</b:Title>
    <b:URL>http://www.ohchr.org/SP/ProfessionalInterest/Pages/CMW.aspx</b:URL>
    <b:Year>1990</b:Year>
    <b:Month>Diciembre</b:Month>
    <b:Day>18</b:Day>
    <b:YearAccessed>2017</b:YearAccessed>
    <b:MonthAccessed>Mayo</b:MonthAccessed>
    <b:InternetSiteTitle>familiares, Convención internConvención internacional sobre la protección de los derechos de los trabajadores migratorios y de sus familiaresacional sobre la protección de los derechos de los trabajadores migratorios y de sus</b:InternetSiteTitle>
    <b:RefOrder>1</b:RefOrder>
  </b:Source>
  <b:Source>
    <b:Tag>Ban17</b:Tag>
    <b:SourceType>DocumentFromInternetSite</b:SourceType>
    <b:Guid>{B809933B-DB28-614C-BC7C-09388F903A49}</b:Guid>
    <b:Author>
      <b:Author>
        <b:Corporate>Banco Mundial</b:Corporate>
      </b:Author>
      <b:ProducerName>
        <b:NameList>
          <b:Person>
            <b:Last>General</b:Last>
            <b:First>Migración</b:First>
            <b:Middle>y Remesas: Panorama</b:Middle>
          </b:Person>
        </b:NameList>
      </b:ProducerName>
    </b:Author>
    <b:Title>Banco Mundial</b:Title>
    <b:URL>http://www.bancomundial.org/es/topic/migrationremittancesdiasporaissues/overview</b:URL>
    <b:Year>2017</b:Year>
    <b:YearAccessed>2017</b:YearAccessed>
    <b:MonthAccessed>Mayo</b:MonthAccessed>
    <b:InternetSiteTitle>General, Migración y Remesas: Panorama</b:InternetSiteTitle>
    <b:RefOrder>3</b:RefOrder>
  </b:Source>
  <b:Source>
    <b:Tag>Mon11</b:Tag>
    <b:SourceType>JournalArticle</b:SourceType>
    <b:Guid>{0027EF33-26FD-8747-B07A-1EF734FF424E}</b:Guid>
    <b:Author>
      <b:Author>
        <b:NameList>
          <b:Person>
            <b:Last>Moncayo</b:Last>
            <b:First>M</b:First>
          </b:Person>
        </b:NameList>
      </b:Author>
    </b:Author>
    <b:Title>Políticas de retorno en América Latina: miradas cruzadas </b:Title>
    <b:Year>2011</b:Year>
    <b:JournalName>AndinaMigrante</b:JournalName>
    <b:Publisher>Dossier central</b:Publisher>
    <b:RefOrder>6</b:RefOrder>
  </b:Source>
  <b:Source>
    <b:Tag>OIM15</b:Tag>
    <b:SourceType>DocumentFromInternetSite</b:SourceType>
    <b:Guid>{AB9922F0-5783-4849-9234-C700E5554142}</b:Guid>
    <b:Title>Organizacion Internacional para las Migraciones</b:Title>
    <b:Year>2015</b:Year>
    <b:Author>
      <b:Author>
        <b:Corporate>OIM</b:Corporate>
      </b:Author>
    </b:Author>
    <b:InternetSiteTitle>Reintegración - Enfoques Fiscales - </b:InternetSiteTitle>
    <b:URL>https://www.iom.int/sites/default/files/our_work/DMM/AVRR/reintegrationpositionpaper_FINAL_SP.PDF</b:URL>
    <b:YearAccessed>2017</b:YearAccessed>
    <b:MonthAccessed>Mayo</b:MonthAccessed>
    <b:RefOrder>7</b:RefOrder>
  </b:Source>
  <b:Source>
    <b:Tag>ABe10</b:Tag>
    <b:SourceType>DocumentFromInternetSite</b:SourceType>
    <b:Guid>{93863217-F6F0-5741-9603-13ECBA505D2C}</b:Guid>
    <b:Author>
      <b:Author>
        <b:NameList>
          <b:Person>
            <b:Last>Betts</b:Last>
            <b:First>A</b:First>
          </b:Person>
        </b:NameList>
      </b:Author>
    </b:Author>
    <b:Title>Departament of Politics and International Relations Of University of Oxford.</b:Title>
    <b:InternetSiteTitle>Global Migration Governance. The Emergence of New Debate</b:InternetSiteTitle>
    <b:Year>2010</b:Year>
    <b:YearAccessed>2017</b:YearAccessed>
    <b:MonthAccessed>Mayo</b:MonthAccessed>
    <b:URL>http://www.geg.ox.ac.uk/sites/geg/files/Betts%20Global%20Migration%20Governance%20PB.pdf</b:URL>
    <b:RefOrder>2</b:RefOrder>
  </b:Source>
  <b:Source>
    <b:Tag>UKD16</b:Tag>
    <b:SourceType>InternetSite</b:SourceType>
    <b:Guid>{BBD94CDE-577D-4415-AF52-F5810213F254}</b:Guid>
    <b:Author>
      <b:Author>
        <b:NameList>
          <b:Person>
            <b:Last>UK</b:Last>
            <b:First>Democratic</b:First>
            <b:Middle>Audit</b:Middle>
          </b:Person>
        </b:NameList>
      </b:Author>
    </b:Author>
    <b:Title>A dignity scale is needed for sustainable governance</b:Title>
    <b:Year>2016</b:Year>
    <b:InternetSiteTitle>UK, Democratic Audit</b:InternetSiteTitle>
    <b:Month>Febero</b:Month>
    <b:Day>10</b:Day>
    <b:RefOrder>8</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F5BB1A-9388-4F34-882B-F48EF7754FE1}"/>
</file>

<file path=customXml/itemProps2.xml><?xml version="1.0" encoding="utf-8"?>
<ds:datastoreItem xmlns:ds="http://schemas.openxmlformats.org/officeDocument/2006/customXml" ds:itemID="{EC562713-C139-4401-965C-0A3ABD062D12}"/>
</file>

<file path=customXml/itemProps3.xml><?xml version="1.0" encoding="utf-8"?>
<ds:datastoreItem xmlns:ds="http://schemas.openxmlformats.org/officeDocument/2006/customXml" ds:itemID="{652FADBF-EDA0-4778-AFFE-D3E6E64BFAD7}"/>
</file>

<file path=customXml/itemProps4.xml><?xml version="1.0" encoding="utf-8"?>
<ds:datastoreItem xmlns:ds="http://schemas.openxmlformats.org/officeDocument/2006/customXml" ds:itemID="{CEF56209-D5A4-4477-A832-23A5AE58F291}"/>
</file>

<file path=docProps/app.xml><?xml version="1.0" encoding="utf-8"?>
<Properties xmlns="http://schemas.openxmlformats.org/officeDocument/2006/extended-properties" xmlns:vt="http://schemas.openxmlformats.org/officeDocument/2006/docPropsVTypes">
  <Template>Normal</Template>
  <TotalTime>8</TotalTime>
  <Pages>10</Pages>
  <Words>3621</Words>
  <Characters>19920</Characters>
  <Application>Microsoft Office Word</Application>
  <DocSecurity>0</DocSecurity>
  <Lines>166</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23495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Erika Alejandra Torres Arias</dc:creator>
  <cp:lastModifiedBy>EM</cp:lastModifiedBy>
  <cp:revision>4</cp:revision>
  <dcterms:created xsi:type="dcterms:W3CDTF">2017-08-02T08:31:00Z</dcterms:created>
  <dcterms:modified xsi:type="dcterms:W3CDTF">2017-08-02T08:49:00Z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