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F952D" w14:textId="77777777" w:rsidR="00117EEC" w:rsidRPr="00BC66CF" w:rsidRDefault="00117EEC" w:rsidP="00117EEC">
      <w:pPr>
        <w:rPr>
          <w:rFonts w:ascii="Times New Roman" w:hAnsi="Times New Roman" w:cs="Times New Roman"/>
          <w:b/>
          <w:bCs/>
          <w:sz w:val="24"/>
          <w:szCs w:val="24"/>
          <w:lang w:val="hy-AM"/>
        </w:rPr>
      </w:pPr>
      <w:bookmarkStart w:id="0" w:name="_GoBack"/>
      <w:bookmarkEnd w:id="0"/>
      <w:r w:rsidRPr="00BC66CF">
        <w:rPr>
          <w:rFonts w:ascii="Times New Roman" w:hAnsi="Times New Roman" w:cs="Times New Roman"/>
          <w:b/>
          <w:bCs/>
          <w:sz w:val="24"/>
          <w:szCs w:val="24"/>
          <w:lang w:val="hy-AM"/>
        </w:rPr>
        <w:t xml:space="preserve">Ministry of Territorial Administration and Infrastructure of the Republic of Armenia </w:t>
      </w:r>
    </w:p>
    <w:p w14:paraId="21007756" w14:textId="2EE60038" w:rsidR="00117EEC" w:rsidRPr="00BC66CF" w:rsidRDefault="00117EEC" w:rsidP="00117EEC">
      <w:pPr>
        <w:rPr>
          <w:rFonts w:ascii="Times New Roman" w:hAnsi="Times New Roman" w:cs="Times New Roman"/>
          <w:b/>
          <w:bCs/>
          <w:sz w:val="24"/>
          <w:szCs w:val="24"/>
          <w:lang w:val="hy-AM"/>
        </w:rPr>
      </w:pPr>
      <w:r w:rsidRPr="00BC66CF">
        <w:rPr>
          <w:rFonts w:ascii="Times New Roman" w:hAnsi="Times New Roman" w:cs="Times New Roman"/>
          <w:b/>
          <w:bCs/>
          <w:sz w:val="24"/>
          <w:szCs w:val="24"/>
          <w:lang w:val="hy-AM"/>
        </w:rPr>
        <w:t>Ms. Margo Zazyan</w:t>
      </w:r>
    </w:p>
    <w:p w14:paraId="48A33843" w14:textId="6C561694" w:rsidR="00DB7ACD" w:rsidRPr="00BC66CF" w:rsidRDefault="00DB7ACD" w:rsidP="00117EEC">
      <w:pPr>
        <w:rPr>
          <w:rFonts w:ascii="Times New Roman" w:hAnsi="Times New Roman" w:cs="Times New Roman"/>
          <w:b/>
          <w:bCs/>
          <w:sz w:val="24"/>
          <w:szCs w:val="24"/>
        </w:rPr>
      </w:pPr>
      <w:r w:rsidRPr="00BC66CF">
        <w:rPr>
          <w:rFonts w:ascii="Times New Roman" w:hAnsi="Times New Roman" w:cs="Times New Roman"/>
          <w:b/>
          <w:bCs/>
          <w:sz w:val="24"/>
          <w:szCs w:val="24"/>
        </w:rPr>
        <w:t>Mr.Ashot Goloyan</w:t>
      </w:r>
    </w:p>
    <w:p w14:paraId="663679F8" w14:textId="54429EDC" w:rsidR="00117EEC" w:rsidRPr="00BC66CF" w:rsidRDefault="00117EEC" w:rsidP="00117EEC">
      <w:pPr>
        <w:rPr>
          <w:rFonts w:ascii="Times New Roman" w:hAnsi="Times New Roman" w:cs="Times New Roman"/>
          <w:b/>
          <w:bCs/>
          <w:sz w:val="24"/>
          <w:szCs w:val="24"/>
        </w:rPr>
      </w:pPr>
    </w:p>
    <w:p w14:paraId="3D74DD4A" w14:textId="3593126C" w:rsidR="00104C03" w:rsidRPr="00BC66CF" w:rsidRDefault="00104C03" w:rsidP="00117EEC">
      <w:pPr>
        <w:rPr>
          <w:rFonts w:ascii="Times New Roman" w:hAnsi="Times New Roman" w:cs="Times New Roman"/>
          <w:b/>
          <w:bCs/>
          <w:sz w:val="24"/>
          <w:szCs w:val="24"/>
          <w:lang w:val="hy-AM"/>
        </w:rPr>
      </w:pPr>
      <w:r w:rsidRPr="00BC66CF">
        <w:rPr>
          <w:rFonts w:ascii="Times New Roman" w:hAnsi="Times New Roman" w:cs="Times New Roman"/>
          <w:b/>
          <w:bCs/>
          <w:sz w:val="24"/>
          <w:szCs w:val="24"/>
          <w:lang w:val="hy-AM"/>
        </w:rPr>
        <w:t>Actions aimed at women's political participation and gender equality at the local level</w:t>
      </w:r>
    </w:p>
    <w:p w14:paraId="0CA124AC" w14:textId="5E341687" w:rsidR="00811331" w:rsidRPr="00BC66CF" w:rsidRDefault="00104C03" w:rsidP="00952011">
      <w:pPr>
        <w:jc w:val="both"/>
        <w:rPr>
          <w:rFonts w:ascii="Times New Roman" w:hAnsi="Times New Roman" w:cs="Times New Roman"/>
          <w:b/>
          <w:bCs/>
          <w:sz w:val="24"/>
          <w:szCs w:val="24"/>
          <w:lang w:val="hy-AM"/>
        </w:rPr>
      </w:pPr>
      <w:r w:rsidRPr="00BC66CF">
        <w:rPr>
          <w:rFonts w:ascii="Times New Roman" w:hAnsi="Times New Roman" w:cs="Times New Roman"/>
          <w:b/>
          <w:bCs/>
          <w:sz w:val="24"/>
          <w:szCs w:val="24"/>
          <w:lang w:val="hy-AM"/>
        </w:rPr>
        <w:t>Electoral process and legislation</w:t>
      </w:r>
    </w:p>
    <w:p w14:paraId="0F511356" w14:textId="77777777" w:rsidR="00104C03" w:rsidRPr="00BC66CF" w:rsidRDefault="00104C03" w:rsidP="00952011">
      <w:pPr>
        <w:jc w:val="both"/>
        <w:rPr>
          <w:rFonts w:ascii="Times New Roman" w:hAnsi="Times New Roman" w:cs="Times New Roman"/>
          <w:color w:val="00B050"/>
          <w:sz w:val="14"/>
          <w:szCs w:val="14"/>
          <w:lang w:val="hy-AM"/>
        </w:rPr>
      </w:pPr>
    </w:p>
    <w:p w14:paraId="0A645329" w14:textId="163FBC5C" w:rsidR="00104C03" w:rsidRPr="00BC66CF" w:rsidRDefault="00104C03" w:rsidP="00104C03">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At the local level, elections with proportional lists were held for the first time in 3 major cities of the Republic of Armenia: in Yerevan in 2009, and in Gyumri and Vanadzor in 2016.</w:t>
      </w:r>
    </w:p>
    <w:p w14:paraId="2629DF3A" w14:textId="6BF92A4C" w:rsidR="00104C03" w:rsidRPr="00BC66CF" w:rsidRDefault="00104C03" w:rsidP="00104C03">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On June 18, 2020, the RA Constitutional Law on Amendments and Additions to the Constitutional Law "Electoral Code of the Republic of Armenia" was adopted, which provided for a proportional electoral system for local governments, as a result of which in the communities of the Republic of Armenia with more than 4000 voters, as well as multi-residential settlements in the communities, the elections of the council of elders of the community should be held according to the proportional electoral system.</w:t>
      </w:r>
    </w:p>
    <w:p w14:paraId="50D89926" w14:textId="361FB773" w:rsidR="00104C03" w:rsidRPr="00BC66CF" w:rsidRDefault="00104C03" w:rsidP="00104C03">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The RA Electoral Code defines a 30% gender quota. Local self-governing body elections with proportional electoral system were held in the fall and winter of 2021 in 45 multi-residential communities, where 30% representation of women in the council of elders was ensured.</w:t>
      </w:r>
    </w:p>
    <w:p w14:paraId="79CD775D" w14:textId="22EE3BBB" w:rsidR="00104C03" w:rsidRPr="00BC66CF" w:rsidRDefault="00104C03" w:rsidP="00104C03">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As of September 25, 2022, female community leaders were elected in three communities (one of which is a community representing an ethnic minority - Dvin), and 21.7% in the councils of elders. Currently, we have 3 female heads of communities, 22 female administrative heads of settlements and 424 female members of the council of elders in RA. Syunik, Shirak, Vayots Dzor and Lori marzes are the leaders in terms of women's activity.</w:t>
      </w:r>
    </w:p>
    <w:p w14:paraId="28764A6E" w14:textId="08EB4E2E" w:rsidR="00104C03" w:rsidRPr="00BC66CF" w:rsidRDefault="00104C03" w:rsidP="00104C03">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64 of the 71 communities of the republic are united communities. Local government elections were held in 62 communities under the proportional electoral system, and in 9, elections were held under the majority electoral system. The latter are communities densely populated by national minorities, moreover, 4 of them are united communities.</w:t>
      </w:r>
    </w:p>
    <w:p w14:paraId="5A691AA7" w14:textId="77777777" w:rsidR="00104C03" w:rsidRPr="00BC66CF" w:rsidRDefault="00104C03" w:rsidP="00104C03">
      <w:pPr>
        <w:jc w:val="both"/>
        <w:rPr>
          <w:rFonts w:ascii="Times New Roman" w:hAnsi="Times New Roman" w:cs="Times New Roman"/>
          <w:b/>
          <w:sz w:val="24"/>
          <w:szCs w:val="24"/>
          <w:lang w:val="hy-AM"/>
        </w:rPr>
      </w:pPr>
    </w:p>
    <w:p w14:paraId="2E848C4B" w14:textId="6A69B955" w:rsidR="00814F2F" w:rsidRPr="00BC66CF" w:rsidRDefault="00814F2F" w:rsidP="00814F2F">
      <w:pPr>
        <w:rPr>
          <w:rFonts w:ascii="Times New Roman" w:hAnsi="Times New Roman" w:cs="Times New Roman"/>
          <w:b/>
          <w:sz w:val="24"/>
          <w:szCs w:val="24"/>
          <w:lang w:val="hy-AM"/>
        </w:rPr>
      </w:pPr>
      <w:r w:rsidRPr="00BC66CF">
        <w:rPr>
          <w:rFonts w:ascii="Times New Roman" w:hAnsi="Times New Roman" w:cs="Times New Roman"/>
          <w:b/>
          <w:sz w:val="24"/>
          <w:szCs w:val="24"/>
          <w:lang w:val="hy-AM"/>
        </w:rPr>
        <w:t>Consultative bodies attached to the head of the community</w:t>
      </w:r>
    </w:p>
    <w:p w14:paraId="2E06E467" w14:textId="77777777" w:rsidR="00814F2F" w:rsidRPr="00BC66CF" w:rsidRDefault="00814F2F" w:rsidP="00814F2F">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The consultative body attached to the head of the community is one of the formal instruments, legal regulations are defined by the RA Law "On Local Self-Government", in particular, Article 18, Part 1, Clause 34 of the RA Law "On Local Self-Government", the council of elders of the community discusses and decides makes a decision on approving the number, names and order of formation of consultative bodies attached to the head of the community, operating in public order in the territory of the community.</w:t>
      </w:r>
    </w:p>
    <w:p w14:paraId="45D710C1" w14:textId="78419493" w:rsidR="00104C03" w:rsidRPr="00BC66CF" w:rsidRDefault="00814F2F" w:rsidP="00814F2F">
      <w:pPr>
        <w:jc w:val="both"/>
        <w:rPr>
          <w:rFonts w:ascii="Times New Roman" w:hAnsi="Times New Roman" w:cs="Times New Roman"/>
          <w:sz w:val="24"/>
          <w:szCs w:val="24"/>
          <w:lang w:val="hy-AM"/>
        </w:rPr>
      </w:pPr>
      <w:r w:rsidRPr="00BC66CF">
        <w:rPr>
          <w:rFonts w:ascii="Times New Roman" w:hAnsi="Times New Roman" w:cs="Times New Roman"/>
          <w:sz w:val="24"/>
          <w:szCs w:val="24"/>
          <w:lang w:val="hy-AM"/>
        </w:rPr>
        <w:t>With the support of the United Nations Development Program in 17 multi-residential communities of RA (Vayots Dzor - Areni, Yeghegnadzor, Vaik; Lori - Tashir, Stepanavan, Tumanyan, Shnogh; Shirak - Amasia, Akhuryan; Syunik - Tegh, Tatev, Meghri; Gegharkunik - Shoghakat, Vardenis; Aragatsotn - Aparan; Armavir - Khoi; Tavush - Noyembarian) consultative bodies of "Women and Youth" attached to the head of the community were created and are functioning, which have multiple mandates and support the activities of the local government. These KMs are a platform to make the voice of women and youth heard and promote participation.</w:t>
      </w:r>
    </w:p>
    <w:p w14:paraId="7AC37C5C" w14:textId="77777777" w:rsidR="00CD4C1C" w:rsidRPr="00BC66CF" w:rsidRDefault="00CD4C1C" w:rsidP="00CD4C1C">
      <w:pPr>
        <w:pStyle w:val="NormalWeb"/>
        <w:spacing w:before="0" w:beforeAutospacing="0" w:after="0" w:afterAutospacing="0"/>
        <w:ind w:firstLine="375"/>
        <w:jc w:val="both"/>
        <w:rPr>
          <w:rFonts w:ascii="Times New Roman" w:hAnsi="Times New Roman" w:cs="Times New Roman"/>
          <w:b/>
          <w:bCs/>
          <w:color w:val="000000"/>
          <w:sz w:val="24"/>
          <w:szCs w:val="24"/>
          <w:lang w:val="hy-AM"/>
        </w:rPr>
      </w:pPr>
    </w:p>
    <w:p w14:paraId="258B3B3F" w14:textId="01ADBA3A" w:rsidR="00814F2F" w:rsidRPr="00BC66CF" w:rsidRDefault="00814F2F" w:rsidP="00814F2F">
      <w:pPr>
        <w:pStyle w:val="NormalWeb"/>
        <w:spacing w:after="0"/>
        <w:jc w:val="both"/>
        <w:rPr>
          <w:rFonts w:ascii="Times New Roman" w:hAnsi="Times New Roman" w:cs="Times New Roman"/>
          <w:b/>
          <w:bCs/>
          <w:color w:val="000000"/>
          <w:sz w:val="24"/>
          <w:szCs w:val="24"/>
          <w:lang w:val="hy-AM"/>
        </w:rPr>
      </w:pPr>
      <w:r w:rsidRPr="00BC66CF">
        <w:rPr>
          <w:rFonts w:ascii="Times New Roman" w:hAnsi="Times New Roman" w:cs="Times New Roman"/>
          <w:b/>
          <w:bCs/>
          <w:color w:val="000000"/>
          <w:sz w:val="24"/>
          <w:szCs w:val="24"/>
          <w:lang w:val="hy-AM"/>
        </w:rPr>
        <w:lastRenderedPageBreak/>
        <w:t xml:space="preserve">Gender Analysis and Gender Responsive Budgeting                                                                                  </w:t>
      </w:r>
    </w:p>
    <w:p w14:paraId="366EDA20" w14:textId="696CB8F9" w:rsidR="00514A3C" w:rsidRPr="00BC66CF" w:rsidRDefault="00814F2F" w:rsidP="00814F2F">
      <w:pPr>
        <w:pStyle w:val="NormalWeb"/>
        <w:spacing w:before="0" w:beforeAutospacing="0" w:after="0" w:afterAutospacing="0"/>
        <w:jc w:val="both"/>
        <w:rPr>
          <w:rFonts w:ascii="Times New Roman" w:hAnsi="Times New Roman" w:cs="Times New Roman"/>
          <w:sz w:val="24"/>
          <w:szCs w:val="24"/>
          <w:lang w:val="hy-AM"/>
        </w:rPr>
      </w:pPr>
      <w:r w:rsidRPr="00BC66CF">
        <w:rPr>
          <w:rFonts w:ascii="Times New Roman" w:hAnsi="Times New Roman" w:cs="Times New Roman"/>
          <w:bCs/>
          <w:color w:val="000000"/>
          <w:sz w:val="24"/>
          <w:szCs w:val="24"/>
          <w:lang w:val="hy-AM"/>
        </w:rPr>
        <w:t>The Annual Work Plan of the Community of Article 82.1, Clause 1 of the RA Law "On Local Self-Government" is the program document of the community, which defines all the programs and activities carried out in the community by the local self-government bodies or with their participation during the given year. According to paragraph 5 of the same article, "The methodology for developing the annual work plan of the community defines the legal bases and structures for the preparation of the annual work plan, participation mechanisms, monitoring and evaluation systems (including indicators and their characteristics, types), accountability, etc." In this sense, in order to make the Annual Work Plan (AWP) more gender-sensitive within the framework of the UN Development Program, the number of 15 (7 more are in progress) (Vayots Dzor - Zartap, Areni, Gladzor, Vaik, Yeghegnadzor (2022); Lori - Lori Berd, Alaverdi) , Odzun, Stepanavan; Kotayk - Jrvezh, Charentsavan; Ararat - Urtsadzor; Armavir - Khoi (2022); Tavush - Berd, Ayrum, Noyemberyan (2022), Dilijan (2022); Syunik - Gorayk, Meghri, Tatev (2022), Tegh (2022); Aragatsotn - Aparan (2022)) gender analysis exercises were carried out in the communities, through which gender-sensitive indicators were included in the TAPs, which will further facilitate the evaluation process of the programs, legal acts, various state policy interventions that are active or initiated in the relevant spheres of public life. A step-by-step manual was also created on "Gender identification and TAPs". Based on the results of the gender analysis, UNDP and GIZ implemented a gender-sensitive budgeting process in 36 multi-residential communities (Aragatsotn - Alagyaz, Ashtarak, Tsaghkahovit; Gegharkunik - Chambarak, Gavar, Shoghakat, Vardenis; Kotayk - Abovyan, Charentsavan, Garni, Jrvezh; Lori - Aghtala, Alaverdi, Gyulagarak, Lori Berd, Metsavan, Odzun, Sarchapet, Shnogh, Stepanavan, Tashir; Shirak - Akhuryan, Amasia, Artik, Ashotsk; Syunik - Gorayk, Meghri, Sisian; Tavush - Berd, Dilijan; Vayots Dzor - Areni, Jermuk, Vaik, Yeghegis, Yeghegnadzor). A manual on gender-sensitive budgeting was also developed with joint efforts.</w:t>
      </w:r>
    </w:p>
    <w:p w14:paraId="55B2C03C" w14:textId="77777777" w:rsidR="00514A3C" w:rsidRPr="00BC66CF" w:rsidRDefault="00514A3C" w:rsidP="00CD4C1C">
      <w:pPr>
        <w:pStyle w:val="NormalWeb"/>
        <w:spacing w:before="0" w:beforeAutospacing="0" w:after="0" w:afterAutospacing="0"/>
        <w:jc w:val="both"/>
        <w:rPr>
          <w:rFonts w:ascii="Times New Roman" w:hAnsi="Times New Roman" w:cs="Times New Roman"/>
          <w:sz w:val="24"/>
          <w:szCs w:val="24"/>
          <w:lang w:val="hy-AM"/>
        </w:rPr>
      </w:pPr>
    </w:p>
    <w:p w14:paraId="67AC4A11" w14:textId="77777777" w:rsidR="00514A3C" w:rsidRPr="00BC66CF" w:rsidRDefault="00514A3C" w:rsidP="00CD4C1C">
      <w:pPr>
        <w:pStyle w:val="NormalWeb"/>
        <w:spacing w:before="0" w:beforeAutospacing="0" w:after="0" w:afterAutospacing="0"/>
        <w:jc w:val="both"/>
        <w:rPr>
          <w:rFonts w:ascii="Times New Roman" w:hAnsi="Times New Roman" w:cs="Times New Roman"/>
          <w:sz w:val="24"/>
          <w:szCs w:val="24"/>
          <w:lang w:val="hy-AM"/>
        </w:rPr>
      </w:pPr>
    </w:p>
    <w:sectPr w:rsidR="00514A3C" w:rsidRPr="00BC66CF" w:rsidSect="00DB7ACD">
      <w:pgSz w:w="12240" w:h="15840"/>
      <w:pgMar w:top="540" w:right="1080" w:bottom="27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847"/>
    <w:rsid w:val="00065663"/>
    <w:rsid w:val="00074E13"/>
    <w:rsid w:val="000C1BCA"/>
    <w:rsid w:val="000E4600"/>
    <w:rsid w:val="000F6A79"/>
    <w:rsid w:val="00104C03"/>
    <w:rsid w:val="001131B3"/>
    <w:rsid w:val="00117EEC"/>
    <w:rsid w:val="001B71F6"/>
    <w:rsid w:val="001E1766"/>
    <w:rsid w:val="002013BB"/>
    <w:rsid w:val="0021726D"/>
    <w:rsid w:val="00277384"/>
    <w:rsid w:val="0028254B"/>
    <w:rsid w:val="002B515C"/>
    <w:rsid w:val="002C3531"/>
    <w:rsid w:val="0035647B"/>
    <w:rsid w:val="00372F7B"/>
    <w:rsid w:val="003A705A"/>
    <w:rsid w:val="003E4283"/>
    <w:rsid w:val="00407655"/>
    <w:rsid w:val="00437127"/>
    <w:rsid w:val="00445B45"/>
    <w:rsid w:val="004534E8"/>
    <w:rsid w:val="00466E64"/>
    <w:rsid w:val="004D37B6"/>
    <w:rsid w:val="00514A3C"/>
    <w:rsid w:val="005164E3"/>
    <w:rsid w:val="00544BE6"/>
    <w:rsid w:val="00544C87"/>
    <w:rsid w:val="00597440"/>
    <w:rsid w:val="005E55B0"/>
    <w:rsid w:val="005F2319"/>
    <w:rsid w:val="005F7847"/>
    <w:rsid w:val="00615D2E"/>
    <w:rsid w:val="00670588"/>
    <w:rsid w:val="00693AFF"/>
    <w:rsid w:val="006A1E00"/>
    <w:rsid w:val="006E23CB"/>
    <w:rsid w:val="007071B9"/>
    <w:rsid w:val="00714E2A"/>
    <w:rsid w:val="00723860"/>
    <w:rsid w:val="00737D1B"/>
    <w:rsid w:val="007A30BB"/>
    <w:rsid w:val="007B7163"/>
    <w:rsid w:val="0080248A"/>
    <w:rsid w:val="00811331"/>
    <w:rsid w:val="00814F2F"/>
    <w:rsid w:val="008313C5"/>
    <w:rsid w:val="00831C49"/>
    <w:rsid w:val="0085571B"/>
    <w:rsid w:val="008712F8"/>
    <w:rsid w:val="00873F53"/>
    <w:rsid w:val="008947FC"/>
    <w:rsid w:val="008C2F54"/>
    <w:rsid w:val="008D6C10"/>
    <w:rsid w:val="008D7AC9"/>
    <w:rsid w:val="008E6673"/>
    <w:rsid w:val="00927B5C"/>
    <w:rsid w:val="00952011"/>
    <w:rsid w:val="0095396A"/>
    <w:rsid w:val="00964B22"/>
    <w:rsid w:val="00971B92"/>
    <w:rsid w:val="0099005D"/>
    <w:rsid w:val="00993619"/>
    <w:rsid w:val="009A17E8"/>
    <w:rsid w:val="009C4AD5"/>
    <w:rsid w:val="009D2ADA"/>
    <w:rsid w:val="009E3F57"/>
    <w:rsid w:val="00A03236"/>
    <w:rsid w:val="00A1238A"/>
    <w:rsid w:val="00AE5D54"/>
    <w:rsid w:val="00AF43F3"/>
    <w:rsid w:val="00B85FD4"/>
    <w:rsid w:val="00BA46B6"/>
    <w:rsid w:val="00BB4786"/>
    <w:rsid w:val="00BC66CF"/>
    <w:rsid w:val="00BF60C3"/>
    <w:rsid w:val="00C16F96"/>
    <w:rsid w:val="00C21348"/>
    <w:rsid w:val="00C2726A"/>
    <w:rsid w:val="00C37F50"/>
    <w:rsid w:val="00CD4C1C"/>
    <w:rsid w:val="00D17B7F"/>
    <w:rsid w:val="00D45563"/>
    <w:rsid w:val="00D5722C"/>
    <w:rsid w:val="00D84F01"/>
    <w:rsid w:val="00D95105"/>
    <w:rsid w:val="00D97AE6"/>
    <w:rsid w:val="00DB7ACD"/>
    <w:rsid w:val="00DC0E72"/>
    <w:rsid w:val="00DE7128"/>
    <w:rsid w:val="00E414E2"/>
    <w:rsid w:val="00E6120F"/>
    <w:rsid w:val="00EA67F5"/>
    <w:rsid w:val="00EB52D6"/>
    <w:rsid w:val="00EF26FF"/>
    <w:rsid w:val="00FC0DE9"/>
    <w:rsid w:val="00FC2ED5"/>
    <w:rsid w:val="00FE7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E2D01"/>
  <w15:docId w15:val="{ECA14E69-F7D2-4044-8362-6046DEB9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C1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4C1C"/>
    <w:pPr>
      <w:spacing w:before="100" w:beforeAutospacing="1" w:after="100" w:afterAutospacing="1" w:line="240" w:lineRule="auto"/>
    </w:pPr>
    <w:rPr>
      <w:rFonts w:ascii="Calibri" w:hAnsi="Calibri" w:cs="Calibri"/>
    </w:rPr>
  </w:style>
  <w:style w:type="character" w:styleId="Hyperlink">
    <w:name w:val="Hyperlink"/>
    <w:basedOn w:val="DefaultParagraphFont"/>
    <w:uiPriority w:val="99"/>
    <w:unhideWhenUsed/>
    <w:rsid w:val="00CD4C1C"/>
    <w:rPr>
      <w:color w:val="0000FF" w:themeColor="hyperlink"/>
      <w:u w:val="single"/>
    </w:rPr>
  </w:style>
  <w:style w:type="character" w:styleId="Strong">
    <w:name w:val="Strong"/>
    <w:basedOn w:val="DefaultParagraphFont"/>
    <w:uiPriority w:val="22"/>
    <w:qFormat/>
    <w:rsid w:val="009E3F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0EA4A-B883-4B2D-92DC-3E4963DA3A95}">
  <ds:schemaRefs>
    <ds:schemaRef ds:uri="http://schemas.openxmlformats.org/officeDocument/2006/bibliography"/>
  </ds:schemaRefs>
</ds:datastoreItem>
</file>

<file path=customXml/itemProps2.xml><?xml version="1.0" encoding="utf-8"?>
<ds:datastoreItem xmlns:ds="http://schemas.openxmlformats.org/officeDocument/2006/customXml" ds:itemID="{D3D2E4E7-25C6-4F0C-94F2-58084D40F8B3}"/>
</file>

<file path=customXml/itemProps3.xml><?xml version="1.0" encoding="utf-8"?>
<ds:datastoreItem xmlns:ds="http://schemas.openxmlformats.org/officeDocument/2006/customXml" ds:itemID="{9B32267F-0D7B-4E11-897C-EB6F53744334}"/>
</file>

<file path=customXml/itemProps4.xml><?xml version="1.0" encoding="utf-8"?>
<ds:datastoreItem xmlns:ds="http://schemas.openxmlformats.org/officeDocument/2006/customXml" ds:itemID="{FC40D57B-183F-4747-8D19-6645B995EE05}"/>
</file>

<file path=docProps/app.xml><?xml version="1.0" encoding="utf-8"?>
<Properties xmlns="http://schemas.openxmlformats.org/officeDocument/2006/extended-properties" xmlns:vt="http://schemas.openxmlformats.org/officeDocument/2006/docPropsVTypes">
  <Template>Normal</Template>
  <TotalTime>0</TotalTime>
  <Pages>2</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 Giloyan</dc:creator>
  <cp:lastModifiedBy>Zoya Stepanyan</cp:lastModifiedBy>
  <cp:revision>2</cp:revision>
  <dcterms:created xsi:type="dcterms:W3CDTF">2022-10-14T09:58:00Z</dcterms:created>
  <dcterms:modified xsi:type="dcterms:W3CDTF">2022-10-14T09:58:00Z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