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E3218" w14:textId="3D3ED97E" w:rsidR="00622977" w:rsidRDefault="00D84E5B">
      <w:pPr>
        <w:jc w:val="center"/>
        <w:rPr>
          <w:rFonts w:ascii="Palatino Linotype" w:eastAsia="Palatino Linotype" w:hAnsi="Palatino Linotype" w:cs="Palatino Linotype"/>
          <w:sz w:val="36"/>
          <w:szCs w:val="36"/>
        </w:rPr>
      </w:pPr>
      <w:r>
        <w:rPr>
          <w:rFonts w:ascii="Palatino Linotype" w:eastAsia="Palatino Linotype" w:hAnsi="Palatino Linotype" w:cs="Palatino Linotype"/>
          <w:sz w:val="36"/>
          <w:szCs w:val="36"/>
        </w:rPr>
        <w:t xml:space="preserve">Follow-up Report </w:t>
      </w:r>
      <w:r w:rsidR="009D25E7">
        <w:rPr>
          <w:rFonts w:ascii="Palatino Linotype" w:eastAsia="Palatino Linotype" w:hAnsi="Palatino Linotype" w:cs="Palatino Linotype"/>
          <w:sz w:val="36"/>
          <w:szCs w:val="36"/>
        </w:rPr>
        <w:t xml:space="preserve">for CAT </w:t>
      </w:r>
      <w:r w:rsidR="006E3641">
        <w:rPr>
          <w:rFonts w:ascii="Palatino Linotype" w:eastAsia="Palatino Linotype" w:hAnsi="Palatino Linotype" w:cs="Palatino Linotype"/>
          <w:sz w:val="36"/>
          <w:szCs w:val="36"/>
        </w:rPr>
        <w:t xml:space="preserve">on </w:t>
      </w:r>
      <w:r w:rsidR="00585485">
        <w:rPr>
          <w:rFonts w:ascii="Palatino Linotype" w:eastAsia="Palatino Linotype" w:hAnsi="Palatino Linotype" w:cs="Palatino Linotype"/>
          <w:sz w:val="36"/>
          <w:szCs w:val="36"/>
        </w:rPr>
        <w:t xml:space="preserve">Hong Kong </w:t>
      </w:r>
    </w:p>
    <w:p w14:paraId="393A638A" w14:textId="15E64056" w:rsidR="00585485" w:rsidRDefault="00585485">
      <w:pPr>
        <w:jc w:val="center"/>
        <w:rPr>
          <w:rFonts w:ascii="Palatino Linotype" w:eastAsia="Palatino Linotype" w:hAnsi="Palatino Linotype" w:cs="Palatino Linotype"/>
          <w:sz w:val="36"/>
          <w:szCs w:val="36"/>
        </w:rPr>
      </w:pPr>
      <w:r>
        <w:rPr>
          <w:rFonts w:ascii="Palatino Linotype" w:eastAsia="Palatino Linotype" w:hAnsi="Palatino Linotype" w:cs="Palatino Linotype"/>
          <w:sz w:val="36"/>
          <w:szCs w:val="36"/>
        </w:rPr>
        <w:t>for CAT’s Follow-up procedures on the HKSAR</w:t>
      </w:r>
    </w:p>
    <w:p w14:paraId="64E2F689" w14:textId="77777777" w:rsidR="009D25E7" w:rsidRDefault="009D25E7">
      <w:pPr>
        <w:jc w:val="center"/>
        <w:rPr>
          <w:rFonts w:ascii="Palatino Linotype" w:eastAsia="Palatino Linotype" w:hAnsi="Palatino Linotype" w:cs="Palatino Linotype"/>
          <w:sz w:val="32"/>
          <w:szCs w:val="32"/>
        </w:rPr>
      </w:pPr>
    </w:p>
    <w:p w14:paraId="5780AC44" w14:textId="67CE0000" w:rsidR="00622977" w:rsidRPr="00622977" w:rsidRDefault="00D84E5B">
      <w:pPr>
        <w:jc w:val="center"/>
        <w:rPr>
          <w:rFonts w:ascii="Palatino Linotype" w:eastAsia="Palatino Linotype" w:hAnsi="Palatino Linotype" w:cs="Palatino Linotype"/>
          <w:sz w:val="32"/>
          <w:szCs w:val="32"/>
        </w:rPr>
      </w:pPr>
      <w:r w:rsidRPr="00622977">
        <w:rPr>
          <w:rFonts w:ascii="Palatino Linotype" w:eastAsia="Palatino Linotype" w:hAnsi="Palatino Linotype" w:cs="Palatino Linotype"/>
          <w:sz w:val="32"/>
          <w:szCs w:val="32"/>
        </w:rPr>
        <w:t>(Jointly drafted by HK NGOs</w:t>
      </w:r>
      <w:r w:rsidR="00622977" w:rsidRPr="00622977">
        <w:rPr>
          <w:rFonts w:ascii="Palatino Linotype" w:eastAsia="Palatino Linotype" w:hAnsi="Palatino Linotype" w:cs="Palatino Linotype"/>
          <w:sz w:val="32"/>
          <w:szCs w:val="32"/>
        </w:rPr>
        <w:t xml:space="preserve">. </w:t>
      </w:r>
    </w:p>
    <w:p w14:paraId="0C0682E2" w14:textId="3C86BDCF" w:rsidR="006A3CE6" w:rsidRDefault="00622977">
      <w:pPr>
        <w:jc w:val="center"/>
        <w:rPr>
          <w:rFonts w:ascii="Palatino Linotype" w:eastAsia="Palatino Linotype" w:hAnsi="Palatino Linotype" w:cs="Palatino Linotype"/>
          <w:sz w:val="32"/>
          <w:szCs w:val="32"/>
        </w:rPr>
      </w:pPr>
      <w:r w:rsidRPr="00622977">
        <w:rPr>
          <w:rFonts w:ascii="Palatino Linotype" w:eastAsia="Palatino Linotype" w:hAnsi="Palatino Linotype" w:cs="Palatino Linotype"/>
          <w:sz w:val="32"/>
          <w:szCs w:val="32"/>
        </w:rPr>
        <w:t>Coordinated by HK Human Rights Monitor, HK Unison and Centre for Comparative and Public Law, Faculty of Law, University of Hong Kong</w:t>
      </w:r>
      <w:r w:rsidR="00D84E5B" w:rsidRPr="00622977">
        <w:rPr>
          <w:rFonts w:ascii="Palatino Linotype" w:eastAsia="Palatino Linotype" w:hAnsi="Palatino Linotype" w:cs="Palatino Linotype"/>
          <w:sz w:val="32"/>
          <w:szCs w:val="32"/>
        </w:rPr>
        <w:t>)</w:t>
      </w:r>
    </w:p>
    <w:p w14:paraId="182C7276" w14:textId="7C2FDE8C" w:rsidR="009D25E7" w:rsidRDefault="009D25E7">
      <w:pPr>
        <w:jc w:val="center"/>
        <w:rPr>
          <w:rFonts w:ascii="Palatino Linotype" w:eastAsia="Palatino Linotype" w:hAnsi="Palatino Linotype" w:cs="Palatino Linotype"/>
          <w:sz w:val="32"/>
          <w:szCs w:val="32"/>
        </w:rPr>
      </w:pPr>
    </w:p>
    <w:p w14:paraId="53799E37" w14:textId="2E8B91EC" w:rsidR="009D25E7" w:rsidRPr="00622977" w:rsidRDefault="009D25E7">
      <w:pPr>
        <w:jc w:val="center"/>
        <w:rPr>
          <w:rFonts w:ascii="Palatino Linotype" w:eastAsia="Palatino Linotype" w:hAnsi="Palatino Linotype" w:cs="Palatino Linotype"/>
          <w:sz w:val="32"/>
          <w:szCs w:val="32"/>
        </w:rPr>
      </w:pPr>
      <w:r>
        <w:rPr>
          <w:rFonts w:ascii="Palatino Linotype" w:eastAsia="Palatino Linotype" w:hAnsi="Palatino Linotype" w:cs="Palatino Linotype"/>
          <w:sz w:val="32"/>
          <w:szCs w:val="32"/>
        </w:rPr>
        <w:t>August 2018</w:t>
      </w:r>
    </w:p>
    <w:p w14:paraId="200EB0EF" w14:textId="77777777" w:rsidR="006A3CE6" w:rsidRDefault="006A3CE6">
      <w:pPr>
        <w:rPr>
          <w:rFonts w:ascii="Palatino Linotype" w:eastAsia="Palatino Linotype" w:hAnsi="Palatino Linotype" w:cs="Palatino Linotype"/>
          <w:sz w:val="24"/>
          <w:szCs w:val="24"/>
        </w:rPr>
      </w:pPr>
    </w:p>
    <w:p w14:paraId="6EA681C9" w14:textId="77777777" w:rsidR="006A3CE6" w:rsidRDefault="006A3CE6">
      <w:pPr>
        <w:rPr>
          <w:rFonts w:ascii="Palatino Linotype" w:eastAsia="Palatino Linotype" w:hAnsi="Palatino Linotype" w:cs="Palatino Linotype"/>
          <w:sz w:val="24"/>
          <w:szCs w:val="24"/>
        </w:rPr>
      </w:pPr>
    </w:p>
    <w:p w14:paraId="04CDE85F"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PART A: BACKGROUND: RA</w:t>
      </w:r>
      <w:bookmarkStart w:id="0" w:name="_GoBack"/>
      <w:bookmarkEnd w:id="0"/>
      <w:r>
        <w:rPr>
          <w:rFonts w:ascii="Palatino Linotype" w:eastAsia="Palatino Linotype" w:hAnsi="Palatino Linotype" w:cs="Palatino Linotype"/>
          <w:b/>
          <w:sz w:val="28"/>
          <w:szCs w:val="28"/>
        </w:rPr>
        <w:t xml:space="preserve">PID DETERIORATION OF RULE OF LAW IMPACTING LEGAL AND POLITICAL RIGHTS </w:t>
      </w:r>
    </w:p>
    <w:p w14:paraId="6A582ACC" w14:textId="77777777" w:rsidR="006A3CE6" w:rsidRDefault="006A3CE6">
      <w:pPr>
        <w:rPr>
          <w:rFonts w:ascii="Palatino Linotype" w:eastAsia="Palatino Linotype" w:hAnsi="Palatino Linotype" w:cs="Palatino Linotype"/>
          <w:sz w:val="24"/>
          <w:szCs w:val="24"/>
        </w:rPr>
      </w:pPr>
    </w:p>
    <w:p w14:paraId="536ECD58"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 xml:space="preserve">Serious Deterioration in the Rule of Law, One Country Two Systems and general political situation in Hong Kong </w:t>
      </w:r>
    </w:p>
    <w:p w14:paraId="5CC87EC3" w14:textId="77777777" w:rsidR="006A3CE6" w:rsidRDefault="006A3CE6">
      <w:pPr>
        <w:rPr>
          <w:rFonts w:ascii="Palatino Linotype" w:eastAsia="Palatino Linotype" w:hAnsi="Palatino Linotype" w:cs="Palatino Linotype"/>
          <w:sz w:val="24"/>
          <w:szCs w:val="24"/>
        </w:rPr>
      </w:pPr>
    </w:p>
    <w:p w14:paraId="12B3D7DC" w14:textId="195EC0B2"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S</w:t>
      </w:r>
      <w:r>
        <w:rPr>
          <w:rFonts w:ascii="Palatino Linotype" w:eastAsia="Palatino Linotype" w:hAnsi="Palatino Linotype" w:cs="Palatino Linotype"/>
          <w:color w:val="000000"/>
          <w:sz w:val="24"/>
          <w:szCs w:val="24"/>
        </w:rPr>
        <w:t xml:space="preserve">ince the </w:t>
      </w:r>
      <w:r>
        <w:rPr>
          <w:rFonts w:ascii="Palatino Linotype" w:eastAsia="Palatino Linotype" w:hAnsi="Palatino Linotype" w:cs="Palatino Linotype"/>
          <w:sz w:val="24"/>
          <w:szCs w:val="24"/>
        </w:rPr>
        <w:t xml:space="preserve">Committee Against Torture’s (CAT) </w:t>
      </w:r>
      <w:r>
        <w:rPr>
          <w:rFonts w:ascii="Palatino Linotype" w:eastAsia="Palatino Linotype" w:hAnsi="Palatino Linotype" w:cs="Palatino Linotype"/>
          <w:color w:val="000000"/>
          <w:sz w:val="24"/>
          <w:szCs w:val="24"/>
        </w:rPr>
        <w:t>last consideration of the</w:t>
      </w:r>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China/HKSAR/Macau SAR report in late 2015, t</w:t>
      </w:r>
      <w:r>
        <w:rPr>
          <w:rFonts w:ascii="Palatino Linotype" w:eastAsia="Palatino Linotype" w:hAnsi="Palatino Linotype" w:cs="Palatino Linotype"/>
          <w:sz w:val="24"/>
          <w:szCs w:val="24"/>
        </w:rPr>
        <w:t>he political situation in Hong Kong has deteriorated rapidly</w:t>
      </w:r>
      <w:r w:rsidR="009670CB">
        <w:rPr>
          <w:rFonts w:ascii="Palatino Linotype" w:eastAsia="Palatino Linotype" w:hAnsi="Palatino Linotype" w:cs="Palatino Linotype"/>
          <w:sz w:val="24"/>
          <w:szCs w:val="24"/>
        </w:rPr>
        <w:t>,</w:t>
      </w:r>
      <w:r>
        <w:rPr>
          <w:rFonts w:ascii="Palatino Linotype" w:eastAsia="Palatino Linotype" w:hAnsi="Palatino Linotype" w:cs="Palatino Linotype"/>
          <w:sz w:val="24"/>
          <w:szCs w:val="24"/>
        </w:rPr>
        <w:t xml:space="preserve"> creating an environment within which rights guaranteed under the One-Country-Two-Systems </w:t>
      </w:r>
      <w:r w:rsidR="009670CB">
        <w:rPr>
          <w:rFonts w:ascii="Palatino Linotype" w:eastAsia="Palatino Linotype" w:hAnsi="Palatino Linotype" w:cs="Palatino Linotype"/>
          <w:sz w:val="24"/>
          <w:szCs w:val="24"/>
        </w:rPr>
        <w:t xml:space="preserve">principle </w:t>
      </w:r>
      <w:r>
        <w:rPr>
          <w:rFonts w:ascii="Palatino Linotype" w:eastAsia="Palatino Linotype" w:hAnsi="Palatino Linotype" w:cs="Palatino Linotype"/>
          <w:sz w:val="24"/>
          <w:szCs w:val="24"/>
        </w:rPr>
        <w:t>as well as Hong Kong’s international treaty obligations are persistently being undermined</w:t>
      </w:r>
      <w:r>
        <w:rPr>
          <w:rFonts w:ascii="Palatino Linotype" w:eastAsia="Palatino Linotype" w:hAnsi="Palatino Linotype" w:cs="Palatino Linotype"/>
          <w:color w:val="000000"/>
          <w:sz w:val="24"/>
          <w:szCs w:val="24"/>
        </w:rPr>
        <w:t>.</w:t>
      </w:r>
    </w:p>
    <w:p w14:paraId="186CBE4F" w14:textId="77777777" w:rsidR="006A3CE6" w:rsidRDefault="006A3CE6">
      <w:pPr>
        <w:rPr>
          <w:rFonts w:ascii="Palatino Linotype" w:eastAsia="Palatino Linotype" w:hAnsi="Palatino Linotype" w:cs="Palatino Linotype"/>
          <w:sz w:val="24"/>
          <w:szCs w:val="24"/>
        </w:rPr>
      </w:pPr>
    </w:p>
    <w:p w14:paraId="1ECD96B2"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One Country Two Systems Framework is being Undermined</w:t>
      </w:r>
    </w:p>
    <w:p w14:paraId="501AF4C4" w14:textId="77777777" w:rsidR="006A3CE6" w:rsidRDefault="006A3CE6">
      <w:pPr>
        <w:rPr>
          <w:rFonts w:ascii="Palatino Linotype" w:eastAsia="Palatino Linotype" w:hAnsi="Palatino Linotype" w:cs="Palatino Linotype"/>
          <w:b/>
          <w:sz w:val="24"/>
          <w:szCs w:val="24"/>
        </w:rPr>
      </w:pPr>
    </w:p>
    <w:p w14:paraId="352CF5B2" w14:textId="63133B57" w:rsidR="006A3CE6" w:rsidRDefault="00D84E5B">
      <w:pPr>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 xml:space="preserve">“Complete jurisdiction” asserted by China over HK despite guarantee of Hong Kong’s high degree of autonomy </w:t>
      </w:r>
    </w:p>
    <w:p w14:paraId="18DA761F" w14:textId="73D8534E"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The high degree of</w:t>
      </w:r>
      <w:r>
        <w:rPr>
          <w:rFonts w:ascii="Palatino Linotype" w:eastAsia="Palatino Linotype" w:hAnsi="Palatino Linotype" w:cs="Palatino Linotype"/>
          <w:color w:val="000000"/>
          <w:sz w:val="24"/>
          <w:szCs w:val="24"/>
        </w:rPr>
        <w:t xml:space="preserve"> autonomy promised to Ho</w:t>
      </w:r>
      <w:r>
        <w:rPr>
          <w:rFonts w:ascii="Palatino Linotype" w:eastAsia="Palatino Linotype" w:hAnsi="Palatino Linotype" w:cs="Palatino Linotype"/>
          <w:sz w:val="24"/>
          <w:szCs w:val="24"/>
        </w:rPr>
        <w:t>ng Kong under</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the</w:t>
      </w:r>
      <w:r>
        <w:rPr>
          <w:rFonts w:ascii="Palatino Linotype" w:eastAsia="Palatino Linotype" w:hAnsi="Palatino Linotype" w:cs="Palatino Linotype"/>
          <w:color w:val="000000"/>
          <w:sz w:val="24"/>
          <w:szCs w:val="24"/>
        </w:rPr>
        <w:t xml:space="preserve"> One Country Two Systems </w:t>
      </w:r>
      <w:r>
        <w:rPr>
          <w:rFonts w:ascii="Palatino Linotype" w:eastAsia="Palatino Linotype" w:hAnsi="Palatino Linotype" w:cs="Palatino Linotype"/>
          <w:sz w:val="24"/>
          <w:szCs w:val="24"/>
        </w:rPr>
        <w:t>framework</w:t>
      </w:r>
      <w:r>
        <w:rPr>
          <w:rFonts w:ascii="Palatino Linotype" w:eastAsia="Palatino Linotype" w:hAnsi="Palatino Linotype" w:cs="Palatino Linotype"/>
          <w:color w:val="000000"/>
          <w:sz w:val="24"/>
          <w:szCs w:val="24"/>
        </w:rPr>
        <w:t xml:space="preserve"> set out in the Sino-British Joint Declaration (JD)</w:t>
      </w:r>
      <w:r>
        <w:rPr>
          <w:rFonts w:ascii="Palatino Linotype" w:eastAsia="Palatino Linotype" w:hAnsi="Palatino Linotype" w:cs="Palatino Linotype"/>
          <w:sz w:val="24"/>
          <w:szCs w:val="24"/>
        </w:rPr>
        <w:t xml:space="preserve"> has been threatened by China’s recent</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propaganda and unilateral assertions of its so-called "complete jurisdiction over the HKSAR”</w:t>
      </w:r>
      <w:r>
        <w:rPr>
          <w:rFonts w:ascii="Palatino Linotype" w:eastAsia="Palatino Linotype" w:hAnsi="Palatino Linotype" w:cs="Palatino Linotype"/>
          <w:color w:val="000000"/>
          <w:sz w:val="24"/>
          <w:szCs w:val="24"/>
        </w:rPr>
        <w:t xml:space="preserve">, justifying its increasing </w:t>
      </w:r>
      <w:r>
        <w:rPr>
          <w:rFonts w:ascii="Palatino Linotype" w:eastAsia="Palatino Linotype" w:hAnsi="Palatino Linotype" w:cs="Palatino Linotype"/>
          <w:sz w:val="24"/>
          <w:szCs w:val="24"/>
        </w:rPr>
        <w:t xml:space="preserve">intervention </w:t>
      </w:r>
      <w:r>
        <w:rPr>
          <w:rFonts w:ascii="Palatino Linotype" w:eastAsia="Palatino Linotype" w:hAnsi="Palatino Linotype" w:cs="Palatino Linotype"/>
          <w:color w:val="000000"/>
          <w:sz w:val="24"/>
          <w:szCs w:val="24"/>
        </w:rPr>
        <w:t>in Hong Kong affairs (</w:t>
      </w:r>
      <w:r>
        <w:rPr>
          <w:rFonts w:ascii="Palatino Linotype" w:eastAsia="Palatino Linotype" w:hAnsi="Palatino Linotype" w:cs="Palatino Linotype"/>
          <w:sz w:val="24"/>
          <w:szCs w:val="24"/>
        </w:rPr>
        <w:t>including</w:t>
      </w:r>
      <w:r>
        <w:rPr>
          <w:rFonts w:ascii="Palatino Linotype" w:eastAsia="Palatino Linotype" w:hAnsi="Palatino Linotype" w:cs="Palatino Linotype"/>
          <w:color w:val="000000"/>
          <w:sz w:val="24"/>
          <w:szCs w:val="24"/>
        </w:rPr>
        <w:t xml:space="preserve"> education, aca</w:t>
      </w:r>
      <w:r>
        <w:rPr>
          <w:rFonts w:ascii="Palatino Linotype" w:eastAsia="Palatino Linotype" w:hAnsi="Palatino Linotype" w:cs="Palatino Linotype"/>
          <w:color w:val="000000"/>
          <w:sz w:val="24"/>
          <w:szCs w:val="24"/>
        </w:rPr>
        <w:lastRenderedPageBreak/>
        <w:t>demic freedom and local elections)</w:t>
      </w:r>
      <w:r>
        <w:rPr>
          <w:rFonts w:ascii="Palatino Linotype" w:eastAsia="Palatino Linotype" w:hAnsi="Palatino Linotype" w:cs="Palatino Linotype"/>
          <w:sz w:val="24"/>
          <w:szCs w:val="24"/>
        </w:rPr>
        <w:t xml:space="preserve"> in areas reserved for the exclusive purview of Hong Kong under </w:t>
      </w:r>
      <w:r>
        <w:rPr>
          <w:rFonts w:ascii="Palatino Linotype" w:eastAsia="Palatino Linotype" w:hAnsi="Palatino Linotype" w:cs="Palatino Linotype"/>
          <w:color w:val="000000"/>
          <w:sz w:val="24"/>
          <w:szCs w:val="24"/>
        </w:rPr>
        <w:t xml:space="preserve">the Basic Law (BL) and the JD.  </w:t>
      </w:r>
    </w:p>
    <w:p w14:paraId="0FF24F8B"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5DE23786"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1E1EA869" w14:textId="77777777" w:rsidR="006A3CE6" w:rsidRDefault="00D84E5B">
      <w:pPr>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Suspected kidnapping from HK in breach of HKSAR’s jurisdiction</w:t>
      </w:r>
    </w:p>
    <w:p w14:paraId="192F8124" w14:textId="77777777" w:rsidR="006A3CE6" w:rsidRPr="00622977" w:rsidRDefault="00D84E5B">
      <w:pPr>
        <w:numPr>
          <w:ilvl w:val="0"/>
          <w:numId w:val="1"/>
        </w:numPr>
        <w:pBdr>
          <w:top w:val="nil"/>
          <w:left w:val="nil"/>
          <w:bottom w:val="nil"/>
          <w:right w:val="nil"/>
          <w:between w:val="nil"/>
        </w:pBdr>
        <w:contextualSpacing/>
        <w:jc w:val="both"/>
        <w:rPr>
          <w:rFonts w:ascii="Times New Roman" w:eastAsia="Times New Roman" w:hAnsi="Times New Roman" w:cs="Times New Roman"/>
          <w:color w:val="000000"/>
          <w:sz w:val="24"/>
          <w:szCs w:val="24"/>
        </w:rPr>
      </w:pPr>
      <w:r>
        <w:rPr>
          <w:rFonts w:ascii="Palatino Linotype" w:eastAsia="Palatino Linotype" w:hAnsi="Palatino Linotype" w:cs="Palatino Linotype"/>
          <w:color w:val="000000"/>
          <w:sz w:val="24"/>
          <w:szCs w:val="24"/>
        </w:rPr>
        <w:t xml:space="preserve">The disappearance of HK </w:t>
      </w:r>
      <w:r>
        <w:rPr>
          <w:rFonts w:ascii="Palatino Linotype" w:eastAsia="Palatino Linotype" w:hAnsi="Palatino Linotype" w:cs="Palatino Linotype"/>
          <w:sz w:val="24"/>
          <w:szCs w:val="24"/>
        </w:rPr>
        <w:t>resident</w:t>
      </w:r>
      <w:r>
        <w:rPr>
          <w:rFonts w:ascii="Palatino Linotype" w:eastAsia="Palatino Linotype" w:hAnsi="Palatino Linotype" w:cs="Palatino Linotype"/>
          <w:color w:val="000000"/>
          <w:sz w:val="24"/>
          <w:szCs w:val="24"/>
        </w:rPr>
        <w:t xml:space="preserve"> Lee Bo</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w:t>
      </w:r>
      <w:r>
        <w:rPr>
          <w:rFonts w:ascii="Palatino Linotype" w:eastAsia="Palatino Linotype" w:hAnsi="Palatino Linotype" w:cs="Palatino Linotype"/>
          <w:color w:val="000000"/>
          <w:sz w:val="24"/>
          <w:szCs w:val="24"/>
        </w:rPr>
        <w:t xml:space="preserve">in late 2015 without </w:t>
      </w:r>
      <w:r>
        <w:rPr>
          <w:rFonts w:ascii="Palatino Linotype" w:eastAsia="Palatino Linotype" w:hAnsi="Palatino Linotype" w:cs="Palatino Linotype"/>
          <w:sz w:val="24"/>
          <w:szCs w:val="24"/>
        </w:rPr>
        <w:t xml:space="preserve">corresponding </w:t>
      </w:r>
      <w:r>
        <w:rPr>
          <w:rFonts w:ascii="Palatino Linotype" w:eastAsia="Palatino Linotype" w:hAnsi="Palatino Linotype" w:cs="Palatino Linotype"/>
          <w:color w:val="000000"/>
          <w:sz w:val="24"/>
          <w:szCs w:val="24"/>
        </w:rPr>
        <w:t xml:space="preserve">immigration records has sparked widespread concern that he was involuntarily kidnapped and removed from Hong Kong to Mainland China without due process </w:t>
      </w:r>
      <w:r>
        <w:rPr>
          <w:rFonts w:ascii="Palatino Linotype" w:eastAsia="Palatino Linotype" w:hAnsi="Palatino Linotype" w:cs="Palatino Linotype"/>
          <w:sz w:val="24"/>
          <w:szCs w:val="24"/>
        </w:rPr>
        <w:t>and</w:t>
      </w:r>
      <w:r>
        <w:rPr>
          <w:rFonts w:ascii="Palatino Linotype" w:eastAsia="Palatino Linotype" w:hAnsi="Palatino Linotype" w:cs="Palatino Linotype"/>
          <w:color w:val="000000"/>
          <w:sz w:val="24"/>
          <w:szCs w:val="24"/>
        </w:rPr>
        <w:t xml:space="preserve"> was allegedly held in custody by Mainland authorities without notification to the HKSAR government (H</w:t>
      </w:r>
      <w:r>
        <w:rPr>
          <w:rFonts w:ascii="Palatino Linotype" w:eastAsia="Palatino Linotype" w:hAnsi="Palatino Linotype" w:cs="Palatino Linotype"/>
          <w:sz w:val="24"/>
          <w:szCs w:val="24"/>
        </w:rPr>
        <w:t>KSARG)</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To date, there is no explanation of how he crossed border lines without any immigration record</w:t>
      </w:r>
      <w:r>
        <w:rPr>
          <w:rFonts w:ascii="Palatino Linotype" w:eastAsia="Palatino Linotype" w:hAnsi="Palatino Linotype" w:cs="Palatino Linotype"/>
          <w:color w:val="000000"/>
          <w:sz w:val="24"/>
          <w:szCs w:val="24"/>
        </w:rPr>
        <w:t>.  The rami</w:t>
      </w:r>
      <w:r>
        <w:rPr>
          <w:rFonts w:ascii="Palatino Linotype" w:eastAsia="Palatino Linotype" w:hAnsi="Palatino Linotype" w:cs="Palatino Linotype"/>
          <w:sz w:val="24"/>
          <w:szCs w:val="24"/>
        </w:rPr>
        <w:t xml:space="preserve">fications of this incident are extremely serious. In the absence of any explanation, the HKSARG may be seen as being complicit in the disappearance or to have implicitly acquiesced with the exercise of China’s laws by its agents on Hong Kong soil, a violation of the JD and BL, which prohibits </w:t>
      </w:r>
      <w:r>
        <w:rPr>
          <w:rFonts w:ascii="Palatino Linotype" w:eastAsia="Palatino Linotype" w:hAnsi="Palatino Linotype" w:cs="Palatino Linotype"/>
          <w:sz w:val="24"/>
          <w:szCs w:val="24"/>
        </w:rPr>
        <w:lastRenderedPageBreak/>
        <w:t>such enforcement of Mainland laws</w:t>
      </w:r>
      <w:r>
        <w:rPr>
          <w:rFonts w:ascii="Palatino Linotype" w:eastAsia="Palatino Linotype" w:hAnsi="Palatino Linotype" w:cs="Palatino Linotype"/>
          <w:sz w:val="24"/>
          <w:szCs w:val="24"/>
          <w:vertAlign w:val="superscript"/>
        </w:rPr>
        <w:footnoteReference w:id="2"/>
      </w:r>
      <w:r>
        <w:rPr>
          <w:rFonts w:ascii="Palatino Linotype" w:eastAsia="Palatino Linotype" w:hAnsi="Palatino Linotype" w:cs="Palatino Linotype"/>
          <w:sz w:val="24"/>
          <w:szCs w:val="24"/>
        </w:rPr>
        <w:t xml:space="preserve"> or exercise of powers by Mainland law enforcement officers in the territory.</w:t>
      </w:r>
      <w:r>
        <w:rPr>
          <w:rFonts w:ascii="Palatino Linotype" w:eastAsia="Palatino Linotype" w:hAnsi="Palatino Linotype" w:cs="Palatino Linotype"/>
          <w:sz w:val="24"/>
          <w:szCs w:val="24"/>
          <w:vertAlign w:val="superscript"/>
        </w:rPr>
        <w:footnoteReference w:id="3"/>
      </w:r>
      <w:r>
        <w:rPr>
          <w:rFonts w:ascii="Palatino Linotype" w:eastAsia="Palatino Linotype" w:hAnsi="Palatino Linotype" w:cs="Palatino Linotype"/>
          <w:sz w:val="24"/>
          <w:szCs w:val="24"/>
        </w:rPr>
        <w:t xml:space="preserve"> </w:t>
      </w:r>
    </w:p>
    <w:p w14:paraId="4E79F002"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6F963D4" w14:textId="77777777" w:rsidR="006A3CE6" w:rsidRDefault="00D84E5B">
      <w:pPr>
        <w:numPr>
          <w:ilvl w:val="0"/>
          <w:numId w:val="1"/>
        </w:numPr>
        <w:pBdr>
          <w:top w:val="nil"/>
          <w:left w:val="nil"/>
          <w:bottom w:val="nil"/>
          <w:right w:val="nil"/>
          <w:between w:val="nil"/>
        </w:pBdr>
        <w:contextualSpacing/>
        <w:jc w:val="both"/>
        <w:rPr>
          <w:rFonts w:ascii="Times New Roman" w:eastAsia="Times New Roman" w:hAnsi="Times New Roman" w:cs="Times New Roman"/>
          <w:color w:val="000000"/>
          <w:sz w:val="24"/>
          <w:szCs w:val="24"/>
        </w:rPr>
      </w:pPr>
      <w:r>
        <w:rPr>
          <w:rFonts w:ascii="Palatino Linotype" w:eastAsia="Palatino Linotype" w:hAnsi="Palatino Linotype" w:cs="Palatino Linotype"/>
          <w:sz w:val="24"/>
          <w:szCs w:val="24"/>
        </w:rPr>
        <w:t xml:space="preserve">The failure to observe the boundaries for the exercise of legal jurisdiction over Hong Kong subjects exposes Hong Kong residents to Mainland laws without any due process and more fundamentally, strips them of human rights guarantees they enjoy under the BL and various international treaties. The risks of abduction, torture, and forced confession and pressures exerted on family and friends are no longer conjecture. Hong Kong people have every reason to be gravely concerned about the HKSARG’s commitment to the protection of its residents against such violations of the law. </w:t>
      </w:r>
    </w:p>
    <w:p w14:paraId="18779376" w14:textId="77777777" w:rsidR="006A3CE6" w:rsidRDefault="006A3CE6">
      <w:pPr>
        <w:rPr>
          <w:rFonts w:ascii="Times New Roman" w:eastAsia="Times New Roman" w:hAnsi="Times New Roman" w:cs="Times New Roman"/>
          <w:sz w:val="24"/>
          <w:szCs w:val="24"/>
        </w:rPr>
      </w:pPr>
    </w:p>
    <w:p w14:paraId="3E60C85F" w14:textId="355F318C"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The Committee is urged to call on the HKSAR to (a)</w:t>
      </w:r>
      <w:r w:rsidR="009670CB">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color w:val="000000"/>
          <w:sz w:val="24"/>
          <w:szCs w:val="24"/>
        </w:rPr>
        <w:t>c</w:t>
      </w:r>
      <w:r>
        <w:rPr>
          <w:rFonts w:ascii="Palatino Linotype" w:eastAsia="Palatino Linotype" w:hAnsi="Palatino Linotype" w:cs="Palatino Linotype"/>
          <w:sz w:val="24"/>
          <w:szCs w:val="24"/>
        </w:rPr>
        <w:t xml:space="preserve">onduct </w:t>
      </w:r>
      <w:r>
        <w:rPr>
          <w:rFonts w:ascii="Palatino Linotype" w:eastAsia="Palatino Linotype" w:hAnsi="Palatino Linotype" w:cs="Palatino Linotype"/>
          <w:color w:val="000000"/>
          <w:sz w:val="24"/>
          <w:szCs w:val="24"/>
        </w:rPr>
        <w:t>a thorough and objective investigation into the circ</w:t>
      </w:r>
      <w:r>
        <w:rPr>
          <w:rFonts w:ascii="Palatino Linotype" w:eastAsia="Palatino Linotype" w:hAnsi="Palatino Linotype" w:cs="Palatino Linotype"/>
          <w:sz w:val="24"/>
          <w:szCs w:val="24"/>
        </w:rPr>
        <w:t>umstances surrounding Lee Bo’s disappearance and to make the findings public</w:t>
      </w:r>
      <w:r>
        <w:rPr>
          <w:rFonts w:ascii="Palatino Linotype" w:eastAsia="Palatino Linotype" w:hAnsi="Palatino Linotype" w:cs="Palatino Linotype"/>
          <w:color w:val="000000"/>
          <w:sz w:val="24"/>
          <w:szCs w:val="24"/>
        </w:rPr>
        <w:t xml:space="preserve">; and (b) explain to the Committee the effectiveness of HK’s legislative, administrative, judicial </w:t>
      </w:r>
      <w:r>
        <w:rPr>
          <w:rFonts w:ascii="Palatino Linotype" w:eastAsia="Palatino Linotype" w:hAnsi="Palatino Linotype" w:cs="Palatino Linotype"/>
          <w:color w:val="000000"/>
          <w:sz w:val="24"/>
          <w:szCs w:val="24"/>
        </w:rPr>
        <w:lastRenderedPageBreak/>
        <w:t xml:space="preserve">or other measures in preventing the </w:t>
      </w:r>
      <w:r>
        <w:rPr>
          <w:rFonts w:ascii="Palatino Linotype" w:eastAsia="Palatino Linotype" w:hAnsi="Palatino Linotype" w:cs="Palatino Linotype"/>
          <w:sz w:val="24"/>
          <w:szCs w:val="24"/>
        </w:rPr>
        <w:t xml:space="preserve">application of </w:t>
      </w:r>
      <w:r>
        <w:rPr>
          <w:rFonts w:ascii="Palatino Linotype" w:eastAsia="Palatino Linotype" w:hAnsi="Palatino Linotype" w:cs="Palatino Linotype"/>
          <w:color w:val="000000"/>
          <w:sz w:val="24"/>
          <w:szCs w:val="24"/>
        </w:rPr>
        <w:t>extraterritorial law in HK.</w:t>
      </w:r>
    </w:p>
    <w:p w14:paraId="21F3A853" w14:textId="77777777" w:rsidR="006A3CE6" w:rsidRDefault="006A3CE6">
      <w:pPr>
        <w:rPr>
          <w:rFonts w:ascii="Palatino Linotype" w:eastAsia="Palatino Linotype" w:hAnsi="Palatino Linotype" w:cs="Palatino Linotype"/>
          <w:sz w:val="24"/>
          <w:szCs w:val="24"/>
        </w:rPr>
      </w:pPr>
    </w:p>
    <w:p w14:paraId="1B8D3A64"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 xml:space="preserve">Rule OF Law Replaced by Rule BY Law </w:t>
      </w:r>
    </w:p>
    <w:p w14:paraId="1405D7B0" w14:textId="77777777" w:rsidR="006A3CE6" w:rsidRDefault="006A3CE6">
      <w:pPr>
        <w:rPr>
          <w:rFonts w:ascii="Palatino Linotype" w:eastAsia="Palatino Linotype" w:hAnsi="Palatino Linotype" w:cs="Palatino Linotype"/>
          <w:b/>
          <w:sz w:val="24"/>
          <w:szCs w:val="24"/>
        </w:rPr>
      </w:pPr>
    </w:p>
    <w:p w14:paraId="3F3027BF" w14:textId="2EC03523"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The Rule of Law is the lynchpin safeguarding the rights and freedoms of Hong Kong people. However, increasingly, China</w:t>
      </w:r>
      <w:r>
        <w:rPr>
          <w:rFonts w:ascii="Palatino Linotype" w:eastAsia="Palatino Linotype" w:hAnsi="Palatino Linotype" w:cs="Palatino Linotype"/>
          <w:color w:val="000000"/>
          <w:sz w:val="24"/>
          <w:szCs w:val="24"/>
        </w:rPr>
        <w:t xml:space="preserve"> and HKSARG are </w:t>
      </w:r>
      <w:r>
        <w:rPr>
          <w:rFonts w:ascii="Palatino Linotype" w:eastAsia="Palatino Linotype" w:hAnsi="Palatino Linotype" w:cs="Palatino Linotype"/>
          <w:sz w:val="24"/>
          <w:szCs w:val="24"/>
        </w:rPr>
        <w:t xml:space="preserve">imposing </w:t>
      </w:r>
      <w:r>
        <w:rPr>
          <w:rFonts w:ascii="Palatino Linotype" w:eastAsia="Palatino Linotype" w:hAnsi="Palatino Linotype" w:cs="Palatino Linotype"/>
          <w:color w:val="000000"/>
          <w:sz w:val="24"/>
          <w:szCs w:val="24"/>
        </w:rPr>
        <w:t>Rule by Law, using laws as a means to achieve political and other objectives</w:t>
      </w:r>
      <w:r>
        <w:rPr>
          <w:rFonts w:ascii="Palatino Linotype" w:eastAsia="Palatino Linotype" w:hAnsi="Palatino Linotype" w:cs="Palatino Linotype"/>
          <w:sz w:val="24"/>
          <w:szCs w:val="24"/>
        </w:rPr>
        <w:t>.</w:t>
      </w:r>
      <w:r w:rsidR="00021C5A">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The selective use and application of laws</w:t>
      </w:r>
      <w:r>
        <w:rPr>
          <w:rFonts w:ascii="Palatino Linotype" w:eastAsia="Palatino Linotype" w:hAnsi="Palatino Linotype" w:cs="Palatino Linotype"/>
          <w:sz w:val="24"/>
          <w:szCs w:val="24"/>
        </w:rPr>
        <w:t>,</w:t>
      </w:r>
      <w:r w:rsidR="00021C5A">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 xml:space="preserve">distorted interpretation of legal provisions and </w:t>
      </w:r>
      <w:r>
        <w:rPr>
          <w:rFonts w:ascii="Palatino Linotype" w:eastAsia="Palatino Linotype" w:hAnsi="Palatino Linotype" w:cs="Palatino Linotype"/>
          <w:sz w:val="24"/>
          <w:szCs w:val="24"/>
        </w:rPr>
        <w:t xml:space="preserve">targeting their use against political dissidents </w:t>
      </w:r>
      <w:r>
        <w:rPr>
          <w:rFonts w:ascii="Palatino Linotype" w:eastAsia="Palatino Linotype" w:hAnsi="Palatino Linotype" w:cs="Palatino Linotype"/>
          <w:color w:val="000000"/>
          <w:sz w:val="24"/>
          <w:szCs w:val="24"/>
        </w:rPr>
        <w:t>as a means to restrain and suppress opposition forces, human rights defenders, activists and members of the public who dare to challenge the authorities are, together, evidence of the deteriorating political envi</w:t>
      </w:r>
      <w:r>
        <w:rPr>
          <w:rFonts w:ascii="Palatino Linotype" w:eastAsia="Palatino Linotype" w:hAnsi="Palatino Linotype" w:cs="Palatino Linotype"/>
          <w:sz w:val="24"/>
          <w:szCs w:val="24"/>
        </w:rPr>
        <w:t>ronment</w:t>
      </w:r>
      <w:r>
        <w:rPr>
          <w:rFonts w:ascii="Palatino Linotype" w:eastAsia="Palatino Linotype" w:hAnsi="Palatino Linotype" w:cs="Palatino Linotype"/>
          <w:color w:val="000000"/>
          <w:sz w:val="24"/>
          <w:szCs w:val="24"/>
        </w:rPr>
        <w:t>.</w:t>
      </w:r>
    </w:p>
    <w:p w14:paraId="357195B1" w14:textId="77777777" w:rsidR="006A3CE6" w:rsidRDefault="006A3CE6">
      <w:pPr>
        <w:rPr>
          <w:rFonts w:ascii="Palatino Linotype" w:eastAsia="Palatino Linotype" w:hAnsi="Palatino Linotype" w:cs="Palatino Linotype"/>
          <w:sz w:val="24"/>
          <w:szCs w:val="24"/>
        </w:rPr>
      </w:pPr>
    </w:p>
    <w:p w14:paraId="61886FD4" w14:textId="77777777" w:rsidR="006A3CE6" w:rsidRDefault="00D84E5B">
      <w:pPr>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 xml:space="preserve">Co-location arrangement to shun HKSARG’s responsibility of non-refoulement protection </w:t>
      </w:r>
    </w:p>
    <w:p w14:paraId="4A3711A0" w14:textId="65306A18" w:rsidR="006A3CE6" w:rsidRPr="00622977"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In view of the Guangzhou–Shenzhen–Hong Kong Express Rail Link </w:t>
      </w:r>
      <w:r>
        <w:rPr>
          <w:rFonts w:ascii="Palatino Linotype" w:eastAsia="Palatino Linotype" w:hAnsi="Palatino Linotype" w:cs="Palatino Linotype"/>
          <w:sz w:val="24"/>
          <w:szCs w:val="24"/>
        </w:rPr>
        <w:t>under</w:t>
      </w:r>
      <w:r>
        <w:rPr>
          <w:rFonts w:ascii="Palatino Linotype" w:eastAsia="Palatino Linotype" w:hAnsi="Palatino Linotype" w:cs="Palatino Linotype"/>
          <w:color w:val="000000"/>
          <w:sz w:val="24"/>
          <w:szCs w:val="24"/>
        </w:rPr>
        <w:t xml:space="preserve"> construction, the </w:t>
      </w:r>
      <w:r>
        <w:rPr>
          <w:rFonts w:ascii="Palatino Linotype" w:eastAsia="Palatino Linotype" w:hAnsi="Palatino Linotype" w:cs="Palatino Linotype"/>
          <w:sz w:val="24"/>
          <w:szCs w:val="24"/>
        </w:rPr>
        <w:t>HKSARG</w:t>
      </w:r>
      <w:r>
        <w:rPr>
          <w:rFonts w:ascii="Palatino Linotype" w:eastAsia="Palatino Linotype" w:hAnsi="Palatino Linotype" w:cs="Palatino Linotype"/>
          <w:color w:val="000000"/>
          <w:sz w:val="24"/>
          <w:szCs w:val="24"/>
        </w:rPr>
        <w:t xml:space="preserve"> and the Chinese Government </w:t>
      </w:r>
      <w:r>
        <w:rPr>
          <w:rFonts w:ascii="Palatino Linotype" w:eastAsia="Palatino Linotype" w:hAnsi="Palatino Linotype" w:cs="Palatino Linotype"/>
          <w:sz w:val="24"/>
          <w:szCs w:val="24"/>
        </w:rPr>
        <w:t>have determined to implement</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a joint immigration checkpoint which would enable</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the</w:t>
      </w:r>
      <w:r>
        <w:rPr>
          <w:rFonts w:ascii="Palatino Linotype" w:eastAsia="Palatino Linotype" w:hAnsi="Palatino Linotype" w:cs="Palatino Linotype"/>
          <w:color w:val="000000"/>
          <w:sz w:val="24"/>
          <w:szCs w:val="24"/>
        </w:rPr>
        <w:t xml:space="preserve"> enforcement </w:t>
      </w:r>
      <w:r>
        <w:rPr>
          <w:rFonts w:ascii="Palatino Linotype" w:eastAsia="Palatino Linotype" w:hAnsi="Palatino Linotype" w:cs="Palatino Linotype"/>
          <w:color w:val="000000"/>
          <w:sz w:val="24"/>
          <w:szCs w:val="24"/>
        </w:rPr>
        <w:lastRenderedPageBreak/>
        <w:t xml:space="preserve">of </w:t>
      </w:r>
      <w:r>
        <w:rPr>
          <w:rFonts w:ascii="Palatino Linotype" w:eastAsia="Palatino Linotype" w:hAnsi="Palatino Linotype" w:cs="Palatino Linotype"/>
          <w:sz w:val="24"/>
          <w:szCs w:val="24"/>
        </w:rPr>
        <w:t>the full array of</w:t>
      </w:r>
      <w:r>
        <w:rPr>
          <w:rFonts w:ascii="Palatino Linotype" w:eastAsia="Palatino Linotype" w:hAnsi="Palatino Linotype" w:cs="Palatino Linotype"/>
          <w:color w:val="000000"/>
          <w:sz w:val="24"/>
          <w:szCs w:val="24"/>
        </w:rPr>
        <w:t xml:space="preserve"> Mainland laws in designated parts of Hong Kong, such as the Mainland Port Area of the railway network. Hong Kong is obliged to offer </w:t>
      </w:r>
      <w:r w:rsidR="00021C5A">
        <w:rPr>
          <w:rFonts w:ascii="Palatino Linotype" w:eastAsia="Palatino Linotype" w:hAnsi="Palatino Linotype" w:cs="Palatino Linotype"/>
          <w:color w:val="000000"/>
          <w:sz w:val="24"/>
          <w:szCs w:val="24"/>
        </w:rPr>
        <w:t xml:space="preserve">screening and protections to claimants </w:t>
      </w:r>
      <w:r>
        <w:rPr>
          <w:rFonts w:ascii="Palatino Linotype" w:eastAsia="Palatino Linotype" w:hAnsi="Palatino Linotype" w:cs="Palatino Linotype"/>
          <w:color w:val="000000"/>
          <w:sz w:val="24"/>
          <w:szCs w:val="24"/>
        </w:rPr>
        <w:t xml:space="preserve">under </w:t>
      </w:r>
      <w:r>
        <w:rPr>
          <w:rFonts w:ascii="Palatino Linotype" w:eastAsia="Palatino Linotype" w:hAnsi="Palatino Linotype" w:cs="Palatino Linotype"/>
          <w:sz w:val="24"/>
          <w:szCs w:val="24"/>
        </w:rPr>
        <w:t xml:space="preserve">the </w:t>
      </w:r>
      <w:r>
        <w:rPr>
          <w:rFonts w:ascii="Palatino Linotype" w:eastAsia="Palatino Linotype" w:hAnsi="Palatino Linotype" w:cs="Palatino Linotype"/>
          <w:color w:val="000000"/>
          <w:sz w:val="24"/>
          <w:szCs w:val="24"/>
        </w:rPr>
        <w:t>CAT Convention and ICCPR</w:t>
      </w:r>
      <w:r w:rsidR="00021C5A">
        <w:rPr>
          <w:rFonts w:ascii="Palatino Linotype" w:eastAsia="Palatino Linotype" w:hAnsi="Palatino Linotype" w:cs="Palatino Linotype"/>
          <w:color w:val="000000"/>
          <w:sz w:val="24"/>
          <w:szCs w:val="24"/>
        </w:rPr>
        <w:t>; by the “co-location arrangement”, these obligations</w:t>
      </w:r>
      <w:r>
        <w:rPr>
          <w:rFonts w:ascii="Palatino Linotype" w:eastAsia="Palatino Linotype" w:hAnsi="Palatino Linotype" w:cs="Palatino Linotype"/>
          <w:color w:val="000000"/>
          <w:sz w:val="24"/>
          <w:szCs w:val="24"/>
        </w:rPr>
        <w:t xml:space="preserve"> will be excluded from </w:t>
      </w:r>
      <w:r>
        <w:rPr>
          <w:rFonts w:ascii="Palatino Linotype" w:eastAsia="Palatino Linotype" w:hAnsi="Palatino Linotype" w:cs="Palatino Linotype"/>
          <w:sz w:val="24"/>
          <w:szCs w:val="24"/>
        </w:rPr>
        <w:t>this area</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T</w:t>
      </w:r>
      <w:r>
        <w:rPr>
          <w:rFonts w:ascii="Palatino Linotype" w:eastAsia="Palatino Linotype" w:hAnsi="Palatino Linotype" w:cs="Palatino Linotype"/>
          <w:color w:val="000000"/>
          <w:sz w:val="24"/>
          <w:szCs w:val="24"/>
        </w:rPr>
        <w:t xml:space="preserve">rains on the platforms will also </w:t>
      </w:r>
      <w:r>
        <w:rPr>
          <w:rFonts w:ascii="Palatino Linotype" w:eastAsia="Palatino Linotype" w:hAnsi="Palatino Linotype" w:cs="Palatino Linotype"/>
          <w:sz w:val="24"/>
          <w:szCs w:val="24"/>
        </w:rPr>
        <w:t>constitute Chinese territory for the purposes of determining applicable laws. One of the stated purposes of this arrangement (‘co-location’) is to shun HKSARG’s responsibility to provide protection against non-refoulement for claimants arriving in Hong Kong aboard trains from China.</w:t>
      </w:r>
    </w:p>
    <w:p w14:paraId="07B26CDA" w14:textId="77777777" w:rsidR="00021C5A" w:rsidRPr="00622977" w:rsidRDefault="00021C5A" w:rsidP="00622977">
      <w:pPr>
        <w:pBdr>
          <w:top w:val="nil"/>
          <w:left w:val="nil"/>
          <w:bottom w:val="nil"/>
          <w:right w:val="nil"/>
          <w:between w:val="nil"/>
        </w:pBdr>
        <w:ind w:left="720"/>
        <w:contextualSpacing/>
        <w:jc w:val="both"/>
        <w:rPr>
          <w:rFonts w:ascii="Palatino Linotype" w:eastAsia="Palatino Linotype" w:hAnsi="Palatino Linotype" w:cs="Palatino Linotype"/>
          <w:color w:val="000000"/>
          <w:sz w:val="24"/>
          <w:szCs w:val="24"/>
        </w:rPr>
      </w:pPr>
    </w:p>
    <w:p w14:paraId="3DABF966" w14:textId="376C710A" w:rsidR="006A3CE6" w:rsidRPr="00E742D6" w:rsidRDefault="00220DF9" w:rsidP="00622977">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sidRPr="00AE534C">
        <w:rPr>
          <w:rFonts w:ascii="Palatino Linotype" w:eastAsia="Palatino Linotype" w:hAnsi="Palatino Linotype" w:cs="Palatino Linotype"/>
          <w:sz w:val="24"/>
          <w:szCs w:val="24"/>
        </w:rPr>
        <w:t>The</w:t>
      </w:r>
      <w:r>
        <w:rPr>
          <w:rFonts w:ascii="Palatino Linotype" w:eastAsia="Palatino Linotype" w:hAnsi="Palatino Linotype" w:cs="Palatino Linotype"/>
          <w:color w:val="000000"/>
          <w:sz w:val="24"/>
          <w:szCs w:val="24"/>
        </w:rPr>
        <w:t xml:space="preserve"> “</w:t>
      </w:r>
      <w:r w:rsidRPr="00021C5A">
        <w:rPr>
          <w:rFonts w:ascii="Palatino Linotype" w:eastAsia="Palatino Linotype" w:hAnsi="Palatino Linotype" w:cs="Palatino Linotype"/>
          <w:color w:val="000000"/>
          <w:sz w:val="24"/>
          <w:szCs w:val="24"/>
        </w:rPr>
        <w:t>Guangzhou-Shenzhen-Hong Kong Express Rail Link (Co-location) Ordinance</w:t>
      </w:r>
      <w:r>
        <w:rPr>
          <w:rFonts w:ascii="Palatino Linotype" w:eastAsia="Palatino Linotype" w:hAnsi="Palatino Linotype" w:cs="Palatino Linotype"/>
          <w:color w:val="000000"/>
          <w:sz w:val="24"/>
          <w:szCs w:val="24"/>
        </w:rPr>
        <w:t>” was passed in LegCo on 14 June 2018 after controversial procedures.</w:t>
      </w:r>
    </w:p>
    <w:p w14:paraId="098B8278" w14:textId="77777777" w:rsidR="006A3CE6" w:rsidRDefault="006A3CE6">
      <w:pPr>
        <w:pBdr>
          <w:top w:val="nil"/>
          <w:left w:val="nil"/>
          <w:bottom w:val="nil"/>
          <w:right w:val="nil"/>
          <w:between w:val="nil"/>
        </w:pBdr>
        <w:spacing w:line="276" w:lineRule="auto"/>
        <w:ind w:left="720"/>
        <w:rPr>
          <w:rFonts w:ascii="Palatino Linotype" w:eastAsia="Palatino Linotype" w:hAnsi="Palatino Linotype" w:cs="Palatino Linotype"/>
          <w:color w:val="000000"/>
          <w:sz w:val="24"/>
          <w:szCs w:val="24"/>
        </w:rPr>
      </w:pPr>
    </w:p>
    <w:p w14:paraId="4818E2DA" w14:textId="74B0F7FD"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Such an arrangement is on </w:t>
      </w:r>
      <w:r>
        <w:rPr>
          <w:rFonts w:ascii="Palatino Linotype" w:eastAsia="Palatino Linotype" w:hAnsi="Palatino Linotype" w:cs="Palatino Linotype"/>
          <w:sz w:val="24"/>
          <w:szCs w:val="24"/>
        </w:rPr>
        <w:t>its</w:t>
      </w:r>
      <w:r>
        <w:rPr>
          <w:rFonts w:ascii="Palatino Linotype" w:eastAsia="Palatino Linotype" w:hAnsi="Palatino Linotype" w:cs="Palatino Linotype"/>
          <w:color w:val="000000"/>
          <w:sz w:val="24"/>
          <w:szCs w:val="24"/>
        </w:rPr>
        <w:t xml:space="preserve"> face repugnant to guarantees </w:t>
      </w:r>
      <w:r>
        <w:rPr>
          <w:rFonts w:ascii="Palatino Linotype" w:eastAsia="Palatino Linotype" w:hAnsi="Palatino Linotype" w:cs="Palatino Linotype"/>
          <w:sz w:val="24"/>
          <w:szCs w:val="24"/>
        </w:rPr>
        <w:t xml:space="preserve">enshrined against the application of </w:t>
      </w:r>
      <w:r>
        <w:rPr>
          <w:rFonts w:ascii="Palatino Linotype" w:eastAsia="Palatino Linotype" w:hAnsi="Palatino Linotype" w:cs="Palatino Linotype"/>
          <w:color w:val="000000"/>
          <w:sz w:val="24"/>
          <w:szCs w:val="24"/>
        </w:rPr>
        <w:t xml:space="preserve">Mainland </w:t>
      </w:r>
      <w:r>
        <w:rPr>
          <w:rFonts w:ascii="Palatino Linotype" w:eastAsia="Palatino Linotype" w:hAnsi="Palatino Linotype" w:cs="Palatino Linotype"/>
          <w:sz w:val="24"/>
          <w:szCs w:val="24"/>
        </w:rPr>
        <w:t>l</w:t>
      </w:r>
      <w:r>
        <w:rPr>
          <w:rFonts w:ascii="Palatino Linotype" w:eastAsia="Palatino Linotype" w:hAnsi="Palatino Linotype" w:cs="Palatino Linotype"/>
          <w:color w:val="000000"/>
          <w:sz w:val="24"/>
          <w:szCs w:val="24"/>
        </w:rPr>
        <w:t>aws to HK set out in the JD and the B</w:t>
      </w:r>
      <w:r>
        <w:rPr>
          <w:rFonts w:ascii="Palatino Linotype" w:eastAsia="Palatino Linotype" w:hAnsi="Palatino Linotype" w:cs="Palatino Linotype"/>
          <w:sz w:val="24"/>
          <w:szCs w:val="24"/>
        </w:rPr>
        <w:t>L</w:t>
      </w:r>
      <w:r>
        <w:rPr>
          <w:rFonts w:ascii="Palatino Linotype" w:eastAsia="Palatino Linotype" w:hAnsi="Palatino Linotype" w:cs="Palatino Linotype"/>
          <w:color w:val="000000"/>
          <w:sz w:val="24"/>
          <w:szCs w:val="24"/>
        </w:rPr>
        <w:t xml:space="preserve"> and</w:t>
      </w:r>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 xml:space="preserve">inconsistent with </w:t>
      </w:r>
      <w:r>
        <w:rPr>
          <w:rFonts w:ascii="Palatino Linotype" w:eastAsia="Palatino Linotype" w:hAnsi="Palatino Linotype" w:cs="Palatino Linotype"/>
          <w:sz w:val="24"/>
          <w:szCs w:val="24"/>
        </w:rPr>
        <w:t>HK’s</w:t>
      </w:r>
      <w:r w:rsidR="00551B99">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 xml:space="preserve">international obligations under the ICCPR (no </w:t>
      </w:r>
      <w:r>
        <w:rPr>
          <w:rFonts w:ascii="Palatino Linotype" w:eastAsia="Palatino Linotype" w:hAnsi="Palatino Linotype" w:cs="Palatino Linotype"/>
          <w:sz w:val="24"/>
          <w:szCs w:val="24"/>
        </w:rPr>
        <w:t>denunciation</w:t>
      </w:r>
      <w:r>
        <w:rPr>
          <w:rFonts w:ascii="Palatino Linotype" w:eastAsia="Palatino Linotype" w:hAnsi="Palatino Linotype" w:cs="Palatino Linotype"/>
          <w:color w:val="000000"/>
          <w:sz w:val="24"/>
          <w:szCs w:val="24"/>
        </w:rPr>
        <w:t xml:space="preserve"> clause; doctrine of protection devolves with the </w:t>
      </w:r>
      <w:r>
        <w:rPr>
          <w:rFonts w:ascii="Palatino Linotype" w:eastAsia="Palatino Linotype" w:hAnsi="Palatino Linotype" w:cs="Palatino Linotype"/>
          <w:color w:val="000000"/>
          <w:sz w:val="24"/>
          <w:szCs w:val="24"/>
        </w:rPr>
        <w:lastRenderedPageBreak/>
        <w:t>territory once protected, will be so protected irrespective</w:t>
      </w:r>
      <w:r w:rsidR="00551B99">
        <w:rPr>
          <w:rFonts w:ascii="Palatino Linotype" w:eastAsia="Palatino Linotype" w:hAnsi="Palatino Linotype" w:cs="Palatino Linotype"/>
          <w:color w:val="000000"/>
          <w:sz w:val="24"/>
          <w:szCs w:val="24"/>
        </w:rPr>
        <w:t xml:space="preserve"> of</w:t>
      </w:r>
      <w:r>
        <w:rPr>
          <w:rFonts w:ascii="Palatino Linotype" w:eastAsia="Palatino Linotype" w:hAnsi="Palatino Linotype" w:cs="Palatino Linotype"/>
          <w:color w:val="000000"/>
          <w:sz w:val="24"/>
          <w:szCs w:val="24"/>
        </w:rPr>
        <w:t xml:space="preserve"> the changes in sovereignty) and the CAT. </w:t>
      </w:r>
    </w:p>
    <w:p w14:paraId="7DC393F1"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530F8115"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The arrangement also sets a dangerous precedent for the devolution of Hong Kong territory to China and introduces unpredictability of the jurisdictional reach of Hong Kong’s legal protections for its residents in light of the Lee Bo incident and the questions it has raised, the co-location arrangement and the totality of jurisdiction asserted by China over Hong Kong.</w:t>
      </w:r>
    </w:p>
    <w:p w14:paraId="14D7D846"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790C082"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These moves, coupled with the steady purge of members of the opposition who have been duly elected to Hong Kong’s legislature using China’s power of final interpretation under Article 158(1) of the BL to bind the judiciary’s independent exercise of its power by forcing its hand to disqualify them from taking office on grounds of irregular oath-taking and barring such persons from standing for election in the most recent round of by-elections to legislative office, constitute the unlawful vetting of electoral candidates in breach of Article 25 of the ICCPR and the BL </w:t>
      </w:r>
      <w:r>
        <w:rPr>
          <w:rFonts w:ascii="Palatino Linotype" w:eastAsia="Palatino Linotype" w:hAnsi="Palatino Linotype" w:cs="Palatino Linotype"/>
          <w:sz w:val="24"/>
          <w:szCs w:val="24"/>
        </w:rPr>
        <w:lastRenderedPageBreak/>
        <w:t>and the denial of the electorate’s mandate of having duly exercised their votes in favour of particular candidates to represent them in government.</w:t>
      </w:r>
    </w:p>
    <w:p w14:paraId="47361537"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00D8BE98"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Likewise, the targeted use of the law to institute prosecutions or review sentences of opposition members selectively; the invocation of archaic and hitherto unused legal provisions to construct charges against political opposition leaders; the denial of parliamentary privilege to cover expressions of dissent in the legislative council; the use of fabricated evidence in pursuit of political protesters; the pursuit of uncharacteristically heavy sentences for human rights defenders and the lack of disciplinary action against police misuse of power in the policing of protesters during the Occupy movement and the general impunity with which triads and thugs acting against Occupy demonstrators were able to operate without being caught or charged, all illustrate the gravity of Hong Kong’s deteriorating political and legal situation. The heavy-handed use of the law to target political opposition, a failure to protect them against violations of their rights and the propensity to pursue harsh </w:t>
      </w:r>
      <w:r>
        <w:rPr>
          <w:rFonts w:ascii="Palatino Linotype" w:eastAsia="Palatino Linotype" w:hAnsi="Palatino Linotype" w:cs="Palatino Linotype"/>
          <w:sz w:val="24"/>
          <w:szCs w:val="24"/>
        </w:rPr>
        <w:lastRenderedPageBreak/>
        <w:t xml:space="preserve">penalties for transgressions where sentences initially imposed have already been served out, demonstrate the narrowing space for the exercise of political freedoms in Hong Kong and their steady erosion of human rights protection in general.  This “narrowing” has all the hallmarks of being the product of a deliberate and incessant campaign by those in power to limit the avenues of dissent and reduce the prospects of real democratic development to the realm of fantasy.  </w:t>
      </w:r>
    </w:p>
    <w:p w14:paraId="16147801"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2A4C8D57" w14:textId="18D883E0"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Most crucially, the domestic and international legal safeguards put into place in the form of the JD, BL and </w:t>
      </w:r>
      <w:r w:rsidR="0048017E" w:rsidRPr="0048017E">
        <w:rPr>
          <w:rFonts w:ascii="Palatino Linotype" w:eastAsia="Palatino Linotype" w:hAnsi="Palatino Linotype" w:cs="Palatino Linotype"/>
          <w:sz w:val="24"/>
          <w:szCs w:val="24"/>
        </w:rPr>
        <w:t xml:space="preserve"> </w:t>
      </w:r>
      <w:r w:rsidR="0048017E">
        <w:rPr>
          <w:rFonts w:ascii="Palatino Linotype" w:eastAsia="Palatino Linotype" w:hAnsi="Palatino Linotype" w:cs="Palatino Linotype"/>
          <w:sz w:val="24"/>
          <w:szCs w:val="24"/>
        </w:rPr>
        <w:t>applicable</w:t>
      </w:r>
      <w:r>
        <w:rPr>
          <w:rFonts w:ascii="Palatino Linotype" w:eastAsia="Palatino Linotype" w:hAnsi="Palatino Linotype" w:cs="Palatino Linotype"/>
          <w:sz w:val="24"/>
          <w:szCs w:val="24"/>
        </w:rPr>
        <w:t xml:space="preserve"> international human rights treaties, are under grave threat. The Chinese Government has displayed a reckless disregard for its obligations under international law. Its officials have called the JD a ‘historical document’ which is spent and no longer subject to international oversight or enforcement. In January 2016, former Chief Executive CY Leung hinted that HK may need to withdraw from the CAT Convention in the wake of its ‘fake refugee’ problem. These utterances must not be taken lightly given that China’s international treaty obligations are the fabric which holds together </w:t>
      </w:r>
      <w:r>
        <w:rPr>
          <w:rFonts w:ascii="Palatino Linotype" w:eastAsia="Palatino Linotype" w:hAnsi="Palatino Linotype" w:cs="Palatino Linotype"/>
          <w:sz w:val="24"/>
          <w:szCs w:val="24"/>
        </w:rPr>
        <w:lastRenderedPageBreak/>
        <w:t>Hong Kong people’s collective hope for the continuous protection of their human rights, in particular, their rights against torture and CIDTP and is the foundation for the preservation of rule of law in the SAR.</w:t>
      </w:r>
    </w:p>
    <w:p w14:paraId="55D712D1" w14:textId="77777777" w:rsidR="006A3CE6" w:rsidRDefault="006A3CE6">
      <w:pPr>
        <w:rPr>
          <w:rFonts w:ascii="Palatino Linotype" w:eastAsia="Palatino Linotype" w:hAnsi="Palatino Linotype" w:cs="Palatino Linotype"/>
          <w:sz w:val="24"/>
          <w:szCs w:val="24"/>
        </w:rPr>
      </w:pPr>
    </w:p>
    <w:p w14:paraId="36F9B3B5" w14:textId="77777777" w:rsidR="006A3CE6" w:rsidRDefault="006A3CE6">
      <w:pPr>
        <w:rPr>
          <w:rFonts w:ascii="Palatino Linotype" w:eastAsia="Palatino Linotype" w:hAnsi="Palatino Linotype" w:cs="Palatino Linotype"/>
          <w:sz w:val="28"/>
          <w:szCs w:val="28"/>
        </w:rPr>
      </w:pPr>
    </w:p>
    <w:p w14:paraId="246FE565"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PART B: ASYLUM SEEKERS AND REFUGEES</w:t>
      </w:r>
    </w:p>
    <w:p w14:paraId="73C027D5" w14:textId="77777777" w:rsidR="006A3CE6" w:rsidRDefault="006A3CE6">
      <w:pPr>
        <w:rPr>
          <w:rFonts w:ascii="Palatino Linotype" w:eastAsia="Palatino Linotype" w:hAnsi="Palatino Linotype" w:cs="Palatino Linotype"/>
          <w:sz w:val="24"/>
          <w:szCs w:val="24"/>
        </w:rPr>
      </w:pPr>
    </w:p>
    <w:p w14:paraId="2DC515E9"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Article 1 Definition of Torture</w:t>
      </w:r>
    </w:p>
    <w:p w14:paraId="7CE6451C" w14:textId="77777777" w:rsidR="006A3CE6" w:rsidRDefault="006A3CE6">
      <w:pPr>
        <w:rPr>
          <w:rFonts w:ascii="Palatino Linotype" w:eastAsia="Palatino Linotype" w:hAnsi="Palatino Linotype" w:cs="Palatino Linotype"/>
          <w:b/>
          <w:sz w:val="24"/>
          <w:szCs w:val="24"/>
          <w:u w:val="single"/>
        </w:rPr>
      </w:pPr>
    </w:p>
    <w:p w14:paraId="28F64F97" w14:textId="77777777" w:rsidR="006A3CE6" w:rsidRDefault="00D84E5B">
      <w:pPr>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Definition of torture</w:t>
      </w:r>
    </w:p>
    <w:p w14:paraId="0C58169F"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Under t</w:t>
      </w:r>
      <w:r>
        <w:rPr>
          <w:rFonts w:ascii="Palatino Linotype" w:eastAsia="Palatino Linotype" w:hAnsi="Palatino Linotype" w:cs="Palatino Linotype"/>
          <w:sz w:val="24"/>
          <w:szCs w:val="24"/>
        </w:rPr>
        <w:t xml:space="preserve">he </w:t>
      </w:r>
      <w:r>
        <w:rPr>
          <w:rFonts w:ascii="Palatino Linotype" w:eastAsia="Palatino Linotype" w:hAnsi="Palatino Linotype" w:cs="Palatino Linotype"/>
          <w:color w:val="000000"/>
          <w:sz w:val="24"/>
          <w:szCs w:val="24"/>
        </w:rPr>
        <w:t xml:space="preserve">Crimes (Torture) Ordinance, the domestic legislation to implement the Convention </w:t>
      </w:r>
      <w:r>
        <w:rPr>
          <w:rFonts w:ascii="Palatino Linotype" w:eastAsia="Palatino Linotype" w:hAnsi="Palatino Linotype" w:cs="Palatino Linotype"/>
          <w:sz w:val="24"/>
          <w:szCs w:val="24"/>
        </w:rPr>
        <w:t>A</w:t>
      </w:r>
      <w:r>
        <w:rPr>
          <w:rFonts w:ascii="Palatino Linotype" w:eastAsia="Palatino Linotype" w:hAnsi="Palatino Linotype" w:cs="Palatino Linotype"/>
          <w:color w:val="000000"/>
          <w:sz w:val="24"/>
          <w:szCs w:val="24"/>
        </w:rPr>
        <w:t xml:space="preserve">gainst Torture (CAT), the definition of “public official” is limited and does not fully conform to the CAT. </w:t>
      </w:r>
    </w:p>
    <w:p w14:paraId="2A687F2B" w14:textId="77777777" w:rsidR="006A3CE6" w:rsidRDefault="006A3CE6">
      <w:pPr>
        <w:rPr>
          <w:rFonts w:ascii="Palatino Linotype" w:eastAsia="Palatino Linotype" w:hAnsi="Palatino Linotype" w:cs="Palatino Linotype"/>
          <w:sz w:val="24"/>
          <w:szCs w:val="24"/>
        </w:rPr>
      </w:pPr>
    </w:p>
    <w:p w14:paraId="05E37150"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Further, the d</w:t>
      </w:r>
      <w:r>
        <w:rPr>
          <w:rFonts w:ascii="Palatino Linotype" w:eastAsia="Palatino Linotype" w:hAnsi="Palatino Linotype" w:cs="Palatino Linotype"/>
          <w:color w:val="000000"/>
          <w:sz w:val="24"/>
          <w:szCs w:val="24"/>
        </w:rPr>
        <w:t xml:space="preserve">efinition of torture under the Ordinance does not cover infliction of pain or suffering done at the instigation/consent/acquiescence of a public official or person acting in official capacity, which is inconsistent with the </w:t>
      </w:r>
      <w:r>
        <w:rPr>
          <w:rFonts w:ascii="Palatino Linotype" w:eastAsia="Palatino Linotype" w:hAnsi="Palatino Linotype" w:cs="Palatino Linotype"/>
          <w:sz w:val="24"/>
          <w:szCs w:val="24"/>
        </w:rPr>
        <w:t>CAT</w:t>
      </w:r>
      <w:r>
        <w:rPr>
          <w:rFonts w:ascii="Palatino Linotype" w:eastAsia="Palatino Linotype" w:hAnsi="Palatino Linotype" w:cs="Palatino Linotype"/>
          <w:color w:val="000000"/>
          <w:sz w:val="24"/>
          <w:szCs w:val="24"/>
        </w:rPr>
        <w:t>.</w:t>
      </w:r>
    </w:p>
    <w:p w14:paraId="017EB1A1" w14:textId="77777777" w:rsidR="006A3CE6" w:rsidRDefault="006A3CE6">
      <w:pPr>
        <w:rPr>
          <w:rFonts w:ascii="Palatino Linotype" w:eastAsia="Palatino Linotype" w:hAnsi="Palatino Linotype" w:cs="Palatino Linotype"/>
          <w:sz w:val="24"/>
          <w:szCs w:val="24"/>
        </w:rPr>
      </w:pPr>
    </w:p>
    <w:p w14:paraId="74711D5D" w14:textId="77777777" w:rsidR="006A3CE6" w:rsidRDefault="00D84E5B">
      <w:pPr>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lastRenderedPageBreak/>
        <w:t>Article 3 Non-refoulement protection</w:t>
      </w:r>
    </w:p>
    <w:p w14:paraId="32807B9D" w14:textId="77777777" w:rsidR="006A3CE6" w:rsidRDefault="006A3CE6">
      <w:pPr>
        <w:pBdr>
          <w:top w:val="nil"/>
          <w:left w:val="nil"/>
          <w:bottom w:val="nil"/>
          <w:right w:val="nil"/>
          <w:between w:val="nil"/>
        </w:pBdr>
        <w:rPr>
          <w:rFonts w:ascii="Times New Roman" w:eastAsia="Times New Roman" w:hAnsi="Times New Roman" w:cs="Times New Roman"/>
          <w:color w:val="000000"/>
          <w:sz w:val="24"/>
          <w:szCs w:val="24"/>
        </w:rPr>
      </w:pPr>
    </w:p>
    <w:p w14:paraId="0612FA99"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Plans to fast-track &amp; Provision of Legal Assistance</w:t>
      </w:r>
    </w:p>
    <w:p w14:paraId="21247AC7" w14:textId="77777777"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Since 2017, the HKSARG has set a policy target of determining 5,000 or more non-refoulement claims annually. </w:t>
      </w:r>
    </w:p>
    <w:p w14:paraId="0F86EACE" w14:textId="77777777" w:rsidR="006A3CE6" w:rsidRDefault="006A3CE6">
      <w:pPr>
        <w:jc w:val="both"/>
        <w:rPr>
          <w:rFonts w:ascii="Palatino Linotype" w:eastAsia="Palatino Linotype" w:hAnsi="Palatino Linotype" w:cs="Palatino Linotype"/>
          <w:sz w:val="24"/>
          <w:szCs w:val="24"/>
        </w:rPr>
      </w:pPr>
    </w:p>
    <w:p w14:paraId="45EA9164" w14:textId="71DB1F94"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 HKSARG has launched a Pilot Scheme (“PS”) providing publicly-funded legal assistance to non-refoulement claimants under the Unified Screening Mechanism (“USM”), which is operating in parallel with the Duty Lawyer Service Scheme (“DLS”). The PS has been heavily criticized by the legal profession due to, inter alia, the potential for actual or perceived bias and the lack of independence and impartiality as the scheme is administered directly by the Security Bureau and civil service officers. The HKSARG – which is also ultimately the decision-maker – has a direct role in the provision of legal services under the PS at various stages. For instance, where a PS lawyer is assigned but is of the view that the case is not appropriate to be handled under the Pilot Scheme, </w:t>
      </w:r>
      <w:r w:rsidR="008119EC">
        <w:rPr>
          <w:rFonts w:ascii="Palatino Linotype" w:eastAsia="Palatino Linotype" w:hAnsi="Palatino Linotype" w:cs="Palatino Linotype"/>
          <w:sz w:val="24"/>
          <w:szCs w:val="24"/>
        </w:rPr>
        <w:t>say</w:t>
      </w:r>
      <w:r>
        <w:rPr>
          <w:rFonts w:ascii="Palatino Linotype" w:eastAsia="Palatino Linotype" w:hAnsi="Palatino Linotype" w:cs="Palatino Linotype"/>
          <w:sz w:val="24"/>
          <w:szCs w:val="24"/>
        </w:rPr>
        <w:t xml:space="preserve"> due to its complexity and/or the claimant’s individual circumstances such that additional resources are required beyond </w:t>
      </w:r>
      <w:r>
        <w:rPr>
          <w:rFonts w:ascii="Palatino Linotype" w:eastAsia="Palatino Linotype" w:hAnsi="Palatino Linotype" w:cs="Palatino Linotype"/>
          <w:sz w:val="24"/>
          <w:szCs w:val="24"/>
        </w:rPr>
        <w:lastRenderedPageBreak/>
        <w:t>the flat fee amount, the PS lawyer’s opinion may not necessarily be accepted by the HKSARG. Rather, a government officer will form their own assessment as to whether the case should be remitted back to the Immigration Department for referral to the DLS or remain in the PS pool, for onward referral to a different PS lawyer willing to take the case on the flat fee basis.  Given that the genesis of the PS derived from the HKSARG’s repeated emphasis on expediting the screening of non-refoulement claims and clearing up the backlog of cases, there is a strong basis for perceptions of inherent bias in favour of maintaining claims under the PS rather than referring out to the DLS.</w:t>
      </w:r>
    </w:p>
    <w:p w14:paraId="52D877C7" w14:textId="77777777" w:rsidR="006A3CE6" w:rsidRDefault="006A3CE6">
      <w:pPr>
        <w:jc w:val="both"/>
        <w:rPr>
          <w:rFonts w:ascii="Palatino Linotype" w:eastAsia="Palatino Linotype" w:hAnsi="Palatino Linotype" w:cs="Palatino Linotype"/>
          <w:sz w:val="24"/>
          <w:szCs w:val="24"/>
        </w:rPr>
      </w:pPr>
    </w:p>
    <w:p w14:paraId="5577EDF3" w14:textId="77777777"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A further concern is the restrictive scope of the assignment and funding under PS which is limited to a flat fee (all-in) service with very little executive support services and no funding for expert reports. For example, the Pilot Scheme Office will not arrange or fund independent medical reports or other expert reports.  The flat fee payment plan therefore is likely to fall far short of a </w:t>
      </w:r>
      <w:r>
        <w:rPr>
          <w:rFonts w:ascii="Palatino Linotype" w:eastAsia="Palatino Linotype" w:hAnsi="Palatino Linotype" w:cs="Palatino Linotype"/>
          <w:i/>
          <w:sz w:val="24"/>
          <w:szCs w:val="24"/>
        </w:rPr>
        <w:t>pro rata</w:t>
      </w:r>
      <w:r>
        <w:rPr>
          <w:rFonts w:ascii="Palatino Linotype" w:eastAsia="Palatino Linotype" w:hAnsi="Palatino Linotype" w:cs="Palatino Linotype"/>
          <w:sz w:val="24"/>
          <w:szCs w:val="24"/>
        </w:rPr>
        <w:t xml:space="preserve"> plan on the basis of actual work done and would not be offset by the Pilot Scheme by </w:t>
      </w:r>
      <w:r>
        <w:rPr>
          <w:rFonts w:ascii="Palatino Linotype" w:eastAsia="Palatino Linotype" w:hAnsi="Palatino Linotype" w:cs="Palatino Linotype"/>
          <w:sz w:val="24"/>
          <w:szCs w:val="24"/>
        </w:rPr>
        <w:lastRenderedPageBreak/>
        <w:t xml:space="preserve">absorbing additional costs incurred, for example for collection and delivery of documents.  In particular, the flat fee for representation at the appeal/petition stage is troubling as the fee is only HKD7,500 - an alarming cap given the amount of work required to be performed at this stage including preparation of grounds of appeal, skeleton submissions, reviewing the hearing bundle and attendance at an oral hearing before the Torture Claims Appeal Board/Non-refoulement Claims Petition Office (“the Board”). Hence the PS’s compensation plan financially disincentivizes work beyond the bare minimum and in particular, discourages representation at the appeal stage due to the critically low level of remuneration.  This puts claimants in a precarious position directly undermining the quality of representation likely to be rendered.  </w:t>
      </w:r>
    </w:p>
    <w:p w14:paraId="74F06940" w14:textId="77777777" w:rsidR="006A3CE6" w:rsidRDefault="006A3CE6">
      <w:pPr>
        <w:jc w:val="both"/>
        <w:rPr>
          <w:rFonts w:ascii="Palatino Linotype" w:eastAsia="Palatino Linotype" w:hAnsi="Palatino Linotype" w:cs="Palatino Linotype"/>
          <w:sz w:val="24"/>
          <w:szCs w:val="24"/>
        </w:rPr>
      </w:pPr>
    </w:p>
    <w:p w14:paraId="4602C49F" w14:textId="7E5768A6"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In view of the above, the PS gives rise to concerns that the high standards of fairness required throughout the non-refoulement screening process will be sacrificed on the altar of expedience. The unstated but doubtless underlying rationale is the HKSARG’s view that the vast majority of claims are unmeritorious.  A reduction in the </w:t>
      </w:r>
      <w:r>
        <w:rPr>
          <w:rFonts w:ascii="Palatino Linotype" w:eastAsia="Palatino Linotype" w:hAnsi="Palatino Linotype" w:cs="Palatino Linotype"/>
          <w:sz w:val="24"/>
          <w:szCs w:val="24"/>
        </w:rPr>
        <w:lastRenderedPageBreak/>
        <w:t xml:space="preserve">quality of representation risks a lowering of the standards by which the claims are assessed as having met the requirements for non-refoulement, and raises the potential for denial of meritorious claims for protection.  </w:t>
      </w:r>
    </w:p>
    <w:p w14:paraId="733DD1B7" w14:textId="77777777" w:rsidR="006A3CE6" w:rsidRDefault="006A3CE6">
      <w:pPr>
        <w:jc w:val="both"/>
        <w:rPr>
          <w:rFonts w:ascii="Palatino Linotype" w:eastAsia="Palatino Linotype" w:hAnsi="Palatino Linotype" w:cs="Palatino Linotype"/>
          <w:sz w:val="24"/>
          <w:szCs w:val="24"/>
        </w:rPr>
      </w:pPr>
    </w:p>
    <w:p w14:paraId="25A33E09"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Low substantiation rate</w:t>
      </w:r>
    </w:p>
    <w:p w14:paraId="028FB01F"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The Immigration Department appears to have adopted excessively high threshold for assessing USM claims.  </w:t>
      </w:r>
      <w:r>
        <w:rPr>
          <w:rFonts w:ascii="Palatino Linotype" w:eastAsia="Palatino Linotype" w:hAnsi="Palatino Linotype" w:cs="Palatino Linotype"/>
          <w:color w:val="000000"/>
          <w:sz w:val="24"/>
          <w:szCs w:val="24"/>
        </w:rPr>
        <w:t xml:space="preserve">The asylum acceptance rate is extremely low, far below the level in </w:t>
      </w:r>
      <w:r>
        <w:rPr>
          <w:rFonts w:ascii="Palatino Linotype" w:eastAsia="Palatino Linotype" w:hAnsi="Palatino Linotype" w:cs="Palatino Linotype"/>
          <w:sz w:val="24"/>
          <w:szCs w:val="24"/>
        </w:rPr>
        <w:t>other countries</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 xml:space="preserve"> There is, regrettably, a palpable and endemic “culture of disbelief” running through the decisions reached by both Immigration and on appeal, by the Board. This is demonstrated by the shocking lack of compassion and sympathy displayed by an adjudicator of the Board towards a torture claimant seeking an adjournment of her hearing on the grounds of experiencing labour pains when she was eight-and-a-half months pregnant. On a judicial review of the decision, the Court of First Instance quashed the Board’s decision rejecting the claimant’s appeal against the Immigration Department’s refusal of her application for protection against non-refoulement. The judge found the adjudicator to </w:t>
      </w:r>
      <w:r>
        <w:rPr>
          <w:rFonts w:ascii="Palatino Linotype" w:eastAsia="Palatino Linotype" w:hAnsi="Palatino Linotype" w:cs="Palatino Linotype"/>
          <w:sz w:val="24"/>
          <w:szCs w:val="24"/>
        </w:rPr>
        <w:lastRenderedPageBreak/>
        <w:t xml:space="preserve">have displayed such cynicism towards the claimant that despite the obvious pain the claimant was visibly in when requesting an adjournment, he was curt with her and lacked the compassion to even enquire about her pain or the extent of it. The adjudicator effectively advised the claimant that if she persisted with her application for adjournment, he would simply write up his decision and dispense with the additional hearing since he already “[knew] about the case and there [was] no point in another hearing.” As a result of this preemptive dismissal of her application, the judge ruled that the adjudicator had not only failed to meet the high standard of fairness required in the adjudication of such cases but ran afoul due to procedural irregularity in addition to an error of law. </w:t>
      </w:r>
    </w:p>
    <w:p w14:paraId="5D64485D"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6B38ECFB"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Apart from the culture of cynicism faced by most claimants, the opportunity for further review by the Courts is limited by the strictly enforced 3 month time limit applicable to judicial reviews and the rarity with which legal aid is granted for judicial reviews of decisions against claimants (see below).  </w:t>
      </w:r>
    </w:p>
    <w:p w14:paraId="01E837D2"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44B236A6"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lastRenderedPageBreak/>
        <w:t xml:space="preserve">Non-publication of Appeal/Petition Board Decisions </w:t>
      </w:r>
    </w:p>
    <w:p w14:paraId="03E76377"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No decisions of the Immigration Department (at first instance) or the Board are published (even on a redacted basis) or otherwise made available to the public or legal profession.  The failure to publish decisions distinguishes these bodies from their foreign counterparts; contributes to a lack of transparency in decision-making; undermines consistency in the application of legal principles and tests, and does nothing to encourage high quality, fair and well-reasoned decisions.  Experientially, it is apparent that the exposure of decisions to the light of public review will inevitably improve them in quality and consistency.   Furthermore, as the Director of Immigration is the respondent in every appeal/petition – the Director has knowledge of and/or access to all prior decisions of the Board whereas the Appellant/Petitioner and/or his/her legal representative does not, thereby resulting in an inequality of arms.  </w:t>
      </w:r>
    </w:p>
    <w:p w14:paraId="5EDF7896"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E2200B6"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 HKSARG noted in its follow-up report (Nov 2016) to CAT that it is “assessing” its recommendation to publish the Board’s decisions. </w:t>
      </w:r>
      <w:r>
        <w:rPr>
          <w:rFonts w:ascii="Palatino Linotype" w:eastAsia="Palatino Linotype" w:hAnsi="Palatino Linotype" w:cs="Palatino Linotype"/>
          <w:sz w:val="24"/>
          <w:szCs w:val="24"/>
        </w:rPr>
        <w:lastRenderedPageBreak/>
        <w:t xml:space="preserve">As at 2018, it still has not reached a decision.  This is not something which should be open to debate.   To the extent that there are concerns over confidentiality, these are easily dealt with.  There are ample precedents in other jurisdictions for how it can be done.  Everything points to the reluctance of the HKSARG to allow its decisions to be exposed to public scrutiny, for the simple reason that this would provoke much criticism - rightly so - of their quality, consistency and attitude towards their obligations under CAT.    </w:t>
      </w:r>
    </w:p>
    <w:p w14:paraId="39822760" w14:textId="77777777" w:rsidR="006A3CE6" w:rsidRDefault="006A3CE6">
      <w:pPr>
        <w:pBdr>
          <w:top w:val="nil"/>
          <w:left w:val="nil"/>
          <w:bottom w:val="nil"/>
          <w:right w:val="nil"/>
          <w:between w:val="nil"/>
        </w:pBdr>
        <w:jc w:val="both"/>
        <w:rPr>
          <w:rFonts w:ascii="Palatino Linotype" w:eastAsia="Palatino Linotype" w:hAnsi="Palatino Linotype" w:cs="Palatino Linotype"/>
          <w:color w:val="000000"/>
          <w:sz w:val="24"/>
          <w:szCs w:val="24"/>
        </w:rPr>
      </w:pPr>
    </w:p>
    <w:p w14:paraId="512D5EDF" w14:textId="77777777" w:rsidR="006A3CE6" w:rsidRDefault="006A3CE6">
      <w:pPr>
        <w:jc w:val="both"/>
        <w:rPr>
          <w:rFonts w:ascii="Palatino Linotype" w:eastAsia="Palatino Linotype" w:hAnsi="Palatino Linotype" w:cs="Palatino Linotype"/>
          <w:sz w:val="24"/>
          <w:szCs w:val="24"/>
        </w:rPr>
      </w:pPr>
    </w:p>
    <w:p w14:paraId="549D7869"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Denial of status &amp; access to work &amp; in-kind assistance: living below the poverty line</w:t>
      </w:r>
    </w:p>
    <w:p w14:paraId="38214776"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Their lack of status, </w:t>
      </w:r>
      <w:r>
        <w:rPr>
          <w:rFonts w:ascii="Palatino Linotype" w:eastAsia="Palatino Linotype" w:hAnsi="Palatino Linotype" w:cs="Palatino Linotype"/>
          <w:sz w:val="24"/>
          <w:szCs w:val="24"/>
        </w:rPr>
        <w:t>or the</w:t>
      </w:r>
      <w:r>
        <w:rPr>
          <w:rFonts w:ascii="Palatino Linotype" w:eastAsia="Palatino Linotype" w:hAnsi="Palatino Linotype" w:cs="Palatino Linotype"/>
          <w:color w:val="000000"/>
          <w:sz w:val="24"/>
          <w:szCs w:val="24"/>
        </w:rPr>
        <w:t xml:space="preserve"> right to work, and the minimal living subsidies they are entitled to leave claimants in a state of destitution and administrative limbo. Moreover, the effects of </w:t>
      </w:r>
      <w:r>
        <w:rPr>
          <w:rFonts w:ascii="Palatino Linotype" w:eastAsia="Palatino Linotype" w:hAnsi="Palatino Linotype" w:cs="Palatino Linotype"/>
          <w:sz w:val="24"/>
          <w:szCs w:val="24"/>
        </w:rPr>
        <w:t xml:space="preserve">leading a life on the margins of society indefinitely under conditions where they lack access to the most basic amenities and activities which give them a sense of dignity and purpose create conditions which severely impact their mental health and wellbeing.  </w:t>
      </w:r>
    </w:p>
    <w:p w14:paraId="6FBF423F" w14:textId="77777777" w:rsidR="006A3CE6" w:rsidRDefault="006A3CE6">
      <w:pPr>
        <w:pBdr>
          <w:top w:val="nil"/>
          <w:left w:val="nil"/>
          <w:bottom w:val="nil"/>
          <w:right w:val="nil"/>
          <w:between w:val="nil"/>
        </w:pBdr>
        <w:jc w:val="both"/>
        <w:rPr>
          <w:rFonts w:ascii="Palatino Linotype" w:eastAsia="Palatino Linotype" w:hAnsi="Palatino Linotype" w:cs="Palatino Linotype"/>
          <w:color w:val="000000"/>
          <w:sz w:val="24"/>
          <w:szCs w:val="24"/>
        </w:rPr>
      </w:pPr>
    </w:p>
    <w:p w14:paraId="175D5690"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lastRenderedPageBreak/>
        <w:t>Pre-screening Policy &amp; Attempts of Forced Removal / Torture and CIDTP of non-refoulement claimants in detention</w:t>
      </w:r>
    </w:p>
    <w:p w14:paraId="72CE8689" w14:textId="77777777" w:rsidR="006A3CE6" w:rsidRDefault="006A3CE6">
      <w:pPr>
        <w:jc w:val="both"/>
        <w:rPr>
          <w:rFonts w:ascii="Palatino Linotype" w:eastAsia="Palatino Linotype" w:hAnsi="Palatino Linotype" w:cs="Palatino Linotype"/>
          <w:b/>
          <w:sz w:val="24"/>
          <w:szCs w:val="24"/>
          <w:u w:val="single"/>
        </w:rPr>
      </w:pPr>
    </w:p>
    <w:p w14:paraId="780C26C2" w14:textId="77777777" w:rsidR="006A3CE6" w:rsidRDefault="00D84E5B">
      <w:pPr>
        <w:numPr>
          <w:ilvl w:val="0"/>
          <w:numId w:val="1"/>
        </w:numPr>
        <w:contextualSpacing/>
        <w:jc w:val="both"/>
        <w:rPr>
          <w:rFonts w:ascii="Times New Roman" w:eastAsia="Times New Roman" w:hAnsi="Times New Roman" w:cs="Times New Roman"/>
          <w:sz w:val="24"/>
          <w:szCs w:val="24"/>
        </w:rPr>
      </w:pPr>
      <w:r>
        <w:rPr>
          <w:rFonts w:ascii="Palatino Linotype" w:eastAsia="Palatino Linotype" w:hAnsi="Palatino Linotype" w:cs="Palatino Linotype"/>
          <w:sz w:val="24"/>
          <w:szCs w:val="24"/>
        </w:rPr>
        <w:t xml:space="preserve">The Director of Immigration (“the Director”) requires that in order to “make” a non-refoulement claim and be admitted to the USM screening process, a person must first make a written signification to the Director, who will then assess whether the claim falls within one of the non-refoulement protection categories, i.e. persecution, torture, CIDTP etc. Only after the person’s claim is considered to be “made”, will the Director refer him/her to DLS (or PS) however if the claim is not considered “made”, then the person will be liable to removal. </w:t>
      </w:r>
    </w:p>
    <w:p w14:paraId="0537DD63" w14:textId="77777777" w:rsidR="006A3CE6" w:rsidRDefault="006A3CE6">
      <w:pPr>
        <w:jc w:val="both"/>
        <w:rPr>
          <w:rFonts w:ascii="Palatino Linotype" w:eastAsia="Palatino Linotype" w:hAnsi="Palatino Linotype" w:cs="Palatino Linotype"/>
          <w:sz w:val="24"/>
          <w:szCs w:val="24"/>
        </w:rPr>
      </w:pPr>
    </w:p>
    <w:p w14:paraId="4B34CAA6" w14:textId="77777777" w:rsidR="006A3CE6" w:rsidRDefault="00D84E5B">
      <w:pPr>
        <w:numPr>
          <w:ilvl w:val="0"/>
          <w:numId w:val="1"/>
        </w:numPr>
        <w:contextualSpacing/>
        <w:jc w:val="both"/>
        <w:rPr>
          <w:rFonts w:ascii="Times New Roman" w:eastAsia="Times New Roman" w:hAnsi="Times New Roman" w:cs="Times New Roman"/>
          <w:sz w:val="24"/>
          <w:szCs w:val="24"/>
        </w:rPr>
      </w:pPr>
      <w:r>
        <w:rPr>
          <w:rFonts w:ascii="Palatino Linotype" w:eastAsia="Palatino Linotype" w:hAnsi="Palatino Linotype" w:cs="Palatino Linotype"/>
          <w:sz w:val="24"/>
          <w:szCs w:val="24"/>
        </w:rPr>
        <w:t>This pre-screening policy and practice puts at risk, in particular, claimants that are detained and without access to legal advice and representation and/or without the assistance of an interpreter to help set out their claim in the terms required.</w:t>
      </w:r>
    </w:p>
    <w:p w14:paraId="434F182C" w14:textId="77777777" w:rsidR="006A3CE6" w:rsidRDefault="006A3CE6">
      <w:pPr>
        <w:jc w:val="both"/>
        <w:rPr>
          <w:rFonts w:ascii="Palatino Linotype" w:eastAsia="Palatino Linotype" w:hAnsi="Palatino Linotype" w:cs="Palatino Linotype"/>
          <w:sz w:val="24"/>
          <w:szCs w:val="24"/>
        </w:rPr>
      </w:pPr>
    </w:p>
    <w:p w14:paraId="4C5F2FF8" w14:textId="77777777" w:rsidR="006A3CE6" w:rsidRDefault="00D84E5B">
      <w:pPr>
        <w:numPr>
          <w:ilvl w:val="0"/>
          <w:numId w:val="1"/>
        </w:numPr>
        <w:contextualSpacing/>
        <w:jc w:val="both"/>
        <w:rPr>
          <w:rFonts w:ascii="Times New Roman" w:eastAsia="Times New Roman" w:hAnsi="Times New Roman" w:cs="Times New Roman"/>
          <w:sz w:val="24"/>
          <w:szCs w:val="24"/>
        </w:rPr>
      </w:pPr>
      <w:r>
        <w:rPr>
          <w:rFonts w:ascii="Palatino Linotype" w:eastAsia="Palatino Linotype" w:hAnsi="Palatino Linotype" w:cs="Palatino Linotype"/>
          <w:sz w:val="24"/>
          <w:szCs w:val="24"/>
        </w:rPr>
        <w:t xml:space="preserve">Recently a number of claims have been made against the Director alleging failure to properly </w:t>
      </w:r>
      <w:r>
        <w:rPr>
          <w:rFonts w:ascii="Palatino Linotype" w:eastAsia="Palatino Linotype" w:hAnsi="Palatino Linotype" w:cs="Palatino Linotype"/>
          <w:sz w:val="24"/>
          <w:szCs w:val="24"/>
        </w:rPr>
        <w:lastRenderedPageBreak/>
        <w:t xml:space="preserve">recognize claims as having been ‘made’; attempted forced removals by the Director and abuse and serious ill-treatment of detainees pending removal.  The implications from this are obvious - there may very well be persons who have sought asylum in Hong Kong but have been wrongly refused access to the USM due to an untested administrative decision made at the port of entry by the Director.  Such persons may have been returned to their country of origin, and to persecution or worse, without any assessment of the risk they face.   </w:t>
      </w:r>
    </w:p>
    <w:p w14:paraId="7AC00AB7"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4681594"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1810956D"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Denial of Legal Aid to non-refoulement applicants</w:t>
      </w:r>
    </w:p>
    <w:p w14:paraId="4F413516" w14:textId="77777777" w:rsidR="006A3CE6" w:rsidRDefault="00D84E5B">
      <w:pPr>
        <w:numPr>
          <w:ilvl w:val="0"/>
          <w:numId w:val="1"/>
        </w:numPr>
        <w:pBdr>
          <w:top w:val="nil"/>
          <w:left w:val="nil"/>
          <w:bottom w:val="nil"/>
          <w:right w:val="nil"/>
          <w:between w:val="nil"/>
        </w:pBdr>
        <w:contextualSpacing/>
        <w:jc w:val="both"/>
        <w:rPr>
          <w:rFonts w:ascii="Times New Roman" w:eastAsia="Times New Roman" w:hAnsi="Times New Roman" w:cs="Times New Roman"/>
          <w:sz w:val="24"/>
          <w:szCs w:val="24"/>
        </w:rPr>
      </w:pPr>
      <w:r>
        <w:rPr>
          <w:rFonts w:ascii="Palatino Linotype" w:eastAsia="Palatino Linotype" w:hAnsi="Palatino Linotype" w:cs="Palatino Linotype"/>
          <w:sz w:val="24"/>
          <w:szCs w:val="24"/>
        </w:rPr>
        <w:t xml:space="preserve">Available statistics demonstrate that it is becoming systematically more difficult in recent years for non-refoulement claims to be granted legal aid certificates for the purpose of seeking judicial review against the decisions rejecting their claims.  In addition, the lengthy application process with the Legal Aid Department combined with the 3 month limitation period to apply for judicial review often renders claimants without a decision on their Legal Aid application prior to the deadline to apply for judicial review.  </w:t>
      </w:r>
      <w:r>
        <w:rPr>
          <w:rFonts w:ascii="Palatino Linotype" w:eastAsia="Palatino Linotype" w:hAnsi="Palatino Linotype" w:cs="Palatino Linotype"/>
          <w:sz w:val="24"/>
          <w:szCs w:val="24"/>
        </w:rPr>
        <w:lastRenderedPageBreak/>
        <w:t>As a consequence, many judicial review applicants are unrepresented in court and face significant hurdles in advancing their case.</w:t>
      </w:r>
    </w:p>
    <w:p w14:paraId="139E7991"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41AA6AB8"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Once an application for judicial review is filed, the Court will often refuse to adjourn and will hear the application regardless of the claimant’s outstanding Legal Aid application or Legal Aid Appeal. In these circumstances, there is a real risk that due to lack of timely Legal Aid or adjournment of judicial review hearings pending final decisions on Legal Aid, claimants are deprived of meaningful access to justice. </w:t>
      </w:r>
    </w:p>
    <w:p w14:paraId="41CCF3C7"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6EB0F873"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Applications, Certificates and Acceptance Rates for Legal Aid involving Judicial Reviews by Non-Refoulement Claimants</w:t>
      </w:r>
      <w:r>
        <w:rPr>
          <w:rFonts w:ascii="Palatino Linotype" w:eastAsia="Palatino Linotype" w:hAnsi="Palatino Linotype" w:cs="Palatino Linotype"/>
          <w:sz w:val="24"/>
          <w:szCs w:val="24"/>
          <w:vertAlign w:val="superscript"/>
        </w:rPr>
        <w:footnoteReference w:id="4"/>
      </w:r>
    </w:p>
    <w:p w14:paraId="163847D8" w14:textId="77777777" w:rsidR="006A3CE6" w:rsidRDefault="006A3CE6">
      <w:pPr>
        <w:ind w:left="360"/>
        <w:jc w:val="both"/>
        <w:rPr>
          <w:rFonts w:ascii="Palatino Linotype" w:eastAsia="Palatino Linotype" w:hAnsi="Palatino Linotype" w:cs="Palatino Linotype"/>
          <w:sz w:val="24"/>
          <w:szCs w:val="24"/>
        </w:rPr>
      </w:pPr>
    </w:p>
    <w:tbl>
      <w:tblPr>
        <w:tblStyle w:val="a"/>
        <w:tblW w:w="8355" w:type="dxa"/>
        <w:tblInd w:w="910" w:type="dxa"/>
        <w:tblBorders>
          <w:top w:val="nil"/>
          <w:left w:val="nil"/>
          <w:bottom w:val="nil"/>
          <w:right w:val="nil"/>
          <w:insideH w:val="nil"/>
          <w:insideV w:val="nil"/>
        </w:tblBorders>
        <w:tblLayout w:type="fixed"/>
        <w:tblLook w:val="0600" w:firstRow="0" w:lastRow="0" w:firstColumn="0" w:lastColumn="0" w:noHBand="1" w:noVBand="1"/>
      </w:tblPr>
      <w:tblGrid>
        <w:gridCol w:w="1290"/>
        <w:gridCol w:w="2700"/>
        <w:gridCol w:w="2415"/>
        <w:gridCol w:w="1950"/>
      </w:tblGrid>
      <w:tr w:rsidR="006A3CE6" w14:paraId="52B288E7" w14:textId="77777777">
        <w:trPr>
          <w:trHeight w:val="1760"/>
        </w:trPr>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8EAE3" w14:textId="77777777" w:rsidR="006A3CE6" w:rsidRDefault="00D84E5B">
            <w:pPr>
              <w:spacing w:after="120"/>
              <w:ind w:left="27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Year</w:t>
            </w:r>
          </w:p>
        </w:tc>
        <w:tc>
          <w:tcPr>
            <w:tcW w:w="2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4C7A989"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No. of legal aid applications involving JRs pertaining to non-refoulement claims</w:t>
            </w:r>
          </w:p>
        </w:tc>
        <w:tc>
          <w:tcPr>
            <w:tcW w:w="2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BFA08C"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No. of legal aid certificates granted on JRs pertaining to non-refoulement claims</w:t>
            </w:r>
          </w:p>
        </w:tc>
        <w:tc>
          <w:tcPr>
            <w:tcW w:w="19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7EE20B"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Legal Aid acceptance rate</w:t>
            </w:r>
          </w:p>
        </w:tc>
      </w:tr>
      <w:tr w:rsidR="006A3CE6" w14:paraId="10DA7745" w14:textId="77777777">
        <w:trPr>
          <w:trHeight w:val="680"/>
        </w:trPr>
        <w:tc>
          <w:tcPr>
            <w:tcW w:w="12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3AD5A5"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2014</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3A22D89C"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98</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14:paraId="65DC9EF4"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52</w:t>
            </w:r>
          </w:p>
        </w:tc>
        <w:tc>
          <w:tcPr>
            <w:tcW w:w="1950" w:type="dxa"/>
            <w:tcBorders>
              <w:top w:val="nil"/>
              <w:left w:val="nil"/>
              <w:bottom w:val="single" w:sz="8" w:space="0" w:color="000000"/>
              <w:right w:val="single" w:sz="8" w:space="0" w:color="000000"/>
            </w:tcBorders>
            <w:tcMar>
              <w:top w:w="100" w:type="dxa"/>
              <w:left w:w="100" w:type="dxa"/>
              <w:bottom w:w="100" w:type="dxa"/>
              <w:right w:w="100" w:type="dxa"/>
            </w:tcMar>
          </w:tcPr>
          <w:p w14:paraId="5BCADF04"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53.06%</w:t>
            </w:r>
          </w:p>
        </w:tc>
      </w:tr>
      <w:tr w:rsidR="006A3CE6" w14:paraId="05A5F23A" w14:textId="77777777">
        <w:trPr>
          <w:trHeight w:val="680"/>
        </w:trPr>
        <w:tc>
          <w:tcPr>
            <w:tcW w:w="12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1E4B3D"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2015</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2D392D57"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248</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14:paraId="058D35B4"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62</w:t>
            </w:r>
          </w:p>
        </w:tc>
        <w:tc>
          <w:tcPr>
            <w:tcW w:w="1950" w:type="dxa"/>
            <w:tcBorders>
              <w:top w:val="nil"/>
              <w:left w:val="nil"/>
              <w:bottom w:val="single" w:sz="8" w:space="0" w:color="000000"/>
              <w:right w:val="single" w:sz="8" w:space="0" w:color="000000"/>
            </w:tcBorders>
            <w:tcMar>
              <w:top w:w="100" w:type="dxa"/>
              <w:left w:w="100" w:type="dxa"/>
              <w:bottom w:w="100" w:type="dxa"/>
              <w:right w:w="100" w:type="dxa"/>
            </w:tcMar>
          </w:tcPr>
          <w:p w14:paraId="1551FEBA"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25%</w:t>
            </w:r>
          </w:p>
        </w:tc>
      </w:tr>
      <w:tr w:rsidR="006A3CE6" w14:paraId="7BAA85AD" w14:textId="77777777">
        <w:trPr>
          <w:trHeight w:val="680"/>
        </w:trPr>
        <w:tc>
          <w:tcPr>
            <w:tcW w:w="12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4A4794"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2016</w:t>
            </w:r>
          </w:p>
        </w:tc>
        <w:tc>
          <w:tcPr>
            <w:tcW w:w="2700" w:type="dxa"/>
            <w:tcBorders>
              <w:top w:val="nil"/>
              <w:left w:val="nil"/>
              <w:bottom w:val="single" w:sz="8" w:space="0" w:color="000000"/>
              <w:right w:val="single" w:sz="8" w:space="0" w:color="000000"/>
            </w:tcBorders>
            <w:tcMar>
              <w:top w:w="100" w:type="dxa"/>
              <w:left w:w="100" w:type="dxa"/>
              <w:bottom w:w="100" w:type="dxa"/>
              <w:right w:w="100" w:type="dxa"/>
            </w:tcMar>
          </w:tcPr>
          <w:p w14:paraId="1EA8CE90"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144</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14:paraId="4D091CF7"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9</w:t>
            </w:r>
          </w:p>
        </w:tc>
        <w:tc>
          <w:tcPr>
            <w:tcW w:w="1950" w:type="dxa"/>
            <w:tcBorders>
              <w:top w:val="nil"/>
              <w:left w:val="nil"/>
              <w:bottom w:val="single" w:sz="8" w:space="0" w:color="000000"/>
              <w:right w:val="single" w:sz="8" w:space="0" w:color="000000"/>
            </w:tcBorders>
            <w:tcMar>
              <w:top w:w="100" w:type="dxa"/>
              <w:left w:w="100" w:type="dxa"/>
              <w:bottom w:w="100" w:type="dxa"/>
              <w:right w:w="100" w:type="dxa"/>
            </w:tcMar>
          </w:tcPr>
          <w:p w14:paraId="71A90179" w14:textId="77777777" w:rsidR="006A3CE6" w:rsidRDefault="00D84E5B">
            <w:pPr>
              <w:spacing w:after="120"/>
              <w:ind w:left="360"/>
              <w:jc w:val="center"/>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6.25%</w:t>
            </w:r>
          </w:p>
        </w:tc>
      </w:tr>
    </w:tbl>
    <w:p w14:paraId="57D72E77" w14:textId="77777777" w:rsidR="006A3CE6" w:rsidRDefault="006A3CE6">
      <w:pPr>
        <w:jc w:val="both"/>
        <w:rPr>
          <w:rFonts w:ascii="Palatino Linotype" w:eastAsia="Palatino Linotype" w:hAnsi="Palatino Linotype" w:cs="Palatino Linotype"/>
          <w:sz w:val="24"/>
          <w:szCs w:val="24"/>
        </w:rPr>
      </w:pPr>
    </w:p>
    <w:p w14:paraId="52E1FDF9" w14:textId="352455D6" w:rsidR="00021C5A" w:rsidRDefault="00021C5A" w:rsidP="00021C5A">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Further, the Government has by administrative measures introduced a number of practices to “expedite” screening and removal of claimants. The measures are not transparent. One measure observed by lawyers who assist claimants is to remove a claimant whose claim was rejected by the ImmD but pending Judicial Review. The Security Bureau plans to propose legislative changes to formalize the measures, prudency of which are yet proven.</w:t>
      </w:r>
      <w:r>
        <w:rPr>
          <w:rStyle w:val="FootnoteReference"/>
          <w:rFonts w:ascii="Palatino Linotype" w:eastAsia="Palatino Linotype" w:hAnsi="Palatino Linotype" w:cs="Palatino Linotype"/>
          <w:sz w:val="24"/>
          <w:szCs w:val="24"/>
        </w:rPr>
        <w:footnoteReference w:id="5"/>
      </w:r>
      <w:r>
        <w:rPr>
          <w:rFonts w:ascii="Palatino Linotype" w:eastAsia="Palatino Linotype" w:hAnsi="Palatino Linotype" w:cs="Palatino Linotype"/>
          <w:sz w:val="24"/>
          <w:szCs w:val="24"/>
        </w:rPr>
        <w:t xml:space="preserve"> </w:t>
      </w:r>
    </w:p>
    <w:p w14:paraId="751E655E" w14:textId="77777777" w:rsidR="006A3CE6" w:rsidRDefault="006A3CE6">
      <w:pPr>
        <w:ind w:left="360"/>
        <w:jc w:val="both"/>
        <w:rPr>
          <w:rFonts w:ascii="Palatino Linotype" w:eastAsia="Palatino Linotype" w:hAnsi="Palatino Linotype" w:cs="Palatino Linotype"/>
          <w:sz w:val="28"/>
          <w:szCs w:val="28"/>
        </w:rPr>
      </w:pPr>
    </w:p>
    <w:p w14:paraId="2A23B4B2"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 xml:space="preserve">PART C: </w:t>
      </w:r>
      <w:r>
        <w:rPr>
          <w:rFonts w:ascii="Palatino Linotype" w:eastAsia="Palatino Linotype" w:hAnsi="Palatino Linotype" w:cs="Palatino Linotype"/>
          <w:b/>
          <w:sz w:val="24"/>
          <w:szCs w:val="24"/>
        </w:rPr>
        <w:t>HUMAN TRAFFICKING</w:t>
      </w:r>
    </w:p>
    <w:p w14:paraId="36D7D9B8" w14:textId="77777777" w:rsidR="006A3CE6" w:rsidRDefault="006A3CE6">
      <w:pPr>
        <w:jc w:val="both"/>
        <w:rPr>
          <w:rFonts w:ascii="Palatino Linotype" w:eastAsia="Palatino Linotype" w:hAnsi="Palatino Linotype" w:cs="Palatino Linotype"/>
          <w:sz w:val="24"/>
          <w:szCs w:val="24"/>
        </w:rPr>
      </w:pPr>
    </w:p>
    <w:p w14:paraId="11C84582"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Migrant domestic workers</w:t>
      </w:r>
    </w:p>
    <w:p w14:paraId="4B1F41A6" w14:textId="77777777" w:rsidR="006A3CE6" w:rsidRDefault="006A3CE6">
      <w:pPr>
        <w:jc w:val="both"/>
        <w:rPr>
          <w:rFonts w:ascii="Palatino Linotype" w:eastAsia="Palatino Linotype" w:hAnsi="Palatino Linotype" w:cs="Palatino Linotype"/>
          <w:b/>
          <w:sz w:val="24"/>
          <w:szCs w:val="24"/>
          <w:u w:val="single"/>
        </w:rPr>
      </w:pPr>
    </w:p>
    <w:p w14:paraId="09266AB4"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Defective Anti-Human Trafficking Legislation</w:t>
      </w:r>
    </w:p>
    <w:p w14:paraId="21D8365D" w14:textId="5911623A"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Although the trafficking of persons to or from Hong Kong for commercial sexual exploitation is illegal under s.129 Hong Kong Crimes Ordinance, Cap. 200, the crime of human trafficking for the purpose of forced labour is not covered by </w:t>
      </w:r>
      <w:r>
        <w:rPr>
          <w:rFonts w:ascii="Palatino Linotype" w:eastAsia="Palatino Linotype" w:hAnsi="Palatino Linotype" w:cs="Palatino Linotype"/>
          <w:sz w:val="24"/>
          <w:szCs w:val="24"/>
        </w:rPr>
        <w:t xml:space="preserve">legislation. Article 4 of the Hong Kong Bill of </w:t>
      </w:r>
      <w:r>
        <w:rPr>
          <w:rFonts w:ascii="Palatino Linotype" w:eastAsia="Palatino Linotype" w:hAnsi="Palatino Linotype" w:cs="Palatino Linotype"/>
          <w:sz w:val="24"/>
          <w:szCs w:val="24"/>
        </w:rPr>
        <w:lastRenderedPageBreak/>
        <w:t xml:space="preserve">Rights clearly prohibits the slave trade and slavery, but this right is not covered by any related implementing legislation. </w:t>
      </w:r>
      <w:r w:rsidR="00021C5A">
        <w:rPr>
          <w:rFonts w:ascii="Palatino Linotype" w:eastAsia="Palatino Linotype" w:hAnsi="Palatino Linotype" w:cs="Palatino Linotype"/>
          <w:sz w:val="24"/>
          <w:szCs w:val="24"/>
        </w:rPr>
        <w:t>T</w:t>
      </w:r>
      <w:r>
        <w:rPr>
          <w:rFonts w:ascii="Palatino Linotype" w:eastAsia="Palatino Linotype" w:hAnsi="Palatino Linotype" w:cs="Palatino Linotype"/>
          <w:sz w:val="24"/>
          <w:szCs w:val="24"/>
        </w:rPr>
        <w:t xml:space="preserve">here is a Court of </w:t>
      </w:r>
      <w:r w:rsidR="00021C5A">
        <w:rPr>
          <w:rFonts w:ascii="Palatino Linotype" w:eastAsia="Palatino Linotype" w:hAnsi="Palatino Linotype" w:cs="Palatino Linotype"/>
          <w:sz w:val="24"/>
          <w:szCs w:val="24"/>
        </w:rPr>
        <w:t>Appeal</w:t>
      </w:r>
      <w:r>
        <w:rPr>
          <w:rFonts w:ascii="Palatino Linotype" w:eastAsia="Palatino Linotype" w:hAnsi="Palatino Linotype" w:cs="Palatino Linotype"/>
          <w:sz w:val="24"/>
          <w:szCs w:val="24"/>
        </w:rPr>
        <w:t xml:space="preserve"> judgment finding an instance of human trafficking for the purposes of forced labour in Hong Kong and imposing on the HKSARG responsibility for the conditions which enabled this abuse to go unaddressed.</w:t>
      </w:r>
      <w:r w:rsidR="00021C5A">
        <w:rPr>
          <w:rStyle w:val="FootnoteReference"/>
          <w:rFonts w:ascii="Palatino Linotype" w:eastAsia="Palatino Linotype" w:hAnsi="Palatino Linotype" w:cs="Palatino Linotype"/>
          <w:sz w:val="24"/>
          <w:szCs w:val="24"/>
        </w:rPr>
        <w:footnoteReference w:id="6"/>
      </w:r>
      <w:r>
        <w:rPr>
          <w:rFonts w:ascii="Palatino Linotype" w:eastAsia="Palatino Linotype" w:hAnsi="Palatino Linotype" w:cs="Palatino Linotype"/>
          <w:sz w:val="24"/>
          <w:szCs w:val="24"/>
        </w:rPr>
        <w:t xml:space="preserve"> As documented by numerous treaty bodies, </w:t>
      </w:r>
      <w:r>
        <w:rPr>
          <w:rFonts w:ascii="Palatino Linotype" w:eastAsia="Palatino Linotype" w:hAnsi="Palatino Linotype" w:cs="Palatino Linotype"/>
          <w:color w:val="000000"/>
          <w:sz w:val="24"/>
          <w:szCs w:val="24"/>
        </w:rPr>
        <w:t>migrant domestic workers</w:t>
      </w:r>
      <w:r>
        <w:rPr>
          <w:rFonts w:ascii="Palatino Linotype" w:eastAsia="Palatino Linotype" w:hAnsi="Palatino Linotype" w:cs="Palatino Linotype"/>
          <w:sz w:val="24"/>
          <w:szCs w:val="24"/>
        </w:rPr>
        <w:t xml:space="preserve"> (MDWs) </w:t>
      </w:r>
      <w:r>
        <w:rPr>
          <w:rFonts w:ascii="Palatino Linotype" w:eastAsia="Palatino Linotype" w:hAnsi="Palatino Linotype" w:cs="Palatino Linotype"/>
          <w:color w:val="000000"/>
          <w:sz w:val="24"/>
          <w:szCs w:val="24"/>
        </w:rPr>
        <w:t>working in Hong K</w:t>
      </w:r>
      <w:r>
        <w:rPr>
          <w:rFonts w:ascii="Palatino Linotype" w:eastAsia="Palatino Linotype" w:hAnsi="Palatino Linotype" w:cs="Palatino Linotype"/>
          <w:sz w:val="24"/>
          <w:szCs w:val="24"/>
        </w:rPr>
        <w:t>ong are charged</w:t>
      </w:r>
      <w:r>
        <w:rPr>
          <w:rFonts w:ascii="Palatino Linotype" w:eastAsia="Palatino Linotype" w:hAnsi="Palatino Linotype" w:cs="Palatino Linotype"/>
          <w:color w:val="000000"/>
          <w:sz w:val="24"/>
          <w:szCs w:val="24"/>
        </w:rPr>
        <w:t xml:space="preserve"> 7 months</w:t>
      </w:r>
      <w:r>
        <w:rPr>
          <w:rFonts w:ascii="Palatino Linotype" w:eastAsia="Palatino Linotype" w:hAnsi="Palatino Linotype" w:cs="Palatino Linotype"/>
          <w:sz w:val="24"/>
          <w:szCs w:val="24"/>
        </w:rPr>
        <w:t xml:space="preserve"> of their salaries</w:t>
      </w:r>
      <w:r>
        <w:rPr>
          <w:rFonts w:ascii="Palatino Linotype" w:eastAsia="Palatino Linotype" w:hAnsi="Palatino Linotype" w:cs="Palatino Linotype"/>
          <w:color w:val="000000"/>
          <w:sz w:val="24"/>
          <w:szCs w:val="24"/>
        </w:rPr>
        <w:t xml:space="preserve"> as employment placement and related fees by agenc</w:t>
      </w:r>
      <w:r>
        <w:rPr>
          <w:rFonts w:ascii="Palatino Linotype" w:eastAsia="Palatino Linotype" w:hAnsi="Palatino Linotype" w:cs="Palatino Linotype"/>
          <w:sz w:val="24"/>
          <w:szCs w:val="24"/>
        </w:rPr>
        <w:t>ies in Hong Kong and their counterparts in</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countries of</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origin (home jurisdictions of MDWs)</w:t>
      </w:r>
      <w:r>
        <w:rPr>
          <w:rFonts w:ascii="Palatino Linotype" w:eastAsia="Palatino Linotype" w:hAnsi="Palatino Linotype" w:cs="Palatino Linotype"/>
          <w:color w:val="000000"/>
          <w:sz w:val="24"/>
          <w:szCs w:val="24"/>
        </w:rPr>
        <w:t xml:space="preserve">. They are often forced to work under debt-bondage contracts in Hong Kong until these fees are paid off. </w:t>
      </w:r>
      <w:r>
        <w:rPr>
          <w:rFonts w:ascii="Palatino Linotype" w:eastAsia="Palatino Linotype" w:hAnsi="Palatino Linotype" w:cs="Palatino Linotype"/>
          <w:sz w:val="24"/>
          <w:szCs w:val="24"/>
        </w:rPr>
        <w:t xml:space="preserve">Typically, they have </w:t>
      </w:r>
      <w:r>
        <w:rPr>
          <w:rFonts w:ascii="Palatino Linotype" w:eastAsia="Palatino Linotype" w:hAnsi="Palatino Linotype" w:cs="Palatino Linotype"/>
          <w:color w:val="000000"/>
          <w:sz w:val="24"/>
          <w:szCs w:val="24"/>
        </w:rPr>
        <w:t xml:space="preserve">their passports </w:t>
      </w:r>
      <w:r>
        <w:rPr>
          <w:rFonts w:ascii="Palatino Linotype" w:eastAsia="Palatino Linotype" w:hAnsi="Palatino Linotype" w:cs="Palatino Linotype"/>
          <w:sz w:val="24"/>
          <w:szCs w:val="24"/>
        </w:rPr>
        <w:t xml:space="preserve">unlawfully </w:t>
      </w:r>
      <w:r>
        <w:rPr>
          <w:rFonts w:ascii="Palatino Linotype" w:eastAsia="Palatino Linotype" w:hAnsi="Palatino Linotype" w:cs="Palatino Linotype"/>
          <w:color w:val="000000"/>
          <w:sz w:val="24"/>
          <w:szCs w:val="24"/>
        </w:rPr>
        <w:t>con</w:t>
      </w:r>
      <w:r>
        <w:rPr>
          <w:rFonts w:ascii="Palatino Linotype" w:eastAsia="Palatino Linotype" w:hAnsi="Palatino Linotype" w:cs="Palatino Linotype"/>
          <w:sz w:val="24"/>
          <w:szCs w:val="24"/>
        </w:rPr>
        <w:t>fiscated by employers or employment placement agencies, rendering</w:t>
      </w:r>
      <w:r>
        <w:rPr>
          <w:rFonts w:ascii="Palatino Linotype" w:eastAsia="Palatino Linotype" w:hAnsi="Palatino Linotype" w:cs="Palatino Linotype"/>
          <w:color w:val="000000"/>
          <w:sz w:val="24"/>
          <w:szCs w:val="24"/>
        </w:rPr>
        <w:t xml:space="preserve"> them vulnerable to various forms of physical, sexual and other abuses and often, without any recourse due to severe threats against them</w:t>
      </w:r>
      <w:r>
        <w:rPr>
          <w:rFonts w:ascii="Palatino Linotype" w:eastAsia="Palatino Linotype" w:hAnsi="Palatino Linotype" w:cs="Palatino Linotype"/>
          <w:sz w:val="24"/>
          <w:szCs w:val="24"/>
        </w:rPr>
        <w:t>, their person or families</w:t>
      </w:r>
      <w:r>
        <w:rPr>
          <w:rFonts w:ascii="Palatino Linotype" w:eastAsia="Palatino Linotype" w:hAnsi="Palatino Linotype" w:cs="Palatino Linotype"/>
          <w:color w:val="000000"/>
          <w:sz w:val="24"/>
          <w:szCs w:val="24"/>
        </w:rPr>
        <w:t>.</w:t>
      </w:r>
    </w:p>
    <w:p w14:paraId="7EAA3F62"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644E9C3E" w14:textId="0AF226A3"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lastRenderedPageBreak/>
        <w:t>The amendments to the Employment Ordinance passed recently aim at increasing the maximum penalties for the offences of unlicensed operation of employment agencies (EAs) and overcharging job-seekers of commissions by EAs.  These amendments may assist in the reduction of the debts incurred by MDWs seeking employment in Hong Kong. Nonetheless, various policy measures regulating the entry, stay and exit terms for migrant domestic workers in Hong Kong create the necessary enabling conditions for cruel, inhuman and degrading treatment and enslavement and torture of MDWs. These have repeatedly been called out for urgent and immediate attention, yet no steps have been taken to address these conditions. For example, despite repeated calls to abolish the “two-week rule” and the “live-in requirement” which contribute to the abusive conditions suffered by many MDWs.  These two Immigration policies, imposed specifically on migrant domestic only, continue to expose MDWs to physical, sexual and other abuses of MDWs, making them grossly vulnerable to exploitation and forced labour, contributing to a form of modern slavery and human trafficking of MDWs.</w:t>
      </w:r>
      <w:r>
        <w:rPr>
          <w:rFonts w:ascii="Palatino Linotype" w:eastAsia="Palatino Linotype" w:hAnsi="Palatino Linotype" w:cs="Palatino Linotype"/>
          <w:color w:val="000000"/>
          <w:sz w:val="24"/>
          <w:szCs w:val="24"/>
        </w:rPr>
        <w:t xml:space="preserve"> Cases such as </w:t>
      </w:r>
      <w:r>
        <w:rPr>
          <w:rFonts w:ascii="Palatino Linotype" w:eastAsia="Palatino Linotype" w:hAnsi="Palatino Linotype" w:cs="Palatino Linotype"/>
          <w:sz w:val="24"/>
          <w:szCs w:val="24"/>
        </w:rPr>
        <w:lastRenderedPageBreak/>
        <w:t>Erwiana, who was severely tortured and restricted in her movements and contact with outsiders by her employer Law Yin-tung, made possible by the crippling effects of the debt and constant threats to Erwiana and her family, highlight the gravity of burdens these conditions disproportionately impose on MDWs, disregarding their rights to freedom from torture, slavery and cruel, inhuman and degrading treatment.</w:t>
      </w:r>
    </w:p>
    <w:p w14:paraId="36CCEA4A" w14:textId="77777777" w:rsidR="006A3CE6" w:rsidRDefault="006A3CE6">
      <w:pPr>
        <w:pBdr>
          <w:top w:val="nil"/>
          <w:left w:val="nil"/>
          <w:bottom w:val="nil"/>
          <w:right w:val="nil"/>
          <w:between w:val="nil"/>
        </w:pBdr>
        <w:jc w:val="both"/>
        <w:rPr>
          <w:i/>
          <w:sz w:val="24"/>
          <w:szCs w:val="24"/>
        </w:rPr>
      </w:pPr>
    </w:p>
    <w:p w14:paraId="6E44E4B5" w14:textId="325E104D" w:rsidR="006A3CE6" w:rsidRDefault="00D84E5B" w:rsidP="00021C5A">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Due to the lack of a</w:t>
      </w:r>
      <w:r>
        <w:rPr>
          <w:rFonts w:ascii="Palatino Linotype" w:eastAsia="Palatino Linotype" w:hAnsi="Palatino Linotype" w:cs="Palatino Linotype"/>
          <w:sz w:val="24"/>
          <w:szCs w:val="24"/>
        </w:rPr>
        <w:t xml:space="preserve"> comprehensive and</w:t>
      </w:r>
      <w:r>
        <w:rPr>
          <w:rFonts w:ascii="Palatino Linotype" w:eastAsia="Palatino Linotype" w:hAnsi="Palatino Linotype" w:cs="Palatino Linotype"/>
          <w:color w:val="000000"/>
          <w:sz w:val="24"/>
          <w:szCs w:val="24"/>
        </w:rPr>
        <w:t xml:space="preserve"> effective anti-human trafficking framework in relation to forced labour, </w:t>
      </w:r>
      <w:r>
        <w:rPr>
          <w:rFonts w:ascii="Palatino Linotype" w:eastAsia="Palatino Linotype" w:hAnsi="Palatino Linotype" w:cs="Palatino Linotype"/>
          <w:sz w:val="24"/>
          <w:szCs w:val="24"/>
        </w:rPr>
        <w:t xml:space="preserve">victims of human trafficking suffer the consequences of </w:t>
      </w:r>
      <w:r>
        <w:rPr>
          <w:rFonts w:ascii="Palatino Linotype" w:eastAsia="Palatino Linotype" w:hAnsi="Palatino Linotype" w:cs="Palatino Linotype"/>
          <w:color w:val="000000"/>
          <w:sz w:val="24"/>
          <w:szCs w:val="24"/>
        </w:rPr>
        <w:t xml:space="preserve">inadequate protection from the Hong Kong authorities. </w:t>
      </w:r>
      <w:r w:rsidR="00021C5A">
        <w:rPr>
          <w:rFonts w:ascii="Palatino Linotype" w:eastAsia="Palatino Linotype" w:hAnsi="Palatino Linotype" w:cs="Palatino Linotype"/>
          <w:color w:val="000000"/>
          <w:sz w:val="24"/>
          <w:szCs w:val="24"/>
        </w:rPr>
        <w:t>T</w:t>
      </w:r>
      <w:r>
        <w:rPr>
          <w:rFonts w:ascii="Palatino Linotype" w:eastAsia="Palatino Linotype" w:hAnsi="Palatino Linotype" w:cs="Palatino Linotype"/>
          <w:sz w:val="24"/>
          <w:szCs w:val="24"/>
        </w:rPr>
        <w:t>he lack of</w:t>
      </w:r>
      <w:r>
        <w:rPr>
          <w:rFonts w:ascii="Palatino Linotype" w:eastAsia="Palatino Linotype" w:hAnsi="Palatino Linotype" w:cs="Palatino Linotype"/>
          <w:color w:val="000000"/>
          <w:sz w:val="24"/>
          <w:szCs w:val="24"/>
        </w:rPr>
        <w:t xml:space="preserve"> a clear legal framework prohibiting such a form of trafficking, </w:t>
      </w:r>
      <w:r>
        <w:rPr>
          <w:rFonts w:ascii="Palatino Linotype" w:eastAsia="Palatino Linotype" w:hAnsi="Palatino Linotype" w:cs="Palatino Linotype"/>
          <w:sz w:val="24"/>
          <w:szCs w:val="24"/>
        </w:rPr>
        <w:t xml:space="preserve">or </w:t>
      </w:r>
      <w:r>
        <w:rPr>
          <w:rFonts w:ascii="Palatino Linotype" w:eastAsia="Palatino Linotype" w:hAnsi="Palatino Linotype" w:cs="Palatino Linotype"/>
          <w:color w:val="000000"/>
          <w:sz w:val="24"/>
          <w:szCs w:val="24"/>
        </w:rPr>
        <w:t xml:space="preserve">frontline training on victim identification, risk management and extrication strategies among law enforcement officers and the failure of </w:t>
      </w:r>
      <w:r>
        <w:rPr>
          <w:rFonts w:ascii="Palatino Linotype" w:eastAsia="Palatino Linotype" w:hAnsi="Palatino Linotype" w:cs="Palatino Linotype"/>
          <w:sz w:val="24"/>
          <w:szCs w:val="24"/>
        </w:rPr>
        <w:t xml:space="preserve">interdepartmental coordination to strategically tackle sophisticated syndicates engaging in regional human trafficking for the purposes of forced labour critically undermines the prospects for victim identification, risk assessment and safety. </w:t>
      </w:r>
      <w:r w:rsidR="00021C5A">
        <w:rPr>
          <w:rFonts w:ascii="Palatino Linotype" w:eastAsia="Palatino Linotype" w:hAnsi="Palatino Linotype" w:cs="Palatino Linotype"/>
          <w:color w:val="000000"/>
          <w:sz w:val="24"/>
          <w:szCs w:val="24"/>
        </w:rPr>
        <w:t xml:space="preserve">Although the government promulgated </w:t>
      </w:r>
      <w:r w:rsidR="00021C5A" w:rsidRPr="00021C5A">
        <w:rPr>
          <w:rFonts w:ascii="Palatino Linotype" w:eastAsia="Palatino Linotype" w:hAnsi="Palatino Linotype" w:cs="Palatino Linotype"/>
          <w:color w:val="000000"/>
          <w:sz w:val="24"/>
          <w:szCs w:val="24"/>
        </w:rPr>
        <w:t xml:space="preserve">“The Action Plan to Tackle TIP and to Enhance </w:t>
      </w:r>
      <w:r w:rsidR="00021C5A">
        <w:rPr>
          <w:rFonts w:ascii="Palatino Linotype" w:eastAsia="Palatino Linotype" w:hAnsi="Palatino Linotype" w:cs="Palatino Linotype"/>
          <w:color w:val="000000"/>
          <w:sz w:val="24"/>
          <w:szCs w:val="24"/>
        </w:rPr>
        <w:t xml:space="preserve">Protection of FDHs in Hong </w:t>
      </w:r>
      <w:r w:rsidR="00021C5A">
        <w:rPr>
          <w:rFonts w:ascii="Palatino Linotype" w:eastAsia="Palatino Linotype" w:hAnsi="Palatino Linotype" w:cs="Palatino Linotype"/>
          <w:color w:val="000000"/>
          <w:sz w:val="24"/>
          <w:szCs w:val="24"/>
        </w:rPr>
        <w:lastRenderedPageBreak/>
        <w:t>Kong“</w:t>
      </w:r>
      <w:r w:rsidR="00021C5A" w:rsidRPr="00021C5A">
        <w:rPr>
          <w:rFonts w:ascii="Palatino Linotype" w:eastAsia="Palatino Linotype" w:hAnsi="Palatino Linotype" w:cs="Palatino Linotype"/>
          <w:color w:val="000000"/>
          <w:sz w:val="24"/>
          <w:szCs w:val="24"/>
        </w:rPr>
        <w:t xml:space="preserve"> in March 2018</w:t>
      </w:r>
      <w:r w:rsidR="00021C5A">
        <w:rPr>
          <w:rFonts w:ascii="Palatino Linotype" w:eastAsia="Palatino Linotype" w:hAnsi="Palatino Linotype" w:cs="Palatino Linotype"/>
          <w:color w:val="000000"/>
          <w:sz w:val="24"/>
          <w:szCs w:val="24"/>
        </w:rPr>
        <w:t>, which, if executed with sincerity, might provide some protection to victims of human trafficking, the result is yet to be seen. For example, the government claims to have implemented a victim identification mechanism since 2016, only 18 have ever been identified. Effectiveness of the Action Plan is still to be seen.</w:t>
      </w:r>
    </w:p>
    <w:p w14:paraId="6406ED10" w14:textId="77777777" w:rsidR="006A3CE6" w:rsidRDefault="006A3CE6">
      <w:pPr>
        <w:jc w:val="both"/>
        <w:rPr>
          <w:i/>
          <w:sz w:val="24"/>
          <w:szCs w:val="24"/>
        </w:rPr>
      </w:pPr>
    </w:p>
    <w:p w14:paraId="78C15BA5"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The Committee is urged to call on the HKSAR to (a)</w:t>
      </w:r>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enact comprehensive anti-human trafficking legislation to criminalise all human-trafficking activit</w:t>
      </w:r>
      <w:r>
        <w:rPr>
          <w:rFonts w:ascii="Palatino Linotype" w:eastAsia="Palatino Linotype" w:hAnsi="Palatino Linotype" w:cs="Palatino Linotype"/>
          <w:sz w:val="24"/>
          <w:szCs w:val="24"/>
        </w:rPr>
        <w:t>y</w:t>
      </w:r>
      <w:r>
        <w:rPr>
          <w:rFonts w:ascii="Palatino Linotype" w:eastAsia="Palatino Linotype" w:hAnsi="Palatino Linotype" w:cs="Palatino Linotype"/>
          <w:color w:val="000000"/>
          <w:sz w:val="24"/>
          <w:szCs w:val="24"/>
        </w:rPr>
        <w:t xml:space="preserve">; (b) </w:t>
      </w:r>
      <w:r>
        <w:rPr>
          <w:rFonts w:ascii="Palatino Linotype" w:eastAsia="Palatino Linotype" w:hAnsi="Palatino Linotype" w:cs="Palatino Linotype"/>
          <w:sz w:val="24"/>
          <w:szCs w:val="24"/>
        </w:rPr>
        <w:t xml:space="preserve">devise </w:t>
      </w:r>
      <w:r>
        <w:rPr>
          <w:rFonts w:ascii="Palatino Linotype" w:eastAsia="Palatino Linotype" w:hAnsi="Palatino Linotype" w:cs="Palatino Linotype"/>
          <w:color w:val="000000"/>
          <w:sz w:val="24"/>
          <w:szCs w:val="24"/>
        </w:rPr>
        <w:t>a system to protect the physical, psychological and mental well-being of human trafficking victims in Hong Kong; (c) train frontline law enforcement officers to identify victims in this regard</w:t>
      </w:r>
      <w:r>
        <w:rPr>
          <w:rFonts w:ascii="Palatino Linotype" w:eastAsia="Palatino Linotype" w:hAnsi="Palatino Linotype" w:cs="Palatino Linotype"/>
          <w:sz w:val="24"/>
          <w:szCs w:val="24"/>
        </w:rPr>
        <w:t>; and (d) abolish the “two-week rule” and the “live-in policy” which create the vulnerabilities and enabling conditions for such trafficking and undermine the identification of victims</w:t>
      </w:r>
      <w:r>
        <w:rPr>
          <w:rFonts w:ascii="Palatino Linotype" w:eastAsia="Palatino Linotype" w:hAnsi="Palatino Linotype" w:cs="Palatino Linotype"/>
          <w:color w:val="000000"/>
          <w:sz w:val="24"/>
          <w:szCs w:val="24"/>
        </w:rPr>
        <w:t>.</w:t>
      </w:r>
    </w:p>
    <w:p w14:paraId="2CE5CB2B" w14:textId="77777777" w:rsidR="006A3CE6" w:rsidRDefault="006A3CE6">
      <w:pPr>
        <w:jc w:val="both"/>
        <w:rPr>
          <w:rFonts w:ascii="Palatino Linotype" w:eastAsia="Palatino Linotype" w:hAnsi="Palatino Linotype" w:cs="Palatino Linotype"/>
          <w:b/>
          <w:sz w:val="28"/>
          <w:szCs w:val="28"/>
        </w:rPr>
      </w:pPr>
    </w:p>
    <w:p w14:paraId="06AFFEC6"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Sex workers</w:t>
      </w:r>
    </w:p>
    <w:p w14:paraId="28CDB6B7" w14:textId="77777777" w:rsidR="006A3CE6" w:rsidRDefault="006A3CE6">
      <w:pPr>
        <w:jc w:val="both"/>
        <w:rPr>
          <w:rFonts w:ascii="Palatino Linotype" w:eastAsia="Palatino Linotype" w:hAnsi="Palatino Linotype" w:cs="Palatino Linotype"/>
          <w:b/>
          <w:sz w:val="24"/>
          <w:szCs w:val="24"/>
          <w:u w:val="single"/>
        </w:rPr>
      </w:pPr>
    </w:p>
    <w:p w14:paraId="76E75A93"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Treatment of Migrant Sex Workers</w:t>
      </w:r>
    </w:p>
    <w:p w14:paraId="248AC046"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lastRenderedPageBreak/>
        <w:t>Sex work in Hong Kong is legal but some instances of it are criminalised</w:t>
      </w:r>
      <w:r>
        <w:rPr>
          <w:rFonts w:ascii="Palatino Linotype" w:eastAsia="Palatino Linotype" w:hAnsi="Palatino Linotype" w:cs="Palatino Linotype"/>
          <w:sz w:val="24"/>
          <w:szCs w:val="24"/>
        </w:rPr>
        <w:t>. Although</w:t>
      </w:r>
      <w:r>
        <w:rPr>
          <w:rFonts w:ascii="Palatino Linotype" w:eastAsia="Palatino Linotype" w:hAnsi="Palatino Linotype" w:cs="Palatino Linotype"/>
          <w:color w:val="000000"/>
          <w:sz w:val="24"/>
          <w:szCs w:val="24"/>
        </w:rPr>
        <w:t xml:space="preserve"> commercial sex between consenting adults is legal, criminal provisions target certain people and actions related to sex work </w:t>
      </w:r>
      <w:r>
        <w:rPr>
          <w:rFonts w:ascii="Palatino Linotype" w:eastAsia="Palatino Linotype" w:hAnsi="Palatino Linotype" w:cs="Palatino Linotype"/>
          <w:sz w:val="24"/>
          <w:szCs w:val="24"/>
        </w:rPr>
        <w:t>create</w:t>
      </w:r>
      <w:r>
        <w:rPr>
          <w:rFonts w:ascii="Palatino Linotype" w:eastAsia="Palatino Linotype" w:hAnsi="Palatino Linotype" w:cs="Palatino Linotype"/>
          <w:color w:val="000000"/>
          <w:sz w:val="24"/>
          <w:szCs w:val="24"/>
        </w:rPr>
        <w:t xml:space="preserve"> precarious situations for those </w:t>
      </w:r>
      <w:r>
        <w:rPr>
          <w:rFonts w:ascii="Palatino Linotype" w:eastAsia="Palatino Linotype" w:hAnsi="Palatino Linotype" w:cs="Palatino Linotype"/>
          <w:sz w:val="24"/>
          <w:szCs w:val="24"/>
        </w:rPr>
        <w:t>engaged in this line of work</w:t>
      </w:r>
      <w:r>
        <w:rPr>
          <w:rFonts w:ascii="Palatino Linotype" w:eastAsia="Palatino Linotype" w:hAnsi="Palatino Linotype" w:cs="Palatino Linotype"/>
          <w:color w:val="000000"/>
          <w:sz w:val="24"/>
          <w:szCs w:val="24"/>
        </w:rPr>
        <w:t>. Coupled with the high stigma faced by sex workers in general, migrant sex workers are particularly vulnerable to the systematic abuse as they are usually ignorant of their legal rights in Hong Kong.</w:t>
      </w:r>
    </w:p>
    <w:p w14:paraId="79FF1578"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49E786D8" w14:textId="5DA430D0"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 prosecution of prostitution is, commonly, based on either the migrant sex worker “establishing a business” without permission from the Immigration Department or “taking up unapproved employment”.  In most cases, the worker sets up in a one-person subdivided flat, and under these circumstances it is strongly arguable that most migrant sex workers are guilty of neither offence.   However, almost all of them plead guilty to one or other offence because the standard sentence is almost always less than the time they would spend on remand pending trial if they were to plead not guilty.  This “backdoor” </w:t>
      </w:r>
      <w:r>
        <w:rPr>
          <w:rFonts w:ascii="Palatino Linotype" w:eastAsia="Palatino Linotype" w:hAnsi="Palatino Linotype" w:cs="Palatino Linotype"/>
          <w:sz w:val="24"/>
          <w:szCs w:val="24"/>
        </w:rPr>
        <w:lastRenderedPageBreak/>
        <w:t xml:space="preserve">method of prosecuting and deterring sex workers has continued for years without any open review and reform.  </w:t>
      </w:r>
    </w:p>
    <w:p w14:paraId="522CD5D3" w14:textId="77777777" w:rsidR="006A3CE6" w:rsidRDefault="006A3CE6">
      <w:pPr>
        <w:jc w:val="both"/>
        <w:rPr>
          <w:rFonts w:ascii="Palatino Linotype" w:eastAsia="Palatino Linotype" w:hAnsi="Palatino Linotype" w:cs="Palatino Linotype"/>
          <w:sz w:val="24"/>
          <w:szCs w:val="24"/>
        </w:rPr>
      </w:pPr>
    </w:p>
    <w:p w14:paraId="1D13D2D3" w14:textId="77777777" w:rsidR="006A3CE6" w:rsidRDefault="00D84E5B">
      <w:pPr>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u w:val="single"/>
        </w:rPr>
        <w:t>Maltreatment in custody</w:t>
      </w:r>
    </w:p>
    <w:p w14:paraId="1C8BB3F5"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Due to their irregular/illegal migration status, such sex workers are often arbitrarily arrested without having gone through any sort of screening process or interview, specifically as potential victims of human trafficking. Moreover, there have been an emerging number of reports on police officers treating migrant sex workers in custody in a degrading and disrespectful manner. The voices of migrant sex workers, however, are often suppressed, in light of the discrimination they face.</w:t>
      </w:r>
    </w:p>
    <w:p w14:paraId="36838689" w14:textId="77777777" w:rsidR="006A3CE6" w:rsidRDefault="006A3CE6">
      <w:pPr>
        <w:pBdr>
          <w:top w:val="nil"/>
          <w:left w:val="nil"/>
          <w:bottom w:val="nil"/>
          <w:right w:val="nil"/>
          <w:between w:val="nil"/>
        </w:pBdr>
        <w:spacing w:line="276" w:lineRule="auto"/>
        <w:ind w:left="720"/>
        <w:jc w:val="both"/>
        <w:rPr>
          <w:rFonts w:ascii="Palatino Linotype" w:eastAsia="Palatino Linotype" w:hAnsi="Palatino Linotype" w:cs="Palatino Linotype"/>
          <w:color w:val="000000"/>
          <w:sz w:val="24"/>
          <w:szCs w:val="24"/>
        </w:rPr>
      </w:pPr>
    </w:p>
    <w:p w14:paraId="6ECD0903"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The Committee is urged to call on the HKSAR to (a)</w:t>
      </w:r>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 xml:space="preserve">establish transparent screening and victim identification mechanism in order to better protect migrant sex workers who are victims of human trafficking; and (b) </w:t>
      </w:r>
      <w:r>
        <w:rPr>
          <w:rFonts w:ascii="Palatino Linotype" w:eastAsia="Palatino Linotype" w:hAnsi="Palatino Linotype" w:cs="Palatino Linotype"/>
          <w:sz w:val="24"/>
          <w:szCs w:val="24"/>
        </w:rPr>
        <w:t>raise</w:t>
      </w:r>
      <w:r>
        <w:rPr>
          <w:rFonts w:ascii="Palatino Linotype" w:eastAsia="Palatino Linotype" w:hAnsi="Palatino Linotype" w:cs="Palatino Linotype"/>
          <w:color w:val="000000"/>
          <w:sz w:val="24"/>
          <w:szCs w:val="24"/>
        </w:rPr>
        <w:t xml:space="preserve"> public awareness </w:t>
      </w:r>
      <w:r>
        <w:rPr>
          <w:rFonts w:ascii="Palatino Linotype" w:eastAsia="Palatino Linotype" w:hAnsi="Palatino Linotype" w:cs="Palatino Linotype"/>
          <w:sz w:val="24"/>
          <w:szCs w:val="24"/>
        </w:rPr>
        <w:t>about</w:t>
      </w:r>
      <w:r>
        <w:rPr>
          <w:rFonts w:ascii="Palatino Linotype" w:eastAsia="Palatino Linotype" w:hAnsi="Palatino Linotype" w:cs="Palatino Linotype"/>
          <w:color w:val="000000"/>
          <w:sz w:val="24"/>
          <w:szCs w:val="24"/>
        </w:rPr>
        <w:t xml:space="preserve"> human and sex trafficking and to put into force effective prevention and protection measures.</w:t>
      </w:r>
    </w:p>
    <w:p w14:paraId="4ADFB0B9" w14:textId="77777777" w:rsidR="006A3CE6" w:rsidRDefault="006A3CE6">
      <w:pPr>
        <w:shd w:val="clear" w:color="auto" w:fill="FFFFFF"/>
        <w:jc w:val="both"/>
        <w:rPr>
          <w:rFonts w:ascii="Quattrocento Sans" w:eastAsia="Quattrocento Sans" w:hAnsi="Quattrocento Sans" w:cs="Quattrocento Sans"/>
          <w:b/>
        </w:rPr>
      </w:pPr>
    </w:p>
    <w:p w14:paraId="028B9422" w14:textId="77777777" w:rsidR="006A3CE6" w:rsidRDefault="006A3CE6">
      <w:pPr>
        <w:jc w:val="both"/>
        <w:rPr>
          <w:rFonts w:ascii="Palatino Linotype" w:eastAsia="Palatino Linotype" w:hAnsi="Palatino Linotype" w:cs="Palatino Linotype"/>
          <w:b/>
          <w:sz w:val="28"/>
          <w:szCs w:val="28"/>
        </w:rPr>
      </w:pPr>
    </w:p>
    <w:p w14:paraId="3FBE978C"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PART D: POLICE POWERS &amp; POLICING OF DEMONSTRATIONS</w:t>
      </w:r>
    </w:p>
    <w:p w14:paraId="0DC89C5F" w14:textId="77777777" w:rsidR="006A3CE6" w:rsidRDefault="006A3CE6">
      <w:pPr>
        <w:jc w:val="both"/>
        <w:rPr>
          <w:rFonts w:ascii="Palatino Linotype" w:eastAsia="Palatino Linotype" w:hAnsi="Palatino Linotype" w:cs="Palatino Linotype"/>
          <w:sz w:val="24"/>
          <w:szCs w:val="24"/>
        </w:rPr>
      </w:pPr>
    </w:p>
    <w:p w14:paraId="6423B011"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 xml:space="preserve">Arbitrary and excessive force </w:t>
      </w:r>
    </w:p>
    <w:p w14:paraId="482667EC" w14:textId="7EF1896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The use of arbitrary force </w:t>
      </w:r>
      <w:r>
        <w:rPr>
          <w:rFonts w:ascii="Palatino Linotype" w:eastAsia="Palatino Linotype" w:hAnsi="Palatino Linotype" w:cs="Palatino Linotype"/>
          <w:sz w:val="24"/>
          <w:szCs w:val="24"/>
        </w:rPr>
        <w:t xml:space="preserve">such as the excessive use of pepper spray, tear gas and batons </w:t>
      </w:r>
      <w:r>
        <w:rPr>
          <w:rFonts w:ascii="Palatino Linotype" w:eastAsia="Palatino Linotype" w:hAnsi="Palatino Linotype" w:cs="Palatino Linotype"/>
          <w:color w:val="000000"/>
          <w:sz w:val="24"/>
          <w:szCs w:val="24"/>
        </w:rPr>
        <w:t xml:space="preserve">by the Hong Kong Police in recent public assemblies, </w:t>
      </w:r>
      <w:r>
        <w:rPr>
          <w:rFonts w:ascii="Palatino Linotype" w:eastAsia="Palatino Linotype" w:hAnsi="Palatino Linotype" w:cs="Palatino Linotype"/>
          <w:sz w:val="24"/>
          <w:szCs w:val="24"/>
        </w:rPr>
        <w:t>including</w:t>
      </w:r>
      <w:r>
        <w:rPr>
          <w:rFonts w:ascii="Palatino Linotype" w:eastAsia="Palatino Linotype" w:hAnsi="Palatino Linotype" w:cs="Palatino Linotype"/>
          <w:color w:val="000000"/>
          <w:sz w:val="24"/>
          <w:szCs w:val="24"/>
        </w:rPr>
        <w:t xml:space="preserve"> the Umbrella Movement in 2014</w:t>
      </w:r>
      <w:r>
        <w:rPr>
          <w:rFonts w:ascii="Palatino Linotype" w:eastAsia="Palatino Linotype" w:hAnsi="Palatino Linotype" w:cs="Palatino Linotype"/>
          <w:sz w:val="24"/>
          <w:szCs w:val="24"/>
        </w:rPr>
        <w:t>,</w:t>
      </w:r>
      <w:r>
        <w:rPr>
          <w:rFonts w:ascii="Palatino Linotype" w:eastAsia="Palatino Linotype" w:hAnsi="Palatino Linotype" w:cs="Palatino Linotype"/>
          <w:color w:val="000000"/>
          <w:sz w:val="24"/>
          <w:szCs w:val="24"/>
        </w:rPr>
        <w:t xml:space="preserve"> has led to the rapid decline of the right of freedom of assembly </w:t>
      </w:r>
      <w:r>
        <w:rPr>
          <w:rFonts w:ascii="Palatino Linotype" w:eastAsia="Palatino Linotype" w:hAnsi="Palatino Linotype" w:cs="Palatino Linotype"/>
          <w:sz w:val="24"/>
          <w:szCs w:val="24"/>
        </w:rPr>
        <w:t>in</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recent</w:t>
      </w:r>
      <w:r>
        <w:rPr>
          <w:rFonts w:ascii="Palatino Linotype" w:eastAsia="Palatino Linotype" w:hAnsi="Palatino Linotype" w:cs="Palatino Linotype"/>
          <w:color w:val="000000"/>
          <w:sz w:val="24"/>
          <w:szCs w:val="24"/>
        </w:rPr>
        <w:t xml:space="preserve"> years.  While at least 8 officers have been convicted for unlawfully assaulting peaceful protest</w:t>
      </w:r>
      <w:r>
        <w:rPr>
          <w:rFonts w:ascii="Palatino Linotype" w:eastAsia="Palatino Linotype" w:hAnsi="Palatino Linotype" w:cs="Palatino Linotype"/>
          <w:sz w:val="24"/>
          <w:szCs w:val="24"/>
        </w:rPr>
        <w:t>o</w:t>
      </w:r>
      <w:r>
        <w:rPr>
          <w:rFonts w:ascii="Palatino Linotype" w:eastAsia="Palatino Linotype" w:hAnsi="Palatino Linotype" w:cs="Palatino Linotype"/>
          <w:color w:val="000000"/>
          <w:sz w:val="24"/>
          <w:szCs w:val="24"/>
        </w:rPr>
        <w:t xml:space="preserve">rs </w:t>
      </w:r>
      <w:r>
        <w:rPr>
          <w:rFonts w:ascii="Palatino Linotype" w:eastAsia="Palatino Linotype" w:hAnsi="Palatino Linotype" w:cs="Palatino Linotype"/>
          <w:sz w:val="24"/>
          <w:szCs w:val="24"/>
        </w:rPr>
        <w:t>during</w:t>
      </w:r>
      <w:r>
        <w:rPr>
          <w:rFonts w:ascii="Palatino Linotype" w:eastAsia="Palatino Linotype" w:hAnsi="Palatino Linotype" w:cs="Palatino Linotype"/>
          <w:color w:val="000000"/>
          <w:sz w:val="24"/>
          <w:szCs w:val="24"/>
        </w:rPr>
        <w:t xml:space="preserve"> the Umbrella Movement, the </w:t>
      </w:r>
      <w:r>
        <w:rPr>
          <w:rFonts w:ascii="Palatino Linotype" w:eastAsia="Palatino Linotype" w:hAnsi="Palatino Linotype" w:cs="Palatino Linotype"/>
          <w:sz w:val="24"/>
          <w:szCs w:val="24"/>
        </w:rPr>
        <w:t>Commissioner of Police Stephen Lo Wai-chung said he was saddened by the convictions and made no commitment towards preventing the use of arbitrary and excessive force in public assemblies in the future.</w:t>
      </w:r>
    </w:p>
    <w:p w14:paraId="046DAA38"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7E27E5E1"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 xml:space="preserve">The HKSARG should conduct an independent investigation into allegations regarding the excessive use of force by the police and counter-demonstrators, instead of conducting an internal evaluation. We call on the HKSARG to duly prosecute alleged perpetrators, including those </w:t>
      </w:r>
      <w:r>
        <w:rPr>
          <w:rFonts w:ascii="Palatino Linotype" w:eastAsia="Palatino Linotype" w:hAnsi="Palatino Linotype" w:cs="Palatino Linotype"/>
          <w:sz w:val="24"/>
          <w:szCs w:val="24"/>
        </w:rPr>
        <w:lastRenderedPageBreak/>
        <w:t>officers who were complicit in the acts and/or allowed them to occur, and ensure that those found guilty are convicted and that adequate penalties are imposed.</w:t>
      </w:r>
    </w:p>
    <w:p w14:paraId="5BAAEA23"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46E5353A"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The m</w:t>
      </w:r>
      <w:r>
        <w:rPr>
          <w:rFonts w:ascii="Palatino Linotype" w:eastAsia="Palatino Linotype" w:hAnsi="Palatino Linotype" w:cs="Palatino Linotype"/>
          <w:color w:val="000000"/>
          <w:sz w:val="24"/>
          <w:szCs w:val="24"/>
        </w:rPr>
        <w:t xml:space="preserve">onitoring of the use of various non-lethal weapons during public assemblies has been ineffective. </w:t>
      </w:r>
      <w:r>
        <w:rPr>
          <w:rFonts w:ascii="Palatino Linotype" w:eastAsia="Palatino Linotype" w:hAnsi="Palatino Linotype" w:cs="Palatino Linotype"/>
          <w:sz w:val="24"/>
          <w:szCs w:val="24"/>
        </w:rPr>
        <w:t>T</w:t>
      </w:r>
      <w:r>
        <w:rPr>
          <w:rFonts w:ascii="Palatino Linotype" w:eastAsia="Palatino Linotype" w:hAnsi="Palatino Linotype" w:cs="Palatino Linotype"/>
          <w:color w:val="000000"/>
          <w:sz w:val="24"/>
          <w:szCs w:val="24"/>
        </w:rPr>
        <w:t xml:space="preserve">he </w:t>
      </w:r>
      <w:r>
        <w:rPr>
          <w:rFonts w:ascii="Palatino Linotype" w:eastAsia="Palatino Linotype" w:hAnsi="Palatino Linotype" w:cs="Palatino Linotype"/>
          <w:sz w:val="24"/>
          <w:szCs w:val="24"/>
        </w:rPr>
        <w:t>F</w:t>
      </w:r>
      <w:r>
        <w:rPr>
          <w:rFonts w:ascii="Palatino Linotype" w:eastAsia="Palatino Linotype" w:hAnsi="Palatino Linotype" w:cs="Palatino Linotype"/>
          <w:color w:val="000000"/>
          <w:sz w:val="24"/>
          <w:szCs w:val="24"/>
        </w:rPr>
        <w:t>orce has established a working group to gather views from frontline officers and to review the relevant policies and guidelines</w:t>
      </w:r>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color w:val="000000"/>
          <w:sz w:val="24"/>
          <w:szCs w:val="24"/>
        </w:rPr>
        <w:t>We demand that the Police publicize the Police General Orders (PGOs) and the Force Procedures Manual, especially Chapter 29 of the PGOs concerning the use of force and firearms as well as other related guidelines and manuals on using non-lethal weapons.  Alleged assaults by the police have also resulted in different forms of injuries suffered by protestors</w:t>
      </w:r>
      <w:r>
        <w:rPr>
          <w:rFonts w:ascii="Palatino Linotype" w:eastAsia="Palatino Linotype" w:hAnsi="Palatino Linotype" w:cs="Palatino Linotype"/>
          <w:sz w:val="24"/>
          <w:szCs w:val="24"/>
        </w:rPr>
        <w:t>. W</w:t>
      </w:r>
      <w:r>
        <w:rPr>
          <w:rFonts w:ascii="Palatino Linotype" w:eastAsia="Palatino Linotype" w:hAnsi="Palatino Linotype" w:cs="Palatino Linotype"/>
          <w:color w:val="000000"/>
          <w:sz w:val="24"/>
          <w:szCs w:val="24"/>
        </w:rPr>
        <w:t>e therefore, also urge the Police to disclose the various impacts that non-lethal weapons, such as tear gas and pepper spray, may have on the human body</w:t>
      </w:r>
      <w:r>
        <w:rPr>
          <w:rFonts w:ascii="Palatino Linotype" w:eastAsia="Palatino Linotype" w:hAnsi="Palatino Linotype" w:cs="Palatino Linotype"/>
          <w:sz w:val="24"/>
          <w:szCs w:val="24"/>
        </w:rPr>
        <w:t xml:space="preserve"> to enable protestors to have adequate forewarning and threat assessment in the event that such weapons are deployed for use in response to peaceful assemblies in future.</w:t>
      </w:r>
    </w:p>
    <w:p w14:paraId="6237DD37" w14:textId="77777777" w:rsidR="006A3CE6" w:rsidRDefault="006A3CE6">
      <w:pPr>
        <w:pBdr>
          <w:top w:val="nil"/>
          <w:left w:val="nil"/>
          <w:bottom w:val="nil"/>
          <w:right w:val="nil"/>
          <w:between w:val="nil"/>
        </w:pBdr>
        <w:jc w:val="both"/>
        <w:rPr>
          <w:rFonts w:ascii="Palatino Linotype" w:eastAsia="Palatino Linotype" w:hAnsi="Palatino Linotype" w:cs="Palatino Linotype"/>
          <w:color w:val="000000"/>
          <w:sz w:val="24"/>
          <w:szCs w:val="24"/>
        </w:rPr>
      </w:pPr>
    </w:p>
    <w:p w14:paraId="142E7D72" w14:textId="77777777" w:rsidR="006A3CE6" w:rsidRDefault="006A3CE6">
      <w:pPr>
        <w:jc w:val="both"/>
        <w:rPr>
          <w:rFonts w:ascii="Palatino Linotype" w:eastAsia="Palatino Linotype" w:hAnsi="Palatino Linotype" w:cs="Palatino Linotype"/>
          <w:sz w:val="24"/>
          <w:szCs w:val="24"/>
        </w:rPr>
      </w:pPr>
    </w:p>
    <w:p w14:paraId="568F388F"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CCTV</w:t>
      </w:r>
    </w:p>
    <w:p w14:paraId="4F799DFD"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The right to due process has been under threat in recent years with regard to the alleged infliction of both physical and verbal violence against arrested persons in police vehicles. We urge the police to follow the United Kingdom’s example in installing video and audio recording devices on all police vehicles in Hong Kong. The police should also adopt the </w:t>
      </w:r>
      <w:r>
        <w:rPr>
          <w:rFonts w:ascii="Palatino Linotype" w:eastAsia="Palatino Linotype" w:hAnsi="Palatino Linotype" w:cs="Palatino Linotype"/>
          <w:sz w:val="24"/>
          <w:szCs w:val="24"/>
        </w:rPr>
        <w:t xml:space="preserve">Coroner’s </w:t>
      </w:r>
      <w:r>
        <w:rPr>
          <w:rFonts w:ascii="Palatino Linotype" w:eastAsia="Palatino Linotype" w:hAnsi="Palatino Linotype" w:cs="Palatino Linotype"/>
          <w:color w:val="000000"/>
          <w:sz w:val="24"/>
          <w:szCs w:val="24"/>
        </w:rPr>
        <w:t xml:space="preserve">recommendation </w:t>
      </w:r>
      <w:r>
        <w:rPr>
          <w:rFonts w:ascii="Palatino Linotype" w:eastAsia="Palatino Linotype" w:hAnsi="Palatino Linotype" w:cs="Palatino Linotype"/>
          <w:sz w:val="24"/>
          <w:szCs w:val="24"/>
        </w:rPr>
        <w:t xml:space="preserve">to </w:t>
      </w:r>
      <w:r>
        <w:rPr>
          <w:rFonts w:ascii="Palatino Linotype" w:eastAsia="Palatino Linotype" w:hAnsi="Palatino Linotype" w:cs="Palatino Linotype"/>
          <w:color w:val="000000"/>
          <w:sz w:val="24"/>
          <w:szCs w:val="24"/>
        </w:rPr>
        <w:t>install CCTV within detention facilities (</w:t>
      </w:r>
      <w:r>
        <w:rPr>
          <w:rFonts w:ascii="Palatino Linotype" w:eastAsia="Palatino Linotype" w:hAnsi="Palatino Linotype" w:cs="Palatino Linotype"/>
          <w:sz w:val="24"/>
          <w:szCs w:val="24"/>
        </w:rPr>
        <w:t>exclusive of</w:t>
      </w:r>
      <w:r>
        <w:rPr>
          <w:rFonts w:ascii="Palatino Linotype" w:eastAsia="Palatino Linotype" w:hAnsi="Palatino Linotype" w:cs="Palatino Linotype"/>
          <w:color w:val="000000"/>
          <w:sz w:val="24"/>
          <w:szCs w:val="24"/>
        </w:rPr>
        <w:t xml:space="preserve"> private areas </w:t>
      </w:r>
      <w:r>
        <w:rPr>
          <w:rFonts w:ascii="Palatino Linotype" w:eastAsia="Palatino Linotype" w:hAnsi="Palatino Linotype" w:cs="Palatino Linotype"/>
          <w:sz w:val="24"/>
          <w:szCs w:val="24"/>
        </w:rPr>
        <w:t>such as</w:t>
      </w:r>
      <w:r>
        <w:rPr>
          <w:rFonts w:ascii="Palatino Linotype" w:eastAsia="Palatino Linotype" w:hAnsi="Palatino Linotype" w:cs="Palatino Linotype"/>
          <w:color w:val="000000"/>
          <w:sz w:val="24"/>
          <w:szCs w:val="24"/>
        </w:rPr>
        <w:t xml:space="preserve"> toilets) in all police stations and custodial institutions to detect any attempts </w:t>
      </w:r>
      <w:r>
        <w:rPr>
          <w:rFonts w:ascii="Palatino Linotype" w:eastAsia="Palatino Linotype" w:hAnsi="Palatino Linotype" w:cs="Palatino Linotype"/>
          <w:sz w:val="24"/>
          <w:szCs w:val="24"/>
        </w:rPr>
        <w:t>by detainees to commit</w:t>
      </w:r>
      <w:r>
        <w:rPr>
          <w:rFonts w:ascii="Palatino Linotype" w:eastAsia="Palatino Linotype" w:hAnsi="Palatino Linotype" w:cs="Palatino Linotype"/>
          <w:color w:val="000000"/>
          <w:sz w:val="24"/>
          <w:szCs w:val="24"/>
        </w:rPr>
        <w:t xml:space="preserve"> suicide by hanging themselves and to monitor any unlawful or improper treatment of prisoners.  </w:t>
      </w:r>
    </w:p>
    <w:p w14:paraId="07AEDD2A" w14:textId="77777777" w:rsidR="006A3CE6" w:rsidRDefault="006A3CE6">
      <w:pPr>
        <w:jc w:val="both"/>
        <w:rPr>
          <w:rFonts w:ascii="Palatino Linotype" w:eastAsia="Palatino Linotype" w:hAnsi="Palatino Linotype" w:cs="Palatino Linotype"/>
          <w:sz w:val="24"/>
          <w:szCs w:val="24"/>
        </w:rPr>
      </w:pPr>
    </w:p>
    <w:p w14:paraId="5A673719"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Free legal advice and police station visitation service</w:t>
      </w:r>
    </w:p>
    <w:p w14:paraId="44B9A5AE"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There have been allegations that arrested persons were threatened to provide evidence and make statements during interrogation at the police station. The </w:t>
      </w:r>
      <w:r>
        <w:rPr>
          <w:rFonts w:ascii="Palatino Linotype" w:eastAsia="Palatino Linotype" w:hAnsi="Palatino Linotype" w:cs="Palatino Linotype"/>
          <w:sz w:val="24"/>
          <w:szCs w:val="24"/>
        </w:rPr>
        <w:t>HKSARG</w:t>
      </w:r>
      <w:r>
        <w:rPr>
          <w:rFonts w:ascii="Palatino Linotype" w:eastAsia="Palatino Linotype" w:hAnsi="Palatino Linotype" w:cs="Palatino Linotype"/>
          <w:color w:val="000000"/>
          <w:sz w:val="24"/>
          <w:szCs w:val="24"/>
        </w:rPr>
        <w:t xml:space="preserve"> should establish free legal advice services that are immediately available for all arrested persons upon arrival at the </w:t>
      </w:r>
      <w:r>
        <w:rPr>
          <w:rFonts w:ascii="Palatino Linotype" w:eastAsia="Palatino Linotype" w:hAnsi="Palatino Linotype" w:cs="Palatino Linotype"/>
          <w:color w:val="000000"/>
          <w:sz w:val="24"/>
          <w:szCs w:val="24"/>
        </w:rPr>
        <w:lastRenderedPageBreak/>
        <w:t>police station, to ensure that suspects are protected from providing evidence</w:t>
      </w:r>
      <w:r>
        <w:rPr>
          <w:rFonts w:ascii="Palatino Linotype" w:eastAsia="Palatino Linotype" w:hAnsi="Palatino Linotype" w:cs="Palatino Linotype"/>
          <w:sz w:val="24"/>
          <w:szCs w:val="24"/>
        </w:rPr>
        <w:t xml:space="preserve">, incriminating themselves or </w:t>
      </w:r>
      <w:r>
        <w:rPr>
          <w:rFonts w:ascii="Palatino Linotype" w:eastAsia="Palatino Linotype" w:hAnsi="Palatino Linotype" w:cs="Palatino Linotype"/>
          <w:color w:val="000000"/>
          <w:sz w:val="24"/>
          <w:szCs w:val="24"/>
        </w:rPr>
        <w:t xml:space="preserve">making statements under duress.  </w:t>
      </w:r>
    </w:p>
    <w:p w14:paraId="2115D7C2" w14:textId="77777777" w:rsidR="006A3CE6" w:rsidRDefault="006A3CE6">
      <w:pPr>
        <w:jc w:val="both"/>
        <w:rPr>
          <w:rFonts w:ascii="Palatino Linotype" w:eastAsia="Palatino Linotype" w:hAnsi="Palatino Linotype" w:cs="Palatino Linotype"/>
          <w:sz w:val="24"/>
          <w:szCs w:val="24"/>
        </w:rPr>
      </w:pPr>
    </w:p>
    <w:p w14:paraId="5E02F542"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Independent Police Complaints Council</w:t>
      </w:r>
    </w:p>
    <w:p w14:paraId="3287BF44"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Appointment of membership to the Independent Police Complaints Council is under the sole control of the Chief Executive, which has repeatedly </w:t>
      </w:r>
      <w:r>
        <w:rPr>
          <w:rFonts w:ascii="Palatino Linotype" w:eastAsia="Palatino Linotype" w:hAnsi="Palatino Linotype" w:cs="Palatino Linotype"/>
          <w:sz w:val="24"/>
          <w:szCs w:val="24"/>
        </w:rPr>
        <w:t>been criticised for actual or apparently</w:t>
      </w:r>
      <w:r>
        <w:rPr>
          <w:rFonts w:ascii="Palatino Linotype" w:eastAsia="Palatino Linotype" w:hAnsi="Palatino Linotype" w:cs="Palatino Linotype"/>
          <w:color w:val="000000"/>
          <w:sz w:val="24"/>
          <w:szCs w:val="24"/>
        </w:rPr>
        <w:t xml:space="preserve"> biased investigations </w:t>
      </w:r>
      <w:r>
        <w:rPr>
          <w:rFonts w:ascii="Palatino Linotype" w:eastAsia="Palatino Linotype" w:hAnsi="Palatino Linotype" w:cs="Palatino Linotype"/>
          <w:sz w:val="24"/>
          <w:szCs w:val="24"/>
        </w:rPr>
        <w:t>in relation to</w:t>
      </w:r>
      <w:r>
        <w:rPr>
          <w:rFonts w:ascii="Palatino Linotype" w:eastAsia="Palatino Linotype" w:hAnsi="Palatino Linotype" w:cs="Palatino Linotype"/>
          <w:color w:val="000000"/>
          <w:sz w:val="24"/>
          <w:szCs w:val="24"/>
        </w:rPr>
        <w:t xml:space="preserve"> police misconduct.  We emphasize that the mandate and composition of the Independent Police Complaints Council should be </w:t>
      </w:r>
      <w:r>
        <w:rPr>
          <w:rFonts w:ascii="Palatino Linotype" w:eastAsia="Palatino Linotype" w:hAnsi="Palatino Linotype" w:cs="Palatino Linotype"/>
          <w:sz w:val="24"/>
          <w:szCs w:val="24"/>
        </w:rPr>
        <w:t xml:space="preserve">compliant </w:t>
      </w:r>
      <w:r>
        <w:rPr>
          <w:rFonts w:ascii="Palatino Linotype" w:eastAsia="Palatino Linotype" w:hAnsi="Palatino Linotype" w:cs="Palatino Linotype"/>
          <w:color w:val="000000"/>
          <w:sz w:val="24"/>
          <w:szCs w:val="24"/>
        </w:rPr>
        <w:t xml:space="preserve">with the Paris Principles to ensure the participation of stakeholders from different positions </w:t>
      </w:r>
      <w:r>
        <w:rPr>
          <w:rFonts w:ascii="Palatino Linotype" w:eastAsia="Palatino Linotype" w:hAnsi="Palatino Linotype" w:cs="Palatino Linotype"/>
          <w:sz w:val="24"/>
          <w:szCs w:val="24"/>
        </w:rPr>
        <w:t>across</w:t>
      </w:r>
      <w:r>
        <w:rPr>
          <w:rFonts w:ascii="Palatino Linotype" w:eastAsia="Palatino Linotype" w:hAnsi="Palatino Linotype" w:cs="Palatino Linotype"/>
          <w:color w:val="000000"/>
          <w:sz w:val="24"/>
          <w:szCs w:val="24"/>
        </w:rPr>
        <w:t xml:space="preserve"> the political spectrum. The IPCC should </w:t>
      </w:r>
      <w:r>
        <w:rPr>
          <w:rFonts w:ascii="Palatino Linotype" w:eastAsia="Palatino Linotype" w:hAnsi="Palatino Linotype" w:cs="Palatino Linotype"/>
          <w:sz w:val="24"/>
          <w:szCs w:val="24"/>
        </w:rPr>
        <w:t>be a</w:t>
      </w:r>
      <w:r>
        <w:rPr>
          <w:rFonts w:ascii="Palatino Linotype" w:eastAsia="Palatino Linotype" w:hAnsi="Palatino Linotype" w:cs="Palatino Linotype"/>
          <w:color w:val="000000"/>
          <w:sz w:val="24"/>
          <w:szCs w:val="24"/>
        </w:rPr>
        <w:t xml:space="preserve"> fully independent </w:t>
      </w:r>
      <w:r>
        <w:rPr>
          <w:rFonts w:ascii="Palatino Linotype" w:eastAsia="Palatino Linotype" w:hAnsi="Palatino Linotype" w:cs="Palatino Linotype"/>
          <w:sz w:val="24"/>
          <w:szCs w:val="24"/>
        </w:rPr>
        <w:t>body that is</w:t>
      </w:r>
      <w:r>
        <w:rPr>
          <w:rFonts w:ascii="Palatino Linotype" w:eastAsia="Palatino Linotype" w:hAnsi="Palatino Linotype" w:cs="Palatino Linotype"/>
          <w:color w:val="000000"/>
          <w:sz w:val="24"/>
          <w:szCs w:val="24"/>
        </w:rPr>
        <w:t xml:space="preserve"> mandated to receive and investigate complaints against all officials in the police force. In 2017, the IPCC endorsed 936 cases that required full investigation but found 399 cases to be unsubstantiated or not fully substantiated. Th</w:t>
      </w:r>
      <w:r>
        <w:rPr>
          <w:rFonts w:ascii="Palatino Linotype" w:eastAsia="Palatino Linotype" w:hAnsi="Palatino Linotype" w:cs="Palatino Linotype"/>
          <w:sz w:val="24"/>
          <w:szCs w:val="24"/>
        </w:rPr>
        <w:t>at</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 xml:space="preserve">42.6% of the complaints were rejected </w:t>
      </w:r>
      <w:r>
        <w:rPr>
          <w:rFonts w:ascii="Palatino Linotype" w:eastAsia="Palatino Linotype" w:hAnsi="Palatino Linotype" w:cs="Palatino Linotype"/>
          <w:color w:val="000000"/>
          <w:sz w:val="24"/>
          <w:szCs w:val="24"/>
        </w:rPr>
        <w:t xml:space="preserve">indicate </w:t>
      </w:r>
      <w:r>
        <w:rPr>
          <w:rFonts w:ascii="Palatino Linotype" w:eastAsia="Palatino Linotype" w:hAnsi="Palatino Linotype" w:cs="Palatino Linotype"/>
          <w:sz w:val="24"/>
          <w:szCs w:val="24"/>
        </w:rPr>
        <w:t xml:space="preserve">the </w:t>
      </w:r>
      <w:r>
        <w:rPr>
          <w:rFonts w:ascii="Palatino Linotype" w:eastAsia="Palatino Linotype" w:hAnsi="Palatino Linotype" w:cs="Palatino Linotype"/>
          <w:color w:val="000000"/>
          <w:sz w:val="24"/>
          <w:szCs w:val="24"/>
        </w:rPr>
        <w:t xml:space="preserve">ineffectiveness of the existing investigation mechanism, and the difficulties encountered by victims </w:t>
      </w:r>
      <w:r>
        <w:rPr>
          <w:rFonts w:ascii="Palatino Linotype" w:eastAsia="Palatino Linotype" w:hAnsi="Palatino Linotype" w:cs="Palatino Linotype"/>
          <w:sz w:val="24"/>
          <w:szCs w:val="24"/>
        </w:rPr>
        <w:t>in</w:t>
      </w:r>
      <w:r>
        <w:rPr>
          <w:rFonts w:ascii="Palatino Linotype" w:eastAsia="Palatino Linotype" w:hAnsi="Palatino Linotype" w:cs="Palatino Linotype"/>
          <w:color w:val="000000"/>
          <w:sz w:val="24"/>
          <w:szCs w:val="24"/>
        </w:rPr>
        <w:t xml:space="preserve"> prof</w:t>
      </w:r>
      <w:r>
        <w:rPr>
          <w:rFonts w:ascii="Palatino Linotype" w:eastAsia="Palatino Linotype" w:hAnsi="Palatino Linotype" w:cs="Palatino Linotype"/>
          <w:sz w:val="24"/>
          <w:szCs w:val="24"/>
        </w:rPr>
        <w:t xml:space="preserve">fering adequate </w:t>
      </w:r>
      <w:r>
        <w:rPr>
          <w:rFonts w:ascii="Palatino Linotype" w:eastAsia="Palatino Linotype" w:hAnsi="Palatino Linotype" w:cs="Palatino Linotype"/>
          <w:color w:val="000000"/>
          <w:sz w:val="24"/>
          <w:szCs w:val="24"/>
        </w:rPr>
        <w:t xml:space="preserve">evidence against a police officer.   </w:t>
      </w:r>
    </w:p>
    <w:p w14:paraId="1CC168D3" w14:textId="77777777" w:rsidR="006A3CE6" w:rsidRDefault="006A3CE6">
      <w:pPr>
        <w:ind w:left="360"/>
        <w:jc w:val="both"/>
        <w:rPr>
          <w:rFonts w:ascii="Palatino Linotype" w:eastAsia="Palatino Linotype" w:hAnsi="Palatino Linotype" w:cs="Palatino Linotype"/>
          <w:sz w:val="24"/>
          <w:szCs w:val="24"/>
        </w:rPr>
      </w:pPr>
    </w:p>
    <w:p w14:paraId="42DF2751"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Against Police Impunity</w:t>
      </w:r>
    </w:p>
    <w:p w14:paraId="05F41EE7"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Following the sentence imposed on former police superintendent for assaulting a pedestrian during the Umbrella Movement and on the seven officers for </w:t>
      </w:r>
      <w:r>
        <w:rPr>
          <w:rFonts w:ascii="Palatino Linotype" w:eastAsia="Palatino Linotype" w:hAnsi="Palatino Linotype" w:cs="Palatino Linotype"/>
          <w:sz w:val="24"/>
          <w:szCs w:val="24"/>
        </w:rPr>
        <w:t>beating up a protester, Ken Tsang</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some officers</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sz w:val="24"/>
          <w:szCs w:val="24"/>
        </w:rPr>
        <w:t>made suggestions that offers should be</w:t>
      </w:r>
      <w:r>
        <w:rPr>
          <w:rFonts w:ascii="Palatino Linotype" w:eastAsia="Palatino Linotype" w:hAnsi="Palatino Linotype" w:cs="Palatino Linotype"/>
          <w:color w:val="000000"/>
          <w:sz w:val="24"/>
          <w:szCs w:val="24"/>
        </w:rPr>
        <w:t xml:space="preserve"> exempt from criminal liability for acts </w:t>
      </w:r>
      <w:r>
        <w:rPr>
          <w:rFonts w:ascii="Palatino Linotype" w:eastAsia="Palatino Linotype" w:hAnsi="Palatino Linotype" w:cs="Palatino Linotype"/>
          <w:sz w:val="24"/>
          <w:szCs w:val="24"/>
        </w:rPr>
        <w:t>that occur in the course of their performance of their</w:t>
      </w:r>
      <w:r>
        <w:rPr>
          <w:rFonts w:ascii="Palatino Linotype" w:eastAsia="Palatino Linotype" w:hAnsi="Palatino Linotype" w:cs="Palatino Linotype"/>
          <w:color w:val="000000"/>
          <w:sz w:val="24"/>
          <w:szCs w:val="24"/>
        </w:rPr>
        <w:t xml:space="preserve"> law enforcement duties. </w:t>
      </w:r>
      <w:r>
        <w:rPr>
          <w:rFonts w:ascii="Palatino Linotype" w:eastAsia="Palatino Linotype" w:hAnsi="Palatino Linotype" w:cs="Palatino Linotype"/>
          <w:sz w:val="24"/>
          <w:szCs w:val="24"/>
        </w:rPr>
        <w:t xml:space="preserve">This proposal </w:t>
      </w:r>
      <w:r>
        <w:rPr>
          <w:rFonts w:ascii="Palatino Linotype" w:eastAsia="Palatino Linotype" w:hAnsi="Palatino Linotype" w:cs="Palatino Linotype"/>
          <w:color w:val="000000"/>
          <w:sz w:val="24"/>
          <w:szCs w:val="24"/>
        </w:rPr>
        <w:t xml:space="preserve">plainly contradicts the values and professionalism historically upheld by the Hong Kong Police Force. </w:t>
      </w:r>
      <w:r>
        <w:rPr>
          <w:rFonts w:ascii="Palatino Linotype" w:eastAsia="Palatino Linotype" w:hAnsi="Palatino Linotype" w:cs="Palatino Linotype"/>
          <w:sz w:val="24"/>
          <w:szCs w:val="24"/>
        </w:rPr>
        <w:t xml:space="preserve">Such a call is also clearly inconsistent with the Court of Final Appeal’s decision in </w:t>
      </w:r>
      <w:r>
        <w:rPr>
          <w:rFonts w:ascii="Palatino Linotype" w:eastAsia="Palatino Linotype" w:hAnsi="Palatino Linotype" w:cs="Palatino Linotype"/>
          <w:i/>
          <w:sz w:val="24"/>
          <w:szCs w:val="24"/>
        </w:rPr>
        <w:t>Yeung Mei Wan</w:t>
      </w:r>
      <w:r>
        <w:rPr>
          <w:rFonts w:ascii="Palatino Linotype" w:eastAsia="Palatino Linotype" w:hAnsi="Palatino Linotype" w:cs="Palatino Linotype"/>
          <w:sz w:val="24"/>
          <w:szCs w:val="24"/>
        </w:rPr>
        <w:t xml:space="preserve">, which held that a police officer’s unlawful acts or conduct fall outside the execution of his law enforcement duties and would not attract any protection on such grounds. </w:t>
      </w:r>
    </w:p>
    <w:p w14:paraId="01523A8B" w14:textId="77777777" w:rsidR="006A3CE6" w:rsidRDefault="006A3CE6">
      <w:pPr>
        <w:ind w:left="360"/>
        <w:jc w:val="both"/>
        <w:rPr>
          <w:rFonts w:ascii="Palatino Linotype" w:eastAsia="Palatino Linotype" w:hAnsi="Palatino Linotype" w:cs="Palatino Linotype"/>
          <w:sz w:val="24"/>
          <w:szCs w:val="24"/>
        </w:rPr>
      </w:pPr>
    </w:p>
    <w:p w14:paraId="4A9CA9EE"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Moreover, it also plainly contradicts the obligations</w:t>
      </w:r>
      <w:r>
        <w:rPr>
          <w:rFonts w:ascii="Palatino Linotype" w:eastAsia="Palatino Linotype" w:hAnsi="Palatino Linotype" w:cs="Palatino Linotype"/>
          <w:sz w:val="24"/>
          <w:szCs w:val="24"/>
        </w:rPr>
        <w:t xml:space="preserve"> of the HKSARG and its officials as</w:t>
      </w:r>
      <w:r>
        <w:rPr>
          <w:rFonts w:ascii="Palatino Linotype" w:eastAsia="Palatino Linotype" w:hAnsi="Palatino Linotype" w:cs="Palatino Linotype"/>
          <w:color w:val="000000"/>
          <w:sz w:val="24"/>
          <w:szCs w:val="24"/>
        </w:rPr>
        <w:t xml:space="preserve"> imposed by the Convention Against Torture, the International Covenant on Civil and Political Rights, and the Basic Law of Hong Kong, in the prohibition and prevention of torture, and inhumane and degrading treatment. The suggestion </w:t>
      </w:r>
      <w:r>
        <w:rPr>
          <w:rFonts w:ascii="Palatino Linotype" w:eastAsia="Palatino Linotype" w:hAnsi="Palatino Linotype" w:cs="Palatino Linotype"/>
          <w:sz w:val="24"/>
          <w:szCs w:val="24"/>
        </w:rPr>
        <w:lastRenderedPageBreak/>
        <w:t>worryingly</w:t>
      </w:r>
      <w:r>
        <w:rPr>
          <w:rFonts w:ascii="Palatino Linotype" w:eastAsia="Palatino Linotype" w:hAnsi="Palatino Linotype" w:cs="Palatino Linotype"/>
          <w:color w:val="000000"/>
          <w:sz w:val="24"/>
          <w:szCs w:val="24"/>
        </w:rPr>
        <w:t xml:space="preserve"> indicates th</w:t>
      </w:r>
      <w:r>
        <w:rPr>
          <w:rFonts w:ascii="Palatino Linotype" w:eastAsia="Palatino Linotype" w:hAnsi="Palatino Linotype" w:cs="Palatino Linotype"/>
          <w:sz w:val="24"/>
          <w:szCs w:val="24"/>
        </w:rPr>
        <w:t>at the</w:t>
      </w:r>
      <w:r>
        <w:rPr>
          <w:rFonts w:ascii="Palatino Linotype" w:eastAsia="Palatino Linotype" w:hAnsi="Palatino Linotype" w:cs="Palatino Linotype"/>
          <w:color w:val="000000"/>
          <w:sz w:val="24"/>
          <w:szCs w:val="24"/>
        </w:rPr>
        <w:t xml:space="preserve"> police lack </w:t>
      </w:r>
      <w:r>
        <w:rPr>
          <w:rFonts w:ascii="Palatino Linotype" w:eastAsia="Palatino Linotype" w:hAnsi="Palatino Linotype" w:cs="Palatino Linotype"/>
          <w:sz w:val="24"/>
          <w:szCs w:val="24"/>
        </w:rPr>
        <w:t>adequate</w:t>
      </w:r>
      <w:r>
        <w:rPr>
          <w:rFonts w:ascii="Palatino Linotype" w:eastAsia="Palatino Linotype" w:hAnsi="Palatino Linotype" w:cs="Palatino Linotype"/>
          <w:color w:val="000000"/>
          <w:sz w:val="24"/>
          <w:szCs w:val="24"/>
        </w:rPr>
        <w:t xml:space="preserve"> knowledge, understanding and training </w:t>
      </w:r>
      <w:r>
        <w:rPr>
          <w:rFonts w:ascii="Palatino Linotype" w:eastAsia="Palatino Linotype" w:hAnsi="Palatino Linotype" w:cs="Palatino Linotype"/>
          <w:sz w:val="24"/>
          <w:szCs w:val="24"/>
        </w:rPr>
        <w:t>with respect to Hong Kong’s</w:t>
      </w:r>
      <w:r>
        <w:rPr>
          <w:rFonts w:ascii="Palatino Linotype" w:eastAsia="Palatino Linotype" w:hAnsi="Palatino Linotype" w:cs="Palatino Linotype"/>
          <w:color w:val="000000"/>
          <w:sz w:val="24"/>
          <w:szCs w:val="24"/>
        </w:rPr>
        <w:t xml:space="preserve"> human rights</w:t>
      </w:r>
      <w:r>
        <w:rPr>
          <w:rFonts w:ascii="Palatino Linotype" w:eastAsia="Palatino Linotype" w:hAnsi="Palatino Linotype" w:cs="Palatino Linotype"/>
          <w:sz w:val="24"/>
          <w:szCs w:val="24"/>
        </w:rPr>
        <w:t xml:space="preserve"> obligations and the standards of observance and implementation</w:t>
      </w:r>
      <w:r>
        <w:rPr>
          <w:rFonts w:ascii="Palatino Linotype" w:eastAsia="Palatino Linotype" w:hAnsi="Palatino Linotype" w:cs="Palatino Linotype"/>
          <w:color w:val="000000"/>
          <w:sz w:val="24"/>
          <w:szCs w:val="24"/>
        </w:rPr>
        <w:t>.</w:t>
      </w:r>
    </w:p>
    <w:p w14:paraId="772FFB95"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06D36C8F" w14:textId="77777777" w:rsidR="006A3CE6" w:rsidRDefault="00D84E5B">
      <w:pPr>
        <w:pBdr>
          <w:top w:val="nil"/>
          <w:left w:val="nil"/>
          <w:bottom w:val="nil"/>
          <w:right w:val="nil"/>
          <w:between w:val="nil"/>
        </w:pBd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Improving Awareness and Procedures for Handling Persons with Disabilities</w:t>
      </w:r>
    </w:p>
    <w:p w14:paraId="77F84CF0"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As reported in the last joint-submission report,</w:t>
      </w:r>
      <w:r>
        <w:rPr>
          <w:rFonts w:ascii="Palatino Linotype" w:eastAsia="Palatino Linotype" w:hAnsi="Palatino Linotype" w:cs="Palatino Linotype"/>
          <w:sz w:val="24"/>
          <w:szCs w:val="24"/>
          <w:vertAlign w:val="superscript"/>
        </w:rPr>
        <w:footnoteReference w:id="7"/>
      </w:r>
      <w:r>
        <w:rPr>
          <w:rFonts w:ascii="Palatino Linotype" w:eastAsia="Palatino Linotype" w:hAnsi="Palatino Linotype" w:cs="Palatino Linotype"/>
          <w:sz w:val="24"/>
          <w:szCs w:val="24"/>
        </w:rPr>
        <w:t xml:space="preserve"> a man of autistic characteristics and moderate grade intellectual disability was wrongly accused of manslaughter and was detained by the Police for some 50 hours in May 2015. The man’s specific needs arising from his condition were ignored and he was mistreated during detention, including being denied his routine medication. Upon verifying that the man was institutionalised at the time of the assault, the police dropped the charge and expressed regret over the mistaken arrest. </w:t>
      </w:r>
    </w:p>
    <w:p w14:paraId="0BAC8CBA"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759F60A8"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 Working Group to Review the Care of Mentally Incapacitated Persons (“MIPWG”) was </w:t>
      </w:r>
      <w:r>
        <w:rPr>
          <w:rFonts w:ascii="Palatino Linotype" w:eastAsia="Palatino Linotype" w:hAnsi="Palatino Linotype" w:cs="Palatino Linotype"/>
          <w:sz w:val="24"/>
          <w:szCs w:val="24"/>
        </w:rPr>
        <w:lastRenderedPageBreak/>
        <w:t>established immediately afterwards to review procedures for handling cases with people with disabilities, in partnership with the Social Welfare Department, the Hospital Authority, organizations serving people with disabilities and parents’ organizations. This partnership resulted in a series of actions and important measures, including staff training, the introduction of the “Care Card Scheme”, “Behavioural Indicators Guide” and “Notice to Appropriate Adult” to enhance awareness and professional sensitivity of the police force when interacting with people with disabilities. These steps were taken in a timely manner.</w:t>
      </w:r>
    </w:p>
    <w:p w14:paraId="7E4C09DC" w14:textId="77777777" w:rsidR="006A3CE6" w:rsidRDefault="006A3CE6">
      <w:pPr>
        <w:jc w:val="both"/>
        <w:rPr>
          <w:rFonts w:ascii="Palatino Linotype" w:eastAsia="Palatino Linotype" w:hAnsi="Palatino Linotype" w:cs="Palatino Linotype"/>
          <w:b/>
          <w:sz w:val="28"/>
          <w:szCs w:val="28"/>
        </w:rPr>
      </w:pPr>
    </w:p>
    <w:p w14:paraId="46232E70" w14:textId="77777777" w:rsidR="006A3CE6" w:rsidRDefault="00D84E5B">
      <w:pPr>
        <w:jc w:val="both"/>
        <w:rPr>
          <w:rFonts w:ascii="Arial" w:eastAsia="Arial" w:hAnsi="Arial" w:cs="Arial"/>
          <w:b/>
          <w:i/>
          <w:color w:val="222222"/>
          <w:sz w:val="19"/>
          <w:szCs w:val="19"/>
          <w:highlight w:val="yellow"/>
        </w:rPr>
      </w:pPr>
      <w:r>
        <w:rPr>
          <w:rFonts w:ascii="Palatino Linotype" w:eastAsia="Palatino Linotype" w:hAnsi="Palatino Linotype" w:cs="Palatino Linotype"/>
          <w:b/>
          <w:sz w:val="28"/>
          <w:szCs w:val="28"/>
        </w:rPr>
        <w:t xml:space="preserve">PART E: CHILDREN </w:t>
      </w:r>
    </w:p>
    <w:p w14:paraId="4EB95FB8" w14:textId="77777777" w:rsidR="006A3CE6" w:rsidRDefault="006A3CE6">
      <w:pPr>
        <w:jc w:val="both"/>
        <w:rPr>
          <w:rFonts w:ascii="Arial" w:eastAsia="Arial" w:hAnsi="Arial" w:cs="Arial"/>
          <w:b/>
          <w:i/>
          <w:color w:val="222222"/>
          <w:sz w:val="19"/>
          <w:szCs w:val="19"/>
        </w:rPr>
      </w:pPr>
    </w:p>
    <w:p w14:paraId="255F5DCB" w14:textId="77777777" w:rsidR="004B0C5E" w:rsidRPr="00622977"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u w:val="single"/>
        </w:rPr>
        <w:t>Establishment of Children’s Commissioner</w:t>
      </w:r>
    </w:p>
    <w:p w14:paraId="3899F84D" w14:textId="636036A0" w:rsidR="006A3CE6" w:rsidRDefault="00D84E5B" w:rsidP="00622977">
      <w:pPr>
        <w:pBdr>
          <w:top w:val="nil"/>
          <w:left w:val="nil"/>
          <w:bottom w:val="nil"/>
          <w:right w:val="nil"/>
          <w:between w:val="nil"/>
        </w:pBdr>
        <w:ind w:left="720"/>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The establishment of a Children’s Commissioner has long been mooted and called-for by numerous stakeholders in Hong Kong.  If this long-needed institution is established, it is essential that th</w:t>
      </w:r>
      <w:r w:rsidR="004B0C5E">
        <w:rPr>
          <w:rFonts w:ascii="Palatino Linotype" w:eastAsia="Palatino Linotype" w:hAnsi="Palatino Linotype" w:cs="Palatino Linotype"/>
          <w:sz w:val="24"/>
          <w:szCs w:val="24"/>
        </w:rPr>
        <w:t xml:space="preserve">e </w:t>
      </w:r>
      <w:r>
        <w:rPr>
          <w:rFonts w:ascii="Palatino Linotype" w:eastAsia="Palatino Linotype" w:hAnsi="Palatino Linotype" w:cs="Palatino Linotype"/>
          <w:sz w:val="24"/>
          <w:szCs w:val="24"/>
        </w:rPr>
        <w:t>Children’s Commissioner/</w:t>
      </w:r>
      <w:r w:rsidR="004B0C5E">
        <w:rPr>
          <w:rFonts w:ascii="Palatino Linotype" w:eastAsia="Palatino Linotype" w:hAnsi="Palatino Linotype" w:cs="Palatino Linotype"/>
          <w:sz w:val="24"/>
          <w:szCs w:val="24"/>
        </w:rPr>
        <w:t xml:space="preserve"> </w:t>
      </w:r>
      <w:r>
        <w:rPr>
          <w:rFonts w:ascii="Palatino Linotype" w:eastAsia="Palatino Linotype" w:hAnsi="Palatino Linotype" w:cs="Palatino Linotype"/>
          <w:sz w:val="24"/>
          <w:szCs w:val="24"/>
        </w:rPr>
        <w:t>Commission must be a separate, statutory body and should not simply be an advisory body under the auspi</w:t>
      </w:r>
      <w:r>
        <w:rPr>
          <w:rFonts w:ascii="Palatino Linotype" w:eastAsia="Palatino Linotype" w:hAnsi="Palatino Linotype" w:cs="Palatino Linotype"/>
          <w:sz w:val="24"/>
          <w:szCs w:val="24"/>
        </w:rPr>
        <w:lastRenderedPageBreak/>
        <w:t>ces of the HKSARG. For emphasis, the Commission must be legislatively mandated in order to carry out its functions effectively. The HKSARG ought to draw reference from 79 countries and over 200 jurisdictions which have set up independent human rights institutions for children since the world’s first Children Ombudsman was set up in Norway in 1981. Such an independent commissioner for children would serve a critical function in Hong Kong, where children are rendered vulnerable by various gaps in the system.</w:t>
      </w:r>
    </w:p>
    <w:p w14:paraId="05D76F61"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4D881B4" w14:textId="131DCD9C" w:rsidR="006A3CE6" w:rsidRPr="004B0C5E" w:rsidRDefault="00D84E5B" w:rsidP="004B0C5E">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u w:val="single"/>
        </w:rPr>
        <w:t>Children are hospitalised due to lack of residential placements</w:t>
      </w:r>
      <w:r>
        <w:rPr>
          <w:rFonts w:ascii="Palatino Linotype" w:eastAsia="Palatino Linotype" w:hAnsi="Palatino Linotype" w:cs="Palatino Linotype"/>
          <w:sz w:val="24"/>
          <w:szCs w:val="24"/>
        </w:rPr>
        <w:br/>
      </w:r>
      <w:r w:rsidRPr="004B0C5E">
        <w:rPr>
          <w:rFonts w:ascii="Palatino Linotype" w:eastAsia="Palatino Linotype" w:hAnsi="Palatino Linotype" w:cs="Palatino Linotype"/>
          <w:sz w:val="24"/>
          <w:szCs w:val="24"/>
        </w:rPr>
        <w:t>Vulnerable children are hospitalised due to lack of residential placements. In 2016, 61 children were hospitalised but not because of any medical needs. Rather, these children were victims of abuse, or are vulnerable due to the lack of appropriate care. Most of them are under the age of 6. The average period of unnecessary stay in medical wards is 42 days.</w:t>
      </w:r>
    </w:p>
    <w:p w14:paraId="70F4A955" w14:textId="77777777" w:rsidR="006A3CE6" w:rsidRDefault="006A3CE6">
      <w:pPr>
        <w:jc w:val="both"/>
        <w:rPr>
          <w:rFonts w:ascii="Palatino Linotype" w:eastAsia="Palatino Linotype" w:hAnsi="Palatino Linotype" w:cs="Palatino Linotype"/>
          <w:sz w:val="24"/>
          <w:szCs w:val="24"/>
        </w:rPr>
      </w:pPr>
    </w:p>
    <w:p w14:paraId="2B608525" w14:textId="77777777" w:rsidR="004B0C5E" w:rsidRDefault="00D84E5B" w:rsidP="004B0C5E">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Children Restrained in Hospitals</w:t>
      </w:r>
      <w:r>
        <w:rPr>
          <w:rFonts w:ascii="Palatino Linotype" w:eastAsia="Palatino Linotype" w:hAnsi="Palatino Linotype" w:cs="Palatino Linotype"/>
          <w:sz w:val="24"/>
          <w:szCs w:val="24"/>
        </w:rPr>
        <w:t xml:space="preserve">: One NGO reported 6 cases of very young children being </w:t>
      </w:r>
      <w:r>
        <w:rPr>
          <w:rFonts w:ascii="Palatino Linotype" w:eastAsia="Palatino Linotype" w:hAnsi="Palatino Linotype" w:cs="Palatino Linotype"/>
          <w:sz w:val="24"/>
          <w:szCs w:val="24"/>
        </w:rPr>
        <w:lastRenderedPageBreak/>
        <w:t xml:space="preserve">tied to their beds in various public hospitals and/or being placed into restraint vests. This alarming practice needs urgent review. Tying a child to a bed cannot replace humane child care except in the most extreme medical </w:t>
      </w:r>
      <w:r w:rsidR="004B0C5E">
        <w:rPr>
          <w:rFonts w:ascii="Palatino Linotype" w:eastAsia="Palatino Linotype" w:hAnsi="Palatino Linotype" w:cs="Palatino Linotype"/>
          <w:sz w:val="24"/>
          <w:szCs w:val="24"/>
        </w:rPr>
        <w:t>circumstances.</w:t>
      </w:r>
    </w:p>
    <w:p w14:paraId="54876E87" w14:textId="77777777" w:rsidR="006A3CE6" w:rsidRDefault="006A3CE6">
      <w:pPr>
        <w:jc w:val="both"/>
        <w:rPr>
          <w:rFonts w:ascii="Palatino Linotype" w:eastAsia="Palatino Linotype" w:hAnsi="Palatino Linotype" w:cs="Palatino Linotype"/>
          <w:sz w:val="24"/>
          <w:szCs w:val="24"/>
        </w:rPr>
      </w:pPr>
    </w:p>
    <w:p w14:paraId="6AA81ED0"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Children in Prison:</w:t>
      </w:r>
      <w:r>
        <w:rPr>
          <w:rFonts w:ascii="Palatino Linotype" w:eastAsia="Palatino Linotype" w:hAnsi="Palatino Linotype" w:cs="Palatino Linotype"/>
          <w:sz w:val="24"/>
          <w:szCs w:val="24"/>
        </w:rPr>
        <w:t xml:space="preserve"> For children who are born to female prisoners, beyond the provision of basic clothing, there are no mechanisms, policy measures or provisions to protect the best interests of children in prison. In the circumstances, the statutory Prison Rules (Cap 234A, section 21) need urgent and extensive review to ensure that these children are properly provided for medically, socially and educationally to avoid permanent disadvantage during these tender and development-critical years of life.</w:t>
      </w:r>
    </w:p>
    <w:p w14:paraId="4EB2EF5F"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4195F93C"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Children Asylum Seekers and Refugees</w:t>
      </w:r>
      <w:r>
        <w:rPr>
          <w:rFonts w:ascii="Palatino Linotype" w:eastAsia="Palatino Linotype" w:hAnsi="Palatino Linotype" w:cs="Palatino Linotype"/>
          <w:sz w:val="24"/>
          <w:szCs w:val="24"/>
        </w:rPr>
        <w:t xml:space="preserve">: Currently, children's asylum claims are treated as adjunct to those of their parents'. Children have no separate legal standing or voice in this context. Given that the risks of torture, persecution or other grounds for asylum may impact a child differently to an adult, it is imperative that </w:t>
      </w:r>
      <w:r>
        <w:rPr>
          <w:rFonts w:ascii="Palatino Linotype" w:eastAsia="Palatino Linotype" w:hAnsi="Palatino Linotype" w:cs="Palatino Linotype"/>
          <w:sz w:val="24"/>
          <w:szCs w:val="24"/>
        </w:rPr>
        <w:lastRenderedPageBreak/>
        <w:t>children’s claims for asylum be considered independently and entirely on their own merits in light of their unique vulnerabilities. Further, specific guidance is required to ensure the availability of legal or other appropriate professional assistance to intervene on behalf of those children whose asylum seeker/refugee parent(s) are found to be acting contrary to the child’s best interests and their rights. The welfare of the child must be the paramount consideration in any determinations and must be the subject of deliberation in its own right as opposed to an adjunct claim.</w:t>
      </w:r>
    </w:p>
    <w:p w14:paraId="318757F4"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045E75C" w14:textId="77777777" w:rsidR="006A3CE6" w:rsidRDefault="006A3CE6">
      <w:pPr>
        <w:jc w:val="both"/>
        <w:rPr>
          <w:rFonts w:ascii="Palatino Linotype" w:eastAsia="Palatino Linotype" w:hAnsi="Palatino Linotype" w:cs="Palatino Linotype"/>
          <w:b/>
          <w:sz w:val="28"/>
          <w:szCs w:val="28"/>
        </w:rPr>
      </w:pPr>
    </w:p>
    <w:p w14:paraId="04C98559"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PART F: PRISONERS MALTREATED</w:t>
      </w:r>
    </w:p>
    <w:p w14:paraId="420D6167" w14:textId="77777777" w:rsidR="006A3CE6" w:rsidRDefault="006A3CE6">
      <w:pPr>
        <w:ind w:left="360"/>
        <w:jc w:val="both"/>
        <w:rPr>
          <w:rFonts w:ascii="Palatino Linotype" w:eastAsia="Palatino Linotype" w:hAnsi="Palatino Linotype" w:cs="Palatino Linotype"/>
          <w:sz w:val="24"/>
          <w:szCs w:val="24"/>
        </w:rPr>
      </w:pPr>
    </w:p>
    <w:p w14:paraId="165E7D7E" w14:textId="6FE39D1E" w:rsidR="006A3CE6" w:rsidRDefault="00622977">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V</w:t>
      </w:r>
      <w:r w:rsidR="00D84E5B">
        <w:rPr>
          <w:rFonts w:ascii="Palatino Linotype" w:eastAsia="Palatino Linotype" w:hAnsi="Palatino Linotype" w:cs="Palatino Linotype"/>
          <w:b/>
          <w:sz w:val="24"/>
          <w:szCs w:val="24"/>
          <w:u w:val="single"/>
        </w:rPr>
        <w:t>ictims documented</w:t>
      </w:r>
    </w:p>
    <w:p w14:paraId="420112C8"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In July and August 2017 a</w:t>
      </w:r>
      <w:r>
        <w:rPr>
          <w:rFonts w:ascii="Palatino Linotype" w:eastAsia="Palatino Linotype" w:hAnsi="Palatino Linotype" w:cs="Palatino Linotype"/>
          <w:color w:val="000000"/>
          <w:sz w:val="24"/>
          <w:szCs w:val="24"/>
        </w:rPr>
        <w:t>n NGO, Reclaiming Social Work Movement, interviewed 54 young former prisoners and found</w:t>
      </w:r>
      <w:r>
        <w:rPr>
          <w:rFonts w:ascii="Palatino Linotype" w:eastAsia="Palatino Linotype" w:hAnsi="Palatino Linotype" w:cs="Palatino Linotype"/>
          <w:sz w:val="24"/>
          <w:szCs w:val="24"/>
        </w:rPr>
        <w:t xml:space="preserve"> abuse and ill-treatment which inflicts deep and lasting physical and mental scars on the former inmates. Many of those affected had attempted suicide and inflicted self-harm during imprisonment.</w:t>
      </w:r>
    </w:p>
    <w:p w14:paraId="3E3A4B7D" w14:textId="77777777" w:rsidR="006A3CE6" w:rsidRDefault="006A3CE6">
      <w:pPr>
        <w:jc w:val="both"/>
        <w:rPr>
          <w:rFonts w:ascii="Palatino Linotype" w:eastAsia="Palatino Linotype" w:hAnsi="Palatino Linotype" w:cs="Palatino Linotype"/>
          <w:sz w:val="24"/>
          <w:szCs w:val="24"/>
        </w:rPr>
      </w:pPr>
    </w:p>
    <w:p w14:paraId="5D6EC32A"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lastRenderedPageBreak/>
        <w:t>Systemic abuses</w:t>
      </w:r>
    </w:p>
    <w:p w14:paraId="7D420A68" w14:textId="77777777"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Numerous cases spanning the past two decades and from different correctional institutions documenting similar experiences including the deployment of standard “techniques” of physical abuse and inhumane treatment, indicate a strong basis for finding that these terrible experiences are not isolated incidents but a systematic practice of correctional service officers. This is indeed a systemic problem of abuse perpetrated towards prisoners.</w:t>
      </w:r>
    </w:p>
    <w:p w14:paraId="6996240D" w14:textId="77777777" w:rsidR="006A3CE6" w:rsidRDefault="006A3CE6">
      <w:pPr>
        <w:jc w:val="both"/>
        <w:rPr>
          <w:rFonts w:ascii="Palatino Linotype" w:eastAsia="Palatino Linotype" w:hAnsi="Palatino Linotype" w:cs="Palatino Linotype"/>
          <w:sz w:val="24"/>
          <w:szCs w:val="24"/>
        </w:rPr>
      </w:pPr>
    </w:p>
    <w:p w14:paraId="3FF1F2B2"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Police investigation</w:t>
      </w:r>
    </w:p>
    <w:p w14:paraId="3FF866B0" w14:textId="3996346D"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sz w:val="24"/>
          <w:szCs w:val="24"/>
        </w:rPr>
        <w:t>Supported and assisted by Reclaiming Social Workers Movement, a civil society organisation in Hong Kong, five former inmates filed a formal complaint to the Hong Kong Police Force regarding their experiences of the abusive incidents</w:t>
      </w:r>
      <w:r w:rsidR="004B0C5E" w:rsidRPr="004B0C5E">
        <w:rPr>
          <w:rFonts w:ascii="Palatino Linotype" w:eastAsia="Palatino Linotype" w:hAnsi="Palatino Linotype" w:cs="Palatino Linotype"/>
          <w:sz w:val="24"/>
          <w:szCs w:val="24"/>
        </w:rPr>
        <w:t xml:space="preserve"> </w:t>
      </w:r>
      <w:r w:rsidR="004B0C5E">
        <w:rPr>
          <w:rFonts w:ascii="Palatino Linotype" w:eastAsia="Palatino Linotype" w:hAnsi="Palatino Linotype" w:cs="Palatino Linotype"/>
          <w:sz w:val="24"/>
          <w:szCs w:val="24"/>
        </w:rPr>
        <w:t xml:space="preserve">and concluded the the statement giving process in late 2017. </w:t>
      </w:r>
      <w:r>
        <w:rPr>
          <w:rFonts w:ascii="Palatino Linotype" w:eastAsia="Palatino Linotype" w:hAnsi="Palatino Linotype" w:cs="Palatino Linotype"/>
          <w:sz w:val="24"/>
          <w:szCs w:val="24"/>
        </w:rPr>
        <w:t xml:space="preserve">It is understood that the Police will conduct formal investigations into four of the five cases </w:t>
      </w:r>
      <w:r>
        <w:rPr>
          <w:rFonts w:ascii="Palatino Linotype" w:eastAsia="Palatino Linotype" w:hAnsi="Palatino Linotype" w:cs="Palatino Linotype"/>
          <w:color w:val="000000"/>
          <w:sz w:val="24"/>
          <w:szCs w:val="24"/>
        </w:rPr>
        <w:t>that young prisoners were frequently and severely tortured with</w:t>
      </w:r>
      <w:r>
        <w:rPr>
          <w:rFonts w:ascii="Palatino Linotype" w:eastAsia="Palatino Linotype" w:hAnsi="Palatino Linotype" w:cs="Palatino Linotype"/>
          <w:sz w:val="24"/>
          <w:szCs w:val="24"/>
        </w:rPr>
        <w:t>.</w:t>
      </w:r>
      <w:r w:rsidR="004B0C5E">
        <w:rPr>
          <w:rFonts w:ascii="Palatino Linotype" w:eastAsia="Palatino Linotype" w:hAnsi="Palatino Linotype" w:cs="Palatino Linotype"/>
          <w:sz w:val="24"/>
          <w:szCs w:val="24"/>
        </w:rPr>
        <w:t xml:space="preserve"> No further update as at the date of this report. </w:t>
      </w:r>
    </w:p>
    <w:p w14:paraId="3788477A"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022AEF7C" w14:textId="77777777" w:rsidR="006A3CE6" w:rsidRDefault="00D84E5B">
      <w:pPr>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u w:val="single"/>
        </w:rPr>
        <w:t>Legislative Council</w:t>
      </w:r>
      <w:r>
        <w:rPr>
          <w:rFonts w:ascii="Palatino Linotype" w:eastAsia="Palatino Linotype" w:hAnsi="Palatino Linotype" w:cs="Palatino Linotype"/>
          <w:b/>
          <w:sz w:val="24"/>
          <w:szCs w:val="24"/>
        </w:rPr>
        <w:t xml:space="preserve"> </w:t>
      </w:r>
    </w:p>
    <w:p w14:paraId="44322B8F" w14:textId="32633195" w:rsidR="006A3CE6" w:rsidRDefault="00D84E5B">
      <w:pPr>
        <w:numPr>
          <w:ilvl w:val="0"/>
          <w:numId w:val="1"/>
        </w:numPr>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lastRenderedPageBreak/>
        <w:t xml:space="preserve">Between June and November, 2016, Legislative </w:t>
      </w:r>
      <w:r w:rsidR="00A401C9">
        <w:rPr>
          <w:rFonts w:ascii="Palatino Linotype" w:eastAsia="Palatino Linotype" w:hAnsi="Palatino Linotype" w:cs="Palatino Linotype"/>
          <w:sz w:val="24"/>
          <w:szCs w:val="24"/>
        </w:rPr>
        <w:t xml:space="preserve">Councillors </w:t>
      </w:r>
      <w:r>
        <w:rPr>
          <w:rFonts w:ascii="Palatino Linotype" w:eastAsia="Palatino Linotype" w:hAnsi="Palatino Linotype" w:cs="Palatino Linotype"/>
          <w:sz w:val="24"/>
          <w:szCs w:val="24"/>
        </w:rPr>
        <w:t>from the pro-democracy camp sent 7 formal letters to CSD Commissioner, Secretary for Security and the Chief Executive of Hong Kong, to request their attention to the ill-treatment of prisoners in correctional institutions. However, there has been no response to date. On 18 January 2018, a debate was held in Legco over the call for the CSD commissioner to attend a public hearing on the issue, with the proposal being defeated by the pro-government majority. The HKSARG continues to ignore the severe, inhumane treatment that prisoners in the correctional institutions of Hong Kong are subjected to.</w:t>
      </w:r>
    </w:p>
    <w:p w14:paraId="53BDD9AD"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554B2B1"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Demands</w:t>
      </w:r>
    </w:p>
    <w:p w14:paraId="0D57F8E9"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We call for an independent investigation into the allegations of torture and ill-treatment o</w:t>
      </w:r>
      <w:r>
        <w:rPr>
          <w:rFonts w:ascii="Palatino Linotype" w:eastAsia="Palatino Linotype" w:hAnsi="Palatino Linotype" w:cs="Palatino Linotype"/>
          <w:sz w:val="24"/>
          <w:szCs w:val="24"/>
        </w:rPr>
        <w:t>f</w:t>
      </w:r>
      <w:r>
        <w:rPr>
          <w:rFonts w:ascii="Palatino Linotype" w:eastAsia="Palatino Linotype" w:hAnsi="Palatino Linotype" w:cs="Palatino Linotype"/>
          <w:color w:val="000000"/>
          <w:sz w:val="24"/>
          <w:szCs w:val="24"/>
        </w:rPr>
        <w:t xml:space="preserve"> young prisoners by correctional officers, an improved mechanism </w:t>
      </w:r>
      <w:r>
        <w:rPr>
          <w:rFonts w:ascii="Palatino Linotype" w:eastAsia="Palatino Linotype" w:hAnsi="Palatino Linotype" w:cs="Palatino Linotype"/>
          <w:sz w:val="24"/>
          <w:szCs w:val="24"/>
        </w:rPr>
        <w:t>for the</w:t>
      </w:r>
      <w:r>
        <w:rPr>
          <w:rFonts w:ascii="Palatino Linotype" w:eastAsia="Palatino Linotype" w:hAnsi="Palatino Linotype" w:cs="Palatino Linotype"/>
          <w:color w:val="000000"/>
          <w:sz w:val="24"/>
          <w:szCs w:val="24"/>
        </w:rPr>
        <w:t xml:space="preserve"> handling of such complaints, and enhanced training for all officials from correctional services department on the absolute prohibition of torture and the terms of the Istanbul Protocol.</w:t>
      </w:r>
    </w:p>
    <w:p w14:paraId="02F4B680"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0109F44B"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lastRenderedPageBreak/>
        <w:t xml:space="preserve">The aforementioned paragraphs detail the maltreatment of a variety of individuals whose vulnerabilities are exacerbated by their individual status on multiple grounds in some instances, for example, victims of human trafficking who are sex workers and migrants, or children who are asylum seekers or born into the prison system or youth who are detained and have no access to timely legal advice or appropriate complaint mechanisms.  In light of the potential for gross human rights violations and the lack of legal recourse experienced by such marginalised population groups, the Committee is urged to ask the HKSARG to set up effective oversight mechanisms that note these unique vulnerabilities and offer appropriate assistance and advice to mitigate the possibilities for abuse or maltreatment. Where such maltreatment has occurred, the government is urged to set up independent complaint mechanisms which are responsive and provide urgent redress to complainants in light of the unique risks they face if such complaints go uninvestigated. </w:t>
      </w:r>
    </w:p>
    <w:p w14:paraId="75ED7FAB" w14:textId="77777777" w:rsidR="006A3CE6" w:rsidRDefault="006A3CE6">
      <w:pPr>
        <w:pBdr>
          <w:top w:val="nil"/>
          <w:left w:val="nil"/>
          <w:bottom w:val="nil"/>
          <w:right w:val="nil"/>
          <w:between w:val="nil"/>
        </w:pBdr>
        <w:jc w:val="both"/>
        <w:rPr>
          <w:rFonts w:ascii="Palatino Linotype" w:eastAsia="Palatino Linotype" w:hAnsi="Palatino Linotype" w:cs="Palatino Linotype"/>
          <w:sz w:val="24"/>
          <w:szCs w:val="24"/>
        </w:rPr>
      </w:pPr>
    </w:p>
    <w:p w14:paraId="3347AA38"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In addition to the obligations of the HKSARG on rooting out such systemic abuses from within </w:t>
      </w:r>
      <w:r>
        <w:rPr>
          <w:rFonts w:ascii="Palatino Linotype" w:eastAsia="Palatino Linotype" w:hAnsi="Palatino Linotype" w:cs="Palatino Linotype"/>
          <w:sz w:val="24"/>
          <w:szCs w:val="24"/>
        </w:rPr>
        <w:lastRenderedPageBreak/>
        <w:t xml:space="preserve">institutions under its purview, the Committee is urged to emphasise HKSARG’s responsibility for the lack of legal enforcement or preventive measures against the perpetration of such abuses and practices which are tantamount to CIDTP by private institutions. </w:t>
      </w:r>
    </w:p>
    <w:p w14:paraId="5F59EAC0" w14:textId="77777777" w:rsidR="006A3CE6" w:rsidRDefault="006A3CE6">
      <w:pPr>
        <w:ind w:left="360"/>
        <w:jc w:val="both"/>
        <w:rPr>
          <w:rFonts w:ascii="Palatino Linotype" w:eastAsia="Palatino Linotype" w:hAnsi="Palatino Linotype" w:cs="Palatino Linotype"/>
          <w:sz w:val="24"/>
          <w:szCs w:val="24"/>
        </w:rPr>
      </w:pPr>
    </w:p>
    <w:p w14:paraId="178FC1BC" w14:textId="77777777" w:rsidR="006A3CE6" w:rsidRDefault="006A3CE6">
      <w:pPr>
        <w:ind w:left="360"/>
        <w:jc w:val="both"/>
        <w:rPr>
          <w:rFonts w:ascii="Palatino Linotype" w:eastAsia="Palatino Linotype" w:hAnsi="Palatino Linotype" w:cs="Palatino Linotype"/>
          <w:sz w:val="28"/>
          <w:szCs w:val="28"/>
        </w:rPr>
      </w:pPr>
    </w:p>
    <w:p w14:paraId="0108180D"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PART G: ABUSE OF OLDER PERSONS AND PERSONS WITH DISABILITIES (PWDs) IN RESIDENTIAL CARE HOMES </w:t>
      </w:r>
    </w:p>
    <w:p w14:paraId="2E8F5A87" w14:textId="77777777" w:rsidR="006A3CE6" w:rsidRDefault="006A3CE6">
      <w:pPr>
        <w:jc w:val="both"/>
        <w:rPr>
          <w:rFonts w:ascii="Palatino Linotype" w:eastAsia="Palatino Linotype" w:hAnsi="Palatino Linotype" w:cs="Palatino Linotype"/>
          <w:b/>
          <w:sz w:val="24"/>
          <w:szCs w:val="24"/>
          <w:u w:val="single"/>
        </w:rPr>
      </w:pPr>
    </w:p>
    <w:p w14:paraId="4C90C289"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 xml:space="preserve">Documented abuse in residential care homes </w:t>
      </w:r>
    </w:p>
    <w:p w14:paraId="6883F0C6"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Cases of sexual assault or harassment, unsanitary living conditions, physical abuse, medical overdose, etc. in care homes are not unusual. Such cases of abuse have been reported in the previous joint-submission reports. While similar issues have been raised specifically by the Committee in respect of China </w:t>
      </w:r>
      <w:r>
        <w:rPr>
          <w:rFonts w:ascii="Palatino Linotype" w:eastAsia="Palatino Linotype" w:hAnsi="Palatino Linotype" w:cs="Palatino Linotype"/>
          <w:sz w:val="24"/>
          <w:szCs w:val="24"/>
        </w:rPr>
        <w:t>at</w:t>
      </w:r>
      <w:r>
        <w:rPr>
          <w:rFonts w:ascii="Palatino Linotype" w:eastAsia="Palatino Linotype" w:hAnsi="Palatino Linotype" w:cs="Palatino Linotype"/>
          <w:color w:val="000000"/>
          <w:sz w:val="24"/>
          <w:szCs w:val="24"/>
        </w:rPr>
        <w:t xml:space="preserve"> the hearing </w:t>
      </w:r>
      <w:r>
        <w:rPr>
          <w:rFonts w:ascii="Palatino Linotype" w:eastAsia="Palatino Linotype" w:hAnsi="Palatino Linotype" w:cs="Palatino Linotype"/>
          <w:sz w:val="24"/>
          <w:szCs w:val="24"/>
        </w:rPr>
        <w:t>and</w:t>
      </w:r>
      <w:r>
        <w:rPr>
          <w:rFonts w:ascii="Palatino Linotype" w:eastAsia="Palatino Linotype" w:hAnsi="Palatino Linotype" w:cs="Palatino Linotype"/>
          <w:color w:val="000000"/>
          <w:sz w:val="24"/>
          <w:szCs w:val="24"/>
        </w:rPr>
        <w:t xml:space="preserve"> concluding observations in 2015, they have yet to be taken up in respect of the HKSAR.</w:t>
      </w:r>
    </w:p>
    <w:p w14:paraId="28B8CCC6" w14:textId="77777777" w:rsidR="006A3CE6" w:rsidRDefault="006A3CE6">
      <w:pPr>
        <w:jc w:val="both"/>
        <w:rPr>
          <w:rFonts w:ascii="Palatino Linotype" w:eastAsia="Palatino Linotype" w:hAnsi="Palatino Linotype" w:cs="Palatino Linotype"/>
          <w:sz w:val="24"/>
          <w:szCs w:val="24"/>
        </w:rPr>
      </w:pPr>
    </w:p>
    <w:p w14:paraId="54949089" w14:textId="2271F679"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These conditions persist and more cases on degrading treatment of residents in care homes </w:t>
      </w:r>
      <w:r>
        <w:rPr>
          <w:rFonts w:ascii="Palatino Linotype" w:eastAsia="Palatino Linotype" w:hAnsi="Palatino Linotype" w:cs="Palatino Linotype"/>
          <w:color w:val="000000"/>
          <w:sz w:val="24"/>
          <w:szCs w:val="24"/>
        </w:rPr>
        <w:lastRenderedPageBreak/>
        <w:t xml:space="preserve">have </w:t>
      </w:r>
      <w:r>
        <w:rPr>
          <w:rFonts w:ascii="Palatino Linotype" w:eastAsia="Palatino Linotype" w:hAnsi="Palatino Linotype" w:cs="Palatino Linotype"/>
          <w:sz w:val="24"/>
          <w:szCs w:val="24"/>
        </w:rPr>
        <w:t xml:space="preserve">come into public view since </w:t>
      </w:r>
      <w:r>
        <w:rPr>
          <w:rFonts w:ascii="Palatino Linotype" w:eastAsia="Palatino Linotype" w:hAnsi="Palatino Linotype" w:cs="Palatino Linotype"/>
          <w:color w:val="000000"/>
          <w:sz w:val="24"/>
          <w:szCs w:val="24"/>
        </w:rPr>
        <w:t>the last reporting cycle: One in</w:t>
      </w:r>
      <w:r>
        <w:rPr>
          <w:rFonts w:ascii="Palatino Linotype" w:eastAsia="Palatino Linotype" w:hAnsi="Palatino Linotype" w:cs="Palatino Linotype"/>
          <w:sz w:val="24"/>
          <w:szCs w:val="24"/>
        </w:rPr>
        <w:t>cident documented how a</w:t>
      </w:r>
      <w:r>
        <w:rPr>
          <w:rFonts w:ascii="Palatino Linotype" w:eastAsia="Palatino Linotype" w:hAnsi="Palatino Linotype" w:cs="Palatino Linotype"/>
          <w:color w:val="000000"/>
          <w:sz w:val="24"/>
          <w:szCs w:val="24"/>
        </w:rPr>
        <w:t xml:space="preserve"> female resident with intellectual disability had been stripped naked by staff members in </w:t>
      </w:r>
      <w:r>
        <w:rPr>
          <w:rFonts w:ascii="Palatino Linotype" w:eastAsia="Palatino Linotype" w:hAnsi="Palatino Linotype" w:cs="Palatino Linotype"/>
          <w:sz w:val="24"/>
          <w:szCs w:val="24"/>
        </w:rPr>
        <w:t xml:space="preserve">her </w:t>
      </w:r>
      <w:r>
        <w:rPr>
          <w:rFonts w:ascii="Palatino Linotype" w:eastAsia="Palatino Linotype" w:hAnsi="Palatino Linotype" w:cs="Palatino Linotype"/>
          <w:color w:val="000000"/>
          <w:sz w:val="24"/>
          <w:szCs w:val="24"/>
        </w:rPr>
        <w:t xml:space="preserve">care home for a “bathing demonstration”.  </w:t>
      </w:r>
      <w:r>
        <w:rPr>
          <w:rFonts w:ascii="Palatino Linotype" w:eastAsia="Palatino Linotype" w:hAnsi="Palatino Linotype" w:cs="Palatino Linotype"/>
          <w:sz w:val="24"/>
          <w:szCs w:val="24"/>
        </w:rPr>
        <w:t>Further, s</w:t>
      </w:r>
      <w:r>
        <w:rPr>
          <w:rFonts w:ascii="Palatino Linotype" w:eastAsia="Palatino Linotype" w:hAnsi="Palatino Linotype" w:cs="Palatino Linotype"/>
          <w:color w:val="000000"/>
          <w:sz w:val="24"/>
          <w:szCs w:val="24"/>
        </w:rPr>
        <w:t>everal death</w:t>
      </w:r>
      <w:r>
        <w:rPr>
          <w:rFonts w:ascii="Palatino Linotype" w:eastAsia="Palatino Linotype" w:hAnsi="Palatino Linotype" w:cs="Palatino Linotype"/>
          <w:sz w:val="24"/>
          <w:szCs w:val="24"/>
        </w:rPr>
        <w:t xml:space="preserve">s </w:t>
      </w:r>
      <w:r>
        <w:rPr>
          <w:rFonts w:ascii="Palatino Linotype" w:eastAsia="Palatino Linotype" w:hAnsi="Palatino Linotype" w:cs="Palatino Linotype"/>
          <w:color w:val="000000"/>
          <w:sz w:val="24"/>
          <w:szCs w:val="24"/>
        </w:rPr>
        <w:t>in residential care homes were reported to have been related to ill-treatment or negligence.  The</w:t>
      </w:r>
      <w:r>
        <w:rPr>
          <w:rFonts w:ascii="Palatino Linotype" w:eastAsia="Palatino Linotype" w:hAnsi="Palatino Linotype" w:cs="Palatino Linotype"/>
          <w:sz w:val="24"/>
          <w:szCs w:val="24"/>
        </w:rPr>
        <w:t>se</w:t>
      </w:r>
      <w:r>
        <w:rPr>
          <w:rFonts w:ascii="Palatino Linotype" w:eastAsia="Palatino Linotype" w:hAnsi="Palatino Linotype" w:cs="Palatino Linotype"/>
          <w:color w:val="000000"/>
          <w:sz w:val="24"/>
          <w:szCs w:val="24"/>
        </w:rPr>
        <w:t xml:space="preserve"> included the provision of food unsuitable for the residents’ physical conditions, leading to choking, and a 14-year-old boy falling from a  window in the care home and not being taken to hospital until spotted by passers-by</w:t>
      </w:r>
      <w:r>
        <w:rPr>
          <w:rFonts w:ascii="Palatino Linotype" w:eastAsia="Palatino Linotype" w:hAnsi="Palatino Linotype" w:cs="Palatino Linotype"/>
          <w:sz w:val="24"/>
          <w:szCs w:val="24"/>
        </w:rPr>
        <w:t>, for example.</w:t>
      </w:r>
    </w:p>
    <w:p w14:paraId="6279B1FB" w14:textId="77777777" w:rsidR="006A3CE6" w:rsidRDefault="006A3CE6">
      <w:pPr>
        <w:pBdr>
          <w:top w:val="nil"/>
          <w:left w:val="nil"/>
          <w:bottom w:val="nil"/>
          <w:right w:val="nil"/>
          <w:between w:val="nil"/>
        </w:pBdr>
        <w:spacing w:after="200" w:line="276" w:lineRule="auto"/>
        <w:ind w:left="720"/>
        <w:jc w:val="both"/>
        <w:rPr>
          <w:rFonts w:ascii="Palatino Linotype" w:eastAsia="Palatino Linotype" w:hAnsi="Palatino Linotype" w:cs="Palatino Linotype"/>
          <w:color w:val="000000"/>
          <w:sz w:val="24"/>
          <w:szCs w:val="24"/>
        </w:rPr>
      </w:pPr>
    </w:p>
    <w:p w14:paraId="71ADDEB2" w14:textId="77777777" w:rsidR="006A3CE6" w:rsidRDefault="00D84E5B">
      <w:pPr>
        <w:jc w:val="both"/>
        <w:rPr>
          <w:rFonts w:ascii="Palatino Linotype" w:eastAsia="Palatino Linotype" w:hAnsi="Palatino Linotype" w:cs="Palatino Linotype"/>
          <w:b/>
          <w:sz w:val="24"/>
          <w:szCs w:val="24"/>
          <w:u w:val="single"/>
        </w:rPr>
      </w:pPr>
      <w:r>
        <w:rPr>
          <w:rFonts w:ascii="Palatino Linotype" w:eastAsia="Palatino Linotype" w:hAnsi="Palatino Linotype" w:cs="Palatino Linotype"/>
          <w:b/>
          <w:sz w:val="24"/>
          <w:szCs w:val="24"/>
          <w:u w:val="single"/>
        </w:rPr>
        <w:t xml:space="preserve">Long-term policy to ensure the eradication of the potential for such abuses </w:t>
      </w:r>
    </w:p>
    <w:p w14:paraId="36453DD0" w14:textId="7777777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Without a comprehensive policy in phasing out institutions (see recommendation on policy in next paragraph) and ensuring the quality of life of the residents in such settings, the physical and emotional </w:t>
      </w:r>
      <w:r>
        <w:rPr>
          <w:rFonts w:ascii="Palatino Linotype" w:eastAsia="Palatino Linotype" w:hAnsi="Palatino Linotype" w:cs="Palatino Linotype"/>
          <w:sz w:val="24"/>
          <w:szCs w:val="24"/>
        </w:rPr>
        <w:t>distress and suffering</w:t>
      </w:r>
      <w:r>
        <w:rPr>
          <w:rFonts w:ascii="Palatino Linotype" w:eastAsia="Palatino Linotype" w:hAnsi="Palatino Linotype" w:cs="Palatino Linotype"/>
          <w:color w:val="000000"/>
          <w:sz w:val="24"/>
          <w:szCs w:val="24"/>
        </w:rPr>
        <w:t xml:space="preserve"> of residents under institutional and residential care </w:t>
      </w:r>
      <w:r>
        <w:rPr>
          <w:rFonts w:ascii="Palatino Linotype" w:eastAsia="Palatino Linotype" w:hAnsi="Palatino Linotype" w:cs="Palatino Linotype"/>
          <w:sz w:val="24"/>
          <w:szCs w:val="24"/>
        </w:rPr>
        <w:t>are likely to</w:t>
      </w:r>
      <w:r>
        <w:rPr>
          <w:rFonts w:ascii="Palatino Linotype" w:eastAsia="Palatino Linotype" w:hAnsi="Palatino Linotype" w:cs="Palatino Linotype"/>
          <w:color w:val="000000"/>
          <w:sz w:val="24"/>
          <w:szCs w:val="24"/>
        </w:rPr>
        <w:t xml:space="preserve"> persist.</w:t>
      </w:r>
    </w:p>
    <w:p w14:paraId="196124D0" w14:textId="77777777" w:rsidR="006A3CE6" w:rsidRDefault="006A3CE6">
      <w:pPr>
        <w:pBdr>
          <w:top w:val="nil"/>
          <w:left w:val="nil"/>
          <w:bottom w:val="nil"/>
          <w:right w:val="nil"/>
          <w:between w:val="nil"/>
        </w:pBdr>
        <w:spacing w:line="276" w:lineRule="auto"/>
        <w:ind w:left="720"/>
        <w:jc w:val="both"/>
        <w:rPr>
          <w:rFonts w:ascii="Palatino Linotype" w:eastAsia="Palatino Linotype" w:hAnsi="Palatino Linotype" w:cs="Palatino Linotype"/>
          <w:color w:val="000000"/>
          <w:sz w:val="24"/>
          <w:szCs w:val="24"/>
        </w:rPr>
      </w:pPr>
    </w:p>
    <w:p w14:paraId="3ECE07A5" w14:textId="09095587" w:rsidR="006A3CE6" w:rsidRDefault="00D84E5B">
      <w:pPr>
        <w:numPr>
          <w:ilvl w:val="0"/>
          <w:numId w:val="1"/>
        </w:numPr>
        <w:pBdr>
          <w:top w:val="nil"/>
          <w:left w:val="nil"/>
          <w:bottom w:val="nil"/>
          <w:right w:val="nil"/>
          <w:between w:val="nil"/>
        </w:pBd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The Committee should urge the HKSARG to review relevant legislation and ensure effective </w:t>
      </w:r>
      <w:r>
        <w:rPr>
          <w:rFonts w:ascii="Palatino Linotype" w:eastAsia="Palatino Linotype" w:hAnsi="Palatino Linotype" w:cs="Palatino Linotype"/>
          <w:sz w:val="24"/>
          <w:szCs w:val="24"/>
        </w:rPr>
        <w:lastRenderedPageBreak/>
        <w:t>monitoring systems to oversee residential care institutions and the staff employed within them and implement a long-term policy to shift the focus from institutional to community living (in line with CRPD Article 19) by providing options of accommodation and community support to PWDs and the elderly, ensuring a dignified living free from abuse and degrading treatment.  </w:t>
      </w:r>
    </w:p>
    <w:p w14:paraId="010814BF" w14:textId="77777777" w:rsidR="006A3CE6" w:rsidRDefault="006A3CE6">
      <w:pPr>
        <w:pBdr>
          <w:top w:val="nil"/>
          <w:left w:val="nil"/>
          <w:bottom w:val="nil"/>
          <w:right w:val="nil"/>
          <w:between w:val="nil"/>
        </w:pBdr>
        <w:spacing w:line="276" w:lineRule="auto"/>
        <w:ind w:left="720"/>
        <w:jc w:val="both"/>
        <w:rPr>
          <w:rFonts w:ascii="Quattrocento Sans" w:eastAsia="Quattrocento Sans" w:hAnsi="Quattrocento Sans" w:cs="Quattrocento Sans"/>
          <w:color w:val="000000"/>
        </w:rPr>
      </w:pPr>
    </w:p>
    <w:p w14:paraId="2E1081A9" w14:textId="77777777" w:rsidR="006A3CE6" w:rsidRDefault="00D84E5B">
      <w:pPr>
        <w:jc w:val="both"/>
        <w:rPr>
          <w:rFonts w:ascii="Palatino Linotype" w:eastAsia="Palatino Linotype" w:hAnsi="Palatino Linotype" w:cs="Palatino Linotype"/>
          <w:b/>
          <w:sz w:val="28"/>
          <w:szCs w:val="28"/>
        </w:rPr>
      </w:pPr>
      <w:r>
        <w:rPr>
          <w:rFonts w:ascii="Palatino Linotype" w:eastAsia="Palatino Linotype" w:hAnsi="Palatino Linotype" w:cs="Palatino Linotype"/>
          <w:b/>
          <w:sz w:val="28"/>
          <w:szCs w:val="28"/>
        </w:rPr>
        <w:t xml:space="preserve">PART H: </w:t>
      </w:r>
      <w:r>
        <w:rPr>
          <w:rFonts w:ascii="Palatino Linotype" w:eastAsia="Palatino Linotype" w:hAnsi="Palatino Linotype" w:cs="Palatino Linotype"/>
          <w:b/>
          <w:sz w:val="24"/>
          <w:szCs w:val="24"/>
        </w:rPr>
        <w:t>Human rights for Transgender and Intersex people in Hong Kong</w:t>
      </w:r>
    </w:p>
    <w:p w14:paraId="4A4AF28F" w14:textId="77777777" w:rsidR="006A3CE6" w:rsidRDefault="006A3CE6">
      <w:pPr>
        <w:jc w:val="both"/>
        <w:rPr>
          <w:rFonts w:ascii="Palatino Linotype" w:eastAsia="Palatino Linotype" w:hAnsi="Palatino Linotype" w:cs="Palatino Linotype"/>
          <w:b/>
          <w:sz w:val="28"/>
          <w:szCs w:val="28"/>
        </w:rPr>
      </w:pPr>
    </w:p>
    <w:p w14:paraId="42E068A5" w14:textId="0A0F70A7" w:rsidR="006A3CE6" w:rsidRDefault="00A401C9">
      <w:pPr>
        <w:jc w:val="both"/>
        <w:rPr>
          <w:rFonts w:ascii="Palatino Linotype" w:eastAsia="Palatino Linotype" w:hAnsi="Palatino Linotype" w:cs="Palatino Linotype"/>
          <w:sz w:val="24"/>
          <w:szCs w:val="24"/>
        </w:rPr>
      </w:pPr>
      <w:r w:rsidRPr="00622977">
        <w:rPr>
          <w:rFonts w:ascii="Palatino Linotype" w:eastAsia="Palatino Linotype" w:hAnsi="Palatino Linotype" w:cs="Palatino Linotype"/>
          <w:b/>
          <w:sz w:val="24"/>
          <w:szCs w:val="24"/>
          <w:u w:val="single"/>
        </w:rPr>
        <w:t xml:space="preserve">Inhumane </w:t>
      </w:r>
      <w:r w:rsidR="00D84E5B" w:rsidRPr="00622977">
        <w:rPr>
          <w:rFonts w:ascii="Palatino Linotype" w:eastAsia="Palatino Linotype" w:hAnsi="Palatino Linotype" w:cs="Palatino Linotype"/>
          <w:b/>
          <w:sz w:val="24"/>
          <w:szCs w:val="24"/>
          <w:u w:val="single"/>
        </w:rPr>
        <w:t>surgeries for Intersex and transgender people</w:t>
      </w:r>
    </w:p>
    <w:p w14:paraId="361B5CFB" w14:textId="4ED90132"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HKSARG has yet to take any active steps to reform the legal provisions and medical requirements in place to protect Intersex and transgender people, in response to the </w:t>
      </w:r>
      <w:r w:rsidR="00A401C9">
        <w:rPr>
          <w:rFonts w:ascii="Palatino Linotype" w:eastAsia="Palatino Linotype" w:hAnsi="Palatino Linotype" w:cs="Palatino Linotype"/>
          <w:sz w:val="24"/>
          <w:szCs w:val="24"/>
        </w:rPr>
        <w:t>Committee’</w:t>
      </w:r>
      <w:r>
        <w:rPr>
          <w:rFonts w:ascii="Palatino Linotype" w:eastAsia="Palatino Linotype" w:hAnsi="Palatino Linotype" w:cs="Palatino Linotype"/>
          <w:sz w:val="24"/>
          <w:szCs w:val="24"/>
        </w:rPr>
        <w:t xml:space="preserve">s concerns.  It is noted that these concerns specifically targeted the imposition of abusive preconditions for Intersex and transgender people to obtain gender recognition in Hong Kong, including requirements that they undergo sterilization surgery before they can change their gender marker on identity documents, and the </w:t>
      </w:r>
      <w:r>
        <w:rPr>
          <w:rFonts w:ascii="Palatino Linotype" w:eastAsia="Palatino Linotype" w:hAnsi="Palatino Linotype" w:cs="Palatino Linotype"/>
          <w:sz w:val="24"/>
          <w:szCs w:val="24"/>
        </w:rPr>
        <w:lastRenderedPageBreak/>
        <w:t xml:space="preserve">fact that </w:t>
      </w:r>
      <w:r w:rsidR="00A401C9">
        <w:rPr>
          <w:rFonts w:ascii="Palatino Linotype" w:eastAsia="Palatino Linotype" w:hAnsi="Palatino Linotype" w:cs="Palatino Linotype"/>
          <w:sz w:val="24"/>
          <w:szCs w:val="24"/>
        </w:rPr>
        <w:t>i</w:t>
      </w:r>
      <w:r>
        <w:rPr>
          <w:rFonts w:ascii="Palatino Linotype" w:eastAsia="Palatino Linotype" w:hAnsi="Palatino Linotype" w:cs="Palatino Linotype"/>
          <w:sz w:val="24"/>
          <w:szCs w:val="24"/>
        </w:rPr>
        <w:t>ntersex people are forced to adopt a binary gender identity.  The issue of forced non-consensual cosmetic genitalia surgeries has also not been addressed.</w:t>
      </w:r>
    </w:p>
    <w:p w14:paraId="52CAD742" w14:textId="77777777" w:rsidR="006A3CE6" w:rsidRDefault="006A3CE6">
      <w:pPr>
        <w:jc w:val="both"/>
        <w:rPr>
          <w:rFonts w:ascii="Palatino Linotype" w:eastAsia="Palatino Linotype" w:hAnsi="Palatino Linotype" w:cs="Palatino Linotype"/>
          <w:sz w:val="24"/>
          <w:szCs w:val="24"/>
        </w:rPr>
      </w:pPr>
    </w:p>
    <w:p w14:paraId="7F0749BF" w14:textId="55ECFE86" w:rsidR="006A3CE6" w:rsidRDefault="00D84E5B">
      <w:pPr>
        <w:jc w:val="both"/>
        <w:rPr>
          <w:rFonts w:ascii="Palatino Linotype" w:eastAsia="Palatino Linotype" w:hAnsi="Palatino Linotype" w:cs="Palatino Linotype"/>
          <w:sz w:val="24"/>
          <w:szCs w:val="24"/>
        </w:rPr>
      </w:pPr>
      <w:r w:rsidRPr="00622977">
        <w:rPr>
          <w:rFonts w:ascii="Palatino Linotype" w:eastAsia="Palatino Linotype" w:hAnsi="Palatino Linotype" w:cs="Palatino Linotype"/>
          <w:b/>
          <w:sz w:val="24"/>
          <w:szCs w:val="24"/>
          <w:u w:val="single"/>
        </w:rPr>
        <w:t>Gender Recognition Scheme</w:t>
      </w:r>
    </w:p>
    <w:p w14:paraId="55A52AE2" w14:textId="7FED3351"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Hong Kong </w:t>
      </w:r>
      <w:r w:rsidR="00A401C9">
        <w:rPr>
          <w:rFonts w:ascii="Palatino Linotype" w:eastAsia="Palatino Linotype" w:hAnsi="Palatino Linotype" w:cs="Palatino Linotype"/>
          <w:sz w:val="24"/>
          <w:szCs w:val="24"/>
        </w:rPr>
        <w:t>lacks</w:t>
      </w:r>
      <w:r>
        <w:rPr>
          <w:rFonts w:ascii="Palatino Linotype" w:eastAsia="Palatino Linotype" w:hAnsi="Palatino Linotype" w:cs="Palatino Linotype"/>
          <w:sz w:val="24"/>
          <w:szCs w:val="24"/>
        </w:rPr>
        <w:t xml:space="preserve"> a comprehensive and inclusive gender recognition scheme; Intersex and transgender people are often not recognised and treated in accordance with their gender identity and are often required to carry identity documents that do not reflect their gender identity. This leaves Intersex and transgender people vulnerable to humiliation, discrimination and harassment impacting a range of other rights.</w:t>
      </w:r>
    </w:p>
    <w:p w14:paraId="3C6AFBBD" w14:textId="77777777" w:rsidR="006A3CE6" w:rsidRDefault="006A3CE6">
      <w:pPr>
        <w:jc w:val="both"/>
        <w:rPr>
          <w:rFonts w:ascii="Palatino Linotype" w:eastAsia="Palatino Linotype" w:hAnsi="Palatino Linotype" w:cs="Palatino Linotype"/>
          <w:sz w:val="24"/>
          <w:szCs w:val="24"/>
        </w:rPr>
      </w:pPr>
    </w:p>
    <w:p w14:paraId="6F48611E" w14:textId="77777777" w:rsidR="006A3CE6" w:rsidRDefault="00D84E5B">
      <w:pPr>
        <w:numPr>
          <w:ilvl w:val="0"/>
          <w:numId w:val="1"/>
        </w:numPr>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Although the Interdepartmental Working Group on Gender Recognition has completed its first round of consultation in December 2017, the contents of the consultation indicate that the government has not ruled out any surgical (including sterilization) and other abusive preconditions for gender recognition. </w:t>
      </w:r>
    </w:p>
    <w:p w14:paraId="46C2A579" w14:textId="77777777" w:rsidR="006A3CE6" w:rsidRDefault="006A3CE6">
      <w:pPr>
        <w:jc w:val="both"/>
        <w:rPr>
          <w:rFonts w:ascii="Palatino Linotype" w:eastAsia="Palatino Linotype" w:hAnsi="Palatino Linotype" w:cs="Palatino Linotype"/>
          <w:sz w:val="24"/>
          <w:szCs w:val="24"/>
        </w:rPr>
      </w:pPr>
    </w:p>
    <w:p w14:paraId="70CC94C3" w14:textId="46622D37" w:rsidR="006A3CE6" w:rsidRDefault="00D84E5B" w:rsidP="00622977">
      <w:pPr>
        <w:numPr>
          <w:ilvl w:val="0"/>
          <w:numId w:val="1"/>
        </w:numPr>
        <w:contextualSpacing/>
        <w:jc w:val="both"/>
        <w:rPr>
          <w:rFonts w:ascii="Palatino Linotype" w:eastAsia="Palatino Linotype" w:hAnsi="Palatino Linotype" w:cs="Palatino Linotype"/>
          <w:sz w:val="24"/>
          <w:szCs w:val="24"/>
        </w:rPr>
      </w:pPr>
      <w:r w:rsidRPr="00622977">
        <w:rPr>
          <w:rFonts w:ascii="Palatino Linotype" w:eastAsia="Palatino Linotype" w:hAnsi="Palatino Linotype" w:cs="Palatino Linotype"/>
          <w:sz w:val="24"/>
          <w:szCs w:val="24"/>
        </w:rPr>
        <w:t xml:space="preserve">The HKSARG is urged to enact comprehensive and inclusive gender recognition legislation </w:t>
      </w:r>
      <w:r w:rsidRPr="00622977">
        <w:rPr>
          <w:rFonts w:ascii="Palatino Linotype" w:eastAsia="Palatino Linotype" w:hAnsi="Palatino Linotype" w:cs="Palatino Linotype"/>
          <w:sz w:val="24"/>
          <w:szCs w:val="24"/>
        </w:rPr>
        <w:lastRenderedPageBreak/>
        <w:t xml:space="preserve">and remove all abusive preconditions, including sterilization, to obtaining gender recognition, and to recognise an Intersex gender for persons with Intersex identity. </w:t>
      </w:r>
    </w:p>
    <w:sectPr w:rsidR="006A3CE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06FDD" w14:textId="77777777" w:rsidR="001A0ECF" w:rsidRDefault="001A0ECF">
      <w:r>
        <w:separator/>
      </w:r>
    </w:p>
  </w:endnote>
  <w:endnote w:type="continuationSeparator" w:id="0">
    <w:p w14:paraId="4DC741BF" w14:textId="77777777" w:rsidR="001A0ECF" w:rsidRDefault="001A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Quattrocento San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BF51C" w14:textId="61EB2C17" w:rsidR="006A3CE6" w:rsidRDefault="00D84E5B">
    <w:pPr>
      <w:pBdr>
        <w:top w:val="nil"/>
        <w:left w:val="nil"/>
        <w:bottom w:val="nil"/>
        <w:right w:val="nil"/>
        <w:between w:val="nil"/>
      </w:pBdr>
      <w:tabs>
        <w:tab w:val="center" w:pos="4680"/>
        <w:tab w:val="right" w:pos="9360"/>
      </w:tabs>
      <w:jc w:val="right"/>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PAGE</w:instrText>
    </w:r>
    <w:r>
      <w:rPr>
        <w:rFonts w:ascii="Palatino Linotype" w:eastAsia="Palatino Linotype" w:hAnsi="Palatino Linotype" w:cs="Palatino Linotype"/>
        <w:color w:val="000000"/>
        <w:sz w:val="22"/>
        <w:szCs w:val="22"/>
      </w:rPr>
      <w:fldChar w:fldCharType="separate"/>
    </w:r>
    <w:r w:rsidR="00981829">
      <w:rPr>
        <w:rFonts w:ascii="Palatino Linotype" w:eastAsia="Palatino Linotype" w:hAnsi="Palatino Linotype" w:cs="Palatino Linotype"/>
        <w:noProof/>
        <w:color w:val="000000"/>
        <w:sz w:val="22"/>
        <w:szCs w:val="22"/>
      </w:rPr>
      <w:t>1</w:t>
    </w:r>
    <w:r>
      <w:rPr>
        <w:rFonts w:ascii="Palatino Linotype" w:eastAsia="Palatino Linotype" w:hAnsi="Palatino Linotype" w:cs="Palatino Linotype"/>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C5B38" w14:textId="77777777" w:rsidR="001A0ECF" w:rsidRDefault="001A0ECF">
      <w:r>
        <w:separator/>
      </w:r>
    </w:p>
  </w:footnote>
  <w:footnote w:type="continuationSeparator" w:id="0">
    <w:p w14:paraId="18146F27" w14:textId="77777777" w:rsidR="001A0ECF" w:rsidRDefault="001A0ECF">
      <w:r>
        <w:continuationSeparator/>
      </w:r>
    </w:p>
  </w:footnote>
  <w:footnote w:id="1">
    <w:p w14:paraId="6F5E572D" w14:textId="77777777" w:rsidR="006A3CE6" w:rsidRDefault="00D84E5B">
      <w:pPr>
        <w:widowControl w:val="0"/>
        <w:pBdr>
          <w:top w:val="nil"/>
          <w:left w:val="nil"/>
          <w:bottom w:val="nil"/>
          <w:right w:val="nil"/>
          <w:between w:val="nil"/>
        </w:pBdr>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 xml:space="preserve">One of the operators of the Causeway Bay Bookstore, which is owned by Mighty Current. </w:t>
      </w:r>
    </w:p>
  </w:footnote>
  <w:footnote w:id="2">
    <w:p w14:paraId="1143525C" w14:textId="77777777" w:rsidR="006A3CE6" w:rsidRDefault="00D84E5B">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Unless listed in Annex III of the BL </w:t>
      </w:r>
    </w:p>
  </w:footnote>
  <w:footnote w:id="3">
    <w:p w14:paraId="5EBB5462" w14:textId="77777777" w:rsidR="006A3CE6" w:rsidRDefault="00D84E5B">
      <w:pPr>
        <w:widowControl w:val="0"/>
        <w:rPr>
          <w:rFonts w:ascii="Times New Roman" w:eastAsia="Times New Roman" w:hAnsi="Times New Roman" w:cs="Times New Roman"/>
        </w:rPr>
      </w:pPr>
      <w:r>
        <w:rPr>
          <w:vertAlign w:val="superscript"/>
        </w:rPr>
        <w:footnoteRef/>
      </w:r>
      <w:r>
        <w:t xml:space="preserve"> </w:t>
      </w:r>
      <w:r>
        <w:rPr>
          <w:rFonts w:ascii="Times New Roman" w:eastAsia="Times New Roman" w:hAnsi="Times New Roman" w:cs="Times New Roman"/>
        </w:rPr>
        <w:t>See articles 2 and 3 of the Convention and CAT/C/CHN-HKG/CO/5, paras. 22-23</w:t>
      </w:r>
    </w:p>
  </w:footnote>
  <w:footnote w:id="4">
    <w:p w14:paraId="53A11FF2" w14:textId="77777777" w:rsidR="006A3CE6" w:rsidRDefault="00D84E5B">
      <w:pPr>
        <w:rPr>
          <w:rFonts w:ascii="Times New Roman" w:eastAsia="Times New Roman" w:hAnsi="Times New Roman" w:cs="Times New Roman"/>
        </w:rPr>
      </w:pPr>
      <w:r>
        <w:rPr>
          <w:vertAlign w:val="superscript"/>
        </w:rPr>
        <w:footnoteRef/>
      </w:r>
      <w:r>
        <w:t xml:space="preserve"> </w:t>
      </w:r>
      <w:hyperlink r:id="rId1">
        <w:r>
          <w:rPr>
            <w:rFonts w:ascii="Times New Roman" w:eastAsia="Times New Roman" w:hAnsi="Times New Roman" w:cs="Times New Roman"/>
            <w:color w:val="1155CC"/>
          </w:rPr>
          <w:t>https://www.legco.gov.hk/yr16-17/english/panels/ajls/papers/ajls20170718cb4-1386-3-e.pdf</w:t>
        </w:r>
      </w:hyperlink>
    </w:p>
  </w:footnote>
  <w:footnote w:id="5">
    <w:p w14:paraId="4DFDB6B4" w14:textId="6C9EA6FC" w:rsidR="00021C5A" w:rsidRPr="00622977" w:rsidRDefault="00021C5A">
      <w:pPr>
        <w:pStyle w:val="FootnoteText"/>
        <w:rPr>
          <w:rFonts w:ascii="Times New Roman" w:hAnsi="Times New Roman" w:cs="Times New Roman"/>
        </w:rPr>
      </w:pPr>
      <w:r w:rsidRPr="00622977">
        <w:rPr>
          <w:rStyle w:val="FootnoteReference"/>
          <w:rFonts w:ascii="Times New Roman" w:hAnsi="Times New Roman" w:cs="Times New Roman"/>
        </w:rPr>
        <w:footnoteRef/>
      </w:r>
      <w:r w:rsidRPr="00622977">
        <w:rPr>
          <w:rFonts w:ascii="Times New Roman" w:hAnsi="Times New Roman" w:cs="Times New Roman"/>
        </w:rPr>
        <w:t xml:space="preserve"> Security Bureau, “Proposals to Amend the Immigration Ordinance” HKSAR July 2018, available at </w:t>
      </w:r>
      <w:hyperlink r:id="rId2" w:history="1">
        <w:r w:rsidRPr="00622977">
          <w:rPr>
            <w:rStyle w:val="Hyperlink"/>
            <w:rFonts w:ascii="Times New Roman" w:hAnsi="Times New Roman" w:cs="Times New Roman"/>
          </w:rPr>
          <w:t>http://www.legco.gov.hk/yr17-18/english/panels/se/papers/se20180710cb2-1751-1-e.pdf</w:t>
        </w:r>
      </w:hyperlink>
    </w:p>
  </w:footnote>
  <w:footnote w:id="6">
    <w:p w14:paraId="786702C5" w14:textId="1EA7F11F" w:rsidR="00021C5A" w:rsidRPr="00622977" w:rsidRDefault="00021C5A">
      <w:pPr>
        <w:pStyle w:val="FootnoteText"/>
        <w:rPr>
          <w:rFonts w:ascii="Times New Roman" w:hAnsi="Times New Roman" w:cs="Times New Roman"/>
        </w:rPr>
      </w:pPr>
      <w:r w:rsidRPr="00622977">
        <w:rPr>
          <w:rStyle w:val="FootnoteReference"/>
          <w:rFonts w:ascii="Times New Roman" w:hAnsi="Times New Roman" w:cs="Times New Roman"/>
        </w:rPr>
        <w:footnoteRef/>
      </w:r>
      <w:r w:rsidRPr="00622977">
        <w:rPr>
          <w:rFonts w:ascii="Times New Roman" w:hAnsi="Times New Roman" w:cs="Times New Roman"/>
        </w:rPr>
        <w:t xml:space="preserve"> Zn v. Secretary for Justice and Others (02/05/2018, CACV14/2017) [2018] HKCA 255 (https://legalref.judiciary.hk/lrs/common/search/search_result_detail_frame.jsp?DIS=114927&amp;QS=%2B&amp;TP=JU)</w:t>
      </w:r>
    </w:p>
  </w:footnote>
  <w:footnote w:id="7">
    <w:p w14:paraId="675379C7" w14:textId="77777777" w:rsidR="006A3CE6" w:rsidRDefault="00D84E5B">
      <w:pPr>
        <w:jc w:val="both"/>
        <w:rPr>
          <w:rFonts w:ascii="Times New Roman" w:eastAsia="Times New Roman" w:hAnsi="Times New Roman" w:cs="Times New Roman"/>
        </w:rPr>
      </w:pPr>
      <w:r>
        <w:rPr>
          <w:vertAlign w:val="superscript"/>
        </w:rPr>
        <w:footnoteRef/>
      </w:r>
      <w:r>
        <w:t xml:space="preserve"> </w:t>
      </w:r>
      <w:r>
        <w:rPr>
          <w:rFonts w:ascii="Times New Roman" w:eastAsia="Times New Roman" w:hAnsi="Times New Roman" w:cs="Times New Roman"/>
        </w:rPr>
        <w:t xml:space="preserve">Section 15, </w:t>
      </w:r>
      <w:hyperlink r:id="rId3">
        <w:r>
          <w:rPr>
            <w:rFonts w:ascii="Times New Roman" w:eastAsia="Times New Roman" w:hAnsi="Times New Roman" w:cs="Times New Roman"/>
            <w:color w:val="1155CC"/>
            <w:u w:val="single"/>
          </w:rPr>
          <w:t>Submission from NGOs coordinated by the Hong Kong Human Rights Monitor to the Committee Against Torture on the implementation of the CAT in the Hong Kong Special Administrative Region, China</w:t>
        </w:r>
      </w:hyperlink>
      <w:r>
        <w:rPr>
          <w:rFonts w:ascii="Times New Roman" w:eastAsia="Times New Roman" w:hAnsi="Times New Roman" w:cs="Times New Roman"/>
        </w:rPr>
        <w:t xml:space="preserve"> (October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4B0A"/>
    <w:multiLevelType w:val="multilevel"/>
    <w:tmpl w:val="FDBA58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CE6"/>
    <w:rsid w:val="00021C5A"/>
    <w:rsid w:val="000F7100"/>
    <w:rsid w:val="001A0ECF"/>
    <w:rsid w:val="00220DF9"/>
    <w:rsid w:val="0048017E"/>
    <w:rsid w:val="004B0C5E"/>
    <w:rsid w:val="00551B99"/>
    <w:rsid w:val="00580808"/>
    <w:rsid w:val="00585485"/>
    <w:rsid w:val="00622977"/>
    <w:rsid w:val="00637E2C"/>
    <w:rsid w:val="006A261A"/>
    <w:rsid w:val="006A3CE6"/>
    <w:rsid w:val="006E3641"/>
    <w:rsid w:val="00740764"/>
    <w:rsid w:val="008119EC"/>
    <w:rsid w:val="00846C13"/>
    <w:rsid w:val="009039EC"/>
    <w:rsid w:val="009670CB"/>
    <w:rsid w:val="00981829"/>
    <w:rsid w:val="009D25E7"/>
    <w:rsid w:val="00A401C9"/>
    <w:rsid w:val="00D84E5B"/>
    <w:rsid w:val="00E742D6"/>
    <w:rsid w:val="00F92C0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8B19"/>
  <w15:docId w15:val="{4601008F-B73B-7949-81C6-64B2F3E7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F710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7100"/>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021C5A"/>
  </w:style>
  <w:style w:type="character" w:customStyle="1" w:styleId="FootnoteTextChar">
    <w:name w:val="Footnote Text Char"/>
    <w:basedOn w:val="DefaultParagraphFont"/>
    <w:link w:val="FootnoteText"/>
    <w:uiPriority w:val="99"/>
    <w:semiHidden/>
    <w:rsid w:val="00021C5A"/>
  </w:style>
  <w:style w:type="character" w:styleId="FootnoteReference">
    <w:name w:val="footnote reference"/>
    <w:basedOn w:val="DefaultParagraphFont"/>
    <w:uiPriority w:val="99"/>
    <w:semiHidden/>
    <w:unhideWhenUsed/>
    <w:rsid w:val="00021C5A"/>
    <w:rPr>
      <w:vertAlign w:val="superscript"/>
    </w:rPr>
  </w:style>
  <w:style w:type="character" w:styleId="Hyperlink">
    <w:name w:val="Hyperlink"/>
    <w:basedOn w:val="DefaultParagraphFont"/>
    <w:uiPriority w:val="99"/>
    <w:unhideWhenUsed/>
    <w:rsid w:val="00021C5A"/>
    <w:rPr>
      <w:color w:val="0000FF" w:themeColor="hyperlink"/>
      <w:u w:val="single"/>
    </w:rPr>
  </w:style>
  <w:style w:type="character" w:customStyle="1" w:styleId="UnresolvedMention">
    <w:name w:val="Unresolved Mention"/>
    <w:basedOn w:val="DefaultParagraphFont"/>
    <w:uiPriority w:val="99"/>
    <w:semiHidden/>
    <w:unhideWhenUsed/>
    <w:rsid w:val="00021C5A"/>
    <w:rPr>
      <w:color w:val="808080"/>
      <w:shd w:val="clear" w:color="auto" w:fill="E6E6E6"/>
    </w:rPr>
  </w:style>
  <w:style w:type="paragraph" w:styleId="ListParagraph">
    <w:name w:val="List Paragraph"/>
    <w:basedOn w:val="Normal"/>
    <w:uiPriority w:val="34"/>
    <w:qFormat/>
    <w:rsid w:val="004B0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AT/Shared%20Documents/HKG/INT_CAT_CSS_HKG_22163_E.docx" TargetMode="External"/><Relationship Id="rId2" Type="http://schemas.openxmlformats.org/officeDocument/2006/relationships/hyperlink" Target="http://www.legco.gov.hk/yr17-18/english/panels/se/papers/se20180710cb2-1751-1-e.pdf" TargetMode="External"/><Relationship Id="rId1" Type="http://schemas.openxmlformats.org/officeDocument/2006/relationships/hyperlink" Target="https://www.legco.gov.hk/yr16-17/english/panels/ajls/papers/ajls20170718cb4-1386-3-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015444-E067-4CBB-8C04-48FC63723E52}"/>
</file>

<file path=customXml/itemProps2.xml><?xml version="1.0" encoding="utf-8"?>
<ds:datastoreItem xmlns:ds="http://schemas.openxmlformats.org/officeDocument/2006/customXml" ds:itemID="{AEED1B31-B3F0-4DEC-849C-E21FF3CB20D8}"/>
</file>

<file path=customXml/itemProps3.xml><?xml version="1.0" encoding="utf-8"?>
<ds:datastoreItem xmlns:ds="http://schemas.openxmlformats.org/officeDocument/2006/customXml" ds:itemID="{88534C57-E0B9-4225-B16C-447131090646}"/>
</file>

<file path=customXml/itemProps4.xml><?xml version="1.0" encoding="utf-8"?>
<ds:datastoreItem xmlns:ds="http://schemas.openxmlformats.org/officeDocument/2006/customXml" ds:itemID="{26812E67-D30F-485C-9BFE-25498D11975A}"/>
</file>

<file path=docProps/app.xml><?xml version="1.0" encoding="utf-8"?>
<Properties xmlns="http://schemas.openxmlformats.org/officeDocument/2006/extended-properties" xmlns:vt="http://schemas.openxmlformats.org/officeDocument/2006/docPropsVTypes">
  <Template>Normal.dotm</Template>
  <TotalTime>0</TotalTime>
  <Pages>20</Pages>
  <Words>6733</Words>
  <Characters>38381</Characters>
  <Application>Microsoft Office Word</Application>
  <DocSecurity>4</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LEOZ INVERNÓN Javier</cp:lastModifiedBy>
  <cp:revision>2</cp:revision>
  <cp:lastPrinted>2018-08-06T12:57:00Z</cp:lastPrinted>
  <dcterms:created xsi:type="dcterms:W3CDTF">2018-08-06T13:15:00Z</dcterms:created>
  <dcterms:modified xsi:type="dcterms:W3CDTF">2018-08-06T13:15:00Z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