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FB64B" w14:textId="1AD2A0EA" w:rsidR="00DB3E24" w:rsidRPr="00F747DA" w:rsidRDefault="00DB3E24" w:rsidP="006A7FFC">
      <w:pPr>
        <w:spacing w:line="276" w:lineRule="auto"/>
        <w:rPr>
          <w:rFonts w:ascii="Calibri" w:hAnsi="Calibri" w:cs="Arial Hebrew Scholar"/>
          <w:szCs w:val="22"/>
        </w:rPr>
      </w:pPr>
    </w:p>
    <w:p w14:paraId="3866D770" w14:textId="6EF8A514" w:rsidR="00DB3E24" w:rsidRPr="00F747DA" w:rsidRDefault="00DB3E24" w:rsidP="006A7FFC">
      <w:pPr>
        <w:spacing w:line="276" w:lineRule="auto"/>
        <w:rPr>
          <w:rFonts w:ascii="Calibri" w:hAnsi="Calibri" w:cs="Arial Hebrew Scholar"/>
          <w:szCs w:val="22"/>
        </w:rPr>
      </w:pPr>
    </w:p>
    <w:p w14:paraId="5C63C6D1" w14:textId="77777777" w:rsidR="00222E66" w:rsidRPr="00F747DA" w:rsidRDefault="00222E66" w:rsidP="006A7FFC">
      <w:pPr>
        <w:pStyle w:val="NormalWeb"/>
        <w:spacing w:before="0" w:beforeAutospacing="0" w:after="0" w:afterAutospacing="0" w:line="276" w:lineRule="auto"/>
        <w:rPr>
          <w:rFonts w:ascii="Calibri" w:hAnsi="Calibri" w:cs="Arial Hebrew Scholar"/>
          <w:color w:val="000000"/>
          <w:szCs w:val="22"/>
        </w:rPr>
      </w:pPr>
    </w:p>
    <w:p w14:paraId="7ACF25AD" w14:textId="734F593E" w:rsidR="00DD7FE6" w:rsidRPr="00F747DA" w:rsidRDefault="00DD7FE6" w:rsidP="006A7FFC">
      <w:pPr>
        <w:pStyle w:val="NormalWeb"/>
        <w:spacing w:before="0" w:beforeAutospacing="0" w:after="0" w:afterAutospacing="0" w:line="276" w:lineRule="auto"/>
        <w:rPr>
          <w:rFonts w:ascii="Calibri" w:hAnsi="Calibri" w:cs="Arial Hebrew Scholar"/>
          <w:color w:val="000000"/>
          <w:szCs w:val="22"/>
        </w:rPr>
      </w:pPr>
    </w:p>
    <w:p w14:paraId="77E5514F" w14:textId="77777777" w:rsidR="00DD7FE6" w:rsidRPr="00F747DA" w:rsidRDefault="00DD7FE6" w:rsidP="006A7FFC">
      <w:pPr>
        <w:pStyle w:val="NormalWeb"/>
        <w:spacing w:before="0" w:beforeAutospacing="0" w:after="0" w:afterAutospacing="0" w:line="276" w:lineRule="auto"/>
        <w:rPr>
          <w:rFonts w:ascii="Calibri" w:hAnsi="Calibri" w:cs="Arial Hebrew Scholar"/>
          <w:color w:val="000000"/>
          <w:szCs w:val="22"/>
        </w:rPr>
      </w:pPr>
    </w:p>
    <w:p w14:paraId="336D4075" w14:textId="60D7B12C" w:rsidR="00DD7FE6" w:rsidRPr="00F747DA" w:rsidRDefault="00DD7FE6" w:rsidP="006A7FFC">
      <w:pPr>
        <w:pStyle w:val="NormalWeb"/>
        <w:spacing w:before="0" w:beforeAutospacing="0" w:after="0" w:afterAutospacing="0" w:line="276" w:lineRule="auto"/>
        <w:rPr>
          <w:rFonts w:ascii="Calibri" w:hAnsi="Calibri" w:cs="Arial Hebrew Scholar"/>
          <w:color w:val="000000"/>
          <w:szCs w:val="22"/>
        </w:rPr>
      </w:pPr>
    </w:p>
    <w:p w14:paraId="4DB4C57E" w14:textId="2B094AD1" w:rsidR="0090633A" w:rsidRPr="00F747DA" w:rsidRDefault="0090633A" w:rsidP="006A7FFC">
      <w:pPr>
        <w:pStyle w:val="NormalWeb"/>
        <w:spacing w:before="0" w:beforeAutospacing="0" w:after="0" w:afterAutospacing="0" w:line="276" w:lineRule="auto"/>
        <w:rPr>
          <w:rFonts w:ascii="Calibri" w:hAnsi="Calibri" w:cs="Arial Hebrew Scholar"/>
          <w:color w:val="000000"/>
          <w:szCs w:val="22"/>
        </w:rPr>
      </w:pPr>
    </w:p>
    <w:p w14:paraId="1E87F7D0" w14:textId="613AAFC4" w:rsidR="0090633A" w:rsidRPr="00F747DA" w:rsidRDefault="0090633A" w:rsidP="006A7FFC">
      <w:pPr>
        <w:pStyle w:val="NormalWeb"/>
        <w:spacing w:before="0" w:beforeAutospacing="0" w:after="0" w:afterAutospacing="0" w:line="276" w:lineRule="auto"/>
        <w:rPr>
          <w:rFonts w:ascii="Calibri" w:hAnsi="Calibri" w:cs="Arial Hebrew Scholar"/>
          <w:color w:val="000000"/>
          <w:szCs w:val="22"/>
        </w:rPr>
      </w:pPr>
    </w:p>
    <w:p w14:paraId="2375DDCD" w14:textId="77777777" w:rsidR="0090633A" w:rsidRPr="00F747DA" w:rsidRDefault="0090633A" w:rsidP="006A7FFC">
      <w:pPr>
        <w:pStyle w:val="NormalWeb"/>
        <w:spacing w:before="0" w:beforeAutospacing="0" w:after="0" w:afterAutospacing="0" w:line="276" w:lineRule="auto"/>
        <w:rPr>
          <w:rFonts w:ascii="Calibri" w:hAnsi="Calibri" w:cs="Arial Hebrew Scholar"/>
          <w:color w:val="000000"/>
          <w:szCs w:val="22"/>
        </w:rPr>
      </w:pPr>
    </w:p>
    <w:p w14:paraId="69B939CF" w14:textId="77777777" w:rsidR="008C58C9" w:rsidRPr="00F747DA" w:rsidRDefault="008C58C9" w:rsidP="006A7FFC">
      <w:pPr>
        <w:pStyle w:val="NormalWeb"/>
        <w:spacing w:before="0" w:beforeAutospacing="0" w:after="0" w:afterAutospacing="0" w:line="276" w:lineRule="auto"/>
        <w:rPr>
          <w:rFonts w:ascii="Calibri" w:hAnsi="Calibri" w:cs="Arial Hebrew Scholar"/>
          <w:color w:val="000000"/>
          <w:szCs w:val="22"/>
        </w:rPr>
      </w:pPr>
    </w:p>
    <w:p w14:paraId="0E9D450B" w14:textId="77777777" w:rsidR="000B6156" w:rsidRPr="00F747DA" w:rsidRDefault="00F33438" w:rsidP="006A7FFC">
      <w:pPr>
        <w:spacing w:line="276" w:lineRule="auto"/>
        <w:rPr>
          <w:rFonts w:eastAsia="Arial" w:cs="Arial"/>
          <w:b/>
          <w:bCs/>
          <w:spacing w:val="-1"/>
          <w:sz w:val="36"/>
          <w:szCs w:val="36"/>
        </w:rPr>
      </w:pPr>
      <w:r w:rsidRPr="00F747DA">
        <w:rPr>
          <w:rFonts w:eastAsia="Arial" w:cs="Arial"/>
          <w:b/>
          <w:bCs/>
          <w:spacing w:val="-1"/>
          <w:sz w:val="36"/>
          <w:szCs w:val="36"/>
        </w:rPr>
        <w:t xml:space="preserve">Submission to the </w:t>
      </w:r>
      <w:r w:rsidR="00130119" w:rsidRPr="00F747DA">
        <w:rPr>
          <w:rFonts w:eastAsia="Arial" w:cs="Arial"/>
          <w:b/>
          <w:bCs/>
          <w:spacing w:val="-1"/>
          <w:sz w:val="36"/>
          <w:szCs w:val="36"/>
        </w:rPr>
        <w:t xml:space="preserve">UN </w:t>
      </w:r>
      <w:bookmarkStart w:id="0" w:name="_Hlk188294519"/>
      <w:r w:rsidR="00130119" w:rsidRPr="00F747DA">
        <w:rPr>
          <w:rFonts w:eastAsia="Arial" w:cs="Arial"/>
          <w:b/>
          <w:bCs/>
          <w:spacing w:val="-1"/>
          <w:sz w:val="36"/>
          <w:szCs w:val="36"/>
        </w:rPr>
        <w:t xml:space="preserve">Committee on the </w:t>
      </w:r>
    </w:p>
    <w:p w14:paraId="15F027B2" w14:textId="01D8EC3B" w:rsidR="004D515E" w:rsidRPr="00F747DA" w:rsidRDefault="006B0B06" w:rsidP="006A7FFC">
      <w:pPr>
        <w:spacing w:line="276" w:lineRule="auto"/>
        <w:rPr>
          <w:rFonts w:eastAsia="Arial" w:cs="Arial"/>
          <w:b/>
          <w:bCs/>
          <w:spacing w:val="-1"/>
          <w:sz w:val="36"/>
          <w:szCs w:val="36"/>
        </w:rPr>
      </w:pPr>
      <w:r w:rsidRPr="00F747DA">
        <w:rPr>
          <w:rFonts w:eastAsia="Arial" w:cs="Arial"/>
          <w:b/>
          <w:bCs/>
          <w:spacing w:val="-1"/>
          <w:sz w:val="36"/>
          <w:szCs w:val="36"/>
        </w:rPr>
        <w:t>Rights of Persons with Disabilities</w:t>
      </w:r>
      <w:bookmarkEnd w:id="0"/>
      <w:r w:rsidR="00130119" w:rsidRPr="00F747DA">
        <w:rPr>
          <w:rFonts w:eastAsia="Arial" w:cs="Arial"/>
          <w:b/>
          <w:bCs/>
          <w:spacing w:val="-1"/>
          <w:sz w:val="36"/>
          <w:szCs w:val="36"/>
        </w:rPr>
        <w:t>:</w:t>
      </w:r>
    </w:p>
    <w:p w14:paraId="692857F4" w14:textId="321B2569" w:rsidR="002D3DC8" w:rsidRPr="00F747DA" w:rsidRDefault="002D3DC8" w:rsidP="006A7FFC">
      <w:pPr>
        <w:spacing w:line="276" w:lineRule="auto"/>
        <w:rPr>
          <w:rFonts w:eastAsia="Arial" w:cs="Arial"/>
          <w:b/>
          <w:bCs/>
          <w:spacing w:val="-1"/>
          <w:sz w:val="36"/>
          <w:szCs w:val="36"/>
        </w:rPr>
      </w:pPr>
      <w:r w:rsidRPr="00F747DA">
        <w:rPr>
          <w:rFonts w:eastAsia="Arial" w:cs="Arial"/>
          <w:b/>
          <w:bCs/>
          <w:spacing w:val="-1"/>
          <w:sz w:val="36"/>
          <w:szCs w:val="36"/>
        </w:rPr>
        <w:t xml:space="preserve">Review of Canada at </w:t>
      </w:r>
      <w:r w:rsidR="006B0B06" w:rsidRPr="00F747DA">
        <w:rPr>
          <w:rFonts w:eastAsia="Arial" w:cs="Arial"/>
          <w:b/>
          <w:bCs/>
          <w:spacing w:val="-1"/>
          <w:sz w:val="36"/>
          <w:szCs w:val="36"/>
        </w:rPr>
        <w:t>32nd</w:t>
      </w:r>
      <w:r w:rsidRPr="00F747DA">
        <w:rPr>
          <w:rFonts w:eastAsia="Arial" w:cs="Arial"/>
          <w:b/>
          <w:bCs/>
          <w:spacing w:val="-1"/>
          <w:sz w:val="36"/>
          <w:szCs w:val="36"/>
        </w:rPr>
        <w:t xml:space="preserve"> Session</w:t>
      </w:r>
      <w:r w:rsidR="00481D9A" w:rsidRPr="00F747DA">
        <w:rPr>
          <w:rFonts w:eastAsia="Arial" w:cs="Arial"/>
          <w:b/>
          <w:bCs/>
          <w:spacing w:val="-1"/>
          <w:sz w:val="36"/>
          <w:szCs w:val="36"/>
        </w:rPr>
        <w:t xml:space="preserve"> (March 3-21, 2025)</w:t>
      </w:r>
    </w:p>
    <w:p w14:paraId="24A3694D" w14:textId="77777777" w:rsidR="006B0B06" w:rsidRPr="00F747DA" w:rsidRDefault="006B0B06" w:rsidP="006A7FFC">
      <w:pPr>
        <w:spacing w:line="276" w:lineRule="auto"/>
        <w:rPr>
          <w:rFonts w:eastAsia="Arial" w:cs="Arial"/>
          <w:b/>
          <w:bCs/>
          <w:spacing w:val="-1"/>
          <w:sz w:val="36"/>
          <w:szCs w:val="36"/>
        </w:rPr>
      </w:pPr>
    </w:p>
    <w:p w14:paraId="4EDD6425" w14:textId="72913647" w:rsidR="006B0B06" w:rsidRPr="00F747DA" w:rsidRDefault="006B0B06" w:rsidP="006A7FFC">
      <w:pPr>
        <w:spacing w:line="276" w:lineRule="auto"/>
        <w:rPr>
          <w:b/>
          <w:bCs/>
        </w:rPr>
      </w:pPr>
    </w:p>
    <w:p w14:paraId="6693DFE7" w14:textId="77777777" w:rsidR="006B0B06" w:rsidRPr="00F747DA" w:rsidRDefault="006B0B06" w:rsidP="006A7FFC">
      <w:pPr>
        <w:spacing w:line="276" w:lineRule="auto"/>
        <w:rPr>
          <w:b/>
          <w:bCs/>
        </w:rPr>
      </w:pPr>
    </w:p>
    <w:p w14:paraId="148F4789" w14:textId="468369C2" w:rsidR="000B6156" w:rsidRPr="00F747DA" w:rsidRDefault="000B6156" w:rsidP="006A7FFC">
      <w:pPr>
        <w:spacing w:line="276" w:lineRule="auto"/>
        <w:rPr>
          <w:rFonts w:eastAsia="Arial" w:cs="Arial"/>
          <w:b/>
          <w:bCs/>
          <w:spacing w:val="-1"/>
          <w:sz w:val="20"/>
          <w:szCs w:val="20"/>
        </w:rPr>
      </w:pPr>
    </w:p>
    <w:p w14:paraId="6B97C472" w14:textId="4510A02F" w:rsidR="00130119" w:rsidRPr="00F747DA" w:rsidRDefault="00130119" w:rsidP="006A7FFC">
      <w:pPr>
        <w:spacing w:line="276" w:lineRule="auto"/>
        <w:rPr>
          <w:rFonts w:ascii="Times New Roman" w:hAnsi="Times New Roman"/>
          <w:sz w:val="24"/>
        </w:rPr>
      </w:pPr>
    </w:p>
    <w:p w14:paraId="2D4D5D59" w14:textId="77777777" w:rsidR="00130119" w:rsidRPr="00F747DA" w:rsidRDefault="00130119" w:rsidP="006A7FFC">
      <w:pPr>
        <w:spacing w:before="14" w:line="276" w:lineRule="auto"/>
        <w:ind w:right="316"/>
        <w:rPr>
          <w:rFonts w:eastAsia="Arial" w:cs="Arial"/>
          <w:b/>
          <w:bCs/>
          <w:spacing w:val="-1"/>
          <w:sz w:val="36"/>
          <w:szCs w:val="36"/>
        </w:rPr>
      </w:pPr>
    </w:p>
    <w:p w14:paraId="48F72F3F" w14:textId="77777777" w:rsidR="00D702E0" w:rsidRPr="00F747DA" w:rsidRDefault="00D702E0" w:rsidP="006A7FFC">
      <w:pPr>
        <w:spacing w:before="14" w:line="276" w:lineRule="auto"/>
        <w:ind w:left="100" w:right="316"/>
        <w:rPr>
          <w:rFonts w:eastAsia="Arial" w:cs="Arial"/>
          <w:b/>
          <w:bCs/>
          <w:spacing w:val="-1"/>
          <w:sz w:val="24"/>
        </w:rPr>
      </w:pPr>
    </w:p>
    <w:p w14:paraId="1BA924B6" w14:textId="77777777" w:rsidR="0090633A" w:rsidRPr="00F747DA" w:rsidRDefault="0090633A" w:rsidP="006A7FFC">
      <w:pPr>
        <w:spacing w:before="14" w:line="276" w:lineRule="auto"/>
        <w:ind w:right="316"/>
        <w:rPr>
          <w:rFonts w:eastAsia="Calibri" w:cs="Arial"/>
          <w:b/>
          <w:sz w:val="24"/>
        </w:rPr>
      </w:pPr>
    </w:p>
    <w:p w14:paraId="5BC3C918" w14:textId="77777777" w:rsidR="0090633A" w:rsidRPr="00F747DA" w:rsidRDefault="0090633A" w:rsidP="006A7FFC">
      <w:pPr>
        <w:spacing w:before="14" w:line="276" w:lineRule="auto"/>
        <w:ind w:left="100" w:right="316"/>
        <w:rPr>
          <w:rFonts w:eastAsia="Calibri" w:cs="Arial"/>
          <w:b/>
          <w:sz w:val="24"/>
        </w:rPr>
      </w:pPr>
    </w:p>
    <w:p w14:paraId="74138D5B" w14:textId="77777777" w:rsidR="0090633A" w:rsidRPr="00F747DA" w:rsidRDefault="0090633A" w:rsidP="006A7FFC">
      <w:pPr>
        <w:spacing w:before="14" w:line="276" w:lineRule="auto"/>
        <w:ind w:left="100" w:right="316"/>
        <w:rPr>
          <w:rFonts w:eastAsia="Calibri" w:cs="Arial"/>
          <w:b/>
          <w:sz w:val="24"/>
        </w:rPr>
      </w:pPr>
    </w:p>
    <w:p w14:paraId="0B6A97BB" w14:textId="77777777" w:rsidR="0090633A" w:rsidRPr="00F747DA" w:rsidRDefault="0090633A" w:rsidP="006A7FFC">
      <w:pPr>
        <w:spacing w:before="14" w:line="276" w:lineRule="auto"/>
        <w:ind w:right="316"/>
        <w:rPr>
          <w:rFonts w:eastAsia="Calibri" w:cs="Arial"/>
          <w:b/>
          <w:sz w:val="24"/>
        </w:rPr>
      </w:pPr>
    </w:p>
    <w:p w14:paraId="54BD3AFF" w14:textId="77777777" w:rsidR="0090633A" w:rsidRPr="00F747DA" w:rsidRDefault="0090633A" w:rsidP="006A7FFC">
      <w:pPr>
        <w:spacing w:before="14" w:line="276" w:lineRule="auto"/>
        <w:ind w:left="100" w:right="316"/>
        <w:rPr>
          <w:rFonts w:eastAsia="Calibri" w:cs="Arial"/>
          <w:b/>
          <w:sz w:val="24"/>
        </w:rPr>
      </w:pPr>
    </w:p>
    <w:p w14:paraId="4C3FB1C3" w14:textId="77777777" w:rsidR="000D47C1" w:rsidRPr="00F747DA" w:rsidRDefault="000D47C1" w:rsidP="006A7FFC">
      <w:pPr>
        <w:spacing w:before="14" w:line="276" w:lineRule="auto"/>
        <w:ind w:right="316"/>
        <w:rPr>
          <w:rFonts w:eastAsia="Calibri" w:cs="Arial"/>
          <w:b/>
          <w:sz w:val="24"/>
        </w:rPr>
      </w:pPr>
    </w:p>
    <w:p w14:paraId="2C87F3D7" w14:textId="77777777" w:rsidR="000D47C1" w:rsidRPr="00F747DA" w:rsidRDefault="000D47C1" w:rsidP="006A7FFC">
      <w:pPr>
        <w:spacing w:before="14" w:line="276" w:lineRule="auto"/>
        <w:ind w:right="316"/>
        <w:rPr>
          <w:rFonts w:eastAsia="Calibri" w:cs="Arial"/>
          <w:b/>
          <w:sz w:val="24"/>
        </w:rPr>
      </w:pPr>
    </w:p>
    <w:p w14:paraId="6A0D7CA7" w14:textId="77777777" w:rsidR="00C56B46" w:rsidRPr="00F747DA" w:rsidRDefault="00C56B46" w:rsidP="006A7FFC">
      <w:pPr>
        <w:spacing w:before="14" w:line="276" w:lineRule="auto"/>
        <w:ind w:right="316"/>
        <w:rPr>
          <w:rFonts w:eastAsia="Calibri" w:cs="Arial"/>
          <w:b/>
          <w:sz w:val="24"/>
        </w:rPr>
      </w:pPr>
    </w:p>
    <w:p w14:paraId="52F09D06" w14:textId="77777777" w:rsidR="00C56B46" w:rsidRPr="00F747DA" w:rsidRDefault="00C56B46" w:rsidP="006A7FFC">
      <w:pPr>
        <w:spacing w:before="14" w:line="276" w:lineRule="auto"/>
        <w:ind w:right="316"/>
        <w:rPr>
          <w:rFonts w:eastAsia="Calibri" w:cs="Arial"/>
          <w:b/>
          <w:sz w:val="24"/>
        </w:rPr>
      </w:pPr>
    </w:p>
    <w:p w14:paraId="2F55C7BA" w14:textId="325C0F95" w:rsidR="0090633A" w:rsidRPr="00F747DA" w:rsidRDefault="006B0B06" w:rsidP="006A7FFC">
      <w:pPr>
        <w:spacing w:before="14" w:line="276" w:lineRule="auto"/>
        <w:ind w:right="316"/>
        <w:rPr>
          <w:rFonts w:eastAsia="Calibri" w:cs="Arial"/>
          <w:b/>
          <w:sz w:val="28"/>
          <w:szCs w:val="28"/>
        </w:rPr>
      </w:pPr>
      <w:r w:rsidRPr="00F747DA">
        <w:rPr>
          <w:rFonts w:eastAsia="Calibri" w:cs="Arial"/>
          <w:b/>
          <w:sz w:val="28"/>
          <w:szCs w:val="28"/>
        </w:rPr>
        <w:t>January 2025</w:t>
      </w:r>
    </w:p>
    <w:p w14:paraId="2CF77A22" w14:textId="7B410077" w:rsidR="00405262" w:rsidRPr="00F747DA" w:rsidRDefault="00405262" w:rsidP="006A7FFC">
      <w:pPr>
        <w:spacing w:before="14" w:line="276" w:lineRule="auto"/>
        <w:ind w:right="316"/>
        <w:rPr>
          <w:rFonts w:eastAsia="Calibri" w:cs="Arial"/>
          <w:b/>
          <w:sz w:val="28"/>
          <w:szCs w:val="28"/>
        </w:rPr>
      </w:pPr>
      <w:r w:rsidRPr="00F747DA">
        <w:rPr>
          <w:rFonts w:eastAsia="Calibri" w:cs="Arial"/>
          <w:b/>
          <w:sz w:val="28"/>
          <w:szCs w:val="28"/>
        </w:rPr>
        <w:t>HIV</w:t>
      </w:r>
      <w:r w:rsidRPr="00F747DA">
        <w:rPr>
          <w:rFonts w:cs="Arial"/>
          <w:b/>
          <w:sz w:val="28"/>
          <w:szCs w:val="28"/>
        </w:rPr>
        <w:t xml:space="preserve"> </w:t>
      </w:r>
      <w:r w:rsidRPr="00F747DA">
        <w:rPr>
          <w:rFonts w:eastAsia="Calibri" w:cs="Arial"/>
          <w:b/>
          <w:sz w:val="28"/>
          <w:szCs w:val="28"/>
        </w:rPr>
        <w:t>Legal</w:t>
      </w:r>
      <w:r w:rsidRPr="00F747DA">
        <w:rPr>
          <w:rFonts w:cs="Arial"/>
          <w:b/>
          <w:sz w:val="28"/>
          <w:szCs w:val="28"/>
        </w:rPr>
        <w:t xml:space="preserve"> </w:t>
      </w:r>
      <w:r w:rsidRPr="00F747DA">
        <w:rPr>
          <w:rFonts w:eastAsia="Calibri" w:cs="Arial"/>
          <w:b/>
          <w:sz w:val="28"/>
          <w:szCs w:val="28"/>
        </w:rPr>
        <w:t>Network</w:t>
      </w:r>
    </w:p>
    <w:p w14:paraId="024AF78C" w14:textId="77777777" w:rsidR="00D702E0" w:rsidRPr="00F747DA" w:rsidRDefault="00D702E0" w:rsidP="006A7FFC">
      <w:pPr>
        <w:spacing w:before="14" w:line="276" w:lineRule="auto"/>
        <w:ind w:right="316"/>
        <w:rPr>
          <w:rFonts w:cs="Arial"/>
          <w:sz w:val="16"/>
          <w:szCs w:val="16"/>
        </w:rPr>
      </w:pPr>
    </w:p>
    <w:p w14:paraId="4E2832D2" w14:textId="0152F9E0" w:rsidR="00D702E0" w:rsidRPr="00F747DA" w:rsidRDefault="00405262" w:rsidP="006A7FFC">
      <w:pPr>
        <w:spacing w:before="14" w:line="276" w:lineRule="auto"/>
        <w:ind w:right="316"/>
        <w:rPr>
          <w:rFonts w:cs="Arial"/>
          <w:sz w:val="16"/>
          <w:szCs w:val="16"/>
        </w:rPr>
      </w:pPr>
      <w:hyperlink r:id="rId11" w:history="1">
        <w:r w:rsidRPr="00F747DA">
          <w:rPr>
            <w:rStyle w:val="Hyperlink"/>
            <w:rFonts w:eastAsia="Calibri" w:cs="Arial"/>
            <w:sz w:val="24"/>
          </w:rPr>
          <w:t>schu@hivlegalnetwork.ca</w:t>
        </w:r>
      </w:hyperlink>
      <w:r w:rsidR="002B0659" w:rsidRPr="00F747DA">
        <w:rPr>
          <w:rFonts w:eastAsia="Calibri" w:cs="Arial"/>
          <w:sz w:val="24"/>
        </w:rPr>
        <w:t xml:space="preserve"> </w:t>
      </w:r>
    </w:p>
    <w:p w14:paraId="6729EBA6" w14:textId="3C06DB8C" w:rsidR="00D702E0" w:rsidRPr="00F747DA" w:rsidRDefault="00F37941" w:rsidP="006A7FFC">
      <w:pPr>
        <w:spacing w:before="14" w:line="276" w:lineRule="auto"/>
        <w:ind w:right="316"/>
        <w:rPr>
          <w:rFonts w:eastAsia="Calibri" w:cs="Arial"/>
          <w:sz w:val="24"/>
        </w:rPr>
      </w:pPr>
      <w:hyperlink r:id="rId12" w:history="1">
        <w:r w:rsidRPr="00F747DA">
          <w:rPr>
            <w:rStyle w:val="Hyperlink"/>
            <w:rFonts w:eastAsia="Calibri" w:cs="Arial"/>
            <w:sz w:val="24"/>
          </w:rPr>
          <w:t>www</w:t>
        </w:r>
        <w:r w:rsidRPr="00F747DA">
          <w:rPr>
            <w:rStyle w:val="Hyperlink"/>
            <w:rFonts w:cs="Arial"/>
            <w:sz w:val="24"/>
          </w:rPr>
          <w:t>.</w:t>
        </w:r>
        <w:r w:rsidRPr="00F747DA">
          <w:rPr>
            <w:rStyle w:val="Hyperlink"/>
            <w:rFonts w:eastAsia="Calibri" w:cs="Arial"/>
            <w:sz w:val="24"/>
          </w:rPr>
          <w:t>hivlegalnetwork</w:t>
        </w:r>
        <w:r w:rsidRPr="00F747DA">
          <w:rPr>
            <w:rStyle w:val="Hyperlink"/>
            <w:rFonts w:cs="Arial"/>
            <w:sz w:val="24"/>
          </w:rPr>
          <w:t>.</w:t>
        </w:r>
        <w:r w:rsidRPr="00F747DA">
          <w:rPr>
            <w:rStyle w:val="Hyperlink"/>
            <w:rFonts w:eastAsia="Calibri" w:cs="Arial"/>
            <w:sz w:val="24"/>
          </w:rPr>
          <w:t>ca</w:t>
        </w:r>
      </w:hyperlink>
    </w:p>
    <w:p w14:paraId="0A5FE507" w14:textId="2E40DB13" w:rsidR="004D515E" w:rsidRPr="00F747DA" w:rsidRDefault="004D515E" w:rsidP="006A7FFC">
      <w:pPr>
        <w:spacing w:line="276" w:lineRule="auto"/>
        <w:rPr>
          <w:rFonts w:ascii="Calibri" w:hAnsi="Calibri" w:cs="Arial Hebrew Scholar"/>
          <w:b/>
          <w:szCs w:val="22"/>
        </w:rPr>
        <w:sectPr w:rsidR="004D515E" w:rsidRPr="00F747DA" w:rsidSect="00495FFD">
          <w:footerReference w:type="even" r:id="rId13"/>
          <w:footerReference w:type="default" r:id="rId14"/>
          <w:headerReference w:type="first" r:id="rId15"/>
          <w:footerReference w:type="first" r:id="rId16"/>
          <w:endnotePr>
            <w:numFmt w:val="decimal"/>
          </w:endnotePr>
          <w:pgSz w:w="12240" w:h="15840"/>
          <w:pgMar w:top="1440" w:right="1440" w:bottom="1701" w:left="1440" w:header="709" w:footer="567" w:gutter="0"/>
          <w:pgNumType w:start="0"/>
          <w:cols w:space="708"/>
          <w:titlePg/>
          <w:docGrid w:linePitch="360"/>
        </w:sectPr>
      </w:pPr>
    </w:p>
    <w:p w14:paraId="6C06C0D7" w14:textId="0E928984" w:rsidR="00BE5991" w:rsidRDefault="0012584F" w:rsidP="006A7FFC">
      <w:pPr>
        <w:pStyle w:val="Heading1"/>
        <w:numPr>
          <w:ilvl w:val="0"/>
          <w:numId w:val="0"/>
        </w:numPr>
        <w:spacing w:line="276" w:lineRule="auto"/>
        <w:rPr>
          <w:sz w:val="28"/>
          <w:szCs w:val="28"/>
          <w:lang w:val="en-CA"/>
        </w:rPr>
      </w:pPr>
      <w:bookmarkStart w:id="1" w:name="_Toc482796059"/>
      <w:r w:rsidRPr="00D3146D">
        <w:rPr>
          <w:sz w:val="28"/>
          <w:szCs w:val="28"/>
          <w:lang w:val="en-CA"/>
        </w:rPr>
        <w:lastRenderedPageBreak/>
        <w:t>INTRODUCTION</w:t>
      </w:r>
      <w:bookmarkEnd w:id="1"/>
    </w:p>
    <w:p w14:paraId="5AB47BD2" w14:textId="77777777" w:rsidR="003B2FF8" w:rsidRPr="009B3F80" w:rsidRDefault="003B2FF8" w:rsidP="009B3F80">
      <w:pPr>
        <w:rPr>
          <w:sz w:val="10"/>
          <w:szCs w:val="10"/>
          <w:lang w:eastAsia="ar-SA"/>
        </w:rPr>
      </w:pPr>
    </w:p>
    <w:p w14:paraId="7458A281" w14:textId="77777777" w:rsidR="0094588B" w:rsidRPr="00F747DA" w:rsidRDefault="0094588B" w:rsidP="006A7FFC">
      <w:pPr>
        <w:spacing w:line="276" w:lineRule="auto"/>
        <w:rPr>
          <w:rFonts w:cs="Arial"/>
          <w:sz w:val="10"/>
          <w:szCs w:val="10"/>
        </w:rPr>
      </w:pPr>
    </w:p>
    <w:p w14:paraId="2E56AFDE" w14:textId="36E1391C" w:rsidR="00BE5991" w:rsidRPr="00F747DA" w:rsidRDefault="009350D3" w:rsidP="006A7FFC">
      <w:pPr>
        <w:pStyle w:val="ListParagraph"/>
        <w:numPr>
          <w:ilvl w:val="0"/>
          <w:numId w:val="21"/>
        </w:numPr>
        <w:spacing w:line="276" w:lineRule="auto"/>
        <w:rPr>
          <w:szCs w:val="22"/>
          <w:lang w:val="en-CA"/>
        </w:rPr>
      </w:pPr>
      <w:r w:rsidRPr="00F747DA">
        <w:rPr>
          <w:szCs w:val="22"/>
          <w:lang w:val="en-CA"/>
        </w:rPr>
        <w:t xml:space="preserve">The </w:t>
      </w:r>
      <w:hyperlink r:id="rId17" w:history="1">
        <w:r w:rsidRPr="00F747DA">
          <w:rPr>
            <w:rStyle w:val="Hyperlink"/>
            <w:szCs w:val="22"/>
            <w:lang w:val="en-CA"/>
          </w:rPr>
          <w:t>HIV Legal Network</w:t>
        </w:r>
      </w:hyperlink>
      <w:r w:rsidR="005018C7" w:rsidRPr="00F747DA">
        <w:rPr>
          <w:szCs w:val="22"/>
          <w:lang w:val="en-CA"/>
        </w:rPr>
        <w:t xml:space="preserve"> (“Legal Network”)</w:t>
      </w:r>
      <w:r w:rsidRPr="00F747DA">
        <w:rPr>
          <w:szCs w:val="22"/>
          <w:lang w:val="en-CA"/>
        </w:rPr>
        <w:t xml:space="preserve"> make this submission </w:t>
      </w:r>
      <w:r w:rsidR="00BB4551" w:rsidRPr="00F747DA">
        <w:rPr>
          <w:szCs w:val="22"/>
          <w:lang w:val="en-CA"/>
        </w:rPr>
        <w:t xml:space="preserve">to the Committee on the </w:t>
      </w:r>
      <w:r w:rsidR="003B36BA" w:rsidRPr="00F747DA">
        <w:rPr>
          <w:szCs w:val="22"/>
          <w:lang w:val="en-CA"/>
        </w:rPr>
        <w:t>Rights of Persons with Disabilities</w:t>
      </w:r>
      <w:r w:rsidR="00BB4551" w:rsidRPr="00F747DA">
        <w:rPr>
          <w:szCs w:val="22"/>
          <w:lang w:val="en-CA"/>
        </w:rPr>
        <w:t xml:space="preserve"> (“</w:t>
      </w:r>
      <w:r w:rsidR="003B36BA" w:rsidRPr="00F747DA">
        <w:rPr>
          <w:szCs w:val="22"/>
          <w:lang w:val="en-CA"/>
        </w:rPr>
        <w:t>C</w:t>
      </w:r>
      <w:r w:rsidR="00174CD6" w:rsidRPr="00F747DA">
        <w:rPr>
          <w:szCs w:val="22"/>
          <w:lang w:val="en-CA"/>
        </w:rPr>
        <w:t>ommittee</w:t>
      </w:r>
      <w:r w:rsidR="00BB4551" w:rsidRPr="00F747DA">
        <w:rPr>
          <w:szCs w:val="22"/>
          <w:lang w:val="en-CA"/>
        </w:rPr>
        <w:t xml:space="preserve">”) in advance of its review of </w:t>
      </w:r>
      <w:r w:rsidR="000F14DA" w:rsidRPr="00F747DA">
        <w:rPr>
          <w:szCs w:val="22"/>
          <w:lang w:val="en-CA"/>
        </w:rPr>
        <w:t>Canada’s</w:t>
      </w:r>
      <w:r w:rsidR="00BB4551" w:rsidRPr="00F747DA">
        <w:rPr>
          <w:szCs w:val="22"/>
          <w:lang w:val="en-CA"/>
        </w:rPr>
        <w:t xml:space="preserve"> periodic report, </w:t>
      </w:r>
      <w:r w:rsidR="00E47D78" w:rsidRPr="00F747DA">
        <w:rPr>
          <w:szCs w:val="22"/>
          <w:lang w:val="en-CA"/>
        </w:rPr>
        <w:t>detailing</w:t>
      </w:r>
      <w:r w:rsidR="00BB4551" w:rsidRPr="00F747DA">
        <w:rPr>
          <w:lang w:val="en-CA"/>
        </w:rPr>
        <w:t xml:space="preserve"> </w:t>
      </w:r>
      <w:r w:rsidR="00EB6BA4" w:rsidRPr="00F747DA">
        <w:rPr>
          <w:lang w:val="en-CA"/>
        </w:rPr>
        <w:t>our</w:t>
      </w:r>
      <w:r w:rsidR="00BB4551" w:rsidRPr="00F747DA">
        <w:rPr>
          <w:lang w:val="en-CA"/>
        </w:rPr>
        <w:t xml:space="preserve"> concerns about Canada’s implementation of the </w:t>
      </w:r>
      <w:r w:rsidR="00174CD6" w:rsidRPr="00F747DA">
        <w:rPr>
          <w:i/>
          <w:iCs/>
          <w:lang w:val="en-CA"/>
        </w:rPr>
        <w:t xml:space="preserve">Convention on the Rights of Persons with Disabilities </w:t>
      </w:r>
      <w:r w:rsidR="00BB4551" w:rsidRPr="00F747DA">
        <w:rPr>
          <w:lang w:val="en-CA"/>
        </w:rPr>
        <w:t>(“Convention”)</w:t>
      </w:r>
      <w:r w:rsidR="00443E60" w:rsidRPr="00F747DA">
        <w:rPr>
          <w:lang w:val="en-CA"/>
        </w:rPr>
        <w:t xml:space="preserve"> with respect to</w:t>
      </w:r>
      <w:r w:rsidR="00BB4551" w:rsidRPr="00F747DA">
        <w:rPr>
          <w:lang w:val="en-CA"/>
        </w:rPr>
        <w:t xml:space="preserve"> </w:t>
      </w:r>
      <w:r w:rsidR="007377F0" w:rsidRPr="00F747DA">
        <w:rPr>
          <w:lang w:val="en-CA"/>
        </w:rPr>
        <w:t>the rights of</w:t>
      </w:r>
      <w:r w:rsidR="00686524">
        <w:rPr>
          <w:lang w:val="en-CA"/>
        </w:rPr>
        <w:t xml:space="preserve"> </w:t>
      </w:r>
      <w:r w:rsidR="00174CD6" w:rsidRPr="00F747DA">
        <w:rPr>
          <w:lang w:val="en-CA"/>
        </w:rPr>
        <w:t>people</w:t>
      </w:r>
      <w:r w:rsidR="00686524">
        <w:rPr>
          <w:lang w:val="en-CA"/>
        </w:rPr>
        <w:t xml:space="preserve"> </w:t>
      </w:r>
      <w:r w:rsidR="001E517E">
        <w:rPr>
          <w:lang w:val="en-CA"/>
        </w:rPr>
        <w:t>living with HIV</w:t>
      </w:r>
      <w:r w:rsidR="00686524">
        <w:rPr>
          <w:lang w:val="en-CA"/>
        </w:rPr>
        <w:t xml:space="preserve"> and the rights of people</w:t>
      </w:r>
      <w:r w:rsidR="00174CD6" w:rsidRPr="00F747DA">
        <w:rPr>
          <w:lang w:val="en-CA"/>
        </w:rPr>
        <w:t xml:space="preserve"> </w:t>
      </w:r>
      <w:r w:rsidR="001E517E">
        <w:rPr>
          <w:lang w:val="en-CA"/>
        </w:rPr>
        <w:t>who use drugs</w:t>
      </w:r>
      <w:r w:rsidR="00686524">
        <w:rPr>
          <w:lang w:val="en-CA"/>
        </w:rPr>
        <w:t>.</w:t>
      </w:r>
    </w:p>
    <w:p w14:paraId="59E68D46" w14:textId="77777777" w:rsidR="005018C7" w:rsidRPr="005B52EB" w:rsidRDefault="005018C7" w:rsidP="006A7FFC">
      <w:pPr>
        <w:spacing w:line="276" w:lineRule="auto"/>
        <w:rPr>
          <w:sz w:val="20"/>
          <w:szCs w:val="20"/>
        </w:rPr>
      </w:pPr>
    </w:p>
    <w:p w14:paraId="249652A0" w14:textId="77777777" w:rsidR="005F07D9" w:rsidRPr="00742826" w:rsidRDefault="005F07D9" w:rsidP="006A7FFC">
      <w:pPr>
        <w:spacing w:line="276" w:lineRule="auto"/>
        <w:rPr>
          <w:sz w:val="10"/>
          <w:szCs w:val="10"/>
        </w:rPr>
      </w:pPr>
    </w:p>
    <w:p w14:paraId="76FBDD96" w14:textId="77777777" w:rsidR="00BD142A" w:rsidRPr="00480099" w:rsidRDefault="00BD142A" w:rsidP="006A7FFC">
      <w:pPr>
        <w:spacing w:line="276" w:lineRule="auto"/>
        <w:rPr>
          <w:sz w:val="4"/>
          <w:szCs w:val="4"/>
        </w:rPr>
      </w:pPr>
    </w:p>
    <w:p w14:paraId="07D62E07" w14:textId="1E4FE8DE" w:rsidR="001E517E" w:rsidRPr="002E0332" w:rsidRDefault="005B52EB" w:rsidP="006A7FFC">
      <w:pPr>
        <w:spacing w:line="276" w:lineRule="auto"/>
        <w:rPr>
          <w:rFonts w:eastAsia="Hiragino Kaku Gothic Pro W3" w:cs="Arial"/>
          <w:b/>
          <w:caps/>
          <w:color w:val="000000"/>
          <w:kern w:val="1"/>
          <w:sz w:val="28"/>
          <w:szCs w:val="28"/>
          <w:lang w:eastAsia="ar-SA"/>
        </w:rPr>
      </w:pPr>
      <w:r w:rsidRPr="00F747DA">
        <w:rPr>
          <w:rFonts w:asciiTheme="minorHAnsi" w:hAnsiTheme="minorHAnsi"/>
          <w:noProof/>
          <w:sz w:val="28"/>
          <w:szCs w:val="28"/>
        </w:rPr>
        <mc:AlternateContent>
          <mc:Choice Requires="wps">
            <w:drawing>
              <wp:anchor distT="45720" distB="45720" distL="114300" distR="114300" simplePos="0" relativeHeight="251658241" behindDoc="0" locked="0" layoutInCell="1" allowOverlap="1" wp14:anchorId="45001DCB" wp14:editId="7AA54B6F">
                <wp:simplePos x="0" y="0"/>
                <wp:positionH relativeFrom="margin">
                  <wp:align>left</wp:align>
                </wp:positionH>
                <wp:positionV relativeFrom="paragraph">
                  <wp:posOffset>363220</wp:posOffset>
                </wp:positionV>
                <wp:extent cx="6064250" cy="1404620"/>
                <wp:effectExtent l="0" t="0" r="12700" b="12700"/>
                <wp:wrapSquare wrapText="bothSides"/>
                <wp:docPr id="16773575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0" cy="1404620"/>
                        </a:xfrm>
                        <a:prstGeom prst="rect">
                          <a:avLst/>
                        </a:prstGeom>
                        <a:solidFill>
                          <a:schemeClr val="accent6">
                            <a:lumMod val="20000"/>
                            <a:lumOff val="80000"/>
                          </a:schemeClr>
                        </a:solidFill>
                        <a:ln w="9525">
                          <a:solidFill>
                            <a:srgbClr val="000000"/>
                          </a:solidFill>
                          <a:miter lim="800000"/>
                          <a:headEnd/>
                          <a:tailEnd/>
                        </a:ln>
                      </wps:spPr>
                      <wps:txbx>
                        <w:txbxContent>
                          <w:p w14:paraId="49F4AC4B" w14:textId="77777777" w:rsidR="001E517E" w:rsidRPr="00F747DA" w:rsidRDefault="001E517E" w:rsidP="001E517E">
                            <w:pPr>
                              <w:shd w:val="clear" w:color="auto" w:fill="FDE9D9" w:themeFill="accent6" w:themeFillTint="33"/>
                              <w:spacing w:line="276" w:lineRule="auto"/>
                              <w:rPr>
                                <w:rFonts w:eastAsia="Arial" w:cs="Arial"/>
                                <w:i/>
                                <w:szCs w:val="22"/>
                              </w:rPr>
                            </w:pPr>
                            <w:r w:rsidRPr="00F747DA">
                              <w:rPr>
                                <w:rFonts w:eastAsia="Arial" w:cs="Arial"/>
                                <w:spacing w:val="3"/>
                                <w:szCs w:val="22"/>
                              </w:rPr>
                              <w:t xml:space="preserve">In the “List of issues prior to submission of the combined second and third periodic reports of Canada” (LOI), </w:t>
                            </w:r>
                            <w:r w:rsidRPr="00F747DA">
                              <w:rPr>
                                <w:rFonts w:eastAsia="Arial" w:cs="Arial"/>
                                <w:szCs w:val="22"/>
                              </w:rPr>
                              <w:t>t</w:t>
                            </w:r>
                            <w:r w:rsidRPr="00F747DA">
                              <w:rPr>
                                <w:rFonts w:eastAsia="Arial" w:cs="Arial"/>
                                <w:spacing w:val="1"/>
                                <w:szCs w:val="22"/>
                              </w:rPr>
                              <w:t>h</w:t>
                            </w:r>
                            <w:r w:rsidRPr="00F747DA">
                              <w:rPr>
                                <w:rFonts w:eastAsia="Arial" w:cs="Arial"/>
                                <w:szCs w:val="22"/>
                              </w:rPr>
                              <w:t>e</w:t>
                            </w:r>
                            <w:r w:rsidRPr="00F747DA">
                              <w:rPr>
                                <w:rFonts w:eastAsia="Arial" w:cs="Arial"/>
                                <w:spacing w:val="-5"/>
                                <w:szCs w:val="22"/>
                              </w:rPr>
                              <w:t xml:space="preserve"> </w:t>
                            </w:r>
                            <w:r w:rsidRPr="00F747DA">
                              <w:rPr>
                                <w:rFonts w:eastAsia="Arial" w:cs="Arial"/>
                                <w:szCs w:val="22"/>
                              </w:rPr>
                              <w:t>C</w:t>
                            </w:r>
                            <w:r w:rsidRPr="00F747DA">
                              <w:rPr>
                                <w:rFonts w:eastAsia="Arial" w:cs="Arial"/>
                                <w:spacing w:val="1"/>
                                <w:szCs w:val="22"/>
                              </w:rPr>
                              <w:t>omm</w:t>
                            </w:r>
                            <w:r w:rsidRPr="00F747DA">
                              <w:rPr>
                                <w:rFonts w:eastAsia="Arial" w:cs="Arial"/>
                                <w:szCs w:val="22"/>
                              </w:rPr>
                              <w:t>i</w:t>
                            </w:r>
                            <w:r w:rsidRPr="00F747DA">
                              <w:rPr>
                                <w:rFonts w:eastAsia="Arial" w:cs="Arial"/>
                                <w:spacing w:val="1"/>
                                <w:szCs w:val="22"/>
                              </w:rPr>
                              <w:t>tt</w:t>
                            </w:r>
                            <w:r w:rsidRPr="00F747DA">
                              <w:rPr>
                                <w:rFonts w:eastAsia="Arial" w:cs="Arial"/>
                                <w:szCs w:val="22"/>
                              </w:rPr>
                              <w:t>ee</w:t>
                            </w:r>
                            <w:r w:rsidRPr="00F747DA">
                              <w:rPr>
                                <w:rFonts w:eastAsia="Arial" w:cs="Arial"/>
                                <w:spacing w:val="-11"/>
                                <w:szCs w:val="22"/>
                              </w:rPr>
                              <w:t xml:space="preserve"> </w:t>
                            </w:r>
                            <w:r w:rsidRPr="00F747DA">
                              <w:rPr>
                                <w:rFonts w:eastAsia="Arial" w:cs="Arial"/>
                                <w:szCs w:val="22"/>
                              </w:rPr>
                              <w:t>as</w:t>
                            </w:r>
                            <w:r w:rsidRPr="00F747DA">
                              <w:rPr>
                                <w:rFonts w:eastAsia="Arial" w:cs="Arial"/>
                                <w:spacing w:val="2"/>
                                <w:szCs w:val="22"/>
                              </w:rPr>
                              <w:t>k</w:t>
                            </w:r>
                            <w:r w:rsidRPr="00F747DA">
                              <w:rPr>
                                <w:rFonts w:eastAsia="Arial" w:cs="Arial"/>
                                <w:szCs w:val="22"/>
                              </w:rPr>
                              <w:t>ed of Canada:</w:t>
                            </w:r>
                          </w:p>
                          <w:p w14:paraId="5DF62609" w14:textId="77777777" w:rsidR="001E517E" w:rsidRPr="00397D2F" w:rsidRDefault="001E517E" w:rsidP="001E517E">
                            <w:pPr>
                              <w:shd w:val="clear" w:color="auto" w:fill="FDE9D9" w:themeFill="accent6" w:themeFillTint="33"/>
                              <w:spacing w:line="276" w:lineRule="auto"/>
                              <w:rPr>
                                <w:rFonts w:eastAsia="Arial" w:cs="Arial"/>
                                <w:iCs/>
                                <w:szCs w:val="22"/>
                              </w:rPr>
                            </w:pPr>
                          </w:p>
                          <w:p w14:paraId="471E0DFF" w14:textId="77777777" w:rsidR="001E517E" w:rsidRDefault="001E517E" w:rsidP="001E517E">
                            <w:pPr>
                              <w:shd w:val="clear" w:color="auto" w:fill="FDE9D9" w:themeFill="accent6" w:themeFillTint="33"/>
                              <w:spacing w:line="276" w:lineRule="auto"/>
                              <w:rPr>
                                <w:rFonts w:eastAsia="Arial" w:cs="Arial"/>
                                <w:iCs/>
                                <w:szCs w:val="22"/>
                              </w:rPr>
                            </w:pPr>
                            <w:r w:rsidRPr="00397D2F">
                              <w:rPr>
                                <w:rFonts w:eastAsia="Arial" w:cs="Arial"/>
                                <w:iCs/>
                                <w:szCs w:val="22"/>
                              </w:rPr>
                              <w:t xml:space="preserve"> 3. Please provide information about measures taken to implement the Committee’s recommendations contained in paragraph 14 of its previous concluding observations (CRPD/C/CAN/CO/1), </w:t>
                            </w:r>
                            <w:proofErr w:type="gramStart"/>
                            <w:r w:rsidRPr="00397D2F">
                              <w:rPr>
                                <w:rFonts w:eastAsia="Arial" w:cs="Arial"/>
                                <w:iCs/>
                                <w:szCs w:val="22"/>
                              </w:rPr>
                              <w:t>in particular on</w:t>
                            </w:r>
                            <w:proofErr w:type="gramEnd"/>
                            <w:r>
                              <w:rPr>
                                <w:rFonts w:eastAsia="Arial" w:cs="Arial"/>
                                <w:iCs/>
                                <w:szCs w:val="22"/>
                              </w:rPr>
                              <w:t xml:space="preserve"> … </w:t>
                            </w:r>
                            <w:r w:rsidRPr="00B171D1">
                              <w:rPr>
                                <w:rFonts w:eastAsia="Arial" w:cs="Arial"/>
                                <w:iCs/>
                                <w:szCs w:val="22"/>
                              </w:rPr>
                              <w:t xml:space="preserve">(c) </w:t>
                            </w:r>
                            <w:r w:rsidRPr="002E0332">
                              <w:rPr>
                                <w:rFonts w:eastAsia="Arial" w:cs="Arial"/>
                                <w:b/>
                                <w:bCs/>
                                <w:iCs/>
                                <w:szCs w:val="22"/>
                              </w:rPr>
                              <w:t>Measures taken at all levels of government to eliminate inequality and discrimination faced by persons with disabilities</w:t>
                            </w:r>
                            <w:r>
                              <w:rPr>
                                <w:rFonts w:eastAsia="Arial" w:cs="Arial"/>
                                <w:iCs/>
                                <w:szCs w:val="22"/>
                              </w:rPr>
                              <w:t>. …</w:t>
                            </w:r>
                          </w:p>
                          <w:p w14:paraId="670BCA99" w14:textId="77777777" w:rsidR="001E517E" w:rsidRPr="00F747DA" w:rsidRDefault="001E517E" w:rsidP="001E517E">
                            <w:pPr>
                              <w:shd w:val="clear" w:color="auto" w:fill="FDE9D9" w:themeFill="accent6" w:themeFillTint="33"/>
                              <w:spacing w:line="276" w:lineRule="auto"/>
                              <w:rPr>
                                <w:rFonts w:eastAsia="Arial" w:cs="Arial"/>
                                <w:iCs/>
                                <w:szCs w:val="22"/>
                              </w:rPr>
                            </w:pPr>
                          </w:p>
                          <w:p w14:paraId="4A683D0D" w14:textId="77777777" w:rsidR="001E517E" w:rsidRDefault="001E517E" w:rsidP="001E517E">
                            <w:pPr>
                              <w:shd w:val="clear" w:color="auto" w:fill="FDE9D9" w:themeFill="accent6" w:themeFillTint="33"/>
                              <w:spacing w:line="276" w:lineRule="auto"/>
                              <w:rPr>
                                <w:rFonts w:eastAsia="Arial" w:cs="Arial"/>
                                <w:iCs/>
                                <w:szCs w:val="22"/>
                              </w:rPr>
                            </w:pPr>
                            <w:r w:rsidRPr="00B23EC0">
                              <w:rPr>
                                <w:rFonts w:eastAsia="Arial" w:cs="Arial"/>
                                <w:iCs/>
                                <w:szCs w:val="22"/>
                              </w:rPr>
                              <w:t xml:space="preserve">15. Please provide information on the </w:t>
                            </w:r>
                            <w:r w:rsidRPr="00B23EC0">
                              <w:rPr>
                                <w:rFonts w:eastAsia="Arial" w:cs="Arial"/>
                                <w:b/>
                                <w:bCs/>
                                <w:iCs/>
                                <w:szCs w:val="22"/>
                              </w:rPr>
                              <w:t>measures taken to address all forms of violence, including sexual violence against women and girls with disabilities, in particular indigenous women</w:t>
                            </w:r>
                            <w:r w:rsidRPr="00B23EC0">
                              <w:rPr>
                                <w:rFonts w:eastAsia="Arial" w:cs="Arial"/>
                                <w:iCs/>
                                <w:szCs w:val="22"/>
                              </w:rPr>
                              <w:t>, women with intellectual or psychosocial disabilities, persons with disabilities in family settings and in institutions</w:t>
                            </w:r>
                            <w:r>
                              <w:rPr>
                                <w:rFonts w:eastAsia="Arial" w:cs="Arial"/>
                                <w:iCs/>
                                <w:szCs w:val="22"/>
                              </w:rPr>
                              <w:t>…</w:t>
                            </w:r>
                            <w:r w:rsidRPr="00B23EC0">
                              <w:rPr>
                                <w:rFonts w:eastAsia="Arial" w:cs="Arial"/>
                                <w:iCs/>
                                <w:szCs w:val="22"/>
                              </w:rPr>
                              <w:t>.</w:t>
                            </w:r>
                          </w:p>
                          <w:p w14:paraId="1BFB0406" w14:textId="77777777" w:rsidR="001E517E" w:rsidRPr="00F747DA" w:rsidRDefault="001E517E" w:rsidP="001E517E">
                            <w:pPr>
                              <w:shd w:val="clear" w:color="auto" w:fill="FDE9D9" w:themeFill="accent6" w:themeFillTint="33"/>
                              <w:spacing w:line="276" w:lineRule="auto"/>
                              <w:rPr>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001DCB" id="_x0000_t202" coordsize="21600,21600" o:spt="202" path="m,l,21600r21600,l21600,xe">
                <v:stroke joinstyle="miter"/>
                <v:path gradientshapeok="t" o:connecttype="rect"/>
              </v:shapetype>
              <v:shape id="Text Box 2" o:spid="_x0000_s1026" type="#_x0000_t202" style="position:absolute;margin-left:0;margin-top:28.6pt;width:477.5pt;height:110.6pt;z-index:251658241;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" fillcolor="#fde9d9 [665]">
                <v:textbox style="mso-fit-shape-to-text:t">
                  <w:txbxContent>
                    <w:p w14:paraId="49F4AC4B" w14:textId="77777777" w:rsidR="001E517E" w:rsidRPr="00F747DA" w:rsidRDefault="001E517E" w:rsidP="001E517E">
                      <w:pPr>
                        <w:shd w:val="clear" w:color="auto" w:fill="FDE9D9" w:themeFill="accent6" w:themeFillTint="33"/>
                        <w:spacing w:line="276" w:lineRule="auto"/>
                        <w:rPr>
                          <w:rFonts w:eastAsia="Arial" w:cs="Arial"/>
                          <w:i/>
                          <w:szCs w:val="22"/>
                        </w:rPr>
                      </w:pPr>
                      <w:r w:rsidRPr="00F747DA">
                        <w:rPr>
                          <w:rFonts w:eastAsia="Arial" w:cs="Arial"/>
                          <w:spacing w:val="3"/>
                          <w:szCs w:val="22"/>
                        </w:rPr>
                        <w:t xml:space="preserve">In the “List of issues prior to submission of the combined second and third periodic reports of Canada” (LOI), </w:t>
                      </w:r>
                      <w:r w:rsidRPr="00F747DA">
                        <w:rPr>
                          <w:rFonts w:eastAsia="Arial" w:cs="Arial"/>
                          <w:szCs w:val="22"/>
                        </w:rPr>
                        <w:t>t</w:t>
                      </w:r>
                      <w:r w:rsidRPr="00F747DA">
                        <w:rPr>
                          <w:rFonts w:eastAsia="Arial" w:cs="Arial"/>
                          <w:spacing w:val="1"/>
                          <w:szCs w:val="22"/>
                        </w:rPr>
                        <w:t>h</w:t>
                      </w:r>
                      <w:r w:rsidRPr="00F747DA">
                        <w:rPr>
                          <w:rFonts w:eastAsia="Arial" w:cs="Arial"/>
                          <w:szCs w:val="22"/>
                        </w:rPr>
                        <w:t>e</w:t>
                      </w:r>
                      <w:r w:rsidRPr="00F747DA">
                        <w:rPr>
                          <w:rFonts w:eastAsia="Arial" w:cs="Arial"/>
                          <w:spacing w:val="-5"/>
                          <w:szCs w:val="22"/>
                        </w:rPr>
                        <w:t xml:space="preserve"> </w:t>
                      </w:r>
                      <w:r w:rsidRPr="00F747DA">
                        <w:rPr>
                          <w:rFonts w:eastAsia="Arial" w:cs="Arial"/>
                          <w:szCs w:val="22"/>
                        </w:rPr>
                        <w:t>C</w:t>
                      </w:r>
                      <w:r w:rsidRPr="00F747DA">
                        <w:rPr>
                          <w:rFonts w:eastAsia="Arial" w:cs="Arial"/>
                          <w:spacing w:val="1"/>
                          <w:szCs w:val="22"/>
                        </w:rPr>
                        <w:t>omm</w:t>
                      </w:r>
                      <w:r w:rsidRPr="00F747DA">
                        <w:rPr>
                          <w:rFonts w:eastAsia="Arial" w:cs="Arial"/>
                          <w:szCs w:val="22"/>
                        </w:rPr>
                        <w:t>i</w:t>
                      </w:r>
                      <w:r w:rsidRPr="00F747DA">
                        <w:rPr>
                          <w:rFonts w:eastAsia="Arial" w:cs="Arial"/>
                          <w:spacing w:val="1"/>
                          <w:szCs w:val="22"/>
                        </w:rPr>
                        <w:t>tt</w:t>
                      </w:r>
                      <w:r w:rsidRPr="00F747DA">
                        <w:rPr>
                          <w:rFonts w:eastAsia="Arial" w:cs="Arial"/>
                          <w:szCs w:val="22"/>
                        </w:rPr>
                        <w:t>ee</w:t>
                      </w:r>
                      <w:r w:rsidRPr="00F747DA">
                        <w:rPr>
                          <w:rFonts w:eastAsia="Arial" w:cs="Arial"/>
                          <w:spacing w:val="-11"/>
                          <w:szCs w:val="22"/>
                        </w:rPr>
                        <w:t xml:space="preserve"> </w:t>
                      </w:r>
                      <w:r w:rsidRPr="00F747DA">
                        <w:rPr>
                          <w:rFonts w:eastAsia="Arial" w:cs="Arial"/>
                          <w:szCs w:val="22"/>
                        </w:rPr>
                        <w:t>as</w:t>
                      </w:r>
                      <w:r w:rsidRPr="00F747DA">
                        <w:rPr>
                          <w:rFonts w:eastAsia="Arial" w:cs="Arial"/>
                          <w:spacing w:val="2"/>
                          <w:szCs w:val="22"/>
                        </w:rPr>
                        <w:t>k</w:t>
                      </w:r>
                      <w:r w:rsidRPr="00F747DA">
                        <w:rPr>
                          <w:rFonts w:eastAsia="Arial" w:cs="Arial"/>
                          <w:szCs w:val="22"/>
                        </w:rPr>
                        <w:t>ed of Canada:</w:t>
                      </w:r>
                    </w:p>
                    <w:p w14:paraId="5DF62609" w14:textId="77777777" w:rsidR="001E517E" w:rsidRPr="00397D2F" w:rsidRDefault="001E517E" w:rsidP="001E517E">
                      <w:pPr>
                        <w:shd w:val="clear" w:color="auto" w:fill="FDE9D9" w:themeFill="accent6" w:themeFillTint="33"/>
                        <w:spacing w:line="276" w:lineRule="auto"/>
                        <w:rPr>
                          <w:rFonts w:eastAsia="Arial" w:cs="Arial"/>
                          <w:iCs/>
                          <w:szCs w:val="22"/>
                        </w:rPr>
                      </w:pPr>
                    </w:p>
                    <w:p w14:paraId="471E0DFF" w14:textId="77777777" w:rsidR="001E517E" w:rsidRDefault="001E517E" w:rsidP="001E517E">
                      <w:pPr>
                        <w:shd w:val="clear" w:color="auto" w:fill="FDE9D9" w:themeFill="accent6" w:themeFillTint="33"/>
                        <w:spacing w:line="276" w:lineRule="auto"/>
                        <w:rPr>
                          <w:rFonts w:eastAsia="Arial" w:cs="Arial"/>
                          <w:iCs/>
                          <w:szCs w:val="22"/>
                        </w:rPr>
                      </w:pPr>
                      <w:r w:rsidRPr="00397D2F">
                        <w:rPr>
                          <w:rFonts w:eastAsia="Arial" w:cs="Arial"/>
                          <w:iCs/>
                          <w:szCs w:val="22"/>
                        </w:rPr>
                        <w:t xml:space="preserve"> 3. Please provide information about measures taken to implement the Committee’s recommendations contained in paragraph 14 of its previous concluding observations (CRPD/C/CAN/CO/1), </w:t>
                      </w:r>
                      <w:proofErr w:type="gramStart"/>
                      <w:r w:rsidRPr="00397D2F">
                        <w:rPr>
                          <w:rFonts w:eastAsia="Arial" w:cs="Arial"/>
                          <w:iCs/>
                          <w:szCs w:val="22"/>
                        </w:rPr>
                        <w:t>in particular on</w:t>
                      </w:r>
                      <w:proofErr w:type="gramEnd"/>
                      <w:r>
                        <w:rPr>
                          <w:rFonts w:eastAsia="Arial" w:cs="Arial"/>
                          <w:iCs/>
                          <w:szCs w:val="22"/>
                        </w:rPr>
                        <w:t xml:space="preserve"> … </w:t>
                      </w:r>
                      <w:r w:rsidRPr="00B171D1">
                        <w:rPr>
                          <w:rFonts w:eastAsia="Arial" w:cs="Arial"/>
                          <w:iCs/>
                          <w:szCs w:val="22"/>
                        </w:rPr>
                        <w:t xml:space="preserve">(c) </w:t>
                      </w:r>
                      <w:r w:rsidRPr="002E0332">
                        <w:rPr>
                          <w:rFonts w:eastAsia="Arial" w:cs="Arial"/>
                          <w:b/>
                          <w:bCs/>
                          <w:iCs/>
                          <w:szCs w:val="22"/>
                        </w:rPr>
                        <w:t>Measures taken at all levels of government to eliminate inequality and discrimination faced by persons with disabilities</w:t>
                      </w:r>
                      <w:r>
                        <w:rPr>
                          <w:rFonts w:eastAsia="Arial" w:cs="Arial"/>
                          <w:iCs/>
                          <w:szCs w:val="22"/>
                        </w:rPr>
                        <w:t>. …</w:t>
                      </w:r>
                    </w:p>
                    <w:p w14:paraId="670BCA99" w14:textId="77777777" w:rsidR="001E517E" w:rsidRPr="00F747DA" w:rsidRDefault="001E517E" w:rsidP="001E517E">
                      <w:pPr>
                        <w:shd w:val="clear" w:color="auto" w:fill="FDE9D9" w:themeFill="accent6" w:themeFillTint="33"/>
                        <w:spacing w:line="276" w:lineRule="auto"/>
                        <w:rPr>
                          <w:rFonts w:eastAsia="Arial" w:cs="Arial"/>
                          <w:iCs/>
                          <w:szCs w:val="22"/>
                        </w:rPr>
                      </w:pPr>
                    </w:p>
                    <w:p w14:paraId="4A683D0D" w14:textId="77777777" w:rsidR="001E517E" w:rsidRDefault="001E517E" w:rsidP="001E517E">
                      <w:pPr>
                        <w:shd w:val="clear" w:color="auto" w:fill="FDE9D9" w:themeFill="accent6" w:themeFillTint="33"/>
                        <w:spacing w:line="276" w:lineRule="auto"/>
                        <w:rPr>
                          <w:rFonts w:eastAsia="Arial" w:cs="Arial"/>
                          <w:iCs/>
                          <w:szCs w:val="22"/>
                        </w:rPr>
                      </w:pPr>
                      <w:r w:rsidRPr="00B23EC0">
                        <w:rPr>
                          <w:rFonts w:eastAsia="Arial" w:cs="Arial"/>
                          <w:iCs/>
                          <w:szCs w:val="22"/>
                        </w:rPr>
                        <w:t xml:space="preserve">15. Please provide information on the </w:t>
                      </w:r>
                      <w:r w:rsidRPr="00B23EC0">
                        <w:rPr>
                          <w:rFonts w:eastAsia="Arial" w:cs="Arial"/>
                          <w:b/>
                          <w:bCs/>
                          <w:iCs/>
                          <w:szCs w:val="22"/>
                        </w:rPr>
                        <w:t>measures taken to address all forms of violence, including sexual violence against women and girls with disabilities, in particular indigenous women</w:t>
                      </w:r>
                      <w:r w:rsidRPr="00B23EC0">
                        <w:rPr>
                          <w:rFonts w:eastAsia="Arial" w:cs="Arial"/>
                          <w:iCs/>
                          <w:szCs w:val="22"/>
                        </w:rPr>
                        <w:t>, women with intellectual or psychosocial disabilities, persons with disabilities in family settings and in institutions</w:t>
                      </w:r>
                      <w:r>
                        <w:rPr>
                          <w:rFonts w:eastAsia="Arial" w:cs="Arial"/>
                          <w:iCs/>
                          <w:szCs w:val="22"/>
                        </w:rPr>
                        <w:t>…</w:t>
                      </w:r>
                      <w:r w:rsidRPr="00B23EC0">
                        <w:rPr>
                          <w:rFonts w:eastAsia="Arial" w:cs="Arial"/>
                          <w:iCs/>
                          <w:szCs w:val="22"/>
                        </w:rPr>
                        <w:t>.</w:t>
                      </w:r>
                    </w:p>
                    <w:p w14:paraId="1BFB0406" w14:textId="77777777" w:rsidR="001E517E" w:rsidRPr="00F747DA" w:rsidRDefault="001E517E" w:rsidP="001E517E">
                      <w:pPr>
                        <w:shd w:val="clear" w:color="auto" w:fill="FDE9D9" w:themeFill="accent6" w:themeFillTint="33"/>
                        <w:spacing w:line="276" w:lineRule="auto"/>
                        <w:rPr>
                          <w:szCs w:val="22"/>
                        </w:rPr>
                      </w:pPr>
                    </w:p>
                  </w:txbxContent>
                </v:textbox>
                <w10:wrap type="square" anchorx="margin"/>
              </v:shape>
            </w:pict>
          </mc:Fallback>
        </mc:AlternateContent>
      </w:r>
      <w:r w:rsidR="00021DC5" w:rsidRPr="00D3146D">
        <w:rPr>
          <w:sz w:val="28"/>
          <w:szCs w:val="28"/>
        </w:rPr>
        <w:t xml:space="preserve"> </w:t>
      </w:r>
      <w:r w:rsidR="001E517E" w:rsidRPr="00BC3C3D">
        <w:rPr>
          <w:rFonts w:eastAsia="Hiragino Kaku Gothic Pro W3" w:cs="Arial"/>
          <w:b/>
          <w:caps/>
          <w:color w:val="000000"/>
          <w:kern w:val="1"/>
          <w:sz w:val="28"/>
          <w:szCs w:val="28"/>
          <w:lang w:eastAsia="ar-SA"/>
        </w:rPr>
        <w:t>Article 5</w:t>
      </w:r>
      <w:r w:rsidR="001E517E">
        <w:rPr>
          <w:rFonts w:eastAsia="Hiragino Kaku Gothic Pro W3" w:cs="Arial"/>
          <w:b/>
          <w:caps/>
          <w:color w:val="000000"/>
          <w:kern w:val="1"/>
          <w:sz w:val="28"/>
          <w:szCs w:val="28"/>
          <w:lang w:eastAsia="ar-SA"/>
        </w:rPr>
        <w:t>:</w:t>
      </w:r>
      <w:r w:rsidR="001E517E" w:rsidRPr="00BC3C3D">
        <w:rPr>
          <w:rFonts w:eastAsia="Hiragino Kaku Gothic Pro W3" w:cs="Arial"/>
          <w:b/>
          <w:caps/>
          <w:color w:val="000000"/>
          <w:kern w:val="1"/>
          <w:sz w:val="28"/>
          <w:szCs w:val="28"/>
          <w:lang w:eastAsia="ar-SA"/>
        </w:rPr>
        <w:t xml:space="preserve"> Equality and non-discrimination</w:t>
      </w:r>
      <w:r w:rsidR="001E517E">
        <w:rPr>
          <w:rFonts w:eastAsia="Hiragino Kaku Gothic Pro W3" w:cs="Arial"/>
          <w:b/>
          <w:caps/>
          <w:color w:val="000000"/>
          <w:kern w:val="1"/>
          <w:sz w:val="28"/>
          <w:szCs w:val="28"/>
          <w:lang w:eastAsia="ar-SA"/>
        </w:rPr>
        <w:t xml:space="preserve"> </w:t>
      </w:r>
    </w:p>
    <w:p w14:paraId="1424FE8D" w14:textId="16C8E84C" w:rsidR="001E517E" w:rsidRPr="00F747DA" w:rsidRDefault="001E517E" w:rsidP="006A7FFC">
      <w:pPr>
        <w:spacing w:line="276" w:lineRule="auto"/>
        <w:rPr>
          <w:rFonts w:eastAsia="Hiragino Kaku Gothic Pro W3" w:cs="Arial"/>
          <w:b/>
          <w:caps/>
          <w:color w:val="000000"/>
          <w:kern w:val="1"/>
          <w:szCs w:val="22"/>
          <w:lang w:eastAsia="ar-SA"/>
        </w:rPr>
      </w:pPr>
    </w:p>
    <w:p w14:paraId="6A461779" w14:textId="60673BDA" w:rsidR="005F07D9" w:rsidRPr="00F747DA" w:rsidRDefault="001E517E" w:rsidP="006A7FFC">
      <w:pPr>
        <w:pStyle w:val="ListParagraph"/>
        <w:numPr>
          <w:ilvl w:val="0"/>
          <w:numId w:val="21"/>
        </w:numPr>
        <w:spacing w:line="276" w:lineRule="auto"/>
        <w:rPr>
          <w:b/>
          <w:caps/>
          <w:kern w:val="1"/>
          <w:szCs w:val="22"/>
          <w:lang w:val="en-CA"/>
        </w:rPr>
      </w:pPr>
      <w:r w:rsidRPr="00F747DA">
        <w:rPr>
          <w:szCs w:val="22"/>
          <w:lang w:val="en-CA"/>
        </w:rPr>
        <w:t xml:space="preserve">Canada has recognized HIV as a disability in its jurisprudence and legislation. The </w:t>
      </w:r>
      <w:r w:rsidRPr="00F747DA">
        <w:rPr>
          <w:i/>
          <w:szCs w:val="22"/>
          <w:lang w:val="en-CA"/>
        </w:rPr>
        <w:t>Canadian Charter of Rights and Freedoms</w:t>
      </w:r>
      <w:r w:rsidRPr="00F747DA">
        <w:rPr>
          <w:szCs w:val="22"/>
          <w:lang w:val="en-CA"/>
        </w:rPr>
        <w:t xml:space="preserve"> (“Charter”), embedded in </w:t>
      </w:r>
      <w:r>
        <w:rPr>
          <w:szCs w:val="22"/>
          <w:lang w:val="en-CA"/>
        </w:rPr>
        <w:t>Canada’s</w:t>
      </w:r>
      <w:r w:rsidRPr="00F747DA">
        <w:rPr>
          <w:szCs w:val="22"/>
          <w:lang w:val="en-CA"/>
        </w:rPr>
        <w:t xml:space="preserve"> Constitution, guarantees “the right of equal protection and equal benefit of law … without discrimination based on … physical disability.”</w:t>
      </w:r>
      <w:r w:rsidR="005F07D9" w:rsidRPr="00F747DA">
        <w:rPr>
          <w:szCs w:val="22"/>
          <w:vertAlign w:val="superscript"/>
          <w:lang w:val="en-CA"/>
        </w:rPr>
        <w:endnoteReference w:id="2"/>
      </w:r>
      <w:r w:rsidR="005F07D9" w:rsidRPr="00F747DA">
        <w:rPr>
          <w:szCs w:val="22"/>
          <w:lang w:val="en-CA"/>
        </w:rPr>
        <w:t xml:space="preserve"> Courts and tribunals have read “disability” in the context of the Charter and other legislation to apply to HIV and AIDS</w:t>
      </w:r>
      <w:r w:rsidR="005F07D9">
        <w:rPr>
          <w:szCs w:val="22"/>
          <w:lang w:val="en-CA"/>
        </w:rPr>
        <w:t>,</w:t>
      </w:r>
      <w:r w:rsidR="005F07D9" w:rsidRPr="00F747DA">
        <w:rPr>
          <w:szCs w:val="22"/>
          <w:vertAlign w:val="superscript"/>
          <w:lang w:val="en-CA"/>
        </w:rPr>
        <w:endnoteReference w:id="3"/>
      </w:r>
      <w:r w:rsidR="005F07D9" w:rsidRPr="00F747DA">
        <w:rPr>
          <w:szCs w:val="22"/>
          <w:lang w:val="en-CA"/>
        </w:rPr>
        <w:t xml:space="preserve"> </w:t>
      </w:r>
      <w:r w:rsidR="005F07D9">
        <w:rPr>
          <w:szCs w:val="22"/>
          <w:lang w:val="en-CA"/>
        </w:rPr>
        <w:t xml:space="preserve">and all provinces and territories in Canada interpret </w:t>
      </w:r>
      <w:r w:rsidR="005F07D9" w:rsidRPr="00F747DA">
        <w:rPr>
          <w:szCs w:val="22"/>
          <w:lang w:val="en-CA"/>
        </w:rPr>
        <w:t xml:space="preserve">a person’s HIV-positive status as grounds on which a person is protected from </w:t>
      </w:r>
      <w:r w:rsidR="005F07D9">
        <w:rPr>
          <w:szCs w:val="22"/>
          <w:lang w:val="en-CA"/>
        </w:rPr>
        <w:t xml:space="preserve">disability-related </w:t>
      </w:r>
      <w:r w:rsidR="005F07D9" w:rsidRPr="00F747DA">
        <w:rPr>
          <w:szCs w:val="22"/>
          <w:lang w:val="en-CA"/>
        </w:rPr>
        <w:t>discrimination.</w:t>
      </w:r>
      <w:r w:rsidR="005F07D9" w:rsidRPr="00F747DA">
        <w:rPr>
          <w:szCs w:val="22"/>
          <w:vertAlign w:val="superscript"/>
          <w:lang w:val="en-CA"/>
        </w:rPr>
        <w:endnoteReference w:id="4"/>
      </w:r>
    </w:p>
    <w:p w14:paraId="1DFF7C43" w14:textId="77777777" w:rsidR="005F07D9" w:rsidRPr="00F747DA" w:rsidRDefault="005F07D9" w:rsidP="006A7FFC">
      <w:pPr>
        <w:pStyle w:val="ListParagraph"/>
        <w:spacing w:line="276" w:lineRule="auto"/>
        <w:ind w:left="360"/>
        <w:rPr>
          <w:b/>
          <w:caps/>
          <w:kern w:val="1"/>
          <w:szCs w:val="22"/>
          <w:lang w:val="en-CA"/>
        </w:rPr>
      </w:pPr>
    </w:p>
    <w:p w14:paraId="12C3C063" w14:textId="0B991AFE" w:rsidR="005F07D9" w:rsidRPr="003978A6" w:rsidRDefault="005F07D9" w:rsidP="006A7FFC">
      <w:pPr>
        <w:pStyle w:val="ListParagraph"/>
        <w:numPr>
          <w:ilvl w:val="0"/>
          <w:numId w:val="21"/>
        </w:numPr>
        <w:spacing w:line="276" w:lineRule="auto"/>
        <w:rPr>
          <w:b/>
          <w:caps/>
          <w:kern w:val="1"/>
          <w:szCs w:val="22"/>
          <w:lang w:val="en-CA"/>
        </w:rPr>
      </w:pPr>
      <w:r>
        <w:rPr>
          <w:szCs w:val="22"/>
          <w:lang w:val="en-CA"/>
        </w:rPr>
        <w:t xml:space="preserve">Despite this, </w:t>
      </w:r>
      <w:r w:rsidRPr="009B3F80">
        <w:rPr>
          <w:b/>
          <w:bCs/>
          <w:szCs w:val="22"/>
          <w:lang w:val="en-CA"/>
        </w:rPr>
        <w:t>Canada continues to criminalize people living with HIV for alleged non-disclosure to sexual partners</w:t>
      </w:r>
      <w:r>
        <w:rPr>
          <w:szCs w:val="22"/>
          <w:lang w:val="en-CA"/>
        </w:rPr>
        <w:t>, in an approach that</w:t>
      </w:r>
      <w:r w:rsidRPr="00F747DA">
        <w:rPr>
          <w:szCs w:val="22"/>
          <w:lang w:val="en-CA"/>
        </w:rPr>
        <w:t xml:space="preserve"> is at odds with scientific evidence about the risk of transmission. With </w:t>
      </w:r>
      <w:r>
        <w:rPr>
          <w:szCs w:val="22"/>
          <w:lang w:val="en-CA"/>
        </w:rPr>
        <w:t>at least</w:t>
      </w:r>
      <w:r w:rsidRPr="00F747DA">
        <w:rPr>
          <w:szCs w:val="22"/>
          <w:lang w:val="en-CA"/>
        </w:rPr>
        <w:t xml:space="preserve"> 225 people </w:t>
      </w:r>
      <w:r>
        <w:rPr>
          <w:szCs w:val="22"/>
          <w:lang w:val="en-CA"/>
        </w:rPr>
        <w:t xml:space="preserve">criminally </w:t>
      </w:r>
      <w:r w:rsidRPr="00F747DA">
        <w:rPr>
          <w:szCs w:val="22"/>
          <w:lang w:val="en-CA"/>
        </w:rPr>
        <w:t>charged to date for not disclosing their HIV-positive status to their sexual partners</w:t>
      </w:r>
      <w:r>
        <w:rPr>
          <w:szCs w:val="22"/>
          <w:lang w:val="en-CA"/>
        </w:rPr>
        <w:t xml:space="preserve"> </w:t>
      </w:r>
      <w:r w:rsidRPr="00F747DA">
        <w:rPr>
          <w:szCs w:val="22"/>
          <w:lang w:val="en-CA"/>
        </w:rPr>
        <w:t>before sex</w:t>
      </w:r>
      <w:r>
        <w:rPr>
          <w:szCs w:val="22"/>
          <w:lang w:val="en-CA"/>
        </w:rPr>
        <w:t>,</w:t>
      </w:r>
      <w:r w:rsidRPr="00F747DA">
        <w:rPr>
          <w:szCs w:val="22"/>
          <w:lang w:val="en-CA"/>
        </w:rPr>
        <w:t xml:space="preserve"> Canada has the dubious distinction of being a world leader in prosecuting people living with HIV.</w:t>
      </w:r>
      <w:r w:rsidRPr="00F747DA">
        <w:rPr>
          <w:szCs w:val="22"/>
          <w:vertAlign w:val="superscript"/>
          <w:lang w:val="en-CA"/>
        </w:rPr>
        <w:endnoteReference w:id="5"/>
      </w:r>
      <w:r w:rsidRPr="00F747DA">
        <w:rPr>
          <w:szCs w:val="22"/>
          <w:lang w:val="en-CA"/>
        </w:rPr>
        <w:t xml:space="preserve"> </w:t>
      </w:r>
    </w:p>
    <w:p w14:paraId="7AB843BE" w14:textId="77777777" w:rsidR="005F07D9" w:rsidRPr="00C63023" w:rsidRDefault="005F07D9" w:rsidP="00AE7BB1">
      <w:pPr>
        <w:pStyle w:val="ListParagraph"/>
        <w:spacing w:line="276" w:lineRule="auto"/>
        <w:rPr>
          <w:szCs w:val="22"/>
          <w:lang w:val="en-CA"/>
        </w:rPr>
      </w:pPr>
    </w:p>
    <w:p w14:paraId="6D4EE11E" w14:textId="3F3FAD4F" w:rsidR="005F07D9" w:rsidRPr="00173AAE" w:rsidRDefault="005F07D9" w:rsidP="006A7FFC">
      <w:pPr>
        <w:pStyle w:val="ListParagraph"/>
        <w:numPr>
          <w:ilvl w:val="0"/>
          <w:numId w:val="21"/>
        </w:numPr>
        <w:spacing w:line="276" w:lineRule="auto"/>
        <w:rPr>
          <w:b/>
          <w:caps/>
          <w:kern w:val="1"/>
          <w:szCs w:val="22"/>
          <w:lang w:val="en-CA"/>
        </w:rPr>
      </w:pPr>
      <w:r w:rsidRPr="00F747DA">
        <w:rPr>
          <w:szCs w:val="22"/>
          <w:lang w:val="en-CA"/>
        </w:rPr>
        <w:t xml:space="preserve">Based on </w:t>
      </w:r>
      <w:r>
        <w:rPr>
          <w:szCs w:val="22"/>
          <w:lang w:val="en-CA"/>
        </w:rPr>
        <w:t>a</w:t>
      </w:r>
      <w:r w:rsidRPr="00F747DA">
        <w:rPr>
          <w:szCs w:val="22"/>
          <w:lang w:val="en-CA"/>
        </w:rPr>
        <w:t xml:space="preserve"> </w:t>
      </w:r>
      <w:r>
        <w:rPr>
          <w:szCs w:val="22"/>
          <w:lang w:val="en-CA"/>
        </w:rPr>
        <w:t>2012 decision from the</w:t>
      </w:r>
      <w:r w:rsidRPr="00F747DA">
        <w:rPr>
          <w:szCs w:val="22"/>
          <w:lang w:val="en-CA"/>
        </w:rPr>
        <w:t xml:space="preserve"> Supreme Court of Canada </w:t>
      </w:r>
      <w:r>
        <w:rPr>
          <w:szCs w:val="22"/>
          <w:lang w:val="en-CA"/>
        </w:rPr>
        <w:t xml:space="preserve">in </w:t>
      </w:r>
      <w:r w:rsidRPr="00F747DA">
        <w:rPr>
          <w:i/>
          <w:szCs w:val="22"/>
          <w:lang w:val="en-CA"/>
        </w:rPr>
        <w:t>R v</w:t>
      </w:r>
      <w:r>
        <w:rPr>
          <w:i/>
          <w:szCs w:val="22"/>
          <w:lang w:val="en-CA"/>
        </w:rPr>
        <w:t xml:space="preserve"> </w:t>
      </w:r>
      <w:r w:rsidRPr="00F747DA">
        <w:rPr>
          <w:i/>
          <w:szCs w:val="22"/>
          <w:lang w:val="en-CA"/>
        </w:rPr>
        <w:t>Mabior</w:t>
      </w:r>
      <w:r w:rsidRPr="00F747DA">
        <w:rPr>
          <w:szCs w:val="22"/>
          <w:lang w:val="en-CA"/>
        </w:rPr>
        <w:t>, 2012 SCC 47, people living with HIV in Canada are at risk of prosecution and conviction for non-disclosure of their HIV-positive status even if there was no transmission, they had no intention to harm their sexual partner, and they</w:t>
      </w:r>
      <w:r w:rsidRPr="004773F1">
        <w:rPr>
          <w:szCs w:val="22"/>
          <w:lang w:val="en-CA"/>
        </w:rPr>
        <w:t xml:space="preserve"> took reasonable precautions to prevent transmission</w:t>
      </w:r>
      <w:r w:rsidRPr="00F747DA">
        <w:rPr>
          <w:szCs w:val="22"/>
          <w:lang w:val="en-CA"/>
        </w:rPr>
        <w:t xml:space="preserve">. The </w:t>
      </w:r>
      <w:r w:rsidRPr="00F747DA">
        <w:rPr>
          <w:szCs w:val="22"/>
          <w:lang w:val="en-CA"/>
        </w:rPr>
        <w:lastRenderedPageBreak/>
        <w:t xml:space="preserve">decision was widely criticized for being at odds with international recommendations and human rights standards as well as </w:t>
      </w:r>
      <w:r>
        <w:rPr>
          <w:szCs w:val="22"/>
          <w:lang w:val="en-CA"/>
        </w:rPr>
        <w:t>scientific consensus</w:t>
      </w:r>
      <w:r w:rsidRPr="00F747DA">
        <w:rPr>
          <w:szCs w:val="22"/>
          <w:lang w:val="en-CA"/>
        </w:rPr>
        <w:t xml:space="preserve"> on </w:t>
      </w:r>
      <w:r>
        <w:rPr>
          <w:szCs w:val="22"/>
          <w:lang w:val="en-CA"/>
        </w:rPr>
        <w:t xml:space="preserve">the risk of </w:t>
      </w:r>
      <w:r w:rsidRPr="00F747DA">
        <w:rPr>
          <w:szCs w:val="22"/>
          <w:lang w:val="en-CA"/>
        </w:rPr>
        <w:t>HIV</w:t>
      </w:r>
      <w:r>
        <w:rPr>
          <w:szCs w:val="22"/>
          <w:lang w:val="en-CA"/>
        </w:rPr>
        <w:t xml:space="preserve"> transmission</w:t>
      </w:r>
      <w:r w:rsidRPr="00F747DA">
        <w:rPr>
          <w:szCs w:val="22"/>
          <w:lang w:val="en-CA"/>
        </w:rPr>
        <w:t>.</w:t>
      </w:r>
      <w:r w:rsidRPr="00F747DA">
        <w:rPr>
          <w:szCs w:val="22"/>
          <w:vertAlign w:val="superscript"/>
          <w:lang w:val="en-CA"/>
        </w:rPr>
        <w:endnoteReference w:id="6"/>
      </w:r>
      <w:r w:rsidRPr="00F747DA">
        <w:rPr>
          <w:szCs w:val="22"/>
          <w:lang w:val="en-CA"/>
        </w:rPr>
        <w:t xml:space="preserve"> </w:t>
      </w:r>
    </w:p>
    <w:p w14:paraId="061F2062" w14:textId="77777777" w:rsidR="005F07D9" w:rsidRPr="00173AAE" w:rsidRDefault="005F07D9" w:rsidP="00AE7BB1">
      <w:pPr>
        <w:pStyle w:val="ListParagraph"/>
        <w:spacing w:line="276" w:lineRule="auto"/>
        <w:rPr>
          <w:szCs w:val="22"/>
          <w:lang w:val="en-CA"/>
        </w:rPr>
      </w:pPr>
    </w:p>
    <w:p w14:paraId="7329F30A" w14:textId="24677CB9" w:rsidR="005F07D9" w:rsidRPr="00616F31" w:rsidRDefault="005F07D9" w:rsidP="006A7FFC">
      <w:pPr>
        <w:pStyle w:val="ListParagraph"/>
        <w:numPr>
          <w:ilvl w:val="0"/>
          <w:numId w:val="21"/>
        </w:numPr>
        <w:spacing w:line="276" w:lineRule="auto"/>
        <w:rPr>
          <w:b/>
          <w:caps/>
          <w:kern w:val="1"/>
          <w:szCs w:val="22"/>
          <w:lang w:val="en-CA"/>
        </w:rPr>
      </w:pPr>
      <w:r>
        <w:rPr>
          <w:szCs w:val="22"/>
          <w:lang w:val="en-CA"/>
        </w:rPr>
        <w:t>Most cases of HIV non-disclosure are also prosecuted as</w:t>
      </w:r>
      <w:r w:rsidRPr="00F747DA">
        <w:rPr>
          <w:szCs w:val="22"/>
          <w:lang w:val="en-CA"/>
        </w:rPr>
        <w:t xml:space="preserve"> </w:t>
      </w:r>
      <w:r w:rsidRPr="00F747DA">
        <w:rPr>
          <w:i/>
          <w:szCs w:val="22"/>
          <w:lang w:val="en-CA"/>
        </w:rPr>
        <w:t>aggravated sexual assault</w:t>
      </w:r>
      <w:r w:rsidRPr="00F747DA">
        <w:rPr>
          <w:szCs w:val="22"/>
          <w:lang w:val="en-CA"/>
        </w:rPr>
        <w:t xml:space="preserve"> — a</w:t>
      </w:r>
      <w:r>
        <w:rPr>
          <w:szCs w:val="22"/>
          <w:lang w:val="en-CA"/>
        </w:rPr>
        <w:t xml:space="preserve"> criminal</w:t>
      </w:r>
      <w:r w:rsidRPr="00F747DA">
        <w:rPr>
          <w:szCs w:val="22"/>
          <w:lang w:val="en-CA"/>
        </w:rPr>
        <w:t xml:space="preserve"> offence that carries a maximum penalty of life imprisonment and </w:t>
      </w:r>
      <w:r>
        <w:rPr>
          <w:szCs w:val="22"/>
          <w:lang w:val="en-CA"/>
        </w:rPr>
        <w:t xml:space="preserve">potential </w:t>
      </w:r>
      <w:r w:rsidRPr="00F747DA">
        <w:rPr>
          <w:szCs w:val="22"/>
          <w:lang w:val="en-CA"/>
        </w:rPr>
        <w:t>registration as a sexual offender for a minimum of 20 years</w:t>
      </w:r>
      <w:r>
        <w:rPr>
          <w:szCs w:val="22"/>
          <w:lang w:val="en-CA"/>
        </w:rPr>
        <w:t>.</w:t>
      </w:r>
      <w:r w:rsidRPr="00F747DA">
        <w:rPr>
          <w:szCs w:val="22"/>
          <w:lang w:val="en-CA"/>
        </w:rPr>
        <w:t xml:space="preserve"> </w:t>
      </w:r>
      <w:r w:rsidRPr="00616F31">
        <w:rPr>
          <w:szCs w:val="22"/>
        </w:rPr>
        <w:t xml:space="preserve">Some Canadian jurisdictions provide prosecutorial guidance to limit </w:t>
      </w:r>
      <w:r>
        <w:rPr>
          <w:szCs w:val="22"/>
        </w:rPr>
        <w:t xml:space="preserve">HIV </w:t>
      </w:r>
      <w:r w:rsidRPr="00616F31">
        <w:rPr>
          <w:szCs w:val="22"/>
        </w:rPr>
        <w:t>criminalization, including where a person has a suppressed viral load.</w:t>
      </w:r>
      <w:r w:rsidRPr="00F747DA">
        <w:rPr>
          <w:vertAlign w:val="superscript"/>
        </w:rPr>
        <w:endnoteReference w:id="7"/>
      </w:r>
      <w:r w:rsidRPr="00616F31">
        <w:rPr>
          <w:szCs w:val="22"/>
        </w:rPr>
        <w:t xml:space="preserve"> However, the law is applied inconsistently across Canada, fueling fear of continued threats of criminalization for people living with HIV. </w:t>
      </w:r>
    </w:p>
    <w:p w14:paraId="2B5DC39D" w14:textId="77777777" w:rsidR="005F07D9" w:rsidRPr="00BB0E8D" w:rsidRDefault="005F07D9" w:rsidP="00BD142A">
      <w:pPr>
        <w:pStyle w:val="ListParagraph"/>
        <w:spacing w:line="276" w:lineRule="auto"/>
        <w:rPr>
          <w:szCs w:val="22"/>
          <w:lang w:val="en-CA"/>
        </w:rPr>
      </w:pPr>
    </w:p>
    <w:p w14:paraId="52B3F82A" w14:textId="03359ECD" w:rsidR="005F07D9" w:rsidRPr="00BD142A" w:rsidRDefault="005F07D9" w:rsidP="006A7FFC">
      <w:pPr>
        <w:pStyle w:val="ListParagraph"/>
        <w:numPr>
          <w:ilvl w:val="0"/>
          <w:numId w:val="21"/>
        </w:numPr>
        <w:spacing w:line="276" w:lineRule="auto"/>
        <w:rPr>
          <w:b/>
          <w:caps/>
          <w:kern w:val="1"/>
          <w:szCs w:val="22"/>
        </w:rPr>
      </w:pPr>
      <w:r w:rsidRPr="00EE5C4E">
        <w:rPr>
          <w:szCs w:val="22"/>
          <w:lang w:val="en-CA"/>
        </w:rPr>
        <w:t xml:space="preserve">In addition, the </w:t>
      </w:r>
      <w:r w:rsidRPr="005A587A">
        <w:rPr>
          <w:b/>
          <w:bCs/>
          <w:szCs w:val="22"/>
          <w:lang w:val="en-CA"/>
        </w:rPr>
        <w:t>criminalization of HIV non-disclosure exposes women living with HIV to an increased risk of violence and abuse</w:t>
      </w:r>
      <w:r w:rsidRPr="00EE5C4E">
        <w:rPr>
          <w:szCs w:val="22"/>
          <w:lang w:val="en-CA"/>
        </w:rPr>
        <w:t xml:space="preserve">. </w:t>
      </w:r>
      <w:r>
        <w:rPr>
          <w:szCs w:val="22"/>
          <w:lang w:val="en-CA"/>
        </w:rPr>
        <w:t>While c</w:t>
      </w:r>
      <w:r w:rsidRPr="00EE5C4E">
        <w:rPr>
          <w:szCs w:val="22"/>
          <w:lang w:val="en-CA"/>
        </w:rPr>
        <w:t>riminalization is often described as a tool to protect women from HIV infection and to enhance women’s dignity and autonomy in relation to sexual decision-making</w:t>
      </w:r>
      <w:r>
        <w:rPr>
          <w:szCs w:val="22"/>
          <w:lang w:val="en-CA"/>
        </w:rPr>
        <w:t xml:space="preserve">, </w:t>
      </w:r>
      <w:r w:rsidRPr="00EE5C4E">
        <w:rPr>
          <w:szCs w:val="22"/>
          <w:lang w:val="en-CA"/>
        </w:rPr>
        <w:t>a gendered analysis reveals that criminalization is a blunt, punitive</w:t>
      </w:r>
      <w:r>
        <w:rPr>
          <w:szCs w:val="22"/>
          <w:lang w:val="en-CA"/>
        </w:rPr>
        <w:t>,</w:t>
      </w:r>
      <w:r w:rsidRPr="00EE5C4E">
        <w:rPr>
          <w:szCs w:val="22"/>
          <w:lang w:val="en-CA"/>
        </w:rPr>
        <w:t xml:space="preserve"> and inflexible approach that does little to protect women. </w:t>
      </w:r>
      <w:r>
        <w:rPr>
          <w:szCs w:val="22"/>
          <w:lang w:val="en-CA"/>
        </w:rPr>
        <w:t xml:space="preserve">Rather, the </w:t>
      </w:r>
      <w:r w:rsidRPr="001A520A">
        <w:rPr>
          <w:szCs w:val="22"/>
        </w:rPr>
        <w:t xml:space="preserve">criminalization of HIV non-disclosure </w:t>
      </w:r>
      <w:r>
        <w:rPr>
          <w:szCs w:val="22"/>
          <w:lang w:val="en-CA"/>
        </w:rPr>
        <w:t>can provide</w:t>
      </w:r>
      <w:r w:rsidRPr="00E04E57">
        <w:rPr>
          <w:szCs w:val="22"/>
          <w:lang w:val="en-CA"/>
        </w:rPr>
        <w:t xml:space="preserve"> a tool of coercion or revenge for vindictive partners who threaten to report women to the police for not disclosing their status.</w:t>
      </w:r>
      <w:r w:rsidRPr="00F747DA">
        <w:rPr>
          <w:szCs w:val="22"/>
          <w:vertAlign w:val="superscript"/>
          <w:lang w:val="en-CA"/>
        </w:rPr>
        <w:endnoteReference w:id="8"/>
      </w:r>
      <w:r w:rsidRPr="00E04E57">
        <w:rPr>
          <w:szCs w:val="22"/>
          <w:lang w:val="en-CA"/>
        </w:rPr>
        <w:t xml:space="preserve"> </w:t>
      </w:r>
      <w:r>
        <w:rPr>
          <w:szCs w:val="22"/>
          <w:lang w:val="en-CA"/>
        </w:rPr>
        <w:t xml:space="preserve">This is </w:t>
      </w:r>
      <w:r w:rsidRPr="001A520A">
        <w:rPr>
          <w:szCs w:val="22"/>
        </w:rPr>
        <w:t>especially</w:t>
      </w:r>
      <w:r>
        <w:rPr>
          <w:szCs w:val="22"/>
        </w:rPr>
        <w:t xml:space="preserve"> true</w:t>
      </w:r>
      <w:r w:rsidRPr="001A520A">
        <w:rPr>
          <w:szCs w:val="22"/>
        </w:rPr>
        <w:t xml:space="preserve"> if they face challenges due to their socioeconomic </w:t>
      </w:r>
      <w:r w:rsidRPr="00772483">
        <w:rPr>
          <w:szCs w:val="22"/>
        </w:rPr>
        <w:t>status, discrimination, insecure immigration status</w:t>
      </w:r>
      <w:r>
        <w:rPr>
          <w:szCs w:val="22"/>
        </w:rPr>
        <w:t>,</w:t>
      </w:r>
      <w:r w:rsidRPr="00772483">
        <w:rPr>
          <w:szCs w:val="22"/>
        </w:rPr>
        <w:t xml:space="preserve"> or abusive or dependent relationships.</w:t>
      </w:r>
      <w:r w:rsidRPr="00772483">
        <w:rPr>
          <w:vertAlign w:val="superscript"/>
        </w:rPr>
        <w:endnoteReference w:id="9"/>
      </w:r>
      <w:r w:rsidRPr="00772483">
        <w:rPr>
          <w:szCs w:val="22"/>
        </w:rPr>
        <w:t xml:space="preserve"> </w:t>
      </w:r>
      <w:r w:rsidR="0085506A">
        <w:rPr>
          <w:szCs w:val="22"/>
        </w:rPr>
        <w:t>A</w:t>
      </w:r>
      <w:r w:rsidRPr="00772483">
        <w:rPr>
          <w:szCs w:val="22"/>
        </w:rPr>
        <w:t xml:space="preserve"> disproportionate number of women convicted of HIV non-disclosure in Canada have</w:t>
      </w:r>
      <w:r w:rsidR="0085506A">
        <w:rPr>
          <w:szCs w:val="22"/>
        </w:rPr>
        <w:t xml:space="preserve"> also</w:t>
      </w:r>
      <w:r w:rsidRPr="00772483">
        <w:rPr>
          <w:szCs w:val="22"/>
        </w:rPr>
        <w:t xml:space="preserve"> included Indigenous women, who continue to suffer from the effects of colonization and racism.</w:t>
      </w:r>
      <w:r w:rsidRPr="00772483">
        <w:rPr>
          <w:vertAlign w:val="superscript"/>
        </w:rPr>
        <w:endnoteReference w:id="10"/>
      </w:r>
    </w:p>
    <w:p w14:paraId="5D444034" w14:textId="77777777" w:rsidR="005F07D9" w:rsidRPr="00BD142A" w:rsidRDefault="005F07D9" w:rsidP="00BD142A">
      <w:pPr>
        <w:pStyle w:val="ListParagraph"/>
        <w:spacing w:line="276" w:lineRule="auto"/>
        <w:rPr>
          <w:szCs w:val="22"/>
        </w:rPr>
      </w:pPr>
    </w:p>
    <w:p w14:paraId="2017DF9A" w14:textId="1F4C2707" w:rsidR="005F07D9" w:rsidRPr="00BD142A" w:rsidRDefault="005F07D9" w:rsidP="00BD142A">
      <w:pPr>
        <w:pStyle w:val="ListParagraph"/>
        <w:numPr>
          <w:ilvl w:val="0"/>
          <w:numId w:val="21"/>
        </w:numPr>
        <w:spacing w:line="276" w:lineRule="auto"/>
        <w:rPr>
          <w:b/>
          <w:caps/>
          <w:kern w:val="1"/>
          <w:szCs w:val="22"/>
        </w:rPr>
      </w:pPr>
      <w:r>
        <w:rPr>
          <w:szCs w:val="22"/>
          <w:lang w:val="en-CA"/>
        </w:rPr>
        <w:t>Scholars have also criticized the</w:t>
      </w:r>
      <w:r w:rsidRPr="00F747DA">
        <w:rPr>
          <w:szCs w:val="22"/>
          <w:lang w:val="en-CA"/>
        </w:rPr>
        <w:t xml:space="preserve"> use of sexual assault law in the HIV non-disclosure context — where the sexual activity is otherwise consensual</w:t>
      </w:r>
      <w:r>
        <w:rPr>
          <w:szCs w:val="22"/>
          <w:lang w:val="en-CA"/>
        </w:rPr>
        <w:t xml:space="preserve"> </w:t>
      </w:r>
      <w:r w:rsidRPr="00F747DA">
        <w:rPr>
          <w:szCs w:val="22"/>
          <w:lang w:val="en-CA"/>
        </w:rPr>
        <w:t>—</w:t>
      </w:r>
      <w:r>
        <w:rPr>
          <w:szCs w:val="22"/>
          <w:lang w:val="en-CA"/>
        </w:rPr>
        <w:t xml:space="preserve"> </w:t>
      </w:r>
      <w:r w:rsidRPr="00F747DA">
        <w:rPr>
          <w:szCs w:val="22"/>
          <w:lang w:val="en-CA"/>
        </w:rPr>
        <w:t xml:space="preserve">and </w:t>
      </w:r>
      <w:r>
        <w:rPr>
          <w:szCs w:val="22"/>
          <w:lang w:val="en-CA"/>
        </w:rPr>
        <w:t>contended that this could</w:t>
      </w:r>
      <w:r w:rsidRPr="00F747DA">
        <w:rPr>
          <w:szCs w:val="22"/>
          <w:lang w:val="en-CA"/>
        </w:rPr>
        <w:t xml:space="preserve"> ultimately have a detrimental impact on sexual assault law more broadly </w:t>
      </w:r>
      <w:proofErr w:type="gramStart"/>
      <w:r w:rsidRPr="00F747DA">
        <w:rPr>
          <w:szCs w:val="22"/>
          <w:lang w:val="en-CA"/>
        </w:rPr>
        <w:t xml:space="preserve">as a </w:t>
      </w:r>
      <w:r>
        <w:rPr>
          <w:szCs w:val="22"/>
          <w:lang w:val="en-CA"/>
        </w:rPr>
        <w:t>means</w:t>
      </w:r>
      <w:r w:rsidRPr="00F747DA">
        <w:rPr>
          <w:szCs w:val="22"/>
          <w:lang w:val="en-CA"/>
        </w:rPr>
        <w:t xml:space="preserve"> to</w:t>
      </w:r>
      <w:proofErr w:type="gramEnd"/>
      <w:r w:rsidRPr="00F747DA">
        <w:rPr>
          <w:szCs w:val="22"/>
          <w:lang w:val="en-CA"/>
        </w:rPr>
        <w:t xml:space="preserve"> advance gender equality and renounce gender-based violence.</w:t>
      </w:r>
      <w:r w:rsidRPr="00F747DA">
        <w:rPr>
          <w:szCs w:val="22"/>
          <w:vertAlign w:val="superscript"/>
          <w:lang w:val="en-CA"/>
        </w:rPr>
        <w:endnoteReference w:id="11"/>
      </w:r>
    </w:p>
    <w:p w14:paraId="7B9F908A" w14:textId="77777777" w:rsidR="005F07D9" w:rsidRPr="00476577" w:rsidRDefault="005F07D9" w:rsidP="006A7FFC">
      <w:pPr>
        <w:spacing w:line="276" w:lineRule="auto"/>
        <w:rPr>
          <w:b/>
          <w:caps/>
          <w:kern w:val="1"/>
          <w:szCs w:val="22"/>
        </w:rPr>
      </w:pPr>
    </w:p>
    <w:p w14:paraId="3378F425" w14:textId="46E3FFA6" w:rsidR="005F07D9" w:rsidRPr="00965A1D" w:rsidRDefault="005F07D9" w:rsidP="00965A1D">
      <w:pPr>
        <w:pStyle w:val="ListParagraph"/>
        <w:numPr>
          <w:ilvl w:val="0"/>
          <w:numId w:val="21"/>
        </w:numPr>
        <w:spacing w:line="276" w:lineRule="auto"/>
        <w:rPr>
          <w:b/>
          <w:caps/>
          <w:kern w:val="1"/>
          <w:szCs w:val="22"/>
        </w:rPr>
      </w:pPr>
      <w:r>
        <w:rPr>
          <w:rFonts w:eastAsia="Times New Roman"/>
          <w:szCs w:val="22"/>
        </w:rPr>
        <w:t>I</w:t>
      </w:r>
      <w:r w:rsidRPr="00965A1D">
        <w:rPr>
          <w:rFonts w:eastAsia="Times New Roman"/>
          <w:szCs w:val="22"/>
        </w:rPr>
        <w:t xml:space="preserve">n 2016, the UN </w:t>
      </w:r>
      <w:r w:rsidRPr="00965A1D">
        <w:rPr>
          <w:szCs w:val="22"/>
        </w:rPr>
        <w:t xml:space="preserve">Committee on the Elimination of Discrimination against Women </w:t>
      </w:r>
      <w:r>
        <w:rPr>
          <w:szCs w:val="22"/>
        </w:rPr>
        <w:t>recognize</w:t>
      </w:r>
      <w:r w:rsidRPr="00965A1D">
        <w:rPr>
          <w:szCs w:val="22"/>
        </w:rPr>
        <w:t>d the use of “harsh criminal sanctions (aggravated sexual assault) to women for non-disclosing their HIV status to sexual partners, even when the transmission is not intentional, when there is no transmission or when the risk of transmission is minimal</w:t>
      </w:r>
      <w:r>
        <w:rPr>
          <w:szCs w:val="22"/>
        </w:rPr>
        <w:t xml:space="preserve">” and </w:t>
      </w:r>
      <w:r w:rsidRPr="00965A1D">
        <w:rPr>
          <w:szCs w:val="22"/>
        </w:rPr>
        <w:t>recommended that Canada “limit the application of criminal law provisions to cases of intentional transmission of HIV/AIDS, as recommended by international public health standards</w:t>
      </w:r>
      <w:r>
        <w:rPr>
          <w:szCs w:val="22"/>
        </w:rPr>
        <w:t>.</w:t>
      </w:r>
      <w:r w:rsidRPr="00965A1D">
        <w:rPr>
          <w:szCs w:val="22"/>
        </w:rPr>
        <w:t>”</w:t>
      </w:r>
      <w:r w:rsidRPr="00F747DA">
        <w:rPr>
          <w:vertAlign w:val="superscript"/>
        </w:rPr>
        <w:endnoteReference w:id="12"/>
      </w:r>
      <w:r w:rsidRPr="00965A1D">
        <w:rPr>
          <w:szCs w:val="22"/>
        </w:rPr>
        <w:t xml:space="preserve"> In 2016, the UN Committee on the Rights of the Child also noted the need to review legislation “that criminalizes the unintentional transmission of HIV and the non-disclosure of one’s HIV status.”</w:t>
      </w:r>
      <w:r w:rsidRPr="00F747DA">
        <w:rPr>
          <w:vertAlign w:val="superscript"/>
        </w:rPr>
        <w:endnoteReference w:id="13"/>
      </w:r>
      <w:r w:rsidRPr="00B732FD">
        <w:rPr>
          <w:szCs w:val="22"/>
        </w:rPr>
        <w:t xml:space="preserve"> </w:t>
      </w:r>
      <w:r>
        <w:rPr>
          <w:szCs w:val="22"/>
        </w:rPr>
        <w:t>Further, t</w:t>
      </w:r>
      <w:r w:rsidRPr="00184899">
        <w:rPr>
          <w:szCs w:val="22"/>
        </w:rPr>
        <w:t xml:space="preserve">he UN Special Rapporteur on the right to health has pointed out that criminalizing HIV transmission infringes </w:t>
      </w:r>
      <w:r w:rsidR="001D2FBB">
        <w:rPr>
          <w:szCs w:val="22"/>
        </w:rPr>
        <w:t>on the rights to health,</w:t>
      </w:r>
      <w:r w:rsidRPr="00184899">
        <w:rPr>
          <w:szCs w:val="22"/>
        </w:rPr>
        <w:t xml:space="preserve"> privacy, equality, and non-discrimination.</w:t>
      </w:r>
      <w:r w:rsidRPr="00F747DA">
        <w:rPr>
          <w:vertAlign w:val="superscript"/>
        </w:rPr>
        <w:endnoteReference w:id="14"/>
      </w:r>
    </w:p>
    <w:p w14:paraId="423B0C94" w14:textId="77777777" w:rsidR="005F07D9" w:rsidRPr="001D2FBB" w:rsidRDefault="005F07D9" w:rsidP="006A7FFC">
      <w:pPr>
        <w:pStyle w:val="ListParagraph"/>
        <w:spacing w:line="276" w:lineRule="auto"/>
        <w:rPr>
          <w:szCs w:val="22"/>
        </w:rPr>
      </w:pPr>
    </w:p>
    <w:p w14:paraId="763C8A6E" w14:textId="5E7F9E05" w:rsidR="005F07D9" w:rsidRPr="00BD142A" w:rsidRDefault="005F07D9" w:rsidP="006A7FFC">
      <w:pPr>
        <w:pStyle w:val="ListParagraph"/>
        <w:numPr>
          <w:ilvl w:val="0"/>
          <w:numId w:val="21"/>
        </w:numPr>
        <w:spacing w:line="276" w:lineRule="auto"/>
        <w:rPr>
          <w:b/>
          <w:caps/>
          <w:kern w:val="1"/>
          <w:szCs w:val="22"/>
          <w:lang w:val="en-CA"/>
        </w:rPr>
      </w:pPr>
      <w:r>
        <w:rPr>
          <w:szCs w:val="22"/>
          <w:lang w:val="en-CA"/>
        </w:rPr>
        <w:t>Additionally, t</w:t>
      </w:r>
      <w:r w:rsidRPr="00F747DA">
        <w:rPr>
          <w:szCs w:val="22"/>
          <w:lang w:val="en-CA"/>
        </w:rPr>
        <w:t>here are</w:t>
      </w:r>
      <w:r>
        <w:rPr>
          <w:szCs w:val="22"/>
          <w:lang w:val="en-CA"/>
        </w:rPr>
        <w:t xml:space="preserve"> </w:t>
      </w:r>
      <w:r w:rsidRPr="00F747DA">
        <w:rPr>
          <w:szCs w:val="22"/>
          <w:lang w:val="en-CA"/>
        </w:rPr>
        <w:t>numerous public health concerns associated with the overly broad criminalization of HIV non-disclosure, exposure</w:t>
      </w:r>
      <w:r>
        <w:rPr>
          <w:szCs w:val="22"/>
          <w:lang w:val="en-CA"/>
        </w:rPr>
        <w:t>,</w:t>
      </w:r>
      <w:r w:rsidRPr="00F747DA">
        <w:rPr>
          <w:szCs w:val="22"/>
          <w:lang w:val="en-CA"/>
        </w:rPr>
        <w:t xml:space="preserve"> or transmission. Evidence suggests that the criminalization of HIV non-disclosure may represent a structural barrier to health care engagement for some people living with HIV in Canada, discouraging access to HIV testing </w:t>
      </w:r>
      <w:r w:rsidRPr="00F747DA">
        <w:rPr>
          <w:szCs w:val="22"/>
          <w:lang w:val="en-CA"/>
        </w:rPr>
        <w:lastRenderedPageBreak/>
        <w:t>and linkage to HIV care services required to achieve viral suppression, which is important to promote both individual and population health.</w:t>
      </w:r>
      <w:r w:rsidRPr="00F747DA">
        <w:rPr>
          <w:szCs w:val="22"/>
          <w:vertAlign w:val="superscript"/>
          <w:lang w:val="en-CA"/>
        </w:rPr>
        <w:endnoteReference w:id="15"/>
      </w:r>
      <w:r w:rsidRPr="00F747DA">
        <w:rPr>
          <w:szCs w:val="22"/>
          <w:lang w:val="en-CA"/>
        </w:rPr>
        <w:t xml:space="preserve"> </w:t>
      </w:r>
      <w:r>
        <w:rPr>
          <w:szCs w:val="22"/>
          <w:lang w:val="en-CA"/>
        </w:rPr>
        <w:t xml:space="preserve"> </w:t>
      </w:r>
    </w:p>
    <w:p w14:paraId="0B9784C4" w14:textId="77777777" w:rsidR="005F07D9" w:rsidRPr="003C10DE" w:rsidRDefault="005F07D9" w:rsidP="00BD142A">
      <w:pPr>
        <w:pStyle w:val="ListParagraph"/>
        <w:spacing w:line="276" w:lineRule="auto"/>
        <w:rPr>
          <w:szCs w:val="22"/>
        </w:rPr>
      </w:pPr>
    </w:p>
    <w:p w14:paraId="0F6234E7" w14:textId="13770236" w:rsidR="005F07D9" w:rsidRPr="006C2157" w:rsidRDefault="005F07D9" w:rsidP="00521B5A">
      <w:pPr>
        <w:pStyle w:val="ListParagraph"/>
        <w:numPr>
          <w:ilvl w:val="0"/>
          <w:numId w:val="21"/>
        </w:numPr>
        <w:spacing w:line="276" w:lineRule="auto"/>
        <w:rPr>
          <w:b/>
          <w:caps/>
          <w:kern w:val="1"/>
          <w:szCs w:val="22"/>
        </w:rPr>
      </w:pPr>
      <w:r>
        <w:rPr>
          <w:szCs w:val="22"/>
        </w:rPr>
        <w:t>All t</w:t>
      </w:r>
      <w:r w:rsidRPr="006C2157">
        <w:rPr>
          <w:szCs w:val="22"/>
        </w:rPr>
        <w:t>hese concerns have led the Joint UN Programme on HIV/ AIDS (UNAIDS) and the UN Development Programme (UNDP),</w:t>
      </w:r>
      <w:r w:rsidRPr="00F747DA">
        <w:rPr>
          <w:vertAlign w:val="superscript"/>
        </w:rPr>
        <w:endnoteReference w:id="16"/>
      </w:r>
      <w:r w:rsidRPr="006C2157">
        <w:rPr>
          <w:szCs w:val="22"/>
        </w:rPr>
        <w:t xml:space="preserve"> the UN Special Rapporteur on the right to health,</w:t>
      </w:r>
      <w:r w:rsidRPr="00F747DA">
        <w:rPr>
          <w:vertAlign w:val="superscript"/>
        </w:rPr>
        <w:endnoteReference w:id="17"/>
      </w:r>
      <w:r w:rsidRPr="006C2157">
        <w:rPr>
          <w:szCs w:val="22"/>
        </w:rPr>
        <w:t xml:space="preserve"> the Global Commission on HIV and the Law,</w:t>
      </w:r>
      <w:r w:rsidRPr="00F747DA">
        <w:rPr>
          <w:vertAlign w:val="superscript"/>
        </w:rPr>
        <w:endnoteReference w:id="18"/>
      </w:r>
      <w:r w:rsidRPr="006C2157">
        <w:rPr>
          <w:szCs w:val="22"/>
        </w:rPr>
        <w:t xml:space="preserve"> and women’s rights advocates (including leading Canadian feminist legal academics),</w:t>
      </w:r>
      <w:r w:rsidRPr="00F747DA">
        <w:rPr>
          <w:vertAlign w:val="superscript"/>
        </w:rPr>
        <w:endnoteReference w:id="19"/>
      </w:r>
      <w:r w:rsidRPr="006C2157">
        <w:rPr>
          <w:szCs w:val="22"/>
        </w:rPr>
        <w:t xml:space="preserve"> among others, to urge governments to limit the use of the criminal law to cases of </w:t>
      </w:r>
      <w:r w:rsidRPr="006C2157">
        <w:rPr>
          <w:i/>
          <w:szCs w:val="22"/>
        </w:rPr>
        <w:t>intentional transmission</w:t>
      </w:r>
      <w:r w:rsidRPr="006C2157">
        <w:rPr>
          <w:szCs w:val="22"/>
        </w:rPr>
        <w:t xml:space="preserve"> of HIV (i.e. where a person knows their HIV-positive status, acts with the intention to transmit HIV, and does in fact transmit it). </w:t>
      </w:r>
    </w:p>
    <w:p w14:paraId="1A935340" w14:textId="77777777" w:rsidR="005F07D9" w:rsidRPr="006C2157" w:rsidRDefault="005F07D9" w:rsidP="006C2157">
      <w:pPr>
        <w:spacing w:line="276" w:lineRule="auto"/>
        <w:rPr>
          <w:b/>
          <w:caps/>
          <w:kern w:val="1"/>
          <w:szCs w:val="22"/>
        </w:rPr>
      </w:pPr>
    </w:p>
    <w:p w14:paraId="580A7300" w14:textId="1DAFEC27" w:rsidR="005F07D9" w:rsidRPr="0030277E" w:rsidRDefault="005F07D9" w:rsidP="006A7FFC">
      <w:pPr>
        <w:pStyle w:val="ListParagraph"/>
        <w:numPr>
          <w:ilvl w:val="0"/>
          <w:numId w:val="21"/>
        </w:numPr>
        <w:spacing w:line="276" w:lineRule="auto"/>
        <w:rPr>
          <w:szCs w:val="22"/>
        </w:rPr>
      </w:pPr>
      <w:r w:rsidRPr="0030277E">
        <w:rPr>
          <w:szCs w:val="22"/>
          <w:lang w:val="en-CA"/>
        </w:rPr>
        <w:t>Despite repeated acknowledgments from Canada that HIV criminalization is problematic and requires l</w:t>
      </w:r>
      <w:r w:rsidR="005B52EB">
        <w:rPr>
          <w:szCs w:val="22"/>
          <w:lang w:val="en-CA"/>
        </w:rPr>
        <w:t>aw</w:t>
      </w:r>
      <w:r w:rsidRPr="0030277E">
        <w:rPr>
          <w:szCs w:val="22"/>
          <w:lang w:val="en-CA"/>
        </w:rPr>
        <w:t xml:space="preserve"> reform,</w:t>
      </w:r>
      <w:r w:rsidRPr="00F747DA">
        <w:rPr>
          <w:szCs w:val="22"/>
          <w:vertAlign w:val="superscript"/>
          <w:lang w:val="en-CA"/>
        </w:rPr>
        <w:endnoteReference w:id="20"/>
      </w:r>
      <w:r w:rsidRPr="0030277E">
        <w:rPr>
          <w:szCs w:val="22"/>
          <w:lang w:val="en-CA"/>
        </w:rPr>
        <w:t xml:space="preserve"> as of January 2025 no concrete legislative action has been taken. </w:t>
      </w:r>
    </w:p>
    <w:p w14:paraId="23EABE96" w14:textId="77777777" w:rsidR="005F07D9" w:rsidRPr="0030277E" w:rsidRDefault="005F07D9" w:rsidP="00BD142A">
      <w:pPr>
        <w:pStyle w:val="ListParagraph"/>
        <w:spacing w:line="276" w:lineRule="auto"/>
        <w:rPr>
          <w:szCs w:val="22"/>
        </w:rPr>
      </w:pPr>
    </w:p>
    <w:p w14:paraId="7F9E566E" w14:textId="77777777" w:rsidR="005F07D9" w:rsidRPr="005B52EB" w:rsidRDefault="005F07D9" w:rsidP="006A7FFC">
      <w:pPr>
        <w:pStyle w:val="ListParagraph"/>
        <w:spacing w:line="276" w:lineRule="auto"/>
        <w:ind w:left="360"/>
        <w:rPr>
          <w:sz w:val="10"/>
          <w:szCs w:val="10"/>
        </w:rPr>
      </w:pPr>
    </w:p>
    <w:p w14:paraId="7866C746" w14:textId="77777777" w:rsidR="005F07D9" w:rsidRPr="00F747DA" w:rsidRDefault="005F07D9" w:rsidP="006A7FFC">
      <w:pPr>
        <w:spacing w:line="276" w:lineRule="auto"/>
        <w:rPr>
          <w:b/>
          <w:szCs w:val="22"/>
          <w:lang w:eastAsia="ar-SA"/>
        </w:rPr>
      </w:pPr>
      <w:r w:rsidRPr="00F747DA">
        <w:rPr>
          <w:b/>
          <w:szCs w:val="22"/>
          <w:lang w:eastAsia="ar-SA"/>
        </w:rPr>
        <w:t>RECOMMENDED ACTIONS</w:t>
      </w:r>
    </w:p>
    <w:p w14:paraId="19F7B873" w14:textId="77777777" w:rsidR="005F07D9" w:rsidRPr="005B52EB" w:rsidRDefault="005F07D9" w:rsidP="006A7FFC">
      <w:pPr>
        <w:spacing w:line="276" w:lineRule="auto"/>
        <w:rPr>
          <w:sz w:val="10"/>
          <w:szCs w:val="10"/>
          <w:lang w:eastAsia="ar-SA"/>
        </w:rPr>
      </w:pPr>
    </w:p>
    <w:p w14:paraId="4F6BDC88" w14:textId="77777777" w:rsidR="005F07D9" w:rsidRPr="00F747DA" w:rsidRDefault="005F07D9" w:rsidP="006A7FFC">
      <w:pPr>
        <w:spacing w:line="276" w:lineRule="auto"/>
        <w:rPr>
          <w:szCs w:val="22"/>
          <w:lang w:eastAsia="ar-SA"/>
        </w:rPr>
      </w:pPr>
      <w:r w:rsidRPr="00F747DA">
        <w:rPr>
          <w:szCs w:val="22"/>
          <w:lang w:eastAsia="ar-SA"/>
        </w:rPr>
        <w:t xml:space="preserve">The Legal Network recommends that </w:t>
      </w:r>
      <w:r>
        <w:rPr>
          <w:szCs w:val="22"/>
          <w:lang w:eastAsia="ar-SA"/>
        </w:rPr>
        <w:t xml:space="preserve">the Committee call on </w:t>
      </w:r>
      <w:r w:rsidRPr="00F747DA">
        <w:rPr>
          <w:szCs w:val="22"/>
          <w:lang w:eastAsia="ar-SA"/>
        </w:rPr>
        <w:t>Canada</w:t>
      </w:r>
      <w:r>
        <w:rPr>
          <w:szCs w:val="22"/>
          <w:lang w:eastAsia="ar-SA"/>
        </w:rPr>
        <w:t xml:space="preserve"> to:</w:t>
      </w:r>
    </w:p>
    <w:p w14:paraId="77F8358E" w14:textId="77777777" w:rsidR="005F07D9" w:rsidRPr="00F747DA" w:rsidRDefault="005F07D9" w:rsidP="006A7FFC">
      <w:pPr>
        <w:spacing w:line="276" w:lineRule="auto"/>
        <w:rPr>
          <w:szCs w:val="22"/>
          <w:lang w:eastAsia="ar-SA"/>
        </w:rPr>
      </w:pPr>
    </w:p>
    <w:p w14:paraId="082B74DC" w14:textId="7940AEC6" w:rsidR="005F07D9" w:rsidRPr="00F747DA" w:rsidRDefault="005F07D9" w:rsidP="006A7FFC">
      <w:pPr>
        <w:numPr>
          <w:ilvl w:val="0"/>
          <w:numId w:val="38"/>
        </w:numPr>
        <w:spacing w:line="276" w:lineRule="auto"/>
        <w:rPr>
          <w:b/>
          <w:bCs/>
          <w:szCs w:val="22"/>
          <w:lang w:eastAsia="ar-SA"/>
        </w:rPr>
      </w:pPr>
      <w:r w:rsidRPr="00F747DA">
        <w:rPr>
          <w:b/>
          <w:bCs/>
          <w:szCs w:val="22"/>
          <w:lang w:eastAsia="ar-SA"/>
        </w:rPr>
        <w:t>Remove HIV non-disclosure from the ambit of sexual assault law and restrict criminal penalties to cases of actual, intentional transmission</w:t>
      </w:r>
      <w:r>
        <w:rPr>
          <w:b/>
          <w:bCs/>
          <w:szCs w:val="22"/>
          <w:lang w:eastAsia="ar-SA"/>
        </w:rPr>
        <w:t>.</w:t>
      </w:r>
    </w:p>
    <w:p w14:paraId="062EE189" w14:textId="77777777" w:rsidR="005F07D9" w:rsidRPr="00F747DA" w:rsidRDefault="005F07D9" w:rsidP="006A7FFC">
      <w:pPr>
        <w:spacing w:line="276" w:lineRule="auto"/>
        <w:rPr>
          <w:b/>
          <w:bCs/>
          <w:szCs w:val="22"/>
          <w:lang w:eastAsia="ar-SA"/>
        </w:rPr>
      </w:pPr>
    </w:p>
    <w:p w14:paraId="4F8EEE6E" w14:textId="1CD9C548" w:rsidR="005F07D9" w:rsidRPr="00F747DA" w:rsidRDefault="005F07D9" w:rsidP="006A7FFC">
      <w:pPr>
        <w:numPr>
          <w:ilvl w:val="0"/>
          <w:numId w:val="38"/>
        </w:numPr>
        <w:spacing w:line="276" w:lineRule="auto"/>
        <w:rPr>
          <w:b/>
          <w:szCs w:val="22"/>
          <w:lang w:eastAsia="ar-SA"/>
        </w:rPr>
      </w:pPr>
      <w:r w:rsidRPr="00F747DA">
        <w:rPr>
          <w:b/>
          <w:szCs w:val="22"/>
          <w:lang w:eastAsia="ar-SA"/>
        </w:rPr>
        <w:t xml:space="preserve">Ensures that, at the absolute minimum, the criminal law is under no circumstances used against people living with HIV for not disclosing their status to sexual partners where they use a condom (or similar latex barrier) for penetrative sex, practice oral sex, or have condomless penetrative sex with a </w:t>
      </w:r>
      <w:r>
        <w:rPr>
          <w:b/>
          <w:szCs w:val="22"/>
          <w:lang w:eastAsia="ar-SA"/>
        </w:rPr>
        <w:t>suppressed</w:t>
      </w:r>
      <w:r w:rsidRPr="00F747DA">
        <w:rPr>
          <w:b/>
          <w:szCs w:val="22"/>
          <w:lang w:eastAsia="ar-SA"/>
        </w:rPr>
        <w:t xml:space="preserve"> viral load</w:t>
      </w:r>
      <w:r>
        <w:rPr>
          <w:b/>
          <w:szCs w:val="22"/>
          <w:lang w:eastAsia="ar-SA"/>
        </w:rPr>
        <w:t>.</w:t>
      </w:r>
    </w:p>
    <w:p w14:paraId="395DCB80" w14:textId="77777777" w:rsidR="005F07D9" w:rsidRPr="00F747DA" w:rsidRDefault="005F07D9" w:rsidP="006A7FFC">
      <w:pPr>
        <w:spacing w:line="276" w:lineRule="auto"/>
        <w:rPr>
          <w:b/>
          <w:szCs w:val="22"/>
          <w:lang w:eastAsia="ar-SA"/>
        </w:rPr>
      </w:pPr>
    </w:p>
    <w:p w14:paraId="5E54C9A9" w14:textId="6ADBEE53" w:rsidR="005F07D9" w:rsidRDefault="005F07D9" w:rsidP="006A7FFC">
      <w:pPr>
        <w:numPr>
          <w:ilvl w:val="0"/>
          <w:numId w:val="38"/>
        </w:numPr>
        <w:spacing w:line="276" w:lineRule="auto"/>
        <w:rPr>
          <w:b/>
          <w:bCs/>
          <w:szCs w:val="22"/>
          <w:lang w:eastAsia="ar-SA"/>
        </w:rPr>
      </w:pPr>
      <w:r w:rsidRPr="00F747DA">
        <w:rPr>
          <w:b/>
          <w:bCs/>
          <w:szCs w:val="22"/>
          <w:lang w:eastAsia="ar-SA"/>
        </w:rPr>
        <w:t>Reviews past convictions, allowing for a conviction to be expunged if it does not fit within new limitations on the scope of criminalization</w:t>
      </w:r>
      <w:r>
        <w:rPr>
          <w:b/>
          <w:bCs/>
          <w:szCs w:val="22"/>
          <w:lang w:eastAsia="ar-SA"/>
        </w:rPr>
        <w:t>.</w:t>
      </w:r>
    </w:p>
    <w:p w14:paraId="34576767" w14:textId="77777777" w:rsidR="005B52EB" w:rsidRDefault="005B52EB" w:rsidP="005B52EB">
      <w:pPr>
        <w:pStyle w:val="ListParagraph"/>
        <w:rPr>
          <w:b/>
          <w:bCs/>
          <w:szCs w:val="22"/>
        </w:rPr>
      </w:pPr>
    </w:p>
    <w:p w14:paraId="10194421" w14:textId="77777777" w:rsidR="005B52EB" w:rsidRPr="005B52EB" w:rsidRDefault="005B52EB" w:rsidP="005B52EB">
      <w:pPr>
        <w:spacing w:line="276" w:lineRule="auto"/>
        <w:ind w:left="720"/>
        <w:rPr>
          <w:b/>
          <w:bCs/>
          <w:sz w:val="20"/>
          <w:szCs w:val="20"/>
          <w:lang w:eastAsia="ar-SA"/>
        </w:rPr>
      </w:pPr>
    </w:p>
    <w:bookmarkStart w:id="2" w:name="_Toc482796061"/>
    <w:p w14:paraId="11A7AF20" w14:textId="4C3D9500" w:rsidR="005F07D9" w:rsidRPr="00BD142A" w:rsidRDefault="00C64D1A" w:rsidP="009B3F80">
      <w:pPr>
        <w:pStyle w:val="Heading1"/>
        <w:numPr>
          <w:ilvl w:val="0"/>
          <w:numId w:val="0"/>
        </w:numPr>
        <w:spacing w:line="276" w:lineRule="auto"/>
        <w:rPr>
          <w:sz w:val="32"/>
          <w:szCs w:val="32"/>
          <w:lang w:val="en-CA"/>
        </w:rPr>
      </w:pPr>
      <w:r w:rsidRPr="00D3146D">
        <w:rPr>
          <w:noProof/>
        </w:rPr>
        <mc:AlternateContent>
          <mc:Choice Requires="wps">
            <w:drawing>
              <wp:anchor distT="45720" distB="45720" distL="114300" distR="114300" simplePos="0" relativeHeight="251663362" behindDoc="0" locked="0" layoutInCell="1" allowOverlap="1" wp14:anchorId="0F5359A9" wp14:editId="7189ED93">
                <wp:simplePos x="0" y="0"/>
                <wp:positionH relativeFrom="margin">
                  <wp:align>left</wp:align>
                </wp:positionH>
                <wp:positionV relativeFrom="paragraph">
                  <wp:posOffset>396240</wp:posOffset>
                </wp:positionV>
                <wp:extent cx="6153150" cy="1404620"/>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1404620"/>
                        </a:xfrm>
                        <a:prstGeom prst="rect">
                          <a:avLst/>
                        </a:prstGeom>
                        <a:solidFill>
                          <a:schemeClr val="accent6">
                            <a:lumMod val="20000"/>
                            <a:lumOff val="80000"/>
                          </a:schemeClr>
                        </a:solidFill>
                        <a:ln w="9525">
                          <a:solidFill>
                            <a:srgbClr val="000000"/>
                          </a:solidFill>
                          <a:miter lim="800000"/>
                          <a:headEnd/>
                          <a:tailEnd/>
                        </a:ln>
                      </wps:spPr>
                      <wps:txbx>
                        <w:txbxContent>
                          <w:p w14:paraId="76184712" w14:textId="42D27AC5" w:rsidR="005F07D9" w:rsidRPr="00F747DA" w:rsidRDefault="005F07D9" w:rsidP="001E517E">
                            <w:pPr>
                              <w:shd w:val="clear" w:color="auto" w:fill="FDE9D9" w:themeFill="accent6" w:themeFillTint="33"/>
                              <w:spacing w:line="276" w:lineRule="auto"/>
                              <w:rPr>
                                <w:rFonts w:eastAsia="Arial" w:cs="Arial"/>
                                <w:i/>
                                <w:szCs w:val="22"/>
                              </w:rPr>
                            </w:pPr>
                            <w:r w:rsidRPr="00F747DA">
                              <w:rPr>
                                <w:rFonts w:eastAsia="Arial" w:cs="Arial"/>
                                <w:spacing w:val="3"/>
                                <w:szCs w:val="22"/>
                              </w:rPr>
                              <w:t xml:space="preserve">In the </w:t>
                            </w:r>
                            <w:r>
                              <w:rPr>
                                <w:rFonts w:eastAsia="Arial" w:cs="Arial"/>
                                <w:spacing w:val="3"/>
                                <w:szCs w:val="22"/>
                              </w:rPr>
                              <w:t>LOI</w:t>
                            </w:r>
                            <w:r w:rsidRPr="00F747DA">
                              <w:rPr>
                                <w:rFonts w:eastAsia="Arial" w:cs="Arial"/>
                                <w:spacing w:val="3"/>
                                <w:szCs w:val="22"/>
                              </w:rPr>
                              <w:t xml:space="preserve">, </w:t>
                            </w:r>
                            <w:r w:rsidRPr="00F747DA">
                              <w:rPr>
                                <w:rFonts w:eastAsia="Arial" w:cs="Arial"/>
                                <w:szCs w:val="22"/>
                              </w:rPr>
                              <w:t>t</w:t>
                            </w:r>
                            <w:r w:rsidRPr="00F747DA">
                              <w:rPr>
                                <w:rFonts w:eastAsia="Arial" w:cs="Arial"/>
                                <w:spacing w:val="1"/>
                                <w:szCs w:val="22"/>
                              </w:rPr>
                              <w:t>h</w:t>
                            </w:r>
                            <w:r w:rsidRPr="00F747DA">
                              <w:rPr>
                                <w:rFonts w:eastAsia="Arial" w:cs="Arial"/>
                                <w:szCs w:val="22"/>
                              </w:rPr>
                              <w:t>e</w:t>
                            </w:r>
                            <w:r w:rsidRPr="00F747DA">
                              <w:rPr>
                                <w:rFonts w:eastAsia="Arial" w:cs="Arial"/>
                                <w:spacing w:val="-5"/>
                                <w:szCs w:val="22"/>
                              </w:rPr>
                              <w:t xml:space="preserve"> </w:t>
                            </w:r>
                            <w:r w:rsidRPr="00F747DA">
                              <w:rPr>
                                <w:rFonts w:eastAsia="Arial" w:cs="Arial"/>
                                <w:szCs w:val="22"/>
                              </w:rPr>
                              <w:t>C</w:t>
                            </w:r>
                            <w:r w:rsidRPr="00F747DA">
                              <w:rPr>
                                <w:rFonts w:eastAsia="Arial" w:cs="Arial"/>
                                <w:spacing w:val="1"/>
                                <w:szCs w:val="22"/>
                              </w:rPr>
                              <w:t>omm</w:t>
                            </w:r>
                            <w:r w:rsidRPr="00F747DA">
                              <w:rPr>
                                <w:rFonts w:eastAsia="Arial" w:cs="Arial"/>
                                <w:szCs w:val="22"/>
                              </w:rPr>
                              <w:t>i</w:t>
                            </w:r>
                            <w:r w:rsidRPr="00F747DA">
                              <w:rPr>
                                <w:rFonts w:eastAsia="Arial" w:cs="Arial"/>
                                <w:spacing w:val="1"/>
                                <w:szCs w:val="22"/>
                              </w:rPr>
                              <w:t>tt</w:t>
                            </w:r>
                            <w:r w:rsidRPr="00F747DA">
                              <w:rPr>
                                <w:rFonts w:eastAsia="Arial" w:cs="Arial"/>
                                <w:szCs w:val="22"/>
                              </w:rPr>
                              <w:t>ee</w:t>
                            </w:r>
                            <w:r w:rsidRPr="00F747DA">
                              <w:rPr>
                                <w:rFonts w:eastAsia="Arial" w:cs="Arial"/>
                                <w:spacing w:val="-11"/>
                                <w:szCs w:val="22"/>
                              </w:rPr>
                              <w:t xml:space="preserve"> </w:t>
                            </w:r>
                            <w:r w:rsidRPr="00F747DA">
                              <w:rPr>
                                <w:rFonts w:eastAsia="Arial" w:cs="Arial"/>
                                <w:szCs w:val="22"/>
                              </w:rPr>
                              <w:t>as</w:t>
                            </w:r>
                            <w:r w:rsidRPr="00F747DA">
                              <w:rPr>
                                <w:rFonts w:eastAsia="Arial" w:cs="Arial"/>
                                <w:spacing w:val="2"/>
                                <w:szCs w:val="22"/>
                              </w:rPr>
                              <w:t>k</w:t>
                            </w:r>
                            <w:r w:rsidRPr="00F747DA">
                              <w:rPr>
                                <w:rFonts w:eastAsia="Arial" w:cs="Arial"/>
                                <w:szCs w:val="22"/>
                              </w:rPr>
                              <w:t>ed of Canada:</w:t>
                            </w:r>
                          </w:p>
                          <w:p w14:paraId="1C6B702F" w14:textId="77777777" w:rsidR="005F07D9" w:rsidRPr="00F747DA" w:rsidRDefault="005F07D9" w:rsidP="001E517E">
                            <w:pPr>
                              <w:shd w:val="clear" w:color="auto" w:fill="FDE9D9" w:themeFill="accent6" w:themeFillTint="33"/>
                              <w:spacing w:line="276" w:lineRule="auto"/>
                              <w:rPr>
                                <w:rFonts w:eastAsia="Arial" w:cs="Arial"/>
                                <w:iCs/>
                                <w:szCs w:val="22"/>
                              </w:rPr>
                            </w:pPr>
                          </w:p>
                          <w:p w14:paraId="60BB6B40" w14:textId="77777777" w:rsidR="005F07D9" w:rsidRPr="00F747DA" w:rsidRDefault="005F07D9" w:rsidP="001E517E">
                            <w:pPr>
                              <w:shd w:val="clear" w:color="auto" w:fill="FDE9D9" w:themeFill="accent6" w:themeFillTint="33"/>
                              <w:spacing w:line="276" w:lineRule="auto"/>
                              <w:rPr>
                                <w:rFonts w:eastAsia="Arial" w:cs="Arial"/>
                                <w:iCs/>
                                <w:szCs w:val="22"/>
                              </w:rPr>
                            </w:pPr>
                            <w:r w:rsidRPr="00F747DA">
                              <w:rPr>
                                <w:rFonts w:eastAsia="Arial" w:cs="Arial"/>
                                <w:iCs/>
                                <w:szCs w:val="22"/>
                              </w:rPr>
                              <w:t xml:space="preserve">13. Please inform the Committee about measures taken at the federal, provincial and territorial levels to fully implement the Committee’s recommendations contained in paragraph 32 of the previous concluding observations, </w:t>
                            </w:r>
                            <w:proofErr w:type="gramStart"/>
                            <w:r w:rsidRPr="00F747DA">
                              <w:rPr>
                                <w:rFonts w:eastAsia="Arial" w:cs="Arial"/>
                                <w:iCs/>
                                <w:szCs w:val="22"/>
                              </w:rPr>
                              <w:t>in particular on</w:t>
                            </w:r>
                            <w:proofErr w:type="gramEnd"/>
                            <w:r w:rsidRPr="00F747DA">
                              <w:rPr>
                                <w:rFonts w:eastAsia="Arial" w:cs="Arial"/>
                                <w:iCs/>
                                <w:szCs w:val="22"/>
                              </w:rPr>
                              <w:t>:</w:t>
                            </w:r>
                          </w:p>
                          <w:p w14:paraId="110E6E97" w14:textId="77777777" w:rsidR="005F07D9" w:rsidRPr="005B52EB" w:rsidRDefault="005F07D9" w:rsidP="001E517E">
                            <w:pPr>
                              <w:shd w:val="clear" w:color="auto" w:fill="FDE9D9" w:themeFill="accent6" w:themeFillTint="33"/>
                              <w:spacing w:line="276" w:lineRule="auto"/>
                              <w:rPr>
                                <w:rFonts w:eastAsia="Arial" w:cs="Arial"/>
                                <w:iCs/>
                                <w:sz w:val="10"/>
                                <w:szCs w:val="10"/>
                              </w:rPr>
                            </w:pPr>
                          </w:p>
                          <w:p w14:paraId="71B53F64" w14:textId="77777777" w:rsidR="005F07D9" w:rsidRPr="00635A32" w:rsidRDefault="005F07D9" w:rsidP="001E517E">
                            <w:pPr>
                              <w:shd w:val="clear" w:color="auto" w:fill="FDE9D9" w:themeFill="accent6" w:themeFillTint="33"/>
                              <w:spacing w:line="276" w:lineRule="auto"/>
                              <w:ind w:left="720"/>
                              <w:rPr>
                                <w:rFonts w:eastAsia="Arial" w:cs="Arial"/>
                                <w:iCs/>
                                <w:szCs w:val="22"/>
                              </w:rPr>
                            </w:pPr>
                            <w:r w:rsidRPr="00F747DA">
                              <w:rPr>
                                <w:rFonts w:eastAsia="Arial" w:cs="Arial"/>
                                <w:iCs/>
                                <w:szCs w:val="22"/>
                              </w:rPr>
                              <w:t xml:space="preserve">(a) </w:t>
                            </w:r>
                            <w:r w:rsidRPr="00F747DA">
                              <w:rPr>
                                <w:rFonts w:eastAsia="Arial" w:cs="Arial"/>
                                <w:b/>
                                <w:bCs/>
                                <w:iCs/>
                                <w:szCs w:val="22"/>
                              </w:rPr>
                              <w:t xml:space="preserve">Ending the involuntary detention and hospitalization of persons with disabilities </w:t>
                            </w:r>
                            <w:proofErr w:type="gramStart"/>
                            <w:r w:rsidRPr="00F747DA">
                              <w:rPr>
                                <w:rFonts w:eastAsia="Arial" w:cs="Arial"/>
                                <w:b/>
                                <w:bCs/>
                                <w:iCs/>
                                <w:szCs w:val="22"/>
                              </w:rPr>
                              <w:t>on the basis of</w:t>
                            </w:r>
                            <w:proofErr w:type="gramEnd"/>
                            <w:r w:rsidRPr="00F747DA">
                              <w:rPr>
                                <w:rFonts w:eastAsia="Arial" w:cs="Arial"/>
                                <w:b/>
                                <w:bCs/>
                                <w:iCs/>
                                <w:szCs w:val="22"/>
                              </w:rPr>
                              <w:t xml:space="preserve"> impairment</w:t>
                            </w:r>
                            <w:r w:rsidRPr="00F747DA">
                              <w:rPr>
                                <w:rFonts w:eastAsia="Arial" w:cs="Arial"/>
                                <w:iCs/>
                                <w:szCs w:val="22"/>
                              </w:rPr>
                              <w:t xml:space="preserve"> …</w:t>
                            </w:r>
                          </w:p>
                          <w:p w14:paraId="514DC36E" w14:textId="77777777" w:rsidR="005F07D9" w:rsidRPr="005B52EB" w:rsidRDefault="005F07D9" w:rsidP="001E517E">
                            <w:pPr>
                              <w:shd w:val="clear" w:color="auto" w:fill="FDE9D9" w:themeFill="accent6" w:themeFillTint="33"/>
                              <w:rPr>
                                <w:sz w:val="10"/>
                                <w:szCs w:val="1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5359A9" id="_x0000_s1027" type="#_x0000_t202" style="position:absolute;margin-left:0;margin-top:31.2pt;width:484.5pt;height:110.6pt;z-index:25166336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" fillcolor="#fde9d9 [665]">
                <v:textbox style="mso-fit-shape-to-text:t">
                  <w:txbxContent>
                    <w:p w14:paraId="76184712" w14:textId="42D27AC5" w:rsidR="005F07D9" w:rsidRPr="00F747DA" w:rsidRDefault="005F07D9" w:rsidP="001E517E">
                      <w:pPr>
                        <w:shd w:val="clear" w:color="auto" w:fill="FDE9D9" w:themeFill="accent6" w:themeFillTint="33"/>
                        <w:spacing w:line="276" w:lineRule="auto"/>
                        <w:rPr>
                          <w:rFonts w:eastAsia="Arial" w:cs="Arial"/>
                          <w:i/>
                          <w:szCs w:val="22"/>
                        </w:rPr>
                      </w:pPr>
                      <w:r w:rsidRPr="00F747DA">
                        <w:rPr>
                          <w:rFonts w:eastAsia="Arial" w:cs="Arial"/>
                          <w:spacing w:val="3"/>
                          <w:szCs w:val="22"/>
                        </w:rPr>
                        <w:t xml:space="preserve">In the </w:t>
                      </w:r>
                      <w:r>
                        <w:rPr>
                          <w:rFonts w:eastAsia="Arial" w:cs="Arial"/>
                          <w:spacing w:val="3"/>
                          <w:szCs w:val="22"/>
                        </w:rPr>
                        <w:t>LOI</w:t>
                      </w:r>
                      <w:r w:rsidRPr="00F747DA">
                        <w:rPr>
                          <w:rFonts w:eastAsia="Arial" w:cs="Arial"/>
                          <w:spacing w:val="3"/>
                          <w:szCs w:val="22"/>
                        </w:rPr>
                        <w:t xml:space="preserve">, </w:t>
                      </w:r>
                      <w:r w:rsidRPr="00F747DA">
                        <w:rPr>
                          <w:rFonts w:eastAsia="Arial" w:cs="Arial"/>
                          <w:szCs w:val="22"/>
                        </w:rPr>
                        <w:t>t</w:t>
                      </w:r>
                      <w:r w:rsidRPr="00F747DA">
                        <w:rPr>
                          <w:rFonts w:eastAsia="Arial" w:cs="Arial"/>
                          <w:spacing w:val="1"/>
                          <w:szCs w:val="22"/>
                        </w:rPr>
                        <w:t>h</w:t>
                      </w:r>
                      <w:r w:rsidRPr="00F747DA">
                        <w:rPr>
                          <w:rFonts w:eastAsia="Arial" w:cs="Arial"/>
                          <w:szCs w:val="22"/>
                        </w:rPr>
                        <w:t>e</w:t>
                      </w:r>
                      <w:r w:rsidRPr="00F747DA">
                        <w:rPr>
                          <w:rFonts w:eastAsia="Arial" w:cs="Arial"/>
                          <w:spacing w:val="-5"/>
                          <w:szCs w:val="22"/>
                        </w:rPr>
                        <w:t xml:space="preserve"> </w:t>
                      </w:r>
                      <w:r w:rsidRPr="00F747DA">
                        <w:rPr>
                          <w:rFonts w:eastAsia="Arial" w:cs="Arial"/>
                          <w:szCs w:val="22"/>
                        </w:rPr>
                        <w:t>C</w:t>
                      </w:r>
                      <w:r w:rsidRPr="00F747DA">
                        <w:rPr>
                          <w:rFonts w:eastAsia="Arial" w:cs="Arial"/>
                          <w:spacing w:val="1"/>
                          <w:szCs w:val="22"/>
                        </w:rPr>
                        <w:t>omm</w:t>
                      </w:r>
                      <w:r w:rsidRPr="00F747DA">
                        <w:rPr>
                          <w:rFonts w:eastAsia="Arial" w:cs="Arial"/>
                          <w:szCs w:val="22"/>
                        </w:rPr>
                        <w:t>i</w:t>
                      </w:r>
                      <w:r w:rsidRPr="00F747DA">
                        <w:rPr>
                          <w:rFonts w:eastAsia="Arial" w:cs="Arial"/>
                          <w:spacing w:val="1"/>
                          <w:szCs w:val="22"/>
                        </w:rPr>
                        <w:t>tt</w:t>
                      </w:r>
                      <w:r w:rsidRPr="00F747DA">
                        <w:rPr>
                          <w:rFonts w:eastAsia="Arial" w:cs="Arial"/>
                          <w:szCs w:val="22"/>
                        </w:rPr>
                        <w:t>ee</w:t>
                      </w:r>
                      <w:r w:rsidRPr="00F747DA">
                        <w:rPr>
                          <w:rFonts w:eastAsia="Arial" w:cs="Arial"/>
                          <w:spacing w:val="-11"/>
                          <w:szCs w:val="22"/>
                        </w:rPr>
                        <w:t xml:space="preserve"> </w:t>
                      </w:r>
                      <w:r w:rsidRPr="00F747DA">
                        <w:rPr>
                          <w:rFonts w:eastAsia="Arial" w:cs="Arial"/>
                          <w:szCs w:val="22"/>
                        </w:rPr>
                        <w:t>as</w:t>
                      </w:r>
                      <w:r w:rsidRPr="00F747DA">
                        <w:rPr>
                          <w:rFonts w:eastAsia="Arial" w:cs="Arial"/>
                          <w:spacing w:val="2"/>
                          <w:szCs w:val="22"/>
                        </w:rPr>
                        <w:t>k</w:t>
                      </w:r>
                      <w:r w:rsidRPr="00F747DA">
                        <w:rPr>
                          <w:rFonts w:eastAsia="Arial" w:cs="Arial"/>
                          <w:szCs w:val="22"/>
                        </w:rPr>
                        <w:t>ed of Canada:</w:t>
                      </w:r>
                    </w:p>
                    <w:p w14:paraId="1C6B702F" w14:textId="77777777" w:rsidR="005F07D9" w:rsidRPr="00F747DA" w:rsidRDefault="005F07D9" w:rsidP="001E517E">
                      <w:pPr>
                        <w:shd w:val="clear" w:color="auto" w:fill="FDE9D9" w:themeFill="accent6" w:themeFillTint="33"/>
                        <w:spacing w:line="276" w:lineRule="auto"/>
                        <w:rPr>
                          <w:rFonts w:eastAsia="Arial" w:cs="Arial"/>
                          <w:iCs/>
                          <w:szCs w:val="22"/>
                        </w:rPr>
                      </w:pPr>
                    </w:p>
                    <w:p w14:paraId="60BB6B40" w14:textId="77777777" w:rsidR="005F07D9" w:rsidRPr="00F747DA" w:rsidRDefault="005F07D9" w:rsidP="001E517E">
                      <w:pPr>
                        <w:shd w:val="clear" w:color="auto" w:fill="FDE9D9" w:themeFill="accent6" w:themeFillTint="33"/>
                        <w:spacing w:line="276" w:lineRule="auto"/>
                        <w:rPr>
                          <w:rFonts w:eastAsia="Arial" w:cs="Arial"/>
                          <w:iCs/>
                          <w:szCs w:val="22"/>
                        </w:rPr>
                      </w:pPr>
                      <w:r w:rsidRPr="00F747DA">
                        <w:rPr>
                          <w:rFonts w:eastAsia="Arial" w:cs="Arial"/>
                          <w:iCs/>
                          <w:szCs w:val="22"/>
                        </w:rPr>
                        <w:t xml:space="preserve">13. Please inform the Committee about measures taken at the federal, provincial and territorial levels to fully implement the Committee’s recommendations contained in paragraph 32 of the previous concluding observations, </w:t>
                      </w:r>
                      <w:proofErr w:type="gramStart"/>
                      <w:r w:rsidRPr="00F747DA">
                        <w:rPr>
                          <w:rFonts w:eastAsia="Arial" w:cs="Arial"/>
                          <w:iCs/>
                          <w:szCs w:val="22"/>
                        </w:rPr>
                        <w:t>in particular on</w:t>
                      </w:r>
                      <w:proofErr w:type="gramEnd"/>
                      <w:r w:rsidRPr="00F747DA">
                        <w:rPr>
                          <w:rFonts w:eastAsia="Arial" w:cs="Arial"/>
                          <w:iCs/>
                          <w:szCs w:val="22"/>
                        </w:rPr>
                        <w:t>:</w:t>
                      </w:r>
                    </w:p>
                    <w:p w14:paraId="110E6E97" w14:textId="77777777" w:rsidR="005F07D9" w:rsidRPr="005B52EB" w:rsidRDefault="005F07D9" w:rsidP="001E517E">
                      <w:pPr>
                        <w:shd w:val="clear" w:color="auto" w:fill="FDE9D9" w:themeFill="accent6" w:themeFillTint="33"/>
                        <w:spacing w:line="276" w:lineRule="auto"/>
                        <w:rPr>
                          <w:rFonts w:eastAsia="Arial" w:cs="Arial"/>
                          <w:iCs/>
                          <w:sz w:val="10"/>
                          <w:szCs w:val="10"/>
                        </w:rPr>
                      </w:pPr>
                    </w:p>
                    <w:p w14:paraId="71B53F64" w14:textId="77777777" w:rsidR="005F07D9" w:rsidRPr="00635A32" w:rsidRDefault="005F07D9" w:rsidP="001E517E">
                      <w:pPr>
                        <w:shd w:val="clear" w:color="auto" w:fill="FDE9D9" w:themeFill="accent6" w:themeFillTint="33"/>
                        <w:spacing w:line="276" w:lineRule="auto"/>
                        <w:ind w:left="720"/>
                        <w:rPr>
                          <w:rFonts w:eastAsia="Arial" w:cs="Arial"/>
                          <w:iCs/>
                          <w:szCs w:val="22"/>
                        </w:rPr>
                      </w:pPr>
                      <w:r w:rsidRPr="00F747DA">
                        <w:rPr>
                          <w:rFonts w:eastAsia="Arial" w:cs="Arial"/>
                          <w:iCs/>
                          <w:szCs w:val="22"/>
                        </w:rPr>
                        <w:t xml:space="preserve">(a) </w:t>
                      </w:r>
                      <w:r w:rsidRPr="00F747DA">
                        <w:rPr>
                          <w:rFonts w:eastAsia="Arial" w:cs="Arial"/>
                          <w:b/>
                          <w:bCs/>
                          <w:iCs/>
                          <w:szCs w:val="22"/>
                        </w:rPr>
                        <w:t xml:space="preserve">Ending the involuntary detention and hospitalization of persons with disabilities </w:t>
                      </w:r>
                      <w:proofErr w:type="gramStart"/>
                      <w:r w:rsidRPr="00F747DA">
                        <w:rPr>
                          <w:rFonts w:eastAsia="Arial" w:cs="Arial"/>
                          <w:b/>
                          <w:bCs/>
                          <w:iCs/>
                          <w:szCs w:val="22"/>
                        </w:rPr>
                        <w:t>on the basis of</w:t>
                      </w:r>
                      <w:proofErr w:type="gramEnd"/>
                      <w:r w:rsidRPr="00F747DA">
                        <w:rPr>
                          <w:rFonts w:eastAsia="Arial" w:cs="Arial"/>
                          <w:b/>
                          <w:bCs/>
                          <w:iCs/>
                          <w:szCs w:val="22"/>
                        </w:rPr>
                        <w:t xml:space="preserve"> impairment</w:t>
                      </w:r>
                      <w:r w:rsidRPr="00F747DA">
                        <w:rPr>
                          <w:rFonts w:eastAsia="Arial" w:cs="Arial"/>
                          <w:iCs/>
                          <w:szCs w:val="22"/>
                        </w:rPr>
                        <w:t xml:space="preserve"> …</w:t>
                      </w:r>
                    </w:p>
                    <w:p w14:paraId="514DC36E" w14:textId="77777777" w:rsidR="005F07D9" w:rsidRPr="005B52EB" w:rsidRDefault="005F07D9" w:rsidP="001E517E">
                      <w:pPr>
                        <w:shd w:val="clear" w:color="auto" w:fill="FDE9D9" w:themeFill="accent6" w:themeFillTint="33"/>
                        <w:rPr>
                          <w:sz w:val="10"/>
                          <w:szCs w:val="10"/>
                        </w:rPr>
                      </w:pPr>
                    </w:p>
                  </w:txbxContent>
                </v:textbox>
                <w10:wrap type="square" anchorx="margin"/>
              </v:shape>
            </w:pict>
          </mc:Fallback>
        </mc:AlternateContent>
      </w:r>
      <w:bookmarkEnd w:id="2"/>
      <w:r w:rsidR="005F07D9" w:rsidRPr="00BD142A">
        <w:rPr>
          <w:sz w:val="28"/>
          <w:szCs w:val="28"/>
          <w:lang w:val="en-CA"/>
        </w:rPr>
        <w:t>Article 14: Liberty and security of the perso</w:t>
      </w:r>
      <w:r w:rsidR="005F07D9" w:rsidRPr="00BD142A">
        <w:rPr>
          <w:sz w:val="32"/>
          <w:szCs w:val="32"/>
          <w:lang w:val="en-CA"/>
        </w:rPr>
        <w:t>n</w:t>
      </w:r>
    </w:p>
    <w:p w14:paraId="10CFBCA0" w14:textId="181A83C3" w:rsidR="005F07D9" w:rsidRPr="00C64D1A" w:rsidRDefault="0046586D" w:rsidP="0046586D">
      <w:pPr>
        <w:pStyle w:val="Heading1"/>
        <w:numPr>
          <w:ilvl w:val="0"/>
          <w:numId w:val="0"/>
        </w:numPr>
        <w:tabs>
          <w:tab w:val="left" w:pos="920"/>
        </w:tabs>
        <w:spacing w:before="6" w:line="276" w:lineRule="auto"/>
        <w:rPr>
          <w:sz w:val="20"/>
          <w:szCs w:val="20"/>
        </w:rPr>
      </w:pPr>
      <w:r>
        <w:tab/>
      </w:r>
    </w:p>
    <w:p w14:paraId="0FB45F06" w14:textId="77B17F49" w:rsidR="005F07D9" w:rsidRPr="00F747DA" w:rsidRDefault="005F07D9" w:rsidP="006A7FFC">
      <w:pPr>
        <w:pStyle w:val="ListParagraph"/>
        <w:numPr>
          <w:ilvl w:val="0"/>
          <w:numId w:val="21"/>
        </w:numPr>
        <w:spacing w:line="276" w:lineRule="auto"/>
        <w:rPr>
          <w:b/>
          <w:bCs/>
          <w:szCs w:val="22"/>
          <w:lang w:val="en-CA"/>
        </w:rPr>
      </w:pPr>
      <w:bookmarkStart w:id="3" w:name="_Toc482796062"/>
      <w:r>
        <w:rPr>
          <w:szCs w:val="22"/>
          <w:lang w:val="en-CA"/>
        </w:rPr>
        <w:t>The Committee has previously recommended that Canada “r</w:t>
      </w:r>
      <w:r w:rsidRPr="00553BF6">
        <w:rPr>
          <w:szCs w:val="22"/>
          <w:lang w:val="en-CA"/>
        </w:rPr>
        <w:t xml:space="preserve">eview federal, provincial and territorial policies and practices related to involuntary detention with the aim to bringing </w:t>
      </w:r>
      <w:r w:rsidRPr="00553BF6">
        <w:rPr>
          <w:szCs w:val="22"/>
          <w:lang w:val="en-CA"/>
        </w:rPr>
        <w:lastRenderedPageBreak/>
        <w:t>these policies and practices into compliance with article 14 of the Convention and the respective guidelines</w:t>
      </w:r>
      <w:r>
        <w:rPr>
          <w:szCs w:val="22"/>
          <w:lang w:val="en-CA"/>
        </w:rPr>
        <w:t>,”</w:t>
      </w:r>
      <w:r>
        <w:rPr>
          <w:rStyle w:val="EndnoteReference"/>
          <w:szCs w:val="22"/>
          <w:lang w:val="en-CA"/>
        </w:rPr>
        <w:endnoteReference w:id="21"/>
      </w:r>
      <w:r>
        <w:rPr>
          <w:szCs w:val="22"/>
          <w:lang w:val="en-CA"/>
        </w:rPr>
        <w:t xml:space="preserve"> yet t</w:t>
      </w:r>
      <w:r w:rsidRPr="00F747DA">
        <w:rPr>
          <w:szCs w:val="22"/>
          <w:lang w:val="en-CA"/>
        </w:rPr>
        <w:t xml:space="preserve">here continue to be </w:t>
      </w:r>
      <w:r w:rsidRPr="00F747DA">
        <w:rPr>
          <w:b/>
          <w:bCs/>
          <w:szCs w:val="22"/>
          <w:lang w:val="en-CA"/>
        </w:rPr>
        <w:t>increasing calls in Canada for involuntary care and detention of people who use drugs:</w:t>
      </w:r>
    </w:p>
    <w:p w14:paraId="15AE249A" w14:textId="77777777" w:rsidR="005F07D9" w:rsidRPr="005B52EB" w:rsidRDefault="005F07D9" w:rsidP="006A7FFC">
      <w:pPr>
        <w:spacing w:line="276" w:lineRule="auto"/>
        <w:contextualSpacing/>
        <w:rPr>
          <w:rFonts w:cs="Arial"/>
          <w:b/>
          <w:bCs/>
          <w:sz w:val="10"/>
          <w:szCs w:val="10"/>
        </w:rPr>
      </w:pPr>
    </w:p>
    <w:p w14:paraId="54BEDCFE" w14:textId="18307D19" w:rsidR="005F07D9" w:rsidRPr="00F747DA" w:rsidRDefault="005F07D9" w:rsidP="006A7FFC">
      <w:pPr>
        <w:pStyle w:val="ListParagraph"/>
        <w:widowControl/>
        <w:numPr>
          <w:ilvl w:val="0"/>
          <w:numId w:val="36"/>
        </w:numPr>
        <w:suppressAutoHyphens w:val="0"/>
        <w:spacing w:after="160" w:line="276" w:lineRule="auto"/>
        <w:rPr>
          <w:szCs w:val="22"/>
          <w:lang w:val="en-CA"/>
        </w:rPr>
      </w:pPr>
      <w:r w:rsidRPr="00F747DA">
        <w:rPr>
          <w:szCs w:val="22"/>
          <w:lang w:val="en-CA"/>
        </w:rPr>
        <w:t xml:space="preserve">In </w:t>
      </w:r>
      <w:r>
        <w:rPr>
          <w:szCs w:val="22"/>
          <w:lang w:val="en-CA"/>
        </w:rPr>
        <w:t xml:space="preserve">the province of </w:t>
      </w:r>
      <w:r w:rsidRPr="00F747DA">
        <w:rPr>
          <w:szCs w:val="22"/>
          <w:lang w:val="en-CA"/>
        </w:rPr>
        <w:t xml:space="preserve">British Columbia, </w:t>
      </w:r>
      <w:r>
        <w:rPr>
          <w:szCs w:val="22"/>
          <w:lang w:val="en-CA"/>
        </w:rPr>
        <w:t>the government is opening “</w:t>
      </w:r>
      <w:r w:rsidRPr="00444AFD">
        <w:rPr>
          <w:szCs w:val="22"/>
          <w:lang w:val="en-CA"/>
        </w:rPr>
        <w:t>secure facilities</w:t>
      </w:r>
      <w:r>
        <w:rPr>
          <w:szCs w:val="22"/>
          <w:lang w:val="en-CA"/>
        </w:rPr>
        <w:t xml:space="preserve">” and contemplating new legislation to facilitate </w:t>
      </w:r>
      <w:hyperlink r:id="rId18" w:history="1">
        <w:r w:rsidRPr="008771B0">
          <w:rPr>
            <w:rStyle w:val="Hyperlink"/>
            <w:szCs w:val="22"/>
            <w:lang w:val="en-CA"/>
          </w:rPr>
          <w:t>involuntary treatment</w:t>
        </w:r>
      </w:hyperlink>
      <w:r w:rsidRPr="00F747DA">
        <w:rPr>
          <w:szCs w:val="22"/>
          <w:lang w:val="en-CA"/>
        </w:rPr>
        <w:t xml:space="preserve"> for both youth and adults who have experienced repeated overdoses, despite strong evidence showing the known harms of involuntary care.</w:t>
      </w:r>
      <w:r w:rsidRPr="00F747DA">
        <w:rPr>
          <w:rStyle w:val="EndnoteReference"/>
          <w:szCs w:val="22"/>
          <w:lang w:val="en-CA"/>
        </w:rPr>
        <w:endnoteReference w:id="22"/>
      </w:r>
      <w:r w:rsidRPr="00F747DA">
        <w:rPr>
          <w:szCs w:val="22"/>
          <w:lang w:val="en-CA"/>
        </w:rPr>
        <w:t xml:space="preserve"> </w:t>
      </w:r>
    </w:p>
    <w:p w14:paraId="168EB445" w14:textId="77777777" w:rsidR="005F07D9" w:rsidRPr="00F747DA" w:rsidRDefault="005F07D9" w:rsidP="006A7FFC">
      <w:pPr>
        <w:pStyle w:val="ListParagraph"/>
        <w:widowControl/>
        <w:suppressAutoHyphens w:val="0"/>
        <w:spacing w:after="160" w:line="276" w:lineRule="auto"/>
        <w:rPr>
          <w:szCs w:val="22"/>
          <w:lang w:val="en-CA"/>
        </w:rPr>
      </w:pPr>
    </w:p>
    <w:p w14:paraId="3930ED31" w14:textId="77777777" w:rsidR="005F07D9" w:rsidRPr="00F747DA" w:rsidRDefault="005F07D9" w:rsidP="006A7FFC">
      <w:pPr>
        <w:pStyle w:val="ListParagraph"/>
        <w:widowControl/>
        <w:numPr>
          <w:ilvl w:val="0"/>
          <w:numId w:val="36"/>
        </w:numPr>
        <w:suppressAutoHyphens w:val="0"/>
        <w:spacing w:after="160" w:line="276" w:lineRule="auto"/>
        <w:rPr>
          <w:szCs w:val="22"/>
          <w:lang w:val="en-CA"/>
        </w:rPr>
      </w:pPr>
      <w:r w:rsidRPr="00F747DA">
        <w:rPr>
          <w:szCs w:val="22"/>
          <w:lang w:val="en-CA"/>
        </w:rPr>
        <w:t xml:space="preserve">In Alberta, </w:t>
      </w:r>
      <w:hyperlink r:id="rId19" w:history="1">
        <w:r w:rsidRPr="00F747DA">
          <w:rPr>
            <w:rStyle w:val="Hyperlink"/>
            <w:szCs w:val="22"/>
            <w:lang w:val="en-CA"/>
          </w:rPr>
          <w:t xml:space="preserve">a proposed </w:t>
        </w:r>
        <w:r w:rsidRPr="00F747DA">
          <w:rPr>
            <w:rStyle w:val="Hyperlink"/>
            <w:i/>
            <w:iCs/>
            <w:szCs w:val="22"/>
            <w:lang w:val="en-CA"/>
          </w:rPr>
          <w:t>Compassionate Intervention Act</w:t>
        </w:r>
      </w:hyperlink>
      <w:r w:rsidRPr="00F747DA">
        <w:rPr>
          <w:szCs w:val="22"/>
          <w:lang w:val="en-CA"/>
        </w:rPr>
        <w:t xml:space="preserve"> would give police and family the ability to force adults and youth into involuntary drug treatment, paired with ongoing calls for involuntary treatment of homeless people who use drugs.</w:t>
      </w:r>
      <w:r w:rsidRPr="00F747DA">
        <w:rPr>
          <w:rStyle w:val="EndnoteReference"/>
          <w:szCs w:val="22"/>
          <w:lang w:val="en-CA"/>
        </w:rPr>
        <w:endnoteReference w:id="23"/>
      </w:r>
      <w:r w:rsidRPr="00F747DA">
        <w:rPr>
          <w:szCs w:val="22"/>
          <w:lang w:val="en-CA"/>
        </w:rPr>
        <w:t xml:space="preserve"> </w:t>
      </w:r>
    </w:p>
    <w:p w14:paraId="3DA33CDF" w14:textId="77777777" w:rsidR="005F07D9" w:rsidRPr="00F747DA" w:rsidRDefault="005F07D9" w:rsidP="006A7FFC">
      <w:pPr>
        <w:pStyle w:val="ListParagraph"/>
        <w:widowControl/>
        <w:suppressAutoHyphens w:val="0"/>
        <w:spacing w:after="160" w:line="276" w:lineRule="auto"/>
        <w:rPr>
          <w:szCs w:val="22"/>
          <w:lang w:val="en-CA"/>
        </w:rPr>
      </w:pPr>
    </w:p>
    <w:p w14:paraId="25084060" w14:textId="0DCE2959" w:rsidR="005F07D9" w:rsidRPr="00F747DA" w:rsidRDefault="005F07D9" w:rsidP="006A7FFC">
      <w:pPr>
        <w:pStyle w:val="ListParagraph"/>
        <w:widowControl/>
        <w:numPr>
          <w:ilvl w:val="0"/>
          <w:numId w:val="36"/>
        </w:numPr>
        <w:suppressAutoHyphens w:val="0"/>
        <w:spacing w:after="160" w:line="276" w:lineRule="auto"/>
        <w:rPr>
          <w:szCs w:val="22"/>
          <w:lang w:val="en-CA"/>
        </w:rPr>
      </w:pPr>
      <w:r w:rsidRPr="00F747DA">
        <w:rPr>
          <w:szCs w:val="22"/>
          <w:lang w:val="en-CA"/>
        </w:rPr>
        <w:t xml:space="preserve">In Nova Scotia, a proposed </w:t>
      </w:r>
      <w:hyperlink r:id="rId20" w:history="1">
        <w:r w:rsidRPr="00F747DA">
          <w:rPr>
            <w:rStyle w:val="Hyperlink"/>
            <w:i/>
            <w:iCs/>
            <w:szCs w:val="22"/>
            <w:lang w:val="en-CA"/>
          </w:rPr>
          <w:t>Protection of Children from Abusing Drugs Act</w:t>
        </w:r>
      </w:hyperlink>
      <w:r w:rsidRPr="00F747DA">
        <w:rPr>
          <w:szCs w:val="22"/>
          <w:lang w:val="en-CA"/>
        </w:rPr>
        <w:t xml:space="preserve"> would ostensibly grant parents and guardians the power to obtain a court order to forcibly remove youth who “abuse” drugs (including alcohol or cannabis) from the community and to involuntarily detain them in a “safe house” facility to undergo detoxification for up to 10 days.</w:t>
      </w:r>
    </w:p>
    <w:p w14:paraId="057ECD63" w14:textId="77777777" w:rsidR="005F07D9" w:rsidRPr="00F747DA" w:rsidRDefault="005F07D9" w:rsidP="006A7FFC">
      <w:pPr>
        <w:pStyle w:val="ListParagraph"/>
        <w:widowControl/>
        <w:suppressAutoHyphens w:val="0"/>
        <w:spacing w:after="160" w:line="276" w:lineRule="auto"/>
        <w:rPr>
          <w:szCs w:val="22"/>
          <w:lang w:val="en-CA"/>
        </w:rPr>
      </w:pPr>
    </w:p>
    <w:p w14:paraId="489A78F8" w14:textId="3A63108D" w:rsidR="005F07D9" w:rsidRPr="00F747DA" w:rsidRDefault="005F07D9" w:rsidP="006A7FFC">
      <w:pPr>
        <w:pStyle w:val="ListParagraph"/>
        <w:widowControl/>
        <w:numPr>
          <w:ilvl w:val="0"/>
          <w:numId w:val="36"/>
        </w:numPr>
        <w:suppressAutoHyphens w:val="0"/>
        <w:spacing w:after="160" w:line="276" w:lineRule="auto"/>
        <w:rPr>
          <w:szCs w:val="22"/>
          <w:lang w:val="en-CA"/>
        </w:rPr>
      </w:pPr>
      <w:r w:rsidRPr="00F747DA">
        <w:rPr>
          <w:szCs w:val="22"/>
          <w:lang w:val="en-CA"/>
        </w:rPr>
        <w:t xml:space="preserve">In New Brunswick, a proposed </w:t>
      </w:r>
      <w:hyperlink r:id="rId21" w:history="1">
        <w:r w:rsidRPr="00F747DA">
          <w:rPr>
            <w:rStyle w:val="Hyperlink"/>
            <w:i/>
            <w:iCs/>
            <w:szCs w:val="22"/>
            <w:lang w:val="en-CA"/>
          </w:rPr>
          <w:t>Compassionate Intervention Act</w:t>
        </w:r>
      </w:hyperlink>
      <w:r w:rsidRPr="00F747DA">
        <w:rPr>
          <w:szCs w:val="22"/>
          <w:lang w:val="en-CA"/>
        </w:rPr>
        <w:t xml:space="preserve"> would “empower judges and hearing officers to order treatment for Severe Substance Abuse Disorder.”</w:t>
      </w:r>
      <w:r w:rsidRPr="00F747DA">
        <w:rPr>
          <w:rStyle w:val="EndnoteReference"/>
          <w:szCs w:val="22"/>
          <w:lang w:val="en-CA"/>
        </w:rPr>
        <w:endnoteReference w:id="24"/>
      </w:r>
    </w:p>
    <w:p w14:paraId="262D8253" w14:textId="77777777" w:rsidR="005F07D9" w:rsidRPr="00F747DA" w:rsidRDefault="005F07D9" w:rsidP="006A7FFC">
      <w:pPr>
        <w:pStyle w:val="ListParagraph"/>
        <w:widowControl/>
        <w:suppressAutoHyphens w:val="0"/>
        <w:spacing w:after="160" w:line="276" w:lineRule="auto"/>
        <w:rPr>
          <w:szCs w:val="22"/>
          <w:lang w:val="en-CA"/>
        </w:rPr>
      </w:pPr>
    </w:p>
    <w:p w14:paraId="7A071A86" w14:textId="4029409D" w:rsidR="005F07D9" w:rsidRPr="00334889" w:rsidRDefault="005F07D9" w:rsidP="006A7FFC">
      <w:pPr>
        <w:pStyle w:val="ListParagraph"/>
        <w:numPr>
          <w:ilvl w:val="0"/>
          <w:numId w:val="21"/>
        </w:numPr>
        <w:spacing w:line="276" w:lineRule="auto"/>
        <w:rPr>
          <w:b/>
          <w:bCs/>
          <w:szCs w:val="22"/>
          <w:lang w:val="en-CA"/>
        </w:rPr>
      </w:pPr>
      <w:r w:rsidRPr="00F747DA">
        <w:rPr>
          <w:szCs w:val="22"/>
          <w:lang w:val="en-CA"/>
        </w:rPr>
        <w:t>Involuntary treatment</w:t>
      </w:r>
      <w:r>
        <w:rPr>
          <w:szCs w:val="22"/>
          <w:lang w:val="en-CA"/>
        </w:rPr>
        <w:t xml:space="preserve"> for people who use drugs</w:t>
      </w:r>
      <w:r w:rsidRPr="00F747DA">
        <w:rPr>
          <w:szCs w:val="22"/>
          <w:lang w:val="en-CA"/>
        </w:rPr>
        <w:t xml:space="preserve"> includes interventions such as forced medication, institutionalization, physical restraints, isolation/solitary confinement, and other coerced behaviour, subjecting people who use drugs to deprivations of liberty and autonomy while risking their security and health. Despite the clear human rights concerns they raise, </w:t>
      </w:r>
      <w:r w:rsidRPr="00480099">
        <w:rPr>
          <w:szCs w:val="22"/>
          <w:lang w:val="en-CA"/>
        </w:rPr>
        <w:t>there is no evidence that involuntary treatment is effective to treat what is construed as “problematic substance use.”</w:t>
      </w:r>
      <w:r w:rsidRPr="00F747DA">
        <w:rPr>
          <w:b/>
          <w:bCs/>
          <w:szCs w:val="22"/>
          <w:lang w:val="en-CA"/>
        </w:rPr>
        <w:t xml:space="preserve"> </w:t>
      </w:r>
      <w:r w:rsidRPr="00F747DA">
        <w:rPr>
          <w:szCs w:val="22"/>
          <w:lang w:val="en-CA"/>
        </w:rPr>
        <w:t xml:space="preserve">A 2023 Canadian review of studies on the outcomes of forced treatment concluded that it has “limited benefit” — with voluntary treatment consistently outperforming involuntary treatment in terms of cost, sustained gains (such as abstaining from substance use), and risk of </w:t>
      </w:r>
      <w:r>
        <w:rPr>
          <w:szCs w:val="22"/>
          <w:lang w:val="en-CA"/>
        </w:rPr>
        <w:t>overdose</w:t>
      </w:r>
      <w:r w:rsidRPr="00F747DA">
        <w:rPr>
          <w:szCs w:val="22"/>
          <w:lang w:val="en-CA"/>
        </w:rPr>
        <w:t xml:space="preserve"> death following treatment.</w:t>
      </w:r>
      <w:r w:rsidRPr="00F747DA">
        <w:rPr>
          <w:rStyle w:val="EndnoteReference"/>
          <w:szCs w:val="22"/>
          <w:lang w:val="en-CA"/>
        </w:rPr>
        <w:endnoteReference w:id="25"/>
      </w:r>
      <w:r w:rsidRPr="00F747DA">
        <w:rPr>
          <w:szCs w:val="22"/>
          <w:lang w:val="en-CA"/>
        </w:rPr>
        <w:t xml:space="preserve"> </w:t>
      </w:r>
    </w:p>
    <w:p w14:paraId="546EAC92" w14:textId="77777777" w:rsidR="005F07D9" w:rsidRPr="00334889" w:rsidRDefault="005F07D9" w:rsidP="006A7FFC">
      <w:pPr>
        <w:pStyle w:val="ListParagraph"/>
        <w:spacing w:line="276" w:lineRule="auto"/>
        <w:ind w:left="360"/>
        <w:rPr>
          <w:b/>
          <w:bCs/>
          <w:szCs w:val="22"/>
          <w:lang w:val="en-CA"/>
        </w:rPr>
      </w:pPr>
    </w:p>
    <w:p w14:paraId="691F909E" w14:textId="7D9190D8" w:rsidR="005F07D9" w:rsidRPr="00F747DA" w:rsidRDefault="005F07D9" w:rsidP="006A7FFC">
      <w:pPr>
        <w:pStyle w:val="ListParagraph"/>
        <w:numPr>
          <w:ilvl w:val="0"/>
          <w:numId w:val="21"/>
        </w:numPr>
        <w:spacing w:line="276" w:lineRule="auto"/>
        <w:rPr>
          <w:b/>
          <w:bCs/>
          <w:szCs w:val="22"/>
          <w:lang w:val="en-CA"/>
        </w:rPr>
      </w:pPr>
      <w:r w:rsidRPr="00F747DA">
        <w:rPr>
          <w:szCs w:val="22"/>
          <w:lang w:val="en-CA"/>
        </w:rPr>
        <w:t>Calls for the expansion of forced treatment are also occurring against a backdrop in which access to voluntary care remains highly inaccessible, particularly for the most marginalized people who use drugs, and options for drug treatment are unregulated, driving unpredictability in quality and safety of the services. Notably, the 2023 review also found that “involuntarily treated patients with [substance use disorder] are at a higher risk of overdose after treatment.”</w:t>
      </w:r>
      <w:r w:rsidRPr="00F747DA">
        <w:rPr>
          <w:rStyle w:val="EndnoteReference"/>
          <w:szCs w:val="22"/>
          <w:lang w:val="en-CA"/>
        </w:rPr>
        <w:endnoteReference w:id="26"/>
      </w:r>
      <w:r w:rsidRPr="00F747DA">
        <w:rPr>
          <w:szCs w:val="22"/>
          <w:lang w:val="en-CA"/>
        </w:rPr>
        <w:t xml:space="preserve"> This is because individuals who resume relying on Canada’s highly toxic, criminalized drug supply lose their tolerance after involuntary treatment and are more likely to overdose.</w:t>
      </w:r>
    </w:p>
    <w:p w14:paraId="142DC4FB" w14:textId="77777777" w:rsidR="005F07D9" w:rsidRPr="00F747DA" w:rsidRDefault="005F07D9" w:rsidP="006A7FFC">
      <w:pPr>
        <w:pStyle w:val="ListParagraph"/>
        <w:spacing w:line="276" w:lineRule="auto"/>
        <w:ind w:left="360"/>
        <w:rPr>
          <w:b/>
          <w:bCs/>
          <w:szCs w:val="22"/>
          <w:lang w:val="en-CA"/>
        </w:rPr>
      </w:pPr>
    </w:p>
    <w:p w14:paraId="2C8DF90A" w14:textId="17FE5C75" w:rsidR="005F07D9" w:rsidRPr="00F747DA" w:rsidRDefault="005F07D9" w:rsidP="006A7FFC">
      <w:pPr>
        <w:pStyle w:val="ListParagraph"/>
        <w:numPr>
          <w:ilvl w:val="0"/>
          <w:numId w:val="21"/>
        </w:numPr>
        <w:spacing w:line="276" w:lineRule="auto"/>
        <w:rPr>
          <w:b/>
          <w:bCs/>
          <w:szCs w:val="22"/>
          <w:lang w:val="en-CA"/>
        </w:rPr>
      </w:pPr>
      <w:r w:rsidRPr="00F747DA">
        <w:rPr>
          <w:szCs w:val="22"/>
          <w:lang w:val="en-CA"/>
        </w:rPr>
        <w:t xml:space="preserve">Forced interventions also erode trust in the health care system. With the looming threat of involuntary treatment, frontline workers are forced to make the difficult decision of calling emergency services when an overdose occurs and potentially forcing someone into </w:t>
      </w:r>
      <w:r w:rsidRPr="00F747DA">
        <w:rPr>
          <w:szCs w:val="22"/>
          <w:lang w:val="en-CA"/>
        </w:rPr>
        <w:lastRenderedPageBreak/>
        <w:t xml:space="preserve">involuntary care. These interventions destroy trust and relationships and deter people from seeking medical assistance, even for issues unrelated to their substance use, for fear of forced treatment. Legislation authorizing forced treatment also has the potential to irreparably harm family relationships by giving guardians and families the false impression that such treatment is an effective way of supporting their loved ones, despite the documented risks.  </w:t>
      </w:r>
    </w:p>
    <w:p w14:paraId="65918C64" w14:textId="77777777" w:rsidR="005F07D9" w:rsidRPr="00F747DA" w:rsidRDefault="005F07D9" w:rsidP="006A7FFC">
      <w:pPr>
        <w:pStyle w:val="ListParagraph"/>
        <w:spacing w:line="276" w:lineRule="auto"/>
        <w:rPr>
          <w:b/>
          <w:bCs/>
          <w:szCs w:val="22"/>
          <w:lang w:val="en-CA"/>
        </w:rPr>
      </w:pPr>
    </w:p>
    <w:p w14:paraId="45368053" w14:textId="77777777" w:rsidR="00766703" w:rsidRDefault="005F07D9" w:rsidP="00A75D05">
      <w:pPr>
        <w:pStyle w:val="ListParagraph"/>
        <w:numPr>
          <w:ilvl w:val="0"/>
          <w:numId w:val="21"/>
        </w:numPr>
        <w:spacing w:line="276" w:lineRule="auto"/>
        <w:rPr>
          <w:szCs w:val="22"/>
          <w:lang w:val="en-CA"/>
        </w:rPr>
      </w:pPr>
      <w:r w:rsidRPr="00807B68">
        <w:rPr>
          <w:szCs w:val="22"/>
          <w:lang w:val="en-CA"/>
        </w:rPr>
        <w:t xml:space="preserve">Moreover, involuntary treatment increases stigma by perpetuating the notion that people who use drugs deserve to be forcibly removed from community and subject to medical care to which they did not consent and is likely to result in profound psychological and physical harm, including increasing their risk of death. </w:t>
      </w:r>
    </w:p>
    <w:p w14:paraId="56E5CA71" w14:textId="77777777" w:rsidR="00766703" w:rsidRPr="00766703" w:rsidRDefault="00766703" w:rsidP="00766703">
      <w:pPr>
        <w:pStyle w:val="ListParagraph"/>
        <w:rPr>
          <w:szCs w:val="22"/>
          <w:lang w:val="en-CA"/>
        </w:rPr>
      </w:pPr>
    </w:p>
    <w:p w14:paraId="1F667CD8" w14:textId="21689C07" w:rsidR="005F07D9" w:rsidRPr="00480099" w:rsidRDefault="005F07D9" w:rsidP="00A75D05">
      <w:pPr>
        <w:pStyle w:val="ListParagraph"/>
        <w:numPr>
          <w:ilvl w:val="0"/>
          <w:numId w:val="21"/>
        </w:numPr>
        <w:spacing w:line="276" w:lineRule="auto"/>
        <w:rPr>
          <w:szCs w:val="22"/>
          <w:lang w:val="en-CA"/>
        </w:rPr>
      </w:pPr>
      <w:r>
        <w:rPr>
          <w:szCs w:val="22"/>
          <w:lang w:val="en-CA"/>
        </w:rPr>
        <w:t>In 2013, t</w:t>
      </w:r>
      <w:r w:rsidRPr="002418FF">
        <w:rPr>
          <w:szCs w:val="22"/>
          <w:lang w:val="en-CA"/>
        </w:rPr>
        <w:t>he Special Rapporteur</w:t>
      </w:r>
      <w:r w:rsidRPr="00A75D05">
        <w:t xml:space="preserve"> </w:t>
      </w:r>
      <w:r w:rsidRPr="00A75D05">
        <w:rPr>
          <w:szCs w:val="22"/>
          <w:lang w:val="en-CA"/>
        </w:rPr>
        <w:t>on torture and</w:t>
      </w:r>
      <w:r>
        <w:rPr>
          <w:szCs w:val="22"/>
          <w:lang w:val="en-CA"/>
        </w:rPr>
        <w:t xml:space="preserve"> </w:t>
      </w:r>
      <w:r w:rsidRPr="00A75D05">
        <w:rPr>
          <w:szCs w:val="22"/>
        </w:rPr>
        <w:t>other cruel, inhuman or degrading treatment o</w:t>
      </w:r>
      <w:r>
        <w:rPr>
          <w:szCs w:val="22"/>
        </w:rPr>
        <w:t xml:space="preserve">r </w:t>
      </w:r>
      <w:r w:rsidRPr="00A75D05">
        <w:rPr>
          <w:szCs w:val="22"/>
          <w:lang w:val="en-CA"/>
        </w:rPr>
        <w:t xml:space="preserve">punishment called on all States to “close compulsory drug detention and ‘rehabilitation’ centres without </w:t>
      </w:r>
      <w:r w:rsidRPr="00A75D05">
        <w:rPr>
          <w:szCs w:val="22"/>
        </w:rPr>
        <w:t>delay and implement voluntary, evidence-based and rights-based health and social services in the community.”</w:t>
      </w:r>
      <w:r>
        <w:rPr>
          <w:rStyle w:val="EndnoteReference"/>
          <w:szCs w:val="22"/>
        </w:rPr>
        <w:endnoteReference w:id="27"/>
      </w:r>
      <w:r w:rsidRPr="00480099">
        <w:rPr>
          <w:szCs w:val="22"/>
        </w:rPr>
        <w:t xml:space="preserve"> </w:t>
      </w:r>
      <w:r>
        <w:rPr>
          <w:szCs w:val="22"/>
        </w:rPr>
        <w:t>Similarly,</w:t>
      </w:r>
      <w:r w:rsidRPr="00A75D05">
        <w:rPr>
          <w:szCs w:val="22"/>
        </w:rPr>
        <w:t xml:space="preserve"> the UN Working Group on Arbitrary Detention has confirmed, “Drug treatment should always be voluntary, based on informed consent”; as such, the Working Group called on States to “Amend legislation, policy and practice so that all treatment for drug use disorders, including for drug dependency, is evidenced-based, strictly voluntary and based on informed consent.”</w:t>
      </w:r>
      <w:r w:rsidRPr="00807B68">
        <w:rPr>
          <w:rStyle w:val="EndnoteReference"/>
          <w:szCs w:val="22"/>
          <w:lang w:val="en-CA"/>
        </w:rPr>
        <w:endnoteReference w:id="28"/>
      </w:r>
      <w:r w:rsidRPr="00A75D05">
        <w:rPr>
          <w:szCs w:val="22"/>
        </w:rPr>
        <w:t xml:space="preserve"> In its 2024 visit to Canada, the Working Group reaffirmed that “deprivation of liberty in all settings must be an exception and substance abuse treatments must always be based on informed and voluntary consent. As an alternative to compulsory drug treatment, the Working Group urges the authorities to invest in evidence-informed, voluntary, and rights-based health and social services, as well as drug dependence treatment and rehabilitation options in the community.”</w:t>
      </w:r>
      <w:r w:rsidRPr="00807B68">
        <w:rPr>
          <w:rStyle w:val="EndnoteReference"/>
          <w:szCs w:val="22"/>
          <w:lang w:val="en-CA"/>
        </w:rPr>
        <w:endnoteReference w:id="29"/>
      </w:r>
    </w:p>
    <w:p w14:paraId="75F22AB1" w14:textId="77777777" w:rsidR="005F07D9" w:rsidRPr="00807B68" w:rsidRDefault="005F07D9" w:rsidP="006A7FFC">
      <w:pPr>
        <w:pStyle w:val="ListParagraph"/>
        <w:spacing w:line="276" w:lineRule="auto"/>
        <w:rPr>
          <w:b/>
          <w:bCs/>
          <w:szCs w:val="22"/>
          <w:lang w:val="en-CA"/>
        </w:rPr>
      </w:pPr>
    </w:p>
    <w:p w14:paraId="0321BBAC" w14:textId="165EBB3A" w:rsidR="005F07D9" w:rsidRPr="00807B68" w:rsidRDefault="005F07D9" w:rsidP="006A7FFC">
      <w:pPr>
        <w:pStyle w:val="ListParagraph"/>
        <w:numPr>
          <w:ilvl w:val="0"/>
          <w:numId w:val="21"/>
        </w:numPr>
        <w:spacing w:line="276" w:lineRule="auto"/>
        <w:rPr>
          <w:b/>
          <w:bCs/>
          <w:szCs w:val="22"/>
          <w:lang w:val="en-CA"/>
        </w:rPr>
      </w:pPr>
      <w:r w:rsidRPr="00807B68">
        <w:rPr>
          <w:szCs w:val="22"/>
          <w:lang w:val="en-CA"/>
        </w:rPr>
        <w:t xml:space="preserve">Additionally, </w:t>
      </w:r>
      <w:r w:rsidRPr="00807B68">
        <w:rPr>
          <w:b/>
          <w:bCs/>
          <w:szCs w:val="22"/>
          <w:lang w:val="en-CA"/>
        </w:rPr>
        <w:t>support for Drug Treatment Courts continues to grow, despite the numerous human rights concerns associated with these courts</w:t>
      </w:r>
      <w:r w:rsidRPr="00807B68">
        <w:rPr>
          <w:szCs w:val="22"/>
          <w:lang w:val="en-CA"/>
        </w:rPr>
        <w:t>. Such courts are championed as</w:t>
      </w:r>
      <w:r w:rsidRPr="00807B68">
        <w:rPr>
          <w:spacing w:val="-3"/>
          <w:szCs w:val="22"/>
          <w:lang w:val="en-CA"/>
        </w:rPr>
        <w:t xml:space="preserve"> </w:t>
      </w:r>
      <w:r w:rsidRPr="00807B68">
        <w:rPr>
          <w:szCs w:val="22"/>
          <w:lang w:val="en-CA"/>
        </w:rPr>
        <w:t>a</w:t>
      </w:r>
      <w:r w:rsidRPr="00807B68">
        <w:rPr>
          <w:spacing w:val="-3"/>
          <w:szCs w:val="22"/>
          <w:lang w:val="en-CA"/>
        </w:rPr>
        <w:t xml:space="preserve"> </w:t>
      </w:r>
      <w:r w:rsidRPr="00807B68">
        <w:rPr>
          <w:szCs w:val="22"/>
          <w:lang w:val="en-CA"/>
        </w:rPr>
        <w:t>potential</w:t>
      </w:r>
      <w:r w:rsidRPr="00807B68">
        <w:rPr>
          <w:spacing w:val="-3"/>
          <w:szCs w:val="22"/>
          <w:lang w:val="en-CA"/>
        </w:rPr>
        <w:t xml:space="preserve"> </w:t>
      </w:r>
      <w:r w:rsidRPr="00807B68">
        <w:rPr>
          <w:szCs w:val="22"/>
          <w:lang w:val="en-CA"/>
        </w:rPr>
        <w:t>alternative</w:t>
      </w:r>
      <w:r w:rsidRPr="00807B68">
        <w:rPr>
          <w:spacing w:val="-3"/>
          <w:szCs w:val="22"/>
          <w:lang w:val="en-CA"/>
        </w:rPr>
        <w:t xml:space="preserve"> </w:t>
      </w:r>
      <w:r w:rsidRPr="00807B68">
        <w:rPr>
          <w:szCs w:val="22"/>
          <w:lang w:val="en-CA"/>
        </w:rPr>
        <w:t xml:space="preserve">to incarceration for adults charged under the </w:t>
      </w:r>
      <w:r w:rsidRPr="00807B68">
        <w:rPr>
          <w:i/>
          <w:szCs w:val="22"/>
          <w:lang w:val="en-CA"/>
        </w:rPr>
        <w:t xml:space="preserve">Controlled Drugs and Substances Act </w:t>
      </w:r>
      <w:r w:rsidRPr="00807B68">
        <w:rPr>
          <w:szCs w:val="22"/>
          <w:lang w:val="en-CA"/>
        </w:rPr>
        <w:t xml:space="preserve">or the </w:t>
      </w:r>
      <w:r w:rsidRPr="00807B68">
        <w:rPr>
          <w:i/>
          <w:szCs w:val="22"/>
          <w:lang w:val="en-CA"/>
        </w:rPr>
        <w:t xml:space="preserve">Criminal Code </w:t>
      </w:r>
      <w:r w:rsidRPr="00807B68">
        <w:rPr>
          <w:szCs w:val="22"/>
          <w:lang w:val="en-CA"/>
        </w:rPr>
        <w:t xml:space="preserve">in cases where their drug dependence was a </w:t>
      </w:r>
      <w:proofErr w:type="gramStart"/>
      <w:r w:rsidRPr="00807B68">
        <w:rPr>
          <w:szCs w:val="22"/>
          <w:lang w:val="en-CA"/>
        </w:rPr>
        <w:t>factor, but</w:t>
      </w:r>
      <w:proofErr w:type="gramEnd"/>
      <w:r w:rsidRPr="00807B68">
        <w:rPr>
          <w:szCs w:val="22"/>
          <w:lang w:val="en-CA"/>
        </w:rPr>
        <w:t xml:space="preserve"> are broadly coercive in nature. To qualify, an individual is first</w:t>
      </w:r>
      <w:r w:rsidRPr="00807B68">
        <w:rPr>
          <w:spacing w:val="-4"/>
          <w:szCs w:val="22"/>
          <w:lang w:val="en-CA"/>
        </w:rPr>
        <w:t xml:space="preserve"> </w:t>
      </w:r>
      <w:r w:rsidRPr="00807B68">
        <w:rPr>
          <w:szCs w:val="22"/>
          <w:lang w:val="en-CA"/>
        </w:rPr>
        <w:t>screened</w:t>
      </w:r>
      <w:r w:rsidRPr="00807B68">
        <w:rPr>
          <w:spacing w:val="-4"/>
          <w:szCs w:val="22"/>
          <w:lang w:val="en-CA"/>
        </w:rPr>
        <w:t xml:space="preserve"> </w:t>
      </w:r>
      <w:r w:rsidRPr="00807B68">
        <w:rPr>
          <w:szCs w:val="22"/>
          <w:lang w:val="en-CA"/>
        </w:rPr>
        <w:t>by</w:t>
      </w:r>
      <w:r w:rsidRPr="00807B68">
        <w:rPr>
          <w:spacing w:val="-4"/>
          <w:szCs w:val="22"/>
          <w:lang w:val="en-CA"/>
        </w:rPr>
        <w:t xml:space="preserve"> </w:t>
      </w:r>
      <w:r w:rsidRPr="00807B68">
        <w:rPr>
          <w:szCs w:val="22"/>
          <w:lang w:val="en-CA"/>
        </w:rPr>
        <w:t>a</w:t>
      </w:r>
      <w:r w:rsidRPr="00807B68">
        <w:rPr>
          <w:spacing w:val="-4"/>
          <w:szCs w:val="22"/>
          <w:lang w:val="en-CA"/>
        </w:rPr>
        <w:t xml:space="preserve"> </w:t>
      </w:r>
      <w:r w:rsidRPr="00807B68">
        <w:rPr>
          <w:szCs w:val="22"/>
          <w:lang w:val="en-CA"/>
        </w:rPr>
        <w:t>prosecutor</w:t>
      </w:r>
      <w:r w:rsidRPr="00807B68">
        <w:rPr>
          <w:spacing w:val="-4"/>
          <w:szCs w:val="22"/>
          <w:lang w:val="en-CA"/>
        </w:rPr>
        <w:t xml:space="preserve"> </w:t>
      </w:r>
      <w:r w:rsidRPr="00807B68">
        <w:rPr>
          <w:szCs w:val="22"/>
          <w:lang w:val="en-CA"/>
        </w:rPr>
        <w:t>and</w:t>
      </w:r>
      <w:r w:rsidRPr="00807B68">
        <w:rPr>
          <w:spacing w:val="-4"/>
          <w:szCs w:val="22"/>
          <w:lang w:val="en-CA"/>
        </w:rPr>
        <w:t xml:space="preserve"> </w:t>
      </w:r>
      <w:r w:rsidRPr="00807B68">
        <w:rPr>
          <w:szCs w:val="22"/>
          <w:lang w:val="en-CA"/>
        </w:rPr>
        <w:t>must enter a</w:t>
      </w:r>
      <w:r w:rsidRPr="00F747DA">
        <w:rPr>
          <w:szCs w:val="22"/>
          <w:lang w:val="en-CA"/>
        </w:rPr>
        <w:t xml:space="preserve"> guilty plea to be admitted into the program. For</w:t>
      </w:r>
      <w:r w:rsidRPr="00F747DA">
        <w:rPr>
          <w:spacing w:val="-3"/>
          <w:szCs w:val="22"/>
          <w:lang w:val="en-CA"/>
        </w:rPr>
        <w:t xml:space="preserve"> </w:t>
      </w:r>
      <w:r w:rsidRPr="00F747DA">
        <w:rPr>
          <w:szCs w:val="22"/>
          <w:lang w:val="en-CA"/>
        </w:rPr>
        <w:t>the</w:t>
      </w:r>
      <w:r w:rsidRPr="00F747DA">
        <w:rPr>
          <w:spacing w:val="-3"/>
          <w:szCs w:val="22"/>
          <w:lang w:val="en-CA"/>
        </w:rPr>
        <w:t xml:space="preserve"> </w:t>
      </w:r>
      <w:r w:rsidRPr="00F747DA">
        <w:rPr>
          <w:szCs w:val="22"/>
          <w:lang w:val="en-CA"/>
        </w:rPr>
        <w:t>duration</w:t>
      </w:r>
      <w:r w:rsidRPr="00F747DA">
        <w:rPr>
          <w:spacing w:val="-3"/>
          <w:szCs w:val="22"/>
          <w:lang w:val="en-CA"/>
        </w:rPr>
        <w:t xml:space="preserve"> </w:t>
      </w:r>
      <w:r w:rsidRPr="00F747DA">
        <w:rPr>
          <w:szCs w:val="22"/>
          <w:lang w:val="en-CA"/>
        </w:rPr>
        <w:t>of</w:t>
      </w:r>
      <w:r w:rsidRPr="00F747DA">
        <w:rPr>
          <w:spacing w:val="-3"/>
          <w:szCs w:val="22"/>
          <w:lang w:val="en-CA"/>
        </w:rPr>
        <w:t xml:space="preserve"> </w:t>
      </w:r>
      <w:r w:rsidRPr="00F747DA">
        <w:rPr>
          <w:szCs w:val="22"/>
          <w:lang w:val="en-CA"/>
        </w:rPr>
        <w:t>the</w:t>
      </w:r>
      <w:r w:rsidRPr="00F747DA">
        <w:rPr>
          <w:spacing w:val="-3"/>
          <w:szCs w:val="22"/>
          <w:lang w:val="en-CA"/>
        </w:rPr>
        <w:t xml:space="preserve"> </w:t>
      </w:r>
      <w:r w:rsidRPr="00F747DA">
        <w:rPr>
          <w:szCs w:val="22"/>
          <w:lang w:val="en-CA"/>
        </w:rPr>
        <w:t>program,</w:t>
      </w:r>
      <w:r w:rsidRPr="00F747DA">
        <w:rPr>
          <w:spacing w:val="-3"/>
          <w:szCs w:val="22"/>
          <w:lang w:val="en-CA"/>
        </w:rPr>
        <w:t xml:space="preserve"> </w:t>
      </w:r>
      <w:r w:rsidRPr="00F747DA">
        <w:rPr>
          <w:szCs w:val="22"/>
          <w:lang w:val="en-CA"/>
        </w:rPr>
        <w:t>a</w:t>
      </w:r>
      <w:r w:rsidRPr="00F747DA">
        <w:rPr>
          <w:spacing w:val="-4"/>
          <w:szCs w:val="22"/>
          <w:lang w:val="en-CA"/>
        </w:rPr>
        <w:t xml:space="preserve"> </w:t>
      </w:r>
      <w:r w:rsidRPr="00F747DA">
        <w:rPr>
          <w:szCs w:val="22"/>
          <w:lang w:val="en-CA"/>
        </w:rPr>
        <w:t>participant</w:t>
      </w:r>
      <w:r w:rsidRPr="00F747DA">
        <w:rPr>
          <w:spacing w:val="-4"/>
          <w:szCs w:val="22"/>
          <w:lang w:val="en-CA"/>
        </w:rPr>
        <w:t xml:space="preserve"> </w:t>
      </w:r>
      <w:r w:rsidRPr="00F747DA">
        <w:rPr>
          <w:szCs w:val="22"/>
          <w:lang w:val="en-CA"/>
        </w:rPr>
        <w:t>is</w:t>
      </w:r>
      <w:r w:rsidRPr="00F747DA">
        <w:rPr>
          <w:spacing w:val="-3"/>
          <w:szCs w:val="22"/>
          <w:lang w:val="en-CA"/>
        </w:rPr>
        <w:t xml:space="preserve"> </w:t>
      </w:r>
      <w:r w:rsidRPr="00F747DA">
        <w:rPr>
          <w:szCs w:val="22"/>
          <w:lang w:val="en-CA"/>
        </w:rPr>
        <w:t>subject</w:t>
      </w:r>
      <w:r w:rsidRPr="00F747DA">
        <w:rPr>
          <w:spacing w:val="-3"/>
          <w:szCs w:val="22"/>
          <w:lang w:val="en-CA"/>
        </w:rPr>
        <w:t xml:space="preserve"> </w:t>
      </w:r>
      <w:r w:rsidRPr="00F747DA">
        <w:rPr>
          <w:szCs w:val="22"/>
          <w:lang w:val="en-CA"/>
        </w:rPr>
        <w:t>to</w:t>
      </w:r>
      <w:r w:rsidRPr="00F747DA">
        <w:rPr>
          <w:spacing w:val="-4"/>
          <w:szCs w:val="22"/>
          <w:lang w:val="en-CA"/>
        </w:rPr>
        <w:t xml:space="preserve"> </w:t>
      </w:r>
      <w:r w:rsidRPr="00F747DA">
        <w:rPr>
          <w:szCs w:val="22"/>
          <w:lang w:val="en-CA"/>
        </w:rPr>
        <w:t>frequent, random urine screening and is compelled to submit to a rigorous treatment regime and to appear personally in court on a regular basis for highly intrusive judicial supervision. A judge can impose sanctions including jail time for drug use, breach of curfew, or missed treatment sessions, urine tests or court appearances. To graduate from the program, participants must meet criteria, including being abstinent for a certain period. Those who are expelled</w:t>
      </w:r>
      <w:r w:rsidRPr="00F747DA">
        <w:rPr>
          <w:spacing w:val="-3"/>
          <w:szCs w:val="22"/>
          <w:lang w:val="en-CA"/>
        </w:rPr>
        <w:t xml:space="preserve"> </w:t>
      </w:r>
      <w:r w:rsidRPr="00F747DA">
        <w:rPr>
          <w:szCs w:val="22"/>
          <w:lang w:val="en-CA"/>
        </w:rPr>
        <w:t>from</w:t>
      </w:r>
      <w:r w:rsidRPr="00F747DA">
        <w:rPr>
          <w:spacing w:val="-4"/>
          <w:szCs w:val="22"/>
          <w:lang w:val="en-CA"/>
        </w:rPr>
        <w:t xml:space="preserve"> </w:t>
      </w:r>
      <w:r w:rsidRPr="00F747DA">
        <w:rPr>
          <w:szCs w:val="22"/>
          <w:lang w:val="en-CA"/>
        </w:rPr>
        <w:t>or</w:t>
      </w:r>
      <w:r w:rsidRPr="00F747DA">
        <w:rPr>
          <w:spacing w:val="-3"/>
          <w:szCs w:val="22"/>
          <w:lang w:val="en-CA"/>
        </w:rPr>
        <w:t xml:space="preserve"> </w:t>
      </w:r>
      <w:r w:rsidRPr="00F747DA">
        <w:rPr>
          <w:szCs w:val="22"/>
          <w:lang w:val="en-CA"/>
        </w:rPr>
        <w:t>do</w:t>
      </w:r>
      <w:r w:rsidRPr="00F747DA">
        <w:rPr>
          <w:spacing w:val="-3"/>
          <w:szCs w:val="22"/>
          <w:lang w:val="en-CA"/>
        </w:rPr>
        <w:t xml:space="preserve"> </w:t>
      </w:r>
      <w:r w:rsidRPr="00F747DA">
        <w:rPr>
          <w:szCs w:val="22"/>
          <w:lang w:val="en-CA"/>
        </w:rPr>
        <w:t>not</w:t>
      </w:r>
      <w:r w:rsidRPr="00F747DA">
        <w:rPr>
          <w:spacing w:val="-3"/>
          <w:szCs w:val="22"/>
          <w:lang w:val="en-CA"/>
        </w:rPr>
        <w:t xml:space="preserve"> </w:t>
      </w:r>
      <w:r w:rsidRPr="00F747DA">
        <w:rPr>
          <w:szCs w:val="22"/>
          <w:lang w:val="en-CA"/>
        </w:rPr>
        <w:t>complete</w:t>
      </w:r>
      <w:r w:rsidRPr="00F747DA">
        <w:rPr>
          <w:spacing w:val="-3"/>
          <w:szCs w:val="22"/>
          <w:lang w:val="en-CA"/>
        </w:rPr>
        <w:t xml:space="preserve"> </w:t>
      </w:r>
      <w:r w:rsidRPr="00F747DA">
        <w:rPr>
          <w:szCs w:val="22"/>
          <w:lang w:val="en-CA"/>
        </w:rPr>
        <w:t>the</w:t>
      </w:r>
      <w:r w:rsidRPr="00F747DA">
        <w:rPr>
          <w:spacing w:val="-3"/>
          <w:szCs w:val="22"/>
          <w:lang w:val="en-CA"/>
        </w:rPr>
        <w:t xml:space="preserve"> </w:t>
      </w:r>
      <w:r w:rsidRPr="00F747DA">
        <w:rPr>
          <w:szCs w:val="22"/>
          <w:lang w:val="en-CA"/>
        </w:rPr>
        <w:t>program face the traditional criminal sentencing process. Troublingly, the</w:t>
      </w:r>
      <w:r w:rsidRPr="00F747DA">
        <w:rPr>
          <w:spacing w:val="-4"/>
          <w:szCs w:val="22"/>
          <w:lang w:val="en-CA"/>
        </w:rPr>
        <w:t xml:space="preserve"> </w:t>
      </w:r>
      <w:r w:rsidRPr="00F747DA">
        <w:rPr>
          <w:szCs w:val="22"/>
          <w:lang w:val="en-CA"/>
        </w:rPr>
        <w:t>most</w:t>
      </w:r>
      <w:r w:rsidRPr="00F747DA">
        <w:rPr>
          <w:spacing w:val="-4"/>
          <w:szCs w:val="22"/>
          <w:lang w:val="en-CA"/>
        </w:rPr>
        <w:t xml:space="preserve"> </w:t>
      </w:r>
      <w:r w:rsidRPr="00F747DA">
        <w:rPr>
          <w:szCs w:val="22"/>
          <w:lang w:val="en-CA"/>
        </w:rPr>
        <w:t>powerful</w:t>
      </w:r>
      <w:r w:rsidRPr="00F747DA">
        <w:rPr>
          <w:spacing w:val="-4"/>
          <w:szCs w:val="22"/>
          <w:lang w:val="en-CA"/>
        </w:rPr>
        <w:t xml:space="preserve"> </w:t>
      </w:r>
      <w:r w:rsidRPr="00F747DA">
        <w:rPr>
          <w:szCs w:val="22"/>
          <w:lang w:val="en-CA"/>
        </w:rPr>
        <w:t>tool</w:t>
      </w:r>
      <w:r w:rsidRPr="00F747DA">
        <w:rPr>
          <w:spacing w:val="-4"/>
          <w:szCs w:val="22"/>
          <w:lang w:val="en-CA"/>
        </w:rPr>
        <w:t xml:space="preserve"> </w:t>
      </w:r>
      <w:r>
        <w:rPr>
          <w:szCs w:val="22"/>
          <w:lang w:val="en-CA"/>
        </w:rPr>
        <w:t>Drug Treatment Court</w:t>
      </w:r>
      <w:r w:rsidRPr="00F747DA">
        <w:rPr>
          <w:szCs w:val="22"/>
          <w:lang w:val="en-CA"/>
        </w:rPr>
        <w:t xml:space="preserve">s </w:t>
      </w:r>
      <w:proofErr w:type="gramStart"/>
      <w:r w:rsidRPr="00F747DA">
        <w:rPr>
          <w:szCs w:val="22"/>
          <w:lang w:val="en-CA"/>
        </w:rPr>
        <w:t>have to</w:t>
      </w:r>
      <w:proofErr w:type="gramEnd"/>
      <w:r w:rsidRPr="00F747DA">
        <w:rPr>
          <w:szCs w:val="22"/>
          <w:lang w:val="en-CA"/>
        </w:rPr>
        <w:t xml:space="preserve"> coerce people into ending substance use and completing treatment is the threat of incarceration.</w:t>
      </w:r>
      <w:r w:rsidRPr="00F747DA">
        <w:rPr>
          <w:rStyle w:val="EndnoteReference"/>
          <w:szCs w:val="22"/>
          <w:lang w:val="en-CA"/>
        </w:rPr>
        <w:endnoteReference w:id="30"/>
      </w:r>
      <w:r w:rsidRPr="00F747DA">
        <w:rPr>
          <w:b/>
          <w:bCs/>
          <w:szCs w:val="22"/>
          <w:lang w:val="en-CA"/>
        </w:rPr>
        <w:t xml:space="preserve"> </w:t>
      </w:r>
    </w:p>
    <w:p w14:paraId="2AAC997E" w14:textId="77777777" w:rsidR="005F07D9" w:rsidRPr="00807B68" w:rsidRDefault="005F07D9" w:rsidP="006A7FFC">
      <w:pPr>
        <w:pStyle w:val="ListParagraph"/>
        <w:spacing w:line="276" w:lineRule="auto"/>
        <w:ind w:left="360"/>
        <w:rPr>
          <w:b/>
          <w:bCs/>
          <w:szCs w:val="22"/>
          <w:lang w:val="en-CA"/>
        </w:rPr>
      </w:pPr>
    </w:p>
    <w:p w14:paraId="4029685C" w14:textId="66AAEE2D" w:rsidR="005F07D9" w:rsidRPr="00480099" w:rsidRDefault="005F07D9" w:rsidP="006A7FFC">
      <w:pPr>
        <w:pStyle w:val="ListParagraph"/>
        <w:numPr>
          <w:ilvl w:val="0"/>
          <w:numId w:val="21"/>
        </w:numPr>
        <w:spacing w:line="276" w:lineRule="auto"/>
        <w:rPr>
          <w:b/>
          <w:bCs/>
          <w:szCs w:val="22"/>
          <w:lang w:val="en-CA"/>
        </w:rPr>
      </w:pPr>
      <w:r w:rsidRPr="00807B68">
        <w:rPr>
          <w:szCs w:val="22"/>
          <w:lang w:val="en-CA"/>
        </w:rPr>
        <w:t xml:space="preserve">Studies by Canada’s federal Department of Justice have also shown that </w:t>
      </w:r>
      <w:r>
        <w:rPr>
          <w:szCs w:val="22"/>
          <w:lang w:val="en-CA"/>
        </w:rPr>
        <w:t xml:space="preserve">Drug Treatment </w:t>
      </w:r>
      <w:r>
        <w:rPr>
          <w:szCs w:val="22"/>
          <w:lang w:val="en-CA"/>
        </w:rPr>
        <w:lastRenderedPageBreak/>
        <w:t>Courts</w:t>
      </w:r>
      <w:r w:rsidRPr="00807B68">
        <w:rPr>
          <w:szCs w:val="22"/>
          <w:lang w:val="en-CA"/>
        </w:rPr>
        <w:t xml:space="preserve"> are unable to engage women, Indigenous people, sex workers, racialized people, and youth — or to retain</w:t>
      </w:r>
      <w:r w:rsidRPr="00807B68">
        <w:rPr>
          <w:spacing w:val="-2"/>
          <w:szCs w:val="22"/>
          <w:lang w:val="en-CA"/>
        </w:rPr>
        <w:t xml:space="preserve"> </w:t>
      </w:r>
      <w:r w:rsidRPr="00807B68">
        <w:rPr>
          <w:szCs w:val="22"/>
          <w:lang w:val="en-CA"/>
        </w:rPr>
        <w:t>them</w:t>
      </w:r>
      <w:r w:rsidRPr="00807B68">
        <w:rPr>
          <w:spacing w:val="-3"/>
          <w:szCs w:val="22"/>
          <w:lang w:val="en-CA"/>
        </w:rPr>
        <w:t xml:space="preserve"> </w:t>
      </w:r>
      <w:r w:rsidRPr="00807B68">
        <w:rPr>
          <w:szCs w:val="22"/>
          <w:lang w:val="en-CA"/>
        </w:rPr>
        <w:t>once</w:t>
      </w:r>
      <w:r w:rsidRPr="00807B68">
        <w:rPr>
          <w:spacing w:val="-2"/>
          <w:szCs w:val="22"/>
          <w:lang w:val="en-CA"/>
        </w:rPr>
        <w:t xml:space="preserve"> </w:t>
      </w:r>
      <w:r w:rsidRPr="00807B68">
        <w:rPr>
          <w:szCs w:val="22"/>
          <w:lang w:val="en-CA"/>
        </w:rPr>
        <w:t>they</w:t>
      </w:r>
      <w:r w:rsidRPr="00807B68">
        <w:rPr>
          <w:spacing w:val="-2"/>
          <w:szCs w:val="22"/>
          <w:lang w:val="en-CA"/>
        </w:rPr>
        <w:t xml:space="preserve"> </w:t>
      </w:r>
      <w:r w:rsidRPr="00807B68">
        <w:rPr>
          <w:szCs w:val="22"/>
          <w:lang w:val="en-CA"/>
        </w:rPr>
        <w:t>have</w:t>
      </w:r>
      <w:r w:rsidRPr="00807B68">
        <w:rPr>
          <w:spacing w:val="-2"/>
          <w:szCs w:val="22"/>
          <w:lang w:val="en-CA"/>
        </w:rPr>
        <w:t xml:space="preserve"> </w:t>
      </w:r>
      <w:r w:rsidRPr="00807B68">
        <w:rPr>
          <w:szCs w:val="22"/>
          <w:lang w:val="en-CA"/>
        </w:rPr>
        <w:t>entered the program, thus exposing them to the serious penalties associated with attrition.</w:t>
      </w:r>
      <w:r w:rsidRPr="00807B68">
        <w:rPr>
          <w:rStyle w:val="EndnoteReference"/>
          <w:szCs w:val="22"/>
          <w:lang w:val="en-CA"/>
        </w:rPr>
        <w:endnoteReference w:id="31"/>
      </w:r>
      <w:r w:rsidRPr="00807B68">
        <w:rPr>
          <w:spacing w:val="19"/>
          <w:position w:val="7"/>
          <w:szCs w:val="22"/>
          <w:lang w:val="en-CA"/>
        </w:rPr>
        <w:t xml:space="preserve"> </w:t>
      </w:r>
      <w:r w:rsidRPr="00807B68">
        <w:rPr>
          <w:szCs w:val="22"/>
          <w:lang w:val="en-CA"/>
        </w:rPr>
        <w:t>Evaluations</w:t>
      </w:r>
      <w:r w:rsidRPr="00807B68">
        <w:rPr>
          <w:spacing w:val="-1"/>
          <w:szCs w:val="22"/>
          <w:lang w:val="en-CA"/>
        </w:rPr>
        <w:t xml:space="preserve"> </w:t>
      </w:r>
      <w:r w:rsidRPr="00807B68">
        <w:rPr>
          <w:szCs w:val="22"/>
          <w:lang w:val="en-CA"/>
        </w:rPr>
        <w:t>have</w:t>
      </w:r>
      <w:r w:rsidRPr="00807B68">
        <w:rPr>
          <w:spacing w:val="-2"/>
          <w:szCs w:val="22"/>
          <w:lang w:val="en-CA"/>
        </w:rPr>
        <w:t xml:space="preserve"> </w:t>
      </w:r>
      <w:r w:rsidRPr="00807B68">
        <w:rPr>
          <w:szCs w:val="22"/>
          <w:lang w:val="en-CA"/>
        </w:rPr>
        <w:t>shown</w:t>
      </w:r>
      <w:r w:rsidRPr="00807B68">
        <w:rPr>
          <w:spacing w:val="-3"/>
          <w:szCs w:val="22"/>
          <w:lang w:val="en-CA"/>
        </w:rPr>
        <w:t xml:space="preserve"> </w:t>
      </w:r>
      <w:r w:rsidRPr="00807B68">
        <w:rPr>
          <w:szCs w:val="22"/>
          <w:lang w:val="en-CA"/>
        </w:rPr>
        <w:t>that,</w:t>
      </w:r>
      <w:r w:rsidRPr="00807B68">
        <w:rPr>
          <w:spacing w:val="-2"/>
          <w:szCs w:val="22"/>
          <w:lang w:val="en-CA"/>
        </w:rPr>
        <w:t xml:space="preserve"> </w:t>
      </w:r>
      <w:r w:rsidRPr="00807B68">
        <w:rPr>
          <w:szCs w:val="22"/>
          <w:lang w:val="en-CA"/>
        </w:rPr>
        <w:t>compared</w:t>
      </w:r>
      <w:r w:rsidRPr="00807B68">
        <w:rPr>
          <w:spacing w:val="-2"/>
          <w:szCs w:val="22"/>
          <w:lang w:val="en-CA"/>
        </w:rPr>
        <w:t xml:space="preserve"> </w:t>
      </w:r>
      <w:r w:rsidRPr="00807B68">
        <w:rPr>
          <w:szCs w:val="22"/>
          <w:lang w:val="en-CA"/>
        </w:rPr>
        <w:t>to men, women participants experience greater degrees of poverty and mental illness and are more</w:t>
      </w:r>
      <w:r w:rsidRPr="00807B68">
        <w:rPr>
          <w:spacing w:val="-2"/>
          <w:szCs w:val="22"/>
          <w:lang w:val="en-CA"/>
        </w:rPr>
        <w:t xml:space="preserve"> </w:t>
      </w:r>
      <w:r w:rsidRPr="00807B68">
        <w:rPr>
          <w:szCs w:val="22"/>
          <w:lang w:val="en-CA"/>
        </w:rPr>
        <w:t>likely</w:t>
      </w:r>
      <w:r w:rsidRPr="00807B68">
        <w:rPr>
          <w:spacing w:val="-2"/>
          <w:szCs w:val="22"/>
          <w:lang w:val="en-CA"/>
        </w:rPr>
        <w:t xml:space="preserve"> </w:t>
      </w:r>
      <w:r w:rsidRPr="00807B68">
        <w:rPr>
          <w:szCs w:val="22"/>
          <w:lang w:val="en-CA"/>
        </w:rPr>
        <w:t>to</w:t>
      </w:r>
      <w:r w:rsidRPr="00807B68">
        <w:rPr>
          <w:spacing w:val="-2"/>
          <w:szCs w:val="22"/>
          <w:lang w:val="en-CA"/>
        </w:rPr>
        <w:t xml:space="preserve"> </w:t>
      </w:r>
      <w:r w:rsidRPr="00807B68">
        <w:rPr>
          <w:szCs w:val="22"/>
          <w:lang w:val="en-CA"/>
        </w:rPr>
        <w:t>have</w:t>
      </w:r>
      <w:r w:rsidRPr="00807B68">
        <w:rPr>
          <w:spacing w:val="-2"/>
          <w:szCs w:val="22"/>
          <w:lang w:val="en-CA"/>
        </w:rPr>
        <w:t xml:space="preserve"> </w:t>
      </w:r>
      <w:r w:rsidRPr="00807B68">
        <w:rPr>
          <w:szCs w:val="22"/>
          <w:lang w:val="en-CA"/>
        </w:rPr>
        <w:t>children</w:t>
      </w:r>
      <w:r w:rsidRPr="00807B68">
        <w:rPr>
          <w:spacing w:val="-2"/>
          <w:szCs w:val="22"/>
          <w:lang w:val="en-CA"/>
        </w:rPr>
        <w:t xml:space="preserve"> </w:t>
      </w:r>
      <w:r w:rsidRPr="00807B68">
        <w:rPr>
          <w:szCs w:val="22"/>
          <w:lang w:val="en-CA"/>
        </w:rPr>
        <w:t>and</w:t>
      </w:r>
      <w:r w:rsidRPr="00807B68">
        <w:rPr>
          <w:spacing w:val="-2"/>
          <w:szCs w:val="22"/>
          <w:lang w:val="en-CA"/>
        </w:rPr>
        <w:t xml:space="preserve"> </w:t>
      </w:r>
      <w:r w:rsidRPr="00807B68">
        <w:rPr>
          <w:szCs w:val="22"/>
          <w:lang w:val="en-CA"/>
        </w:rPr>
        <w:t>family</w:t>
      </w:r>
      <w:r w:rsidRPr="00807B68">
        <w:rPr>
          <w:spacing w:val="-2"/>
          <w:szCs w:val="22"/>
          <w:lang w:val="en-CA"/>
        </w:rPr>
        <w:t xml:space="preserve"> </w:t>
      </w:r>
      <w:r w:rsidRPr="00807B68">
        <w:rPr>
          <w:szCs w:val="22"/>
          <w:lang w:val="en-CA"/>
        </w:rPr>
        <w:t>responsibilities,</w:t>
      </w:r>
      <w:r w:rsidRPr="00807B68">
        <w:rPr>
          <w:spacing w:val="-2"/>
          <w:szCs w:val="22"/>
          <w:lang w:val="en-CA"/>
        </w:rPr>
        <w:t xml:space="preserve"> </w:t>
      </w:r>
      <w:r w:rsidRPr="00807B68">
        <w:rPr>
          <w:szCs w:val="22"/>
          <w:lang w:val="en-CA"/>
        </w:rPr>
        <w:t>which</w:t>
      </w:r>
      <w:r w:rsidRPr="00807B68">
        <w:rPr>
          <w:spacing w:val="-2"/>
          <w:szCs w:val="22"/>
          <w:lang w:val="en-CA"/>
        </w:rPr>
        <w:t xml:space="preserve"> </w:t>
      </w:r>
      <w:r w:rsidRPr="00807B68">
        <w:rPr>
          <w:szCs w:val="22"/>
          <w:lang w:val="en-CA"/>
        </w:rPr>
        <w:t>impede</w:t>
      </w:r>
      <w:r w:rsidRPr="00807B68">
        <w:rPr>
          <w:spacing w:val="-2"/>
          <w:szCs w:val="22"/>
          <w:lang w:val="en-CA"/>
        </w:rPr>
        <w:t xml:space="preserve"> </w:t>
      </w:r>
      <w:r w:rsidRPr="00807B68">
        <w:rPr>
          <w:szCs w:val="22"/>
          <w:lang w:val="en-CA"/>
        </w:rPr>
        <w:t>their</w:t>
      </w:r>
      <w:r w:rsidRPr="00807B68">
        <w:rPr>
          <w:spacing w:val="-2"/>
          <w:szCs w:val="22"/>
          <w:lang w:val="en-CA"/>
        </w:rPr>
        <w:t xml:space="preserve"> </w:t>
      </w:r>
      <w:r w:rsidRPr="00807B68">
        <w:rPr>
          <w:szCs w:val="22"/>
          <w:lang w:val="en-CA"/>
        </w:rPr>
        <w:t>ability</w:t>
      </w:r>
      <w:r w:rsidRPr="00807B68">
        <w:rPr>
          <w:spacing w:val="-2"/>
          <w:szCs w:val="22"/>
          <w:lang w:val="en-CA"/>
        </w:rPr>
        <w:t xml:space="preserve"> </w:t>
      </w:r>
      <w:r w:rsidRPr="00807B68">
        <w:rPr>
          <w:szCs w:val="22"/>
          <w:lang w:val="en-CA"/>
        </w:rPr>
        <w:t>to</w:t>
      </w:r>
      <w:r w:rsidRPr="00807B68">
        <w:rPr>
          <w:spacing w:val="-2"/>
          <w:szCs w:val="22"/>
          <w:lang w:val="en-CA"/>
        </w:rPr>
        <w:t xml:space="preserve"> </w:t>
      </w:r>
      <w:r w:rsidRPr="00807B68">
        <w:rPr>
          <w:szCs w:val="22"/>
          <w:lang w:val="en-CA"/>
        </w:rPr>
        <w:t>complete the</w:t>
      </w:r>
      <w:r w:rsidRPr="00807B68">
        <w:rPr>
          <w:spacing w:val="-1"/>
          <w:szCs w:val="22"/>
          <w:lang w:val="en-CA"/>
        </w:rPr>
        <w:t xml:space="preserve"> </w:t>
      </w:r>
      <w:r w:rsidRPr="00807B68">
        <w:rPr>
          <w:szCs w:val="22"/>
          <w:lang w:val="en-CA"/>
        </w:rPr>
        <w:t>program;</w:t>
      </w:r>
      <w:r w:rsidRPr="00807B68">
        <w:rPr>
          <w:spacing w:val="-1"/>
          <w:szCs w:val="22"/>
          <w:lang w:val="en-CA"/>
        </w:rPr>
        <w:t xml:space="preserve"> </w:t>
      </w:r>
      <w:r w:rsidRPr="00807B68">
        <w:rPr>
          <w:szCs w:val="22"/>
          <w:lang w:val="en-CA"/>
        </w:rPr>
        <w:t>in</w:t>
      </w:r>
      <w:r w:rsidRPr="00807B68">
        <w:rPr>
          <w:spacing w:val="-1"/>
          <w:szCs w:val="22"/>
          <w:lang w:val="en-CA"/>
        </w:rPr>
        <w:t xml:space="preserve"> </w:t>
      </w:r>
      <w:r w:rsidRPr="00807B68">
        <w:rPr>
          <w:szCs w:val="22"/>
          <w:lang w:val="en-CA"/>
        </w:rPr>
        <w:t>particular,</w:t>
      </w:r>
      <w:r w:rsidRPr="00807B68">
        <w:rPr>
          <w:spacing w:val="-1"/>
          <w:szCs w:val="22"/>
          <w:lang w:val="en-CA"/>
        </w:rPr>
        <w:t xml:space="preserve"> </w:t>
      </w:r>
      <w:r w:rsidRPr="00807B68">
        <w:rPr>
          <w:szCs w:val="22"/>
          <w:lang w:val="en-CA"/>
        </w:rPr>
        <w:t>lack</w:t>
      </w:r>
      <w:r w:rsidRPr="00807B68">
        <w:rPr>
          <w:spacing w:val="-1"/>
          <w:szCs w:val="22"/>
          <w:lang w:val="en-CA"/>
        </w:rPr>
        <w:t xml:space="preserve"> </w:t>
      </w:r>
      <w:r w:rsidRPr="00807B68">
        <w:rPr>
          <w:szCs w:val="22"/>
          <w:lang w:val="en-CA"/>
        </w:rPr>
        <w:t>of</w:t>
      </w:r>
      <w:r w:rsidRPr="00807B68">
        <w:rPr>
          <w:spacing w:val="-1"/>
          <w:szCs w:val="22"/>
          <w:lang w:val="en-CA"/>
        </w:rPr>
        <w:t xml:space="preserve"> </w:t>
      </w:r>
      <w:r w:rsidRPr="00807B68">
        <w:rPr>
          <w:szCs w:val="22"/>
          <w:lang w:val="en-CA"/>
        </w:rPr>
        <w:t>appropriate</w:t>
      </w:r>
      <w:r w:rsidRPr="00807B68">
        <w:rPr>
          <w:spacing w:val="-1"/>
          <w:szCs w:val="22"/>
          <w:lang w:val="en-CA"/>
        </w:rPr>
        <w:t xml:space="preserve"> </w:t>
      </w:r>
      <w:r w:rsidRPr="00807B68">
        <w:rPr>
          <w:szCs w:val="22"/>
          <w:lang w:val="en-CA"/>
        </w:rPr>
        <w:t>housing</w:t>
      </w:r>
      <w:r w:rsidRPr="00807B68">
        <w:rPr>
          <w:spacing w:val="-1"/>
          <w:szCs w:val="22"/>
          <w:lang w:val="en-CA"/>
        </w:rPr>
        <w:t xml:space="preserve"> </w:t>
      </w:r>
      <w:r w:rsidRPr="00807B68">
        <w:rPr>
          <w:szCs w:val="22"/>
          <w:lang w:val="en-CA"/>
        </w:rPr>
        <w:t>is</w:t>
      </w:r>
      <w:r w:rsidRPr="00807B68">
        <w:rPr>
          <w:spacing w:val="-2"/>
          <w:szCs w:val="22"/>
          <w:lang w:val="en-CA"/>
        </w:rPr>
        <w:t xml:space="preserve"> </w:t>
      </w:r>
      <w:r w:rsidRPr="00807B68">
        <w:rPr>
          <w:szCs w:val="22"/>
          <w:lang w:val="en-CA"/>
        </w:rPr>
        <w:t>a</w:t>
      </w:r>
      <w:r w:rsidRPr="00807B68">
        <w:rPr>
          <w:spacing w:val="-1"/>
          <w:szCs w:val="22"/>
          <w:lang w:val="en-CA"/>
        </w:rPr>
        <w:t xml:space="preserve"> </w:t>
      </w:r>
      <w:r w:rsidRPr="00807B68">
        <w:rPr>
          <w:szCs w:val="22"/>
          <w:lang w:val="en-CA"/>
        </w:rPr>
        <w:t>major</w:t>
      </w:r>
      <w:r w:rsidRPr="00807B68">
        <w:rPr>
          <w:spacing w:val="-1"/>
          <w:szCs w:val="22"/>
          <w:lang w:val="en-CA"/>
        </w:rPr>
        <w:t xml:space="preserve"> </w:t>
      </w:r>
      <w:r w:rsidRPr="00807B68">
        <w:rPr>
          <w:szCs w:val="22"/>
          <w:lang w:val="en-CA"/>
        </w:rPr>
        <w:t>factor</w:t>
      </w:r>
      <w:r w:rsidRPr="00807B68">
        <w:rPr>
          <w:spacing w:val="-1"/>
          <w:szCs w:val="22"/>
          <w:lang w:val="en-CA"/>
        </w:rPr>
        <w:t xml:space="preserve"> </w:t>
      </w:r>
      <w:r w:rsidRPr="00807B68">
        <w:rPr>
          <w:szCs w:val="22"/>
          <w:lang w:val="en-CA"/>
        </w:rPr>
        <w:t>in</w:t>
      </w:r>
      <w:r w:rsidRPr="00807B68">
        <w:rPr>
          <w:spacing w:val="-2"/>
          <w:szCs w:val="22"/>
          <w:lang w:val="en-CA"/>
        </w:rPr>
        <w:t xml:space="preserve"> </w:t>
      </w:r>
      <w:r w:rsidRPr="00807B68">
        <w:rPr>
          <w:szCs w:val="22"/>
          <w:lang w:val="en-CA"/>
        </w:rPr>
        <w:t>women’s</w:t>
      </w:r>
      <w:r w:rsidRPr="00807B68">
        <w:rPr>
          <w:spacing w:val="-1"/>
          <w:szCs w:val="22"/>
          <w:lang w:val="en-CA"/>
        </w:rPr>
        <w:t xml:space="preserve"> </w:t>
      </w:r>
      <w:r w:rsidRPr="00807B68">
        <w:rPr>
          <w:szCs w:val="22"/>
          <w:lang w:val="en-CA"/>
        </w:rPr>
        <w:t>attrition.</w:t>
      </w:r>
      <w:r w:rsidRPr="00807B68">
        <w:rPr>
          <w:rStyle w:val="EndnoteReference"/>
          <w:szCs w:val="22"/>
          <w:lang w:val="en-CA"/>
        </w:rPr>
        <w:endnoteReference w:id="32"/>
      </w:r>
      <w:r w:rsidRPr="00807B68">
        <w:rPr>
          <w:szCs w:val="22"/>
          <w:lang w:val="en-CA"/>
        </w:rPr>
        <w:t xml:space="preserve"> As the</w:t>
      </w:r>
      <w:r>
        <w:rPr>
          <w:szCs w:val="22"/>
          <w:lang w:val="en-CA"/>
        </w:rPr>
        <w:t xml:space="preserve"> UN Working Group on Arbitrary Detention</w:t>
      </w:r>
      <w:r w:rsidRPr="00807B68">
        <w:rPr>
          <w:szCs w:val="22"/>
          <w:lang w:val="en-CA"/>
        </w:rPr>
        <w:t xml:space="preserve"> noted in 2021, “there is considerable evidence that drug courts cause significant harm to participants and frequently violate human rights” and that “Courts should not be supervising or involved in any way with drug treatment decisions, which should be left exclusively to health professionals.”</w:t>
      </w:r>
      <w:r w:rsidRPr="00807B68">
        <w:rPr>
          <w:rStyle w:val="EndnoteReference"/>
          <w:szCs w:val="22"/>
          <w:lang w:val="en-CA"/>
        </w:rPr>
        <w:endnoteReference w:id="33"/>
      </w:r>
      <w:r w:rsidRPr="00807B68">
        <w:rPr>
          <w:szCs w:val="22"/>
          <w:lang w:val="en-CA"/>
        </w:rPr>
        <w:t xml:space="preserve"> In </w:t>
      </w:r>
      <w:r>
        <w:rPr>
          <w:szCs w:val="22"/>
          <w:lang w:val="en-CA"/>
        </w:rPr>
        <w:t>its</w:t>
      </w:r>
      <w:r w:rsidRPr="00807B68">
        <w:rPr>
          <w:szCs w:val="22"/>
          <w:lang w:val="en-CA"/>
        </w:rPr>
        <w:t xml:space="preserve"> 2024 visit to Canada, the Working Group </w:t>
      </w:r>
      <w:r w:rsidRPr="00480099">
        <w:rPr>
          <w:szCs w:val="22"/>
          <w:lang w:val="en-CA"/>
        </w:rPr>
        <w:t>concluded that “the threat of imprisonment should not be used as a coercive tool to incentivize people into drug treatment.”</w:t>
      </w:r>
      <w:r w:rsidRPr="00480099">
        <w:rPr>
          <w:rStyle w:val="EndnoteReference"/>
          <w:szCs w:val="22"/>
          <w:lang w:val="en-CA"/>
        </w:rPr>
        <w:endnoteReference w:id="34"/>
      </w:r>
    </w:p>
    <w:p w14:paraId="1C20175A" w14:textId="77777777" w:rsidR="005F07D9" w:rsidRPr="00480099" w:rsidRDefault="005F07D9" w:rsidP="006A7FFC">
      <w:pPr>
        <w:pStyle w:val="ListParagraph"/>
        <w:spacing w:line="276" w:lineRule="auto"/>
        <w:rPr>
          <w:b/>
          <w:bCs/>
          <w:szCs w:val="22"/>
          <w:lang w:val="en-CA"/>
        </w:rPr>
      </w:pPr>
    </w:p>
    <w:p w14:paraId="0F957814" w14:textId="042BA08F" w:rsidR="005F07D9" w:rsidRPr="00480099" w:rsidRDefault="005F07D9" w:rsidP="006A7FFC">
      <w:pPr>
        <w:pStyle w:val="ListParagraph"/>
        <w:numPr>
          <w:ilvl w:val="0"/>
          <w:numId w:val="21"/>
        </w:numPr>
        <w:spacing w:line="276" w:lineRule="auto"/>
        <w:rPr>
          <w:b/>
          <w:bCs/>
          <w:szCs w:val="22"/>
          <w:lang w:val="en-CA"/>
        </w:rPr>
      </w:pPr>
      <w:r w:rsidRPr="00A542A5">
        <w:rPr>
          <w:szCs w:val="22"/>
          <w:lang w:val="en-CA"/>
        </w:rPr>
        <w:t>Punitive approaches to drug use are drivers of stigma, isolation, and preventable harms and death.</w:t>
      </w:r>
      <w:r w:rsidRPr="00480099">
        <w:rPr>
          <w:szCs w:val="22"/>
          <w:lang w:val="en-CA"/>
        </w:rPr>
        <w:t xml:space="preserve"> A core principle of harm reduction is that options for care must be non-judgmental, evidence-based, and non-coercive. Human rights norms also underscore the importance of bodily autonomy and informed consent to medical treatment as a corollary of the right to health, as well as the need to consider the impact of potential human rights violations on historically marginalized people. People who use drugs, and particularly those who are racialized, visibly homeless, living in poverty, young, disabled, and of marginalized genders are likely to be subject to even greater surveillance because of forced treatment initiatives, which could lead to increased harassment, marginalization, exclusion or expulsion from voluntary health and social services, and other abuses.</w:t>
      </w:r>
    </w:p>
    <w:p w14:paraId="1328C894" w14:textId="77777777" w:rsidR="005F07D9" w:rsidRPr="00480099" w:rsidRDefault="005F07D9" w:rsidP="006A7FFC">
      <w:pPr>
        <w:pStyle w:val="ListParagraph"/>
        <w:spacing w:line="276" w:lineRule="auto"/>
        <w:rPr>
          <w:b/>
          <w:bCs/>
          <w:szCs w:val="22"/>
          <w:lang w:val="en-CA"/>
        </w:rPr>
      </w:pPr>
    </w:p>
    <w:p w14:paraId="64CE6F14" w14:textId="77777777" w:rsidR="005F07D9" w:rsidRPr="00480099" w:rsidRDefault="005F07D9" w:rsidP="006A7FFC">
      <w:pPr>
        <w:pStyle w:val="ListParagraph"/>
        <w:numPr>
          <w:ilvl w:val="0"/>
          <w:numId w:val="21"/>
        </w:numPr>
        <w:spacing w:line="276" w:lineRule="auto"/>
        <w:rPr>
          <w:b/>
          <w:bCs/>
          <w:szCs w:val="22"/>
          <w:lang w:val="en-CA"/>
        </w:rPr>
      </w:pPr>
      <w:r w:rsidRPr="00480099">
        <w:rPr>
          <w:szCs w:val="22"/>
          <w:lang w:val="en-CA"/>
        </w:rPr>
        <w:t>Expansion of involuntary treatment both exacerbates existing harms and fails to address underlying systemic issues.</w:t>
      </w:r>
      <w:r w:rsidRPr="00480099">
        <w:rPr>
          <w:b/>
          <w:bCs/>
          <w:szCs w:val="22"/>
          <w:lang w:val="en-CA"/>
        </w:rPr>
        <w:t xml:space="preserve"> </w:t>
      </w:r>
      <w:r w:rsidRPr="00015687">
        <w:rPr>
          <w:szCs w:val="22"/>
          <w:lang w:val="en-CA"/>
        </w:rPr>
        <w:t>These approaches are out of step with international human rights norms, and harms – rather than supports – people who use drugs.</w:t>
      </w:r>
      <w:r w:rsidRPr="00480099">
        <w:rPr>
          <w:szCs w:val="22"/>
          <w:lang w:val="en-CA"/>
        </w:rPr>
        <w:t xml:space="preserve"> As UN human rights bodies have acknowledged, “All health care interventions, including drug dependence treatment, should be carried out on a </w:t>
      </w:r>
      <w:r w:rsidRPr="00480099">
        <w:rPr>
          <w:i/>
          <w:iCs/>
          <w:szCs w:val="22"/>
          <w:lang w:val="en-CA"/>
        </w:rPr>
        <w:t>voluntary basis with informed consent.”</w:t>
      </w:r>
      <w:r w:rsidRPr="00015687">
        <w:rPr>
          <w:rStyle w:val="EndnoteReference"/>
          <w:szCs w:val="22"/>
          <w:lang w:val="en-CA"/>
        </w:rPr>
        <w:endnoteReference w:id="35"/>
      </w:r>
    </w:p>
    <w:p w14:paraId="5E883B17" w14:textId="77777777" w:rsidR="005F07D9" w:rsidRDefault="005F07D9" w:rsidP="006A7FFC">
      <w:pPr>
        <w:spacing w:line="276" w:lineRule="auto"/>
        <w:contextualSpacing/>
        <w:rPr>
          <w:rFonts w:cs="Arial"/>
          <w:b/>
          <w:bCs/>
          <w:szCs w:val="22"/>
        </w:rPr>
      </w:pPr>
    </w:p>
    <w:p w14:paraId="2D26D9B4" w14:textId="77777777" w:rsidR="005F07D9" w:rsidRPr="005B52EB" w:rsidRDefault="005F07D9" w:rsidP="006A7FFC">
      <w:pPr>
        <w:spacing w:line="276" w:lineRule="auto"/>
        <w:contextualSpacing/>
        <w:rPr>
          <w:rFonts w:cs="Arial"/>
          <w:b/>
          <w:bCs/>
          <w:sz w:val="10"/>
          <w:szCs w:val="10"/>
        </w:rPr>
      </w:pPr>
    </w:p>
    <w:p w14:paraId="116B65DF" w14:textId="77777777" w:rsidR="005F07D9" w:rsidRPr="00F747DA" w:rsidRDefault="005F07D9" w:rsidP="006A7FFC">
      <w:pPr>
        <w:spacing w:after="200" w:line="276" w:lineRule="auto"/>
        <w:rPr>
          <w:rFonts w:cs="Arial"/>
          <w:b/>
        </w:rPr>
      </w:pPr>
      <w:r w:rsidRPr="00F747DA">
        <w:rPr>
          <w:rFonts w:cs="Arial"/>
          <w:b/>
        </w:rPr>
        <w:t>RECOMMENDED ACTIONS</w:t>
      </w:r>
    </w:p>
    <w:p w14:paraId="5DC76F8A" w14:textId="06EF8596" w:rsidR="005F07D9" w:rsidRPr="00F747DA" w:rsidRDefault="005F07D9" w:rsidP="006A7FFC">
      <w:pPr>
        <w:spacing w:after="200" w:line="276" w:lineRule="auto"/>
        <w:rPr>
          <w:rFonts w:cs="Arial"/>
        </w:rPr>
      </w:pPr>
      <w:r w:rsidRPr="00F747DA">
        <w:rPr>
          <w:rFonts w:cs="Arial"/>
        </w:rPr>
        <w:t xml:space="preserve">The Legal Network recommends that </w:t>
      </w:r>
      <w:r>
        <w:rPr>
          <w:rFonts w:cs="Arial"/>
        </w:rPr>
        <w:t xml:space="preserve">the Committee call on </w:t>
      </w:r>
      <w:r w:rsidRPr="00F747DA">
        <w:rPr>
          <w:rFonts w:cs="Arial"/>
        </w:rPr>
        <w:t xml:space="preserve">Canada </w:t>
      </w:r>
      <w:r>
        <w:rPr>
          <w:rFonts w:cs="Arial"/>
        </w:rPr>
        <w:t xml:space="preserve">to: </w:t>
      </w:r>
    </w:p>
    <w:p w14:paraId="3FAD2F33" w14:textId="23BFC553" w:rsidR="005F07D9" w:rsidRDefault="005F07D9" w:rsidP="006A7FFC">
      <w:pPr>
        <w:pStyle w:val="ListParagraph"/>
        <w:widowControl/>
        <w:numPr>
          <w:ilvl w:val="0"/>
          <w:numId w:val="37"/>
        </w:numPr>
        <w:suppressAutoHyphens w:val="0"/>
        <w:spacing w:after="160" w:line="276" w:lineRule="auto"/>
        <w:rPr>
          <w:b/>
          <w:bCs/>
          <w:szCs w:val="22"/>
          <w:lang w:val="en-CA"/>
        </w:rPr>
      </w:pPr>
      <w:r w:rsidRPr="000A4818">
        <w:rPr>
          <w:b/>
          <w:bCs/>
          <w:szCs w:val="22"/>
          <w:lang w:val="en-CA"/>
        </w:rPr>
        <w:t>Affirm the right of people who use drugs to bodily autonomy and informed consent to treatment and denounce all forms of coercive and involuntary care, whether it be pursuant to mental health legislation, forced substance use treatment legislation, or under the auspices of Drug Treatment Courts.</w:t>
      </w:r>
    </w:p>
    <w:p w14:paraId="1D57A36E" w14:textId="77777777" w:rsidR="00BF38D5" w:rsidRDefault="00BF38D5" w:rsidP="00BF38D5">
      <w:pPr>
        <w:pStyle w:val="ListParagraph"/>
        <w:widowControl/>
        <w:suppressAutoHyphens w:val="0"/>
        <w:spacing w:after="160" w:line="276" w:lineRule="auto"/>
        <w:rPr>
          <w:b/>
          <w:bCs/>
          <w:szCs w:val="22"/>
          <w:lang w:val="en-CA"/>
        </w:rPr>
      </w:pPr>
    </w:p>
    <w:p w14:paraId="6FB77B7E" w14:textId="0FFAA34E" w:rsidR="005F07D9" w:rsidRPr="00BF38D5" w:rsidRDefault="005F07D9" w:rsidP="00BF38D5">
      <w:pPr>
        <w:pStyle w:val="ListParagraph"/>
        <w:widowControl/>
        <w:numPr>
          <w:ilvl w:val="0"/>
          <w:numId w:val="37"/>
        </w:numPr>
        <w:suppressAutoHyphens w:val="0"/>
        <w:spacing w:after="160" w:line="276" w:lineRule="auto"/>
        <w:rPr>
          <w:b/>
          <w:bCs/>
          <w:szCs w:val="22"/>
          <w:lang w:val="en-CA"/>
        </w:rPr>
      </w:pPr>
      <w:r w:rsidRPr="00BF38D5">
        <w:rPr>
          <w:b/>
          <w:bCs/>
          <w:szCs w:val="22"/>
        </w:rPr>
        <w:t xml:space="preserve">Recommend law and policy reforms that aim to prevent, rather than respond to, the crises that lead to involuntary detention, including robust investments in voluntary treatment options that have strict regulatory oversight, harm reduction </w:t>
      </w:r>
      <w:r w:rsidRPr="00BF38D5">
        <w:rPr>
          <w:b/>
          <w:bCs/>
          <w:szCs w:val="22"/>
        </w:rPr>
        <w:lastRenderedPageBreak/>
        <w:t>programming, and safe supply programs that are culturally affirming and reflect the intersecting identities of people who use drugs.</w:t>
      </w:r>
    </w:p>
    <w:p w14:paraId="140F31C5" w14:textId="77777777" w:rsidR="005F07D9" w:rsidRPr="005B52EB" w:rsidRDefault="005F07D9" w:rsidP="006A7FFC">
      <w:pPr>
        <w:pStyle w:val="Heading1"/>
        <w:numPr>
          <w:ilvl w:val="0"/>
          <w:numId w:val="0"/>
        </w:numPr>
        <w:spacing w:line="276" w:lineRule="auto"/>
        <w:rPr>
          <w:sz w:val="20"/>
          <w:szCs w:val="20"/>
          <w:lang w:val="en-CA"/>
        </w:rPr>
      </w:pPr>
    </w:p>
    <w:p w14:paraId="4770C914" w14:textId="77777777" w:rsidR="005F07D9" w:rsidRPr="00480099" w:rsidRDefault="005F07D9" w:rsidP="006A7FFC">
      <w:pPr>
        <w:pStyle w:val="Heading1"/>
        <w:numPr>
          <w:ilvl w:val="0"/>
          <w:numId w:val="0"/>
        </w:numPr>
        <w:spacing w:line="276" w:lineRule="auto"/>
        <w:rPr>
          <w:sz w:val="10"/>
          <w:szCs w:val="10"/>
          <w:lang w:val="en-CA"/>
        </w:rPr>
      </w:pPr>
    </w:p>
    <w:p w14:paraId="24EE217C" w14:textId="4DC60188" w:rsidR="005F07D9" w:rsidRPr="00C64D1A" w:rsidRDefault="00C64D1A" w:rsidP="00C64D1A">
      <w:pPr>
        <w:pStyle w:val="Heading1"/>
        <w:numPr>
          <w:ilvl w:val="0"/>
          <w:numId w:val="0"/>
        </w:numPr>
        <w:spacing w:line="276" w:lineRule="auto"/>
        <w:rPr>
          <w:sz w:val="28"/>
          <w:szCs w:val="28"/>
          <w:lang w:val="en-CA"/>
        </w:rPr>
      </w:pPr>
      <w:r w:rsidRPr="00D3146D">
        <w:rPr>
          <w:noProof/>
        </w:rPr>
        <mc:AlternateContent>
          <mc:Choice Requires="wps">
            <w:drawing>
              <wp:anchor distT="45720" distB="45720" distL="114300" distR="114300" simplePos="0" relativeHeight="251666434" behindDoc="0" locked="0" layoutInCell="1" allowOverlap="1" wp14:anchorId="07BDD99B" wp14:editId="4152C51E">
                <wp:simplePos x="0" y="0"/>
                <wp:positionH relativeFrom="margin">
                  <wp:align>left</wp:align>
                </wp:positionH>
                <wp:positionV relativeFrom="paragraph">
                  <wp:posOffset>421640</wp:posOffset>
                </wp:positionV>
                <wp:extent cx="6153150" cy="1404620"/>
                <wp:effectExtent l="0" t="0" r="19050" b="24130"/>
                <wp:wrapSquare wrapText="bothSides"/>
                <wp:docPr id="38427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1404620"/>
                        </a:xfrm>
                        <a:prstGeom prst="rect">
                          <a:avLst/>
                        </a:prstGeom>
                        <a:solidFill>
                          <a:schemeClr val="accent6">
                            <a:lumMod val="20000"/>
                            <a:lumOff val="80000"/>
                          </a:schemeClr>
                        </a:solidFill>
                        <a:ln w="9525">
                          <a:solidFill>
                            <a:srgbClr val="000000"/>
                          </a:solidFill>
                          <a:miter lim="800000"/>
                          <a:headEnd/>
                          <a:tailEnd/>
                        </a:ln>
                      </wps:spPr>
                      <wps:txbx>
                        <w:txbxContent>
                          <w:p w14:paraId="6714F94C" w14:textId="77777777" w:rsidR="0003098C" w:rsidRPr="0003098C" w:rsidRDefault="0003098C" w:rsidP="0003098C">
                            <w:pPr>
                              <w:shd w:val="clear" w:color="auto" w:fill="FDE9D9" w:themeFill="accent6" w:themeFillTint="33"/>
                              <w:rPr>
                                <w:rFonts w:eastAsia="Arial" w:cs="Arial"/>
                                <w:spacing w:val="3"/>
                                <w:szCs w:val="22"/>
                              </w:rPr>
                            </w:pPr>
                            <w:r w:rsidRPr="0003098C">
                              <w:rPr>
                                <w:rFonts w:eastAsia="Arial" w:cs="Arial"/>
                                <w:spacing w:val="3"/>
                                <w:szCs w:val="22"/>
                              </w:rPr>
                              <w:t>In the LOI, the Committee asked of Canada:</w:t>
                            </w:r>
                          </w:p>
                          <w:p w14:paraId="2AACCBB3" w14:textId="77777777" w:rsidR="0003098C" w:rsidRPr="0003098C" w:rsidRDefault="0003098C" w:rsidP="0003098C">
                            <w:pPr>
                              <w:shd w:val="clear" w:color="auto" w:fill="FDE9D9" w:themeFill="accent6" w:themeFillTint="33"/>
                              <w:rPr>
                                <w:rFonts w:eastAsia="Arial" w:cs="Arial"/>
                                <w:spacing w:val="3"/>
                                <w:szCs w:val="22"/>
                              </w:rPr>
                            </w:pPr>
                          </w:p>
                          <w:p w14:paraId="420F6BDE" w14:textId="77777777" w:rsidR="0003098C" w:rsidRPr="0003098C" w:rsidRDefault="0003098C" w:rsidP="0003098C">
                            <w:pPr>
                              <w:shd w:val="clear" w:color="auto" w:fill="FDE9D9" w:themeFill="accent6" w:themeFillTint="33"/>
                              <w:rPr>
                                <w:rFonts w:eastAsia="Arial" w:cs="Arial"/>
                                <w:spacing w:val="3"/>
                                <w:szCs w:val="22"/>
                              </w:rPr>
                            </w:pPr>
                            <w:r w:rsidRPr="0003098C">
                              <w:rPr>
                                <w:rFonts w:eastAsia="Arial" w:cs="Arial"/>
                                <w:spacing w:val="3"/>
                                <w:szCs w:val="22"/>
                              </w:rPr>
                              <w:t xml:space="preserve">18. Please indicate the measures taken or envisaged to: </w:t>
                            </w:r>
                          </w:p>
                          <w:p w14:paraId="64A9F552" w14:textId="77777777" w:rsidR="0003098C" w:rsidRPr="0003098C" w:rsidRDefault="0003098C" w:rsidP="0003098C">
                            <w:pPr>
                              <w:shd w:val="clear" w:color="auto" w:fill="FDE9D9" w:themeFill="accent6" w:themeFillTint="33"/>
                              <w:rPr>
                                <w:rFonts w:eastAsia="Arial" w:cs="Arial"/>
                                <w:spacing w:val="3"/>
                                <w:szCs w:val="22"/>
                              </w:rPr>
                            </w:pPr>
                          </w:p>
                          <w:p w14:paraId="6735242D" w14:textId="77777777" w:rsidR="0003098C" w:rsidRPr="0003098C" w:rsidRDefault="0003098C" w:rsidP="0003098C">
                            <w:pPr>
                              <w:pStyle w:val="ListParagraph"/>
                              <w:numPr>
                                <w:ilvl w:val="0"/>
                                <w:numId w:val="43"/>
                              </w:numPr>
                              <w:shd w:val="clear" w:color="auto" w:fill="FDE9D9" w:themeFill="accent6" w:themeFillTint="33"/>
                              <w:rPr>
                                <w:rFonts w:eastAsia="Arial"/>
                                <w:spacing w:val="3"/>
                                <w:szCs w:val="22"/>
                              </w:rPr>
                            </w:pPr>
                            <w:r w:rsidRPr="0003098C">
                              <w:rPr>
                                <w:rFonts w:eastAsia="Arial"/>
                                <w:b/>
                                <w:bCs/>
                                <w:spacing w:val="3"/>
                                <w:szCs w:val="22"/>
                              </w:rPr>
                              <w:t>Repeal paragraph 38 (1) (c) of the Immigration and Refugee Protection Act, which refuses a foreign national who might reasonably be expected to require health services exceeding 99,060 Canadian dollars over a five-year period</w:t>
                            </w:r>
                            <w:r w:rsidRPr="0003098C">
                              <w:rPr>
                                <w:rFonts w:eastAsia="Arial"/>
                                <w:spacing w:val="3"/>
                                <w:szCs w:val="22"/>
                              </w:rPr>
                              <w:t>.</w:t>
                            </w:r>
                          </w:p>
                          <w:p w14:paraId="7CB9C6EF" w14:textId="77777777" w:rsidR="0003098C" w:rsidRPr="0003098C" w:rsidRDefault="0003098C" w:rsidP="0003098C">
                            <w:pPr>
                              <w:pStyle w:val="ListParagraph"/>
                              <w:shd w:val="clear" w:color="auto" w:fill="FDE9D9" w:themeFill="accent6" w:themeFillTint="33"/>
                              <w:ind w:left="1080"/>
                              <w:rPr>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BDD99B" id="_x0000_s1028" type="#_x0000_t202" style="position:absolute;margin-left:0;margin-top:33.2pt;width:484.5pt;height:110.6pt;z-index:25166643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" fillcolor="#fde9d9 [665]">
                <v:textbox style="mso-fit-shape-to-text:t">
                  <w:txbxContent>
                    <w:p w14:paraId="6714F94C" w14:textId="77777777" w:rsidR="0003098C" w:rsidRPr="0003098C" w:rsidRDefault="0003098C" w:rsidP="0003098C">
                      <w:pPr>
                        <w:shd w:val="clear" w:color="auto" w:fill="FDE9D9" w:themeFill="accent6" w:themeFillTint="33"/>
                        <w:rPr>
                          <w:rFonts w:eastAsia="Arial" w:cs="Arial"/>
                          <w:spacing w:val="3"/>
                          <w:szCs w:val="22"/>
                        </w:rPr>
                      </w:pPr>
                      <w:r w:rsidRPr="0003098C">
                        <w:rPr>
                          <w:rFonts w:eastAsia="Arial" w:cs="Arial"/>
                          <w:spacing w:val="3"/>
                          <w:szCs w:val="22"/>
                        </w:rPr>
                        <w:t>In the LOI, the Committee asked of Canada:</w:t>
                      </w:r>
                    </w:p>
                    <w:p w14:paraId="2AACCBB3" w14:textId="77777777" w:rsidR="0003098C" w:rsidRPr="0003098C" w:rsidRDefault="0003098C" w:rsidP="0003098C">
                      <w:pPr>
                        <w:shd w:val="clear" w:color="auto" w:fill="FDE9D9" w:themeFill="accent6" w:themeFillTint="33"/>
                        <w:rPr>
                          <w:rFonts w:eastAsia="Arial" w:cs="Arial"/>
                          <w:spacing w:val="3"/>
                          <w:szCs w:val="22"/>
                        </w:rPr>
                      </w:pPr>
                    </w:p>
                    <w:p w14:paraId="420F6BDE" w14:textId="77777777" w:rsidR="0003098C" w:rsidRPr="0003098C" w:rsidRDefault="0003098C" w:rsidP="0003098C">
                      <w:pPr>
                        <w:shd w:val="clear" w:color="auto" w:fill="FDE9D9" w:themeFill="accent6" w:themeFillTint="33"/>
                        <w:rPr>
                          <w:rFonts w:eastAsia="Arial" w:cs="Arial"/>
                          <w:spacing w:val="3"/>
                          <w:szCs w:val="22"/>
                        </w:rPr>
                      </w:pPr>
                      <w:r w:rsidRPr="0003098C">
                        <w:rPr>
                          <w:rFonts w:eastAsia="Arial" w:cs="Arial"/>
                          <w:spacing w:val="3"/>
                          <w:szCs w:val="22"/>
                        </w:rPr>
                        <w:t xml:space="preserve">18. Please indicate the measures taken or envisaged to: </w:t>
                      </w:r>
                    </w:p>
                    <w:p w14:paraId="64A9F552" w14:textId="77777777" w:rsidR="0003098C" w:rsidRPr="0003098C" w:rsidRDefault="0003098C" w:rsidP="0003098C">
                      <w:pPr>
                        <w:shd w:val="clear" w:color="auto" w:fill="FDE9D9" w:themeFill="accent6" w:themeFillTint="33"/>
                        <w:rPr>
                          <w:rFonts w:eastAsia="Arial" w:cs="Arial"/>
                          <w:spacing w:val="3"/>
                          <w:szCs w:val="22"/>
                        </w:rPr>
                      </w:pPr>
                    </w:p>
                    <w:p w14:paraId="6735242D" w14:textId="77777777" w:rsidR="0003098C" w:rsidRPr="0003098C" w:rsidRDefault="0003098C" w:rsidP="0003098C">
                      <w:pPr>
                        <w:pStyle w:val="ListParagraph"/>
                        <w:numPr>
                          <w:ilvl w:val="0"/>
                          <w:numId w:val="43"/>
                        </w:numPr>
                        <w:shd w:val="clear" w:color="auto" w:fill="FDE9D9" w:themeFill="accent6" w:themeFillTint="33"/>
                        <w:rPr>
                          <w:rFonts w:eastAsia="Arial"/>
                          <w:spacing w:val="3"/>
                          <w:szCs w:val="22"/>
                        </w:rPr>
                      </w:pPr>
                      <w:r w:rsidRPr="0003098C">
                        <w:rPr>
                          <w:rFonts w:eastAsia="Arial"/>
                          <w:b/>
                          <w:bCs/>
                          <w:spacing w:val="3"/>
                          <w:szCs w:val="22"/>
                        </w:rPr>
                        <w:t>Repeal paragraph 38 (1) (c) of the Immigration and Refugee Protection Act, which refuses a foreign national who might reasonably be expected to require health services exceeding 99,060 Canadian dollars over a five-year period</w:t>
                      </w:r>
                      <w:r w:rsidRPr="0003098C">
                        <w:rPr>
                          <w:rFonts w:eastAsia="Arial"/>
                          <w:spacing w:val="3"/>
                          <w:szCs w:val="22"/>
                        </w:rPr>
                        <w:t>.</w:t>
                      </w:r>
                    </w:p>
                    <w:p w14:paraId="7CB9C6EF" w14:textId="77777777" w:rsidR="0003098C" w:rsidRPr="0003098C" w:rsidRDefault="0003098C" w:rsidP="0003098C">
                      <w:pPr>
                        <w:pStyle w:val="ListParagraph"/>
                        <w:shd w:val="clear" w:color="auto" w:fill="FDE9D9" w:themeFill="accent6" w:themeFillTint="33"/>
                        <w:ind w:left="1080"/>
                        <w:rPr>
                          <w:szCs w:val="22"/>
                        </w:rPr>
                      </w:pPr>
                    </w:p>
                  </w:txbxContent>
                </v:textbox>
                <w10:wrap type="square" anchorx="margin"/>
              </v:shape>
            </w:pict>
          </mc:Fallback>
        </mc:AlternateContent>
      </w:r>
      <w:r w:rsidR="005F07D9" w:rsidRPr="00D3146D">
        <w:rPr>
          <w:sz w:val="28"/>
          <w:szCs w:val="28"/>
          <w:lang w:val="en-CA"/>
        </w:rPr>
        <w:t>ARTICLE 18</w:t>
      </w:r>
      <w:r w:rsidR="005F07D9">
        <w:rPr>
          <w:sz w:val="28"/>
          <w:szCs w:val="28"/>
          <w:lang w:val="en-CA"/>
        </w:rPr>
        <w:t xml:space="preserve">: </w:t>
      </w:r>
      <w:r w:rsidR="005F07D9" w:rsidRPr="00D3146D">
        <w:rPr>
          <w:sz w:val="28"/>
          <w:szCs w:val="28"/>
          <w:lang w:val="en-CA"/>
        </w:rPr>
        <w:t>Liberty of movement and nationali</w:t>
      </w:r>
      <w:r w:rsidR="005F07D9">
        <w:rPr>
          <w:sz w:val="28"/>
          <w:szCs w:val="28"/>
          <w:lang w:val="en-CA"/>
        </w:rPr>
        <w:t>t</w:t>
      </w:r>
      <w:r w:rsidR="005F07D9" w:rsidRPr="00D3146D">
        <w:rPr>
          <w:sz w:val="28"/>
          <w:szCs w:val="28"/>
          <w:lang w:val="en-CA"/>
        </w:rPr>
        <w:t>Y</w:t>
      </w:r>
      <w:bookmarkEnd w:id="3"/>
    </w:p>
    <w:p w14:paraId="03352C6C" w14:textId="77777777" w:rsidR="005F07D9" w:rsidRPr="00F747DA" w:rsidRDefault="005F07D9" w:rsidP="006A7FFC">
      <w:pPr>
        <w:spacing w:line="276" w:lineRule="auto"/>
        <w:rPr>
          <w:szCs w:val="22"/>
        </w:rPr>
      </w:pPr>
    </w:p>
    <w:p w14:paraId="5630B79B" w14:textId="3F5B96AF" w:rsidR="005F07D9" w:rsidRPr="006E4CF2" w:rsidRDefault="005F07D9" w:rsidP="006A7FFC">
      <w:pPr>
        <w:pStyle w:val="ListParagraph"/>
        <w:numPr>
          <w:ilvl w:val="0"/>
          <w:numId w:val="21"/>
        </w:numPr>
        <w:spacing w:line="276" w:lineRule="auto"/>
        <w:rPr>
          <w:lang w:val="en-CA"/>
        </w:rPr>
      </w:pPr>
      <w:r>
        <w:rPr>
          <w:lang w:val="en-CA"/>
        </w:rPr>
        <w:t>Canada has faced r</w:t>
      </w:r>
      <w:r w:rsidRPr="004740C8">
        <w:rPr>
          <w:lang w:val="en-CA"/>
        </w:rPr>
        <w:t xml:space="preserve">epeated calls to </w:t>
      </w:r>
      <w:r>
        <w:rPr>
          <w:lang w:val="en-CA"/>
        </w:rPr>
        <w:t xml:space="preserve">repeal </w:t>
      </w:r>
      <w:r w:rsidRPr="004740C8">
        <w:t xml:space="preserve">s. 38(1)(c) of the </w:t>
      </w:r>
      <w:r w:rsidRPr="004740C8">
        <w:rPr>
          <w:i/>
          <w:iCs/>
        </w:rPr>
        <w:t xml:space="preserve">Immigration and Refugee Protection Act </w:t>
      </w:r>
      <w:r w:rsidRPr="004740C8">
        <w:t>(</w:t>
      </w:r>
      <w:r w:rsidRPr="004740C8">
        <w:rPr>
          <w:i/>
          <w:iCs/>
        </w:rPr>
        <w:t>IRPA</w:t>
      </w:r>
      <w:r w:rsidRPr="004740C8">
        <w:t>) – i.e., the “excessive demand” regime</w:t>
      </w:r>
      <w:r>
        <w:t xml:space="preserve"> – as well as Concluding Observations in 2017 from this Committee to </w:t>
      </w:r>
      <w:r w:rsidRPr="00772E7F">
        <w:t>respect the rights of migrants with disabilities</w:t>
      </w:r>
      <w:r>
        <w:t>,</w:t>
      </w:r>
      <w:r>
        <w:rPr>
          <w:rStyle w:val="EndnoteReference"/>
        </w:rPr>
        <w:endnoteReference w:id="36"/>
      </w:r>
      <w:r>
        <w:t xml:space="preserve"> but Canada has yet to do so</w:t>
      </w:r>
      <w:r w:rsidRPr="004740C8">
        <w:t>. Instead, Canada has introduced a threefold increase to the cost threshold</w:t>
      </w:r>
      <w:r>
        <w:t xml:space="preserve">. While this </w:t>
      </w:r>
      <w:r w:rsidRPr="004740C8">
        <w:t>has resulted in fewer foreign nationals being denied entry or stay in Canada</w:t>
      </w:r>
      <w:r>
        <w:t xml:space="preserve">, </w:t>
      </w:r>
      <w:r w:rsidRPr="00127018">
        <w:rPr>
          <w:b/>
          <w:bCs/>
        </w:rPr>
        <w:t>people living with HIV and other conditions continue to be processed and denied under the “excessive demand” regime, subjecting them to additional costs, delays, and stigmatizing views of disability</w:t>
      </w:r>
      <w:r w:rsidRPr="004740C8">
        <w:t xml:space="preserve">. </w:t>
      </w:r>
    </w:p>
    <w:p w14:paraId="3056C895" w14:textId="77777777" w:rsidR="005F07D9" w:rsidRPr="006E4CF2" w:rsidRDefault="005F07D9" w:rsidP="006A7FFC">
      <w:pPr>
        <w:pStyle w:val="ListParagraph"/>
        <w:spacing w:line="276" w:lineRule="auto"/>
        <w:ind w:left="360"/>
        <w:rPr>
          <w:lang w:val="en-CA"/>
        </w:rPr>
      </w:pPr>
    </w:p>
    <w:p w14:paraId="0264485B" w14:textId="1DC35E7E" w:rsidR="005F07D9" w:rsidRPr="00480099" w:rsidRDefault="005F07D9" w:rsidP="006A7FFC">
      <w:pPr>
        <w:pStyle w:val="ListParagraph"/>
        <w:numPr>
          <w:ilvl w:val="0"/>
          <w:numId w:val="21"/>
        </w:numPr>
        <w:spacing w:before="240" w:after="200" w:line="276" w:lineRule="auto"/>
        <w:rPr>
          <w:lang w:val="en-CA"/>
        </w:rPr>
      </w:pPr>
      <w:r w:rsidRPr="00F747DA">
        <w:rPr>
          <w:lang w:val="en-CA"/>
        </w:rPr>
        <w:t xml:space="preserve">Until 2017, </w:t>
      </w:r>
      <w:r>
        <w:rPr>
          <w:lang w:val="en-CA"/>
        </w:rPr>
        <w:t xml:space="preserve">Canada defined </w:t>
      </w:r>
      <w:r w:rsidRPr="00F747DA">
        <w:rPr>
          <w:lang w:val="en-CA"/>
        </w:rPr>
        <w:t>“excessive demand” as “a demand on health service services or social services for which the anticipated costs would likely exceed average Canadian per capita health services and social services costs over a period of five consecutive years […].”</w:t>
      </w:r>
      <w:r w:rsidRPr="00F747DA">
        <w:rPr>
          <w:rStyle w:val="EndnoteReference"/>
          <w:lang w:val="en-CA"/>
        </w:rPr>
        <w:endnoteReference w:id="37"/>
      </w:r>
      <w:r w:rsidRPr="00F747DA">
        <w:rPr>
          <w:lang w:val="en-CA"/>
        </w:rPr>
        <w:t xml:space="preserve"> </w:t>
      </w:r>
      <w:r w:rsidRPr="001B3B7D">
        <w:t>Under this definition, applications for temporary residence (i.e., work, student, or visitor) or permanent residence of 800-1,000 people living with health conditions were denied each year. People living with HIV were among those most often caught by the provision as most antiretroviral medications exceeded the cost threshold.</w:t>
      </w:r>
      <w:r w:rsidRPr="00F747DA">
        <w:rPr>
          <w:rStyle w:val="EndnoteReference"/>
          <w:lang w:val="en-CA"/>
        </w:rPr>
        <w:endnoteReference w:id="38"/>
      </w:r>
      <w:r w:rsidRPr="001B3B7D">
        <w:t xml:space="preserve"> </w:t>
      </w:r>
    </w:p>
    <w:p w14:paraId="5C388474" w14:textId="77777777" w:rsidR="005F07D9" w:rsidRPr="00F747DA" w:rsidRDefault="005F07D9" w:rsidP="006A7FFC">
      <w:pPr>
        <w:pStyle w:val="ListParagraph"/>
        <w:spacing w:line="276" w:lineRule="auto"/>
        <w:rPr>
          <w:lang w:val="en-CA"/>
        </w:rPr>
      </w:pPr>
    </w:p>
    <w:p w14:paraId="13C559DD" w14:textId="6F436619" w:rsidR="005F07D9" w:rsidRDefault="005F07D9" w:rsidP="006A7FFC">
      <w:pPr>
        <w:pStyle w:val="ListParagraph"/>
        <w:numPr>
          <w:ilvl w:val="0"/>
          <w:numId w:val="21"/>
        </w:numPr>
        <w:spacing w:before="240" w:after="200" w:line="276" w:lineRule="auto"/>
        <w:rPr>
          <w:lang w:val="en-CA"/>
        </w:rPr>
      </w:pPr>
      <w:r w:rsidRPr="008C29A7">
        <w:rPr>
          <w:lang w:val="en-CA"/>
        </w:rPr>
        <w:t>In 2017, a Parliamentary Standing Committee studied the excessive demand regime and recommended the full repeal of s. 38(1)(c), recognizing that the provision unjustifiably harms people living with disabilities.</w:t>
      </w:r>
      <w:r w:rsidRPr="00F747DA">
        <w:rPr>
          <w:rStyle w:val="EndnoteReference"/>
          <w:lang w:val="en-CA"/>
        </w:rPr>
        <w:endnoteReference w:id="39"/>
      </w:r>
      <w:r w:rsidRPr="008C29A7">
        <w:rPr>
          <w:lang w:val="en-CA"/>
        </w:rPr>
        <w:t xml:space="preserve"> In response, Canada implemented some changes, such as tripling the cost threshold, which curtailed the number of refusals under the provision</w:t>
      </w:r>
      <w:r>
        <w:rPr>
          <w:lang w:val="en-CA"/>
        </w:rPr>
        <w:t>, while preserving the overall regime.</w:t>
      </w:r>
      <w:r w:rsidRPr="00F747DA">
        <w:rPr>
          <w:rStyle w:val="EndnoteReference"/>
          <w:lang w:val="en-CA"/>
        </w:rPr>
        <w:endnoteReference w:id="40"/>
      </w:r>
    </w:p>
    <w:p w14:paraId="0C28CC9F" w14:textId="77777777" w:rsidR="005F07D9" w:rsidRPr="00565B04" w:rsidRDefault="005F07D9" w:rsidP="00480099">
      <w:pPr>
        <w:pStyle w:val="ListParagraph"/>
        <w:spacing w:line="276" w:lineRule="auto"/>
        <w:rPr>
          <w:lang w:val="en-CA"/>
        </w:rPr>
      </w:pPr>
    </w:p>
    <w:p w14:paraId="43115CFA" w14:textId="51852EA2" w:rsidR="005F07D9" w:rsidRPr="00F92A66" w:rsidRDefault="005F07D9" w:rsidP="006A7FFC">
      <w:pPr>
        <w:pStyle w:val="ListParagraph"/>
        <w:numPr>
          <w:ilvl w:val="0"/>
          <w:numId w:val="21"/>
        </w:numPr>
        <w:spacing w:before="240" w:after="200" w:line="276" w:lineRule="auto"/>
        <w:rPr>
          <w:lang w:val="en-CA"/>
        </w:rPr>
      </w:pPr>
      <w:r>
        <w:rPr>
          <w:lang w:val="en-CA"/>
        </w:rPr>
        <w:t xml:space="preserve">As a result, </w:t>
      </w:r>
      <w:r w:rsidRPr="00F747DA">
        <w:rPr>
          <w:lang w:val="en-CA"/>
        </w:rPr>
        <w:t xml:space="preserve">an individual applying to remain in or travel to Canada must </w:t>
      </w:r>
      <w:r>
        <w:rPr>
          <w:lang w:val="en-CA"/>
        </w:rPr>
        <w:t xml:space="preserve">still </w:t>
      </w:r>
      <w:r w:rsidRPr="00F747DA">
        <w:rPr>
          <w:lang w:val="en-CA"/>
        </w:rPr>
        <w:t>undergo an immigration medical examination.</w:t>
      </w:r>
      <w:r w:rsidRPr="00F747DA">
        <w:rPr>
          <w:rStyle w:val="EndnoteReference"/>
          <w:lang w:val="en-CA"/>
        </w:rPr>
        <w:endnoteReference w:id="41"/>
      </w:r>
      <w:r w:rsidRPr="00F747DA">
        <w:rPr>
          <w:lang w:val="en-CA"/>
        </w:rPr>
        <w:t xml:space="preserve"> If the individual has a health condition, Immigration, Refugees, and Citizenship Canada (IRCC</w:t>
      </w:r>
      <w:r>
        <w:rPr>
          <w:lang w:val="en-CA"/>
        </w:rPr>
        <w:t>, the federal authority responsible for immigration</w:t>
      </w:r>
      <w:r w:rsidRPr="00F747DA">
        <w:rPr>
          <w:lang w:val="en-CA"/>
        </w:rPr>
        <w:t xml:space="preserve">) must then assess whether the individual’s expected publicly funded healthcare costs will exceed a set cost threshold. If IRCC determines that a person will pose an “excessive </w:t>
      </w:r>
      <w:r w:rsidRPr="00F747DA">
        <w:rPr>
          <w:lang w:val="en-CA"/>
        </w:rPr>
        <w:lastRenderedPageBreak/>
        <w:t xml:space="preserve">demand,” IRCC must give the person an opportunity to argue that they can mitigate their expected healthcare costs. IRCC then has discretion to accept or deny the person’s immigration application based on their expected healthcare costs. </w:t>
      </w:r>
    </w:p>
    <w:p w14:paraId="74EBC3D9" w14:textId="77777777" w:rsidR="005F07D9" w:rsidRPr="0093091B" w:rsidRDefault="005F07D9" w:rsidP="006A7FFC">
      <w:pPr>
        <w:pStyle w:val="ListParagraph"/>
        <w:spacing w:before="240" w:after="200" w:line="276" w:lineRule="auto"/>
        <w:ind w:left="360"/>
        <w:rPr>
          <w:lang w:val="en-CA"/>
        </w:rPr>
      </w:pPr>
    </w:p>
    <w:p w14:paraId="17E26518" w14:textId="23827A13" w:rsidR="005F07D9" w:rsidRDefault="005F07D9" w:rsidP="006A7FFC">
      <w:pPr>
        <w:pStyle w:val="ListParagraph"/>
        <w:numPr>
          <w:ilvl w:val="0"/>
          <w:numId w:val="21"/>
        </w:numPr>
        <w:spacing w:before="240" w:after="200" w:line="276" w:lineRule="auto"/>
        <w:rPr>
          <w:lang w:val="en-CA"/>
        </w:rPr>
      </w:pPr>
      <w:r>
        <w:rPr>
          <w:lang w:val="en-CA"/>
        </w:rPr>
        <w:t>In</w:t>
      </w:r>
      <w:r w:rsidRPr="00F747DA">
        <w:rPr>
          <w:lang w:val="en-CA"/>
        </w:rPr>
        <w:t xml:space="preserve"> 2025, the “excessive demand” threshold is CAD $135,810 over a five-year period. Most people living with HIV do not meet this threshold and, therefore, are not refused based on “excessive demand.” However, anyone apply for temporary or permanent residence in Canada whose HIV status is confirmed at </w:t>
      </w:r>
      <w:r>
        <w:rPr>
          <w:lang w:val="en-CA"/>
        </w:rPr>
        <w:t>an immigration medical exam</w:t>
      </w:r>
      <w:r w:rsidRPr="00F747DA">
        <w:rPr>
          <w:lang w:val="en-CA"/>
        </w:rPr>
        <w:t xml:space="preserve"> must still be assessed for “excessive demand”, which entails numerous harms</w:t>
      </w:r>
      <w:r>
        <w:rPr>
          <w:lang w:val="en-CA"/>
        </w:rPr>
        <w:t>, including</w:t>
      </w:r>
      <w:r w:rsidRPr="00F747DA">
        <w:rPr>
          <w:lang w:val="en-CA"/>
        </w:rPr>
        <w:t xml:space="preserve">: </w:t>
      </w:r>
    </w:p>
    <w:p w14:paraId="116358AB" w14:textId="77777777" w:rsidR="005F07D9" w:rsidRPr="005B52EB" w:rsidRDefault="005F07D9" w:rsidP="00127018">
      <w:pPr>
        <w:pStyle w:val="ListParagraph"/>
        <w:rPr>
          <w:sz w:val="6"/>
          <w:szCs w:val="6"/>
          <w:lang w:val="en-CA"/>
        </w:rPr>
      </w:pPr>
    </w:p>
    <w:p w14:paraId="647C58B1" w14:textId="77777777" w:rsidR="005F07D9" w:rsidRPr="00127018" w:rsidRDefault="005F07D9" w:rsidP="00127018">
      <w:pPr>
        <w:pStyle w:val="ListParagraph"/>
        <w:spacing w:before="240" w:after="200" w:line="276" w:lineRule="auto"/>
        <w:ind w:left="360"/>
        <w:rPr>
          <w:sz w:val="2"/>
          <w:szCs w:val="2"/>
          <w:lang w:val="en-CA"/>
        </w:rPr>
      </w:pPr>
    </w:p>
    <w:p w14:paraId="050CF4AC" w14:textId="0E336162" w:rsidR="005F07D9" w:rsidRPr="00F747DA" w:rsidRDefault="005F07D9" w:rsidP="006A7FFC">
      <w:pPr>
        <w:pStyle w:val="ListParagraph"/>
        <w:widowControl/>
        <w:numPr>
          <w:ilvl w:val="0"/>
          <w:numId w:val="34"/>
        </w:numPr>
        <w:suppressAutoHyphens w:val="0"/>
        <w:spacing w:before="240" w:after="200" w:line="276" w:lineRule="auto"/>
        <w:rPr>
          <w:lang w:val="en-CA"/>
        </w:rPr>
      </w:pPr>
      <w:r>
        <w:rPr>
          <w:lang w:val="en-CA"/>
        </w:rPr>
        <w:t xml:space="preserve">being </w:t>
      </w:r>
      <w:r w:rsidRPr="00F747DA">
        <w:rPr>
          <w:lang w:val="en-CA"/>
        </w:rPr>
        <w:t>reduced to the cost of their healthcare, and hav</w:t>
      </w:r>
      <w:r>
        <w:rPr>
          <w:lang w:val="en-CA"/>
        </w:rPr>
        <w:t>ing</w:t>
      </w:r>
      <w:r w:rsidRPr="00F747DA">
        <w:rPr>
          <w:lang w:val="en-CA"/>
        </w:rPr>
        <w:t xml:space="preserve"> their value and contributions </w:t>
      </w:r>
      <w:proofErr w:type="gramStart"/>
      <w:r w:rsidRPr="00F747DA">
        <w:rPr>
          <w:lang w:val="en-CA"/>
        </w:rPr>
        <w:t>negated;</w:t>
      </w:r>
      <w:proofErr w:type="gramEnd"/>
    </w:p>
    <w:p w14:paraId="5D130E00" w14:textId="7FB1ABDD" w:rsidR="005F07D9" w:rsidRPr="00F747DA" w:rsidRDefault="005F07D9" w:rsidP="006A7FFC">
      <w:pPr>
        <w:pStyle w:val="ListParagraph"/>
        <w:widowControl/>
        <w:numPr>
          <w:ilvl w:val="0"/>
          <w:numId w:val="34"/>
        </w:numPr>
        <w:suppressAutoHyphens w:val="0"/>
        <w:spacing w:before="240" w:after="200" w:line="276" w:lineRule="auto"/>
        <w:rPr>
          <w:lang w:val="en-CA"/>
        </w:rPr>
      </w:pPr>
      <w:r>
        <w:rPr>
          <w:lang w:val="en-CA"/>
        </w:rPr>
        <w:t>being e</w:t>
      </w:r>
      <w:r w:rsidRPr="00F747DA">
        <w:rPr>
          <w:lang w:val="en-CA"/>
        </w:rPr>
        <w:t xml:space="preserve">xposed to stigmatizing views regarding disability and </w:t>
      </w:r>
      <w:proofErr w:type="gramStart"/>
      <w:r w:rsidRPr="00F747DA">
        <w:rPr>
          <w:lang w:val="en-CA"/>
        </w:rPr>
        <w:t>migration;</w:t>
      </w:r>
      <w:proofErr w:type="gramEnd"/>
    </w:p>
    <w:p w14:paraId="3F0CF396" w14:textId="57A92D69" w:rsidR="005F07D9" w:rsidRPr="00F747DA" w:rsidRDefault="005F07D9" w:rsidP="006A7FFC">
      <w:pPr>
        <w:pStyle w:val="ListParagraph"/>
        <w:widowControl/>
        <w:numPr>
          <w:ilvl w:val="0"/>
          <w:numId w:val="34"/>
        </w:numPr>
        <w:suppressAutoHyphens w:val="0"/>
        <w:spacing w:before="240" w:after="200" w:line="276" w:lineRule="auto"/>
        <w:rPr>
          <w:lang w:val="en-CA"/>
        </w:rPr>
      </w:pPr>
      <w:r>
        <w:rPr>
          <w:lang w:val="en-CA"/>
        </w:rPr>
        <w:t>facing</w:t>
      </w:r>
      <w:r w:rsidRPr="00F747DA">
        <w:rPr>
          <w:lang w:val="en-CA"/>
        </w:rPr>
        <w:t xml:space="preserve"> application processing </w:t>
      </w:r>
      <w:proofErr w:type="gramStart"/>
      <w:r w:rsidRPr="00F747DA">
        <w:rPr>
          <w:lang w:val="en-CA"/>
        </w:rPr>
        <w:t>delays;</w:t>
      </w:r>
      <w:proofErr w:type="gramEnd"/>
    </w:p>
    <w:p w14:paraId="6EE9964F" w14:textId="65DBC779" w:rsidR="005F07D9" w:rsidRPr="00F747DA" w:rsidRDefault="005F07D9" w:rsidP="006A7FFC">
      <w:pPr>
        <w:pStyle w:val="ListParagraph"/>
        <w:widowControl/>
        <w:numPr>
          <w:ilvl w:val="0"/>
          <w:numId w:val="34"/>
        </w:numPr>
        <w:suppressAutoHyphens w:val="0"/>
        <w:spacing w:before="240" w:after="200" w:line="276" w:lineRule="auto"/>
        <w:rPr>
          <w:lang w:val="en-CA"/>
        </w:rPr>
      </w:pPr>
      <w:r>
        <w:rPr>
          <w:lang w:val="en-CA"/>
        </w:rPr>
        <w:t>bearing</w:t>
      </w:r>
      <w:r w:rsidRPr="00F747DA">
        <w:rPr>
          <w:lang w:val="en-CA"/>
        </w:rPr>
        <w:t xml:space="preserve"> additional legal costs; and</w:t>
      </w:r>
    </w:p>
    <w:p w14:paraId="12384638" w14:textId="3D7F89EE" w:rsidR="005F07D9" w:rsidRPr="00F747DA" w:rsidRDefault="005F07D9" w:rsidP="006A7FFC">
      <w:pPr>
        <w:pStyle w:val="ListParagraph"/>
        <w:widowControl/>
        <w:numPr>
          <w:ilvl w:val="0"/>
          <w:numId w:val="34"/>
        </w:numPr>
        <w:suppressAutoHyphens w:val="0"/>
        <w:spacing w:before="240" w:after="200" w:line="276" w:lineRule="auto"/>
        <w:rPr>
          <w:lang w:val="en-CA"/>
        </w:rPr>
      </w:pPr>
      <w:r>
        <w:rPr>
          <w:lang w:val="en-CA"/>
        </w:rPr>
        <w:t>f</w:t>
      </w:r>
      <w:r w:rsidRPr="00F747DA">
        <w:rPr>
          <w:lang w:val="en-CA"/>
        </w:rPr>
        <w:t>ac</w:t>
      </w:r>
      <w:r>
        <w:rPr>
          <w:lang w:val="en-CA"/>
        </w:rPr>
        <w:t>ing</w:t>
      </w:r>
      <w:r w:rsidRPr="00F747DA">
        <w:rPr>
          <w:lang w:val="en-CA"/>
        </w:rPr>
        <w:t xml:space="preserve"> removal from, or refusal to enter, Canada if they cannot afford to respond to a</w:t>
      </w:r>
      <w:r>
        <w:rPr>
          <w:lang w:val="en-CA"/>
        </w:rPr>
        <w:t xml:space="preserve"> determination from IRCC that they pose an “excessive demand.”</w:t>
      </w:r>
      <w:r w:rsidRPr="00F747DA">
        <w:rPr>
          <w:lang w:val="en-CA"/>
        </w:rPr>
        <w:t xml:space="preserve"> </w:t>
      </w:r>
    </w:p>
    <w:p w14:paraId="13EA8D04" w14:textId="77777777" w:rsidR="005F07D9" w:rsidRPr="00F747DA" w:rsidRDefault="005F07D9" w:rsidP="006A7FFC">
      <w:pPr>
        <w:pStyle w:val="ListParagraph"/>
        <w:widowControl/>
        <w:suppressAutoHyphens w:val="0"/>
        <w:spacing w:before="240" w:after="200" w:line="276" w:lineRule="auto"/>
        <w:rPr>
          <w:lang w:val="en-CA"/>
        </w:rPr>
      </w:pPr>
    </w:p>
    <w:p w14:paraId="0FF403CB" w14:textId="77777777" w:rsidR="005F07D9" w:rsidRPr="003B0D50" w:rsidRDefault="005F07D9" w:rsidP="006A7FFC">
      <w:pPr>
        <w:pStyle w:val="ListParagraph"/>
        <w:numPr>
          <w:ilvl w:val="0"/>
          <w:numId w:val="21"/>
        </w:numPr>
        <w:spacing w:line="276" w:lineRule="auto"/>
        <w:rPr>
          <w:lang w:val="en-CA"/>
        </w:rPr>
      </w:pPr>
      <w:r w:rsidRPr="00BE7300">
        <w:t>For decades, the “excessive demand” regime has been the focus of extensive criticism, in Canada and globally, due to its violations of the rights of persons with disabilities, including people living with HIV. In 2011, the UN General Assembly encouraged states to eliminate HIV-related restrictions on entry, stay and residence.</w:t>
      </w:r>
      <w:r w:rsidRPr="00F747DA">
        <w:rPr>
          <w:vertAlign w:val="superscript"/>
        </w:rPr>
        <w:endnoteReference w:id="42"/>
      </w:r>
      <w:r w:rsidRPr="00BE7300">
        <w:t xml:space="preserve"> UNAIDS reiterated this call in 2014.</w:t>
      </w:r>
      <w:r w:rsidRPr="00F747DA">
        <w:rPr>
          <w:vertAlign w:val="superscript"/>
        </w:rPr>
        <w:endnoteReference w:id="43"/>
      </w:r>
      <w:r w:rsidRPr="00BE7300">
        <w:t xml:space="preserve"> </w:t>
      </w:r>
    </w:p>
    <w:p w14:paraId="4963832C" w14:textId="77777777" w:rsidR="005F07D9" w:rsidRDefault="005F07D9" w:rsidP="006A7FFC">
      <w:pPr>
        <w:pStyle w:val="ListParagraph"/>
        <w:spacing w:line="276" w:lineRule="auto"/>
        <w:ind w:left="360"/>
        <w:rPr>
          <w:lang w:val="en-CA"/>
        </w:rPr>
      </w:pPr>
    </w:p>
    <w:p w14:paraId="24847E75" w14:textId="45A3C8A6" w:rsidR="005F07D9" w:rsidRPr="00BE7300" w:rsidRDefault="005F07D9" w:rsidP="006A7FFC">
      <w:pPr>
        <w:pStyle w:val="ListParagraph"/>
        <w:numPr>
          <w:ilvl w:val="0"/>
          <w:numId w:val="21"/>
        </w:numPr>
        <w:spacing w:line="276" w:lineRule="auto"/>
        <w:rPr>
          <w:lang w:val="en-CA"/>
        </w:rPr>
      </w:pPr>
      <w:r w:rsidRPr="00BE7300">
        <w:t xml:space="preserve">In 2014, this Committee found that Australia’s medical inadmissibility regime, which parallels Canada’s s. 38(1)(c), </w:t>
      </w:r>
      <w:r>
        <w:t>violated</w:t>
      </w:r>
      <w:r w:rsidRPr="00BE7300">
        <w:t xml:space="preserve"> articles 4, 5 and 18 of the </w:t>
      </w:r>
      <w:r w:rsidRPr="00BE7300">
        <w:rPr>
          <w:i/>
          <w:iCs/>
        </w:rPr>
        <w:t>Convention on the Rights of Persons with Disabilities</w:t>
      </w:r>
      <w:r w:rsidRPr="00BE7300">
        <w:t>.</w:t>
      </w:r>
      <w:r>
        <w:rPr>
          <w:rStyle w:val="EndnoteReference"/>
        </w:rPr>
        <w:endnoteReference w:id="44"/>
      </w:r>
      <w:r w:rsidRPr="00BE7300">
        <w:t xml:space="preserve"> In that case, the complainant had been denied a visa due to a multiple sclerosis diagnosis. The Committee concluded that Australia was under an obligation to prevent similar violations in the future, requiring Australia to </w:t>
      </w:r>
      <w:r>
        <w:t>repeal</w:t>
      </w:r>
      <w:r w:rsidRPr="00BE7300">
        <w:t xml:space="preserve"> legislation preventing people with disabilities from immigration.</w:t>
      </w:r>
    </w:p>
    <w:p w14:paraId="09F41BAF" w14:textId="77777777" w:rsidR="005F07D9" w:rsidRPr="00F747DA" w:rsidRDefault="005F07D9" w:rsidP="006A7FFC">
      <w:pPr>
        <w:pStyle w:val="ListParagraph"/>
        <w:spacing w:line="276" w:lineRule="auto"/>
        <w:rPr>
          <w:lang w:val="en-CA"/>
        </w:rPr>
      </w:pPr>
    </w:p>
    <w:p w14:paraId="59E5B575" w14:textId="2A0B761B" w:rsidR="005F07D9" w:rsidRPr="00634C2D" w:rsidRDefault="005F07D9" w:rsidP="006A7FFC">
      <w:pPr>
        <w:pStyle w:val="ListParagraph"/>
        <w:numPr>
          <w:ilvl w:val="0"/>
          <w:numId w:val="21"/>
        </w:numPr>
        <w:spacing w:before="240" w:after="200" w:line="276" w:lineRule="auto"/>
        <w:rPr>
          <w:lang w:val="en-CA"/>
        </w:rPr>
      </w:pPr>
      <w:r w:rsidRPr="00634C2D">
        <w:rPr>
          <w:lang w:val="en-CA"/>
        </w:rPr>
        <w:t xml:space="preserve">While Canada committed to repealing s. 38(1)(c) in 2018, </w:t>
      </w:r>
      <w:r>
        <w:rPr>
          <w:lang w:val="en-CA"/>
        </w:rPr>
        <w:t xml:space="preserve">its failure to do so compelled </w:t>
      </w:r>
      <w:r w:rsidRPr="00634C2D">
        <w:rPr>
          <w:lang w:val="en-CA"/>
        </w:rPr>
        <w:t>t</w:t>
      </w:r>
      <w:r w:rsidRPr="00355F8C">
        <w:t xml:space="preserve">he HIV Legal Network </w:t>
      </w:r>
      <w:r>
        <w:t xml:space="preserve">to </w:t>
      </w:r>
      <w:r w:rsidRPr="00355F8C">
        <w:t>challeng</w:t>
      </w:r>
      <w:r>
        <w:t>e</w:t>
      </w:r>
      <w:r w:rsidRPr="00355F8C">
        <w:t xml:space="preserve"> the “excessive demand” regime in Federal Court, as inconsistent with </w:t>
      </w:r>
      <w:r w:rsidRPr="00634C2D">
        <w:rPr>
          <w:i/>
          <w:iCs/>
        </w:rPr>
        <w:t xml:space="preserve">Charter </w:t>
      </w:r>
      <w:r w:rsidRPr="00355F8C">
        <w:t xml:space="preserve">guarantees </w:t>
      </w:r>
      <w:r>
        <w:t xml:space="preserve">to </w:t>
      </w:r>
      <w:r w:rsidRPr="00355F8C">
        <w:t>equality before the law and the right to equal protection and equal benefit of the law without discrimination, including based on disability.</w:t>
      </w:r>
      <w:r w:rsidR="00B4074E" w:rsidRPr="00F747DA">
        <w:rPr>
          <w:rStyle w:val="EndnoteReference"/>
          <w:lang w:val="en-CA"/>
        </w:rPr>
        <w:endnoteReference w:id="45"/>
      </w:r>
    </w:p>
    <w:p w14:paraId="60E40D51" w14:textId="77777777" w:rsidR="005F07D9" w:rsidRDefault="005F07D9" w:rsidP="006A7FFC">
      <w:pPr>
        <w:pStyle w:val="ListParagraph"/>
        <w:spacing w:before="240" w:after="200" w:line="276" w:lineRule="auto"/>
        <w:ind w:left="360"/>
        <w:rPr>
          <w:lang w:val="en-CA"/>
        </w:rPr>
      </w:pPr>
    </w:p>
    <w:p w14:paraId="051E2BAB" w14:textId="1E72B270" w:rsidR="005F07D9" w:rsidRPr="005B52EB" w:rsidRDefault="005F07D9" w:rsidP="005B52EB">
      <w:pPr>
        <w:pStyle w:val="ListParagraph"/>
        <w:numPr>
          <w:ilvl w:val="0"/>
          <w:numId w:val="21"/>
        </w:numPr>
        <w:spacing w:before="240" w:after="200" w:line="276" w:lineRule="auto"/>
        <w:rPr>
          <w:lang w:val="en-CA"/>
        </w:rPr>
      </w:pPr>
      <w:r w:rsidRPr="00634C2D">
        <w:rPr>
          <w:lang w:val="en-CA"/>
        </w:rPr>
        <w:t xml:space="preserve">Canada has attempted to justify s. 38(1)(c) as </w:t>
      </w:r>
      <w:r>
        <w:rPr>
          <w:lang w:val="en-CA"/>
        </w:rPr>
        <w:t xml:space="preserve">an approach involving </w:t>
      </w:r>
      <w:r w:rsidRPr="00634C2D">
        <w:rPr>
          <w:lang w:val="en-CA"/>
        </w:rPr>
        <w:t>individualized cost assessments, rather than categorical exclusion. Yet, cost is not a neutral factor. S. 38(1)(c) singles out people with disabilities by assessing them for their potential “excessive” use of health services. The law is premised on stigmatizing beliefs that people with disabilities are burdens on society and</w:t>
      </w:r>
      <w:r w:rsidR="005B52EB">
        <w:rPr>
          <w:lang w:val="en-CA"/>
        </w:rPr>
        <w:t xml:space="preserve"> that</w:t>
      </w:r>
      <w:r w:rsidRPr="00634C2D">
        <w:rPr>
          <w:lang w:val="en-CA"/>
        </w:rPr>
        <w:t xml:space="preserve"> migrants abuse public services. The “excessive demand” regime ignores the reality that people with disabilities make important economic and non-economic contributions to Canada. Moreover</w:t>
      </w:r>
      <w:r w:rsidRPr="00634C2D">
        <w:t xml:space="preserve">, the evidence demonstrates that actual savings from s. 38(1)(c) are insignificant. In 2017, refusals under the provision accounted for 0.1% of provincial and territorial healthcare budgets. </w:t>
      </w:r>
    </w:p>
    <w:p w14:paraId="7EF1151A" w14:textId="523AB39C" w:rsidR="005F07D9" w:rsidRPr="00F747DA" w:rsidRDefault="005F07D9" w:rsidP="006A7FFC">
      <w:pPr>
        <w:pStyle w:val="ListParagraph"/>
        <w:numPr>
          <w:ilvl w:val="0"/>
          <w:numId w:val="21"/>
        </w:numPr>
        <w:spacing w:before="240" w:after="200" w:line="276" w:lineRule="auto"/>
        <w:rPr>
          <w:lang w:val="en-CA"/>
        </w:rPr>
      </w:pPr>
      <w:r w:rsidRPr="00F747DA">
        <w:rPr>
          <w:lang w:val="en-CA"/>
        </w:rPr>
        <w:lastRenderedPageBreak/>
        <w:t>In imposing burdens and denying benefits to people with disabilities, the “excessive demand” regime prevents people living with disabilities from realizing the right to liberty of movement, to freedom to choose their residence and to a nationality, on an equal basis with others. It prevents people living with disabilities from exercising their rights to education,</w:t>
      </w:r>
      <w:r w:rsidRPr="00F747DA">
        <w:rPr>
          <w:vertAlign w:val="superscript"/>
          <w:lang w:val="en-CA"/>
        </w:rPr>
        <w:endnoteReference w:id="46"/>
      </w:r>
      <w:r w:rsidRPr="00F747DA">
        <w:rPr>
          <w:lang w:val="en-CA"/>
        </w:rPr>
        <w:t xml:space="preserve"> employment</w:t>
      </w:r>
      <w:r w:rsidR="005B52EB">
        <w:rPr>
          <w:lang w:val="en-CA"/>
        </w:rPr>
        <w:t>,</w:t>
      </w:r>
      <w:r w:rsidRPr="00F747DA">
        <w:rPr>
          <w:vertAlign w:val="superscript"/>
          <w:lang w:val="en-CA"/>
        </w:rPr>
        <w:endnoteReference w:id="47"/>
      </w:r>
      <w:r w:rsidRPr="00F747DA">
        <w:rPr>
          <w:lang w:val="en-CA"/>
        </w:rPr>
        <w:t xml:space="preserve"> and the highest attainable standard of health under the Convention.</w:t>
      </w:r>
      <w:r w:rsidRPr="00F747DA">
        <w:rPr>
          <w:vertAlign w:val="superscript"/>
          <w:lang w:val="en-CA"/>
        </w:rPr>
        <w:endnoteReference w:id="48"/>
      </w:r>
      <w:r w:rsidRPr="00F747DA">
        <w:rPr>
          <w:lang w:val="en-CA"/>
        </w:rPr>
        <w:t xml:space="preserve"> </w:t>
      </w:r>
    </w:p>
    <w:p w14:paraId="0C775A52" w14:textId="01C39410" w:rsidR="005F07D9" w:rsidRPr="005B52EB" w:rsidRDefault="005F07D9" w:rsidP="006A7FFC">
      <w:pPr>
        <w:spacing w:after="200" w:line="276" w:lineRule="auto"/>
        <w:rPr>
          <w:rFonts w:cs="Arial"/>
          <w:sz w:val="6"/>
          <w:szCs w:val="6"/>
        </w:rPr>
      </w:pPr>
    </w:p>
    <w:p w14:paraId="59D0A094" w14:textId="77777777" w:rsidR="005F07D9" w:rsidRPr="00F747DA" w:rsidRDefault="005F07D9" w:rsidP="006A7FFC">
      <w:pPr>
        <w:spacing w:after="200" w:line="276" w:lineRule="auto"/>
        <w:rPr>
          <w:rFonts w:cs="Arial"/>
          <w:b/>
        </w:rPr>
      </w:pPr>
      <w:r w:rsidRPr="00F747DA">
        <w:rPr>
          <w:rFonts w:cs="Arial"/>
          <w:b/>
        </w:rPr>
        <w:t>RECOMMENDED ACTIONS</w:t>
      </w:r>
    </w:p>
    <w:p w14:paraId="33AD45B8" w14:textId="55D0D839" w:rsidR="005F07D9" w:rsidRPr="00F747DA" w:rsidRDefault="005F07D9" w:rsidP="006A7FFC">
      <w:pPr>
        <w:spacing w:after="200" w:line="276" w:lineRule="auto"/>
        <w:rPr>
          <w:rFonts w:cs="Arial"/>
        </w:rPr>
      </w:pPr>
      <w:r w:rsidRPr="00F747DA">
        <w:rPr>
          <w:rFonts w:cs="Arial"/>
        </w:rPr>
        <w:t xml:space="preserve">The Legal Network recommends that </w:t>
      </w:r>
      <w:r>
        <w:rPr>
          <w:rFonts w:cs="Arial"/>
        </w:rPr>
        <w:t xml:space="preserve">the Committee calls on </w:t>
      </w:r>
      <w:r w:rsidRPr="00F747DA">
        <w:rPr>
          <w:rFonts w:cs="Arial"/>
        </w:rPr>
        <w:t>Canada</w:t>
      </w:r>
      <w:r>
        <w:rPr>
          <w:rFonts w:cs="Arial"/>
        </w:rPr>
        <w:t xml:space="preserve"> to:</w:t>
      </w:r>
      <w:r w:rsidRPr="00F747DA">
        <w:rPr>
          <w:rFonts w:cs="Arial"/>
        </w:rPr>
        <w:t xml:space="preserve"> </w:t>
      </w:r>
    </w:p>
    <w:p w14:paraId="195866FB" w14:textId="4F38170B" w:rsidR="005F07D9" w:rsidRPr="00F747DA" w:rsidRDefault="005F07D9" w:rsidP="006A7FFC">
      <w:pPr>
        <w:numPr>
          <w:ilvl w:val="0"/>
          <w:numId w:val="2"/>
        </w:numPr>
        <w:spacing w:after="200" w:line="276" w:lineRule="auto"/>
        <w:rPr>
          <w:rFonts w:cs="Arial"/>
          <w:b/>
        </w:rPr>
      </w:pPr>
      <w:r w:rsidRPr="00F747DA">
        <w:rPr>
          <w:rFonts w:cs="Arial"/>
          <w:b/>
        </w:rPr>
        <w:t>Repeal the “excessive demand” provision of Canada’s laws governing medical inadmissibility, which allow</w:t>
      </w:r>
      <w:r w:rsidR="005B52EB">
        <w:rPr>
          <w:rFonts w:cs="Arial"/>
          <w:b/>
        </w:rPr>
        <w:t>s</w:t>
      </w:r>
      <w:r w:rsidRPr="00F747DA">
        <w:rPr>
          <w:rFonts w:cs="Arial"/>
          <w:b/>
        </w:rPr>
        <w:t xml:space="preserve"> people seeking permanent resident status or temporary residence to be rejected </w:t>
      </w:r>
      <w:r>
        <w:rPr>
          <w:rFonts w:cs="Arial"/>
          <w:b/>
        </w:rPr>
        <w:t>based on</w:t>
      </w:r>
      <w:r w:rsidRPr="00F747DA">
        <w:rPr>
          <w:rFonts w:cs="Arial"/>
          <w:b/>
        </w:rPr>
        <w:t xml:space="preserve"> their HIV status</w:t>
      </w:r>
      <w:r>
        <w:rPr>
          <w:rFonts w:cs="Arial"/>
          <w:b/>
        </w:rPr>
        <w:t>.</w:t>
      </w:r>
    </w:p>
    <w:p w14:paraId="6F737B6E" w14:textId="77777777" w:rsidR="005F07D9" w:rsidRPr="00F747DA" w:rsidRDefault="005F07D9" w:rsidP="006A7FFC">
      <w:pPr>
        <w:numPr>
          <w:ilvl w:val="0"/>
          <w:numId w:val="2"/>
        </w:numPr>
        <w:spacing w:after="200" w:line="276" w:lineRule="auto"/>
        <w:rPr>
          <w:rFonts w:cs="Arial"/>
          <w:b/>
        </w:rPr>
      </w:pPr>
      <w:r w:rsidRPr="00F747DA">
        <w:rPr>
          <w:rFonts w:cs="Arial"/>
          <w:b/>
        </w:rPr>
        <w:t xml:space="preserve">Amend legislation such that immigration medical examinations are not tied to immigration applications or their outcomes. </w:t>
      </w:r>
    </w:p>
    <w:p w14:paraId="3C531968" w14:textId="77777777" w:rsidR="005F07D9" w:rsidRPr="005B52EB" w:rsidRDefault="005F07D9" w:rsidP="006A7FFC">
      <w:pPr>
        <w:spacing w:after="200" w:line="276" w:lineRule="auto"/>
        <w:rPr>
          <w:rFonts w:ascii="Calibri" w:hAnsi="Calibri" w:cs="Calibri"/>
          <w:sz w:val="10"/>
          <w:szCs w:val="10"/>
        </w:rPr>
      </w:pPr>
    </w:p>
    <w:p w14:paraId="52D85EA2" w14:textId="4AA16C69" w:rsidR="005F07D9" w:rsidRPr="00D3146D" w:rsidRDefault="005B52EB" w:rsidP="006A7FFC">
      <w:pPr>
        <w:pStyle w:val="Heading1"/>
        <w:numPr>
          <w:ilvl w:val="0"/>
          <w:numId w:val="0"/>
        </w:numPr>
        <w:spacing w:line="276" w:lineRule="auto"/>
        <w:rPr>
          <w:sz w:val="28"/>
          <w:szCs w:val="28"/>
          <w:lang w:val="en-CA"/>
        </w:rPr>
      </w:pPr>
      <w:r w:rsidRPr="00D3146D">
        <w:rPr>
          <w:noProof/>
        </w:rPr>
        <mc:AlternateContent>
          <mc:Choice Requires="wps">
            <w:drawing>
              <wp:anchor distT="45720" distB="45720" distL="114300" distR="114300" simplePos="0" relativeHeight="251668482" behindDoc="0" locked="0" layoutInCell="1" allowOverlap="1" wp14:anchorId="472A986D" wp14:editId="3BE708A3">
                <wp:simplePos x="0" y="0"/>
                <wp:positionH relativeFrom="margin">
                  <wp:posOffset>19050</wp:posOffset>
                </wp:positionH>
                <wp:positionV relativeFrom="paragraph">
                  <wp:posOffset>438785</wp:posOffset>
                </wp:positionV>
                <wp:extent cx="6038850" cy="1404620"/>
                <wp:effectExtent l="0" t="0" r="19050" b="15875"/>
                <wp:wrapSquare wrapText="bothSides"/>
                <wp:docPr id="2015060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404620"/>
                        </a:xfrm>
                        <a:prstGeom prst="rect">
                          <a:avLst/>
                        </a:prstGeom>
                        <a:solidFill>
                          <a:schemeClr val="accent6">
                            <a:lumMod val="20000"/>
                            <a:lumOff val="80000"/>
                          </a:schemeClr>
                        </a:solidFill>
                        <a:ln w="9525">
                          <a:solidFill>
                            <a:srgbClr val="000000"/>
                          </a:solidFill>
                          <a:miter lim="800000"/>
                          <a:headEnd/>
                          <a:tailEnd/>
                        </a:ln>
                      </wps:spPr>
                      <wps:txbx>
                        <w:txbxContent>
                          <w:p w14:paraId="1D971840" w14:textId="77777777" w:rsidR="00C64D1A" w:rsidRPr="00C64D1A" w:rsidRDefault="00C64D1A" w:rsidP="005B52EB">
                            <w:pPr>
                              <w:shd w:val="clear" w:color="auto" w:fill="FDE9D9" w:themeFill="accent6" w:themeFillTint="33"/>
                              <w:rPr>
                                <w:rFonts w:eastAsia="Arial"/>
                                <w:spacing w:val="3"/>
                                <w:szCs w:val="22"/>
                              </w:rPr>
                            </w:pPr>
                            <w:r w:rsidRPr="00C64D1A">
                              <w:rPr>
                                <w:rFonts w:eastAsia="Arial"/>
                                <w:spacing w:val="3"/>
                                <w:szCs w:val="22"/>
                              </w:rPr>
                              <w:t>In the LOI, the Committee asked of Canada:</w:t>
                            </w:r>
                          </w:p>
                          <w:p w14:paraId="673127C5" w14:textId="77777777" w:rsidR="00C64D1A" w:rsidRDefault="00C64D1A" w:rsidP="005B52EB">
                            <w:pPr>
                              <w:shd w:val="clear" w:color="auto" w:fill="FDE9D9" w:themeFill="accent6" w:themeFillTint="33"/>
                              <w:rPr>
                                <w:rFonts w:eastAsia="Arial"/>
                                <w:spacing w:val="3"/>
                                <w:szCs w:val="22"/>
                              </w:rPr>
                            </w:pPr>
                          </w:p>
                          <w:p w14:paraId="71EAC77D" w14:textId="663DAD60" w:rsidR="00C64D1A" w:rsidRPr="00C64D1A" w:rsidRDefault="00C64D1A" w:rsidP="005B52EB">
                            <w:pPr>
                              <w:shd w:val="clear" w:color="auto" w:fill="FDE9D9" w:themeFill="accent6" w:themeFillTint="33"/>
                              <w:rPr>
                                <w:rFonts w:eastAsia="Arial"/>
                                <w:spacing w:val="3"/>
                                <w:szCs w:val="22"/>
                              </w:rPr>
                            </w:pPr>
                            <w:r w:rsidRPr="00C64D1A">
                              <w:rPr>
                                <w:rFonts w:eastAsia="Arial"/>
                                <w:spacing w:val="3"/>
                                <w:szCs w:val="22"/>
                              </w:rPr>
                              <w:t xml:space="preserve">24. Please provide information on the steps taken to: </w:t>
                            </w:r>
                          </w:p>
                          <w:p w14:paraId="0EF2A1B0" w14:textId="3116AAC4" w:rsidR="00C64D1A" w:rsidRPr="00423C91" w:rsidRDefault="00423C91" w:rsidP="005B52EB">
                            <w:pPr>
                              <w:shd w:val="clear" w:color="auto" w:fill="FDE9D9" w:themeFill="accent6" w:themeFillTint="33"/>
                              <w:ind w:left="720"/>
                              <w:rPr>
                                <w:rFonts w:eastAsia="Arial" w:cs="Arial"/>
                                <w:spacing w:val="3"/>
                                <w:szCs w:val="22"/>
                              </w:rPr>
                            </w:pPr>
                            <w:r>
                              <w:rPr>
                                <w:rFonts w:eastAsia="Arial"/>
                                <w:b/>
                                <w:bCs/>
                                <w:spacing w:val="3"/>
                                <w:szCs w:val="22"/>
                              </w:rPr>
                              <w:t xml:space="preserve">(a) </w:t>
                            </w:r>
                            <w:r w:rsidR="00C64D1A" w:rsidRPr="00423C91">
                              <w:rPr>
                                <w:rFonts w:eastAsia="Arial"/>
                                <w:b/>
                                <w:bCs/>
                                <w:spacing w:val="3"/>
                                <w:szCs w:val="22"/>
                              </w:rPr>
                              <w:t>Address the stigma as well as the physical, financial and attitudinal barriers faced by persons with disabilities in accessing quality health-care services, to provide universal coverage of health services</w:t>
                            </w:r>
                            <w:r w:rsidR="00C64D1A" w:rsidRPr="00423C91">
                              <w:rPr>
                                <w:rFonts w:eastAsia="Arial"/>
                                <w:spacing w:val="3"/>
                                <w:szCs w:val="22"/>
                              </w:rPr>
                              <w:t>, including disability-specific health services, for all persons with disabilities and to provide training for health-care practitioners</w:t>
                            </w:r>
                            <w:r w:rsidR="00C64D1A" w:rsidRPr="00423C91">
                              <w:rPr>
                                <w:rFonts w:eastAsia="Arial" w:cs="Arial"/>
                                <w:spacing w:val="3"/>
                                <w:szCs w:val="22"/>
                              </w:rPr>
                              <w:t>.</w:t>
                            </w:r>
                          </w:p>
                          <w:p w14:paraId="0D31A77F" w14:textId="77777777" w:rsidR="00C64D1A" w:rsidRPr="00C64D1A" w:rsidRDefault="00C64D1A" w:rsidP="00C64D1A">
                            <w:pPr>
                              <w:pStyle w:val="ListParagraph"/>
                              <w:shd w:val="clear" w:color="auto" w:fill="FDE9D9" w:themeFill="accent6" w:themeFillTint="33"/>
                              <w:ind w:left="1080"/>
                              <w:rPr>
                                <w:szCs w:val="22"/>
                                <w:lang w:val="en-CA"/>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2A986D" id="_x0000_s1029" type="#_x0000_t202" style="position:absolute;margin-left:1.5pt;margin-top:34.55pt;width:475.5pt;height:110.6pt;z-index:25166848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" fillcolor="#fde9d9 [665]">
                <v:textbox style="mso-fit-shape-to-text:t">
                  <w:txbxContent>
                    <w:p w14:paraId="1D971840" w14:textId="77777777" w:rsidR="00C64D1A" w:rsidRPr="00C64D1A" w:rsidRDefault="00C64D1A" w:rsidP="005B52EB">
                      <w:pPr>
                        <w:shd w:val="clear" w:color="auto" w:fill="FDE9D9" w:themeFill="accent6" w:themeFillTint="33"/>
                        <w:rPr>
                          <w:rFonts w:eastAsia="Arial"/>
                          <w:spacing w:val="3"/>
                          <w:szCs w:val="22"/>
                        </w:rPr>
                      </w:pPr>
                      <w:r w:rsidRPr="00C64D1A">
                        <w:rPr>
                          <w:rFonts w:eastAsia="Arial"/>
                          <w:spacing w:val="3"/>
                          <w:szCs w:val="22"/>
                        </w:rPr>
                        <w:t>In the LOI, the Committee asked of Canada:</w:t>
                      </w:r>
                    </w:p>
                    <w:p w14:paraId="673127C5" w14:textId="77777777" w:rsidR="00C64D1A" w:rsidRDefault="00C64D1A" w:rsidP="005B52EB">
                      <w:pPr>
                        <w:shd w:val="clear" w:color="auto" w:fill="FDE9D9" w:themeFill="accent6" w:themeFillTint="33"/>
                        <w:rPr>
                          <w:rFonts w:eastAsia="Arial"/>
                          <w:spacing w:val="3"/>
                          <w:szCs w:val="22"/>
                        </w:rPr>
                      </w:pPr>
                    </w:p>
                    <w:p w14:paraId="71EAC77D" w14:textId="663DAD60" w:rsidR="00C64D1A" w:rsidRPr="00C64D1A" w:rsidRDefault="00C64D1A" w:rsidP="005B52EB">
                      <w:pPr>
                        <w:shd w:val="clear" w:color="auto" w:fill="FDE9D9" w:themeFill="accent6" w:themeFillTint="33"/>
                        <w:rPr>
                          <w:rFonts w:eastAsia="Arial"/>
                          <w:spacing w:val="3"/>
                          <w:szCs w:val="22"/>
                        </w:rPr>
                      </w:pPr>
                      <w:r w:rsidRPr="00C64D1A">
                        <w:rPr>
                          <w:rFonts w:eastAsia="Arial"/>
                          <w:spacing w:val="3"/>
                          <w:szCs w:val="22"/>
                        </w:rPr>
                        <w:t xml:space="preserve">24. Please provide information on the steps taken to: </w:t>
                      </w:r>
                    </w:p>
                    <w:p w14:paraId="0EF2A1B0" w14:textId="3116AAC4" w:rsidR="00C64D1A" w:rsidRPr="00423C91" w:rsidRDefault="00423C91" w:rsidP="005B52EB">
                      <w:pPr>
                        <w:shd w:val="clear" w:color="auto" w:fill="FDE9D9" w:themeFill="accent6" w:themeFillTint="33"/>
                        <w:ind w:left="720"/>
                        <w:rPr>
                          <w:rFonts w:eastAsia="Arial" w:cs="Arial"/>
                          <w:spacing w:val="3"/>
                          <w:szCs w:val="22"/>
                        </w:rPr>
                      </w:pPr>
                      <w:r>
                        <w:rPr>
                          <w:rFonts w:eastAsia="Arial"/>
                          <w:b/>
                          <w:bCs/>
                          <w:spacing w:val="3"/>
                          <w:szCs w:val="22"/>
                        </w:rPr>
                        <w:t xml:space="preserve">(a) </w:t>
                      </w:r>
                      <w:r w:rsidR="00C64D1A" w:rsidRPr="00423C91">
                        <w:rPr>
                          <w:rFonts w:eastAsia="Arial"/>
                          <w:b/>
                          <w:bCs/>
                          <w:spacing w:val="3"/>
                          <w:szCs w:val="22"/>
                        </w:rPr>
                        <w:t>Address the stigma as well as the physical, financial and attitudinal barriers faced by persons with disabilities in accessing quality health-care services, to provide universal coverage of health services</w:t>
                      </w:r>
                      <w:r w:rsidR="00C64D1A" w:rsidRPr="00423C91">
                        <w:rPr>
                          <w:rFonts w:eastAsia="Arial"/>
                          <w:spacing w:val="3"/>
                          <w:szCs w:val="22"/>
                        </w:rPr>
                        <w:t>, including disability-specific health services, for all persons with disabilities and to provide training for health-care practitioners</w:t>
                      </w:r>
                      <w:r w:rsidR="00C64D1A" w:rsidRPr="00423C91">
                        <w:rPr>
                          <w:rFonts w:eastAsia="Arial" w:cs="Arial"/>
                          <w:spacing w:val="3"/>
                          <w:szCs w:val="22"/>
                        </w:rPr>
                        <w:t>.</w:t>
                      </w:r>
                    </w:p>
                    <w:p w14:paraId="0D31A77F" w14:textId="77777777" w:rsidR="00C64D1A" w:rsidRPr="00C64D1A" w:rsidRDefault="00C64D1A" w:rsidP="00C64D1A">
                      <w:pPr>
                        <w:pStyle w:val="ListParagraph"/>
                        <w:shd w:val="clear" w:color="auto" w:fill="FDE9D9" w:themeFill="accent6" w:themeFillTint="33"/>
                        <w:ind w:left="1080"/>
                        <w:rPr>
                          <w:szCs w:val="22"/>
                          <w:lang w:val="en-CA"/>
                        </w:rPr>
                      </w:pPr>
                    </w:p>
                  </w:txbxContent>
                </v:textbox>
                <w10:wrap type="square" anchorx="margin"/>
              </v:shape>
            </w:pict>
          </mc:Fallback>
        </mc:AlternateContent>
      </w:r>
      <w:r w:rsidR="005F07D9" w:rsidRPr="00D3146D">
        <w:rPr>
          <w:sz w:val="28"/>
          <w:szCs w:val="28"/>
          <w:lang w:val="en-CA"/>
        </w:rPr>
        <w:t xml:space="preserve">ARTICLE </w:t>
      </w:r>
      <w:r w:rsidR="005F07D9">
        <w:rPr>
          <w:sz w:val="28"/>
          <w:szCs w:val="28"/>
          <w:lang w:val="en-CA"/>
        </w:rPr>
        <w:t>25:</w:t>
      </w:r>
      <w:r w:rsidR="005F07D9" w:rsidRPr="00D3146D">
        <w:rPr>
          <w:sz w:val="28"/>
          <w:szCs w:val="28"/>
          <w:lang w:val="en-CA"/>
        </w:rPr>
        <w:t xml:space="preserve"> </w:t>
      </w:r>
      <w:r w:rsidR="005F07D9">
        <w:rPr>
          <w:sz w:val="28"/>
          <w:szCs w:val="28"/>
          <w:lang w:val="en-CA"/>
        </w:rPr>
        <w:t>HEALTH</w:t>
      </w:r>
    </w:p>
    <w:p w14:paraId="1BF9AA05" w14:textId="77777777" w:rsidR="00C64D1A" w:rsidRDefault="00C64D1A" w:rsidP="006A7FFC">
      <w:pPr>
        <w:tabs>
          <w:tab w:val="left" w:pos="3000"/>
        </w:tabs>
        <w:spacing w:line="276" w:lineRule="auto"/>
        <w:rPr>
          <w:rFonts w:cs="Arial"/>
          <w:szCs w:val="22"/>
          <w:highlight w:val="yellow"/>
        </w:rPr>
      </w:pPr>
    </w:p>
    <w:p w14:paraId="7E3A2F42" w14:textId="1119A24B" w:rsidR="005F07D9" w:rsidRPr="00166BCB" w:rsidRDefault="005F07D9" w:rsidP="008834E8">
      <w:pPr>
        <w:pStyle w:val="ListParagraph"/>
        <w:numPr>
          <w:ilvl w:val="0"/>
          <w:numId w:val="21"/>
        </w:numPr>
        <w:spacing w:line="276" w:lineRule="auto"/>
        <w:rPr>
          <w:szCs w:val="22"/>
          <w:lang w:val="en-CA"/>
        </w:rPr>
      </w:pPr>
      <w:r w:rsidRPr="00A847AE">
        <w:rPr>
          <w:bCs/>
          <w:iCs/>
          <w:color w:val="202020"/>
          <w:szCs w:val="22"/>
          <w:lang w:val="en-CA"/>
        </w:rPr>
        <w:t xml:space="preserve">Canada is in the midst of an unprecedented toxic drug crisis that has resulted in the deaths of </w:t>
      </w:r>
      <w:r w:rsidRPr="00A847AE">
        <w:rPr>
          <w:iCs/>
          <w:szCs w:val="22"/>
          <w:lang w:val="en-CA"/>
        </w:rPr>
        <w:t xml:space="preserve">49,105 people who use drugs </w:t>
      </w:r>
      <w:r w:rsidRPr="00A847AE">
        <w:rPr>
          <w:bCs/>
          <w:iCs/>
          <w:szCs w:val="22"/>
          <w:lang w:val="en-CA"/>
        </w:rPr>
        <w:t>between January 2016 and June 2024</w:t>
      </w:r>
      <w:r w:rsidRPr="00A847AE">
        <w:rPr>
          <w:bCs/>
          <w:iCs/>
          <w:color w:val="202020"/>
          <w:szCs w:val="22"/>
          <w:lang w:val="en-CA"/>
        </w:rPr>
        <w:t>.</w:t>
      </w:r>
      <w:r w:rsidRPr="00A575A5">
        <w:rPr>
          <w:rStyle w:val="EndnoteReference"/>
          <w:szCs w:val="22"/>
        </w:rPr>
        <w:endnoteReference w:id="49"/>
      </w:r>
      <w:r w:rsidRPr="00A847AE">
        <w:rPr>
          <w:bCs/>
          <w:iCs/>
          <w:color w:val="202020"/>
          <w:szCs w:val="22"/>
          <w:lang w:val="en-CA"/>
        </w:rPr>
        <w:t xml:space="preserve"> </w:t>
      </w:r>
      <w:r>
        <w:rPr>
          <w:bCs/>
          <w:iCs/>
          <w:color w:val="202020"/>
          <w:szCs w:val="22"/>
          <w:lang w:val="en-CA"/>
        </w:rPr>
        <w:t xml:space="preserve">These include people </w:t>
      </w:r>
      <w:r>
        <w:rPr>
          <w:iCs/>
          <w:szCs w:val="22"/>
          <w:lang w:val="en-CA"/>
        </w:rPr>
        <w:t>who use drugs who are</w:t>
      </w:r>
      <w:r w:rsidRPr="00A847AE">
        <w:rPr>
          <w:iCs/>
          <w:szCs w:val="22"/>
          <w:lang w:val="en-CA"/>
        </w:rPr>
        <w:t xml:space="preserve"> living with a disability</w:t>
      </w:r>
      <w:r>
        <w:rPr>
          <w:iCs/>
          <w:szCs w:val="22"/>
          <w:lang w:val="en-CA"/>
        </w:rPr>
        <w:t xml:space="preserve"> which may be related to their substance use </w:t>
      </w:r>
      <w:r w:rsidRPr="00F747DA">
        <w:rPr>
          <w:szCs w:val="22"/>
          <w:lang w:val="en-CA"/>
        </w:rPr>
        <w:t>—</w:t>
      </w:r>
      <w:r>
        <w:rPr>
          <w:iCs/>
          <w:szCs w:val="22"/>
          <w:lang w:val="en-CA"/>
        </w:rPr>
        <w:t xml:space="preserve"> recognizing that a small percentage of people who use drugs experience problematic use.</w:t>
      </w:r>
      <w:r>
        <w:rPr>
          <w:rStyle w:val="EndnoteReference"/>
          <w:iCs/>
          <w:szCs w:val="22"/>
          <w:lang w:val="en-CA"/>
        </w:rPr>
        <w:endnoteReference w:id="50"/>
      </w:r>
      <w:r>
        <w:rPr>
          <w:iCs/>
          <w:szCs w:val="22"/>
          <w:lang w:val="en-CA"/>
        </w:rPr>
        <w:t xml:space="preserve"> D</w:t>
      </w:r>
      <w:r w:rsidRPr="00EF05C4">
        <w:rPr>
          <w:szCs w:val="22"/>
        </w:rPr>
        <w:t xml:space="preserve">riven by </w:t>
      </w:r>
      <w:r w:rsidRPr="00EF05C4">
        <w:rPr>
          <w:color w:val="202020"/>
          <w:szCs w:val="22"/>
        </w:rPr>
        <w:t xml:space="preserve">Canada’s long-standing policy of criminalizing drugs, </w:t>
      </w:r>
      <w:r w:rsidRPr="00EF05C4">
        <w:rPr>
          <w:szCs w:val="22"/>
        </w:rPr>
        <w:t xml:space="preserve">the unregulated drug supply </w:t>
      </w:r>
      <w:r>
        <w:rPr>
          <w:szCs w:val="22"/>
        </w:rPr>
        <w:t>has</w:t>
      </w:r>
      <w:r w:rsidRPr="00EF05C4">
        <w:rPr>
          <w:szCs w:val="22"/>
        </w:rPr>
        <w:t xml:space="preserve"> become more potent and unpredictable year-over-year</w:t>
      </w:r>
      <w:r>
        <w:rPr>
          <w:szCs w:val="22"/>
        </w:rPr>
        <w:t>, with</w:t>
      </w:r>
      <w:r w:rsidRPr="00EF05C4">
        <w:rPr>
          <w:szCs w:val="22"/>
        </w:rPr>
        <w:t xml:space="preserve"> </w:t>
      </w:r>
      <w:r>
        <w:rPr>
          <w:szCs w:val="22"/>
        </w:rPr>
        <w:t>t</w:t>
      </w:r>
      <w:r w:rsidRPr="00EF05C4">
        <w:rPr>
          <w:szCs w:val="22"/>
        </w:rPr>
        <w:t xml:space="preserve">he emergence of high-potency opioids in the drug supply </w:t>
      </w:r>
      <w:r>
        <w:rPr>
          <w:szCs w:val="22"/>
        </w:rPr>
        <w:t>driven by intense policing and</w:t>
      </w:r>
      <w:r w:rsidRPr="00EF05C4">
        <w:rPr>
          <w:szCs w:val="22"/>
        </w:rPr>
        <w:t xml:space="preserve"> </w:t>
      </w:r>
      <w:r>
        <w:rPr>
          <w:szCs w:val="22"/>
        </w:rPr>
        <w:t xml:space="preserve">other </w:t>
      </w:r>
      <w:r w:rsidRPr="00EF05C4">
        <w:rPr>
          <w:szCs w:val="22"/>
        </w:rPr>
        <w:t>law enforcement</w:t>
      </w:r>
      <w:r w:rsidRPr="00A575A5">
        <w:rPr>
          <w:rStyle w:val="EndnoteReference"/>
          <w:szCs w:val="22"/>
        </w:rPr>
        <w:endnoteReference w:id="51"/>
      </w:r>
      <w:r w:rsidRPr="00EF05C4">
        <w:rPr>
          <w:szCs w:val="22"/>
        </w:rPr>
        <w:t xml:space="preserve"> </w:t>
      </w:r>
      <w:r>
        <w:rPr>
          <w:szCs w:val="22"/>
        </w:rPr>
        <w:t>and</w:t>
      </w:r>
      <w:r w:rsidRPr="00EF05C4">
        <w:rPr>
          <w:szCs w:val="22"/>
        </w:rPr>
        <w:t xml:space="preserve"> </w:t>
      </w:r>
      <w:r>
        <w:rPr>
          <w:szCs w:val="22"/>
        </w:rPr>
        <w:t xml:space="preserve">an observed </w:t>
      </w:r>
      <w:r w:rsidRPr="00EF05C4">
        <w:rPr>
          <w:szCs w:val="22"/>
        </w:rPr>
        <w:t>displacement/replacement effect</w:t>
      </w:r>
      <w:r>
        <w:rPr>
          <w:szCs w:val="22"/>
        </w:rPr>
        <w:t>,</w:t>
      </w:r>
      <w:r w:rsidRPr="00A575A5">
        <w:rPr>
          <w:rStyle w:val="EndnoteReference"/>
          <w:szCs w:val="22"/>
        </w:rPr>
        <w:endnoteReference w:id="52"/>
      </w:r>
      <w:r w:rsidRPr="00EF05C4">
        <w:rPr>
          <w:szCs w:val="22"/>
        </w:rPr>
        <w:t xml:space="preserve"> </w:t>
      </w:r>
      <w:r>
        <w:rPr>
          <w:szCs w:val="22"/>
        </w:rPr>
        <w:t xml:space="preserve">whereby </w:t>
      </w:r>
      <w:r w:rsidRPr="00EF05C4">
        <w:rPr>
          <w:szCs w:val="22"/>
        </w:rPr>
        <w:t xml:space="preserve">the scheduling of substances is routinely followed by the emergence of new substances often posing greater harms from consumption. </w:t>
      </w:r>
      <w:r w:rsidRPr="00AB1237">
        <w:rPr>
          <w:b/>
          <w:bCs/>
          <w:szCs w:val="22"/>
        </w:rPr>
        <w:t>By exacerbating the toxicity of the unregulated drug supply while failing to provide adequate health care services to people who use drugs, Canada is responsible for causing a public health crisis of overdose fatalities</w:t>
      </w:r>
      <w:r w:rsidRPr="00EF05C4">
        <w:rPr>
          <w:szCs w:val="22"/>
        </w:rPr>
        <w:t>.</w:t>
      </w:r>
    </w:p>
    <w:p w14:paraId="5CAA7054" w14:textId="77777777" w:rsidR="005F07D9" w:rsidRPr="00166BCB" w:rsidRDefault="005F07D9" w:rsidP="00166BCB">
      <w:pPr>
        <w:rPr>
          <w:color w:val="202020"/>
          <w:szCs w:val="22"/>
        </w:rPr>
      </w:pPr>
    </w:p>
    <w:p w14:paraId="4B4294FB" w14:textId="36F2FB5D" w:rsidR="005F07D9" w:rsidRPr="003548C5" w:rsidRDefault="005F07D9" w:rsidP="006A7FFC">
      <w:pPr>
        <w:pStyle w:val="ListParagraph"/>
        <w:numPr>
          <w:ilvl w:val="0"/>
          <w:numId w:val="21"/>
        </w:numPr>
        <w:spacing w:line="276" w:lineRule="auto"/>
        <w:rPr>
          <w:szCs w:val="22"/>
          <w:lang w:val="en-CA"/>
        </w:rPr>
      </w:pPr>
      <w:r>
        <w:rPr>
          <w:color w:val="202020"/>
          <w:szCs w:val="22"/>
          <w:lang w:val="en-CA"/>
        </w:rPr>
        <w:t>One key measure to respond to the</w:t>
      </w:r>
      <w:r w:rsidRPr="00EF05C4">
        <w:rPr>
          <w:color w:val="202020"/>
          <w:szCs w:val="22"/>
          <w:lang w:val="en-CA"/>
        </w:rPr>
        <w:t xml:space="preserve"> worsening drug poisoning crisis</w:t>
      </w:r>
      <w:r>
        <w:rPr>
          <w:color w:val="202020"/>
          <w:szCs w:val="22"/>
          <w:lang w:val="en-CA"/>
        </w:rPr>
        <w:t xml:space="preserve"> is</w:t>
      </w:r>
      <w:r w:rsidRPr="00EF05C4">
        <w:rPr>
          <w:color w:val="202020"/>
          <w:szCs w:val="22"/>
          <w:lang w:val="en-CA"/>
        </w:rPr>
        <w:t xml:space="preserve"> to provide a </w:t>
      </w:r>
      <w:r w:rsidRPr="00A97CE1">
        <w:rPr>
          <w:color w:val="202020"/>
          <w:szCs w:val="22"/>
          <w:lang w:val="en-CA"/>
        </w:rPr>
        <w:t xml:space="preserve">safer </w:t>
      </w:r>
      <w:r w:rsidRPr="00A97CE1">
        <w:rPr>
          <w:color w:val="202020"/>
          <w:szCs w:val="22"/>
          <w:lang w:val="en-CA"/>
        </w:rPr>
        <w:lastRenderedPageBreak/>
        <w:t>supply of pharmaceutical grade medications</w:t>
      </w:r>
      <w:r w:rsidRPr="00EF05C4">
        <w:rPr>
          <w:color w:val="202020"/>
          <w:szCs w:val="22"/>
          <w:lang w:val="en-CA"/>
        </w:rPr>
        <w:t xml:space="preserve"> that are of known quality and quantity to people who use drugs.</w:t>
      </w:r>
      <w:r w:rsidRPr="00EF05C4">
        <w:rPr>
          <w:rFonts w:eastAsia="Times New Roman" w:cs="Times New Roman"/>
          <w:lang w:val="en-CA"/>
        </w:rPr>
        <w:t xml:space="preserve"> </w:t>
      </w:r>
      <w:r w:rsidRPr="00EF05C4">
        <w:rPr>
          <w:color w:val="202020"/>
          <w:szCs w:val="22"/>
          <w:lang w:val="en-CA"/>
        </w:rPr>
        <w:t>Evidence indicates that safer supply programs reduce the use of drugs from the unregulated supply a</w:t>
      </w:r>
      <w:r>
        <w:rPr>
          <w:color w:val="202020"/>
          <w:szCs w:val="22"/>
          <w:lang w:val="en-CA"/>
        </w:rPr>
        <w:t>nd</w:t>
      </w:r>
      <w:r w:rsidRPr="00EF05C4">
        <w:rPr>
          <w:color w:val="202020"/>
          <w:szCs w:val="22"/>
          <w:lang w:val="en-CA"/>
        </w:rPr>
        <w:t xml:space="preserve"> the risk of death and overdose</w:t>
      </w:r>
      <w:r>
        <w:rPr>
          <w:color w:val="202020"/>
          <w:szCs w:val="22"/>
          <w:lang w:val="en-CA"/>
        </w:rPr>
        <w:t>;</w:t>
      </w:r>
      <w:r w:rsidRPr="00EF05C4">
        <w:rPr>
          <w:color w:val="202020"/>
          <w:szCs w:val="22"/>
          <w:lang w:val="en-CA"/>
        </w:rPr>
        <w:t xml:space="preserve"> increase engagement and retention in programs and care</w:t>
      </w:r>
      <w:r>
        <w:rPr>
          <w:color w:val="202020"/>
          <w:szCs w:val="22"/>
          <w:lang w:val="en-CA"/>
        </w:rPr>
        <w:t>;</w:t>
      </w:r>
      <w:r w:rsidRPr="00EF05C4">
        <w:rPr>
          <w:color w:val="202020"/>
          <w:szCs w:val="22"/>
          <w:lang w:val="en-CA"/>
        </w:rPr>
        <w:t xml:space="preserve"> improve physical and mental health, as well as social well-being and stability</w:t>
      </w:r>
      <w:r>
        <w:rPr>
          <w:color w:val="202020"/>
          <w:szCs w:val="22"/>
          <w:lang w:val="en-CA"/>
        </w:rPr>
        <w:t>;</w:t>
      </w:r>
      <w:r w:rsidRPr="00EF05C4">
        <w:rPr>
          <w:color w:val="202020"/>
          <w:szCs w:val="22"/>
          <w:lang w:val="en-CA"/>
        </w:rPr>
        <w:t xml:space="preserve"> and are a critical option on the continuum of care for people who use drugs.</w:t>
      </w:r>
      <w:r w:rsidRPr="00A575A5">
        <w:rPr>
          <w:rStyle w:val="EndnoteReference"/>
          <w:color w:val="202020"/>
          <w:szCs w:val="22"/>
        </w:rPr>
        <w:endnoteReference w:id="53"/>
      </w:r>
      <w:r w:rsidRPr="00EF05C4">
        <w:rPr>
          <w:color w:val="202020"/>
          <w:szCs w:val="22"/>
          <w:lang w:val="en-CA"/>
        </w:rPr>
        <w:t xml:space="preserve"> </w:t>
      </w:r>
      <w:r>
        <w:rPr>
          <w:color w:val="202020"/>
          <w:szCs w:val="22"/>
          <w:lang w:val="en-CA"/>
        </w:rPr>
        <w:t xml:space="preserve">In one study, there </w:t>
      </w:r>
      <w:r w:rsidRPr="00D40D92">
        <w:rPr>
          <w:color w:val="202020"/>
          <w:szCs w:val="22"/>
          <w:lang w:val="en-CA"/>
        </w:rPr>
        <w:t>was a 55</w:t>
      </w:r>
      <w:r>
        <w:rPr>
          <w:color w:val="202020"/>
          <w:szCs w:val="22"/>
          <w:lang w:val="en-CA"/>
        </w:rPr>
        <w:t xml:space="preserve">% </w:t>
      </w:r>
      <w:r w:rsidRPr="00D40D92">
        <w:rPr>
          <w:color w:val="202020"/>
          <w:szCs w:val="22"/>
          <w:lang w:val="en-CA"/>
        </w:rPr>
        <w:t>reduced risk of overdose death in the week after receiving at least one dispensation of safe</w:t>
      </w:r>
      <w:r>
        <w:rPr>
          <w:color w:val="202020"/>
          <w:szCs w:val="22"/>
          <w:lang w:val="en-CA"/>
        </w:rPr>
        <w:t xml:space="preserve"> </w:t>
      </w:r>
      <w:r w:rsidRPr="00D40D92">
        <w:rPr>
          <w:color w:val="202020"/>
          <w:szCs w:val="22"/>
          <w:lang w:val="en-CA"/>
        </w:rPr>
        <w:t>supply opioids</w:t>
      </w:r>
      <w:r>
        <w:rPr>
          <w:color w:val="202020"/>
          <w:szCs w:val="22"/>
          <w:lang w:val="en-CA"/>
        </w:rPr>
        <w:t>, while f</w:t>
      </w:r>
      <w:r w:rsidRPr="00D40D92">
        <w:rPr>
          <w:color w:val="202020"/>
          <w:szCs w:val="22"/>
          <w:lang w:val="en-CA"/>
        </w:rPr>
        <w:t>our or more dispensations were associated with a 91</w:t>
      </w:r>
      <w:r>
        <w:rPr>
          <w:color w:val="202020"/>
          <w:szCs w:val="22"/>
          <w:lang w:val="en-CA"/>
        </w:rPr>
        <w:t xml:space="preserve">% </w:t>
      </w:r>
      <w:r w:rsidRPr="00D40D92">
        <w:rPr>
          <w:color w:val="202020"/>
          <w:szCs w:val="22"/>
          <w:lang w:val="en-CA"/>
        </w:rPr>
        <w:t>reduction in risk of death in the following week.</w:t>
      </w:r>
      <w:r>
        <w:rPr>
          <w:rStyle w:val="EndnoteReference"/>
          <w:color w:val="202020"/>
          <w:szCs w:val="22"/>
          <w:lang w:val="en-CA"/>
        </w:rPr>
        <w:endnoteReference w:id="54"/>
      </w:r>
      <w:r>
        <w:rPr>
          <w:color w:val="202020"/>
          <w:szCs w:val="22"/>
          <w:lang w:val="en-CA"/>
        </w:rPr>
        <w:t xml:space="preserve"> </w:t>
      </w:r>
    </w:p>
    <w:p w14:paraId="545A46B6" w14:textId="77777777" w:rsidR="005F07D9" w:rsidRPr="003548C5" w:rsidRDefault="005F07D9" w:rsidP="003548C5">
      <w:pPr>
        <w:pStyle w:val="ListParagraph"/>
        <w:rPr>
          <w:color w:val="202020"/>
          <w:szCs w:val="22"/>
          <w:lang w:val="en-CA"/>
        </w:rPr>
      </w:pPr>
    </w:p>
    <w:p w14:paraId="3935ED4C" w14:textId="18C51EEE" w:rsidR="005F07D9" w:rsidRPr="00480099" w:rsidRDefault="005F07D9" w:rsidP="006A7FFC">
      <w:pPr>
        <w:pStyle w:val="ListParagraph"/>
        <w:numPr>
          <w:ilvl w:val="0"/>
          <w:numId w:val="21"/>
        </w:numPr>
        <w:spacing w:line="276" w:lineRule="auto"/>
        <w:rPr>
          <w:szCs w:val="22"/>
          <w:lang w:val="en-CA"/>
        </w:rPr>
      </w:pPr>
      <w:r w:rsidRPr="00EF05C4">
        <w:rPr>
          <w:color w:val="202020"/>
          <w:szCs w:val="22"/>
          <w:lang w:val="en-CA"/>
        </w:rPr>
        <w:t xml:space="preserve">Yet </w:t>
      </w:r>
      <w:r>
        <w:rPr>
          <w:color w:val="202020"/>
          <w:szCs w:val="22"/>
          <w:lang w:val="en-CA"/>
        </w:rPr>
        <w:t>extremely</w:t>
      </w:r>
      <w:r w:rsidRPr="00EF05C4">
        <w:rPr>
          <w:color w:val="202020"/>
          <w:szCs w:val="22"/>
          <w:lang w:val="en-CA"/>
        </w:rPr>
        <w:t xml:space="preserve"> limited capacity as well as barriers to entry</w:t>
      </w:r>
      <w:r w:rsidRPr="00A575A5">
        <w:rPr>
          <w:rStyle w:val="EndnoteReference"/>
          <w:color w:val="202020"/>
          <w:szCs w:val="22"/>
        </w:rPr>
        <w:endnoteReference w:id="55"/>
      </w:r>
      <w:r w:rsidRPr="00EF05C4">
        <w:rPr>
          <w:color w:val="202020"/>
          <w:szCs w:val="22"/>
          <w:lang w:val="en-CA"/>
        </w:rPr>
        <w:t xml:space="preserve"> leave </w:t>
      </w:r>
      <w:r w:rsidRPr="00EF05C4">
        <w:rPr>
          <w:bCs/>
          <w:color w:val="202020"/>
          <w:szCs w:val="22"/>
          <w:lang w:val="en-CA"/>
        </w:rPr>
        <w:t>most people who use drugs</w:t>
      </w:r>
      <w:r w:rsidRPr="00EF05C4">
        <w:rPr>
          <w:color w:val="202020"/>
          <w:szCs w:val="22"/>
          <w:lang w:val="en-CA"/>
        </w:rPr>
        <w:t xml:space="preserve"> to </w:t>
      </w:r>
      <w:r w:rsidRPr="00EF05C4">
        <w:rPr>
          <w:szCs w:val="22"/>
          <w:lang w:val="en-CA"/>
        </w:rPr>
        <w:t xml:space="preserve">rely on an unregulated supply, </w:t>
      </w:r>
      <w:r>
        <w:rPr>
          <w:szCs w:val="22"/>
          <w:lang w:val="en-CA"/>
        </w:rPr>
        <w:t>resulting in</w:t>
      </w:r>
      <w:r w:rsidRPr="00EF05C4">
        <w:rPr>
          <w:szCs w:val="22"/>
          <w:lang w:val="en-CA"/>
        </w:rPr>
        <w:t xml:space="preserve"> a </w:t>
      </w:r>
      <w:r w:rsidRPr="00EF05C4">
        <w:rPr>
          <w:color w:val="202020"/>
          <w:szCs w:val="22"/>
          <w:lang w:val="en-CA"/>
        </w:rPr>
        <w:t>staggering loss of life due to overdose fatalities.</w:t>
      </w:r>
      <w:r w:rsidRPr="00EF05C4">
        <w:rPr>
          <w:szCs w:val="22"/>
          <w:lang w:val="en-CA"/>
        </w:rPr>
        <w:t xml:space="preserve"> </w:t>
      </w:r>
      <w:r>
        <w:rPr>
          <w:szCs w:val="22"/>
          <w:lang w:val="en-CA"/>
        </w:rPr>
        <w:t xml:space="preserve">Moreover, </w:t>
      </w:r>
      <w:r w:rsidRPr="00EF05C4">
        <w:rPr>
          <w:lang w:val="en-CA"/>
        </w:rPr>
        <w:t xml:space="preserve">Canada has yet to expand access to a regulated supply by engaging in the </w:t>
      </w:r>
      <w:r w:rsidRPr="00A97CE1">
        <w:rPr>
          <w:bCs/>
          <w:lang w:val="en-CA"/>
        </w:rPr>
        <w:t>legalization and regulation of controlled substances</w:t>
      </w:r>
      <w:r w:rsidRPr="00EF05C4">
        <w:rPr>
          <w:lang w:val="en-CA"/>
        </w:rPr>
        <w:t xml:space="preserve"> as part of a public health approach to drug policy, despite recommendations in 2021 from Canada’s own</w:t>
      </w:r>
      <w:r w:rsidRPr="00694D90">
        <w:t xml:space="preserve"> </w:t>
      </w:r>
      <w:r w:rsidRPr="00EF05C4">
        <w:rPr>
          <w:lang w:val="en-CA"/>
        </w:rPr>
        <w:t>Expert Task Force on Substance Use to do so.</w:t>
      </w:r>
      <w:r>
        <w:rPr>
          <w:rStyle w:val="EndnoteReference"/>
        </w:rPr>
        <w:endnoteReference w:id="56"/>
      </w:r>
      <w:r>
        <w:rPr>
          <w:lang w:val="en-CA"/>
        </w:rPr>
        <w:t xml:space="preserve"> </w:t>
      </w:r>
    </w:p>
    <w:p w14:paraId="0749D970" w14:textId="77777777" w:rsidR="005F07D9" w:rsidRPr="00A97CE1" w:rsidRDefault="005F07D9" w:rsidP="00A97CE1">
      <w:pPr>
        <w:rPr>
          <w:szCs w:val="22"/>
        </w:rPr>
      </w:pPr>
    </w:p>
    <w:p w14:paraId="42E6EFB5" w14:textId="09FCD378" w:rsidR="005F07D9" w:rsidRPr="00E21B40" w:rsidRDefault="005F07D9" w:rsidP="006A7FFC">
      <w:pPr>
        <w:pStyle w:val="ListParagraph"/>
        <w:numPr>
          <w:ilvl w:val="0"/>
          <w:numId w:val="21"/>
        </w:numPr>
        <w:spacing w:line="276" w:lineRule="auto"/>
        <w:rPr>
          <w:szCs w:val="22"/>
          <w:lang w:val="en-CA"/>
        </w:rPr>
      </w:pPr>
      <w:r w:rsidRPr="00EF05C4">
        <w:rPr>
          <w:szCs w:val="22"/>
        </w:rPr>
        <w:t xml:space="preserve">Another key measure to address Canada’s drug poisoning crisis is </w:t>
      </w:r>
      <w:r w:rsidRPr="00A97CE1">
        <w:rPr>
          <w:szCs w:val="22"/>
        </w:rPr>
        <w:t>supervised consumption services</w:t>
      </w:r>
      <w:r w:rsidRPr="00EF05C4">
        <w:rPr>
          <w:b/>
          <w:bCs/>
          <w:szCs w:val="22"/>
        </w:rPr>
        <w:t xml:space="preserve"> </w:t>
      </w:r>
      <w:r w:rsidRPr="00EF05C4">
        <w:rPr>
          <w:szCs w:val="22"/>
        </w:rPr>
        <w:t>(SCS), which are settings that provide a safe, hygienic environment where people can use drugs under the supervision of trained staff or volunteers to prevent the transmission of infections and overdose-related deaths. Evidence demonstrate that SCS reduce the risk of accidental overdose because people are not rushing or using alone</w:t>
      </w:r>
      <w:r>
        <w:rPr>
          <w:szCs w:val="22"/>
        </w:rPr>
        <w:t>;</w:t>
      </w:r>
      <w:r w:rsidRPr="00EF05C4">
        <w:rPr>
          <w:szCs w:val="22"/>
        </w:rPr>
        <w:t xml:space="preserve"> connect people to social services</w:t>
      </w:r>
      <w:r>
        <w:rPr>
          <w:szCs w:val="22"/>
        </w:rPr>
        <w:t>;</w:t>
      </w:r>
      <w:r w:rsidRPr="00EF05C4">
        <w:rPr>
          <w:szCs w:val="22"/>
        </w:rPr>
        <w:t xml:space="preserve"> provide or connect people to healthcare and treatment</w:t>
      </w:r>
      <w:r>
        <w:rPr>
          <w:szCs w:val="22"/>
        </w:rPr>
        <w:t>;</w:t>
      </w:r>
      <w:r w:rsidRPr="00EF05C4">
        <w:rPr>
          <w:szCs w:val="22"/>
        </w:rPr>
        <w:t xml:space="preserve"> reduce public drug use and discarded drug equipment</w:t>
      </w:r>
      <w:r>
        <w:rPr>
          <w:szCs w:val="22"/>
        </w:rPr>
        <w:t>;</w:t>
      </w:r>
      <w:r w:rsidRPr="00EF05C4">
        <w:rPr>
          <w:szCs w:val="22"/>
        </w:rPr>
        <w:t xml:space="preserve"> prevent HIV and HCV transmission</w:t>
      </w:r>
      <w:r>
        <w:rPr>
          <w:szCs w:val="22"/>
        </w:rPr>
        <w:t>;</w:t>
      </w:r>
      <w:r w:rsidRPr="00EF05C4">
        <w:rPr>
          <w:szCs w:val="22"/>
        </w:rPr>
        <w:t xml:space="preserve"> reduce strain on emergency medical services</w:t>
      </w:r>
      <w:r>
        <w:rPr>
          <w:szCs w:val="22"/>
        </w:rPr>
        <w:t>;</w:t>
      </w:r>
      <w:r w:rsidRPr="00EF05C4">
        <w:rPr>
          <w:szCs w:val="22"/>
        </w:rPr>
        <w:t xml:space="preserve"> and provide space for people to connect with staff and peers.</w:t>
      </w:r>
      <w:r w:rsidRPr="00461E85">
        <w:rPr>
          <w:rStyle w:val="EndnoteReference"/>
          <w:szCs w:val="22"/>
        </w:rPr>
        <w:endnoteReference w:id="57"/>
      </w:r>
      <w:r w:rsidRPr="00EF05C4">
        <w:rPr>
          <w:szCs w:val="22"/>
        </w:rPr>
        <w:t xml:space="preserve"> SCS can also provide a refuge from various forms of violence that women who use drugs may experience on the street.</w:t>
      </w:r>
      <w:r w:rsidRPr="00461E85">
        <w:rPr>
          <w:rStyle w:val="EndnoteReference"/>
          <w:szCs w:val="22"/>
        </w:rPr>
        <w:endnoteReference w:id="58"/>
      </w:r>
      <w:r w:rsidRPr="00EF05C4">
        <w:rPr>
          <w:szCs w:val="22"/>
        </w:rPr>
        <w:t xml:space="preserve"> </w:t>
      </w:r>
    </w:p>
    <w:p w14:paraId="3086BB36" w14:textId="77777777" w:rsidR="005F07D9" w:rsidRPr="00E21B40" w:rsidRDefault="005F07D9" w:rsidP="00E21B40">
      <w:pPr>
        <w:pStyle w:val="ListParagraph"/>
        <w:rPr>
          <w:szCs w:val="22"/>
        </w:rPr>
      </w:pPr>
    </w:p>
    <w:p w14:paraId="0A28728E" w14:textId="0D2CA8DC" w:rsidR="005F07D9" w:rsidRPr="00884612" w:rsidRDefault="005F07D9" w:rsidP="00980FC0">
      <w:pPr>
        <w:pStyle w:val="ListParagraph"/>
        <w:numPr>
          <w:ilvl w:val="0"/>
          <w:numId w:val="21"/>
        </w:numPr>
        <w:spacing w:line="276" w:lineRule="auto"/>
        <w:rPr>
          <w:szCs w:val="22"/>
          <w:lang w:val="en-CA"/>
        </w:rPr>
      </w:pPr>
      <w:r w:rsidRPr="00884612">
        <w:rPr>
          <w:szCs w:val="22"/>
        </w:rPr>
        <w:t>While a growing number of SCS are being implemented across the country,</w:t>
      </w:r>
      <w:r w:rsidRPr="00884612">
        <w:rPr>
          <w:rStyle w:val="EndnoteReference"/>
          <w:szCs w:val="22"/>
          <w:lang w:val="en-CA"/>
        </w:rPr>
        <w:t xml:space="preserve"> </w:t>
      </w:r>
      <w:r>
        <w:rPr>
          <w:szCs w:val="22"/>
        </w:rPr>
        <w:t xml:space="preserve">significant </w:t>
      </w:r>
      <w:r w:rsidRPr="00884612">
        <w:rPr>
          <w:szCs w:val="22"/>
        </w:rPr>
        <w:t>gaps in coverage persist, driven in part by onerous requirements for every site to obtain a federal exemption to operate, hostile provincial and local governments, and limited access to funding.</w:t>
      </w:r>
      <w:r w:rsidRPr="00461E85">
        <w:rPr>
          <w:rStyle w:val="EndnoteReference"/>
          <w:szCs w:val="22"/>
        </w:rPr>
        <w:endnoteReference w:id="59"/>
      </w:r>
      <w:r w:rsidRPr="00884612">
        <w:rPr>
          <w:szCs w:val="22"/>
        </w:rPr>
        <w:t xml:space="preserve"> As a result, community members have been forced to implement unsanctioned sites to save lives.</w:t>
      </w:r>
      <w:r w:rsidRPr="00461E85">
        <w:rPr>
          <w:rStyle w:val="EndnoteReference"/>
          <w:szCs w:val="22"/>
        </w:rPr>
        <w:endnoteReference w:id="60"/>
      </w:r>
      <w:r w:rsidRPr="00884612">
        <w:rPr>
          <w:szCs w:val="22"/>
        </w:rPr>
        <w:t xml:space="preserve"> Restrictions on inhalation services (which in some provinces is the route of consumption that has resulted in most overdose deaths)</w:t>
      </w:r>
      <w:r w:rsidRPr="00461E85">
        <w:rPr>
          <w:rStyle w:val="EndnoteReference"/>
          <w:szCs w:val="22"/>
        </w:rPr>
        <w:endnoteReference w:id="61"/>
      </w:r>
      <w:r w:rsidRPr="00884612">
        <w:rPr>
          <w:szCs w:val="22"/>
        </w:rPr>
        <w:t xml:space="preserve"> and on assisted injection (i.e. administered by SCS staff) imposed by the criminalization of trafficking also deter people from accessing the service. </w:t>
      </w:r>
    </w:p>
    <w:p w14:paraId="730BE193" w14:textId="77777777" w:rsidR="005F07D9" w:rsidRPr="00884612" w:rsidRDefault="005F07D9" w:rsidP="00884612">
      <w:pPr>
        <w:spacing w:line="276" w:lineRule="auto"/>
        <w:rPr>
          <w:szCs w:val="22"/>
        </w:rPr>
      </w:pPr>
    </w:p>
    <w:p w14:paraId="5BA27FF2" w14:textId="584FFC69" w:rsidR="005F07D9" w:rsidRDefault="005F07D9" w:rsidP="006A7FFC">
      <w:pPr>
        <w:pStyle w:val="ListParagraph"/>
        <w:numPr>
          <w:ilvl w:val="0"/>
          <w:numId w:val="21"/>
        </w:numPr>
        <w:spacing w:line="276" w:lineRule="auto"/>
        <w:rPr>
          <w:szCs w:val="22"/>
          <w:lang w:val="en-CA"/>
        </w:rPr>
      </w:pPr>
      <w:r w:rsidRPr="00460A3E">
        <w:rPr>
          <w:szCs w:val="22"/>
        </w:rPr>
        <w:t>In addition to the harms of drug prohibition outlined above, the criminalization of people who use drugs</w:t>
      </w:r>
      <w:r w:rsidR="005B52EB">
        <w:rPr>
          <w:szCs w:val="22"/>
        </w:rPr>
        <w:t>,</w:t>
      </w:r>
      <w:r w:rsidRPr="00460A3E">
        <w:rPr>
          <w:szCs w:val="22"/>
        </w:rPr>
        <w:t xml:space="preserve"> including</w:t>
      </w:r>
      <w:r>
        <w:rPr>
          <w:szCs w:val="22"/>
        </w:rPr>
        <w:t xml:space="preserve"> via prohibitions on</w:t>
      </w:r>
      <w:r w:rsidRPr="00460A3E">
        <w:rPr>
          <w:szCs w:val="22"/>
        </w:rPr>
        <w:t xml:space="preserve"> drug possession for personal use</w:t>
      </w:r>
      <w:r w:rsidR="005B52EB">
        <w:rPr>
          <w:szCs w:val="22"/>
        </w:rPr>
        <w:t>,</w:t>
      </w:r>
      <w:r w:rsidRPr="00460A3E">
        <w:rPr>
          <w:szCs w:val="22"/>
        </w:rPr>
        <w:t xml:space="preserve"> pushes </w:t>
      </w:r>
      <w:r w:rsidRPr="00460A3E">
        <w:rPr>
          <w:color w:val="202020"/>
          <w:szCs w:val="22"/>
        </w:rPr>
        <w:t>people to use their drugs in isolation, compromises their ability to take vital safety precautions, and deters people from essential health care and harm reduction services.</w:t>
      </w:r>
      <w:r w:rsidRPr="00BC1412">
        <w:rPr>
          <w:rStyle w:val="EndnoteReference"/>
          <w:color w:val="202020"/>
          <w:szCs w:val="22"/>
        </w:rPr>
        <w:endnoteReference w:id="62"/>
      </w:r>
      <w:r w:rsidRPr="00460A3E">
        <w:rPr>
          <w:color w:val="202020"/>
          <w:szCs w:val="22"/>
        </w:rPr>
        <w:t xml:space="preserve"> In Canada, </w:t>
      </w:r>
      <w:r w:rsidRPr="00460A3E">
        <w:rPr>
          <w:szCs w:val="22"/>
        </w:rPr>
        <w:t>Black and Indigenous people in Canada are disproportionately charged, prosecuted, and incarcerated for drug offences</w:t>
      </w:r>
      <w:r>
        <w:rPr>
          <w:szCs w:val="22"/>
        </w:rPr>
        <w:t>.</w:t>
      </w:r>
      <w:r w:rsidRPr="00A575A5">
        <w:rPr>
          <w:rStyle w:val="EndnoteReference"/>
          <w:szCs w:val="22"/>
        </w:rPr>
        <w:endnoteReference w:id="63"/>
      </w:r>
      <w:r w:rsidRPr="00460A3E">
        <w:rPr>
          <w:szCs w:val="22"/>
        </w:rPr>
        <w:t xml:space="preserve"> </w:t>
      </w:r>
      <w:r>
        <w:rPr>
          <w:szCs w:val="22"/>
        </w:rPr>
        <w:t>In prison, their risk of HIV and HCV infection and overdose also increases, given that</w:t>
      </w:r>
      <w:r w:rsidRPr="00480099">
        <w:rPr>
          <w:szCs w:val="22"/>
          <w:lang w:val="en-CA"/>
        </w:rPr>
        <w:t xml:space="preserve"> few if any prisons in Canada offer critical </w:t>
      </w:r>
      <w:r>
        <w:rPr>
          <w:szCs w:val="22"/>
          <w:lang w:val="en-CA"/>
        </w:rPr>
        <w:t xml:space="preserve">harm reduction and </w:t>
      </w:r>
      <w:r w:rsidRPr="00480099">
        <w:rPr>
          <w:szCs w:val="22"/>
          <w:lang w:val="en-CA"/>
        </w:rPr>
        <w:t xml:space="preserve">overdose prevention measures, </w:t>
      </w:r>
      <w:r>
        <w:rPr>
          <w:szCs w:val="22"/>
          <w:lang w:val="en-CA"/>
        </w:rPr>
        <w:t xml:space="preserve">including needle and syringe distribution programs, SCS, </w:t>
      </w:r>
      <w:r>
        <w:rPr>
          <w:szCs w:val="22"/>
          <w:lang w:val="en-CA"/>
        </w:rPr>
        <w:lastRenderedPageBreak/>
        <w:t xml:space="preserve">and safe supply, </w:t>
      </w:r>
      <w:r w:rsidRPr="00480099">
        <w:rPr>
          <w:szCs w:val="22"/>
          <w:lang w:val="en-CA"/>
        </w:rPr>
        <w:t xml:space="preserve">despite </w:t>
      </w:r>
      <w:r>
        <w:rPr>
          <w:szCs w:val="22"/>
          <w:lang w:val="en-CA"/>
        </w:rPr>
        <w:t xml:space="preserve">far higher rates of HIV and HCV and </w:t>
      </w:r>
      <w:r w:rsidRPr="00480099">
        <w:rPr>
          <w:szCs w:val="22"/>
          <w:lang w:val="en-CA"/>
        </w:rPr>
        <w:t>dramatic recent increases of deaths in custody.</w:t>
      </w:r>
      <w:r>
        <w:rPr>
          <w:rStyle w:val="EndnoteReference"/>
          <w:szCs w:val="22"/>
        </w:rPr>
        <w:endnoteReference w:id="64"/>
      </w:r>
      <w:r w:rsidRPr="00480099">
        <w:rPr>
          <w:szCs w:val="22"/>
          <w:lang w:val="en-CA"/>
        </w:rPr>
        <w:t xml:space="preserve"> </w:t>
      </w:r>
    </w:p>
    <w:p w14:paraId="04134E8B" w14:textId="77777777" w:rsidR="005F07D9" w:rsidRPr="009A1414" w:rsidRDefault="005F07D9" w:rsidP="009A1414">
      <w:pPr>
        <w:pStyle w:val="ListParagraph"/>
        <w:rPr>
          <w:szCs w:val="22"/>
          <w:lang w:val="en-CA"/>
        </w:rPr>
      </w:pPr>
    </w:p>
    <w:p w14:paraId="048809EB" w14:textId="0BEAD2C1" w:rsidR="005F07D9" w:rsidRPr="00460A3E" w:rsidRDefault="005F07D9" w:rsidP="006A7FFC">
      <w:pPr>
        <w:pStyle w:val="ListParagraph"/>
        <w:numPr>
          <w:ilvl w:val="0"/>
          <w:numId w:val="21"/>
        </w:numPr>
        <w:spacing w:line="276" w:lineRule="auto"/>
        <w:rPr>
          <w:szCs w:val="22"/>
          <w:lang w:val="en-CA"/>
        </w:rPr>
      </w:pPr>
      <w:proofErr w:type="gramStart"/>
      <w:r w:rsidRPr="00480099">
        <w:rPr>
          <w:szCs w:val="22"/>
          <w:lang w:val="en-CA"/>
        </w:rPr>
        <w:t>The vast majority</w:t>
      </w:r>
      <w:r>
        <w:rPr>
          <w:szCs w:val="22"/>
          <w:lang w:val="en-CA"/>
        </w:rPr>
        <w:t xml:space="preserve"> of</w:t>
      </w:r>
      <w:proofErr w:type="gramEnd"/>
      <w:r>
        <w:rPr>
          <w:szCs w:val="22"/>
          <w:lang w:val="en-CA"/>
        </w:rPr>
        <w:t xml:space="preserve"> prisons</w:t>
      </w:r>
      <w:r w:rsidRPr="00480099">
        <w:rPr>
          <w:szCs w:val="22"/>
          <w:lang w:val="en-CA"/>
        </w:rPr>
        <w:t xml:space="preserve"> also deny people in prison immediate access to </w:t>
      </w:r>
      <w:r w:rsidRPr="004F4CED">
        <w:rPr>
          <w:szCs w:val="22"/>
          <w:lang w:val="en-CA"/>
        </w:rPr>
        <w:t>naloxone,</w:t>
      </w:r>
      <w:r w:rsidRPr="00480099">
        <w:rPr>
          <w:szCs w:val="22"/>
          <w:lang w:val="en-CA"/>
        </w:rPr>
        <w:t xml:space="preserve"> an exceedingly safe medication that </w:t>
      </w:r>
      <w:r w:rsidRPr="00480099">
        <w:rPr>
          <w:szCs w:val="22"/>
          <w:shd w:val="clear" w:color="auto" w:fill="FFFFFF"/>
          <w:lang w:val="en-CA"/>
        </w:rPr>
        <w:t>can temporarily reverse an opioid overdose.</w:t>
      </w:r>
      <w:r w:rsidRPr="00461E85">
        <w:rPr>
          <w:rStyle w:val="EndnoteReference"/>
          <w:szCs w:val="22"/>
          <w:shd w:val="clear" w:color="auto" w:fill="FFFFFF"/>
        </w:rPr>
        <w:endnoteReference w:id="65"/>
      </w:r>
      <w:r w:rsidRPr="00480099">
        <w:rPr>
          <w:szCs w:val="22"/>
          <w:shd w:val="clear" w:color="auto" w:fill="FFFFFF"/>
          <w:lang w:val="en-CA"/>
        </w:rPr>
        <w:t xml:space="preserve"> Most provinces across Canada offer free, unrestricted access to naloxone through first line responders, health centres, and pharmacies.</w:t>
      </w:r>
      <w:r w:rsidRPr="00461E85">
        <w:rPr>
          <w:rStyle w:val="EndnoteReference"/>
          <w:szCs w:val="22"/>
          <w:shd w:val="clear" w:color="auto" w:fill="FFFFFF"/>
        </w:rPr>
        <w:endnoteReference w:id="66"/>
      </w:r>
      <w:r w:rsidRPr="00480099">
        <w:rPr>
          <w:szCs w:val="22"/>
          <w:shd w:val="clear" w:color="auto" w:fill="FFFFFF"/>
          <w:lang w:val="en-CA"/>
        </w:rPr>
        <w:t xml:space="preserve"> Yet </w:t>
      </w:r>
      <w:r>
        <w:rPr>
          <w:szCs w:val="22"/>
          <w:shd w:val="clear" w:color="auto" w:fill="FFFFFF"/>
          <w:lang w:val="en-CA"/>
        </w:rPr>
        <w:t>incarcerated people</w:t>
      </w:r>
      <w:r w:rsidRPr="00480099">
        <w:rPr>
          <w:szCs w:val="22"/>
          <w:shd w:val="clear" w:color="auto" w:fill="FFFFFF"/>
          <w:lang w:val="en-CA"/>
        </w:rPr>
        <w:t xml:space="preserve"> in Canada do not receive the same standard of care. In most prisons, naloxone is only accessible to prison health care or security staff and prisoners are not permitted to have naloxone kits inside their cells in the event their cellmates suffer an opioid overdose. Correctional health care staff will not always be immediately available in overdose situations, yet the time taken to respond to an opioid overdose can mean the difference between life and death. </w:t>
      </w:r>
    </w:p>
    <w:p w14:paraId="09D6BD7A" w14:textId="77777777" w:rsidR="005F07D9" w:rsidRPr="00460A3E" w:rsidRDefault="005F07D9" w:rsidP="00460A3E">
      <w:pPr>
        <w:pStyle w:val="ListParagraph"/>
        <w:rPr>
          <w:szCs w:val="22"/>
          <w:lang w:val="en-CA"/>
        </w:rPr>
      </w:pPr>
    </w:p>
    <w:p w14:paraId="7FE0FC96" w14:textId="32304D89" w:rsidR="005F07D9" w:rsidRPr="00291D6B" w:rsidRDefault="005F07D9" w:rsidP="00291D6B">
      <w:pPr>
        <w:pStyle w:val="ListParagraph"/>
        <w:numPr>
          <w:ilvl w:val="0"/>
          <w:numId w:val="21"/>
        </w:numPr>
        <w:spacing w:line="276" w:lineRule="auto"/>
        <w:rPr>
          <w:szCs w:val="22"/>
          <w:lang w:val="en-CA"/>
        </w:rPr>
      </w:pPr>
      <w:r w:rsidRPr="003B1446">
        <w:t xml:space="preserve">Access to harm reduction </w:t>
      </w:r>
      <w:r>
        <w:t>is</w:t>
      </w:r>
      <w:r w:rsidRPr="003B1446">
        <w:t xml:space="preserve"> inherent in the right to health</w:t>
      </w:r>
      <w:r>
        <w:t>, and</w:t>
      </w:r>
      <w:r w:rsidRPr="003B1446">
        <w:t xml:space="preserve"> recognized in </w:t>
      </w:r>
      <w:r>
        <w:t xml:space="preserve">numerous international </w:t>
      </w:r>
      <w:r w:rsidRPr="003B1446">
        <w:t>instruments.</w:t>
      </w:r>
      <w:r w:rsidRPr="003B1446">
        <w:rPr>
          <w:vertAlign w:val="superscript"/>
        </w:rPr>
        <w:endnoteReference w:id="67"/>
      </w:r>
      <w:r>
        <w:t xml:space="preserve"> As noted in </w:t>
      </w:r>
      <w:r w:rsidRPr="002C5C38">
        <w:t>the</w:t>
      </w:r>
      <w:r w:rsidRPr="00D81A95">
        <w:rPr>
          <w:i/>
          <w:iCs/>
        </w:rPr>
        <w:t xml:space="preserve"> International Guidelines on Human Rights and Drug Policy</w:t>
      </w:r>
      <w:r>
        <w:t>, S</w:t>
      </w:r>
      <w:r w:rsidRPr="002865E9">
        <w:rPr>
          <w:szCs w:val="22"/>
        </w:rPr>
        <w:t xml:space="preserve">tates have a legal obligation to provide </w:t>
      </w:r>
      <w:r>
        <w:rPr>
          <w:szCs w:val="22"/>
        </w:rPr>
        <w:t>harm reduction services such as needle and syringe programs, SCS, and naloxone</w:t>
      </w:r>
      <w:r w:rsidRPr="002865E9">
        <w:rPr>
          <w:szCs w:val="22"/>
        </w:rPr>
        <w:t xml:space="preserve"> </w:t>
      </w:r>
      <w:r>
        <w:rPr>
          <w:szCs w:val="22"/>
        </w:rPr>
        <w:t>“</w:t>
      </w:r>
      <w:r w:rsidRPr="002865E9">
        <w:rPr>
          <w:szCs w:val="22"/>
        </w:rPr>
        <w:t xml:space="preserve">to progressively </w:t>
      </w:r>
      <w:proofErr w:type="spellStart"/>
      <w:r w:rsidRPr="002865E9">
        <w:rPr>
          <w:szCs w:val="22"/>
        </w:rPr>
        <w:t>realise</w:t>
      </w:r>
      <w:proofErr w:type="spellEnd"/>
      <w:r w:rsidRPr="002865E9">
        <w:rPr>
          <w:szCs w:val="22"/>
        </w:rPr>
        <w:t xml:space="preserve"> the right to health and to ensure that people who use drugs may equally benefit from scientific progress and its applications … Ensuring access to harm reduction services is also critical for protecting the right to life.”</w:t>
      </w:r>
      <w:r>
        <w:rPr>
          <w:rStyle w:val="EndnoteReference"/>
          <w:szCs w:val="22"/>
        </w:rPr>
        <w:endnoteReference w:id="68"/>
      </w:r>
      <w:r w:rsidRPr="002865E9">
        <w:rPr>
          <w:szCs w:val="22"/>
        </w:rPr>
        <w:t xml:space="preserve"> </w:t>
      </w:r>
      <w:r w:rsidRPr="00326E4C">
        <w:rPr>
          <w:szCs w:val="22"/>
          <w:lang w:val="en-CA"/>
        </w:rPr>
        <w:t xml:space="preserve">The Special Rapporteur on the right to health has </w:t>
      </w:r>
      <w:r>
        <w:rPr>
          <w:szCs w:val="22"/>
          <w:lang w:val="en-CA"/>
        </w:rPr>
        <w:t xml:space="preserve">also </w:t>
      </w:r>
      <w:r w:rsidRPr="00326E4C">
        <w:rPr>
          <w:szCs w:val="22"/>
          <w:lang w:val="en-CA"/>
        </w:rPr>
        <w:t xml:space="preserve">recommended that harm reduction services, including needle and syringe programs, naloxone distribution, and </w:t>
      </w:r>
      <w:r>
        <w:rPr>
          <w:szCs w:val="22"/>
          <w:lang w:val="en-CA"/>
        </w:rPr>
        <w:t>SCS</w:t>
      </w:r>
      <w:r w:rsidRPr="00326E4C">
        <w:rPr>
          <w:szCs w:val="22"/>
          <w:lang w:val="en-CA"/>
        </w:rPr>
        <w:t xml:space="preserve"> be acknowledged as key services which are essential for the protection of the right to health of people who use drugs</w:t>
      </w:r>
      <w:r>
        <w:rPr>
          <w:szCs w:val="22"/>
          <w:lang w:val="en-CA"/>
        </w:rPr>
        <w:t>.</w:t>
      </w:r>
      <w:r>
        <w:rPr>
          <w:rStyle w:val="EndnoteReference"/>
          <w:szCs w:val="22"/>
          <w:lang w:val="en-CA"/>
        </w:rPr>
        <w:endnoteReference w:id="69"/>
      </w:r>
      <w:r>
        <w:rPr>
          <w:szCs w:val="22"/>
          <w:lang w:val="en-CA"/>
        </w:rPr>
        <w:t xml:space="preserve"> </w:t>
      </w:r>
      <w:r w:rsidRPr="002865E9">
        <w:rPr>
          <w:szCs w:val="22"/>
        </w:rPr>
        <w:t xml:space="preserve">UN human rights treaty bodies have </w:t>
      </w:r>
      <w:r>
        <w:rPr>
          <w:szCs w:val="22"/>
        </w:rPr>
        <w:t xml:space="preserve">also </w:t>
      </w:r>
      <w:r w:rsidRPr="002865E9">
        <w:rPr>
          <w:szCs w:val="22"/>
        </w:rPr>
        <w:t>repeatedly called on States to adopt and implement culturally appropriate and gender-sensitive harm reduction services</w:t>
      </w:r>
      <w:r>
        <w:rPr>
          <w:szCs w:val="22"/>
        </w:rPr>
        <w:t xml:space="preserve"> and</w:t>
      </w:r>
      <w:r w:rsidRPr="002865E9">
        <w:rPr>
          <w:szCs w:val="22"/>
        </w:rPr>
        <w:t xml:space="preserve"> to ensure access to these services in prison</w:t>
      </w:r>
      <w:r>
        <w:rPr>
          <w:szCs w:val="22"/>
        </w:rPr>
        <w:t xml:space="preserve"> </w:t>
      </w:r>
      <w:r w:rsidRPr="002865E9">
        <w:rPr>
          <w:szCs w:val="22"/>
        </w:rPr>
        <w:t>in order to meet their obligations to protect the right to health</w:t>
      </w:r>
      <w:r>
        <w:rPr>
          <w:szCs w:val="22"/>
        </w:rPr>
        <w:t>.</w:t>
      </w:r>
      <w:r>
        <w:rPr>
          <w:rStyle w:val="EndnoteReference"/>
          <w:szCs w:val="22"/>
        </w:rPr>
        <w:endnoteReference w:id="70"/>
      </w:r>
    </w:p>
    <w:p w14:paraId="3FADB9DC" w14:textId="77777777" w:rsidR="005F07D9" w:rsidRDefault="005F07D9" w:rsidP="00291D6B">
      <w:pPr>
        <w:pStyle w:val="ListParagraph"/>
        <w:spacing w:line="276" w:lineRule="auto"/>
        <w:ind w:left="360"/>
        <w:rPr>
          <w:szCs w:val="22"/>
          <w:lang w:val="en-CA"/>
        </w:rPr>
      </w:pPr>
    </w:p>
    <w:p w14:paraId="2B1685D5" w14:textId="728C502F" w:rsidR="005F07D9" w:rsidRPr="00291D6B" w:rsidRDefault="005F07D9" w:rsidP="00291D6B">
      <w:pPr>
        <w:pStyle w:val="ListParagraph"/>
        <w:numPr>
          <w:ilvl w:val="0"/>
          <w:numId w:val="21"/>
        </w:numPr>
        <w:spacing w:line="276" w:lineRule="auto"/>
        <w:rPr>
          <w:szCs w:val="22"/>
          <w:lang w:val="en-CA"/>
        </w:rPr>
      </w:pPr>
      <w:r w:rsidRPr="00291D6B">
        <w:t xml:space="preserve">Notably, in 2016, the Committee on the Elimination of Discrimination against Women expressed its concerns with </w:t>
      </w:r>
      <w:r>
        <w:t>Canada’s “</w:t>
      </w:r>
      <w:r w:rsidRPr="00291D6B">
        <w:t>excessive use of incarceration as a drug-control measure against women</w:t>
      </w:r>
      <w:r>
        <w:t>” and</w:t>
      </w:r>
      <w:r w:rsidRPr="00291D6B">
        <w:t xml:space="preserve"> “the significant legislative and administrative barriers women face to access supervised consumption services, especially in light of the ongoing nation-wide opioid overdose crisis</w:t>
      </w:r>
      <w:r>
        <w:t>.</w:t>
      </w:r>
      <w:r w:rsidRPr="00291D6B">
        <w:t xml:space="preserve">” </w:t>
      </w:r>
      <w:r>
        <w:t xml:space="preserve">In its Concluding Observations, the Committee </w:t>
      </w:r>
      <w:r w:rsidRPr="00291D6B">
        <w:t xml:space="preserve">called on Canada to </w:t>
      </w:r>
      <w:r>
        <w:t>“</w:t>
      </w:r>
      <w:r w:rsidRPr="00291D6B">
        <w:rPr>
          <w:lang w:val="en-CA"/>
        </w:rPr>
        <w:t>reduce the gap in health service delivery related to women’s drug use, by scaling-up and ensuring access to culturally appropriate harm reduction services,”</w:t>
      </w:r>
      <w:r>
        <w:rPr>
          <w:lang w:val="en-CA"/>
        </w:rPr>
        <w:t xml:space="preserve"> to</w:t>
      </w:r>
      <w:r w:rsidRPr="00291D6B">
        <w:rPr>
          <w:lang w:val="en-CA"/>
        </w:rPr>
        <w:t xml:space="preserve"> </w:t>
      </w:r>
      <w:r w:rsidRPr="00291D6B">
        <w:t>“establish a transparent process for exemptions permitting the operation of supervised consumption services without risk of criminal prosecution of clients or service providers</w:t>
      </w:r>
      <w:r>
        <w:t>,</w:t>
      </w:r>
      <w:r w:rsidRPr="00291D6B">
        <w:t>”</w:t>
      </w:r>
      <w:r>
        <w:t xml:space="preserve"> and to</w:t>
      </w:r>
      <w:r w:rsidRPr="00291D6B">
        <w:t xml:space="preserve"> </w:t>
      </w:r>
      <w:r>
        <w:t>“t</w:t>
      </w:r>
      <w:r w:rsidRPr="00291D6B">
        <w:t>ake measures to prevent overdose deaths across the State party</w:t>
      </w:r>
      <w:r>
        <w:t>.”</w:t>
      </w:r>
      <w:r>
        <w:rPr>
          <w:rStyle w:val="EndnoteReference"/>
          <w:lang w:val="en-CA"/>
        </w:rPr>
        <w:endnoteReference w:id="71"/>
      </w:r>
      <w:r w:rsidRPr="00291D6B">
        <w:t xml:space="preserve"> </w:t>
      </w:r>
      <w:r w:rsidRPr="00291D6B">
        <w:rPr>
          <w:lang w:val="en-CA"/>
        </w:rPr>
        <w:t xml:space="preserve">The </w:t>
      </w:r>
      <w:r>
        <w:rPr>
          <w:lang w:val="en-CA"/>
        </w:rPr>
        <w:t>f</w:t>
      </w:r>
      <w:r w:rsidRPr="00291D6B">
        <w:rPr>
          <w:lang w:val="en-CA"/>
        </w:rPr>
        <w:t xml:space="preserve">ollowing year, the </w:t>
      </w:r>
      <w:r w:rsidRPr="00F447B0">
        <w:t>Committee on the Elimination of Racial Discrimination</w:t>
      </w:r>
      <w:r>
        <w:t xml:space="preserve"> called on </w:t>
      </w:r>
      <w:r w:rsidRPr="00F447B0">
        <w:t>Canada to “</w:t>
      </w:r>
      <w:r w:rsidRPr="00291D6B">
        <w:t>Implement key health and harm reduction measures across all prisons.</w:t>
      </w:r>
      <w:r w:rsidRPr="00F447B0">
        <w:t>”</w:t>
      </w:r>
      <w:r w:rsidRPr="00F447B0">
        <w:rPr>
          <w:rStyle w:val="EndnoteReference"/>
        </w:rPr>
        <w:endnoteReference w:id="72"/>
      </w:r>
    </w:p>
    <w:p w14:paraId="75DB32FC" w14:textId="77777777" w:rsidR="005F07D9" w:rsidRPr="00A14142" w:rsidRDefault="005F07D9" w:rsidP="00A14142">
      <w:pPr>
        <w:pStyle w:val="ListParagraph"/>
        <w:rPr>
          <w:szCs w:val="22"/>
          <w:lang w:val="en-CA"/>
        </w:rPr>
      </w:pPr>
    </w:p>
    <w:p w14:paraId="6DCD3E48" w14:textId="69D4299F" w:rsidR="005F07D9" w:rsidRPr="00C04C29" w:rsidRDefault="005F07D9" w:rsidP="00BC6D06">
      <w:pPr>
        <w:pStyle w:val="ListParagraph"/>
        <w:numPr>
          <w:ilvl w:val="0"/>
          <w:numId w:val="21"/>
        </w:numPr>
        <w:spacing w:line="276" w:lineRule="auto"/>
        <w:rPr>
          <w:szCs w:val="22"/>
        </w:rPr>
      </w:pPr>
      <w:r>
        <w:rPr>
          <w:bCs/>
          <w:szCs w:val="22"/>
          <w:lang w:val="en-CA"/>
        </w:rPr>
        <w:t>Moreover, in</w:t>
      </w:r>
      <w:r>
        <w:rPr>
          <w:bCs/>
          <w:szCs w:val="22"/>
        </w:rPr>
        <w:t xml:space="preserve"> order to</w:t>
      </w:r>
      <w:r w:rsidRPr="00EF05C4">
        <w:rPr>
          <w:bCs/>
          <w:szCs w:val="22"/>
        </w:rPr>
        <w:t xml:space="preserve"> meaningfully undo the harms of drug prohibition, </w:t>
      </w:r>
      <w:r>
        <w:rPr>
          <w:bCs/>
          <w:szCs w:val="22"/>
        </w:rPr>
        <w:t>Canada</w:t>
      </w:r>
      <w:r w:rsidRPr="00EF05C4">
        <w:rPr>
          <w:bCs/>
          <w:szCs w:val="22"/>
        </w:rPr>
        <w:t xml:space="preserve"> must </w:t>
      </w:r>
      <w:r w:rsidRPr="007E1C94">
        <w:rPr>
          <w:szCs w:val="22"/>
          <w:lang w:val="en-CA"/>
        </w:rPr>
        <w:t xml:space="preserve">decriminalize </w:t>
      </w:r>
      <w:r w:rsidRPr="007E1C94">
        <w:rPr>
          <w:szCs w:val="22"/>
        </w:rPr>
        <w:t>drug possession for personal use and the sharing or selling of drugs for subsistence, to support personal drug use costs, or to provide a safer supply</w:t>
      </w:r>
      <w:r w:rsidRPr="007E1C94">
        <w:rPr>
          <w:szCs w:val="22"/>
          <w:lang w:val="en-CA"/>
        </w:rPr>
        <w:t>.</w:t>
      </w:r>
      <w:r w:rsidRPr="007E1C94">
        <w:rPr>
          <w:rStyle w:val="EndnoteReference"/>
          <w:szCs w:val="22"/>
        </w:rPr>
        <w:endnoteReference w:id="73"/>
      </w:r>
      <w:r w:rsidRPr="00E00C5E">
        <w:t xml:space="preserve"> </w:t>
      </w:r>
      <w:r>
        <w:t xml:space="preserve">Several </w:t>
      </w:r>
      <w:r w:rsidRPr="002865E9">
        <w:rPr>
          <w:szCs w:val="22"/>
        </w:rPr>
        <w:t>UN human rights treaty bodies have called on States to decriminali</w:t>
      </w:r>
      <w:r>
        <w:rPr>
          <w:szCs w:val="22"/>
        </w:rPr>
        <w:t>ze</w:t>
      </w:r>
      <w:r w:rsidRPr="002865E9">
        <w:rPr>
          <w:szCs w:val="22"/>
        </w:rPr>
        <w:t xml:space="preserve"> </w:t>
      </w:r>
      <w:r w:rsidR="005B52EB">
        <w:rPr>
          <w:szCs w:val="22"/>
        </w:rPr>
        <w:t xml:space="preserve">drug </w:t>
      </w:r>
      <w:r w:rsidRPr="002865E9">
        <w:rPr>
          <w:szCs w:val="22"/>
        </w:rPr>
        <w:t xml:space="preserve">possession for </w:t>
      </w:r>
      <w:r w:rsidRPr="002865E9">
        <w:rPr>
          <w:szCs w:val="22"/>
        </w:rPr>
        <w:lastRenderedPageBreak/>
        <w:t>personal us</w:t>
      </w:r>
      <w:r>
        <w:rPr>
          <w:szCs w:val="22"/>
        </w:rPr>
        <w:t>e</w:t>
      </w:r>
      <w:r w:rsidRPr="002865E9">
        <w:rPr>
          <w:szCs w:val="22"/>
        </w:rPr>
        <w:t xml:space="preserve"> in order to meet their obligations to protect the right to health</w:t>
      </w:r>
      <w:r>
        <w:rPr>
          <w:szCs w:val="22"/>
        </w:rPr>
        <w:t>.</w:t>
      </w:r>
      <w:r>
        <w:rPr>
          <w:rStyle w:val="EndnoteReference"/>
          <w:szCs w:val="22"/>
        </w:rPr>
        <w:endnoteReference w:id="74"/>
      </w:r>
      <w:r>
        <w:rPr>
          <w:szCs w:val="22"/>
        </w:rPr>
        <w:t xml:space="preserve"> In 2018, the UN </w:t>
      </w:r>
      <w:r w:rsidRPr="00580C0C">
        <w:rPr>
          <w:szCs w:val="22"/>
          <w:lang w:val="en-CA"/>
        </w:rPr>
        <w:t>Chief Executives Board for Coordination a</w:t>
      </w:r>
      <w:r>
        <w:rPr>
          <w:szCs w:val="22"/>
          <w:lang w:val="en-CA"/>
        </w:rPr>
        <w:t xml:space="preserve">lso </w:t>
      </w:r>
      <w:r w:rsidRPr="00580C0C">
        <w:rPr>
          <w:szCs w:val="22"/>
          <w:lang w:val="en-CA"/>
        </w:rPr>
        <w:t xml:space="preserve">adopted a common position </w:t>
      </w:r>
      <w:r w:rsidR="00FA47BF">
        <w:rPr>
          <w:szCs w:val="22"/>
          <w:lang w:val="en-CA"/>
        </w:rPr>
        <w:t xml:space="preserve">on </w:t>
      </w:r>
      <w:r w:rsidRPr="00580C0C">
        <w:rPr>
          <w:szCs w:val="22"/>
          <w:lang w:val="en-CA"/>
        </w:rPr>
        <w:t>drug control policy, which</w:t>
      </w:r>
      <w:r>
        <w:rPr>
          <w:b/>
          <w:bCs/>
          <w:szCs w:val="22"/>
          <w:lang w:val="en-CA"/>
        </w:rPr>
        <w:t xml:space="preserve"> </w:t>
      </w:r>
      <w:r w:rsidRPr="00C77E08">
        <w:rPr>
          <w:szCs w:val="22"/>
        </w:rPr>
        <w:t>call</w:t>
      </w:r>
      <w:r>
        <w:rPr>
          <w:szCs w:val="22"/>
        </w:rPr>
        <w:t>s</w:t>
      </w:r>
      <w:r w:rsidRPr="00C77E08">
        <w:rPr>
          <w:szCs w:val="22"/>
        </w:rPr>
        <w:t xml:space="preserve"> for </w:t>
      </w:r>
      <w:r>
        <w:rPr>
          <w:szCs w:val="22"/>
        </w:rPr>
        <w:t>“</w:t>
      </w:r>
      <w:r w:rsidRPr="00C77E08">
        <w:rPr>
          <w:szCs w:val="22"/>
        </w:rPr>
        <w:t>changes in laws, policies and practices that</w:t>
      </w:r>
      <w:r>
        <w:rPr>
          <w:szCs w:val="22"/>
        </w:rPr>
        <w:t xml:space="preserve"> </w:t>
      </w:r>
      <w:r w:rsidRPr="00C77E08">
        <w:rPr>
          <w:szCs w:val="22"/>
        </w:rPr>
        <w:t>threaten the health and human rights of people</w:t>
      </w:r>
      <w:r>
        <w:rPr>
          <w:szCs w:val="22"/>
        </w:rPr>
        <w:t>,” including “</w:t>
      </w:r>
      <w:r w:rsidRPr="00C04C29">
        <w:rPr>
          <w:szCs w:val="22"/>
        </w:rPr>
        <w:t>the decriminalization of drug</w:t>
      </w:r>
      <w:r>
        <w:rPr>
          <w:szCs w:val="22"/>
        </w:rPr>
        <w:t xml:space="preserve"> </w:t>
      </w:r>
      <w:r w:rsidRPr="00C04C29">
        <w:rPr>
          <w:szCs w:val="22"/>
        </w:rPr>
        <w:t>possession for personal use</w:t>
      </w:r>
      <w:r>
        <w:rPr>
          <w:szCs w:val="22"/>
        </w:rPr>
        <w:t>.”</w:t>
      </w:r>
      <w:r>
        <w:rPr>
          <w:rStyle w:val="EndnoteReference"/>
          <w:szCs w:val="22"/>
        </w:rPr>
        <w:endnoteReference w:id="75"/>
      </w:r>
      <w:r w:rsidRPr="00C04C29">
        <w:rPr>
          <w:szCs w:val="22"/>
        </w:rPr>
        <w:t xml:space="preserve"> </w:t>
      </w:r>
      <w:r>
        <w:t xml:space="preserve">As the </w:t>
      </w:r>
      <w:r w:rsidRPr="00744690">
        <w:t>Office of the U</w:t>
      </w:r>
      <w:r w:rsidR="005B52EB">
        <w:t>N</w:t>
      </w:r>
      <w:r w:rsidRPr="00744690">
        <w:t xml:space="preserve"> High Commissioner for Human Rights</w:t>
      </w:r>
      <w:r>
        <w:t xml:space="preserve"> recommended in 2023, States should “</w:t>
      </w:r>
      <w:r w:rsidRPr="00C04C29">
        <w:rPr>
          <w:szCs w:val="22"/>
          <w:lang w:val="en-CA"/>
        </w:rPr>
        <w:t xml:space="preserve">Adopt alternatives to criminalization, ‘zero tolerance’ and elimination of </w:t>
      </w:r>
      <w:r w:rsidRPr="00C04C29">
        <w:rPr>
          <w:szCs w:val="22"/>
        </w:rPr>
        <w:t>drugs, by considering decriminalization of usage; and take control of illegal drug markets through responsible regulation, to eliminate profits from illegal trafficking, criminality and violence.”</w:t>
      </w:r>
      <w:r>
        <w:rPr>
          <w:rStyle w:val="EndnoteReference"/>
          <w:szCs w:val="22"/>
        </w:rPr>
        <w:endnoteReference w:id="76"/>
      </w:r>
    </w:p>
    <w:p w14:paraId="2C4D4846" w14:textId="77777777" w:rsidR="005F07D9" w:rsidRPr="005B52EB" w:rsidRDefault="005F07D9" w:rsidP="00EF05C4">
      <w:pPr>
        <w:spacing w:after="200" w:line="276" w:lineRule="auto"/>
        <w:rPr>
          <w:rFonts w:cs="Arial"/>
          <w:b/>
          <w:lang w:val="en-US"/>
        </w:rPr>
      </w:pPr>
    </w:p>
    <w:p w14:paraId="37DA98A8" w14:textId="73700A6F" w:rsidR="00EF05C4" w:rsidRPr="00F747DA" w:rsidRDefault="00EF05C4" w:rsidP="00EF05C4">
      <w:pPr>
        <w:spacing w:after="200" w:line="276" w:lineRule="auto"/>
        <w:rPr>
          <w:rFonts w:cs="Arial"/>
          <w:b/>
        </w:rPr>
      </w:pPr>
      <w:r w:rsidRPr="00F747DA">
        <w:rPr>
          <w:rFonts w:cs="Arial"/>
          <w:b/>
        </w:rPr>
        <w:t>RECOMMENDED ACTIONS</w:t>
      </w:r>
    </w:p>
    <w:p w14:paraId="73DAF7FB" w14:textId="3686289A" w:rsidR="006A7FFC" w:rsidRPr="00166BCB" w:rsidRDefault="00EF05C4" w:rsidP="00166BCB">
      <w:pPr>
        <w:spacing w:after="200" w:line="276" w:lineRule="auto"/>
        <w:rPr>
          <w:rFonts w:cs="Arial"/>
        </w:rPr>
      </w:pPr>
      <w:r w:rsidRPr="00F747DA">
        <w:rPr>
          <w:rFonts w:cs="Arial"/>
        </w:rPr>
        <w:t xml:space="preserve">The Legal Network recommends that </w:t>
      </w:r>
      <w:r>
        <w:rPr>
          <w:rFonts w:cs="Arial"/>
        </w:rPr>
        <w:t xml:space="preserve">the Committee calls on </w:t>
      </w:r>
      <w:r w:rsidRPr="00F747DA">
        <w:rPr>
          <w:rFonts w:cs="Arial"/>
        </w:rPr>
        <w:t>Canada</w:t>
      </w:r>
      <w:r>
        <w:rPr>
          <w:rFonts w:cs="Arial"/>
        </w:rPr>
        <w:t xml:space="preserve"> to:</w:t>
      </w:r>
      <w:r w:rsidRPr="00F747DA">
        <w:rPr>
          <w:rFonts w:cs="Arial"/>
        </w:rPr>
        <w:t xml:space="preserve"> </w:t>
      </w:r>
    </w:p>
    <w:p w14:paraId="32685CE2" w14:textId="2B075107" w:rsidR="006A7FFC" w:rsidRPr="00B0466B" w:rsidRDefault="006A7FFC" w:rsidP="00480099">
      <w:pPr>
        <w:pStyle w:val="ListParagraph"/>
        <w:numPr>
          <w:ilvl w:val="0"/>
          <w:numId w:val="39"/>
        </w:numPr>
        <w:spacing w:line="276" w:lineRule="auto"/>
        <w:rPr>
          <w:b/>
          <w:bCs/>
          <w:szCs w:val="22"/>
          <w:lang w:val="en-CA"/>
        </w:rPr>
      </w:pPr>
      <w:r w:rsidRPr="00B0466B">
        <w:rPr>
          <w:b/>
          <w:bCs/>
          <w:szCs w:val="22"/>
          <w:lang w:val="en-CA"/>
        </w:rPr>
        <w:t xml:space="preserve">Expand access to </w:t>
      </w:r>
      <w:r w:rsidR="00B0466B" w:rsidRPr="00B0466B">
        <w:rPr>
          <w:b/>
          <w:bCs/>
          <w:szCs w:val="22"/>
        </w:rPr>
        <w:t xml:space="preserve">culturally appropriate and gender-sensitive harm reduction services such as </w:t>
      </w:r>
      <w:r w:rsidRPr="00B0466B">
        <w:rPr>
          <w:b/>
          <w:bCs/>
          <w:szCs w:val="22"/>
          <w:lang w:val="en-CA"/>
        </w:rPr>
        <w:t>safer supply</w:t>
      </w:r>
      <w:r w:rsidR="00B0466B" w:rsidRPr="00B0466B">
        <w:rPr>
          <w:b/>
          <w:bCs/>
          <w:szCs w:val="22"/>
          <w:lang w:val="en-CA"/>
        </w:rPr>
        <w:t>,</w:t>
      </w:r>
      <w:r w:rsidRPr="00B0466B">
        <w:rPr>
          <w:b/>
          <w:bCs/>
          <w:szCs w:val="22"/>
          <w:lang w:val="en-CA"/>
        </w:rPr>
        <w:t xml:space="preserve"> </w:t>
      </w:r>
      <w:r w:rsidR="005B52EB">
        <w:rPr>
          <w:b/>
          <w:bCs/>
          <w:szCs w:val="22"/>
          <w:lang w:val="en-CA"/>
        </w:rPr>
        <w:t xml:space="preserve">needle and syringe and other drug equipment distribution programs, </w:t>
      </w:r>
      <w:r w:rsidRPr="00B0466B">
        <w:rPr>
          <w:b/>
          <w:bCs/>
          <w:szCs w:val="22"/>
          <w:lang w:val="en-CA"/>
        </w:rPr>
        <w:t xml:space="preserve">supervised consumption services, </w:t>
      </w:r>
      <w:r w:rsidR="00B0466B" w:rsidRPr="00B0466B">
        <w:rPr>
          <w:b/>
          <w:bCs/>
          <w:szCs w:val="22"/>
          <w:lang w:val="en-CA"/>
        </w:rPr>
        <w:t>and</w:t>
      </w:r>
      <w:r w:rsidRPr="00B0466B">
        <w:rPr>
          <w:b/>
          <w:bCs/>
          <w:szCs w:val="22"/>
          <w:lang w:val="en-CA"/>
        </w:rPr>
        <w:t xml:space="preserve"> naloxone, including in prisons, to curtail the harms of the unregulated drug market.</w:t>
      </w:r>
      <w:r w:rsidRPr="00B0466B">
        <w:rPr>
          <w:b/>
          <w:bCs/>
          <w:szCs w:val="22"/>
          <w:lang w:val="en-CA"/>
        </w:rPr>
        <w:br/>
      </w:r>
    </w:p>
    <w:p w14:paraId="68C017F3" w14:textId="77777777" w:rsidR="006A7FFC" w:rsidRPr="00B0466B" w:rsidRDefault="006A7FFC" w:rsidP="00480099">
      <w:pPr>
        <w:pStyle w:val="ListParagraph"/>
        <w:numPr>
          <w:ilvl w:val="0"/>
          <w:numId w:val="39"/>
        </w:numPr>
        <w:spacing w:line="276" w:lineRule="auto"/>
        <w:rPr>
          <w:b/>
          <w:bCs/>
          <w:szCs w:val="22"/>
          <w:lang w:val="en-CA"/>
        </w:rPr>
      </w:pPr>
      <w:r w:rsidRPr="00B0466B">
        <w:rPr>
          <w:b/>
          <w:bCs/>
          <w:szCs w:val="22"/>
          <w:lang w:val="en-CA"/>
        </w:rPr>
        <w:t>Decriminalize the possession of all drugs for personal use and the sharing or selling of drugs for subsistence, to support personal drug use costs, or to provide a safer supply, and remove all sanctions for such activities.</w:t>
      </w:r>
      <w:r w:rsidRPr="00B0466B">
        <w:rPr>
          <w:b/>
          <w:bCs/>
          <w:szCs w:val="22"/>
          <w:lang w:val="en-CA"/>
        </w:rPr>
        <w:br/>
      </w:r>
    </w:p>
    <w:p w14:paraId="2C63BAEB" w14:textId="77777777" w:rsidR="006A7FFC" w:rsidRPr="0022291B" w:rsidRDefault="006A7FFC" w:rsidP="00480099">
      <w:pPr>
        <w:pStyle w:val="ListParagraph"/>
        <w:numPr>
          <w:ilvl w:val="0"/>
          <w:numId w:val="39"/>
        </w:numPr>
        <w:spacing w:line="276" w:lineRule="auto"/>
        <w:rPr>
          <w:szCs w:val="22"/>
          <w:lang w:val="en-CA"/>
        </w:rPr>
      </w:pPr>
      <w:r w:rsidRPr="00166BCB">
        <w:rPr>
          <w:b/>
          <w:bCs/>
          <w:szCs w:val="22"/>
          <w:lang w:val="en-CA"/>
        </w:rPr>
        <w:t>Commit to legalizing and regulating all controlled substances.</w:t>
      </w:r>
      <w:r w:rsidRPr="00166BCB">
        <w:rPr>
          <w:b/>
          <w:bCs/>
          <w:szCs w:val="22"/>
          <w:lang w:val="en-CA"/>
        </w:rPr>
        <w:br/>
      </w:r>
    </w:p>
    <w:p w14:paraId="47BDBF13" w14:textId="77777777" w:rsidR="006A7FFC" w:rsidRPr="006E514E" w:rsidRDefault="006A7FFC" w:rsidP="006A7FFC">
      <w:pPr>
        <w:tabs>
          <w:tab w:val="left" w:pos="3000"/>
        </w:tabs>
        <w:spacing w:line="276" w:lineRule="auto"/>
        <w:rPr>
          <w:rFonts w:cs="Arial"/>
          <w:szCs w:val="22"/>
          <w:highlight w:val="yellow"/>
        </w:rPr>
      </w:pPr>
    </w:p>
    <w:sectPr w:rsidR="006A7FFC" w:rsidRPr="006E514E" w:rsidSect="00BF498E">
      <w:footerReference w:type="default" r:id="rId22"/>
      <w:headerReference w:type="first" r:id="rId23"/>
      <w:footerReference w:type="first" r:id="rId24"/>
      <w:endnotePr>
        <w:numFmt w:val="decimal"/>
      </w:endnotePr>
      <w:pgSz w:w="12240" w:h="15840"/>
      <w:pgMar w:top="1440" w:right="1440" w:bottom="1701" w:left="1440" w:header="709"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C3D9D" w14:textId="77777777" w:rsidR="00883F19" w:rsidRPr="00F747DA" w:rsidRDefault="00883F19">
      <w:r w:rsidRPr="00F747DA">
        <w:separator/>
      </w:r>
    </w:p>
  </w:endnote>
  <w:endnote w:type="continuationSeparator" w:id="0">
    <w:p w14:paraId="0DFA280D" w14:textId="77777777" w:rsidR="00883F19" w:rsidRPr="00F747DA" w:rsidRDefault="00883F19">
      <w:r w:rsidRPr="00F747DA">
        <w:continuationSeparator/>
      </w:r>
    </w:p>
  </w:endnote>
  <w:endnote w:type="continuationNotice" w:id="1">
    <w:p w14:paraId="1CF0ACB8" w14:textId="77777777" w:rsidR="00883F19" w:rsidRPr="00F747DA" w:rsidRDefault="00883F19"/>
  </w:endnote>
  <w:endnote w:id="2">
    <w:p w14:paraId="4B99222A"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w:t>
      </w:r>
      <w:r w:rsidRPr="00CD4A7D">
        <w:rPr>
          <w:rFonts w:cs="Arial"/>
          <w:i/>
          <w:sz w:val="18"/>
          <w:szCs w:val="18"/>
        </w:rPr>
        <w:t xml:space="preserve">Canadian Charter of Rights and Freedoms, Part I of the Constitution Act, 1982, </w:t>
      </w:r>
      <w:r w:rsidRPr="00CD4A7D">
        <w:rPr>
          <w:rFonts w:cs="Arial"/>
          <w:sz w:val="18"/>
          <w:szCs w:val="18"/>
        </w:rPr>
        <w:t>being Schedule B to the</w:t>
      </w:r>
      <w:r w:rsidRPr="00CD4A7D">
        <w:rPr>
          <w:rFonts w:cs="Arial"/>
          <w:i/>
          <w:sz w:val="18"/>
          <w:szCs w:val="18"/>
        </w:rPr>
        <w:t xml:space="preserve"> Canada Act (1982) </w:t>
      </w:r>
      <w:r w:rsidRPr="00CD4A7D">
        <w:rPr>
          <w:rFonts w:cs="Arial"/>
          <w:sz w:val="18"/>
          <w:szCs w:val="18"/>
        </w:rPr>
        <w:t xml:space="preserve">UK, 1982, c. 11, s. 15. </w:t>
      </w:r>
    </w:p>
  </w:endnote>
  <w:endnote w:id="3">
    <w:p w14:paraId="4CC07EA6" w14:textId="2F146480" w:rsidR="005F07D9" w:rsidRPr="00CD4A7D" w:rsidRDefault="005F07D9" w:rsidP="00CD4A7D">
      <w:pPr>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w:t>
      </w:r>
      <w:r w:rsidRPr="00CD4A7D">
        <w:rPr>
          <w:rFonts w:eastAsia="Calibri" w:cs="Arial"/>
          <w:i/>
          <w:sz w:val="18"/>
          <w:szCs w:val="18"/>
        </w:rPr>
        <w:t>Brown</w:t>
      </w:r>
      <w:r w:rsidRPr="00CD4A7D">
        <w:rPr>
          <w:rFonts w:cs="Arial"/>
          <w:i/>
          <w:sz w:val="18"/>
          <w:szCs w:val="18"/>
        </w:rPr>
        <w:t xml:space="preserve"> </w:t>
      </w:r>
      <w:r w:rsidRPr="00CD4A7D">
        <w:rPr>
          <w:rFonts w:eastAsia="Calibri" w:cs="Arial"/>
          <w:i/>
          <w:sz w:val="18"/>
          <w:szCs w:val="18"/>
        </w:rPr>
        <w:t>v</w:t>
      </w:r>
      <w:r w:rsidRPr="00CD4A7D">
        <w:rPr>
          <w:rFonts w:cs="Arial"/>
          <w:i/>
          <w:sz w:val="18"/>
          <w:szCs w:val="18"/>
        </w:rPr>
        <w:t xml:space="preserve"> </w:t>
      </w:r>
      <w:r w:rsidRPr="00CD4A7D">
        <w:rPr>
          <w:rFonts w:eastAsia="Calibri" w:cs="Arial"/>
          <w:i/>
          <w:sz w:val="18"/>
          <w:szCs w:val="18"/>
        </w:rPr>
        <w:t>British</w:t>
      </w:r>
      <w:r w:rsidRPr="00CD4A7D">
        <w:rPr>
          <w:rFonts w:cs="Arial"/>
          <w:i/>
          <w:sz w:val="18"/>
          <w:szCs w:val="18"/>
        </w:rPr>
        <w:t xml:space="preserve"> </w:t>
      </w:r>
      <w:r w:rsidRPr="00CD4A7D">
        <w:rPr>
          <w:rFonts w:eastAsia="Calibri" w:cs="Arial"/>
          <w:i/>
          <w:sz w:val="18"/>
          <w:szCs w:val="18"/>
        </w:rPr>
        <w:t>Columbia</w:t>
      </w:r>
      <w:r w:rsidRPr="00CD4A7D">
        <w:rPr>
          <w:rFonts w:cs="Arial"/>
          <w:sz w:val="18"/>
          <w:szCs w:val="18"/>
        </w:rPr>
        <w:t xml:space="preserve"> (</w:t>
      </w:r>
      <w:r w:rsidRPr="00CD4A7D">
        <w:rPr>
          <w:rFonts w:eastAsia="Calibri" w:cs="Arial"/>
          <w:sz w:val="18"/>
          <w:szCs w:val="18"/>
        </w:rPr>
        <w:t>Minister</w:t>
      </w:r>
      <w:r w:rsidRPr="00CD4A7D">
        <w:rPr>
          <w:rFonts w:cs="Arial"/>
          <w:sz w:val="18"/>
          <w:szCs w:val="18"/>
        </w:rPr>
        <w:t xml:space="preserve"> </w:t>
      </w:r>
      <w:r w:rsidRPr="00CD4A7D">
        <w:rPr>
          <w:rFonts w:eastAsia="Calibri" w:cs="Arial"/>
          <w:sz w:val="18"/>
          <w:szCs w:val="18"/>
        </w:rPr>
        <w:t>of</w:t>
      </w:r>
      <w:r w:rsidRPr="00CD4A7D">
        <w:rPr>
          <w:rFonts w:cs="Arial"/>
          <w:sz w:val="18"/>
          <w:szCs w:val="18"/>
        </w:rPr>
        <w:t xml:space="preserve"> </w:t>
      </w:r>
      <w:r w:rsidRPr="00CD4A7D">
        <w:rPr>
          <w:rFonts w:eastAsia="Calibri" w:cs="Arial"/>
          <w:sz w:val="18"/>
          <w:szCs w:val="18"/>
        </w:rPr>
        <w:t>Health</w:t>
      </w:r>
      <w:r w:rsidRPr="00CD4A7D">
        <w:rPr>
          <w:rFonts w:cs="Arial"/>
          <w:sz w:val="18"/>
          <w:szCs w:val="18"/>
        </w:rPr>
        <w:t xml:space="preserve">) (1990), 66 </w:t>
      </w:r>
      <w:r w:rsidRPr="00CD4A7D">
        <w:rPr>
          <w:rFonts w:eastAsia="Calibri" w:cs="Arial"/>
          <w:sz w:val="18"/>
          <w:szCs w:val="18"/>
        </w:rPr>
        <w:t>DLR</w:t>
      </w:r>
      <w:r w:rsidRPr="00CD4A7D">
        <w:rPr>
          <w:rFonts w:cs="Arial"/>
          <w:sz w:val="18"/>
          <w:szCs w:val="18"/>
        </w:rPr>
        <w:t xml:space="preserve"> (4</w:t>
      </w:r>
      <w:r w:rsidRPr="00CD4A7D">
        <w:rPr>
          <w:rFonts w:eastAsia="Calibri" w:cs="Arial"/>
          <w:sz w:val="18"/>
          <w:szCs w:val="18"/>
        </w:rPr>
        <w:t>th</w:t>
      </w:r>
      <w:r w:rsidRPr="00CD4A7D">
        <w:rPr>
          <w:rFonts w:cs="Arial"/>
          <w:sz w:val="18"/>
          <w:szCs w:val="18"/>
        </w:rPr>
        <w:t>) 444 (</w:t>
      </w:r>
      <w:r w:rsidRPr="00CD4A7D">
        <w:rPr>
          <w:rFonts w:eastAsia="Calibri" w:cs="Arial"/>
          <w:sz w:val="18"/>
          <w:szCs w:val="18"/>
        </w:rPr>
        <w:t>BCSC</w:t>
      </w:r>
      <w:r w:rsidRPr="00CD4A7D">
        <w:rPr>
          <w:rFonts w:cs="Arial"/>
          <w:sz w:val="18"/>
          <w:szCs w:val="18"/>
        </w:rPr>
        <w:t xml:space="preserve">); </w:t>
      </w:r>
      <w:r w:rsidRPr="00CD4A7D">
        <w:rPr>
          <w:rFonts w:eastAsia="Calibri" w:cs="Arial"/>
          <w:i/>
          <w:sz w:val="18"/>
          <w:szCs w:val="18"/>
        </w:rPr>
        <w:t>Wakeford</w:t>
      </w:r>
      <w:r w:rsidRPr="00CD4A7D">
        <w:rPr>
          <w:rFonts w:cs="Arial"/>
          <w:i/>
          <w:sz w:val="18"/>
          <w:szCs w:val="18"/>
        </w:rPr>
        <w:t xml:space="preserve"> </w:t>
      </w:r>
      <w:r w:rsidRPr="00CD4A7D">
        <w:rPr>
          <w:rFonts w:eastAsia="Calibri" w:cs="Arial"/>
          <w:i/>
          <w:sz w:val="18"/>
          <w:szCs w:val="18"/>
        </w:rPr>
        <w:t>v</w:t>
      </w:r>
      <w:r w:rsidRPr="00CD4A7D">
        <w:rPr>
          <w:rFonts w:cs="Arial"/>
          <w:i/>
          <w:sz w:val="18"/>
          <w:szCs w:val="18"/>
        </w:rPr>
        <w:t xml:space="preserve"> </w:t>
      </w:r>
      <w:r w:rsidRPr="00CD4A7D">
        <w:rPr>
          <w:rFonts w:eastAsia="Calibri" w:cs="Arial"/>
          <w:i/>
          <w:sz w:val="18"/>
          <w:szCs w:val="18"/>
        </w:rPr>
        <w:t>Canada</w:t>
      </w:r>
      <w:r w:rsidRPr="00CD4A7D">
        <w:rPr>
          <w:rFonts w:cs="Arial"/>
          <w:sz w:val="18"/>
          <w:szCs w:val="18"/>
        </w:rPr>
        <w:t xml:space="preserve"> (1998), 166 </w:t>
      </w:r>
      <w:r w:rsidRPr="00CD4A7D">
        <w:rPr>
          <w:rFonts w:eastAsia="Calibri" w:cs="Arial"/>
          <w:sz w:val="18"/>
          <w:szCs w:val="18"/>
        </w:rPr>
        <w:t>DLR</w:t>
      </w:r>
      <w:r w:rsidRPr="00CD4A7D">
        <w:rPr>
          <w:rFonts w:cs="Arial"/>
          <w:sz w:val="18"/>
          <w:szCs w:val="18"/>
        </w:rPr>
        <w:t xml:space="preserve"> (4</w:t>
      </w:r>
      <w:r w:rsidRPr="00CD4A7D">
        <w:rPr>
          <w:rFonts w:eastAsia="Calibri" w:cs="Arial"/>
          <w:sz w:val="18"/>
          <w:szCs w:val="18"/>
        </w:rPr>
        <w:t>th</w:t>
      </w:r>
      <w:r w:rsidRPr="00CD4A7D">
        <w:rPr>
          <w:rFonts w:cs="Arial"/>
          <w:sz w:val="18"/>
          <w:szCs w:val="18"/>
        </w:rPr>
        <w:t>) 131 (</w:t>
      </w:r>
      <w:r w:rsidRPr="00CD4A7D">
        <w:rPr>
          <w:rFonts w:eastAsia="Calibri" w:cs="Arial"/>
          <w:sz w:val="18"/>
          <w:szCs w:val="18"/>
        </w:rPr>
        <w:t>Ont</w:t>
      </w:r>
      <w:r w:rsidRPr="00CD4A7D">
        <w:rPr>
          <w:rFonts w:cs="Arial"/>
          <w:sz w:val="18"/>
          <w:szCs w:val="18"/>
        </w:rPr>
        <w:t xml:space="preserve"> </w:t>
      </w:r>
      <w:r w:rsidRPr="00CD4A7D">
        <w:rPr>
          <w:rFonts w:eastAsia="Calibri" w:cs="Arial"/>
          <w:sz w:val="18"/>
          <w:szCs w:val="18"/>
        </w:rPr>
        <w:t>Ct</w:t>
      </w:r>
      <w:r w:rsidRPr="00CD4A7D">
        <w:rPr>
          <w:rFonts w:cs="Arial"/>
          <w:sz w:val="18"/>
          <w:szCs w:val="18"/>
        </w:rPr>
        <w:t xml:space="preserve"> </w:t>
      </w:r>
      <w:r w:rsidRPr="00CD4A7D">
        <w:rPr>
          <w:rFonts w:eastAsia="Calibri" w:cs="Arial"/>
          <w:sz w:val="18"/>
          <w:szCs w:val="18"/>
        </w:rPr>
        <w:t>Gen</w:t>
      </w:r>
      <w:r w:rsidRPr="00CD4A7D">
        <w:rPr>
          <w:rFonts w:cs="Arial"/>
          <w:sz w:val="18"/>
          <w:szCs w:val="18"/>
        </w:rPr>
        <w:t xml:space="preserve"> </w:t>
      </w:r>
      <w:r w:rsidRPr="00CD4A7D">
        <w:rPr>
          <w:rFonts w:eastAsia="Calibri" w:cs="Arial"/>
          <w:sz w:val="18"/>
          <w:szCs w:val="18"/>
        </w:rPr>
        <w:t>Div</w:t>
      </w:r>
      <w:r w:rsidRPr="00CD4A7D">
        <w:rPr>
          <w:rFonts w:cs="Arial"/>
          <w:sz w:val="18"/>
          <w:szCs w:val="18"/>
        </w:rPr>
        <w:t>).</w:t>
      </w:r>
    </w:p>
  </w:endnote>
  <w:endnote w:id="4">
    <w:p w14:paraId="0FC77488" w14:textId="5439D004" w:rsidR="005F07D9" w:rsidRPr="00CD4A7D" w:rsidRDefault="005F07D9" w:rsidP="00CD4A7D">
      <w:pPr>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w:t>
      </w:r>
      <w:r w:rsidRPr="00CD4A7D">
        <w:rPr>
          <w:rFonts w:eastAsia="Calibri" w:cs="Arial"/>
          <w:i/>
          <w:iCs/>
          <w:sz w:val="18"/>
          <w:szCs w:val="18"/>
        </w:rPr>
        <w:t>Human</w:t>
      </w:r>
      <w:r w:rsidRPr="00CD4A7D">
        <w:rPr>
          <w:rFonts w:cs="Arial"/>
          <w:i/>
          <w:iCs/>
          <w:sz w:val="18"/>
          <w:szCs w:val="18"/>
        </w:rPr>
        <w:t xml:space="preserve"> </w:t>
      </w:r>
      <w:r w:rsidRPr="00CD4A7D">
        <w:rPr>
          <w:rFonts w:eastAsia="Calibri" w:cs="Arial"/>
          <w:i/>
          <w:iCs/>
          <w:sz w:val="18"/>
          <w:szCs w:val="18"/>
        </w:rPr>
        <w:t>Rights</w:t>
      </w:r>
      <w:r w:rsidRPr="00CD4A7D">
        <w:rPr>
          <w:rFonts w:cs="Arial"/>
          <w:i/>
          <w:iCs/>
          <w:sz w:val="18"/>
          <w:szCs w:val="18"/>
        </w:rPr>
        <w:t xml:space="preserve">, </w:t>
      </w:r>
      <w:r w:rsidRPr="00CD4A7D">
        <w:rPr>
          <w:rFonts w:eastAsia="Calibri" w:cs="Arial"/>
          <w:i/>
          <w:iCs/>
          <w:sz w:val="18"/>
          <w:szCs w:val="18"/>
        </w:rPr>
        <w:t>Citizenship</w:t>
      </w:r>
      <w:r w:rsidRPr="00CD4A7D">
        <w:rPr>
          <w:rFonts w:cs="Arial"/>
          <w:i/>
          <w:iCs/>
          <w:sz w:val="18"/>
          <w:szCs w:val="18"/>
        </w:rPr>
        <w:t xml:space="preserve"> </w:t>
      </w:r>
      <w:r w:rsidRPr="00CD4A7D">
        <w:rPr>
          <w:rFonts w:eastAsia="Calibri" w:cs="Arial"/>
          <w:i/>
          <w:iCs/>
          <w:sz w:val="18"/>
          <w:szCs w:val="18"/>
        </w:rPr>
        <w:t>and</w:t>
      </w:r>
      <w:r w:rsidRPr="00CD4A7D">
        <w:rPr>
          <w:rFonts w:cs="Arial"/>
          <w:i/>
          <w:iCs/>
          <w:sz w:val="18"/>
          <w:szCs w:val="18"/>
        </w:rPr>
        <w:t xml:space="preserve"> </w:t>
      </w:r>
      <w:r w:rsidRPr="00CD4A7D">
        <w:rPr>
          <w:rFonts w:eastAsia="Calibri" w:cs="Arial"/>
          <w:i/>
          <w:iCs/>
          <w:sz w:val="18"/>
          <w:szCs w:val="18"/>
        </w:rPr>
        <w:t>Multiculturalism</w:t>
      </w:r>
      <w:r w:rsidRPr="00CD4A7D">
        <w:rPr>
          <w:rFonts w:cs="Arial"/>
          <w:i/>
          <w:iCs/>
          <w:sz w:val="18"/>
          <w:szCs w:val="18"/>
        </w:rPr>
        <w:t xml:space="preserve"> </w:t>
      </w:r>
      <w:r w:rsidRPr="00CD4A7D">
        <w:rPr>
          <w:rFonts w:eastAsia="Calibri" w:cs="Arial"/>
          <w:i/>
          <w:iCs/>
          <w:sz w:val="18"/>
          <w:szCs w:val="18"/>
        </w:rPr>
        <w:t>Act</w:t>
      </w:r>
      <w:r w:rsidRPr="00CD4A7D">
        <w:rPr>
          <w:rFonts w:cs="Arial"/>
          <w:sz w:val="18"/>
          <w:szCs w:val="18"/>
        </w:rPr>
        <w:t xml:space="preserve">, </w:t>
      </w:r>
      <w:r w:rsidRPr="00CD4A7D">
        <w:rPr>
          <w:rFonts w:eastAsia="Calibri" w:cs="Arial"/>
          <w:sz w:val="18"/>
          <w:szCs w:val="18"/>
        </w:rPr>
        <w:t>RSA</w:t>
      </w:r>
      <w:r w:rsidRPr="00CD4A7D">
        <w:rPr>
          <w:rFonts w:cs="Arial"/>
          <w:sz w:val="18"/>
          <w:szCs w:val="18"/>
        </w:rPr>
        <w:t xml:space="preserve"> 2000, </w:t>
      </w:r>
      <w:r w:rsidRPr="00CD4A7D">
        <w:rPr>
          <w:rFonts w:eastAsia="Calibri" w:cs="Arial"/>
          <w:sz w:val="18"/>
          <w:szCs w:val="18"/>
        </w:rPr>
        <w:t>c.</w:t>
      </w:r>
      <w:r w:rsidRPr="00CD4A7D">
        <w:rPr>
          <w:rFonts w:cs="Arial"/>
          <w:sz w:val="18"/>
          <w:szCs w:val="18"/>
        </w:rPr>
        <w:t xml:space="preserve"> </w:t>
      </w:r>
      <w:r w:rsidRPr="00CD4A7D">
        <w:rPr>
          <w:rFonts w:eastAsia="Calibri" w:cs="Arial"/>
          <w:sz w:val="18"/>
          <w:szCs w:val="18"/>
        </w:rPr>
        <w:t>H</w:t>
      </w:r>
      <w:r w:rsidRPr="00CD4A7D">
        <w:rPr>
          <w:rFonts w:cs="Arial"/>
          <w:sz w:val="18"/>
          <w:szCs w:val="18"/>
        </w:rPr>
        <w:t>-14 [</w:t>
      </w:r>
      <w:r w:rsidRPr="00CD4A7D">
        <w:rPr>
          <w:rFonts w:eastAsia="Calibri" w:cs="Arial"/>
          <w:sz w:val="18"/>
          <w:szCs w:val="18"/>
        </w:rPr>
        <w:t>Alberta</w:t>
      </w:r>
      <w:r w:rsidRPr="00CD4A7D">
        <w:rPr>
          <w:rFonts w:cs="Arial"/>
          <w:sz w:val="18"/>
          <w:szCs w:val="18"/>
        </w:rPr>
        <w:t xml:space="preserve">]; </w:t>
      </w:r>
      <w:r w:rsidRPr="00CD4A7D">
        <w:rPr>
          <w:rFonts w:eastAsia="Calibri" w:cs="Arial"/>
          <w:i/>
          <w:iCs/>
          <w:sz w:val="18"/>
          <w:szCs w:val="18"/>
        </w:rPr>
        <w:t>Human</w:t>
      </w:r>
      <w:r w:rsidRPr="00CD4A7D">
        <w:rPr>
          <w:rFonts w:cs="Arial"/>
          <w:i/>
          <w:iCs/>
          <w:sz w:val="18"/>
          <w:szCs w:val="18"/>
        </w:rPr>
        <w:t xml:space="preserve"> </w:t>
      </w:r>
      <w:r w:rsidRPr="00CD4A7D">
        <w:rPr>
          <w:rFonts w:eastAsia="Calibri" w:cs="Arial"/>
          <w:i/>
          <w:iCs/>
          <w:sz w:val="18"/>
          <w:szCs w:val="18"/>
        </w:rPr>
        <w:t>Rights</w:t>
      </w:r>
      <w:r w:rsidRPr="00CD4A7D">
        <w:rPr>
          <w:rFonts w:cs="Arial"/>
          <w:i/>
          <w:iCs/>
          <w:sz w:val="18"/>
          <w:szCs w:val="18"/>
        </w:rPr>
        <w:t xml:space="preserve"> </w:t>
      </w:r>
      <w:r w:rsidRPr="00CD4A7D">
        <w:rPr>
          <w:rFonts w:eastAsia="Calibri" w:cs="Arial"/>
          <w:i/>
          <w:iCs/>
          <w:sz w:val="18"/>
          <w:szCs w:val="18"/>
        </w:rPr>
        <w:t>Code</w:t>
      </w:r>
      <w:r w:rsidRPr="00CD4A7D">
        <w:rPr>
          <w:rFonts w:cs="Arial"/>
          <w:sz w:val="18"/>
          <w:szCs w:val="18"/>
        </w:rPr>
        <w:t xml:space="preserve"> </w:t>
      </w:r>
      <w:r w:rsidRPr="00CD4A7D">
        <w:rPr>
          <w:rFonts w:eastAsia="Calibri" w:cs="Arial"/>
          <w:sz w:val="18"/>
          <w:szCs w:val="18"/>
        </w:rPr>
        <w:t xml:space="preserve">RSBC </w:t>
      </w:r>
      <w:r w:rsidRPr="00CD4A7D">
        <w:rPr>
          <w:rFonts w:cs="Arial"/>
          <w:sz w:val="18"/>
          <w:szCs w:val="18"/>
        </w:rPr>
        <w:t xml:space="preserve">1996, </w:t>
      </w:r>
      <w:r w:rsidRPr="00CD4A7D">
        <w:rPr>
          <w:rFonts w:eastAsia="Calibri" w:cs="Arial"/>
          <w:sz w:val="18"/>
          <w:szCs w:val="18"/>
        </w:rPr>
        <w:t>c.</w:t>
      </w:r>
      <w:r w:rsidRPr="00CD4A7D">
        <w:rPr>
          <w:rFonts w:cs="Arial"/>
          <w:sz w:val="18"/>
          <w:szCs w:val="18"/>
        </w:rPr>
        <w:t xml:space="preserve"> 210 [</w:t>
      </w:r>
      <w:r w:rsidRPr="00CD4A7D">
        <w:rPr>
          <w:rFonts w:eastAsia="Calibri" w:cs="Arial"/>
          <w:sz w:val="18"/>
          <w:szCs w:val="18"/>
        </w:rPr>
        <w:t>British</w:t>
      </w:r>
      <w:r w:rsidRPr="00CD4A7D">
        <w:rPr>
          <w:rFonts w:cs="Arial"/>
          <w:sz w:val="18"/>
          <w:szCs w:val="18"/>
        </w:rPr>
        <w:t xml:space="preserve"> </w:t>
      </w:r>
      <w:r w:rsidRPr="00CD4A7D">
        <w:rPr>
          <w:rFonts w:eastAsia="Calibri" w:cs="Arial"/>
          <w:sz w:val="18"/>
          <w:szCs w:val="18"/>
        </w:rPr>
        <w:t>Columbia</w:t>
      </w:r>
      <w:r w:rsidRPr="00CD4A7D">
        <w:rPr>
          <w:rFonts w:cs="Arial"/>
          <w:sz w:val="18"/>
          <w:szCs w:val="18"/>
        </w:rPr>
        <w:t xml:space="preserve">]; </w:t>
      </w:r>
      <w:r w:rsidRPr="00CD4A7D">
        <w:rPr>
          <w:rFonts w:eastAsia="Calibri" w:cs="Arial"/>
          <w:i/>
          <w:iCs/>
          <w:sz w:val="18"/>
          <w:szCs w:val="18"/>
        </w:rPr>
        <w:t>Human</w:t>
      </w:r>
      <w:r w:rsidRPr="00CD4A7D">
        <w:rPr>
          <w:rFonts w:cs="Arial"/>
          <w:i/>
          <w:iCs/>
          <w:sz w:val="18"/>
          <w:szCs w:val="18"/>
        </w:rPr>
        <w:t xml:space="preserve"> </w:t>
      </w:r>
      <w:r w:rsidRPr="00CD4A7D">
        <w:rPr>
          <w:rFonts w:eastAsia="Calibri" w:cs="Arial"/>
          <w:i/>
          <w:iCs/>
          <w:sz w:val="18"/>
          <w:szCs w:val="18"/>
        </w:rPr>
        <w:t>Rights</w:t>
      </w:r>
      <w:r w:rsidRPr="00CD4A7D">
        <w:rPr>
          <w:rFonts w:cs="Arial"/>
          <w:i/>
          <w:iCs/>
          <w:sz w:val="18"/>
          <w:szCs w:val="18"/>
        </w:rPr>
        <w:t xml:space="preserve"> </w:t>
      </w:r>
      <w:r w:rsidRPr="00CD4A7D">
        <w:rPr>
          <w:rFonts w:eastAsia="Calibri" w:cs="Arial"/>
          <w:i/>
          <w:iCs/>
          <w:sz w:val="18"/>
          <w:szCs w:val="18"/>
        </w:rPr>
        <w:t>Code</w:t>
      </w:r>
      <w:r w:rsidRPr="00CD4A7D">
        <w:rPr>
          <w:rFonts w:cs="Arial"/>
          <w:sz w:val="18"/>
          <w:szCs w:val="18"/>
        </w:rPr>
        <w:t xml:space="preserve">, </w:t>
      </w:r>
      <w:r w:rsidRPr="00CD4A7D">
        <w:rPr>
          <w:rFonts w:eastAsia="Calibri" w:cs="Arial"/>
          <w:sz w:val="18"/>
          <w:szCs w:val="18"/>
        </w:rPr>
        <w:t>CCSM</w:t>
      </w:r>
      <w:r w:rsidRPr="00CD4A7D">
        <w:rPr>
          <w:rFonts w:cs="Arial"/>
          <w:sz w:val="18"/>
          <w:szCs w:val="18"/>
        </w:rPr>
        <w:t xml:space="preserve"> 1987, </w:t>
      </w:r>
      <w:r w:rsidRPr="00CD4A7D">
        <w:rPr>
          <w:rFonts w:eastAsia="Calibri" w:cs="Arial"/>
          <w:sz w:val="18"/>
          <w:szCs w:val="18"/>
        </w:rPr>
        <w:t>c.</w:t>
      </w:r>
      <w:r w:rsidRPr="00CD4A7D">
        <w:rPr>
          <w:rFonts w:cs="Arial"/>
          <w:sz w:val="18"/>
          <w:szCs w:val="18"/>
        </w:rPr>
        <w:t xml:space="preserve"> </w:t>
      </w:r>
      <w:r w:rsidRPr="00CD4A7D">
        <w:rPr>
          <w:rFonts w:eastAsia="Calibri" w:cs="Arial"/>
          <w:sz w:val="18"/>
          <w:szCs w:val="18"/>
        </w:rPr>
        <w:t>H</w:t>
      </w:r>
      <w:r w:rsidRPr="00CD4A7D">
        <w:rPr>
          <w:rFonts w:cs="Arial"/>
          <w:sz w:val="18"/>
          <w:szCs w:val="18"/>
        </w:rPr>
        <w:t>175 [</w:t>
      </w:r>
      <w:r w:rsidRPr="00CD4A7D">
        <w:rPr>
          <w:rFonts w:eastAsia="Calibri" w:cs="Arial"/>
          <w:sz w:val="18"/>
          <w:szCs w:val="18"/>
        </w:rPr>
        <w:t>Manitoba</w:t>
      </w:r>
      <w:r w:rsidRPr="00CD4A7D">
        <w:rPr>
          <w:rFonts w:cs="Arial"/>
          <w:sz w:val="18"/>
          <w:szCs w:val="18"/>
        </w:rPr>
        <w:t xml:space="preserve">]; </w:t>
      </w:r>
      <w:r w:rsidRPr="00CD4A7D">
        <w:rPr>
          <w:rFonts w:eastAsia="Calibri" w:cs="Arial"/>
          <w:i/>
          <w:iCs/>
          <w:sz w:val="18"/>
          <w:szCs w:val="18"/>
        </w:rPr>
        <w:t>Human</w:t>
      </w:r>
      <w:r w:rsidRPr="00CD4A7D">
        <w:rPr>
          <w:rFonts w:cs="Arial"/>
          <w:i/>
          <w:iCs/>
          <w:sz w:val="18"/>
          <w:szCs w:val="18"/>
        </w:rPr>
        <w:t xml:space="preserve"> </w:t>
      </w:r>
      <w:r w:rsidRPr="00CD4A7D">
        <w:rPr>
          <w:rFonts w:eastAsia="Calibri" w:cs="Arial"/>
          <w:i/>
          <w:iCs/>
          <w:sz w:val="18"/>
          <w:szCs w:val="18"/>
        </w:rPr>
        <w:t>Rights</w:t>
      </w:r>
      <w:r w:rsidRPr="00CD4A7D">
        <w:rPr>
          <w:rFonts w:cs="Arial"/>
          <w:i/>
          <w:iCs/>
          <w:sz w:val="18"/>
          <w:szCs w:val="18"/>
        </w:rPr>
        <w:t xml:space="preserve"> </w:t>
      </w:r>
      <w:r w:rsidRPr="00CD4A7D">
        <w:rPr>
          <w:rFonts w:eastAsia="Calibri" w:cs="Arial"/>
          <w:i/>
          <w:iCs/>
          <w:sz w:val="18"/>
          <w:szCs w:val="18"/>
        </w:rPr>
        <w:t>Act</w:t>
      </w:r>
      <w:r w:rsidRPr="00CD4A7D">
        <w:rPr>
          <w:rFonts w:cs="Arial"/>
          <w:sz w:val="18"/>
          <w:szCs w:val="18"/>
        </w:rPr>
        <w:t xml:space="preserve">, </w:t>
      </w:r>
      <w:r w:rsidRPr="00CD4A7D">
        <w:rPr>
          <w:rFonts w:eastAsia="Calibri" w:cs="Arial"/>
          <w:sz w:val="18"/>
          <w:szCs w:val="18"/>
        </w:rPr>
        <w:t>RSNB</w:t>
      </w:r>
      <w:r w:rsidRPr="00CD4A7D">
        <w:rPr>
          <w:rFonts w:cs="Arial"/>
          <w:sz w:val="18"/>
          <w:szCs w:val="18"/>
        </w:rPr>
        <w:t xml:space="preserve"> 1973, </w:t>
      </w:r>
      <w:r w:rsidRPr="00CD4A7D">
        <w:rPr>
          <w:rFonts w:eastAsia="Calibri" w:cs="Arial"/>
          <w:sz w:val="18"/>
          <w:szCs w:val="18"/>
        </w:rPr>
        <w:t>c.</w:t>
      </w:r>
      <w:r w:rsidRPr="00CD4A7D">
        <w:rPr>
          <w:rFonts w:cs="Arial"/>
          <w:sz w:val="18"/>
          <w:szCs w:val="18"/>
        </w:rPr>
        <w:t xml:space="preserve"> </w:t>
      </w:r>
      <w:r w:rsidRPr="00CD4A7D">
        <w:rPr>
          <w:rFonts w:eastAsia="Calibri" w:cs="Arial"/>
          <w:sz w:val="18"/>
          <w:szCs w:val="18"/>
        </w:rPr>
        <w:t>H</w:t>
      </w:r>
      <w:r w:rsidRPr="00CD4A7D">
        <w:rPr>
          <w:rFonts w:cs="Arial"/>
          <w:sz w:val="18"/>
          <w:szCs w:val="18"/>
        </w:rPr>
        <w:t>-11 [</w:t>
      </w:r>
      <w:r w:rsidRPr="00CD4A7D">
        <w:rPr>
          <w:rFonts w:eastAsia="Calibri" w:cs="Arial"/>
          <w:sz w:val="18"/>
          <w:szCs w:val="18"/>
        </w:rPr>
        <w:t>New</w:t>
      </w:r>
      <w:r w:rsidRPr="00CD4A7D">
        <w:rPr>
          <w:rFonts w:cs="Arial"/>
          <w:sz w:val="18"/>
          <w:szCs w:val="18"/>
        </w:rPr>
        <w:t xml:space="preserve"> </w:t>
      </w:r>
      <w:r w:rsidRPr="00CD4A7D">
        <w:rPr>
          <w:rFonts w:eastAsia="Calibri" w:cs="Arial"/>
          <w:sz w:val="18"/>
          <w:szCs w:val="18"/>
        </w:rPr>
        <w:t>Brunswick</w:t>
      </w:r>
      <w:r w:rsidRPr="00CD4A7D">
        <w:rPr>
          <w:rFonts w:cs="Arial"/>
          <w:sz w:val="18"/>
          <w:szCs w:val="18"/>
        </w:rPr>
        <w:t xml:space="preserve">]; </w:t>
      </w:r>
      <w:r w:rsidRPr="00CD4A7D">
        <w:rPr>
          <w:rFonts w:eastAsia="Calibri" w:cs="Arial"/>
          <w:i/>
          <w:iCs/>
          <w:sz w:val="18"/>
          <w:szCs w:val="18"/>
        </w:rPr>
        <w:t>Human</w:t>
      </w:r>
      <w:r w:rsidRPr="00CD4A7D">
        <w:rPr>
          <w:rFonts w:cs="Arial"/>
          <w:i/>
          <w:iCs/>
          <w:sz w:val="18"/>
          <w:szCs w:val="18"/>
        </w:rPr>
        <w:t xml:space="preserve"> </w:t>
      </w:r>
      <w:r w:rsidRPr="00CD4A7D">
        <w:rPr>
          <w:rFonts w:eastAsia="Calibri" w:cs="Arial"/>
          <w:i/>
          <w:iCs/>
          <w:sz w:val="18"/>
          <w:szCs w:val="18"/>
        </w:rPr>
        <w:t>Rights Code</w:t>
      </w:r>
      <w:r w:rsidRPr="00CD4A7D">
        <w:rPr>
          <w:rFonts w:cs="Arial"/>
          <w:sz w:val="18"/>
          <w:szCs w:val="18"/>
        </w:rPr>
        <w:t xml:space="preserve">, </w:t>
      </w:r>
      <w:r w:rsidRPr="00CD4A7D">
        <w:rPr>
          <w:rFonts w:eastAsia="Calibri" w:cs="Arial"/>
          <w:sz w:val="18"/>
          <w:szCs w:val="18"/>
        </w:rPr>
        <w:t>RSNL</w:t>
      </w:r>
      <w:r w:rsidRPr="00CD4A7D">
        <w:rPr>
          <w:rFonts w:cs="Arial"/>
          <w:sz w:val="18"/>
          <w:szCs w:val="18"/>
        </w:rPr>
        <w:t xml:space="preserve"> 1990, </w:t>
      </w:r>
      <w:r w:rsidRPr="00CD4A7D">
        <w:rPr>
          <w:rFonts w:eastAsia="Calibri" w:cs="Arial"/>
          <w:sz w:val="18"/>
          <w:szCs w:val="18"/>
        </w:rPr>
        <w:t>c.</w:t>
      </w:r>
      <w:r w:rsidRPr="00CD4A7D">
        <w:rPr>
          <w:rFonts w:cs="Arial"/>
          <w:sz w:val="18"/>
          <w:szCs w:val="18"/>
        </w:rPr>
        <w:t xml:space="preserve"> </w:t>
      </w:r>
      <w:r w:rsidRPr="00CD4A7D">
        <w:rPr>
          <w:rFonts w:eastAsia="Calibri" w:cs="Arial"/>
          <w:sz w:val="18"/>
          <w:szCs w:val="18"/>
        </w:rPr>
        <w:t>H</w:t>
      </w:r>
      <w:r w:rsidRPr="00CD4A7D">
        <w:rPr>
          <w:rFonts w:cs="Arial"/>
          <w:sz w:val="18"/>
          <w:szCs w:val="18"/>
        </w:rPr>
        <w:t>-14 [</w:t>
      </w:r>
      <w:r w:rsidRPr="00CD4A7D">
        <w:rPr>
          <w:rFonts w:eastAsia="Calibri" w:cs="Arial"/>
          <w:sz w:val="18"/>
          <w:szCs w:val="18"/>
        </w:rPr>
        <w:t>Newfoundland</w:t>
      </w:r>
      <w:r w:rsidRPr="00CD4A7D">
        <w:rPr>
          <w:rFonts w:cs="Arial"/>
          <w:sz w:val="18"/>
          <w:szCs w:val="18"/>
        </w:rPr>
        <w:t xml:space="preserve"> </w:t>
      </w:r>
      <w:r w:rsidRPr="00CD4A7D">
        <w:rPr>
          <w:rFonts w:eastAsia="Calibri" w:cs="Arial"/>
          <w:sz w:val="18"/>
          <w:szCs w:val="18"/>
        </w:rPr>
        <w:t>&amp;</w:t>
      </w:r>
      <w:r w:rsidRPr="00CD4A7D">
        <w:rPr>
          <w:rFonts w:cs="Arial"/>
          <w:sz w:val="18"/>
          <w:szCs w:val="18"/>
        </w:rPr>
        <w:t xml:space="preserve"> </w:t>
      </w:r>
      <w:r w:rsidRPr="00CD4A7D">
        <w:rPr>
          <w:rFonts w:eastAsia="Calibri" w:cs="Arial"/>
          <w:sz w:val="18"/>
          <w:szCs w:val="18"/>
        </w:rPr>
        <w:t>Labrador</w:t>
      </w:r>
      <w:r w:rsidRPr="00CD4A7D">
        <w:rPr>
          <w:rFonts w:cs="Arial"/>
          <w:sz w:val="18"/>
          <w:szCs w:val="18"/>
        </w:rPr>
        <w:t xml:space="preserve">]; </w:t>
      </w:r>
      <w:r w:rsidRPr="00CD4A7D">
        <w:rPr>
          <w:rFonts w:eastAsia="Calibri" w:cs="Arial"/>
          <w:i/>
          <w:iCs/>
          <w:sz w:val="18"/>
          <w:szCs w:val="18"/>
        </w:rPr>
        <w:t>Human</w:t>
      </w:r>
      <w:r w:rsidRPr="00CD4A7D">
        <w:rPr>
          <w:rFonts w:cs="Arial"/>
          <w:i/>
          <w:iCs/>
          <w:sz w:val="18"/>
          <w:szCs w:val="18"/>
        </w:rPr>
        <w:t xml:space="preserve"> </w:t>
      </w:r>
      <w:r w:rsidRPr="00CD4A7D">
        <w:rPr>
          <w:rFonts w:eastAsia="Calibri" w:cs="Arial"/>
          <w:i/>
          <w:iCs/>
          <w:sz w:val="18"/>
          <w:szCs w:val="18"/>
        </w:rPr>
        <w:t>Rights</w:t>
      </w:r>
      <w:r w:rsidRPr="00CD4A7D">
        <w:rPr>
          <w:rFonts w:cs="Arial"/>
          <w:i/>
          <w:iCs/>
          <w:sz w:val="18"/>
          <w:szCs w:val="18"/>
        </w:rPr>
        <w:t xml:space="preserve"> </w:t>
      </w:r>
      <w:r w:rsidRPr="00CD4A7D">
        <w:rPr>
          <w:rFonts w:eastAsia="Calibri" w:cs="Arial"/>
          <w:i/>
          <w:iCs/>
          <w:sz w:val="18"/>
          <w:szCs w:val="18"/>
        </w:rPr>
        <w:t>Act</w:t>
      </w:r>
      <w:r w:rsidRPr="00CD4A7D">
        <w:rPr>
          <w:rFonts w:cs="Arial"/>
          <w:sz w:val="18"/>
          <w:szCs w:val="18"/>
        </w:rPr>
        <w:t xml:space="preserve">, </w:t>
      </w:r>
      <w:r w:rsidRPr="00CD4A7D">
        <w:rPr>
          <w:rFonts w:eastAsia="Calibri" w:cs="Arial"/>
          <w:sz w:val="18"/>
          <w:szCs w:val="18"/>
        </w:rPr>
        <w:t>SNWT</w:t>
      </w:r>
      <w:r w:rsidRPr="00CD4A7D">
        <w:rPr>
          <w:rFonts w:cs="Arial"/>
          <w:sz w:val="18"/>
          <w:szCs w:val="18"/>
        </w:rPr>
        <w:t xml:space="preserve"> 2002, </w:t>
      </w:r>
      <w:r w:rsidRPr="00CD4A7D">
        <w:rPr>
          <w:rFonts w:eastAsia="Calibri" w:cs="Arial"/>
          <w:sz w:val="18"/>
          <w:szCs w:val="18"/>
        </w:rPr>
        <w:t>c.</w:t>
      </w:r>
      <w:r w:rsidRPr="00CD4A7D">
        <w:rPr>
          <w:rFonts w:cs="Arial"/>
          <w:sz w:val="18"/>
          <w:szCs w:val="18"/>
        </w:rPr>
        <w:t xml:space="preserve"> 18 [</w:t>
      </w:r>
      <w:r w:rsidRPr="00CD4A7D">
        <w:rPr>
          <w:rFonts w:eastAsia="Calibri" w:cs="Arial"/>
          <w:sz w:val="18"/>
          <w:szCs w:val="18"/>
        </w:rPr>
        <w:t>Northwest Territories</w:t>
      </w:r>
      <w:r w:rsidRPr="00CD4A7D">
        <w:rPr>
          <w:rFonts w:cs="Arial"/>
          <w:sz w:val="18"/>
          <w:szCs w:val="18"/>
        </w:rPr>
        <w:t xml:space="preserve">]; </w:t>
      </w:r>
      <w:r w:rsidRPr="00CD4A7D">
        <w:rPr>
          <w:rFonts w:eastAsia="Calibri" w:cs="Arial"/>
          <w:i/>
          <w:iCs/>
          <w:sz w:val="18"/>
          <w:szCs w:val="18"/>
        </w:rPr>
        <w:t>Human</w:t>
      </w:r>
      <w:r w:rsidRPr="00CD4A7D">
        <w:rPr>
          <w:rFonts w:cs="Arial"/>
          <w:i/>
          <w:iCs/>
          <w:sz w:val="18"/>
          <w:szCs w:val="18"/>
        </w:rPr>
        <w:t xml:space="preserve"> </w:t>
      </w:r>
      <w:r w:rsidRPr="00CD4A7D">
        <w:rPr>
          <w:rFonts w:eastAsia="Calibri" w:cs="Arial"/>
          <w:i/>
          <w:iCs/>
          <w:sz w:val="18"/>
          <w:szCs w:val="18"/>
        </w:rPr>
        <w:t>Rights</w:t>
      </w:r>
      <w:r w:rsidRPr="00CD4A7D">
        <w:rPr>
          <w:rFonts w:cs="Arial"/>
          <w:i/>
          <w:iCs/>
          <w:sz w:val="18"/>
          <w:szCs w:val="18"/>
        </w:rPr>
        <w:t xml:space="preserve"> </w:t>
      </w:r>
      <w:r w:rsidRPr="00CD4A7D">
        <w:rPr>
          <w:rFonts w:eastAsia="Calibri" w:cs="Arial"/>
          <w:i/>
          <w:iCs/>
          <w:sz w:val="18"/>
          <w:szCs w:val="18"/>
        </w:rPr>
        <w:t>Act</w:t>
      </w:r>
      <w:r w:rsidRPr="00CD4A7D">
        <w:rPr>
          <w:rFonts w:cs="Arial"/>
          <w:sz w:val="18"/>
          <w:szCs w:val="18"/>
        </w:rPr>
        <w:t xml:space="preserve">, </w:t>
      </w:r>
      <w:r w:rsidRPr="00CD4A7D">
        <w:rPr>
          <w:rFonts w:eastAsia="Calibri" w:cs="Arial"/>
          <w:sz w:val="18"/>
          <w:szCs w:val="18"/>
        </w:rPr>
        <w:t>RSNS</w:t>
      </w:r>
      <w:r w:rsidRPr="00CD4A7D">
        <w:rPr>
          <w:rFonts w:cs="Arial"/>
          <w:sz w:val="18"/>
          <w:szCs w:val="18"/>
        </w:rPr>
        <w:t xml:space="preserve"> 1989, </w:t>
      </w:r>
      <w:r w:rsidRPr="00CD4A7D">
        <w:rPr>
          <w:rFonts w:eastAsia="Calibri" w:cs="Arial"/>
          <w:sz w:val="18"/>
          <w:szCs w:val="18"/>
        </w:rPr>
        <w:t>c.</w:t>
      </w:r>
      <w:r w:rsidRPr="00CD4A7D">
        <w:rPr>
          <w:rFonts w:cs="Arial"/>
          <w:sz w:val="18"/>
          <w:szCs w:val="18"/>
        </w:rPr>
        <w:t xml:space="preserve"> 214 [</w:t>
      </w:r>
      <w:r w:rsidRPr="00CD4A7D">
        <w:rPr>
          <w:rFonts w:eastAsia="Calibri" w:cs="Arial"/>
          <w:sz w:val="18"/>
          <w:szCs w:val="18"/>
        </w:rPr>
        <w:t>Nova Scotia</w:t>
      </w:r>
      <w:r w:rsidRPr="00CD4A7D">
        <w:rPr>
          <w:rFonts w:cs="Arial"/>
          <w:sz w:val="18"/>
          <w:szCs w:val="18"/>
        </w:rPr>
        <w:t xml:space="preserve">]; </w:t>
      </w:r>
      <w:r w:rsidRPr="00CD4A7D">
        <w:rPr>
          <w:rFonts w:eastAsia="Calibri" w:cs="Arial"/>
          <w:sz w:val="18"/>
          <w:szCs w:val="18"/>
        </w:rPr>
        <w:t>Human</w:t>
      </w:r>
      <w:r w:rsidRPr="00CD4A7D">
        <w:rPr>
          <w:rFonts w:cs="Arial"/>
          <w:sz w:val="18"/>
          <w:szCs w:val="18"/>
        </w:rPr>
        <w:t xml:space="preserve"> </w:t>
      </w:r>
      <w:r w:rsidRPr="00CD4A7D">
        <w:rPr>
          <w:rFonts w:eastAsia="Calibri" w:cs="Arial"/>
          <w:sz w:val="18"/>
          <w:szCs w:val="18"/>
        </w:rPr>
        <w:t>Rights</w:t>
      </w:r>
      <w:r w:rsidRPr="00CD4A7D">
        <w:rPr>
          <w:rFonts w:cs="Arial"/>
          <w:sz w:val="18"/>
          <w:szCs w:val="18"/>
        </w:rPr>
        <w:t xml:space="preserve"> </w:t>
      </w:r>
      <w:r w:rsidRPr="00CD4A7D">
        <w:rPr>
          <w:rFonts w:eastAsia="Calibri" w:cs="Arial"/>
          <w:sz w:val="18"/>
          <w:szCs w:val="18"/>
        </w:rPr>
        <w:t>Act</w:t>
      </w:r>
      <w:r w:rsidRPr="00CD4A7D">
        <w:rPr>
          <w:rFonts w:cs="Arial"/>
          <w:sz w:val="18"/>
          <w:szCs w:val="18"/>
        </w:rPr>
        <w:t xml:space="preserve">, </w:t>
      </w:r>
      <w:r w:rsidRPr="00CD4A7D">
        <w:rPr>
          <w:rFonts w:eastAsia="Calibri" w:cs="Arial"/>
          <w:sz w:val="18"/>
          <w:szCs w:val="18"/>
        </w:rPr>
        <w:t>SNu</w:t>
      </w:r>
      <w:r w:rsidRPr="00CD4A7D">
        <w:rPr>
          <w:rFonts w:cs="Arial"/>
          <w:sz w:val="18"/>
          <w:szCs w:val="18"/>
        </w:rPr>
        <w:t xml:space="preserve"> 2003, </w:t>
      </w:r>
      <w:r w:rsidRPr="00CD4A7D">
        <w:rPr>
          <w:rFonts w:eastAsia="Calibri" w:cs="Arial"/>
          <w:sz w:val="18"/>
          <w:szCs w:val="18"/>
        </w:rPr>
        <w:t>c.</w:t>
      </w:r>
      <w:r w:rsidRPr="00CD4A7D">
        <w:rPr>
          <w:rFonts w:cs="Arial"/>
          <w:sz w:val="18"/>
          <w:szCs w:val="18"/>
        </w:rPr>
        <w:t xml:space="preserve"> 12 [</w:t>
      </w:r>
      <w:r w:rsidRPr="00CD4A7D">
        <w:rPr>
          <w:rFonts w:eastAsia="Calibri" w:cs="Arial"/>
          <w:sz w:val="18"/>
          <w:szCs w:val="18"/>
        </w:rPr>
        <w:t>Nunavut</w:t>
      </w:r>
      <w:r w:rsidRPr="00CD4A7D">
        <w:rPr>
          <w:rFonts w:cs="Arial"/>
          <w:sz w:val="18"/>
          <w:szCs w:val="18"/>
        </w:rPr>
        <w:t xml:space="preserve">]; </w:t>
      </w:r>
      <w:r w:rsidRPr="00CD4A7D">
        <w:rPr>
          <w:rFonts w:eastAsia="Calibri" w:cs="Arial"/>
          <w:i/>
          <w:iCs/>
          <w:sz w:val="18"/>
          <w:szCs w:val="18"/>
        </w:rPr>
        <w:t>Human</w:t>
      </w:r>
      <w:r w:rsidRPr="00CD4A7D">
        <w:rPr>
          <w:rFonts w:cs="Arial"/>
          <w:i/>
          <w:iCs/>
          <w:sz w:val="18"/>
          <w:szCs w:val="18"/>
        </w:rPr>
        <w:t xml:space="preserve"> </w:t>
      </w:r>
      <w:r w:rsidRPr="00CD4A7D">
        <w:rPr>
          <w:rFonts w:eastAsia="Calibri" w:cs="Arial"/>
          <w:i/>
          <w:iCs/>
          <w:sz w:val="18"/>
          <w:szCs w:val="18"/>
        </w:rPr>
        <w:t>Rights</w:t>
      </w:r>
      <w:r w:rsidRPr="00CD4A7D">
        <w:rPr>
          <w:rFonts w:cs="Arial"/>
          <w:i/>
          <w:iCs/>
          <w:sz w:val="18"/>
          <w:szCs w:val="18"/>
        </w:rPr>
        <w:t xml:space="preserve"> </w:t>
      </w:r>
      <w:r w:rsidRPr="00CD4A7D">
        <w:rPr>
          <w:rFonts w:eastAsia="Calibri" w:cs="Arial"/>
          <w:i/>
          <w:iCs/>
          <w:sz w:val="18"/>
          <w:szCs w:val="18"/>
        </w:rPr>
        <w:t>Code</w:t>
      </w:r>
      <w:r w:rsidRPr="00CD4A7D">
        <w:rPr>
          <w:rFonts w:cs="Arial"/>
          <w:sz w:val="18"/>
          <w:szCs w:val="18"/>
        </w:rPr>
        <w:t xml:space="preserve">, </w:t>
      </w:r>
      <w:r w:rsidRPr="00CD4A7D">
        <w:rPr>
          <w:rFonts w:eastAsia="Calibri" w:cs="Arial"/>
          <w:sz w:val="18"/>
          <w:szCs w:val="18"/>
        </w:rPr>
        <w:t>RSO</w:t>
      </w:r>
      <w:r w:rsidRPr="00CD4A7D">
        <w:rPr>
          <w:rFonts w:cs="Arial"/>
          <w:sz w:val="18"/>
          <w:szCs w:val="18"/>
        </w:rPr>
        <w:t xml:space="preserve"> 1990, </w:t>
      </w:r>
      <w:r w:rsidRPr="00CD4A7D">
        <w:rPr>
          <w:rFonts w:eastAsia="Calibri" w:cs="Arial"/>
          <w:sz w:val="18"/>
          <w:szCs w:val="18"/>
        </w:rPr>
        <w:t>c.</w:t>
      </w:r>
      <w:r w:rsidRPr="00CD4A7D">
        <w:rPr>
          <w:rFonts w:cs="Arial"/>
          <w:sz w:val="18"/>
          <w:szCs w:val="18"/>
        </w:rPr>
        <w:t xml:space="preserve"> </w:t>
      </w:r>
      <w:r w:rsidRPr="00CD4A7D">
        <w:rPr>
          <w:rFonts w:eastAsia="Calibri" w:cs="Arial"/>
          <w:sz w:val="18"/>
          <w:szCs w:val="18"/>
        </w:rPr>
        <w:t>H</w:t>
      </w:r>
      <w:r w:rsidRPr="00CD4A7D">
        <w:rPr>
          <w:rFonts w:cs="Arial"/>
          <w:sz w:val="18"/>
          <w:szCs w:val="18"/>
        </w:rPr>
        <w:t>.19 [</w:t>
      </w:r>
      <w:r w:rsidRPr="00CD4A7D">
        <w:rPr>
          <w:rFonts w:eastAsia="Calibri" w:cs="Arial"/>
          <w:sz w:val="18"/>
          <w:szCs w:val="18"/>
        </w:rPr>
        <w:t>Ontario</w:t>
      </w:r>
      <w:r w:rsidRPr="00CD4A7D">
        <w:rPr>
          <w:rFonts w:cs="Arial"/>
          <w:sz w:val="18"/>
          <w:szCs w:val="18"/>
        </w:rPr>
        <w:t xml:space="preserve">]; </w:t>
      </w:r>
      <w:r w:rsidRPr="00CD4A7D">
        <w:rPr>
          <w:rFonts w:eastAsia="Calibri" w:cs="Arial"/>
          <w:i/>
          <w:iCs/>
          <w:sz w:val="18"/>
          <w:szCs w:val="18"/>
        </w:rPr>
        <w:t>Human</w:t>
      </w:r>
      <w:r w:rsidRPr="00CD4A7D">
        <w:rPr>
          <w:rFonts w:cs="Arial"/>
          <w:i/>
          <w:iCs/>
          <w:sz w:val="18"/>
          <w:szCs w:val="18"/>
        </w:rPr>
        <w:t xml:space="preserve"> </w:t>
      </w:r>
      <w:r w:rsidRPr="00CD4A7D">
        <w:rPr>
          <w:rFonts w:eastAsia="Calibri" w:cs="Arial"/>
          <w:i/>
          <w:iCs/>
          <w:sz w:val="18"/>
          <w:szCs w:val="18"/>
        </w:rPr>
        <w:t>Rights</w:t>
      </w:r>
      <w:r w:rsidRPr="00CD4A7D">
        <w:rPr>
          <w:rFonts w:cs="Arial"/>
          <w:i/>
          <w:iCs/>
          <w:sz w:val="18"/>
          <w:szCs w:val="18"/>
        </w:rPr>
        <w:t xml:space="preserve"> </w:t>
      </w:r>
      <w:r w:rsidRPr="00CD4A7D">
        <w:rPr>
          <w:rFonts w:eastAsia="Calibri" w:cs="Arial"/>
          <w:i/>
          <w:iCs/>
          <w:sz w:val="18"/>
          <w:szCs w:val="18"/>
        </w:rPr>
        <w:t>Act</w:t>
      </w:r>
      <w:r w:rsidRPr="00CD4A7D">
        <w:rPr>
          <w:rFonts w:cs="Arial"/>
          <w:sz w:val="18"/>
          <w:szCs w:val="18"/>
        </w:rPr>
        <w:t xml:space="preserve">, </w:t>
      </w:r>
      <w:r w:rsidRPr="00CD4A7D">
        <w:rPr>
          <w:rFonts w:eastAsia="Calibri" w:cs="Arial"/>
          <w:sz w:val="18"/>
          <w:szCs w:val="18"/>
        </w:rPr>
        <w:t>RSPEI</w:t>
      </w:r>
      <w:r w:rsidRPr="00CD4A7D">
        <w:rPr>
          <w:rFonts w:cs="Arial"/>
          <w:sz w:val="18"/>
          <w:szCs w:val="18"/>
        </w:rPr>
        <w:t xml:space="preserve"> 1988, </w:t>
      </w:r>
      <w:r w:rsidRPr="00CD4A7D">
        <w:rPr>
          <w:rFonts w:eastAsia="Calibri" w:cs="Arial"/>
          <w:sz w:val="18"/>
          <w:szCs w:val="18"/>
        </w:rPr>
        <w:t>c.</w:t>
      </w:r>
      <w:r w:rsidRPr="00CD4A7D">
        <w:rPr>
          <w:rFonts w:cs="Arial"/>
          <w:sz w:val="18"/>
          <w:szCs w:val="18"/>
        </w:rPr>
        <w:t xml:space="preserve"> </w:t>
      </w:r>
      <w:r w:rsidRPr="00CD4A7D">
        <w:rPr>
          <w:rFonts w:eastAsia="Calibri" w:cs="Arial"/>
          <w:sz w:val="18"/>
          <w:szCs w:val="18"/>
        </w:rPr>
        <w:t>H</w:t>
      </w:r>
      <w:r w:rsidRPr="00CD4A7D">
        <w:rPr>
          <w:rFonts w:cs="Arial"/>
          <w:sz w:val="18"/>
          <w:szCs w:val="18"/>
        </w:rPr>
        <w:t>-12 [</w:t>
      </w:r>
      <w:r w:rsidRPr="00CD4A7D">
        <w:rPr>
          <w:rFonts w:eastAsia="Calibri" w:cs="Arial"/>
          <w:sz w:val="18"/>
          <w:szCs w:val="18"/>
        </w:rPr>
        <w:t>Prince</w:t>
      </w:r>
      <w:r w:rsidRPr="00CD4A7D">
        <w:rPr>
          <w:rFonts w:cs="Arial"/>
          <w:sz w:val="18"/>
          <w:szCs w:val="18"/>
        </w:rPr>
        <w:t xml:space="preserve"> </w:t>
      </w:r>
      <w:r w:rsidRPr="00CD4A7D">
        <w:rPr>
          <w:rFonts w:eastAsia="Calibri" w:cs="Arial"/>
          <w:sz w:val="18"/>
          <w:szCs w:val="18"/>
        </w:rPr>
        <w:t>Edward Island</w:t>
      </w:r>
      <w:r w:rsidRPr="00CD4A7D">
        <w:rPr>
          <w:rFonts w:cs="Arial"/>
          <w:sz w:val="18"/>
          <w:szCs w:val="18"/>
        </w:rPr>
        <w:t xml:space="preserve">]; </w:t>
      </w:r>
      <w:r w:rsidRPr="00CD4A7D">
        <w:rPr>
          <w:rFonts w:eastAsia="Calibri" w:cs="Arial"/>
          <w:i/>
          <w:iCs/>
          <w:sz w:val="18"/>
          <w:szCs w:val="18"/>
        </w:rPr>
        <w:t>Québec</w:t>
      </w:r>
      <w:r w:rsidRPr="00CD4A7D">
        <w:rPr>
          <w:rFonts w:cs="Arial"/>
          <w:i/>
          <w:iCs/>
          <w:sz w:val="18"/>
          <w:szCs w:val="18"/>
        </w:rPr>
        <w:t xml:space="preserve"> </w:t>
      </w:r>
      <w:r w:rsidRPr="00CD4A7D">
        <w:rPr>
          <w:rFonts w:eastAsia="Calibri" w:cs="Arial"/>
          <w:i/>
          <w:iCs/>
          <w:sz w:val="18"/>
          <w:szCs w:val="18"/>
        </w:rPr>
        <w:t>Charter</w:t>
      </w:r>
      <w:r w:rsidRPr="00CD4A7D">
        <w:rPr>
          <w:rFonts w:cs="Arial"/>
          <w:i/>
          <w:iCs/>
          <w:sz w:val="18"/>
          <w:szCs w:val="18"/>
        </w:rPr>
        <w:t xml:space="preserve"> </w:t>
      </w:r>
      <w:r w:rsidRPr="00CD4A7D">
        <w:rPr>
          <w:rFonts w:eastAsia="Calibri" w:cs="Arial"/>
          <w:i/>
          <w:iCs/>
          <w:sz w:val="18"/>
          <w:szCs w:val="18"/>
        </w:rPr>
        <w:t>of</w:t>
      </w:r>
      <w:r w:rsidRPr="00CD4A7D">
        <w:rPr>
          <w:rFonts w:cs="Arial"/>
          <w:i/>
          <w:iCs/>
          <w:sz w:val="18"/>
          <w:szCs w:val="18"/>
        </w:rPr>
        <w:t xml:space="preserve"> </w:t>
      </w:r>
      <w:r w:rsidRPr="00CD4A7D">
        <w:rPr>
          <w:rFonts w:eastAsia="Calibri" w:cs="Arial"/>
          <w:i/>
          <w:iCs/>
          <w:sz w:val="18"/>
          <w:szCs w:val="18"/>
        </w:rPr>
        <w:t>Human</w:t>
      </w:r>
      <w:r w:rsidRPr="00CD4A7D">
        <w:rPr>
          <w:rFonts w:cs="Arial"/>
          <w:i/>
          <w:iCs/>
          <w:sz w:val="18"/>
          <w:szCs w:val="18"/>
        </w:rPr>
        <w:t xml:space="preserve"> </w:t>
      </w:r>
      <w:r w:rsidRPr="00CD4A7D">
        <w:rPr>
          <w:rFonts w:eastAsia="Calibri" w:cs="Arial"/>
          <w:i/>
          <w:iCs/>
          <w:sz w:val="18"/>
          <w:szCs w:val="18"/>
        </w:rPr>
        <w:t>Rights</w:t>
      </w:r>
      <w:r w:rsidRPr="00CD4A7D">
        <w:rPr>
          <w:rFonts w:cs="Arial"/>
          <w:i/>
          <w:iCs/>
          <w:sz w:val="18"/>
          <w:szCs w:val="18"/>
        </w:rPr>
        <w:t xml:space="preserve"> </w:t>
      </w:r>
      <w:r w:rsidRPr="00CD4A7D">
        <w:rPr>
          <w:rFonts w:eastAsia="Calibri" w:cs="Arial"/>
          <w:i/>
          <w:iCs/>
          <w:sz w:val="18"/>
          <w:szCs w:val="18"/>
        </w:rPr>
        <w:t>and</w:t>
      </w:r>
      <w:r w:rsidRPr="00CD4A7D">
        <w:rPr>
          <w:rFonts w:cs="Arial"/>
          <w:i/>
          <w:iCs/>
          <w:sz w:val="18"/>
          <w:szCs w:val="18"/>
        </w:rPr>
        <w:t xml:space="preserve"> </w:t>
      </w:r>
      <w:r w:rsidRPr="00CD4A7D">
        <w:rPr>
          <w:rFonts w:eastAsia="Calibri" w:cs="Arial"/>
          <w:i/>
          <w:iCs/>
          <w:sz w:val="18"/>
          <w:szCs w:val="18"/>
        </w:rPr>
        <w:t>Freedoms</w:t>
      </w:r>
      <w:r w:rsidRPr="00CD4A7D">
        <w:rPr>
          <w:rFonts w:eastAsia="Calibri" w:cs="Arial"/>
          <w:sz w:val="18"/>
          <w:szCs w:val="18"/>
        </w:rPr>
        <w:t xml:space="preserve"> RSQ</w:t>
      </w:r>
      <w:r w:rsidRPr="00CD4A7D">
        <w:rPr>
          <w:rFonts w:cs="Arial"/>
          <w:sz w:val="18"/>
          <w:szCs w:val="18"/>
        </w:rPr>
        <w:t xml:space="preserve"> 1975, </w:t>
      </w:r>
      <w:r w:rsidRPr="00CD4A7D">
        <w:rPr>
          <w:rFonts w:eastAsia="Calibri" w:cs="Arial"/>
          <w:sz w:val="18"/>
          <w:szCs w:val="18"/>
        </w:rPr>
        <w:t>c.</w:t>
      </w:r>
      <w:r w:rsidRPr="00CD4A7D">
        <w:rPr>
          <w:rFonts w:cs="Arial"/>
          <w:sz w:val="18"/>
          <w:szCs w:val="18"/>
        </w:rPr>
        <w:t xml:space="preserve"> </w:t>
      </w:r>
      <w:r w:rsidRPr="00CD4A7D">
        <w:rPr>
          <w:rFonts w:eastAsia="Calibri" w:cs="Arial"/>
          <w:sz w:val="18"/>
          <w:szCs w:val="18"/>
        </w:rPr>
        <w:t>C</w:t>
      </w:r>
      <w:r w:rsidRPr="00CD4A7D">
        <w:rPr>
          <w:rFonts w:cs="Arial"/>
          <w:sz w:val="18"/>
          <w:szCs w:val="18"/>
        </w:rPr>
        <w:t>-12 [</w:t>
      </w:r>
      <w:r w:rsidRPr="00CD4A7D">
        <w:rPr>
          <w:rFonts w:eastAsia="Calibri" w:cs="Arial"/>
          <w:sz w:val="18"/>
          <w:szCs w:val="18"/>
        </w:rPr>
        <w:t>Québec</w:t>
      </w:r>
      <w:r w:rsidRPr="00CD4A7D">
        <w:rPr>
          <w:rFonts w:cs="Arial"/>
          <w:sz w:val="18"/>
          <w:szCs w:val="18"/>
        </w:rPr>
        <w:t xml:space="preserve">]; </w:t>
      </w:r>
      <w:r w:rsidRPr="00CD4A7D">
        <w:rPr>
          <w:rFonts w:eastAsia="Calibri" w:cs="Arial"/>
          <w:i/>
          <w:iCs/>
          <w:sz w:val="18"/>
          <w:szCs w:val="18"/>
        </w:rPr>
        <w:t>Saskatchewan</w:t>
      </w:r>
      <w:r w:rsidRPr="00CD4A7D">
        <w:rPr>
          <w:rFonts w:cs="Arial"/>
          <w:i/>
          <w:iCs/>
          <w:sz w:val="18"/>
          <w:szCs w:val="18"/>
        </w:rPr>
        <w:t xml:space="preserve"> </w:t>
      </w:r>
      <w:r w:rsidRPr="00CD4A7D">
        <w:rPr>
          <w:rFonts w:eastAsia="Calibri" w:cs="Arial"/>
          <w:i/>
          <w:iCs/>
          <w:sz w:val="18"/>
          <w:szCs w:val="18"/>
        </w:rPr>
        <w:t>Human Rights</w:t>
      </w:r>
      <w:r w:rsidRPr="00CD4A7D">
        <w:rPr>
          <w:rFonts w:cs="Arial"/>
          <w:i/>
          <w:iCs/>
          <w:sz w:val="18"/>
          <w:szCs w:val="18"/>
        </w:rPr>
        <w:t xml:space="preserve"> </w:t>
      </w:r>
      <w:r w:rsidRPr="00CD4A7D">
        <w:rPr>
          <w:rFonts w:eastAsia="Calibri" w:cs="Arial"/>
          <w:i/>
          <w:iCs/>
          <w:sz w:val="18"/>
          <w:szCs w:val="18"/>
        </w:rPr>
        <w:t>Code</w:t>
      </w:r>
      <w:r w:rsidRPr="00CD4A7D">
        <w:rPr>
          <w:rFonts w:cs="Arial"/>
          <w:sz w:val="18"/>
          <w:szCs w:val="18"/>
        </w:rPr>
        <w:t xml:space="preserve">, </w:t>
      </w:r>
      <w:r w:rsidRPr="00CD4A7D">
        <w:rPr>
          <w:rFonts w:eastAsia="Calibri" w:cs="Arial"/>
          <w:sz w:val="18"/>
          <w:szCs w:val="18"/>
        </w:rPr>
        <w:t>SS</w:t>
      </w:r>
      <w:r w:rsidRPr="00CD4A7D">
        <w:rPr>
          <w:rFonts w:cs="Arial"/>
          <w:sz w:val="18"/>
          <w:szCs w:val="18"/>
        </w:rPr>
        <w:t xml:space="preserve"> 1979, </w:t>
      </w:r>
      <w:r w:rsidRPr="00CD4A7D">
        <w:rPr>
          <w:rFonts w:eastAsia="Calibri" w:cs="Arial"/>
          <w:sz w:val="18"/>
          <w:szCs w:val="18"/>
        </w:rPr>
        <w:t>c.</w:t>
      </w:r>
      <w:r w:rsidRPr="00CD4A7D">
        <w:rPr>
          <w:rFonts w:cs="Arial"/>
          <w:sz w:val="18"/>
          <w:szCs w:val="18"/>
        </w:rPr>
        <w:t xml:space="preserve"> </w:t>
      </w:r>
      <w:r w:rsidRPr="00CD4A7D">
        <w:rPr>
          <w:rFonts w:eastAsia="Calibri" w:cs="Arial"/>
          <w:sz w:val="18"/>
          <w:szCs w:val="18"/>
        </w:rPr>
        <w:t>S</w:t>
      </w:r>
      <w:r w:rsidRPr="00CD4A7D">
        <w:rPr>
          <w:rFonts w:cs="Arial"/>
          <w:sz w:val="18"/>
          <w:szCs w:val="18"/>
        </w:rPr>
        <w:t>-24.1 [</w:t>
      </w:r>
      <w:r w:rsidRPr="00CD4A7D">
        <w:rPr>
          <w:rFonts w:eastAsia="Calibri" w:cs="Arial"/>
          <w:sz w:val="18"/>
          <w:szCs w:val="18"/>
        </w:rPr>
        <w:t>Saskatchewan</w:t>
      </w:r>
      <w:r w:rsidRPr="00CD4A7D">
        <w:rPr>
          <w:rFonts w:cs="Arial"/>
          <w:sz w:val="18"/>
          <w:szCs w:val="18"/>
        </w:rPr>
        <w:t xml:space="preserve">]; </w:t>
      </w:r>
      <w:r w:rsidRPr="00CD4A7D">
        <w:rPr>
          <w:rFonts w:eastAsia="Calibri" w:cs="Arial"/>
          <w:i/>
          <w:iCs/>
          <w:sz w:val="18"/>
          <w:szCs w:val="18"/>
        </w:rPr>
        <w:t>Human Rights</w:t>
      </w:r>
      <w:r w:rsidRPr="00CD4A7D">
        <w:rPr>
          <w:rFonts w:cs="Arial"/>
          <w:i/>
          <w:iCs/>
          <w:sz w:val="18"/>
          <w:szCs w:val="18"/>
        </w:rPr>
        <w:t xml:space="preserve"> </w:t>
      </w:r>
      <w:r w:rsidRPr="00CD4A7D">
        <w:rPr>
          <w:rFonts w:eastAsia="Calibri" w:cs="Arial"/>
          <w:i/>
          <w:iCs/>
          <w:sz w:val="18"/>
          <w:szCs w:val="18"/>
        </w:rPr>
        <w:t>Act</w:t>
      </w:r>
      <w:r w:rsidRPr="00CD4A7D">
        <w:rPr>
          <w:rFonts w:cs="Arial"/>
          <w:sz w:val="18"/>
          <w:szCs w:val="18"/>
        </w:rPr>
        <w:t xml:space="preserve">, </w:t>
      </w:r>
      <w:r w:rsidRPr="00CD4A7D">
        <w:rPr>
          <w:rFonts w:eastAsia="Calibri" w:cs="Arial"/>
          <w:sz w:val="18"/>
          <w:szCs w:val="18"/>
        </w:rPr>
        <w:t>RSY</w:t>
      </w:r>
      <w:r w:rsidRPr="00CD4A7D">
        <w:rPr>
          <w:rFonts w:cs="Arial"/>
          <w:sz w:val="18"/>
          <w:szCs w:val="18"/>
        </w:rPr>
        <w:t xml:space="preserve"> 2002, </w:t>
      </w:r>
      <w:r w:rsidRPr="00CD4A7D">
        <w:rPr>
          <w:rFonts w:eastAsia="Calibri" w:cs="Arial"/>
          <w:sz w:val="18"/>
          <w:szCs w:val="18"/>
        </w:rPr>
        <w:t>c.</w:t>
      </w:r>
      <w:r w:rsidRPr="00CD4A7D">
        <w:rPr>
          <w:rFonts w:cs="Arial"/>
          <w:sz w:val="18"/>
          <w:szCs w:val="18"/>
        </w:rPr>
        <w:t xml:space="preserve"> 116 [</w:t>
      </w:r>
      <w:r w:rsidRPr="00CD4A7D">
        <w:rPr>
          <w:rFonts w:eastAsia="Calibri" w:cs="Arial"/>
          <w:sz w:val="18"/>
          <w:szCs w:val="18"/>
        </w:rPr>
        <w:t>Yukon</w:t>
      </w:r>
      <w:r w:rsidRPr="00CD4A7D">
        <w:rPr>
          <w:rFonts w:cs="Arial"/>
          <w:sz w:val="18"/>
          <w:szCs w:val="18"/>
        </w:rPr>
        <w:t xml:space="preserve">].  </w:t>
      </w:r>
    </w:p>
  </w:endnote>
  <w:endnote w:id="5">
    <w:p w14:paraId="71CE5128" w14:textId="1670CE0B"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C. Hastings et al., </w:t>
      </w:r>
      <w:r w:rsidRPr="00CD4A7D">
        <w:rPr>
          <w:rFonts w:cs="Arial"/>
          <w:i/>
          <w:iCs/>
          <w:sz w:val="18"/>
          <w:szCs w:val="18"/>
        </w:rPr>
        <w:t>HIV Criminalization in Canada: Key Trends and Patterns (1989–2020)</w:t>
      </w:r>
      <w:r w:rsidRPr="00CD4A7D">
        <w:rPr>
          <w:rFonts w:cs="Arial"/>
          <w:sz w:val="18"/>
          <w:szCs w:val="18"/>
        </w:rPr>
        <w:t>, HIV Legal Network, 2022.</w:t>
      </w:r>
    </w:p>
  </w:endnote>
  <w:endnote w:id="6">
    <w:p w14:paraId="130C5DE0" w14:textId="38F47FB4"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See, e.g., M. Loutfy et al., “Canadian Consensus Statement on HIV and its transmission in the context of the criminal law,” </w:t>
      </w:r>
      <w:r w:rsidRPr="00CD4A7D">
        <w:rPr>
          <w:rFonts w:cs="Arial"/>
          <w:i/>
          <w:iCs/>
          <w:sz w:val="18"/>
          <w:szCs w:val="18"/>
        </w:rPr>
        <w:t>Canadian Journal of Infectious Diseases &amp; Medical Microbiology</w:t>
      </w:r>
      <w:r w:rsidRPr="00CD4A7D">
        <w:rPr>
          <w:rFonts w:cs="Arial"/>
          <w:sz w:val="18"/>
          <w:szCs w:val="18"/>
        </w:rPr>
        <w:t xml:space="preserve"> 25, 3 (2014): 135–140; and A.J. Rodger et al., “Sexual activity without condoms and risk of HIV transmission in </w:t>
      </w:r>
      <w:r w:rsidRPr="00CD4A7D">
        <w:rPr>
          <w:rFonts w:cs="Arial"/>
          <w:sz w:val="18"/>
          <w:szCs w:val="18"/>
        </w:rPr>
        <w:t xml:space="preserve">serodifferent couples when the HIV-positive partner is using suppressive antiretroviral therapy,” </w:t>
      </w:r>
      <w:r w:rsidRPr="00CD4A7D">
        <w:rPr>
          <w:rFonts w:cs="Arial"/>
          <w:i/>
          <w:iCs/>
          <w:sz w:val="18"/>
          <w:szCs w:val="18"/>
        </w:rPr>
        <w:t>JAMA</w:t>
      </w:r>
      <w:r w:rsidRPr="00CD4A7D">
        <w:rPr>
          <w:rFonts w:cs="Arial"/>
          <w:sz w:val="18"/>
          <w:szCs w:val="18"/>
        </w:rPr>
        <w:t> 316, 2 (July 12, 2016): pp. 171–181.</w:t>
      </w:r>
    </w:p>
  </w:endnote>
  <w:endnote w:id="7">
    <w:p w14:paraId="5C7A150B"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HIV Legal Network, </w:t>
      </w:r>
      <w:r w:rsidRPr="00CD4A7D">
        <w:rPr>
          <w:rFonts w:cs="Arial"/>
          <w:i/>
          <w:iCs/>
          <w:sz w:val="18"/>
          <w:szCs w:val="18"/>
        </w:rPr>
        <w:t>Prosecuting HIV-related criminal cases in Canada: A Model Policy</w:t>
      </w:r>
      <w:r w:rsidRPr="00CD4A7D">
        <w:rPr>
          <w:rFonts w:cs="Arial"/>
          <w:sz w:val="18"/>
          <w:szCs w:val="18"/>
        </w:rPr>
        <w:t>, March 2022.</w:t>
      </w:r>
    </w:p>
  </w:endnote>
  <w:endnote w:id="8">
    <w:p w14:paraId="22EE15E2" w14:textId="5D96FBB9"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UN General Assembly, </w:t>
      </w:r>
      <w:r w:rsidRPr="00CD4A7D">
        <w:rPr>
          <w:rFonts w:cs="Arial"/>
          <w:i/>
          <w:sz w:val="18"/>
          <w:szCs w:val="18"/>
        </w:rPr>
        <w:t>Report of the Special Rapporteur on the right of everyone to the enjoyment of the highest attainable standard of physical and mental health, Anand Grover</w:t>
      </w:r>
      <w:r w:rsidRPr="00CD4A7D">
        <w:rPr>
          <w:rFonts w:cs="Arial"/>
          <w:sz w:val="18"/>
          <w:szCs w:val="18"/>
        </w:rPr>
        <w:t>, Human Rights Council, Fourteenth session, Agenda item 3, A/HRC/14/20, April 27, 2010, para. 71.</w:t>
      </w:r>
    </w:p>
  </w:endnote>
  <w:endnote w:id="9">
    <w:p w14:paraId="22CA3281" w14:textId="0443D695"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P. Allard, C. Kazatchkine and A. Symington, “Criminal prosecutions for HIV non-disclosure: Protecting women from infection or threatening prevention efforts?” in. J. Gahagan (ed.), </w:t>
      </w:r>
      <w:r w:rsidRPr="00CD4A7D">
        <w:rPr>
          <w:rFonts w:cs="Arial"/>
          <w:i/>
          <w:sz w:val="18"/>
          <w:szCs w:val="18"/>
        </w:rPr>
        <w:t>Women and HIV Prevention in Canada: Implications for Research, Policy, and Practice</w:t>
      </w:r>
      <w:r w:rsidRPr="00CD4A7D">
        <w:rPr>
          <w:rFonts w:cs="Arial"/>
          <w:sz w:val="18"/>
          <w:szCs w:val="18"/>
        </w:rPr>
        <w:t xml:space="preserve"> (Toronto: Women’s Press, 2013): 195–218.</w:t>
      </w:r>
    </w:p>
  </w:endnote>
  <w:endnote w:id="10">
    <w:p w14:paraId="20131D30" w14:textId="7A917995"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See, for example, </w:t>
      </w:r>
      <w:r w:rsidRPr="00CD4A7D">
        <w:rPr>
          <w:rFonts w:cs="Arial"/>
          <w:i/>
          <w:iCs/>
          <w:sz w:val="18"/>
          <w:szCs w:val="18"/>
        </w:rPr>
        <w:t>HIV Criminalization in Canada: Key Trends and Patterns (1989-2020)</w:t>
      </w:r>
      <w:r w:rsidRPr="00CD4A7D">
        <w:rPr>
          <w:rFonts w:cs="Arial"/>
          <w:sz w:val="18"/>
          <w:szCs w:val="18"/>
        </w:rPr>
        <w:t>, supra.</w:t>
      </w:r>
    </w:p>
  </w:endnote>
  <w:endnote w:id="11">
    <w:p w14:paraId="52862973" w14:textId="45FBF0F6"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Canadian HIV/AIDS Legal Network, </w:t>
      </w:r>
      <w:r w:rsidRPr="00CD4A7D">
        <w:rPr>
          <w:rFonts w:cs="Arial"/>
          <w:i/>
          <w:sz w:val="18"/>
          <w:szCs w:val="18"/>
        </w:rPr>
        <w:t>What does consent really mean? Rethinking HIV non-disclosure and sexual assault law meeting report</w:t>
      </w:r>
      <w:r w:rsidRPr="00CD4A7D">
        <w:rPr>
          <w:rFonts w:cs="Arial"/>
          <w:sz w:val="18"/>
          <w:szCs w:val="18"/>
        </w:rPr>
        <w:t xml:space="preserve">, 2014. </w:t>
      </w:r>
    </w:p>
  </w:endnote>
  <w:endnote w:id="12">
    <w:p w14:paraId="7109915C"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UN </w:t>
      </w:r>
      <w:r w:rsidRPr="00CD4A7D">
        <w:rPr>
          <w:rFonts w:eastAsia="Calibri" w:cs="Arial"/>
          <w:sz w:val="18"/>
          <w:szCs w:val="18"/>
        </w:rPr>
        <w:t>Committee on the Elimination of Discrimination Against Women</w:t>
      </w:r>
      <w:r w:rsidRPr="00CD4A7D">
        <w:rPr>
          <w:rFonts w:cs="Arial"/>
          <w:sz w:val="18"/>
          <w:szCs w:val="18"/>
        </w:rPr>
        <w:t xml:space="preserve">, </w:t>
      </w:r>
      <w:r w:rsidRPr="00CD4A7D">
        <w:rPr>
          <w:rFonts w:eastAsia="Calibri" w:cs="Arial"/>
          <w:i/>
          <w:sz w:val="18"/>
          <w:szCs w:val="18"/>
        </w:rPr>
        <w:t>Concluding</w:t>
      </w:r>
      <w:r w:rsidRPr="00CD4A7D">
        <w:rPr>
          <w:rFonts w:cs="Arial"/>
          <w:i/>
          <w:sz w:val="18"/>
          <w:szCs w:val="18"/>
        </w:rPr>
        <w:t xml:space="preserve"> </w:t>
      </w:r>
      <w:r w:rsidRPr="00CD4A7D">
        <w:rPr>
          <w:rFonts w:eastAsia="Calibri" w:cs="Arial"/>
          <w:i/>
          <w:sz w:val="18"/>
          <w:szCs w:val="18"/>
        </w:rPr>
        <w:t>Observations: Canada</w:t>
      </w:r>
      <w:r w:rsidRPr="00CD4A7D">
        <w:rPr>
          <w:rFonts w:eastAsia="Calibri" w:cs="Arial"/>
          <w:sz w:val="18"/>
          <w:szCs w:val="18"/>
        </w:rPr>
        <w:t xml:space="preserve"> </w:t>
      </w:r>
      <w:r w:rsidRPr="00CD4A7D">
        <w:rPr>
          <w:rFonts w:cs="Arial"/>
          <w:sz w:val="18"/>
          <w:szCs w:val="18"/>
        </w:rPr>
        <w:t>(</w:t>
      </w:r>
      <w:r w:rsidRPr="00CD4A7D">
        <w:rPr>
          <w:rFonts w:eastAsia="Calibri" w:cs="Arial"/>
          <w:sz w:val="18"/>
          <w:szCs w:val="18"/>
        </w:rPr>
        <w:t>November</w:t>
      </w:r>
      <w:r w:rsidRPr="00CD4A7D">
        <w:rPr>
          <w:rFonts w:cs="Arial"/>
          <w:sz w:val="18"/>
          <w:szCs w:val="18"/>
        </w:rPr>
        <w:t xml:space="preserve"> 2016).</w:t>
      </w:r>
    </w:p>
  </w:endnote>
  <w:endnote w:id="13">
    <w:p w14:paraId="16504D01" w14:textId="77777777" w:rsidR="005F07D9" w:rsidRPr="00CD4A7D" w:rsidRDefault="005F07D9" w:rsidP="00CD4A7D">
      <w:pPr>
        <w:spacing w:beforeLines="60" w:before="144" w:afterLines="20" w:after="48"/>
        <w:rPr>
          <w:rFonts w:eastAsiaTheme="minorHAnsi" w:cs="Arial"/>
          <w:sz w:val="18"/>
          <w:szCs w:val="18"/>
        </w:rPr>
      </w:pPr>
      <w:r w:rsidRPr="00CD4A7D">
        <w:rPr>
          <w:rStyle w:val="EndnoteReference"/>
          <w:rFonts w:cs="Arial"/>
          <w:sz w:val="18"/>
          <w:szCs w:val="18"/>
        </w:rPr>
        <w:endnoteRef/>
      </w:r>
      <w:r w:rsidRPr="00CD4A7D">
        <w:rPr>
          <w:rFonts w:cs="Arial"/>
          <w:sz w:val="18"/>
          <w:szCs w:val="18"/>
        </w:rPr>
        <w:t xml:space="preserve"> UN </w:t>
      </w:r>
      <w:r w:rsidRPr="00CD4A7D">
        <w:rPr>
          <w:rFonts w:eastAsiaTheme="minorHAnsi" w:cs="Arial"/>
          <w:sz w:val="18"/>
          <w:szCs w:val="18"/>
        </w:rPr>
        <w:t>Committee on the Rights of the Child,</w:t>
      </w:r>
      <w:r w:rsidRPr="00CD4A7D">
        <w:rPr>
          <w:rFonts w:cs="Arial"/>
          <w:sz w:val="18"/>
          <w:szCs w:val="18"/>
        </w:rPr>
        <w:t xml:space="preserve"> General Comment No. 20 (2016).</w:t>
      </w:r>
    </w:p>
  </w:endnote>
  <w:endnote w:id="14">
    <w:p w14:paraId="3F54A581" w14:textId="13E31B1F"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w:t>
      </w:r>
      <w:r w:rsidRPr="00CD4A7D">
        <w:rPr>
          <w:rFonts w:cs="Arial"/>
          <w:i/>
          <w:iCs/>
          <w:sz w:val="18"/>
          <w:szCs w:val="18"/>
        </w:rPr>
        <w:t>Report of the Special Rapporteur</w:t>
      </w:r>
      <w:r w:rsidRPr="00CD4A7D">
        <w:rPr>
          <w:rFonts w:cs="Arial"/>
          <w:sz w:val="18"/>
          <w:szCs w:val="18"/>
        </w:rPr>
        <w:t>, paras 2, 51, supra.</w:t>
      </w:r>
    </w:p>
  </w:endnote>
  <w:endnote w:id="15">
    <w:p w14:paraId="171A6EE9"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S. Patterson et al., “The impact of criminalization of HIV non-disclosure on the healthcare engagement of women living with HIV in Canada: a comprehensive review of the evidence,” </w:t>
      </w:r>
      <w:r w:rsidRPr="00CD4A7D">
        <w:rPr>
          <w:rStyle w:val="Emphasis"/>
          <w:rFonts w:eastAsia="Hiragino Kaku Gothic Pro W3" w:cs="Arial"/>
          <w:sz w:val="18"/>
          <w:szCs w:val="18"/>
        </w:rPr>
        <w:t xml:space="preserve">Journal of the International AIDS Society </w:t>
      </w:r>
      <w:r w:rsidRPr="00CD4A7D">
        <w:rPr>
          <w:rFonts w:cs="Arial"/>
          <w:sz w:val="18"/>
          <w:szCs w:val="18"/>
        </w:rPr>
        <w:t>18 (2015): 20572.</w:t>
      </w:r>
    </w:p>
  </w:endnote>
  <w:endnote w:id="16">
    <w:p w14:paraId="6C1D971D" w14:textId="0A9436F4"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UNAIDS/UNDP, </w:t>
      </w:r>
      <w:r w:rsidRPr="00CD4A7D">
        <w:rPr>
          <w:rFonts w:cs="Arial"/>
          <w:i/>
          <w:iCs/>
          <w:sz w:val="18"/>
          <w:szCs w:val="18"/>
        </w:rPr>
        <w:t>Policy brief: criminalization of HIV transmission</w:t>
      </w:r>
      <w:r w:rsidRPr="00CD4A7D">
        <w:rPr>
          <w:rFonts w:cs="Arial"/>
          <w:sz w:val="18"/>
          <w:szCs w:val="18"/>
        </w:rPr>
        <w:t xml:space="preserve">, August 2008. </w:t>
      </w:r>
    </w:p>
  </w:endnote>
  <w:endnote w:id="17">
    <w:p w14:paraId="463B35C3" w14:textId="0C55FC7F"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w:t>
      </w:r>
      <w:r w:rsidRPr="00CD4A7D">
        <w:rPr>
          <w:rFonts w:cs="Arial"/>
          <w:i/>
          <w:iCs/>
          <w:sz w:val="18"/>
          <w:szCs w:val="18"/>
        </w:rPr>
        <w:t>Report of the Special Rapporteur</w:t>
      </w:r>
      <w:r w:rsidRPr="00CD4A7D">
        <w:rPr>
          <w:rFonts w:cs="Arial"/>
          <w:sz w:val="18"/>
          <w:szCs w:val="18"/>
        </w:rPr>
        <w:t>, supra.</w:t>
      </w:r>
    </w:p>
  </w:endnote>
  <w:endnote w:id="18">
    <w:p w14:paraId="688A47FD" w14:textId="67F95C33" w:rsidR="005F07D9" w:rsidRPr="00CD4A7D" w:rsidRDefault="005F07D9" w:rsidP="00CD4A7D">
      <w:pPr>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Global Commission on HIV and the Law, </w:t>
      </w:r>
      <w:r w:rsidRPr="00CD4A7D">
        <w:rPr>
          <w:rFonts w:cs="Arial"/>
          <w:i/>
          <w:iCs/>
          <w:sz w:val="18"/>
          <w:szCs w:val="18"/>
        </w:rPr>
        <w:t>HIV and the Law: Risks, Rights and Health</w:t>
      </w:r>
      <w:r w:rsidR="006D39D7">
        <w:rPr>
          <w:rFonts w:cs="Arial"/>
          <w:i/>
          <w:iCs/>
          <w:sz w:val="18"/>
          <w:szCs w:val="18"/>
        </w:rPr>
        <w:t xml:space="preserve">, </w:t>
      </w:r>
      <w:r w:rsidRPr="00CD4A7D">
        <w:rPr>
          <w:rFonts w:cs="Arial"/>
          <w:sz w:val="18"/>
          <w:szCs w:val="18"/>
        </w:rPr>
        <w:t>July 2012.</w:t>
      </w:r>
    </w:p>
  </w:endnote>
  <w:endnote w:id="19">
    <w:p w14:paraId="1BF8A00F" w14:textId="7EBD3BEE" w:rsidR="005F07D9" w:rsidRPr="00CD4A7D" w:rsidRDefault="005F07D9" w:rsidP="00CD4A7D">
      <w:pPr>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See</w:t>
      </w:r>
      <w:r w:rsidRPr="00CD4A7D">
        <w:rPr>
          <w:rFonts w:cs="Arial"/>
          <w:i/>
          <w:iCs/>
          <w:sz w:val="18"/>
          <w:szCs w:val="18"/>
        </w:rPr>
        <w:t xml:space="preserve"> </w:t>
      </w:r>
      <w:r w:rsidRPr="00CD4A7D">
        <w:rPr>
          <w:rFonts w:cs="Arial"/>
          <w:iCs/>
          <w:sz w:val="18"/>
          <w:szCs w:val="18"/>
        </w:rPr>
        <w:t>the perspectives articulated in the documentary film</w:t>
      </w:r>
      <w:r w:rsidRPr="00CD4A7D">
        <w:rPr>
          <w:rFonts w:cs="Arial"/>
          <w:bCs/>
          <w:sz w:val="18"/>
          <w:szCs w:val="18"/>
        </w:rPr>
        <w:t xml:space="preserve">, </w:t>
      </w:r>
      <w:r w:rsidRPr="00CD4A7D">
        <w:rPr>
          <w:rFonts w:cs="Arial"/>
          <w:bCs/>
          <w:i/>
          <w:sz w:val="18"/>
          <w:szCs w:val="18"/>
        </w:rPr>
        <w:t>Consent: HIV non-disclosure and sexual assault law</w:t>
      </w:r>
      <w:r w:rsidRPr="00CD4A7D">
        <w:rPr>
          <w:rFonts w:cs="Arial"/>
          <w:bCs/>
          <w:sz w:val="18"/>
          <w:szCs w:val="18"/>
        </w:rPr>
        <w:t xml:space="preserve"> (</w:t>
      </w:r>
      <w:r w:rsidRPr="00CD4A7D">
        <w:rPr>
          <w:rFonts w:cs="Arial"/>
          <w:bCs/>
          <w:sz w:val="18"/>
          <w:szCs w:val="18"/>
        </w:rPr>
        <w:t>Goldelox Productions &amp; Canadian HIV/AIDS Legal Network, 2015)</w:t>
      </w:r>
      <w:r w:rsidRPr="00CD4A7D">
        <w:rPr>
          <w:rFonts w:cs="Arial"/>
          <w:sz w:val="18"/>
          <w:szCs w:val="18"/>
        </w:rPr>
        <w:t>.</w:t>
      </w:r>
    </w:p>
  </w:endnote>
  <w:endnote w:id="20">
    <w:p w14:paraId="77089EBE" w14:textId="73AC1E43"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See, e.g., Statement by Minister of Justice Jody Wilson-Raybould on World AIDS Day, December 1, 2016; Report by the House of Commons Standing Committee on Justice and Human Rights on the Criminalization of HIV Non- Disclosure in Canada, June 2019; News Release from Justice Canada on the launch of consultations on modernizing the criminal justice system’s response to HIV non-disclosure, July 27, 2022. </w:t>
      </w:r>
    </w:p>
  </w:endnote>
  <w:endnote w:id="21">
    <w:p w14:paraId="4C7BA136" w14:textId="4411B4C8" w:rsidR="005F07D9" w:rsidRPr="00CD4A7D" w:rsidRDefault="005F07D9" w:rsidP="00CD4A7D">
      <w:pPr>
        <w:spacing w:beforeLines="60" w:before="144" w:afterLines="20" w:after="48" w:line="240" w:lineRule="exact"/>
        <w:rPr>
          <w:rFonts w:cs="Arial"/>
          <w:sz w:val="18"/>
          <w:szCs w:val="18"/>
        </w:rPr>
      </w:pPr>
      <w:r w:rsidRPr="00CD4A7D">
        <w:rPr>
          <w:rStyle w:val="EndnoteReference"/>
          <w:rFonts w:cs="Arial"/>
          <w:sz w:val="18"/>
          <w:szCs w:val="18"/>
        </w:rPr>
        <w:endnoteRef/>
      </w:r>
      <w:r w:rsidRPr="00CD4A7D">
        <w:rPr>
          <w:rFonts w:cs="Arial"/>
          <w:sz w:val="18"/>
          <w:szCs w:val="18"/>
        </w:rPr>
        <w:t xml:space="preserve"> Committee on the Rights of Persons with Disabilities, </w:t>
      </w:r>
      <w:r w:rsidRPr="00CD4A7D">
        <w:rPr>
          <w:rFonts w:cs="Arial"/>
          <w:i/>
          <w:iCs/>
          <w:sz w:val="18"/>
          <w:szCs w:val="18"/>
        </w:rPr>
        <w:t>Concluding observations on the initial report of Canada</w:t>
      </w:r>
      <w:r w:rsidRPr="00CD4A7D">
        <w:rPr>
          <w:rFonts w:cs="Arial"/>
          <w:sz w:val="18"/>
          <w:szCs w:val="18"/>
        </w:rPr>
        <w:t>, CRPD/C/CAN/CO/1, 12 April 2017, para. 32.</w:t>
      </w:r>
    </w:p>
  </w:endnote>
  <w:endnote w:id="22">
    <w:p w14:paraId="3B8D0BB5" w14:textId="6A4D0339" w:rsidR="005F07D9" w:rsidRPr="00CD4A7D" w:rsidRDefault="005F07D9" w:rsidP="00CD4A7D">
      <w:pPr>
        <w:pStyle w:val="EndnoteText"/>
        <w:numPr>
          <w:ilvl w:val="0"/>
          <w:numId w:val="1"/>
        </w:numPr>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See Pivot Legal Society, </w:t>
      </w:r>
      <w:r w:rsidRPr="00CD4A7D">
        <w:rPr>
          <w:rFonts w:cs="Arial"/>
          <w:i/>
          <w:iCs/>
          <w:sz w:val="18"/>
          <w:szCs w:val="18"/>
        </w:rPr>
        <w:t>Involuntary Treatment: Criminalization by another name</w:t>
      </w:r>
      <w:r w:rsidRPr="00CD4A7D">
        <w:rPr>
          <w:rFonts w:cs="Arial"/>
          <w:sz w:val="18"/>
          <w:szCs w:val="18"/>
        </w:rPr>
        <w:t xml:space="preserve">, March 23, 2023;  J. Hunter, “Behind the push to expand mandatory treatment for mental health and addictions in B.C.,” </w:t>
      </w:r>
      <w:r w:rsidRPr="00CD4A7D">
        <w:rPr>
          <w:rFonts w:cs="Arial"/>
          <w:i/>
          <w:iCs/>
          <w:sz w:val="18"/>
          <w:szCs w:val="18"/>
        </w:rPr>
        <w:t>The Globe and Mail</w:t>
      </w:r>
      <w:r w:rsidRPr="00CD4A7D">
        <w:rPr>
          <w:rFonts w:cs="Arial"/>
          <w:sz w:val="18"/>
          <w:szCs w:val="18"/>
        </w:rPr>
        <w:t xml:space="preserve">, February 1, 2023; and K. DeBeck and P. Kendall, </w:t>
      </w:r>
      <w:hyperlink r:id="rId1" w:history="1">
        <w:r w:rsidRPr="00CD4A7D">
          <w:rPr>
            <w:rStyle w:val="Hyperlink"/>
            <w:rFonts w:cs="Arial"/>
            <w:i/>
            <w:iCs/>
            <w:color w:val="auto"/>
            <w:sz w:val="18"/>
            <w:szCs w:val="18"/>
          </w:rPr>
          <w:t>B.C.’s plan for involuntary addiction treatment is a step back in our response to the overdose crisis</w:t>
        </w:r>
      </w:hyperlink>
      <w:r w:rsidRPr="00CD4A7D">
        <w:rPr>
          <w:rFonts w:cs="Arial"/>
          <w:sz w:val="18"/>
          <w:szCs w:val="18"/>
        </w:rPr>
        <w:t xml:space="preserve">, </w:t>
      </w:r>
      <w:r w:rsidRPr="00CD4A7D">
        <w:rPr>
          <w:rFonts w:cs="Arial"/>
          <w:i/>
          <w:iCs/>
          <w:sz w:val="18"/>
          <w:szCs w:val="18"/>
        </w:rPr>
        <w:t>The Conversation</w:t>
      </w:r>
      <w:r w:rsidRPr="00CD4A7D">
        <w:rPr>
          <w:rFonts w:cs="Arial"/>
          <w:sz w:val="18"/>
          <w:szCs w:val="18"/>
        </w:rPr>
        <w:t>, September 25, 2024.</w:t>
      </w:r>
    </w:p>
  </w:endnote>
  <w:endnote w:id="23">
    <w:p w14:paraId="2D06F54C" w14:textId="636BA9C0"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See “Alberta weighing involuntary treatment law for people with addiction,” </w:t>
      </w:r>
      <w:r w:rsidRPr="00CD4A7D">
        <w:rPr>
          <w:rFonts w:cs="Arial"/>
          <w:i/>
          <w:iCs/>
          <w:sz w:val="18"/>
          <w:szCs w:val="18"/>
        </w:rPr>
        <w:t>CBC News</w:t>
      </w:r>
      <w:r w:rsidRPr="00CD4A7D">
        <w:rPr>
          <w:rFonts w:cs="Arial"/>
          <w:sz w:val="18"/>
          <w:szCs w:val="18"/>
        </w:rPr>
        <w:t xml:space="preserve">, April 19, 2023. </w:t>
      </w:r>
    </w:p>
  </w:endnote>
  <w:endnote w:id="24">
    <w:p w14:paraId="7EFD420B" w14:textId="59B2AD0A"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New Brunswick Legislative Assembly, S</w:t>
      </w:r>
      <w:r w:rsidRPr="00CD4A7D">
        <w:rPr>
          <w:rFonts w:cs="Arial"/>
          <w:i/>
          <w:iCs/>
          <w:sz w:val="18"/>
          <w:szCs w:val="18"/>
        </w:rPr>
        <w:t>peech from the throne, Third Session of the 60th Legislative Assembly of New Brunswick</w:t>
      </w:r>
      <w:r w:rsidRPr="00CD4A7D">
        <w:rPr>
          <w:rFonts w:cs="Arial"/>
          <w:sz w:val="18"/>
          <w:szCs w:val="18"/>
        </w:rPr>
        <w:t xml:space="preserve">, October 17, </w:t>
      </w:r>
      <w:r w:rsidRPr="00CD4A7D">
        <w:rPr>
          <w:rFonts w:cs="Arial"/>
          <w:sz w:val="18"/>
          <w:szCs w:val="18"/>
        </w:rPr>
        <w:t>2023 at p. 12. See also J. Poitras, “Bill on forced addiction treatment will include evaluation process, minister says,” </w:t>
      </w:r>
      <w:r w:rsidRPr="00CD4A7D">
        <w:rPr>
          <w:rFonts w:cs="Arial"/>
          <w:i/>
          <w:iCs/>
          <w:sz w:val="18"/>
          <w:szCs w:val="18"/>
        </w:rPr>
        <w:t>CBC News</w:t>
      </w:r>
      <w:r w:rsidRPr="00CD4A7D">
        <w:rPr>
          <w:rFonts w:cs="Arial"/>
          <w:sz w:val="18"/>
          <w:szCs w:val="18"/>
        </w:rPr>
        <w:t xml:space="preserve">, March 27, 2024. </w:t>
      </w:r>
    </w:p>
  </w:endnote>
  <w:endnote w:id="25">
    <w:p w14:paraId="54DB8D3E"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E. Cooley, A. </w:t>
      </w:r>
      <w:r w:rsidRPr="00CD4A7D">
        <w:rPr>
          <w:rFonts w:cs="Arial"/>
          <w:sz w:val="18"/>
          <w:szCs w:val="18"/>
        </w:rPr>
        <w:t xml:space="preserve">Bahji and D. Crockford, “Involuntary Treatment for Adult Nonoffenders with Substance Use Disorders?” </w:t>
      </w:r>
      <w:r w:rsidRPr="00CD4A7D">
        <w:rPr>
          <w:rFonts w:cs="Arial"/>
          <w:i/>
          <w:iCs/>
          <w:sz w:val="18"/>
          <w:szCs w:val="18"/>
        </w:rPr>
        <w:t>The Canadian Journal of Addiction</w:t>
      </w:r>
      <w:r w:rsidRPr="00CD4A7D">
        <w:rPr>
          <w:rFonts w:cs="Arial"/>
          <w:sz w:val="18"/>
          <w:szCs w:val="18"/>
        </w:rPr>
        <w:t xml:space="preserve"> 14: 2, June 2023.</w:t>
      </w:r>
    </w:p>
  </w:endnote>
  <w:endnote w:id="26">
    <w:p w14:paraId="05C65713" w14:textId="7FC5E202"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Ibid. See also A. </w:t>
      </w:r>
      <w:r w:rsidRPr="00CD4A7D">
        <w:rPr>
          <w:rFonts w:cs="Arial"/>
          <w:sz w:val="18"/>
          <w:szCs w:val="18"/>
        </w:rPr>
        <w:t xml:space="preserve">Pasareanu et al., “Improved drug-use patterns at 6 months post-discharge from inpatient substance use disorder treatment: results from compulsorily and voluntarily admitted patients,” </w:t>
      </w:r>
      <w:r w:rsidRPr="00CD4A7D">
        <w:rPr>
          <w:rFonts w:cs="Arial"/>
          <w:i/>
          <w:iCs/>
          <w:sz w:val="18"/>
          <w:szCs w:val="18"/>
        </w:rPr>
        <w:t>BMC Health Serv Res</w:t>
      </w:r>
      <w:r w:rsidRPr="00CD4A7D">
        <w:rPr>
          <w:rFonts w:cs="Arial"/>
          <w:sz w:val="18"/>
          <w:szCs w:val="18"/>
        </w:rPr>
        <w:t xml:space="preserve"> 2016;16:291.</w:t>
      </w:r>
    </w:p>
  </w:endnote>
  <w:endnote w:id="27">
    <w:p w14:paraId="6F6CD511" w14:textId="4AD73800" w:rsidR="005F07D9" w:rsidRPr="00CD4A7D" w:rsidRDefault="005F07D9" w:rsidP="00CD4A7D">
      <w:pPr>
        <w:pStyle w:val="EndnoteText"/>
        <w:spacing w:beforeLines="60" w:before="144" w:afterLines="20" w:after="48"/>
        <w:rPr>
          <w:rFonts w:cs="Arial"/>
          <w:i/>
          <w:iCs/>
          <w:sz w:val="18"/>
          <w:szCs w:val="18"/>
        </w:rPr>
      </w:pPr>
      <w:r w:rsidRPr="00CD4A7D">
        <w:rPr>
          <w:rStyle w:val="EndnoteReference"/>
          <w:rFonts w:cs="Arial"/>
          <w:sz w:val="18"/>
          <w:szCs w:val="18"/>
        </w:rPr>
        <w:endnoteRef/>
      </w:r>
      <w:r w:rsidRPr="00CD4A7D">
        <w:rPr>
          <w:rFonts w:cs="Arial"/>
          <w:sz w:val="18"/>
          <w:szCs w:val="18"/>
        </w:rPr>
        <w:t xml:space="preserve"> </w:t>
      </w:r>
      <w:r w:rsidRPr="00CD4A7D">
        <w:rPr>
          <w:rFonts w:cs="Arial"/>
          <w:i/>
          <w:iCs/>
          <w:sz w:val="18"/>
          <w:szCs w:val="18"/>
        </w:rPr>
        <w:t>Report of the Special Rapporteur on torture and other cruel, inhuman or degrading treatment or punishment, Juan E. Méndez</w:t>
      </w:r>
      <w:r w:rsidRPr="00CD4A7D">
        <w:rPr>
          <w:rFonts w:cs="Arial"/>
          <w:sz w:val="18"/>
          <w:szCs w:val="18"/>
        </w:rPr>
        <w:t>, Human Rights Council Twenty-second session, A/HRC/22/53, 1 February 2013.</w:t>
      </w:r>
    </w:p>
  </w:endnote>
  <w:endnote w:id="28">
    <w:p w14:paraId="25071553"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UN Working Group on Arbitrary Detention, </w:t>
      </w:r>
      <w:r w:rsidRPr="00CD4A7D">
        <w:rPr>
          <w:rFonts w:cs="Arial"/>
          <w:i/>
          <w:iCs/>
          <w:sz w:val="18"/>
          <w:szCs w:val="18"/>
        </w:rPr>
        <w:t>Arbitrary detention relating to drug policies</w:t>
      </w:r>
      <w:r w:rsidRPr="00CD4A7D">
        <w:rPr>
          <w:rFonts w:cs="Arial"/>
          <w:sz w:val="18"/>
          <w:szCs w:val="18"/>
        </w:rPr>
        <w:t>, A/HRC/47/40, 18 May 2021.</w:t>
      </w:r>
    </w:p>
  </w:endnote>
  <w:endnote w:id="29">
    <w:p w14:paraId="659CDB55"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UN Working Group on Arbitrary Detention, </w:t>
      </w:r>
      <w:r w:rsidRPr="00CD4A7D">
        <w:rPr>
          <w:rFonts w:cs="Arial"/>
          <w:i/>
          <w:iCs/>
          <w:sz w:val="18"/>
          <w:szCs w:val="18"/>
        </w:rPr>
        <w:t>Preliminary Findings from its visit to Canada</w:t>
      </w:r>
      <w:r w:rsidRPr="00CD4A7D">
        <w:rPr>
          <w:rFonts w:cs="Arial"/>
          <w:sz w:val="18"/>
          <w:szCs w:val="18"/>
        </w:rPr>
        <w:t xml:space="preserve"> (13 to 24 May 2024).</w:t>
      </w:r>
    </w:p>
  </w:endnote>
  <w:endnote w:id="30">
    <w:p w14:paraId="269A6563"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Canadian HIV/AIDS Legal Network, </w:t>
      </w:r>
      <w:r w:rsidRPr="00CD4A7D">
        <w:rPr>
          <w:rFonts w:cs="Arial"/>
          <w:i/>
          <w:iCs/>
          <w:sz w:val="18"/>
          <w:szCs w:val="18"/>
        </w:rPr>
        <w:t>Impaired Judgment: Assessing the Appropriateness of Drug Treatment Courts as a Response to Drug Use in Canada</w:t>
      </w:r>
      <w:r w:rsidRPr="00CD4A7D">
        <w:rPr>
          <w:rFonts w:cs="Arial"/>
          <w:sz w:val="18"/>
          <w:szCs w:val="18"/>
        </w:rPr>
        <w:t>, 2011.</w:t>
      </w:r>
    </w:p>
  </w:endnote>
  <w:endnote w:id="31">
    <w:p w14:paraId="0C3047A2"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Department of Justice Canada, </w:t>
      </w:r>
      <w:r w:rsidRPr="00CD4A7D">
        <w:rPr>
          <w:rFonts w:cs="Arial"/>
          <w:i/>
          <w:sz w:val="18"/>
          <w:szCs w:val="18"/>
        </w:rPr>
        <w:t xml:space="preserve">Drug Treatment Court Funding Program Summative Evaluation </w:t>
      </w:r>
      <w:bookmarkStart w:id="4" w:name="_bookmark28"/>
      <w:bookmarkEnd w:id="4"/>
      <w:r w:rsidRPr="00CD4A7D">
        <w:rPr>
          <w:rFonts w:cs="Arial"/>
          <w:i/>
          <w:sz w:val="18"/>
          <w:szCs w:val="18"/>
        </w:rPr>
        <w:t>Final</w:t>
      </w:r>
      <w:r w:rsidRPr="00CD4A7D">
        <w:rPr>
          <w:rFonts w:cs="Arial"/>
          <w:i/>
          <w:spacing w:val="-3"/>
          <w:sz w:val="18"/>
          <w:szCs w:val="18"/>
        </w:rPr>
        <w:t xml:space="preserve"> </w:t>
      </w:r>
      <w:r w:rsidRPr="00CD4A7D">
        <w:rPr>
          <w:rFonts w:cs="Arial"/>
          <w:i/>
          <w:sz w:val="18"/>
          <w:szCs w:val="18"/>
        </w:rPr>
        <w:t>Report</w:t>
      </w:r>
      <w:r w:rsidRPr="00CD4A7D">
        <w:rPr>
          <w:rFonts w:cs="Arial"/>
          <w:sz w:val="18"/>
          <w:szCs w:val="18"/>
        </w:rPr>
        <w:t>,</w:t>
      </w:r>
      <w:r w:rsidRPr="00CD4A7D">
        <w:rPr>
          <w:rFonts w:cs="Arial"/>
          <w:spacing w:val="-3"/>
          <w:sz w:val="18"/>
          <w:szCs w:val="18"/>
        </w:rPr>
        <w:t xml:space="preserve"> </w:t>
      </w:r>
      <w:r w:rsidRPr="00CD4A7D">
        <w:rPr>
          <w:rFonts w:cs="Arial"/>
          <w:sz w:val="18"/>
          <w:szCs w:val="18"/>
        </w:rPr>
        <w:t>Evaluation</w:t>
      </w:r>
      <w:r w:rsidRPr="00CD4A7D">
        <w:rPr>
          <w:rFonts w:cs="Arial"/>
          <w:spacing w:val="-4"/>
          <w:sz w:val="18"/>
          <w:szCs w:val="18"/>
        </w:rPr>
        <w:t xml:space="preserve"> </w:t>
      </w:r>
      <w:r w:rsidRPr="00CD4A7D">
        <w:rPr>
          <w:rFonts w:cs="Arial"/>
          <w:sz w:val="18"/>
          <w:szCs w:val="18"/>
        </w:rPr>
        <w:t>Division</w:t>
      </w:r>
      <w:r w:rsidRPr="00CD4A7D">
        <w:rPr>
          <w:rFonts w:cs="Arial"/>
          <w:spacing w:val="-4"/>
          <w:sz w:val="18"/>
          <w:szCs w:val="18"/>
        </w:rPr>
        <w:t xml:space="preserve"> </w:t>
      </w:r>
      <w:r w:rsidRPr="00CD4A7D">
        <w:rPr>
          <w:rFonts w:cs="Arial"/>
          <w:sz w:val="18"/>
          <w:szCs w:val="18"/>
        </w:rPr>
        <w:t>Office</w:t>
      </w:r>
      <w:r w:rsidRPr="00CD4A7D">
        <w:rPr>
          <w:rFonts w:cs="Arial"/>
          <w:spacing w:val="-4"/>
          <w:sz w:val="18"/>
          <w:szCs w:val="18"/>
        </w:rPr>
        <w:t xml:space="preserve"> </w:t>
      </w:r>
      <w:r w:rsidRPr="00CD4A7D">
        <w:rPr>
          <w:rFonts w:cs="Arial"/>
          <w:sz w:val="18"/>
          <w:szCs w:val="18"/>
        </w:rPr>
        <w:t>of</w:t>
      </w:r>
      <w:r w:rsidRPr="00CD4A7D">
        <w:rPr>
          <w:rFonts w:cs="Arial"/>
          <w:spacing w:val="-3"/>
          <w:sz w:val="18"/>
          <w:szCs w:val="18"/>
        </w:rPr>
        <w:t xml:space="preserve"> </w:t>
      </w:r>
      <w:r w:rsidRPr="00CD4A7D">
        <w:rPr>
          <w:rFonts w:cs="Arial"/>
          <w:sz w:val="18"/>
          <w:szCs w:val="18"/>
        </w:rPr>
        <w:t>Strategic</w:t>
      </w:r>
      <w:r w:rsidRPr="00CD4A7D">
        <w:rPr>
          <w:rFonts w:cs="Arial"/>
          <w:spacing w:val="-3"/>
          <w:sz w:val="18"/>
          <w:szCs w:val="18"/>
        </w:rPr>
        <w:t xml:space="preserve"> </w:t>
      </w:r>
      <w:r w:rsidRPr="00CD4A7D">
        <w:rPr>
          <w:rFonts w:cs="Arial"/>
          <w:sz w:val="18"/>
          <w:szCs w:val="18"/>
        </w:rPr>
        <w:t>Planning</w:t>
      </w:r>
      <w:r w:rsidRPr="00CD4A7D">
        <w:rPr>
          <w:rFonts w:cs="Arial"/>
          <w:spacing w:val="-4"/>
          <w:sz w:val="18"/>
          <w:szCs w:val="18"/>
        </w:rPr>
        <w:t xml:space="preserve"> </w:t>
      </w:r>
      <w:r w:rsidRPr="00CD4A7D">
        <w:rPr>
          <w:rFonts w:cs="Arial"/>
          <w:sz w:val="18"/>
          <w:szCs w:val="18"/>
        </w:rPr>
        <w:t>and</w:t>
      </w:r>
      <w:r w:rsidRPr="00CD4A7D">
        <w:rPr>
          <w:rFonts w:cs="Arial"/>
          <w:spacing w:val="-4"/>
          <w:sz w:val="18"/>
          <w:szCs w:val="18"/>
        </w:rPr>
        <w:t xml:space="preserve"> </w:t>
      </w:r>
      <w:r w:rsidRPr="00CD4A7D">
        <w:rPr>
          <w:rFonts w:cs="Arial"/>
          <w:sz w:val="18"/>
          <w:szCs w:val="18"/>
        </w:rPr>
        <w:t>Performance</w:t>
      </w:r>
      <w:r w:rsidRPr="00CD4A7D">
        <w:rPr>
          <w:rFonts w:cs="Arial"/>
          <w:spacing w:val="-4"/>
          <w:sz w:val="18"/>
          <w:szCs w:val="18"/>
        </w:rPr>
        <w:t xml:space="preserve"> </w:t>
      </w:r>
      <w:r w:rsidRPr="00CD4A7D">
        <w:rPr>
          <w:rFonts w:cs="Arial"/>
          <w:sz w:val="18"/>
          <w:szCs w:val="18"/>
        </w:rPr>
        <w:t>Management,</w:t>
      </w:r>
      <w:r w:rsidRPr="00CD4A7D">
        <w:rPr>
          <w:rFonts w:cs="Arial"/>
          <w:spacing w:val="-3"/>
          <w:sz w:val="18"/>
          <w:szCs w:val="18"/>
        </w:rPr>
        <w:t xml:space="preserve"> </w:t>
      </w:r>
      <w:r w:rsidRPr="00CD4A7D">
        <w:rPr>
          <w:rFonts w:cs="Arial"/>
          <w:sz w:val="18"/>
          <w:szCs w:val="18"/>
        </w:rPr>
        <w:t>March</w:t>
      </w:r>
      <w:r w:rsidRPr="00CD4A7D">
        <w:rPr>
          <w:rFonts w:cs="Arial"/>
          <w:spacing w:val="-4"/>
          <w:sz w:val="18"/>
          <w:szCs w:val="18"/>
        </w:rPr>
        <w:t xml:space="preserve"> </w:t>
      </w:r>
      <w:r w:rsidRPr="00CD4A7D">
        <w:rPr>
          <w:rFonts w:cs="Arial"/>
          <w:sz w:val="18"/>
          <w:szCs w:val="18"/>
        </w:rPr>
        <w:t>2009.</w:t>
      </w:r>
    </w:p>
  </w:endnote>
  <w:endnote w:id="32">
    <w:p w14:paraId="3338BBF6"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Ibid.</w:t>
      </w:r>
    </w:p>
  </w:endnote>
  <w:endnote w:id="33">
    <w:p w14:paraId="228FA95B"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UN Working Group on Arbitrary Detention, </w:t>
      </w:r>
      <w:r w:rsidRPr="00CD4A7D">
        <w:rPr>
          <w:rFonts w:cs="Arial"/>
          <w:i/>
          <w:iCs/>
          <w:sz w:val="18"/>
          <w:szCs w:val="18"/>
        </w:rPr>
        <w:t>Arbitrary detention relating to drug policies</w:t>
      </w:r>
      <w:r w:rsidRPr="00CD4A7D">
        <w:rPr>
          <w:rFonts w:cs="Arial"/>
          <w:sz w:val="18"/>
          <w:szCs w:val="18"/>
        </w:rPr>
        <w:t>, supra.</w:t>
      </w:r>
    </w:p>
  </w:endnote>
  <w:endnote w:id="34">
    <w:p w14:paraId="029235C6" w14:textId="4975B779"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UN Working Group on Arbitrary Detention, </w:t>
      </w:r>
      <w:r w:rsidRPr="00CD4A7D">
        <w:rPr>
          <w:rFonts w:cs="Arial"/>
          <w:i/>
          <w:iCs/>
          <w:sz w:val="18"/>
          <w:szCs w:val="18"/>
        </w:rPr>
        <w:t>Preliminary Findings from its visit to Canada</w:t>
      </w:r>
      <w:r w:rsidRPr="00CD4A7D">
        <w:rPr>
          <w:rFonts w:cs="Arial"/>
          <w:sz w:val="18"/>
          <w:szCs w:val="18"/>
        </w:rPr>
        <w:t>, supra.</w:t>
      </w:r>
    </w:p>
  </w:endnote>
  <w:endnote w:id="35">
    <w:p w14:paraId="7C60CB7E" w14:textId="2410ACC4"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See R. Lines, J. Hannah and G. Girelli, “‘Treatment in Liberty’ Human Rights and Compulsory Detention for Drug Use,” </w:t>
      </w:r>
      <w:r w:rsidRPr="00CD4A7D">
        <w:rPr>
          <w:rFonts w:cs="Arial"/>
          <w:i/>
          <w:iCs/>
          <w:sz w:val="18"/>
          <w:szCs w:val="18"/>
        </w:rPr>
        <w:t>Human Rights Law Review</w:t>
      </w:r>
      <w:r w:rsidRPr="00CD4A7D">
        <w:rPr>
          <w:rFonts w:cs="Arial"/>
          <w:sz w:val="18"/>
          <w:szCs w:val="18"/>
        </w:rPr>
        <w:t xml:space="preserve"> 22:1, March 2022 and ILO; OHCHR; UNDP; UNESCO; United Nations Population Fund; UNHCR; UNICEF; UNODC; UN Women; WFP; WHO; and UNAIDS, “Joint Statement: Compulsory drug detention and rehabilitation centres,” March 2012. </w:t>
      </w:r>
    </w:p>
  </w:endnote>
  <w:endnote w:id="36">
    <w:p w14:paraId="733FF769" w14:textId="5C116A8C" w:rsidR="005F07D9" w:rsidRPr="00CD4A7D" w:rsidRDefault="005F07D9" w:rsidP="00CD4A7D">
      <w:pPr>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Standing Committee on Citizenship and Immigration, “Building an Inclusive Canada: Bringing the Immigration and Refugee Protection Act in Step with Modern Values,” Report of the Standing Committee on Citizenship and Immigration, December 2017; Committee on the Rights of Persons with Disabilities, </w:t>
      </w:r>
      <w:r w:rsidRPr="00CD4A7D">
        <w:rPr>
          <w:rFonts w:cs="Arial"/>
          <w:i/>
          <w:iCs/>
          <w:sz w:val="18"/>
          <w:szCs w:val="18"/>
        </w:rPr>
        <w:t>Concluding observations on the initial report of Canada</w:t>
      </w:r>
      <w:r w:rsidRPr="00CD4A7D">
        <w:rPr>
          <w:rFonts w:cs="Arial"/>
          <w:sz w:val="18"/>
          <w:szCs w:val="18"/>
        </w:rPr>
        <w:t>, CRPD/C/CAN/CO/1, 12 April 2017, para. 14(c).</w:t>
      </w:r>
    </w:p>
  </w:endnote>
  <w:endnote w:id="37">
    <w:p w14:paraId="28308E8C" w14:textId="0E673E33"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w:t>
      </w:r>
      <w:r w:rsidRPr="00CD4A7D">
        <w:rPr>
          <w:rFonts w:cs="Arial"/>
          <w:i/>
          <w:iCs/>
          <w:sz w:val="18"/>
          <w:szCs w:val="18"/>
        </w:rPr>
        <w:t>Immigration and Refugee Protection Regulations</w:t>
      </w:r>
      <w:r w:rsidRPr="00CD4A7D">
        <w:rPr>
          <w:rFonts w:cs="Arial"/>
          <w:sz w:val="18"/>
          <w:szCs w:val="18"/>
        </w:rPr>
        <w:t>, SOR/2002-227, s. 1.</w:t>
      </w:r>
    </w:p>
  </w:endnote>
  <w:endnote w:id="38">
    <w:p w14:paraId="69D95E42" w14:textId="580191CC"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HIV Legal Network, </w:t>
      </w:r>
      <w:r w:rsidRPr="00CD4A7D">
        <w:rPr>
          <w:rFonts w:cs="Arial"/>
          <w:i/>
          <w:iCs/>
          <w:sz w:val="18"/>
          <w:szCs w:val="18"/>
        </w:rPr>
        <w:t>Challenging the Constitutionality of Canada’s ‘Excessive Demand’ Regime in Federal Court</w:t>
      </w:r>
      <w:r w:rsidRPr="00CD4A7D">
        <w:rPr>
          <w:rFonts w:cs="Arial"/>
          <w:sz w:val="18"/>
          <w:szCs w:val="18"/>
        </w:rPr>
        <w:t>, 17 April 2024 and Standing Committee on Citizenship and Immigration, Evidence, Tuesday October 24, 2017, at 0859.</w:t>
      </w:r>
    </w:p>
  </w:endnote>
  <w:endnote w:id="39">
    <w:p w14:paraId="5301FC2B" w14:textId="6DFF4E8A"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“Building an Inclusive Canada,” supra.</w:t>
      </w:r>
    </w:p>
  </w:endnote>
  <w:endnote w:id="40">
    <w:p w14:paraId="0F23FEF7" w14:textId="5B1B5FB7"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Immigration, Refugees, and Citizenship Canada</w:t>
      </w:r>
      <w:r w:rsidRPr="00CD4A7D">
        <w:rPr>
          <w:rFonts w:cs="Arial"/>
          <w:i/>
          <w:iCs/>
          <w:sz w:val="18"/>
          <w:szCs w:val="18"/>
        </w:rPr>
        <w:t>, Temporary Public Policy Regarding Excessive Demand on Health and Social Services</w:t>
      </w:r>
      <w:r w:rsidRPr="00CD4A7D">
        <w:rPr>
          <w:rFonts w:cs="Arial"/>
          <w:sz w:val="18"/>
          <w:szCs w:val="18"/>
        </w:rPr>
        <w:t xml:space="preserve">, 26 October 2022; Immigration and Refugee Protection Regulations, SOR/2002-227, s. 1. </w:t>
      </w:r>
    </w:p>
  </w:endnote>
  <w:endnote w:id="41">
    <w:p w14:paraId="45E435A6" w14:textId="10DF2E88" w:rsidR="005F07D9" w:rsidRPr="00CD4A7D" w:rsidRDefault="005F07D9" w:rsidP="00CD4A7D">
      <w:pPr>
        <w:pStyle w:val="EndnoteText"/>
        <w:numPr>
          <w:ilvl w:val="1"/>
          <w:numId w:val="1"/>
        </w:numPr>
        <w:spacing w:beforeLines="60" w:before="144" w:afterLines="20" w:after="48"/>
        <w:rPr>
          <w:rFonts w:cs="Arial"/>
          <w:sz w:val="18"/>
          <w:szCs w:val="18"/>
          <w:lang w:val="en-US"/>
        </w:rPr>
      </w:pPr>
      <w:r w:rsidRPr="00CD4A7D">
        <w:rPr>
          <w:rStyle w:val="EndnoteReference"/>
          <w:rFonts w:eastAsia="Hiragino Kaku Gothic Pro W3" w:cs="Arial"/>
          <w:sz w:val="18"/>
          <w:szCs w:val="18"/>
        </w:rPr>
        <w:endnoteRef/>
      </w:r>
      <w:r w:rsidRPr="00CD4A7D">
        <w:rPr>
          <w:rFonts w:cs="Arial"/>
          <w:sz w:val="18"/>
          <w:szCs w:val="18"/>
        </w:rPr>
        <w:t xml:space="preserve"> Certain groups are exempt from the “excessive demand” assessment, based on “compelling humanitarian and compassionate reasons” (</w:t>
      </w:r>
      <w:r w:rsidRPr="00CD4A7D">
        <w:rPr>
          <w:rFonts w:cs="Arial"/>
          <w:i/>
          <w:iCs/>
          <w:sz w:val="18"/>
          <w:szCs w:val="18"/>
          <w:lang w:val="en-US"/>
        </w:rPr>
        <w:t>Immigration and Refugee Protection Act</w:t>
      </w:r>
      <w:r w:rsidRPr="00CD4A7D">
        <w:rPr>
          <w:rFonts w:cs="Arial"/>
          <w:sz w:val="18"/>
          <w:szCs w:val="18"/>
          <w:lang w:val="en-US"/>
        </w:rPr>
        <w:t>, SC 2001, c 27</w:t>
      </w:r>
      <w:r w:rsidRPr="00CD4A7D">
        <w:rPr>
          <w:rFonts w:cs="Arial"/>
          <w:sz w:val="18"/>
          <w:szCs w:val="18"/>
        </w:rPr>
        <w:t>, s. 38(2)).</w:t>
      </w:r>
    </w:p>
  </w:endnote>
  <w:endnote w:id="42">
    <w:p w14:paraId="3EBB1763"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UN General Assembly, </w:t>
      </w:r>
      <w:r w:rsidRPr="00CD4A7D">
        <w:rPr>
          <w:rFonts w:cs="Arial"/>
          <w:i/>
          <w:sz w:val="18"/>
          <w:szCs w:val="18"/>
        </w:rPr>
        <w:t>Political Declaration on HIV and AIDS: Intensifying Our Efforts to Eliminate HIV and AIDS</w:t>
      </w:r>
      <w:r w:rsidRPr="00CD4A7D">
        <w:rPr>
          <w:rFonts w:cs="Arial"/>
          <w:sz w:val="18"/>
          <w:szCs w:val="18"/>
        </w:rPr>
        <w:t>, A/RES/65/277, July 8, 2011, para. 79.</w:t>
      </w:r>
    </w:p>
  </w:endnote>
  <w:endnote w:id="43">
    <w:p w14:paraId="2A7CF59A" w14:textId="198E60FD"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UNAIDS, </w:t>
      </w:r>
      <w:r w:rsidRPr="00CD4A7D">
        <w:rPr>
          <w:rFonts w:cs="Arial"/>
          <w:i/>
          <w:sz w:val="18"/>
          <w:szCs w:val="18"/>
        </w:rPr>
        <w:t>The Gap Report</w:t>
      </w:r>
      <w:r w:rsidRPr="00CD4A7D">
        <w:rPr>
          <w:rFonts w:cs="Arial"/>
          <w:sz w:val="18"/>
          <w:szCs w:val="18"/>
        </w:rPr>
        <w:t xml:space="preserve">, 16 July 2014, p. 169. </w:t>
      </w:r>
    </w:p>
  </w:endnote>
  <w:endnote w:id="44">
    <w:p w14:paraId="37557434" w14:textId="6BA727DE"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w:t>
      </w:r>
      <w:r w:rsidRPr="00CD4A7D">
        <w:rPr>
          <w:rFonts w:cs="Arial"/>
          <w:i/>
          <w:iCs/>
          <w:sz w:val="18"/>
          <w:szCs w:val="18"/>
        </w:rPr>
        <w:t>Views adopted by the Committee under article 5 of the Optional Protocol</w:t>
      </w:r>
      <w:r w:rsidRPr="00CD4A7D">
        <w:rPr>
          <w:rFonts w:cs="Arial"/>
          <w:sz w:val="18"/>
          <w:szCs w:val="18"/>
        </w:rPr>
        <w:t>, concerning communication No. 20/2014, CRPD/C/24/D/20/2014, 30 April 2021.</w:t>
      </w:r>
    </w:p>
  </w:endnote>
  <w:endnote w:id="45">
    <w:p w14:paraId="528EB9C6" w14:textId="77777777" w:rsidR="00B4074E" w:rsidRPr="00CD4A7D" w:rsidRDefault="00B4074E" w:rsidP="00B4074E">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w:t>
      </w:r>
      <w:r w:rsidRPr="00CD4A7D">
        <w:rPr>
          <w:rFonts w:cs="Arial"/>
          <w:i/>
          <w:iCs/>
          <w:sz w:val="18"/>
          <w:szCs w:val="18"/>
        </w:rPr>
        <w:t>Challenging the Constitutionality of Canada’s ‘Excessive Demand’ Regime in Federal Court</w:t>
      </w:r>
      <w:r w:rsidRPr="00CD4A7D">
        <w:rPr>
          <w:rFonts w:cs="Arial"/>
          <w:sz w:val="18"/>
          <w:szCs w:val="18"/>
        </w:rPr>
        <w:t xml:space="preserve">, supra. </w:t>
      </w:r>
    </w:p>
  </w:endnote>
  <w:endnote w:id="46">
    <w:p w14:paraId="5CB4ED73" w14:textId="2F09EC27"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UN General Assembly, </w:t>
      </w:r>
      <w:r w:rsidRPr="00CD4A7D">
        <w:rPr>
          <w:rFonts w:cs="Arial"/>
          <w:i/>
          <w:iCs/>
          <w:sz w:val="18"/>
          <w:szCs w:val="18"/>
        </w:rPr>
        <w:t>Convention on the Rights of Persons with Disabilities: resolution / adopted by the General Assembly</w:t>
      </w:r>
      <w:r w:rsidRPr="00CD4A7D">
        <w:rPr>
          <w:rFonts w:cs="Arial"/>
          <w:sz w:val="18"/>
          <w:szCs w:val="18"/>
        </w:rPr>
        <w:t>, A/RES/61/106, 24 January 2007, Article 24.</w:t>
      </w:r>
    </w:p>
  </w:endnote>
  <w:endnote w:id="47">
    <w:p w14:paraId="24064732" w14:textId="095554CA"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Ibid, Article 27.</w:t>
      </w:r>
    </w:p>
  </w:endnote>
  <w:endnote w:id="48">
    <w:p w14:paraId="1FE60AA7" w14:textId="36BD9EA7"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Ibid, Article 25.</w:t>
      </w:r>
    </w:p>
  </w:endnote>
  <w:endnote w:id="49">
    <w:p w14:paraId="4BA8D6ED" w14:textId="345486E4"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Government of Canada, </w:t>
      </w:r>
      <w:r w:rsidRPr="00CD4A7D">
        <w:rPr>
          <w:rFonts w:cs="Arial"/>
          <w:i/>
          <w:iCs/>
          <w:sz w:val="18"/>
          <w:szCs w:val="18"/>
        </w:rPr>
        <w:t>Opioid- and Stimulant-related Harms in Canada</w:t>
      </w:r>
      <w:r w:rsidRPr="00CD4A7D">
        <w:rPr>
          <w:rFonts w:cs="Arial"/>
          <w:sz w:val="18"/>
          <w:szCs w:val="18"/>
        </w:rPr>
        <w:t>, December 2024.</w:t>
      </w:r>
    </w:p>
  </w:endnote>
  <w:endnote w:id="50">
    <w:p w14:paraId="71C19548" w14:textId="7268D765"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See, for example, HRI, </w:t>
      </w:r>
      <w:r w:rsidRPr="00CD4A7D">
        <w:rPr>
          <w:rFonts w:cs="Arial"/>
          <w:sz w:val="18"/>
          <w:szCs w:val="18"/>
        </w:rPr>
        <w:t>What is harm reduction?</w:t>
      </w:r>
    </w:p>
  </w:endnote>
  <w:endnote w:id="51">
    <w:p w14:paraId="7B19E062" w14:textId="77777777" w:rsidR="005F07D9" w:rsidRPr="00CD4A7D" w:rsidRDefault="005F07D9" w:rsidP="00CD4A7D">
      <w:pPr>
        <w:pStyle w:val="EndnoteText"/>
        <w:spacing w:beforeLines="60" w:before="144" w:afterLines="20" w:after="48"/>
        <w:rPr>
          <w:rFonts w:cs="Arial"/>
          <w:sz w:val="18"/>
          <w:szCs w:val="18"/>
          <w:lang w:val="en-AU"/>
        </w:rPr>
      </w:pPr>
      <w:r w:rsidRPr="00CD4A7D">
        <w:rPr>
          <w:rStyle w:val="EndnoteReference"/>
          <w:rFonts w:cs="Arial"/>
          <w:sz w:val="18"/>
          <w:szCs w:val="18"/>
        </w:rPr>
        <w:endnoteRef/>
      </w:r>
      <w:r w:rsidRPr="00CD4A7D">
        <w:rPr>
          <w:rFonts w:cs="Arial"/>
          <w:sz w:val="18"/>
          <w:szCs w:val="18"/>
        </w:rPr>
        <w:t xml:space="preserve"> J. Clayton and S. Atkins, </w:t>
      </w:r>
      <w:r w:rsidRPr="00CD4A7D">
        <w:rPr>
          <w:rFonts w:cs="Arial"/>
          <w:i/>
          <w:iCs/>
          <w:sz w:val="18"/>
          <w:szCs w:val="18"/>
        </w:rPr>
        <w:t>Drugs and Drug Policy: The Control of Consciousness Alteration</w:t>
      </w:r>
      <w:r w:rsidRPr="00CD4A7D">
        <w:rPr>
          <w:rFonts w:cs="Arial"/>
          <w:sz w:val="18"/>
          <w:szCs w:val="18"/>
        </w:rPr>
        <w:t>, 2007 at pp. 308–09.</w:t>
      </w:r>
    </w:p>
  </w:endnote>
  <w:endnote w:id="52">
    <w:p w14:paraId="2AC20F6E"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UNODC, </w:t>
      </w:r>
      <w:r w:rsidRPr="00CD4A7D">
        <w:rPr>
          <w:rFonts w:cs="Arial"/>
          <w:i/>
          <w:iCs/>
          <w:sz w:val="18"/>
          <w:szCs w:val="18"/>
        </w:rPr>
        <w:t>The growing complexity of the opioid crisis. Global SMART Update, Volume 24</w:t>
      </w:r>
      <w:r w:rsidRPr="00CD4A7D">
        <w:rPr>
          <w:rFonts w:cs="Arial"/>
          <w:sz w:val="18"/>
          <w:szCs w:val="18"/>
        </w:rPr>
        <w:t>, September 2020.</w:t>
      </w:r>
    </w:p>
  </w:endnote>
  <w:endnote w:id="53">
    <w:p w14:paraId="53902AB3" w14:textId="4877A0BC"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National Safer Supply Community of Practice, </w:t>
      </w:r>
      <w:r w:rsidRPr="00CD4A7D">
        <w:rPr>
          <w:rFonts w:cs="Arial"/>
          <w:i/>
          <w:iCs/>
          <w:sz w:val="18"/>
          <w:szCs w:val="18"/>
        </w:rPr>
        <w:t>Prescribed Safer Supply Programs: Emerging Evidence</w:t>
      </w:r>
      <w:r w:rsidRPr="00CD4A7D">
        <w:rPr>
          <w:rFonts w:cs="Arial"/>
          <w:sz w:val="18"/>
          <w:szCs w:val="18"/>
        </w:rPr>
        <w:t xml:space="preserve">, 2024: </w:t>
      </w:r>
      <w:hyperlink r:id="rId2" w:history="1">
        <w:r w:rsidRPr="00CD4A7D">
          <w:rPr>
            <w:rStyle w:val="Hyperlink"/>
            <w:rFonts w:cs="Arial"/>
            <w:color w:val="auto"/>
            <w:sz w:val="18"/>
            <w:szCs w:val="18"/>
          </w:rPr>
          <w:t>https://www.nss-aps.ca/evidence-brief</w:t>
        </w:r>
      </w:hyperlink>
      <w:r w:rsidRPr="00CD4A7D">
        <w:rPr>
          <w:rFonts w:cs="Arial"/>
          <w:sz w:val="18"/>
          <w:szCs w:val="18"/>
        </w:rPr>
        <w:t xml:space="preserve"> </w:t>
      </w:r>
    </w:p>
  </w:endnote>
  <w:endnote w:id="54">
    <w:p w14:paraId="0F3D3BD1" w14:textId="26559E0E"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A. </w:t>
      </w:r>
      <w:r w:rsidRPr="00CD4A7D">
        <w:rPr>
          <w:rFonts w:cs="Arial"/>
          <w:sz w:val="18"/>
          <w:szCs w:val="18"/>
        </w:rPr>
        <w:t xml:space="preserve">Slaunwhite et al., “Effect of Risk Mitigation Guidance for opioid and stimulant dispensations on mortality and acute care visits during dual public health emergencies: retrospective cohort study,” </w:t>
      </w:r>
      <w:r w:rsidRPr="00CD4A7D">
        <w:rPr>
          <w:rFonts w:cs="Arial"/>
          <w:i/>
          <w:iCs/>
          <w:sz w:val="18"/>
          <w:szCs w:val="18"/>
        </w:rPr>
        <w:t xml:space="preserve">BMJ </w:t>
      </w:r>
      <w:r w:rsidRPr="00CD4A7D">
        <w:rPr>
          <w:rFonts w:cs="Arial"/>
          <w:sz w:val="18"/>
          <w:szCs w:val="18"/>
        </w:rPr>
        <w:t xml:space="preserve">2024; </w:t>
      </w:r>
      <w:r w:rsidRPr="00CD4A7D">
        <w:rPr>
          <w:rFonts w:cs="Arial"/>
          <w:sz w:val="18"/>
          <w:szCs w:val="18"/>
        </w:rPr>
        <w:t>384 :e076336 doi:10.1136/bmj-2023-076336.</w:t>
      </w:r>
    </w:p>
  </w:endnote>
  <w:endnote w:id="55">
    <w:p w14:paraId="40B3C565"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w:t>
      </w:r>
      <w:r w:rsidRPr="00CD4A7D">
        <w:rPr>
          <w:rFonts w:cs="Arial"/>
          <w:i/>
          <w:iCs/>
          <w:sz w:val="18"/>
          <w:szCs w:val="18"/>
        </w:rPr>
        <w:t>Prescribed Safer Supply Programs: Emerging Evidence</w:t>
      </w:r>
      <w:r w:rsidRPr="00CD4A7D">
        <w:rPr>
          <w:rFonts w:cs="Arial"/>
          <w:sz w:val="18"/>
          <w:szCs w:val="18"/>
        </w:rPr>
        <w:t xml:space="preserve">, supra. </w:t>
      </w:r>
    </w:p>
  </w:endnote>
  <w:endnote w:id="56">
    <w:p w14:paraId="4BA88045" w14:textId="34E9D77E"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Health Canada Expert Task Force on Substance Use, </w:t>
      </w:r>
      <w:r w:rsidRPr="00CD4A7D">
        <w:rPr>
          <w:rFonts w:cs="Arial"/>
          <w:i/>
          <w:iCs/>
          <w:sz w:val="18"/>
          <w:szCs w:val="18"/>
        </w:rPr>
        <w:t>Recommendations on the federal government's drug policy as articulated in a draft Canadian Drugs and Substances Strategy (CDSS)</w:t>
      </w:r>
      <w:r w:rsidRPr="00CD4A7D">
        <w:rPr>
          <w:rFonts w:cs="Arial"/>
          <w:sz w:val="18"/>
          <w:szCs w:val="18"/>
        </w:rPr>
        <w:t>, June 11, 2021.</w:t>
      </w:r>
    </w:p>
  </w:endnote>
  <w:endnote w:id="57">
    <w:p w14:paraId="5C129978" w14:textId="2C2B7F08"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Government of Canada, </w:t>
      </w:r>
      <w:r w:rsidRPr="00CD4A7D">
        <w:rPr>
          <w:rFonts w:cs="Arial"/>
          <w:i/>
          <w:iCs/>
          <w:sz w:val="18"/>
          <w:szCs w:val="18"/>
        </w:rPr>
        <w:t>Supervised consumption explained: types of sites and services</w:t>
      </w:r>
      <w:r w:rsidRPr="00CD4A7D">
        <w:rPr>
          <w:rFonts w:cs="Arial"/>
          <w:sz w:val="18"/>
          <w:szCs w:val="18"/>
        </w:rPr>
        <w:t>, February 202</w:t>
      </w:r>
      <w:r>
        <w:rPr>
          <w:rFonts w:cs="Arial"/>
          <w:sz w:val="18"/>
          <w:szCs w:val="18"/>
        </w:rPr>
        <w:t>4:</w:t>
      </w:r>
      <w:r w:rsidRPr="00CD4A7D">
        <w:rPr>
          <w:rFonts w:cs="Arial"/>
          <w:sz w:val="18"/>
          <w:szCs w:val="18"/>
        </w:rPr>
        <w:t xml:space="preserve"> </w:t>
      </w:r>
      <w:hyperlink r:id="rId3" w:history="1">
        <w:r w:rsidRPr="00CD4A7D">
          <w:rPr>
            <w:rStyle w:val="Hyperlink"/>
            <w:rFonts w:cs="Arial"/>
            <w:color w:val="auto"/>
            <w:sz w:val="18"/>
            <w:szCs w:val="18"/>
          </w:rPr>
          <w:t>https://www.canada.ca/en/health-canada/services/substance-use/supervised-consumption-sites/explained.html</w:t>
        </w:r>
      </w:hyperlink>
      <w:r w:rsidRPr="00CD4A7D">
        <w:rPr>
          <w:rFonts w:cs="Arial"/>
          <w:sz w:val="18"/>
          <w:szCs w:val="18"/>
        </w:rPr>
        <w:t xml:space="preserve">. </w:t>
      </w:r>
    </w:p>
  </w:endnote>
  <w:endnote w:id="58">
    <w:p w14:paraId="50967F30"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N. Fairbairn, “Seeking refuge from violence in street-based drug scenes: Women’s experiences in North America’s first supervised injection facility,” </w:t>
      </w:r>
      <w:r w:rsidRPr="00CD4A7D">
        <w:rPr>
          <w:rFonts w:cs="Arial"/>
          <w:i/>
          <w:iCs/>
          <w:sz w:val="18"/>
          <w:szCs w:val="18"/>
        </w:rPr>
        <w:t>Social Science &amp; Medicine</w:t>
      </w:r>
      <w:r w:rsidRPr="00CD4A7D">
        <w:rPr>
          <w:rFonts w:cs="Arial"/>
          <w:sz w:val="18"/>
          <w:szCs w:val="18"/>
        </w:rPr>
        <w:t xml:space="preserve"> 67 (2008) 817–823.</w:t>
      </w:r>
    </w:p>
  </w:endnote>
  <w:endnote w:id="59">
    <w:p w14:paraId="0E83A4BE" w14:textId="5AD2F21E"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See HIV Legal Network, </w:t>
      </w:r>
      <w:r w:rsidRPr="00CD4A7D">
        <w:rPr>
          <w:rFonts w:cs="Arial"/>
          <w:i/>
          <w:iCs/>
          <w:sz w:val="18"/>
          <w:szCs w:val="18"/>
        </w:rPr>
        <w:t xml:space="preserve">Scaling Up Supervised Consumption Services: What has Changed in </w:t>
      </w:r>
      <w:r w:rsidRPr="00CD4A7D">
        <w:rPr>
          <w:rFonts w:cs="Arial"/>
          <w:i/>
          <w:iCs/>
          <w:sz w:val="18"/>
          <w:szCs w:val="18"/>
        </w:rPr>
        <w:t>Canada?,</w:t>
      </w:r>
      <w:r w:rsidRPr="00CD4A7D">
        <w:rPr>
          <w:rFonts w:cs="Arial"/>
          <w:sz w:val="18"/>
          <w:szCs w:val="18"/>
        </w:rPr>
        <w:t xml:space="preserve"> 2024</w:t>
      </w:r>
      <w:r>
        <w:rPr>
          <w:rFonts w:cs="Arial"/>
          <w:sz w:val="18"/>
          <w:szCs w:val="18"/>
        </w:rPr>
        <w:t xml:space="preserve"> and</w:t>
      </w:r>
      <w:r w:rsidRPr="00CD4A7D">
        <w:rPr>
          <w:rFonts w:cs="Arial"/>
          <w:sz w:val="18"/>
          <w:szCs w:val="18"/>
        </w:rPr>
        <w:t xml:space="preserve"> Canadian HIV/AIDS Legal Network, </w:t>
      </w:r>
      <w:r w:rsidRPr="00CD4A7D">
        <w:rPr>
          <w:rFonts w:cs="Arial"/>
          <w:i/>
          <w:iCs/>
          <w:sz w:val="18"/>
          <w:szCs w:val="18"/>
        </w:rPr>
        <w:t>Overdue for a Change: Scaling Up Supervised Consumption Services in Canada</w:t>
      </w:r>
      <w:r w:rsidRPr="00CD4A7D">
        <w:rPr>
          <w:rFonts w:cs="Arial"/>
          <w:sz w:val="18"/>
          <w:szCs w:val="18"/>
        </w:rPr>
        <w:t xml:space="preserve">, February 19, 2019. </w:t>
      </w:r>
    </w:p>
  </w:endnote>
  <w:endnote w:id="60">
    <w:p w14:paraId="6B53CFEF" w14:textId="364544B0"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See, for example, S. Hyatt, “‘No time for ‘bureaucracy’: Advocates plan to continue unsanctioned overdose prevention site in Cobourg,” </w:t>
      </w:r>
      <w:r w:rsidRPr="00CD4A7D">
        <w:rPr>
          <w:rFonts w:cs="Arial"/>
          <w:i/>
          <w:iCs/>
          <w:sz w:val="18"/>
          <w:szCs w:val="18"/>
        </w:rPr>
        <w:t>Peterborough Examiner</w:t>
      </w:r>
      <w:r w:rsidRPr="00CD4A7D">
        <w:rPr>
          <w:rFonts w:cs="Arial"/>
          <w:sz w:val="18"/>
          <w:szCs w:val="18"/>
        </w:rPr>
        <w:t xml:space="preserve">, March 24, 2023; B. Labby, “3 weeks after province ends funding for injection site, unsanctioned space opens in Lethbridge,” </w:t>
      </w:r>
      <w:r w:rsidRPr="00CD4A7D">
        <w:rPr>
          <w:rFonts w:cs="Arial"/>
          <w:i/>
          <w:iCs/>
          <w:sz w:val="18"/>
          <w:szCs w:val="18"/>
        </w:rPr>
        <w:t>CBC News</w:t>
      </w:r>
      <w:r w:rsidRPr="00CD4A7D">
        <w:rPr>
          <w:rFonts w:cs="Arial"/>
          <w:sz w:val="18"/>
          <w:szCs w:val="18"/>
        </w:rPr>
        <w:t xml:space="preserve">, Sep 26, 2020; and M. </w:t>
      </w:r>
      <w:r w:rsidRPr="00CD4A7D">
        <w:rPr>
          <w:rStyle w:val="authortext"/>
          <w:rFonts w:cs="Arial"/>
          <w:sz w:val="18"/>
          <w:szCs w:val="18"/>
        </w:rPr>
        <w:t xml:space="preserve">Kupfer, “Unsanctioned 'overdose prevention site' to pop up in Ottawa, group says,” </w:t>
      </w:r>
      <w:r w:rsidRPr="00CD4A7D">
        <w:rPr>
          <w:rStyle w:val="authortext"/>
          <w:rFonts w:cs="Arial"/>
          <w:i/>
          <w:iCs/>
          <w:sz w:val="18"/>
          <w:szCs w:val="18"/>
        </w:rPr>
        <w:t>CBC News</w:t>
      </w:r>
      <w:r w:rsidRPr="00CD4A7D">
        <w:rPr>
          <w:rStyle w:val="authortext"/>
          <w:rFonts w:cs="Arial"/>
          <w:sz w:val="18"/>
          <w:szCs w:val="18"/>
        </w:rPr>
        <w:t>, August 23, 2017</w:t>
      </w:r>
      <w:r w:rsidRPr="00CD4A7D">
        <w:rPr>
          <w:rFonts w:cs="Arial"/>
          <w:sz w:val="18"/>
          <w:szCs w:val="18"/>
        </w:rPr>
        <w:t>.</w:t>
      </w:r>
    </w:p>
  </w:endnote>
  <w:endnote w:id="61">
    <w:p w14:paraId="095CE589" w14:textId="20D7D46A"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D. Major, “Changing nature of Canada's overdose crisis calls for more aggressive response, experts say,” </w:t>
      </w:r>
      <w:r w:rsidRPr="00CD4A7D">
        <w:rPr>
          <w:rFonts w:cs="Arial"/>
          <w:i/>
          <w:iCs/>
          <w:sz w:val="18"/>
          <w:szCs w:val="18"/>
        </w:rPr>
        <w:t>CBC News</w:t>
      </w:r>
      <w:r w:rsidRPr="00CD4A7D">
        <w:rPr>
          <w:rFonts w:cs="Arial"/>
          <w:sz w:val="18"/>
          <w:szCs w:val="18"/>
        </w:rPr>
        <w:t xml:space="preserve">, January 3, 2023. </w:t>
      </w:r>
    </w:p>
  </w:endnote>
  <w:endnote w:id="62">
    <w:p w14:paraId="640EA3D1"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E. Wood et al., “The war on drugs: a devastating public-policy disaster,” </w:t>
      </w:r>
      <w:r w:rsidRPr="00CD4A7D">
        <w:rPr>
          <w:rFonts w:cs="Arial"/>
          <w:i/>
          <w:iCs/>
          <w:sz w:val="18"/>
          <w:szCs w:val="18"/>
        </w:rPr>
        <w:t>The Lancet</w:t>
      </w:r>
      <w:r w:rsidRPr="00CD4A7D">
        <w:rPr>
          <w:rFonts w:cs="Arial"/>
          <w:sz w:val="18"/>
          <w:szCs w:val="18"/>
        </w:rPr>
        <w:t xml:space="preserve"> 373:9668 (2009) pp. 989-990; J. Csete et al., "Public health and international drug policy." </w:t>
      </w:r>
      <w:r w:rsidRPr="00CD4A7D">
        <w:rPr>
          <w:rFonts w:cs="Arial"/>
          <w:i/>
          <w:iCs/>
          <w:sz w:val="18"/>
          <w:szCs w:val="18"/>
        </w:rPr>
        <w:t>The Lancet</w:t>
      </w:r>
      <w:r w:rsidRPr="00CD4A7D">
        <w:rPr>
          <w:rFonts w:cs="Arial"/>
          <w:sz w:val="18"/>
          <w:szCs w:val="18"/>
        </w:rPr>
        <w:t> 387:10026 (2016) pp. 1427-1480.</w:t>
      </w:r>
    </w:p>
  </w:endnote>
  <w:endnote w:id="63">
    <w:p w14:paraId="20AF847C" w14:textId="7EC41681"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See, for example, S. </w:t>
      </w:r>
      <w:r w:rsidRPr="00CD4A7D">
        <w:rPr>
          <w:rFonts w:cs="Arial"/>
          <w:sz w:val="18"/>
          <w:szCs w:val="18"/>
        </w:rPr>
        <w:t xml:space="preserve">Contenta, “Toronto marijuana arrests reveal ‘startling’ racial divide,” </w:t>
      </w:r>
      <w:r w:rsidRPr="00CD4A7D">
        <w:rPr>
          <w:rFonts w:cs="Arial"/>
          <w:i/>
          <w:iCs/>
          <w:sz w:val="18"/>
          <w:szCs w:val="18"/>
        </w:rPr>
        <w:t>Toronto Star</w:t>
      </w:r>
      <w:r w:rsidRPr="00CD4A7D">
        <w:rPr>
          <w:rFonts w:cs="Arial"/>
          <w:sz w:val="18"/>
          <w:szCs w:val="18"/>
        </w:rPr>
        <w:t xml:space="preserve">, July 6, 2017; R. Browne, “Black and Indigenous people are overrepresented in Canada's weed arrests,” </w:t>
      </w:r>
      <w:r w:rsidRPr="00CD4A7D">
        <w:rPr>
          <w:rFonts w:cs="Arial"/>
          <w:i/>
          <w:iCs/>
          <w:sz w:val="18"/>
          <w:szCs w:val="18"/>
        </w:rPr>
        <w:t>Vice News</w:t>
      </w:r>
      <w:r w:rsidRPr="00CD4A7D">
        <w:rPr>
          <w:rFonts w:cs="Arial"/>
          <w:sz w:val="18"/>
          <w:szCs w:val="18"/>
        </w:rPr>
        <w:t xml:space="preserve">, April 18, 2018; A. Owusu-Bempah and A. Luscombe, “Race, cannabis and the Canadian war on drugs: An examination of cannabis arrest data by race in five cities,” </w:t>
      </w:r>
      <w:r w:rsidRPr="00CD4A7D">
        <w:rPr>
          <w:rFonts w:cs="Arial"/>
          <w:i/>
          <w:iCs/>
          <w:sz w:val="18"/>
          <w:szCs w:val="18"/>
        </w:rPr>
        <w:t>International Journal of Drug Policy</w:t>
      </w:r>
      <w:r w:rsidRPr="00CD4A7D">
        <w:rPr>
          <w:rFonts w:cs="Arial"/>
          <w:sz w:val="18"/>
          <w:szCs w:val="18"/>
        </w:rPr>
        <w:t xml:space="preserve"> (2020), 102937; K. Samuels-Wortley, “Youthful Discretion: Police Selection Bias in Access to Pre-Charge Diversion Programs in Canada,” </w:t>
      </w:r>
      <w:r w:rsidRPr="00CD4A7D">
        <w:rPr>
          <w:rFonts w:cs="Arial"/>
          <w:i/>
          <w:iCs/>
          <w:sz w:val="18"/>
          <w:szCs w:val="18"/>
        </w:rPr>
        <w:t>Race and Justice</w:t>
      </w:r>
      <w:r w:rsidRPr="00CD4A7D">
        <w:rPr>
          <w:rFonts w:cs="Arial"/>
          <w:sz w:val="18"/>
          <w:szCs w:val="18"/>
        </w:rPr>
        <w:t xml:space="preserve"> 1-24 (2019); and D. Fumano, “New figures reveal the racial disparity in Vancouver drug charges,” </w:t>
      </w:r>
      <w:r w:rsidRPr="00CD4A7D">
        <w:rPr>
          <w:rFonts w:cs="Arial"/>
          <w:i/>
          <w:iCs/>
          <w:sz w:val="18"/>
          <w:szCs w:val="18"/>
        </w:rPr>
        <w:t>Vancouver Sun</w:t>
      </w:r>
      <w:r w:rsidRPr="00CD4A7D">
        <w:rPr>
          <w:rFonts w:cs="Arial"/>
          <w:sz w:val="18"/>
          <w:szCs w:val="18"/>
        </w:rPr>
        <w:t>, August 7, 2020.</w:t>
      </w:r>
    </w:p>
  </w:endnote>
  <w:endnote w:id="64">
    <w:p w14:paraId="4BDE66DA" w14:textId="6B9BDDEB"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Tracking (In)Justice, </w:t>
      </w:r>
      <w:r w:rsidRPr="00CD4A7D">
        <w:rPr>
          <w:rFonts w:cs="Arial"/>
          <w:i/>
          <w:iCs/>
          <w:sz w:val="18"/>
          <w:szCs w:val="18"/>
        </w:rPr>
        <w:t>Ontario Deaths in Custody on the Rise</w:t>
      </w:r>
      <w:r w:rsidRPr="00CD4A7D">
        <w:rPr>
          <w:rFonts w:cs="Arial"/>
          <w:sz w:val="18"/>
          <w:szCs w:val="18"/>
        </w:rPr>
        <w:t xml:space="preserve">, </w:t>
      </w:r>
      <w:r>
        <w:rPr>
          <w:rFonts w:cs="Arial"/>
          <w:sz w:val="18"/>
          <w:szCs w:val="18"/>
        </w:rPr>
        <w:t>February 2023</w:t>
      </w:r>
      <w:r w:rsidRPr="00CD4A7D">
        <w:rPr>
          <w:rFonts w:cs="Arial"/>
          <w:sz w:val="18"/>
          <w:szCs w:val="18"/>
        </w:rPr>
        <w:t xml:space="preserve">. Correctional Service Canada, </w:t>
      </w:r>
      <w:r w:rsidRPr="00CD4A7D">
        <w:rPr>
          <w:rFonts w:cs="Arial"/>
          <w:i/>
          <w:iCs/>
          <w:sz w:val="18"/>
          <w:szCs w:val="18"/>
        </w:rPr>
        <w:t>Overdose Incidents in Federal Custody, 2018/2019</w:t>
      </w:r>
      <w:r w:rsidRPr="00CD4A7D">
        <w:rPr>
          <w:rFonts w:cs="Arial"/>
          <w:sz w:val="18"/>
          <w:szCs w:val="18"/>
        </w:rPr>
        <w:t xml:space="preserve">, December 2020. </w:t>
      </w:r>
    </w:p>
  </w:endnote>
  <w:endnote w:id="65">
    <w:p w14:paraId="2E1C87DF" w14:textId="4942A0C8"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Government of Canada, </w:t>
      </w:r>
      <w:r w:rsidRPr="00CD4A7D">
        <w:rPr>
          <w:rFonts w:cs="Arial"/>
          <w:i/>
          <w:sz w:val="18"/>
          <w:szCs w:val="18"/>
        </w:rPr>
        <w:t>Frequently Asked Questions: Access to naloxone in Canada (including NARCAN™ Nasal Spray)</w:t>
      </w:r>
      <w:r w:rsidRPr="00CD4A7D">
        <w:rPr>
          <w:rFonts w:cs="Arial"/>
          <w:sz w:val="18"/>
          <w:szCs w:val="18"/>
        </w:rPr>
        <w:t xml:space="preserve">, June 30, 2017. </w:t>
      </w:r>
    </w:p>
  </w:endnote>
  <w:endnote w:id="66">
    <w:p w14:paraId="17954537" w14:textId="7D8DE35B"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Canadian Pharmacists’ Association, </w:t>
      </w:r>
      <w:r w:rsidRPr="00CD4A7D">
        <w:rPr>
          <w:rFonts w:cs="Arial"/>
          <w:i/>
          <w:sz w:val="18"/>
          <w:szCs w:val="18"/>
        </w:rPr>
        <w:t>Environmental Scan: Access to naloxone across Canada</w:t>
      </w:r>
      <w:r w:rsidRPr="00CD4A7D">
        <w:rPr>
          <w:rFonts w:cs="Arial"/>
          <w:sz w:val="18"/>
          <w:szCs w:val="18"/>
        </w:rPr>
        <w:t xml:space="preserve">, November 2017. </w:t>
      </w:r>
    </w:p>
  </w:endnote>
  <w:endnote w:id="67">
    <w:p w14:paraId="0844EFF0" w14:textId="46C158E3"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For example, a resolution adopted by the UN General Assembly in 2021 expressed concern over the absence of harm reduction programmes at the intersection of HIV and injection drug use and committed to expanding harm reduction models and tailoring approaches to meet the diverse needs of populations including those who inject drugs. See United Nations (General Assembly), </w:t>
      </w:r>
      <w:r w:rsidRPr="00CD4A7D">
        <w:rPr>
          <w:rFonts w:cs="Arial"/>
          <w:i/>
          <w:sz w:val="18"/>
          <w:szCs w:val="18"/>
        </w:rPr>
        <w:t>Political Declaration on HIV and AIDS: Ending Inequalities and Getting on Track to End AIDS by 2030</w:t>
      </w:r>
      <w:r w:rsidRPr="00CD4A7D">
        <w:rPr>
          <w:rFonts w:cs="Arial"/>
          <w:sz w:val="18"/>
          <w:szCs w:val="18"/>
        </w:rPr>
        <w:t>, GA Res 75/284, 74</w:t>
      </w:r>
      <w:r w:rsidRPr="00CD4A7D">
        <w:rPr>
          <w:rFonts w:cs="Arial"/>
          <w:sz w:val="18"/>
          <w:szCs w:val="18"/>
          <w:vertAlign w:val="superscript"/>
        </w:rPr>
        <w:t>th</w:t>
      </w:r>
      <w:r w:rsidRPr="00CD4A7D">
        <w:rPr>
          <w:rFonts w:cs="Arial"/>
          <w:sz w:val="18"/>
          <w:szCs w:val="18"/>
        </w:rPr>
        <w:t xml:space="preserve"> </w:t>
      </w:r>
      <w:r w:rsidRPr="00CD4A7D">
        <w:rPr>
          <w:rFonts w:cs="Arial"/>
          <w:sz w:val="18"/>
          <w:szCs w:val="18"/>
        </w:rPr>
        <w:t xml:space="preserve">plen mtg, Agenda Item 10, UN Doc A/RES/75/284 (9 June 2021, adopted 8 June 2021). </w:t>
      </w:r>
    </w:p>
  </w:endnote>
  <w:endnote w:id="68">
    <w:p w14:paraId="4577CCDA" w14:textId="341A356C"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UNAIDS, UNDP, the World Health Organization, International Centre on Human Rights and Drug Policy, UNOCHR,</w:t>
      </w:r>
      <w:r w:rsidRPr="00CD4A7D">
        <w:rPr>
          <w:rFonts w:cs="Arial"/>
          <w:i/>
          <w:iCs/>
          <w:sz w:val="18"/>
          <w:szCs w:val="18"/>
        </w:rPr>
        <w:t xml:space="preserve"> International Guidelines on Human Rights and Drug Policy,</w:t>
      </w:r>
      <w:r w:rsidRPr="00CD4A7D">
        <w:rPr>
          <w:rFonts w:cs="Arial"/>
          <w:sz w:val="18"/>
          <w:szCs w:val="18"/>
        </w:rPr>
        <w:t xml:space="preserve"> 2019.</w:t>
      </w:r>
    </w:p>
  </w:endnote>
  <w:endnote w:id="69">
    <w:p w14:paraId="10732A7C" w14:textId="3C33CF0D"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w:t>
      </w:r>
      <w:r w:rsidRPr="00CD4A7D">
        <w:rPr>
          <w:rFonts w:cs="Arial"/>
          <w:i/>
          <w:iCs/>
          <w:sz w:val="18"/>
          <w:szCs w:val="18"/>
        </w:rPr>
        <w:t>‘Statement by the Special Rapporteur on the Right of Everyone to the Enjoyment of the Highest Attainable Standard of Physical and Mental Health on the Protection of People Who Use Drugs during the COVID-19 Pandemic’</w:t>
      </w:r>
      <w:r w:rsidRPr="00CD4A7D">
        <w:rPr>
          <w:rFonts w:cs="Arial"/>
          <w:sz w:val="18"/>
          <w:szCs w:val="18"/>
        </w:rPr>
        <w:t>, 16 April 2020.</w:t>
      </w:r>
    </w:p>
  </w:endnote>
  <w:endnote w:id="70">
    <w:p w14:paraId="407603F4" w14:textId="05A3FA40"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See, for example, Committee on Economic, Social and Cultural Rights, </w:t>
      </w:r>
      <w:r w:rsidRPr="00CD4A7D">
        <w:rPr>
          <w:rFonts w:cs="Arial"/>
          <w:i/>
          <w:iCs/>
          <w:sz w:val="18"/>
          <w:szCs w:val="18"/>
        </w:rPr>
        <w:t>Concluding Observations: Ecuador</w:t>
      </w:r>
      <w:r w:rsidRPr="00CD4A7D">
        <w:rPr>
          <w:rFonts w:cs="Arial"/>
          <w:sz w:val="18"/>
          <w:szCs w:val="18"/>
        </w:rPr>
        <w:t>, UN Doc. E/C.12/ECU/CO/4 (2019), para. 48(a); Committee on Economic, Social and Cultural Rights, </w:t>
      </w:r>
      <w:r w:rsidRPr="00CD4A7D">
        <w:rPr>
          <w:rFonts w:cs="Arial"/>
          <w:i/>
          <w:iCs/>
          <w:sz w:val="18"/>
          <w:szCs w:val="18"/>
        </w:rPr>
        <w:t>Concluding Observations: Kazakhstan</w:t>
      </w:r>
      <w:r w:rsidRPr="00CD4A7D">
        <w:rPr>
          <w:rFonts w:cs="Arial"/>
          <w:sz w:val="18"/>
          <w:szCs w:val="18"/>
        </w:rPr>
        <w:t>, UN Doc. E/C.12/KAZ/CO/2 (2018), para. 47; Committee on Economic, Social and Cultural Rights, </w:t>
      </w:r>
      <w:r w:rsidRPr="00CD4A7D">
        <w:rPr>
          <w:rFonts w:cs="Arial"/>
          <w:i/>
          <w:iCs/>
          <w:sz w:val="18"/>
          <w:szCs w:val="18"/>
        </w:rPr>
        <w:t>Concluding Observations: Lithuania</w:t>
      </w:r>
      <w:r w:rsidRPr="00CD4A7D">
        <w:rPr>
          <w:rFonts w:cs="Arial"/>
          <w:sz w:val="18"/>
          <w:szCs w:val="18"/>
        </w:rPr>
        <w:t>, UN Doc. E/C.12/LTU/CO/2 (2014), para. 21; Committee on Economic, Social and Cultural Rights, </w:t>
      </w:r>
      <w:r w:rsidRPr="00CD4A7D">
        <w:rPr>
          <w:rFonts w:cs="Arial"/>
          <w:i/>
          <w:iCs/>
          <w:sz w:val="18"/>
          <w:szCs w:val="18"/>
        </w:rPr>
        <w:t>Concluding Observations: Moldova</w:t>
      </w:r>
      <w:r w:rsidRPr="00CD4A7D">
        <w:rPr>
          <w:rFonts w:cs="Arial"/>
          <w:sz w:val="18"/>
          <w:szCs w:val="18"/>
        </w:rPr>
        <w:t>, UN Doc. E/C.12/MDA/CO/3 (2017), para. 67; Committee on Economic, Social and Cultural Rights, </w:t>
      </w:r>
      <w:r w:rsidRPr="00CD4A7D">
        <w:rPr>
          <w:rFonts w:cs="Arial"/>
          <w:i/>
          <w:iCs/>
          <w:sz w:val="18"/>
          <w:szCs w:val="18"/>
        </w:rPr>
        <w:t>Concluding Observations: Poland</w:t>
      </w:r>
      <w:r w:rsidRPr="00CD4A7D">
        <w:rPr>
          <w:rFonts w:cs="Arial"/>
          <w:sz w:val="18"/>
          <w:szCs w:val="18"/>
        </w:rPr>
        <w:t>, UN Doc. E/C.12/POL/CO/6 (2016), para. 54; Committee on Economic, Social and Cultural Rights, </w:t>
      </w:r>
      <w:r w:rsidRPr="00CD4A7D">
        <w:rPr>
          <w:rFonts w:cs="Arial"/>
          <w:i/>
          <w:iCs/>
          <w:sz w:val="18"/>
          <w:szCs w:val="18"/>
        </w:rPr>
        <w:t>Concluding Observations: Russia</w:t>
      </w:r>
      <w:r w:rsidRPr="00CD4A7D">
        <w:rPr>
          <w:rFonts w:cs="Arial"/>
          <w:sz w:val="18"/>
          <w:szCs w:val="18"/>
        </w:rPr>
        <w:t>, UN Doc. E/C.12/RUS/CO/6 (2017), para. 51; Committee on Economic, Social and Cultural</w:t>
      </w:r>
      <w:r>
        <w:rPr>
          <w:rFonts w:cs="Arial"/>
          <w:sz w:val="18"/>
          <w:szCs w:val="18"/>
        </w:rPr>
        <w:t xml:space="preserve"> </w:t>
      </w:r>
      <w:r w:rsidRPr="00CD4A7D">
        <w:rPr>
          <w:rFonts w:cs="Arial"/>
          <w:sz w:val="18"/>
          <w:szCs w:val="18"/>
        </w:rPr>
        <w:t>Rights, </w:t>
      </w:r>
      <w:r w:rsidRPr="00CD4A7D">
        <w:rPr>
          <w:rFonts w:cs="Arial"/>
          <w:i/>
          <w:iCs/>
          <w:sz w:val="18"/>
          <w:szCs w:val="18"/>
        </w:rPr>
        <w:t>Concluding Observations: Sweden</w:t>
      </w:r>
      <w:r w:rsidRPr="00CD4A7D">
        <w:rPr>
          <w:rFonts w:cs="Arial"/>
          <w:sz w:val="18"/>
          <w:szCs w:val="18"/>
        </w:rPr>
        <w:t>, UN Doc. E/C.12/SWE/CO/6 (2016), para. 42.</w:t>
      </w:r>
    </w:p>
  </w:endnote>
  <w:endnote w:id="71">
    <w:p w14:paraId="4E064492" w14:textId="0DFD3CFF" w:rsidR="005F07D9" w:rsidRPr="00CD4A7D" w:rsidRDefault="005F07D9" w:rsidP="00CD4A7D">
      <w:pPr>
        <w:pStyle w:val="EndnoteText"/>
        <w:spacing w:beforeLines="60" w:before="144" w:afterLines="20" w:after="48"/>
        <w:rPr>
          <w:rFonts w:cs="Arial"/>
          <w:sz w:val="18"/>
          <w:szCs w:val="18"/>
        </w:rPr>
      </w:pPr>
      <w:r w:rsidRPr="00CD4A7D">
        <w:rPr>
          <w:rStyle w:val="EndnoteReference"/>
          <w:rFonts w:eastAsia="Hiragino Kaku Gothic Pro W3" w:cs="Arial"/>
          <w:sz w:val="18"/>
          <w:szCs w:val="18"/>
        </w:rPr>
        <w:endnoteRef/>
      </w:r>
      <w:r w:rsidRPr="00CD4A7D">
        <w:rPr>
          <w:rFonts w:cs="Arial"/>
          <w:sz w:val="18"/>
          <w:szCs w:val="18"/>
        </w:rPr>
        <w:t xml:space="preserve"> </w:t>
      </w:r>
      <w:r w:rsidRPr="00022C18">
        <w:rPr>
          <w:rFonts w:cs="Arial"/>
          <w:sz w:val="18"/>
          <w:szCs w:val="18"/>
        </w:rPr>
        <w:t>Committee on the Elimination of Discrimination against Women, </w:t>
      </w:r>
      <w:r w:rsidRPr="00022C18">
        <w:rPr>
          <w:rFonts w:cs="Arial"/>
          <w:i/>
          <w:iCs/>
          <w:sz w:val="18"/>
          <w:szCs w:val="18"/>
        </w:rPr>
        <w:t>Concluding Observations: Canada</w:t>
      </w:r>
      <w:r w:rsidRPr="00022C18">
        <w:rPr>
          <w:rFonts w:cs="Arial"/>
          <w:sz w:val="18"/>
          <w:szCs w:val="18"/>
        </w:rPr>
        <w:t>, UN Doc. CEDAW/C/CAN/CO/8-9 (2016), para. 45</w:t>
      </w:r>
      <w:r w:rsidRPr="00CD4A7D">
        <w:rPr>
          <w:rFonts w:cs="Arial"/>
          <w:sz w:val="18"/>
          <w:szCs w:val="18"/>
        </w:rPr>
        <w:t xml:space="preserve">. </w:t>
      </w:r>
    </w:p>
  </w:endnote>
  <w:endnote w:id="72">
    <w:p w14:paraId="49F26DE9" w14:textId="668B285C"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Committee on the Elimination of Racial Discrimination, </w:t>
      </w:r>
      <w:r w:rsidRPr="00CD4A7D">
        <w:rPr>
          <w:rFonts w:cs="Arial"/>
          <w:i/>
          <w:iCs/>
          <w:sz w:val="18"/>
          <w:szCs w:val="18"/>
        </w:rPr>
        <w:t>Concluding Observations: Canada</w:t>
      </w:r>
      <w:r w:rsidRPr="00CD4A7D">
        <w:rPr>
          <w:rFonts w:cs="Arial"/>
          <w:sz w:val="18"/>
          <w:szCs w:val="18"/>
        </w:rPr>
        <w:t>, UN Doc.</w:t>
      </w:r>
      <w:r>
        <w:rPr>
          <w:rFonts w:cs="Arial"/>
          <w:sz w:val="18"/>
          <w:szCs w:val="18"/>
        </w:rPr>
        <w:t xml:space="preserve"> </w:t>
      </w:r>
      <w:r w:rsidRPr="00CD4A7D">
        <w:rPr>
          <w:rFonts w:cs="Arial"/>
          <w:sz w:val="18"/>
          <w:szCs w:val="18"/>
        </w:rPr>
        <w:t>CERD/C/CAN/CO/21-23 (2017), para. 16(e)</w:t>
      </w:r>
      <w:r>
        <w:rPr>
          <w:rFonts w:cs="Arial"/>
          <w:sz w:val="18"/>
          <w:szCs w:val="18"/>
        </w:rPr>
        <w:t>.</w:t>
      </w:r>
    </w:p>
  </w:endnote>
  <w:endnote w:id="73">
    <w:p w14:paraId="1CCF6A44"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Canadian Drug Policy Coalition, </w:t>
      </w:r>
      <w:r w:rsidRPr="00CD4A7D">
        <w:rPr>
          <w:rFonts w:cs="Arial"/>
          <w:i/>
          <w:iCs/>
          <w:sz w:val="18"/>
          <w:szCs w:val="18"/>
        </w:rPr>
        <w:t>Leading human rights and public health organizations release national drug decriminalization platform for Canada</w:t>
      </w:r>
      <w:r w:rsidRPr="00CD4A7D">
        <w:rPr>
          <w:rFonts w:cs="Arial"/>
          <w:sz w:val="18"/>
          <w:szCs w:val="18"/>
        </w:rPr>
        <w:t xml:space="preserve">, 2021. </w:t>
      </w:r>
    </w:p>
  </w:endnote>
  <w:endnote w:id="74">
    <w:p w14:paraId="6C8185F2" w14:textId="772970D6"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Committee on Economic, Social and Cultural Rights, </w:t>
      </w:r>
      <w:r w:rsidRPr="00CD4A7D">
        <w:rPr>
          <w:rFonts w:cs="Arial"/>
          <w:i/>
          <w:iCs/>
          <w:sz w:val="18"/>
          <w:szCs w:val="18"/>
        </w:rPr>
        <w:t>Concluding Observations: Philippines</w:t>
      </w:r>
      <w:r w:rsidRPr="00CD4A7D">
        <w:rPr>
          <w:rFonts w:cs="Arial"/>
          <w:sz w:val="18"/>
          <w:szCs w:val="18"/>
        </w:rPr>
        <w:t>, UN Doc. E/C.12/PHL/CO/5-6 (2016), para. 54; Committee on Economic, Social and Cultural Rights, </w:t>
      </w:r>
      <w:r w:rsidRPr="00CD4A7D">
        <w:rPr>
          <w:rFonts w:cs="Arial"/>
          <w:i/>
          <w:iCs/>
          <w:sz w:val="18"/>
          <w:szCs w:val="18"/>
        </w:rPr>
        <w:t>Concluding Observations: Mauritius</w:t>
      </w:r>
      <w:r w:rsidRPr="00CD4A7D">
        <w:rPr>
          <w:rFonts w:cs="Arial"/>
          <w:sz w:val="18"/>
          <w:szCs w:val="18"/>
        </w:rPr>
        <w:t>, UN Doc. E/C.12/MUS/CO/4 (2010), para. 27(f); Committee on Economic, Social and Cultural Rights, </w:t>
      </w:r>
      <w:r w:rsidRPr="00CD4A7D">
        <w:rPr>
          <w:rFonts w:cs="Arial"/>
          <w:i/>
          <w:iCs/>
          <w:sz w:val="18"/>
          <w:szCs w:val="18"/>
        </w:rPr>
        <w:t>Concluding Observations: Russia</w:t>
      </w:r>
      <w:r w:rsidRPr="00CD4A7D">
        <w:rPr>
          <w:rFonts w:cs="Arial"/>
          <w:sz w:val="18"/>
          <w:szCs w:val="18"/>
        </w:rPr>
        <w:t>, UN Doc. E/C.12/RUS/CO/6 (2017), para. 51.</w:t>
      </w:r>
    </w:p>
  </w:endnote>
  <w:endnote w:id="75">
    <w:p w14:paraId="7AA63C82" w14:textId="3F4643CE"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w:t>
      </w:r>
      <w:r w:rsidR="00FA656F">
        <w:rPr>
          <w:rFonts w:cs="Arial"/>
          <w:sz w:val="18"/>
          <w:szCs w:val="18"/>
        </w:rPr>
        <w:t>UN</w:t>
      </w:r>
      <w:r w:rsidRPr="00CD4A7D">
        <w:rPr>
          <w:rFonts w:cs="Arial"/>
          <w:sz w:val="18"/>
          <w:szCs w:val="18"/>
        </w:rPr>
        <w:t xml:space="preserve"> System Chief Executives Board for Coordination, </w:t>
      </w:r>
      <w:r w:rsidRPr="00CD4A7D">
        <w:rPr>
          <w:rFonts w:cs="Arial"/>
          <w:i/>
          <w:iCs/>
          <w:sz w:val="18"/>
          <w:szCs w:val="18"/>
        </w:rPr>
        <w:t>United Nations system common position supporting the implementation of the international drug control policy through effective inter-agency collaboration</w:t>
      </w:r>
      <w:r w:rsidRPr="00CD4A7D">
        <w:rPr>
          <w:rFonts w:cs="Arial"/>
          <w:sz w:val="18"/>
          <w:szCs w:val="18"/>
        </w:rPr>
        <w:t>, 2018.</w:t>
      </w:r>
    </w:p>
  </w:endnote>
  <w:endnote w:id="76">
    <w:p w14:paraId="5C2C692D" w14:textId="77777777" w:rsidR="005F07D9" w:rsidRPr="00CD4A7D" w:rsidRDefault="005F07D9" w:rsidP="00CD4A7D">
      <w:pPr>
        <w:pStyle w:val="EndnoteText"/>
        <w:spacing w:beforeLines="60" w:before="144" w:afterLines="20" w:after="48"/>
        <w:rPr>
          <w:rFonts w:cs="Arial"/>
          <w:sz w:val="18"/>
          <w:szCs w:val="18"/>
        </w:rPr>
      </w:pPr>
      <w:r w:rsidRPr="00CD4A7D">
        <w:rPr>
          <w:rStyle w:val="EndnoteReference"/>
          <w:rFonts w:cs="Arial"/>
          <w:sz w:val="18"/>
          <w:szCs w:val="18"/>
        </w:rPr>
        <w:endnoteRef/>
      </w:r>
      <w:r w:rsidRPr="00CD4A7D">
        <w:rPr>
          <w:rFonts w:cs="Arial"/>
          <w:sz w:val="18"/>
          <w:szCs w:val="18"/>
        </w:rPr>
        <w:t xml:space="preserve"> </w:t>
      </w:r>
      <w:r w:rsidRPr="00CD4A7D">
        <w:rPr>
          <w:rFonts w:cs="Arial"/>
          <w:i/>
          <w:iCs/>
          <w:sz w:val="18"/>
          <w:szCs w:val="18"/>
        </w:rPr>
        <w:t>Human rights challenges in addressing and countering all aspects of the world drug problem</w:t>
      </w:r>
      <w:r w:rsidRPr="00CD4A7D">
        <w:rPr>
          <w:rFonts w:cs="Arial"/>
          <w:sz w:val="18"/>
          <w:szCs w:val="18"/>
        </w:rPr>
        <w:t>, Report of the Office of the United Nations High Commissioner for Human Rights, A/HRC/54/53, 15 August 2023.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iragino Kaku Gothic Pro W3">
    <w:charset w:val="80"/>
    <w:family w:val="swiss"/>
    <w:pitch w:val="variable"/>
    <w:sig w:usb0="E00002FF" w:usb1="7AC7FFFF" w:usb2="00000012" w:usb3="00000000" w:csb0="0002000D" w:csb1="00000000"/>
  </w:font>
  <w:font w:name="Amnesty Trade Gothic Cn">
    <w:altName w:val="Times New Roman"/>
    <w:charset w:val="00"/>
    <w:family w:val="auto"/>
    <w:pitch w:val="variable"/>
    <w:sig w:usb0="00000001" w:usb1="5000204A" w:usb2="00000000" w:usb3="00000000" w:csb0="0000009B" w:csb1="00000000"/>
  </w:font>
  <w:font w:name="Hiragino Kaku Gothic Pro W6">
    <w:charset w:val="80"/>
    <w:family w:val="swiss"/>
    <w:pitch w:val="variable"/>
    <w:sig w:usb0="E00002FF" w:usb1="7AC7FFFF" w:usb2="00000012" w:usb3="00000000" w:csb0="0002000D"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Times New Roman"/>
    <w:panose1 w:val="02020603050405020304"/>
    <w:charset w:val="00"/>
    <w:family w:val="auto"/>
    <w:pitch w:val="variable"/>
    <w:sig w:usb0="E00002FF" w:usb1="5000205A" w:usb2="00000000" w:usb3="00000000" w:csb0="0000019F" w:csb1="00000000"/>
  </w:font>
  <w:font w:name="Helvetica">
    <w:panose1 w:val="020B0604020202020204"/>
    <w:charset w:val="00"/>
    <w:family w:val="auto"/>
    <w:pitch w:val="variable"/>
    <w:sig w:usb0="E00002FF" w:usb1="5000785B" w:usb2="00000000" w:usb3="00000000" w:csb0="0000019F" w:csb1="00000000"/>
  </w:font>
  <w:font w:name="Gotham Book">
    <w:altName w:val="Gotham Book"/>
    <w:charset w:val="00"/>
    <w:family w:val="swiss"/>
    <w:pitch w:val="default"/>
    <w:sig w:usb0="00000003" w:usb1="00000000" w:usb2="00000000" w:usb3="00000000" w:csb0="00000001" w:csb1="00000000"/>
  </w:font>
  <w:font w:name="Arial Hebrew Scholar">
    <w:charset w:val="B1"/>
    <w:family w:val="auto"/>
    <w:pitch w:val="variable"/>
    <w:sig w:usb0="80000843" w:usb1="40000002" w:usb2="00000000" w:usb3="00000000" w:csb0="00000021" w:csb1="00000000"/>
  </w:font>
  <w:font w:name="Futura Lt BT">
    <w:altName w:val="Arial"/>
    <w:charset w:val="00"/>
    <w:family w:val="swiss"/>
    <w:pitch w:val="variable"/>
    <w:sig w:usb0="800008E7" w:usb1="00000000" w:usb2="00000000" w:usb3="00000000" w:csb0="000001F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ED75C" w14:textId="77777777" w:rsidR="00F939C6" w:rsidRPr="00F747DA" w:rsidRDefault="00F939C6" w:rsidP="000961A3">
    <w:pPr>
      <w:pStyle w:val="Footer"/>
      <w:framePr w:wrap="none" w:vAnchor="text" w:hAnchor="margin" w:xAlign="right" w:y="1"/>
      <w:rPr>
        <w:rStyle w:val="PageNumber"/>
      </w:rPr>
    </w:pPr>
    <w:r w:rsidRPr="00F747DA">
      <w:rPr>
        <w:rStyle w:val="PageNumber"/>
      </w:rPr>
      <w:fldChar w:fldCharType="begin"/>
    </w:r>
    <w:r w:rsidRPr="00F747DA">
      <w:rPr>
        <w:rStyle w:val="PageNumber"/>
      </w:rPr>
      <w:instrText xml:space="preserve">PAGE  </w:instrText>
    </w:r>
    <w:r w:rsidRPr="00F747DA">
      <w:rPr>
        <w:rStyle w:val="PageNumber"/>
      </w:rPr>
      <w:fldChar w:fldCharType="separate"/>
    </w:r>
    <w:r w:rsidRPr="00F747DA">
      <w:rPr>
        <w:rStyle w:val="PageNumber"/>
      </w:rPr>
      <w:t>4</w:t>
    </w:r>
    <w:r w:rsidRPr="00F747DA">
      <w:rPr>
        <w:rStyle w:val="PageNumber"/>
      </w:rPr>
      <w:fldChar w:fldCharType="end"/>
    </w:r>
  </w:p>
  <w:p w14:paraId="6C1D06E8" w14:textId="77777777" w:rsidR="00F939C6" w:rsidRPr="00F747DA" w:rsidRDefault="00F939C6" w:rsidP="00BE59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989313"/>
      <w:docPartObj>
        <w:docPartGallery w:val="Page Numbers (Bottom of Page)"/>
        <w:docPartUnique/>
      </w:docPartObj>
    </w:sdtPr>
    <w:sdtEndPr/>
    <w:sdtContent>
      <w:p w14:paraId="48BF1341" w14:textId="27F54362" w:rsidR="00495FFD" w:rsidRPr="00F747DA" w:rsidRDefault="00495FFD">
        <w:pPr>
          <w:pStyle w:val="Footer"/>
          <w:jc w:val="right"/>
        </w:pPr>
        <w:r w:rsidRPr="00F747DA">
          <w:fldChar w:fldCharType="begin"/>
        </w:r>
        <w:r w:rsidRPr="00F747DA">
          <w:instrText xml:space="preserve"> PAGE   \* MERGEFORMAT </w:instrText>
        </w:r>
        <w:r w:rsidRPr="00F747DA">
          <w:fldChar w:fldCharType="separate"/>
        </w:r>
        <w:r w:rsidRPr="00F747DA">
          <w:t>2</w:t>
        </w:r>
        <w:r w:rsidRPr="00F747DA">
          <w:fldChar w:fldCharType="end"/>
        </w:r>
      </w:p>
    </w:sdtContent>
  </w:sdt>
  <w:p w14:paraId="7F535D5F" w14:textId="1C8D1055" w:rsidR="00F939C6" w:rsidRPr="00F747DA" w:rsidRDefault="00F939C6" w:rsidP="00BE599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5E760" w14:textId="3B3D95B6" w:rsidR="00F939C6" w:rsidRPr="00F747DA" w:rsidRDefault="00F939C6" w:rsidP="00020F8D">
    <w:pPr>
      <w:tabs>
        <w:tab w:val="left" w:pos="5669"/>
      </w:tabs>
      <w:rPr>
        <w:rFonts w:ascii="Futura Lt BT" w:hAnsi="Futura Lt BT"/>
        <w:color w:val="7F7F7F"/>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9641264"/>
      <w:docPartObj>
        <w:docPartGallery w:val="Page Numbers (Bottom of Page)"/>
        <w:docPartUnique/>
      </w:docPartObj>
    </w:sdtPr>
    <w:sdtEndPr/>
    <w:sdtContent>
      <w:p w14:paraId="16B2E9D0" w14:textId="62952E13" w:rsidR="00617E69" w:rsidRPr="00F747DA" w:rsidRDefault="00617E69">
        <w:pPr>
          <w:pStyle w:val="Footer"/>
          <w:jc w:val="center"/>
        </w:pPr>
        <w:r w:rsidRPr="00F747DA">
          <w:fldChar w:fldCharType="begin"/>
        </w:r>
        <w:r w:rsidRPr="00F747DA">
          <w:instrText xml:space="preserve"> PAGE   \* MERGEFORMAT </w:instrText>
        </w:r>
        <w:r w:rsidRPr="00F747DA">
          <w:fldChar w:fldCharType="separate"/>
        </w:r>
        <w:r w:rsidRPr="00F747DA">
          <w:t>2</w:t>
        </w:r>
        <w:r w:rsidRPr="00F747DA">
          <w:fldChar w:fldCharType="end"/>
        </w:r>
      </w:p>
    </w:sdtContent>
  </w:sdt>
  <w:p w14:paraId="7CFB0BEE" w14:textId="4D5A227D" w:rsidR="00F939C6" w:rsidRPr="00F747DA" w:rsidRDefault="00F939C6" w:rsidP="00BE5991">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36A2E" w14:textId="77777777" w:rsidR="00F939C6" w:rsidRPr="00F747DA" w:rsidRDefault="11FFD96E" w:rsidP="00893E5F">
    <w:pPr>
      <w:pStyle w:val="Footer"/>
    </w:pPr>
    <w:r w:rsidRPr="00F747DA">
      <w:rPr>
        <w:noProof/>
      </w:rPr>
      <w:drawing>
        <wp:inline distT="0" distB="0" distL="0" distR="0" wp14:anchorId="215E797A" wp14:editId="7C8694DA">
          <wp:extent cx="5943600" cy="882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5943600" cy="88265"/>
                  </a:xfrm>
                  <a:prstGeom prst="rect">
                    <a:avLst/>
                  </a:prstGeom>
                </pic:spPr>
              </pic:pic>
            </a:graphicData>
          </a:graphic>
        </wp:inline>
      </w:drawing>
    </w:r>
  </w:p>
  <w:p w14:paraId="69BD61D1" w14:textId="7E5D4107" w:rsidR="00F939C6" w:rsidRPr="00F747DA" w:rsidRDefault="00F939C6" w:rsidP="00020F8D">
    <w:pPr>
      <w:tabs>
        <w:tab w:val="left" w:pos="5669"/>
      </w:tabs>
      <w:rPr>
        <w:rFonts w:ascii="Futura Lt BT" w:hAnsi="Futura Lt BT"/>
        <w:color w:val="7F7F7F"/>
        <w:szCs w:val="22"/>
      </w:rPr>
    </w:pPr>
    <w:r w:rsidRPr="00F747DA">
      <w:rPr>
        <w:noProof/>
        <w:lang w:eastAsia="en-CA"/>
      </w:rPr>
      <w:drawing>
        <wp:anchor distT="0" distB="0" distL="114300" distR="114300" simplePos="0" relativeHeight="251658240" behindDoc="1" locked="0" layoutInCell="1" allowOverlap="1" wp14:anchorId="62269E7F" wp14:editId="7E9B4A98">
          <wp:simplePos x="0" y="0"/>
          <wp:positionH relativeFrom="margin">
            <wp:posOffset>0</wp:posOffset>
          </wp:positionH>
          <wp:positionV relativeFrom="margin">
            <wp:posOffset>8515350</wp:posOffset>
          </wp:positionV>
          <wp:extent cx="5943600" cy="88265"/>
          <wp:effectExtent l="0" t="0" r="0" b="6985"/>
          <wp:wrapTight wrapText="bothSides">
            <wp:wrapPolygon edited="0">
              <wp:start x="0" y="0"/>
              <wp:lineTo x="0" y="18647"/>
              <wp:lineTo x="21531" y="18647"/>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urBars2.jpg"/>
                  <pic:cNvPicPr/>
                </pic:nvPicPr>
                <pic:blipFill>
                  <a:blip r:embed="rId1">
                    <a:extLst>
                      <a:ext uri="{28A0092B-C50C-407E-A947-70E740481C1C}">
                        <a14:useLocalDpi xmlns:a14="http://schemas.microsoft.com/office/drawing/2010/main" val="0"/>
                      </a:ext>
                    </a:extLst>
                  </a:blip>
                  <a:stretch>
                    <a:fillRect/>
                  </a:stretch>
                </pic:blipFill>
                <pic:spPr>
                  <a:xfrm>
                    <a:off x="0" y="0"/>
                    <a:ext cx="5943600" cy="88265"/>
                  </a:xfrm>
                  <a:prstGeom prst="rect">
                    <a:avLst/>
                  </a:prstGeom>
                </pic:spPr>
              </pic:pic>
            </a:graphicData>
          </a:graphic>
          <wp14:sizeRelH relativeFrom="page">
            <wp14:pctWidth>0</wp14:pctWidth>
          </wp14:sizeRelH>
          <wp14:sizeRelV relativeFrom="page">
            <wp14:pctHeight>0</wp14:pctHeight>
          </wp14:sizeRelV>
        </wp:anchor>
      </w:drawing>
    </w:r>
    <w:r w:rsidR="11FFD96E" w:rsidRPr="00F747DA">
      <w:rPr>
        <w:rFonts w:cs="Arial"/>
        <w:sz w:val="20"/>
        <w:szCs w:val="20"/>
      </w:rPr>
      <w:t>Canadian HIV/AIDS Legal Network</w:t>
    </w:r>
    <w:r w:rsidRPr="00F747DA">
      <w:rPr>
        <w:rFonts w:cs="Arial"/>
        <w:sz w:val="20"/>
        <w:szCs w:val="20"/>
      </w:rPr>
      <w:tab/>
    </w:r>
    <w:r w:rsidRPr="00F747DA">
      <w:rPr>
        <w:rFonts w:cs="Arial"/>
        <w:sz w:val="20"/>
        <w:szCs w:val="20"/>
      </w:rPr>
      <w:tab/>
    </w:r>
    <w:r w:rsidRPr="00F747DA">
      <w:rPr>
        <w:rFonts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7161F" w14:textId="77777777" w:rsidR="00883F19" w:rsidRPr="00F747DA" w:rsidRDefault="00883F19">
      <w:r w:rsidRPr="00F747DA">
        <w:separator/>
      </w:r>
    </w:p>
  </w:footnote>
  <w:footnote w:type="continuationSeparator" w:id="0">
    <w:p w14:paraId="27C6479F" w14:textId="77777777" w:rsidR="00883F19" w:rsidRPr="00F747DA" w:rsidRDefault="00883F19">
      <w:r w:rsidRPr="00F747DA">
        <w:continuationSeparator/>
      </w:r>
    </w:p>
  </w:footnote>
  <w:footnote w:type="continuationNotice" w:id="1">
    <w:p w14:paraId="7DDBED85" w14:textId="77777777" w:rsidR="00883F19" w:rsidRPr="00F747DA" w:rsidRDefault="00883F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2ECF4" w14:textId="2A1E866A" w:rsidR="00F939C6" w:rsidRPr="00F747DA" w:rsidRDefault="00896AB0" w:rsidP="00405262">
    <w:pPr>
      <w:pStyle w:val="Header"/>
      <w:jc w:val="center"/>
    </w:pPr>
    <w:r w:rsidRPr="00F747DA">
      <w:rPr>
        <w:rFonts w:cs="Arial"/>
        <w:b/>
        <w:noProof/>
        <w:color w:val="000000"/>
        <w:sz w:val="28"/>
        <w:szCs w:val="28"/>
      </w:rPr>
      <w:drawing>
        <wp:inline distT="0" distB="0" distL="0" distR="0" wp14:anchorId="780BA78F" wp14:editId="701763E7">
          <wp:extent cx="2502716" cy="1039660"/>
          <wp:effectExtent l="0" t="0" r="0" b="1905"/>
          <wp:docPr id="3" name="Picture 3" descr="Macintosh HD:Users:sandrachu:Desktop:Administrative docs:hiv-legal-network-reseau-juridique-vih-logo-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andrachu:Desktop:Administrative docs:hiv-legal-network-reseau-juridique-vih-logo-new.jpg"/>
                  <pic:cNvPicPr>
                    <a:picLocks noChangeAspect="1" noChangeArrowheads="1"/>
                  </pic:cNvPicPr>
                </pic:nvPicPr>
                <pic:blipFill rotWithShape="1">
                  <a:blip r:embed="rId1">
                    <a:extLst>
                      <a:ext uri="{28A0092B-C50C-407E-A947-70E740481C1C}">
                        <a14:useLocalDpi xmlns:a14="http://schemas.microsoft.com/office/drawing/2010/main" val="0"/>
                      </a:ext>
                    </a:extLst>
                  </a:blip>
                  <a:srcRect t="8867" b="17505"/>
                  <a:stretch/>
                </pic:blipFill>
                <pic:spPr bwMode="auto">
                  <a:xfrm>
                    <a:off x="0" y="0"/>
                    <a:ext cx="2513685" cy="1044217"/>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08113" w14:textId="4B5E2823" w:rsidR="00F939C6" w:rsidRPr="00F747DA" w:rsidRDefault="00F939C6" w:rsidP="007B7C2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5BE02454"/>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00670E40"/>
    <w:multiLevelType w:val="hybridMultilevel"/>
    <w:tmpl w:val="DE0893EA"/>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 w15:restartNumberingAfterBreak="0">
    <w:nsid w:val="00D93CE9"/>
    <w:multiLevelType w:val="hybridMultilevel"/>
    <w:tmpl w:val="FA4CEB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E3082C"/>
    <w:multiLevelType w:val="hybridMultilevel"/>
    <w:tmpl w:val="63F059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2E25CD"/>
    <w:multiLevelType w:val="hybridMultilevel"/>
    <w:tmpl w:val="F7A07324"/>
    <w:lvl w:ilvl="0" w:tplc="4E048656">
      <w:start w:val="17"/>
      <w:numFmt w:val="lowerLetter"/>
      <w:lvlText w:val="(%1)"/>
      <w:lvlJc w:val="left"/>
      <w:pPr>
        <w:ind w:left="1080" w:hanging="360"/>
      </w:pPr>
      <w:rPr>
        <w:rFonts w:cs="Times New Roman"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0D750089"/>
    <w:multiLevelType w:val="multilevel"/>
    <w:tmpl w:val="D9C4E744"/>
    <w:lvl w:ilvl="0">
      <w:start w:val="1"/>
      <w:numFmt w:val="decimal"/>
      <w:pStyle w:val="ORL1"/>
      <w:lvlText w:val="%1."/>
      <w:lvlJc w:val="left"/>
      <w:pPr>
        <w:tabs>
          <w:tab w:val="num" w:pos="720"/>
        </w:tabs>
      </w:pPr>
      <w:rPr>
        <w:rFonts w:cs="Times New Roman" w:hint="default"/>
        <w:b w:val="0"/>
        <w:color w:val="auto"/>
      </w:rPr>
    </w:lvl>
    <w:lvl w:ilvl="1">
      <w:start w:val="1"/>
      <w:numFmt w:val="lowerLetter"/>
      <w:lvlText w:val="(%2)"/>
      <w:lvlJc w:val="left"/>
      <w:pPr>
        <w:tabs>
          <w:tab w:val="num" w:pos="1440"/>
        </w:tabs>
        <w:ind w:left="1440" w:hanging="720"/>
      </w:pPr>
      <w:rPr>
        <w:rFonts w:cs="Times New Roman" w:hint="default"/>
        <w:b w:val="0"/>
      </w:rPr>
    </w:lvl>
    <w:lvl w:ilvl="2">
      <w:start w:val="1"/>
      <w:numFmt w:val="lowerRoman"/>
      <w:lvlText w:val="(%3)"/>
      <w:lvlJc w:val="right"/>
      <w:pPr>
        <w:tabs>
          <w:tab w:val="num" w:pos="2160"/>
        </w:tabs>
        <w:ind w:left="2160" w:hanging="432"/>
      </w:pPr>
      <w:rPr>
        <w:rFonts w:cs="Times New Roman" w:hint="default"/>
      </w:rPr>
    </w:lvl>
    <w:lvl w:ilvl="3">
      <w:start w:val="1"/>
      <w:numFmt w:val="upperLetter"/>
      <w:lvlText w:val="(%4)"/>
      <w:lvlJc w:val="left"/>
      <w:pPr>
        <w:tabs>
          <w:tab w:val="num" w:pos="2880"/>
        </w:tabs>
        <w:ind w:left="2880" w:hanging="720"/>
      </w:pPr>
      <w:rPr>
        <w:rFonts w:cs="Times New Roman" w:hint="default"/>
      </w:rPr>
    </w:lvl>
    <w:lvl w:ilvl="4">
      <w:start w:val="1"/>
      <w:numFmt w:val="upperRoman"/>
      <w:lvlText w:val="(%5)"/>
      <w:lvlJc w:val="right"/>
      <w:pPr>
        <w:tabs>
          <w:tab w:val="num" w:pos="3600"/>
        </w:tabs>
        <w:ind w:left="3600" w:hanging="432"/>
      </w:pPr>
      <w:rPr>
        <w:rFonts w:cs="Times New Roman" w:hint="default"/>
      </w:rPr>
    </w:lvl>
    <w:lvl w:ilvl="5">
      <w:start w:val="1"/>
      <w:numFmt w:val="decimal"/>
      <w:lvlText w:val="(%6)"/>
      <w:lvlJc w:val="left"/>
      <w:pPr>
        <w:tabs>
          <w:tab w:val="num" w:pos="4320"/>
        </w:tabs>
        <w:ind w:left="4320" w:hanging="720"/>
      </w:pPr>
      <w:rPr>
        <w:rFonts w:cs="Times New Roman" w:hint="default"/>
      </w:rPr>
    </w:lvl>
    <w:lvl w:ilvl="6">
      <w:start w:val="1"/>
      <w:numFmt w:val="lowerLetter"/>
      <w:lvlText w:val="%7)"/>
      <w:lvlJc w:val="left"/>
      <w:pPr>
        <w:tabs>
          <w:tab w:val="num" w:pos="5040"/>
        </w:tabs>
        <w:ind w:left="5040" w:hanging="720"/>
      </w:pPr>
      <w:rPr>
        <w:rFonts w:cs="Times New Roman" w:hint="default"/>
      </w:rPr>
    </w:lvl>
    <w:lvl w:ilvl="7">
      <w:start w:val="1"/>
      <w:numFmt w:val="lowerRoman"/>
      <w:lvlText w:val="%8)"/>
      <w:lvlJc w:val="right"/>
      <w:pPr>
        <w:tabs>
          <w:tab w:val="num" w:pos="5760"/>
        </w:tabs>
        <w:ind w:left="5760" w:hanging="432"/>
      </w:pPr>
      <w:rPr>
        <w:rFonts w:cs="Times New Roman" w:hint="default"/>
      </w:rPr>
    </w:lvl>
    <w:lvl w:ilvl="8">
      <w:start w:val="1"/>
      <w:numFmt w:val="decimal"/>
      <w:lvlText w:val="%9)"/>
      <w:lvlJc w:val="left"/>
      <w:pPr>
        <w:tabs>
          <w:tab w:val="num" w:pos="6480"/>
        </w:tabs>
        <w:ind w:left="6480" w:hanging="720"/>
      </w:pPr>
      <w:rPr>
        <w:rFonts w:cs="Times New Roman" w:hint="default"/>
      </w:rPr>
    </w:lvl>
  </w:abstractNum>
  <w:abstractNum w:abstractNumId="6" w15:restartNumberingAfterBreak="0">
    <w:nsid w:val="15871185"/>
    <w:multiLevelType w:val="hybridMultilevel"/>
    <w:tmpl w:val="B2887F9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64E5C1F"/>
    <w:multiLevelType w:val="hybridMultilevel"/>
    <w:tmpl w:val="58E6F2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8E6728C"/>
    <w:multiLevelType w:val="hybridMultilevel"/>
    <w:tmpl w:val="6730102E"/>
    <w:lvl w:ilvl="0" w:tplc="7BA28E3E">
      <w:numFmt w:val="bullet"/>
      <w:lvlText w:val="-"/>
      <w:lvlJc w:val="left"/>
      <w:pPr>
        <w:ind w:left="1080" w:hanging="360"/>
      </w:pPr>
      <w:rPr>
        <w:rFonts w:ascii="Arial" w:eastAsiaTheme="minorHAnsi" w:hAnsi="Arial" w:cs="Aria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9" w15:restartNumberingAfterBreak="0">
    <w:nsid w:val="1A6123F5"/>
    <w:multiLevelType w:val="hybridMultilevel"/>
    <w:tmpl w:val="4C946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D4F0829"/>
    <w:multiLevelType w:val="hybridMultilevel"/>
    <w:tmpl w:val="76C015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E87575A"/>
    <w:multiLevelType w:val="hybridMultilevel"/>
    <w:tmpl w:val="C32892AE"/>
    <w:lvl w:ilvl="0" w:tplc="04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1EC826CB"/>
    <w:multiLevelType w:val="hybridMultilevel"/>
    <w:tmpl w:val="B118990A"/>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0052346"/>
    <w:multiLevelType w:val="hybridMultilevel"/>
    <w:tmpl w:val="F12839F0"/>
    <w:lvl w:ilvl="0" w:tplc="04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4657306"/>
    <w:multiLevelType w:val="hybridMultilevel"/>
    <w:tmpl w:val="D5A829DE"/>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D3A3449"/>
    <w:multiLevelType w:val="hybridMultilevel"/>
    <w:tmpl w:val="276EF3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FCD17E9"/>
    <w:multiLevelType w:val="hybridMultilevel"/>
    <w:tmpl w:val="DA406C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52C158E"/>
    <w:multiLevelType w:val="hybridMultilevel"/>
    <w:tmpl w:val="157CA7C6"/>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3BD1E2"/>
    <w:multiLevelType w:val="hybridMultilevel"/>
    <w:tmpl w:val="040159B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2F33008"/>
    <w:multiLevelType w:val="hybridMultilevel"/>
    <w:tmpl w:val="B45A6D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2B56C8"/>
    <w:multiLevelType w:val="hybridMultilevel"/>
    <w:tmpl w:val="747AD4D2"/>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2E7F04"/>
    <w:multiLevelType w:val="multilevel"/>
    <w:tmpl w:val="211A5486"/>
    <w:lvl w:ilvl="0">
      <w:start w:val="1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570E44"/>
    <w:multiLevelType w:val="hybridMultilevel"/>
    <w:tmpl w:val="8EF48F7A"/>
    <w:lvl w:ilvl="0" w:tplc="30DEFA72">
      <w:numFmt w:val="bullet"/>
      <w:lvlText w:val="-"/>
      <w:lvlJc w:val="left"/>
      <w:pPr>
        <w:ind w:left="720" w:hanging="360"/>
      </w:pPr>
      <w:rPr>
        <w:rFonts w:ascii="Arial" w:eastAsia="Hiragino Kaku Gothic Pro W3"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C6B6149"/>
    <w:multiLevelType w:val="hybridMultilevel"/>
    <w:tmpl w:val="F5509E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E491BDA"/>
    <w:multiLevelType w:val="hybridMultilevel"/>
    <w:tmpl w:val="F15AC176"/>
    <w:lvl w:ilvl="0" w:tplc="5FDE2D0E">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0D458A"/>
    <w:multiLevelType w:val="hybridMultilevel"/>
    <w:tmpl w:val="0B90DD7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6" w15:restartNumberingAfterBreak="0">
    <w:nsid w:val="5CBE1C60"/>
    <w:multiLevelType w:val="hybridMultilevel"/>
    <w:tmpl w:val="AF68B476"/>
    <w:lvl w:ilvl="0" w:tplc="BB24E970">
      <w:start w:val="1"/>
      <w:numFmt w:val="decimal"/>
      <w:lvlText w:val="%1."/>
      <w:lvlJc w:val="left"/>
      <w:pPr>
        <w:ind w:left="360" w:hanging="360"/>
      </w:pPr>
      <w:rPr>
        <w:rFonts w:ascii="Arial" w:hAnsi="Arial" w:cs="Arial" w:hint="default"/>
        <w:b w:val="0"/>
        <w:bCs w:val="0"/>
        <w:sz w:val="22"/>
        <w:szCs w:val="22"/>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7" w15:restartNumberingAfterBreak="0">
    <w:nsid w:val="6089357B"/>
    <w:multiLevelType w:val="hybridMultilevel"/>
    <w:tmpl w:val="E01AD1E6"/>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8" w15:restartNumberingAfterBreak="0">
    <w:nsid w:val="617B651B"/>
    <w:multiLevelType w:val="hybridMultilevel"/>
    <w:tmpl w:val="14405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61B61E0"/>
    <w:multiLevelType w:val="hybridMultilevel"/>
    <w:tmpl w:val="3C30741C"/>
    <w:lvl w:ilvl="0" w:tplc="1009000F">
      <w:start w:val="1"/>
      <w:numFmt w:val="decimal"/>
      <w:lvlText w:val="%1."/>
      <w:lvlJc w:val="left"/>
      <w:pPr>
        <w:ind w:left="720" w:hanging="360"/>
      </w:pPr>
      <w:rPr>
        <w:rFonts w:hint="default"/>
      </w:rPr>
    </w:lvl>
    <w:lvl w:ilvl="1" w:tplc="10090019">
      <w:start w:val="1"/>
      <w:numFmt w:val="lowerLetter"/>
      <w:lvlText w:val="%2."/>
      <w:lvlJc w:val="left"/>
      <w:pPr>
        <w:ind w:left="121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66307A83"/>
    <w:multiLevelType w:val="hybridMultilevel"/>
    <w:tmpl w:val="1A0A2F88"/>
    <w:lvl w:ilvl="0" w:tplc="1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68717C2"/>
    <w:multiLevelType w:val="hybridMultilevel"/>
    <w:tmpl w:val="6E9E0890"/>
    <w:lvl w:ilvl="0" w:tplc="04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15:restartNumberingAfterBreak="0">
    <w:nsid w:val="67B15025"/>
    <w:multiLevelType w:val="hybridMultilevel"/>
    <w:tmpl w:val="DCAA1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B6D7C61"/>
    <w:multiLevelType w:val="hybridMultilevel"/>
    <w:tmpl w:val="43B83EDC"/>
    <w:lvl w:ilvl="0" w:tplc="10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4" w15:restartNumberingAfterBreak="0">
    <w:nsid w:val="6F4611FE"/>
    <w:multiLevelType w:val="hybridMultilevel"/>
    <w:tmpl w:val="C65C7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D14764"/>
    <w:multiLevelType w:val="hybridMultilevel"/>
    <w:tmpl w:val="10807B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352"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1E77F4D"/>
    <w:multiLevelType w:val="hybridMultilevel"/>
    <w:tmpl w:val="59E4DA70"/>
    <w:lvl w:ilvl="0" w:tplc="8C38DB8E">
      <w:start w:val="1"/>
      <w:numFmt w:val="lowerLetter"/>
      <w:lvlText w:val="(%1)"/>
      <w:lvlJc w:val="left"/>
      <w:pPr>
        <w:ind w:left="1003" w:hanging="720"/>
      </w:pPr>
      <w:rPr>
        <w:rFonts w:hint="default"/>
      </w:rPr>
    </w:lvl>
    <w:lvl w:ilvl="1" w:tplc="10090019" w:tentative="1">
      <w:start w:val="1"/>
      <w:numFmt w:val="lowerLetter"/>
      <w:lvlText w:val="%2."/>
      <w:lvlJc w:val="left"/>
      <w:pPr>
        <w:ind w:left="1363" w:hanging="360"/>
      </w:pPr>
    </w:lvl>
    <w:lvl w:ilvl="2" w:tplc="1009001B" w:tentative="1">
      <w:start w:val="1"/>
      <w:numFmt w:val="lowerRoman"/>
      <w:lvlText w:val="%3."/>
      <w:lvlJc w:val="right"/>
      <w:pPr>
        <w:ind w:left="2083" w:hanging="180"/>
      </w:pPr>
    </w:lvl>
    <w:lvl w:ilvl="3" w:tplc="1009000F" w:tentative="1">
      <w:start w:val="1"/>
      <w:numFmt w:val="decimal"/>
      <w:lvlText w:val="%4."/>
      <w:lvlJc w:val="left"/>
      <w:pPr>
        <w:ind w:left="2803" w:hanging="360"/>
      </w:pPr>
    </w:lvl>
    <w:lvl w:ilvl="4" w:tplc="10090019" w:tentative="1">
      <w:start w:val="1"/>
      <w:numFmt w:val="lowerLetter"/>
      <w:lvlText w:val="%5."/>
      <w:lvlJc w:val="left"/>
      <w:pPr>
        <w:ind w:left="3523" w:hanging="360"/>
      </w:pPr>
    </w:lvl>
    <w:lvl w:ilvl="5" w:tplc="1009001B" w:tentative="1">
      <w:start w:val="1"/>
      <w:numFmt w:val="lowerRoman"/>
      <w:lvlText w:val="%6."/>
      <w:lvlJc w:val="right"/>
      <w:pPr>
        <w:ind w:left="4243" w:hanging="180"/>
      </w:pPr>
    </w:lvl>
    <w:lvl w:ilvl="6" w:tplc="1009000F" w:tentative="1">
      <w:start w:val="1"/>
      <w:numFmt w:val="decimal"/>
      <w:lvlText w:val="%7."/>
      <w:lvlJc w:val="left"/>
      <w:pPr>
        <w:ind w:left="4963" w:hanging="360"/>
      </w:pPr>
    </w:lvl>
    <w:lvl w:ilvl="7" w:tplc="10090019" w:tentative="1">
      <w:start w:val="1"/>
      <w:numFmt w:val="lowerLetter"/>
      <w:lvlText w:val="%8."/>
      <w:lvlJc w:val="left"/>
      <w:pPr>
        <w:ind w:left="5683" w:hanging="360"/>
      </w:pPr>
    </w:lvl>
    <w:lvl w:ilvl="8" w:tplc="1009001B" w:tentative="1">
      <w:start w:val="1"/>
      <w:numFmt w:val="lowerRoman"/>
      <w:lvlText w:val="%9."/>
      <w:lvlJc w:val="right"/>
      <w:pPr>
        <w:ind w:left="6403" w:hanging="180"/>
      </w:pPr>
    </w:lvl>
  </w:abstractNum>
  <w:abstractNum w:abstractNumId="37" w15:restartNumberingAfterBreak="0">
    <w:nsid w:val="7C98297D"/>
    <w:multiLevelType w:val="hybridMultilevel"/>
    <w:tmpl w:val="DA404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307DC5"/>
    <w:multiLevelType w:val="hybridMultilevel"/>
    <w:tmpl w:val="390043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7E111436"/>
    <w:multiLevelType w:val="hybridMultilevel"/>
    <w:tmpl w:val="F1AAC2D8"/>
    <w:lvl w:ilvl="0" w:tplc="FB6AC820">
      <w:numFmt w:val="bullet"/>
      <w:lvlText w:val=""/>
      <w:lvlJc w:val="left"/>
      <w:pPr>
        <w:ind w:left="840" w:hanging="360"/>
      </w:pPr>
      <w:rPr>
        <w:rFonts w:ascii="Wingdings" w:eastAsia="Wingdings" w:hAnsi="Wingdings" w:cs="Wingdings" w:hint="default"/>
        <w:sz w:val="24"/>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40" w15:restartNumberingAfterBreak="0">
    <w:nsid w:val="7E82243E"/>
    <w:multiLevelType w:val="hybridMultilevel"/>
    <w:tmpl w:val="23CCA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2794512">
    <w:abstractNumId w:val="0"/>
  </w:num>
  <w:num w:numId="2" w16cid:durableId="1864587400">
    <w:abstractNumId w:val="33"/>
  </w:num>
  <w:num w:numId="3" w16cid:durableId="1031344557">
    <w:abstractNumId w:val="32"/>
  </w:num>
  <w:num w:numId="4" w16cid:durableId="137846255">
    <w:abstractNumId w:val="11"/>
  </w:num>
  <w:num w:numId="5" w16cid:durableId="1141968189">
    <w:abstractNumId w:val="31"/>
  </w:num>
  <w:num w:numId="6" w16cid:durableId="902837409">
    <w:abstractNumId w:val="13"/>
  </w:num>
  <w:num w:numId="7" w16cid:durableId="789789444">
    <w:abstractNumId w:val="12"/>
  </w:num>
  <w:num w:numId="8" w16cid:durableId="958610493">
    <w:abstractNumId w:val="19"/>
  </w:num>
  <w:num w:numId="9" w16cid:durableId="1549607931">
    <w:abstractNumId w:val="6"/>
  </w:num>
  <w:num w:numId="10" w16cid:durableId="976838182">
    <w:abstractNumId w:val="1"/>
  </w:num>
  <w:num w:numId="11" w16cid:durableId="1893688977">
    <w:abstractNumId w:val="2"/>
  </w:num>
  <w:num w:numId="12" w16cid:durableId="653486982">
    <w:abstractNumId w:val="3"/>
  </w:num>
  <w:num w:numId="13" w16cid:durableId="2080589459">
    <w:abstractNumId w:val="27"/>
  </w:num>
  <w:num w:numId="14" w16cid:durableId="388771134">
    <w:abstractNumId w:val="21"/>
  </w:num>
  <w:num w:numId="15" w16cid:durableId="1894924542">
    <w:abstractNumId w:val="37"/>
  </w:num>
  <w:num w:numId="16" w16cid:durableId="1490054961">
    <w:abstractNumId w:val="40"/>
  </w:num>
  <w:num w:numId="17" w16cid:durableId="38821354">
    <w:abstractNumId w:val="38"/>
  </w:num>
  <w:num w:numId="18" w16cid:durableId="567350232">
    <w:abstractNumId w:val="14"/>
  </w:num>
  <w:num w:numId="19" w16cid:durableId="685398947">
    <w:abstractNumId w:val="22"/>
  </w:num>
  <w:num w:numId="20" w16cid:durableId="617370947">
    <w:abstractNumId w:val="23"/>
  </w:num>
  <w:num w:numId="21" w16cid:durableId="1621185081">
    <w:abstractNumId w:val="26"/>
  </w:num>
  <w:num w:numId="22" w16cid:durableId="1645961196">
    <w:abstractNumId w:val="24"/>
  </w:num>
  <w:num w:numId="23" w16cid:durableId="921526578">
    <w:abstractNumId w:val="8"/>
  </w:num>
  <w:num w:numId="24" w16cid:durableId="929242395">
    <w:abstractNumId w:val="8"/>
  </w:num>
  <w:num w:numId="25" w16cid:durableId="1395616876">
    <w:abstractNumId w:val="15"/>
  </w:num>
  <w:num w:numId="26" w16cid:durableId="1889948109">
    <w:abstractNumId w:val="20"/>
  </w:num>
  <w:num w:numId="27" w16cid:durableId="413015287">
    <w:abstractNumId w:val="17"/>
  </w:num>
  <w:num w:numId="28" w16cid:durableId="1199899959">
    <w:abstractNumId w:val="0"/>
  </w:num>
  <w:num w:numId="29" w16cid:durableId="575671603">
    <w:abstractNumId w:val="9"/>
  </w:num>
  <w:num w:numId="30" w16cid:durableId="759987452">
    <w:abstractNumId w:val="16"/>
  </w:num>
  <w:num w:numId="31" w16cid:durableId="555363599">
    <w:abstractNumId w:val="35"/>
  </w:num>
  <w:num w:numId="32" w16cid:durableId="1304391122">
    <w:abstractNumId w:val="10"/>
  </w:num>
  <w:num w:numId="33" w16cid:durableId="1874688797">
    <w:abstractNumId w:val="39"/>
  </w:num>
  <w:num w:numId="34" w16cid:durableId="515929494">
    <w:abstractNumId w:val="25"/>
  </w:num>
  <w:num w:numId="35" w16cid:durableId="1018968403">
    <w:abstractNumId w:val="7"/>
  </w:num>
  <w:num w:numId="36" w16cid:durableId="1183936608">
    <w:abstractNumId w:val="28"/>
  </w:num>
  <w:num w:numId="37" w16cid:durableId="1195772181">
    <w:abstractNumId w:val="30"/>
  </w:num>
  <w:num w:numId="38" w16cid:durableId="1920482249">
    <w:abstractNumId w:val="31"/>
  </w:num>
  <w:num w:numId="39" w16cid:durableId="1353142887">
    <w:abstractNumId w:val="34"/>
  </w:num>
  <w:num w:numId="40" w16cid:durableId="991759146">
    <w:abstractNumId w:val="5"/>
  </w:num>
  <w:num w:numId="41" w16cid:durableId="394620685">
    <w:abstractNumId w:val="29"/>
  </w:num>
  <w:num w:numId="42" w16cid:durableId="1252817448">
    <w:abstractNumId w:val="18"/>
  </w:num>
  <w:num w:numId="43" w16cid:durableId="553123941">
    <w:abstractNumId w:val="36"/>
  </w:num>
  <w:num w:numId="44" w16cid:durableId="16010664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noPunctuationKerning/>
  <w:characterSpacingControl w:val="doNotCompress"/>
  <w:hdrShapeDefaults>
    <o:shapedefaults v:ext="edit" spidmax="2050" style="mso-position-horizontal-relative:margin;mso-position-vertical-relative:margin" fill="f" fillcolor="white" stroke="f">
      <v:fill color="white" on="f"/>
      <v:stroke on="f"/>
    </o:shapedefaults>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B5B"/>
    <w:rsid w:val="00000358"/>
    <w:rsid w:val="0000330A"/>
    <w:rsid w:val="000046C9"/>
    <w:rsid w:val="000047AD"/>
    <w:rsid w:val="00004982"/>
    <w:rsid w:val="00005A7F"/>
    <w:rsid w:val="0000704A"/>
    <w:rsid w:val="0000718D"/>
    <w:rsid w:val="0000722E"/>
    <w:rsid w:val="00007A5A"/>
    <w:rsid w:val="00010CB3"/>
    <w:rsid w:val="00012226"/>
    <w:rsid w:val="0001291D"/>
    <w:rsid w:val="00012AB8"/>
    <w:rsid w:val="000139E4"/>
    <w:rsid w:val="00015687"/>
    <w:rsid w:val="00016AAB"/>
    <w:rsid w:val="00016E4B"/>
    <w:rsid w:val="00016F12"/>
    <w:rsid w:val="000201A7"/>
    <w:rsid w:val="00020F8D"/>
    <w:rsid w:val="00021BAC"/>
    <w:rsid w:val="00021DC5"/>
    <w:rsid w:val="00022C18"/>
    <w:rsid w:val="00024E84"/>
    <w:rsid w:val="000263E0"/>
    <w:rsid w:val="000302BB"/>
    <w:rsid w:val="0003046B"/>
    <w:rsid w:val="0003098C"/>
    <w:rsid w:val="000349B5"/>
    <w:rsid w:val="00036BF1"/>
    <w:rsid w:val="00037468"/>
    <w:rsid w:val="00037A8E"/>
    <w:rsid w:val="000412EB"/>
    <w:rsid w:val="000415E9"/>
    <w:rsid w:val="000431C2"/>
    <w:rsid w:val="0004432B"/>
    <w:rsid w:val="00044568"/>
    <w:rsid w:val="00044857"/>
    <w:rsid w:val="000453DC"/>
    <w:rsid w:val="00046B7D"/>
    <w:rsid w:val="0004753F"/>
    <w:rsid w:val="00047DBE"/>
    <w:rsid w:val="0005072D"/>
    <w:rsid w:val="0005088F"/>
    <w:rsid w:val="00050DF7"/>
    <w:rsid w:val="0005110E"/>
    <w:rsid w:val="00051CBF"/>
    <w:rsid w:val="000528D0"/>
    <w:rsid w:val="00054A0B"/>
    <w:rsid w:val="00054D8B"/>
    <w:rsid w:val="00055B44"/>
    <w:rsid w:val="0005778A"/>
    <w:rsid w:val="000606CE"/>
    <w:rsid w:val="000606EE"/>
    <w:rsid w:val="00061502"/>
    <w:rsid w:val="00061647"/>
    <w:rsid w:val="000616D3"/>
    <w:rsid w:val="00062A63"/>
    <w:rsid w:val="00062EEF"/>
    <w:rsid w:val="00062F6E"/>
    <w:rsid w:val="00063871"/>
    <w:rsid w:val="00063ADA"/>
    <w:rsid w:val="00064853"/>
    <w:rsid w:val="0006519A"/>
    <w:rsid w:val="00065874"/>
    <w:rsid w:val="00065F3D"/>
    <w:rsid w:val="0006611F"/>
    <w:rsid w:val="00070EBC"/>
    <w:rsid w:val="00071E8C"/>
    <w:rsid w:val="00072E91"/>
    <w:rsid w:val="00073FAB"/>
    <w:rsid w:val="00074C19"/>
    <w:rsid w:val="0007574E"/>
    <w:rsid w:val="0008162D"/>
    <w:rsid w:val="000833CB"/>
    <w:rsid w:val="00083BC6"/>
    <w:rsid w:val="000845E5"/>
    <w:rsid w:val="00084C1A"/>
    <w:rsid w:val="0008529C"/>
    <w:rsid w:val="0008606B"/>
    <w:rsid w:val="00086D42"/>
    <w:rsid w:val="00087B1B"/>
    <w:rsid w:val="00091DD4"/>
    <w:rsid w:val="00092217"/>
    <w:rsid w:val="00092D0D"/>
    <w:rsid w:val="00093AB7"/>
    <w:rsid w:val="00094710"/>
    <w:rsid w:val="000955FC"/>
    <w:rsid w:val="00095A40"/>
    <w:rsid w:val="000961A3"/>
    <w:rsid w:val="00096A42"/>
    <w:rsid w:val="000972B5"/>
    <w:rsid w:val="00097ABF"/>
    <w:rsid w:val="00097CFC"/>
    <w:rsid w:val="000A163E"/>
    <w:rsid w:val="000A1D02"/>
    <w:rsid w:val="000A21A9"/>
    <w:rsid w:val="000A2667"/>
    <w:rsid w:val="000A4818"/>
    <w:rsid w:val="000A7DDA"/>
    <w:rsid w:val="000A7FC7"/>
    <w:rsid w:val="000B0B66"/>
    <w:rsid w:val="000B18D0"/>
    <w:rsid w:val="000B241C"/>
    <w:rsid w:val="000B33EF"/>
    <w:rsid w:val="000B34C0"/>
    <w:rsid w:val="000B3880"/>
    <w:rsid w:val="000B6156"/>
    <w:rsid w:val="000B790A"/>
    <w:rsid w:val="000C2897"/>
    <w:rsid w:val="000C34EA"/>
    <w:rsid w:val="000C4109"/>
    <w:rsid w:val="000C4641"/>
    <w:rsid w:val="000C4A4D"/>
    <w:rsid w:val="000C575E"/>
    <w:rsid w:val="000C75B8"/>
    <w:rsid w:val="000C769E"/>
    <w:rsid w:val="000D036A"/>
    <w:rsid w:val="000D0B28"/>
    <w:rsid w:val="000D1DFB"/>
    <w:rsid w:val="000D262D"/>
    <w:rsid w:val="000D37DE"/>
    <w:rsid w:val="000D47C1"/>
    <w:rsid w:val="000D54DB"/>
    <w:rsid w:val="000D5EB5"/>
    <w:rsid w:val="000D7ADC"/>
    <w:rsid w:val="000E0815"/>
    <w:rsid w:val="000E13AF"/>
    <w:rsid w:val="000E23C3"/>
    <w:rsid w:val="000E3D03"/>
    <w:rsid w:val="000E40F4"/>
    <w:rsid w:val="000E5BC4"/>
    <w:rsid w:val="000E5C8E"/>
    <w:rsid w:val="000E6409"/>
    <w:rsid w:val="000F0246"/>
    <w:rsid w:val="000F0DC9"/>
    <w:rsid w:val="000F11A9"/>
    <w:rsid w:val="000F14DA"/>
    <w:rsid w:val="000F2236"/>
    <w:rsid w:val="000F2BE9"/>
    <w:rsid w:val="000F3034"/>
    <w:rsid w:val="000F63B1"/>
    <w:rsid w:val="000F65D9"/>
    <w:rsid w:val="000F7101"/>
    <w:rsid w:val="0010035D"/>
    <w:rsid w:val="00100555"/>
    <w:rsid w:val="00100D72"/>
    <w:rsid w:val="00101807"/>
    <w:rsid w:val="00102192"/>
    <w:rsid w:val="001028D4"/>
    <w:rsid w:val="00102F06"/>
    <w:rsid w:val="00103C30"/>
    <w:rsid w:val="00103D26"/>
    <w:rsid w:val="00103F28"/>
    <w:rsid w:val="00104457"/>
    <w:rsid w:val="00105ED9"/>
    <w:rsid w:val="0011040B"/>
    <w:rsid w:val="0011180E"/>
    <w:rsid w:val="00111B98"/>
    <w:rsid w:val="0011383C"/>
    <w:rsid w:val="00114ACB"/>
    <w:rsid w:val="00115EF9"/>
    <w:rsid w:val="0011639D"/>
    <w:rsid w:val="00116991"/>
    <w:rsid w:val="00116AC2"/>
    <w:rsid w:val="00116ED6"/>
    <w:rsid w:val="001174C7"/>
    <w:rsid w:val="001177BB"/>
    <w:rsid w:val="00120874"/>
    <w:rsid w:val="0012254B"/>
    <w:rsid w:val="0012584F"/>
    <w:rsid w:val="00127018"/>
    <w:rsid w:val="001271B1"/>
    <w:rsid w:val="001275C7"/>
    <w:rsid w:val="00127ED2"/>
    <w:rsid w:val="00130119"/>
    <w:rsid w:val="001308CF"/>
    <w:rsid w:val="00131D73"/>
    <w:rsid w:val="00131DA3"/>
    <w:rsid w:val="00132882"/>
    <w:rsid w:val="0013571F"/>
    <w:rsid w:val="00136619"/>
    <w:rsid w:val="00136764"/>
    <w:rsid w:val="00136F46"/>
    <w:rsid w:val="00140E76"/>
    <w:rsid w:val="00142153"/>
    <w:rsid w:val="001422C8"/>
    <w:rsid w:val="00143D9B"/>
    <w:rsid w:val="00144470"/>
    <w:rsid w:val="00145679"/>
    <w:rsid w:val="0014643B"/>
    <w:rsid w:val="00146D78"/>
    <w:rsid w:val="0015049C"/>
    <w:rsid w:val="001504E0"/>
    <w:rsid w:val="0015125F"/>
    <w:rsid w:val="00151AA7"/>
    <w:rsid w:val="00152215"/>
    <w:rsid w:val="00154B32"/>
    <w:rsid w:val="00155B4D"/>
    <w:rsid w:val="00155CA4"/>
    <w:rsid w:val="001568A5"/>
    <w:rsid w:val="00156900"/>
    <w:rsid w:val="00157272"/>
    <w:rsid w:val="001607D3"/>
    <w:rsid w:val="00160A1C"/>
    <w:rsid w:val="00162395"/>
    <w:rsid w:val="00162D6D"/>
    <w:rsid w:val="00163875"/>
    <w:rsid w:val="00165A86"/>
    <w:rsid w:val="00166013"/>
    <w:rsid w:val="00166BCB"/>
    <w:rsid w:val="00167549"/>
    <w:rsid w:val="00167B1B"/>
    <w:rsid w:val="001700C8"/>
    <w:rsid w:val="001706F8"/>
    <w:rsid w:val="00171CDC"/>
    <w:rsid w:val="00173AAE"/>
    <w:rsid w:val="00174733"/>
    <w:rsid w:val="00174754"/>
    <w:rsid w:val="00174CD6"/>
    <w:rsid w:val="00175877"/>
    <w:rsid w:val="001758E7"/>
    <w:rsid w:val="00175F9B"/>
    <w:rsid w:val="00177231"/>
    <w:rsid w:val="001805F1"/>
    <w:rsid w:val="00181AE0"/>
    <w:rsid w:val="00182A08"/>
    <w:rsid w:val="00182B06"/>
    <w:rsid w:val="00184899"/>
    <w:rsid w:val="00185781"/>
    <w:rsid w:val="00187873"/>
    <w:rsid w:val="001931EE"/>
    <w:rsid w:val="001949B0"/>
    <w:rsid w:val="00195542"/>
    <w:rsid w:val="00195706"/>
    <w:rsid w:val="001968A2"/>
    <w:rsid w:val="001A0764"/>
    <w:rsid w:val="001A14B8"/>
    <w:rsid w:val="001A1D0E"/>
    <w:rsid w:val="001A4E95"/>
    <w:rsid w:val="001A520A"/>
    <w:rsid w:val="001A5C1F"/>
    <w:rsid w:val="001A7F15"/>
    <w:rsid w:val="001B0570"/>
    <w:rsid w:val="001B0F83"/>
    <w:rsid w:val="001B1591"/>
    <w:rsid w:val="001B363A"/>
    <w:rsid w:val="001B3B7D"/>
    <w:rsid w:val="001B4DE1"/>
    <w:rsid w:val="001C32C7"/>
    <w:rsid w:val="001C331D"/>
    <w:rsid w:val="001C3460"/>
    <w:rsid w:val="001C36AD"/>
    <w:rsid w:val="001C3971"/>
    <w:rsid w:val="001C7AA9"/>
    <w:rsid w:val="001C7B20"/>
    <w:rsid w:val="001D0A79"/>
    <w:rsid w:val="001D0BB9"/>
    <w:rsid w:val="001D2519"/>
    <w:rsid w:val="001D27AF"/>
    <w:rsid w:val="001D2FBB"/>
    <w:rsid w:val="001D7739"/>
    <w:rsid w:val="001D7F6C"/>
    <w:rsid w:val="001E0324"/>
    <w:rsid w:val="001E4A2B"/>
    <w:rsid w:val="001E517E"/>
    <w:rsid w:val="001E5720"/>
    <w:rsid w:val="001E690F"/>
    <w:rsid w:val="001F0489"/>
    <w:rsid w:val="001F142F"/>
    <w:rsid w:val="001F240C"/>
    <w:rsid w:val="001F2905"/>
    <w:rsid w:val="001F3224"/>
    <w:rsid w:val="001F44D6"/>
    <w:rsid w:val="001F51F1"/>
    <w:rsid w:val="00201DCF"/>
    <w:rsid w:val="002025A4"/>
    <w:rsid w:val="002048A1"/>
    <w:rsid w:val="00204958"/>
    <w:rsid w:val="002057F3"/>
    <w:rsid w:val="0020604E"/>
    <w:rsid w:val="002063E1"/>
    <w:rsid w:val="002065D5"/>
    <w:rsid w:val="00206E83"/>
    <w:rsid w:val="00207650"/>
    <w:rsid w:val="00207CCC"/>
    <w:rsid w:val="00210472"/>
    <w:rsid w:val="00212F4A"/>
    <w:rsid w:val="0021330E"/>
    <w:rsid w:val="00213319"/>
    <w:rsid w:val="00214F29"/>
    <w:rsid w:val="00215CBF"/>
    <w:rsid w:val="00215EBF"/>
    <w:rsid w:val="00220232"/>
    <w:rsid w:val="0022264D"/>
    <w:rsid w:val="00222E66"/>
    <w:rsid w:val="00222FC6"/>
    <w:rsid w:val="00223007"/>
    <w:rsid w:val="00224514"/>
    <w:rsid w:val="00224DB8"/>
    <w:rsid w:val="00225D61"/>
    <w:rsid w:val="00225E30"/>
    <w:rsid w:val="0023099D"/>
    <w:rsid w:val="002317F8"/>
    <w:rsid w:val="00232033"/>
    <w:rsid w:val="002332A1"/>
    <w:rsid w:val="00233FBD"/>
    <w:rsid w:val="002364D8"/>
    <w:rsid w:val="0024164F"/>
    <w:rsid w:val="002418FF"/>
    <w:rsid w:val="002422C2"/>
    <w:rsid w:val="00242370"/>
    <w:rsid w:val="002426D6"/>
    <w:rsid w:val="00243810"/>
    <w:rsid w:val="00244339"/>
    <w:rsid w:val="0024445A"/>
    <w:rsid w:val="002450CA"/>
    <w:rsid w:val="002469A5"/>
    <w:rsid w:val="00247242"/>
    <w:rsid w:val="00253C18"/>
    <w:rsid w:val="00254AAA"/>
    <w:rsid w:val="00254CBB"/>
    <w:rsid w:val="00254D77"/>
    <w:rsid w:val="002554EF"/>
    <w:rsid w:val="00255690"/>
    <w:rsid w:val="00255F42"/>
    <w:rsid w:val="002568EB"/>
    <w:rsid w:val="00257AA6"/>
    <w:rsid w:val="00260E28"/>
    <w:rsid w:val="0026137B"/>
    <w:rsid w:val="002618BF"/>
    <w:rsid w:val="00261C04"/>
    <w:rsid w:val="00261D61"/>
    <w:rsid w:val="002632D4"/>
    <w:rsid w:val="00263BCE"/>
    <w:rsid w:val="00264834"/>
    <w:rsid w:val="00264AF1"/>
    <w:rsid w:val="002661A1"/>
    <w:rsid w:val="0026645C"/>
    <w:rsid w:val="002665D5"/>
    <w:rsid w:val="00270C86"/>
    <w:rsid w:val="00272D88"/>
    <w:rsid w:val="00272EE6"/>
    <w:rsid w:val="002733A2"/>
    <w:rsid w:val="00273B06"/>
    <w:rsid w:val="002747EB"/>
    <w:rsid w:val="002754B9"/>
    <w:rsid w:val="00275543"/>
    <w:rsid w:val="0027640E"/>
    <w:rsid w:val="002801F8"/>
    <w:rsid w:val="00280DDD"/>
    <w:rsid w:val="00281226"/>
    <w:rsid w:val="002828F2"/>
    <w:rsid w:val="00284F46"/>
    <w:rsid w:val="00285924"/>
    <w:rsid w:val="002864E5"/>
    <w:rsid w:val="002865E9"/>
    <w:rsid w:val="00287524"/>
    <w:rsid w:val="0029195B"/>
    <w:rsid w:val="00291D6B"/>
    <w:rsid w:val="00295064"/>
    <w:rsid w:val="002951D7"/>
    <w:rsid w:val="00296FEF"/>
    <w:rsid w:val="0029738F"/>
    <w:rsid w:val="00297B4A"/>
    <w:rsid w:val="002A229E"/>
    <w:rsid w:val="002A23CE"/>
    <w:rsid w:val="002A39AA"/>
    <w:rsid w:val="002A454C"/>
    <w:rsid w:val="002A4BFA"/>
    <w:rsid w:val="002A54DF"/>
    <w:rsid w:val="002A5E12"/>
    <w:rsid w:val="002A5EE4"/>
    <w:rsid w:val="002B0282"/>
    <w:rsid w:val="002B0659"/>
    <w:rsid w:val="002B2860"/>
    <w:rsid w:val="002B3DCC"/>
    <w:rsid w:val="002B4215"/>
    <w:rsid w:val="002B477D"/>
    <w:rsid w:val="002B4C85"/>
    <w:rsid w:val="002B6204"/>
    <w:rsid w:val="002B6585"/>
    <w:rsid w:val="002B6636"/>
    <w:rsid w:val="002B7270"/>
    <w:rsid w:val="002B72CB"/>
    <w:rsid w:val="002C11A8"/>
    <w:rsid w:val="002C269C"/>
    <w:rsid w:val="002C2C90"/>
    <w:rsid w:val="002C37BE"/>
    <w:rsid w:val="002C4400"/>
    <w:rsid w:val="002C478D"/>
    <w:rsid w:val="002C59F6"/>
    <w:rsid w:val="002C5C38"/>
    <w:rsid w:val="002C6737"/>
    <w:rsid w:val="002C751E"/>
    <w:rsid w:val="002D03E2"/>
    <w:rsid w:val="002D0461"/>
    <w:rsid w:val="002D04B1"/>
    <w:rsid w:val="002D0685"/>
    <w:rsid w:val="002D06F6"/>
    <w:rsid w:val="002D200C"/>
    <w:rsid w:val="002D3DC8"/>
    <w:rsid w:val="002D4841"/>
    <w:rsid w:val="002D5218"/>
    <w:rsid w:val="002D636D"/>
    <w:rsid w:val="002D7001"/>
    <w:rsid w:val="002D7349"/>
    <w:rsid w:val="002D7905"/>
    <w:rsid w:val="002E0332"/>
    <w:rsid w:val="002E0FD5"/>
    <w:rsid w:val="002E0FE0"/>
    <w:rsid w:val="002E1B74"/>
    <w:rsid w:val="002E1DC9"/>
    <w:rsid w:val="002E1F9D"/>
    <w:rsid w:val="002E248D"/>
    <w:rsid w:val="002E29A6"/>
    <w:rsid w:val="002E5484"/>
    <w:rsid w:val="002E5EF1"/>
    <w:rsid w:val="002F0852"/>
    <w:rsid w:val="002F285D"/>
    <w:rsid w:val="002F343D"/>
    <w:rsid w:val="002F5FC6"/>
    <w:rsid w:val="002F7164"/>
    <w:rsid w:val="00300705"/>
    <w:rsid w:val="00301DD5"/>
    <w:rsid w:val="0030277E"/>
    <w:rsid w:val="00304144"/>
    <w:rsid w:val="00304AEF"/>
    <w:rsid w:val="003106A3"/>
    <w:rsid w:val="00310982"/>
    <w:rsid w:val="00313C94"/>
    <w:rsid w:val="003153EC"/>
    <w:rsid w:val="00315FA2"/>
    <w:rsid w:val="0031752C"/>
    <w:rsid w:val="0031792B"/>
    <w:rsid w:val="00322162"/>
    <w:rsid w:val="00322F97"/>
    <w:rsid w:val="00324622"/>
    <w:rsid w:val="00324B1B"/>
    <w:rsid w:val="003264BD"/>
    <w:rsid w:val="00326D9E"/>
    <w:rsid w:val="00326E4C"/>
    <w:rsid w:val="0032786C"/>
    <w:rsid w:val="00327886"/>
    <w:rsid w:val="00327C86"/>
    <w:rsid w:val="00330297"/>
    <w:rsid w:val="003308AB"/>
    <w:rsid w:val="00334889"/>
    <w:rsid w:val="00336C10"/>
    <w:rsid w:val="00337130"/>
    <w:rsid w:val="0033753A"/>
    <w:rsid w:val="00337BB8"/>
    <w:rsid w:val="00341C9A"/>
    <w:rsid w:val="00342705"/>
    <w:rsid w:val="00343380"/>
    <w:rsid w:val="00343546"/>
    <w:rsid w:val="00344D6B"/>
    <w:rsid w:val="00345147"/>
    <w:rsid w:val="003465E2"/>
    <w:rsid w:val="003477DA"/>
    <w:rsid w:val="00351484"/>
    <w:rsid w:val="00351768"/>
    <w:rsid w:val="00352642"/>
    <w:rsid w:val="003548C5"/>
    <w:rsid w:val="003557BA"/>
    <w:rsid w:val="00355EE6"/>
    <w:rsid w:val="00355F8C"/>
    <w:rsid w:val="0035624F"/>
    <w:rsid w:val="003567BD"/>
    <w:rsid w:val="00357495"/>
    <w:rsid w:val="0036256D"/>
    <w:rsid w:val="003631EA"/>
    <w:rsid w:val="00363650"/>
    <w:rsid w:val="00364E21"/>
    <w:rsid w:val="00364E49"/>
    <w:rsid w:val="0036582C"/>
    <w:rsid w:val="0036598B"/>
    <w:rsid w:val="00365FDC"/>
    <w:rsid w:val="00370564"/>
    <w:rsid w:val="003726A4"/>
    <w:rsid w:val="0037290A"/>
    <w:rsid w:val="00372A65"/>
    <w:rsid w:val="0037374A"/>
    <w:rsid w:val="003756C2"/>
    <w:rsid w:val="003807A1"/>
    <w:rsid w:val="00380F60"/>
    <w:rsid w:val="003811A5"/>
    <w:rsid w:val="003812B4"/>
    <w:rsid w:val="003814E6"/>
    <w:rsid w:val="0038179E"/>
    <w:rsid w:val="0038202A"/>
    <w:rsid w:val="00384687"/>
    <w:rsid w:val="00384E63"/>
    <w:rsid w:val="003851B9"/>
    <w:rsid w:val="003857E5"/>
    <w:rsid w:val="00386505"/>
    <w:rsid w:val="00387288"/>
    <w:rsid w:val="00390007"/>
    <w:rsid w:val="00390283"/>
    <w:rsid w:val="00390FEC"/>
    <w:rsid w:val="00392A18"/>
    <w:rsid w:val="00392FF8"/>
    <w:rsid w:val="0039316A"/>
    <w:rsid w:val="0039324E"/>
    <w:rsid w:val="00393466"/>
    <w:rsid w:val="003943E9"/>
    <w:rsid w:val="00394C5D"/>
    <w:rsid w:val="00395366"/>
    <w:rsid w:val="0039678F"/>
    <w:rsid w:val="003967B3"/>
    <w:rsid w:val="00396877"/>
    <w:rsid w:val="003972E3"/>
    <w:rsid w:val="003973D2"/>
    <w:rsid w:val="003978A6"/>
    <w:rsid w:val="00397AFC"/>
    <w:rsid w:val="00397D2F"/>
    <w:rsid w:val="003A04A6"/>
    <w:rsid w:val="003A081C"/>
    <w:rsid w:val="003A0E39"/>
    <w:rsid w:val="003A0FD5"/>
    <w:rsid w:val="003A1979"/>
    <w:rsid w:val="003A409E"/>
    <w:rsid w:val="003A44C5"/>
    <w:rsid w:val="003A6349"/>
    <w:rsid w:val="003A70A1"/>
    <w:rsid w:val="003A7D78"/>
    <w:rsid w:val="003A7F8A"/>
    <w:rsid w:val="003B021F"/>
    <w:rsid w:val="003B0D50"/>
    <w:rsid w:val="003B14ED"/>
    <w:rsid w:val="003B2FF8"/>
    <w:rsid w:val="003B36BA"/>
    <w:rsid w:val="003B3AF0"/>
    <w:rsid w:val="003B49DC"/>
    <w:rsid w:val="003B4C05"/>
    <w:rsid w:val="003B52C9"/>
    <w:rsid w:val="003B5CB8"/>
    <w:rsid w:val="003B6E86"/>
    <w:rsid w:val="003B7FA1"/>
    <w:rsid w:val="003C10DE"/>
    <w:rsid w:val="003C187D"/>
    <w:rsid w:val="003C1A44"/>
    <w:rsid w:val="003C1D92"/>
    <w:rsid w:val="003C4E05"/>
    <w:rsid w:val="003C5EC3"/>
    <w:rsid w:val="003D096A"/>
    <w:rsid w:val="003D347F"/>
    <w:rsid w:val="003D38B9"/>
    <w:rsid w:val="003D3A08"/>
    <w:rsid w:val="003D3FCA"/>
    <w:rsid w:val="003D416C"/>
    <w:rsid w:val="003D74BF"/>
    <w:rsid w:val="003E1557"/>
    <w:rsid w:val="003E201E"/>
    <w:rsid w:val="003E21BA"/>
    <w:rsid w:val="003E751E"/>
    <w:rsid w:val="003F02B5"/>
    <w:rsid w:val="003F0AF8"/>
    <w:rsid w:val="003F17BC"/>
    <w:rsid w:val="003F4E2F"/>
    <w:rsid w:val="003F75CD"/>
    <w:rsid w:val="004012E3"/>
    <w:rsid w:val="00402B21"/>
    <w:rsid w:val="004031A9"/>
    <w:rsid w:val="00404B52"/>
    <w:rsid w:val="00405262"/>
    <w:rsid w:val="00407509"/>
    <w:rsid w:val="00415845"/>
    <w:rsid w:val="00415A3B"/>
    <w:rsid w:val="004160A3"/>
    <w:rsid w:val="004172B0"/>
    <w:rsid w:val="004174F6"/>
    <w:rsid w:val="004178C3"/>
    <w:rsid w:val="004203F3"/>
    <w:rsid w:val="00421FCD"/>
    <w:rsid w:val="00423079"/>
    <w:rsid w:val="00423509"/>
    <w:rsid w:val="00423C91"/>
    <w:rsid w:val="0042494C"/>
    <w:rsid w:val="00425680"/>
    <w:rsid w:val="00426692"/>
    <w:rsid w:val="004268E2"/>
    <w:rsid w:val="00427293"/>
    <w:rsid w:val="0042746D"/>
    <w:rsid w:val="00427918"/>
    <w:rsid w:val="00434D36"/>
    <w:rsid w:val="00436456"/>
    <w:rsid w:val="00436893"/>
    <w:rsid w:val="004368F0"/>
    <w:rsid w:val="00436F71"/>
    <w:rsid w:val="00437231"/>
    <w:rsid w:val="00437883"/>
    <w:rsid w:val="0043793C"/>
    <w:rsid w:val="004407BC"/>
    <w:rsid w:val="00440E82"/>
    <w:rsid w:val="00441CB3"/>
    <w:rsid w:val="00443E60"/>
    <w:rsid w:val="0044419E"/>
    <w:rsid w:val="00444377"/>
    <w:rsid w:val="00444AFD"/>
    <w:rsid w:val="00444FF6"/>
    <w:rsid w:val="0044737F"/>
    <w:rsid w:val="0044744D"/>
    <w:rsid w:val="00447D91"/>
    <w:rsid w:val="00450653"/>
    <w:rsid w:val="00451827"/>
    <w:rsid w:val="004527CF"/>
    <w:rsid w:val="00456204"/>
    <w:rsid w:val="00456A77"/>
    <w:rsid w:val="004572ED"/>
    <w:rsid w:val="00460A3E"/>
    <w:rsid w:val="00461559"/>
    <w:rsid w:val="00462DBB"/>
    <w:rsid w:val="00463353"/>
    <w:rsid w:val="004644CA"/>
    <w:rsid w:val="00465801"/>
    <w:rsid w:val="0046586D"/>
    <w:rsid w:val="00465C0C"/>
    <w:rsid w:val="00465E74"/>
    <w:rsid w:val="0046643A"/>
    <w:rsid w:val="004665CA"/>
    <w:rsid w:val="00466D74"/>
    <w:rsid w:val="00470290"/>
    <w:rsid w:val="0047198F"/>
    <w:rsid w:val="00473774"/>
    <w:rsid w:val="0047378A"/>
    <w:rsid w:val="00473DBF"/>
    <w:rsid w:val="00473E53"/>
    <w:rsid w:val="004740C8"/>
    <w:rsid w:val="004747B3"/>
    <w:rsid w:val="004757EB"/>
    <w:rsid w:val="00476577"/>
    <w:rsid w:val="00476772"/>
    <w:rsid w:val="0047703E"/>
    <w:rsid w:val="004773F1"/>
    <w:rsid w:val="00480099"/>
    <w:rsid w:val="004800AA"/>
    <w:rsid w:val="00480B82"/>
    <w:rsid w:val="004810D1"/>
    <w:rsid w:val="00481D9A"/>
    <w:rsid w:val="00482DA4"/>
    <w:rsid w:val="00482EBF"/>
    <w:rsid w:val="004831DA"/>
    <w:rsid w:val="004835B2"/>
    <w:rsid w:val="00483BDE"/>
    <w:rsid w:val="00483C04"/>
    <w:rsid w:val="00485114"/>
    <w:rsid w:val="0048555F"/>
    <w:rsid w:val="00485EC3"/>
    <w:rsid w:val="00486103"/>
    <w:rsid w:val="00490AE5"/>
    <w:rsid w:val="00490F3F"/>
    <w:rsid w:val="004913F2"/>
    <w:rsid w:val="004917D7"/>
    <w:rsid w:val="004950B5"/>
    <w:rsid w:val="004955FF"/>
    <w:rsid w:val="00495A7B"/>
    <w:rsid w:val="00495FFD"/>
    <w:rsid w:val="00496C16"/>
    <w:rsid w:val="00497B1D"/>
    <w:rsid w:val="00497BC2"/>
    <w:rsid w:val="004A0B1D"/>
    <w:rsid w:val="004A2313"/>
    <w:rsid w:val="004A4E95"/>
    <w:rsid w:val="004A5628"/>
    <w:rsid w:val="004A7200"/>
    <w:rsid w:val="004A76FC"/>
    <w:rsid w:val="004A7EB2"/>
    <w:rsid w:val="004B0351"/>
    <w:rsid w:val="004B08CD"/>
    <w:rsid w:val="004B5455"/>
    <w:rsid w:val="004B5784"/>
    <w:rsid w:val="004B6CDE"/>
    <w:rsid w:val="004B6D7F"/>
    <w:rsid w:val="004B7FBF"/>
    <w:rsid w:val="004C0DA0"/>
    <w:rsid w:val="004C2036"/>
    <w:rsid w:val="004C3211"/>
    <w:rsid w:val="004C408A"/>
    <w:rsid w:val="004C5E80"/>
    <w:rsid w:val="004C772E"/>
    <w:rsid w:val="004D01BF"/>
    <w:rsid w:val="004D04A8"/>
    <w:rsid w:val="004D0599"/>
    <w:rsid w:val="004D2AC7"/>
    <w:rsid w:val="004D3954"/>
    <w:rsid w:val="004D484C"/>
    <w:rsid w:val="004D515E"/>
    <w:rsid w:val="004D67B9"/>
    <w:rsid w:val="004D76CC"/>
    <w:rsid w:val="004E04C8"/>
    <w:rsid w:val="004E2A1C"/>
    <w:rsid w:val="004E45AF"/>
    <w:rsid w:val="004E4C2E"/>
    <w:rsid w:val="004E658E"/>
    <w:rsid w:val="004E79B6"/>
    <w:rsid w:val="004F3899"/>
    <w:rsid w:val="004F3B4A"/>
    <w:rsid w:val="004F3BC7"/>
    <w:rsid w:val="004F410F"/>
    <w:rsid w:val="004F4CED"/>
    <w:rsid w:val="004F4D49"/>
    <w:rsid w:val="004F6FAE"/>
    <w:rsid w:val="004F775A"/>
    <w:rsid w:val="004F7E5E"/>
    <w:rsid w:val="0050081A"/>
    <w:rsid w:val="005018C7"/>
    <w:rsid w:val="0050515B"/>
    <w:rsid w:val="00506487"/>
    <w:rsid w:val="00507C01"/>
    <w:rsid w:val="0051038A"/>
    <w:rsid w:val="00510C19"/>
    <w:rsid w:val="0051267C"/>
    <w:rsid w:val="005126D6"/>
    <w:rsid w:val="00512870"/>
    <w:rsid w:val="005130D0"/>
    <w:rsid w:val="00513FCC"/>
    <w:rsid w:val="00514345"/>
    <w:rsid w:val="00515099"/>
    <w:rsid w:val="00515CB2"/>
    <w:rsid w:val="00515CD9"/>
    <w:rsid w:val="00517154"/>
    <w:rsid w:val="005213FF"/>
    <w:rsid w:val="0052162C"/>
    <w:rsid w:val="00525D56"/>
    <w:rsid w:val="0052629A"/>
    <w:rsid w:val="00527DFE"/>
    <w:rsid w:val="005311FD"/>
    <w:rsid w:val="005326A5"/>
    <w:rsid w:val="00533272"/>
    <w:rsid w:val="0053531C"/>
    <w:rsid w:val="00535FD2"/>
    <w:rsid w:val="00536FD6"/>
    <w:rsid w:val="0054076C"/>
    <w:rsid w:val="005411F6"/>
    <w:rsid w:val="00541A24"/>
    <w:rsid w:val="00542850"/>
    <w:rsid w:val="005435EC"/>
    <w:rsid w:val="00544A62"/>
    <w:rsid w:val="005473E2"/>
    <w:rsid w:val="00550210"/>
    <w:rsid w:val="005529F8"/>
    <w:rsid w:val="005538A6"/>
    <w:rsid w:val="0055396B"/>
    <w:rsid w:val="00553BF6"/>
    <w:rsid w:val="00553F89"/>
    <w:rsid w:val="00554255"/>
    <w:rsid w:val="00554FF9"/>
    <w:rsid w:val="00555D5C"/>
    <w:rsid w:val="0055663E"/>
    <w:rsid w:val="0055690B"/>
    <w:rsid w:val="00557785"/>
    <w:rsid w:val="00557E33"/>
    <w:rsid w:val="00561102"/>
    <w:rsid w:val="005617E1"/>
    <w:rsid w:val="00563663"/>
    <w:rsid w:val="0056379C"/>
    <w:rsid w:val="0056396A"/>
    <w:rsid w:val="0056503F"/>
    <w:rsid w:val="00565A7E"/>
    <w:rsid w:val="00565B04"/>
    <w:rsid w:val="00570854"/>
    <w:rsid w:val="00571905"/>
    <w:rsid w:val="00572ED1"/>
    <w:rsid w:val="00573C51"/>
    <w:rsid w:val="00574265"/>
    <w:rsid w:val="00574DC7"/>
    <w:rsid w:val="0057681D"/>
    <w:rsid w:val="00577E78"/>
    <w:rsid w:val="00580C0C"/>
    <w:rsid w:val="00580CCA"/>
    <w:rsid w:val="00581109"/>
    <w:rsid w:val="00582148"/>
    <w:rsid w:val="00582983"/>
    <w:rsid w:val="00583790"/>
    <w:rsid w:val="00583AE0"/>
    <w:rsid w:val="005863A2"/>
    <w:rsid w:val="00586978"/>
    <w:rsid w:val="00586CB3"/>
    <w:rsid w:val="00592CAC"/>
    <w:rsid w:val="00593AC1"/>
    <w:rsid w:val="00593F0D"/>
    <w:rsid w:val="00594251"/>
    <w:rsid w:val="005A19CA"/>
    <w:rsid w:val="005A23FE"/>
    <w:rsid w:val="005A3584"/>
    <w:rsid w:val="005A523B"/>
    <w:rsid w:val="005A587A"/>
    <w:rsid w:val="005A604F"/>
    <w:rsid w:val="005A61DC"/>
    <w:rsid w:val="005A6906"/>
    <w:rsid w:val="005A6FE5"/>
    <w:rsid w:val="005B0233"/>
    <w:rsid w:val="005B19C1"/>
    <w:rsid w:val="005B257F"/>
    <w:rsid w:val="005B4D29"/>
    <w:rsid w:val="005B52EB"/>
    <w:rsid w:val="005B5BF2"/>
    <w:rsid w:val="005B6684"/>
    <w:rsid w:val="005B6BF9"/>
    <w:rsid w:val="005B7975"/>
    <w:rsid w:val="005B797C"/>
    <w:rsid w:val="005B7BD0"/>
    <w:rsid w:val="005C0A71"/>
    <w:rsid w:val="005C0EE1"/>
    <w:rsid w:val="005C30BA"/>
    <w:rsid w:val="005C4983"/>
    <w:rsid w:val="005C5586"/>
    <w:rsid w:val="005C60B0"/>
    <w:rsid w:val="005C7252"/>
    <w:rsid w:val="005C7DC8"/>
    <w:rsid w:val="005D1A25"/>
    <w:rsid w:val="005D2E43"/>
    <w:rsid w:val="005D50B0"/>
    <w:rsid w:val="005D5FC9"/>
    <w:rsid w:val="005D6D11"/>
    <w:rsid w:val="005D7FB9"/>
    <w:rsid w:val="005E0DE0"/>
    <w:rsid w:val="005E1309"/>
    <w:rsid w:val="005E2319"/>
    <w:rsid w:val="005E3243"/>
    <w:rsid w:val="005E3298"/>
    <w:rsid w:val="005E36C6"/>
    <w:rsid w:val="005E3B17"/>
    <w:rsid w:val="005E53B6"/>
    <w:rsid w:val="005E58A5"/>
    <w:rsid w:val="005E5C68"/>
    <w:rsid w:val="005F04A6"/>
    <w:rsid w:val="005F07D9"/>
    <w:rsid w:val="005F11D7"/>
    <w:rsid w:val="005F194B"/>
    <w:rsid w:val="005F467F"/>
    <w:rsid w:val="005F57D7"/>
    <w:rsid w:val="005F61D9"/>
    <w:rsid w:val="005F6D10"/>
    <w:rsid w:val="005F6EB7"/>
    <w:rsid w:val="00600284"/>
    <w:rsid w:val="006003E0"/>
    <w:rsid w:val="00600F40"/>
    <w:rsid w:val="006013AA"/>
    <w:rsid w:val="00602ABE"/>
    <w:rsid w:val="006032E3"/>
    <w:rsid w:val="006033CA"/>
    <w:rsid w:val="006036BB"/>
    <w:rsid w:val="00604641"/>
    <w:rsid w:val="0060762A"/>
    <w:rsid w:val="0061093D"/>
    <w:rsid w:val="006110B7"/>
    <w:rsid w:val="0061297D"/>
    <w:rsid w:val="00614175"/>
    <w:rsid w:val="006142F1"/>
    <w:rsid w:val="00615043"/>
    <w:rsid w:val="006158CC"/>
    <w:rsid w:val="00615E6F"/>
    <w:rsid w:val="00616D16"/>
    <w:rsid w:val="00616F31"/>
    <w:rsid w:val="00617E69"/>
    <w:rsid w:val="00621225"/>
    <w:rsid w:val="00621314"/>
    <w:rsid w:val="00621A38"/>
    <w:rsid w:val="00621E12"/>
    <w:rsid w:val="0062266D"/>
    <w:rsid w:val="00624A0E"/>
    <w:rsid w:val="00624FE8"/>
    <w:rsid w:val="0062543B"/>
    <w:rsid w:val="006255F9"/>
    <w:rsid w:val="006258C8"/>
    <w:rsid w:val="00626AAB"/>
    <w:rsid w:val="0062768E"/>
    <w:rsid w:val="00630A2F"/>
    <w:rsid w:val="0063179D"/>
    <w:rsid w:val="0063392A"/>
    <w:rsid w:val="00634273"/>
    <w:rsid w:val="00634BD6"/>
    <w:rsid w:val="00634C2D"/>
    <w:rsid w:val="00634EC9"/>
    <w:rsid w:val="00635A32"/>
    <w:rsid w:val="006361FE"/>
    <w:rsid w:val="0063633D"/>
    <w:rsid w:val="00640189"/>
    <w:rsid w:val="006404F1"/>
    <w:rsid w:val="0064160F"/>
    <w:rsid w:val="00641BF2"/>
    <w:rsid w:val="00642877"/>
    <w:rsid w:val="00642EE4"/>
    <w:rsid w:val="00645CBF"/>
    <w:rsid w:val="00645F83"/>
    <w:rsid w:val="00646946"/>
    <w:rsid w:val="00647528"/>
    <w:rsid w:val="0065223B"/>
    <w:rsid w:val="006536D3"/>
    <w:rsid w:val="00654994"/>
    <w:rsid w:val="0065558B"/>
    <w:rsid w:val="00657C57"/>
    <w:rsid w:val="00657EA3"/>
    <w:rsid w:val="006602BB"/>
    <w:rsid w:val="00661367"/>
    <w:rsid w:val="00661906"/>
    <w:rsid w:val="00661F95"/>
    <w:rsid w:val="00664173"/>
    <w:rsid w:val="006663E7"/>
    <w:rsid w:val="00666C84"/>
    <w:rsid w:val="006713AF"/>
    <w:rsid w:val="00671F96"/>
    <w:rsid w:val="006721AD"/>
    <w:rsid w:val="00673120"/>
    <w:rsid w:val="00673C36"/>
    <w:rsid w:val="006741A1"/>
    <w:rsid w:val="00674328"/>
    <w:rsid w:val="00674520"/>
    <w:rsid w:val="00676001"/>
    <w:rsid w:val="00676E55"/>
    <w:rsid w:val="006773C0"/>
    <w:rsid w:val="00677619"/>
    <w:rsid w:val="00677EFA"/>
    <w:rsid w:val="00681772"/>
    <w:rsid w:val="006827BB"/>
    <w:rsid w:val="00685B44"/>
    <w:rsid w:val="00686524"/>
    <w:rsid w:val="006872D2"/>
    <w:rsid w:val="006901CB"/>
    <w:rsid w:val="006909C9"/>
    <w:rsid w:val="006949E0"/>
    <w:rsid w:val="00695698"/>
    <w:rsid w:val="0069652F"/>
    <w:rsid w:val="00697CBF"/>
    <w:rsid w:val="006A096F"/>
    <w:rsid w:val="006A15D5"/>
    <w:rsid w:val="006A1604"/>
    <w:rsid w:val="006A1A01"/>
    <w:rsid w:val="006A3373"/>
    <w:rsid w:val="006A420E"/>
    <w:rsid w:val="006A458E"/>
    <w:rsid w:val="006A4F45"/>
    <w:rsid w:val="006A5D83"/>
    <w:rsid w:val="006A7FFC"/>
    <w:rsid w:val="006B0049"/>
    <w:rsid w:val="006B0B06"/>
    <w:rsid w:val="006B1198"/>
    <w:rsid w:val="006B19F0"/>
    <w:rsid w:val="006B311E"/>
    <w:rsid w:val="006B3EF7"/>
    <w:rsid w:val="006B4070"/>
    <w:rsid w:val="006B4761"/>
    <w:rsid w:val="006B47A4"/>
    <w:rsid w:val="006B5337"/>
    <w:rsid w:val="006B5BB9"/>
    <w:rsid w:val="006B5CBA"/>
    <w:rsid w:val="006B7517"/>
    <w:rsid w:val="006B7545"/>
    <w:rsid w:val="006C2157"/>
    <w:rsid w:val="006C3DA1"/>
    <w:rsid w:val="006C4909"/>
    <w:rsid w:val="006C6914"/>
    <w:rsid w:val="006C7D2F"/>
    <w:rsid w:val="006D0458"/>
    <w:rsid w:val="006D11FF"/>
    <w:rsid w:val="006D16CF"/>
    <w:rsid w:val="006D22B8"/>
    <w:rsid w:val="006D3480"/>
    <w:rsid w:val="006D39D7"/>
    <w:rsid w:val="006D42B6"/>
    <w:rsid w:val="006D4A8B"/>
    <w:rsid w:val="006D619D"/>
    <w:rsid w:val="006D6F16"/>
    <w:rsid w:val="006D7291"/>
    <w:rsid w:val="006E020C"/>
    <w:rsid w:val="006E2B0D"/>
    <w:rsid w:val="006E4CF2"/>
    <w:rsid w:val="006E514E"/>
    <w:rsid w:val="006E5C16"/>
    <w:rsid w:val="006E62ED"/>
    <w:rsid w:val="006E6A4D"/>
    <w:rsid w:val="006E6B3C"/>
    <w:rsid w:val="006E7F48"/>
    <w:rsid w:val="006E7F8C"/>
    <w:rsid w:val="006F1130"/>
    <w:rsid w:val="006F36B2"/>
    <w:rsid w:val="006F36F1"/>
    <w:rsid w:val="006F44A8"/>
    <w:rsid w:val="006F580A"/>
    <w:rsid w:val="006F589C"/>
    <w:rsid w:val="006F5C0A"/>
    <w:rsid w:val="006F60F2"/>
    <w:rsid w:val="006F7170"/>
    <w:rsid w:val="006F77E8"/>
    <w:rsid w:val="007005D9"/>
    <w:rsid w:val="00700A15"/>
    <w:rsid w:val="00702FCD"/>
    <w:rsid w:val="007034CB"/>
    <w:rsid w:val="00703998"/>
    <w:rsid w:val="00703FFA"/>
    <w:rsid w:val="00704D46"/>
    <w:rsid w:val="007050D7"/>
    <w:rsid w:val="0070628C"/>
    <w:rsid w:val="00710297"/>
    <w:rsid w:val="00712A3D"/>
    <w:rsid w:val="00716344"/>
    <w:rsid w:val="00720572"/>
    <w:rsid w:val="007205FB"/>
    <w:rsid w:val="00723708"/>
    <w:rsid w:val="00724A1A"/>
    <w:rsid w:val="00725866"/>
    <w:rsid w:val="00726566"/>
    <w:rsid w:val="0073168F"/>
    <w:rsid w:val="00731871"/>
    <w:rsid w:val="00732010"/>
    <w:rsid w:val="00732A35"/>
    <w:rsid w:val="00732F0A"/>
    <w:rsid w:val="007337DF"/>
    <w:rsid w:val="007338D4"/>
    <w:rsid w:val="00733ED3"/>
    <w:rsid w:val="00734212"/>
    <w:rsid w:val="00734773"/>
    <w:rsid w:val="0073543B"/>
    <w:rsid w:val="007362A2"/>
    <w:rsid w:val="00736C69"/>
    <w:rsid w:val="007377F0"/>
    <w:rsid w:val="00737C8A"/>
    <w:rsid w:val="00742011"/>
    <w:rsid w:val="0074232F"/>
    <w:rsid w:val="00742826"/>
    <w:rsid w:val="00743E4E"/>
    <w:rsid w:val="00744376"/>
    <w:rsid w:val="00744690"/>
    <w:rsid w:val="007446BA"/>
    <w:rsid w:val="007449D2"/>
    <w:rsid w:val="00744C68"/>
    <w:rsid w:val="00747193"/>
    <w:rsid w:val="00747ABA"/>
    <w:rsid w:val="00747C36"/>
    <w:rsid w:val="007508A6"/>
    <w:rsid w:val="007532EC"/>
    <w:rsid w:val="00755B79"/>
    <w:rsid w:val="0076276D"/>
    <w:rsid w:val="00763691"/>
    <w:rsid w:val="0076405F"/>
    <w:rsid w:val="00766703"/>
    <w:rsid w:val="00766CC7"/>
    <w:rsid w:val="00767FFB"/>
    <w:rsid w:val="00770664"/>
    <w:rsid w:val="00771004"/>
    <w:rsid w:val="00772483"/>
    <w:rsid w:val="00772E7F"/>
    <w:rsid w:val="007741F2"/>
    <w:rsid w:val="00774C7A"/>
    <w:rsid w:val="0077732D"/>
    <w:rsid w:val="00777F5C"/>
    <w:rsid w:val="0078078E"/>
    <w:rsid w:val="00780A28"/>
    <w:rsid w:val="00780E6D"/>
    <w:rsid w:val="00783B29"/>
    <w:rsid w:val="00783E36"/>
    <w:rsid w:val="00784865"/>
    <w:rsid w:val="00784C7A"/>
    <w:rsid w:val="0078557A"/>
    <w:rsid w:val="0079266D"/>
    <w:rsid w:val="0079276C"/>
    <w:rsid w:val="00793433"/>
    <w:rsid w:val="007944B5"/>
    <w:rsid w:val="007958F5"/>
    <w:rsid w:val="00795AD8"/>
    <w:rsid w:val="00795CAE"/>
    <w:rsid w:val="00797F66"/>
    <w:rsid w:val="007A1154"/>
    <w:rsid w:val="007A2586"/>
    <w:rsid w:val="007A2661"/>
    <w:rsid w:val="007A445A"/>
    <w:rsid w:val="007A5612"/>
    <w:rsid w:val="007A6F6E"/>
    <w:rsid w:val="007A7AD8"/>
    <w:rsid w:val="007B07F3"/>
    <w:rsid w:val="007B1F61"/>
    <w:rsid w:val="007B3358"/>
    <w:rsid w:val="007B5086"/>
    <w:rsid w:val="007B5281"/>
    <w:rsid w:val="007B64C5"/>
    <w:rsid w:val="007B7C2E"/>
    <w:rsid w:val="007C01F6"/>
    <w:rsid w:val="007C0215"/>
    <w:rsid w:val="007C093D"/>
    <w:rsid w:val="007C0AB4"/>
    <w:rsid w:val="007C1C2D"/>
    <w:rsid w:val="007C1CB9"/>
    <w:rsid w:val="007C2D56"/>
    <w:rsid w:val="007C4CCB"/>
    <w:rsid w:val="007C5160"/>
    <w:rsid w:val="007C58DB"/>
    <w:rsid w:val="007C650B"/>
    <w:rsid w:val="007D19A2"/>
    <w:rsid w:val="007D2AA7"/>
    <w:rsid w:val="007D32D6"/>
    <w:rsid w:val="007D34E5"/>
    <w:rsid w:val="007D424B"/>
    <w:rsid w:val="007D4A20"/>
    <w:rsid w:val="007D4B8A"/>
    <w:rsid w:val="007D5629"/>
    <w:rsid w:val="007D64BF"/>
    <w:rsid w:val="007D671A"/>
    <w:rsid w:val="007E0F28"/>
    <w:rsid w:val="007E1A09"/>
    <w:rsid w:val="007E1C94"/>
    <w:rsid w:val="007E2709"/>
    <w:rsid w:val="007E435F"/>
    <w:rsid w:val="007F0592"/>
    <w:rsid w:val="007F07FE"/>
    <w:rsid w:val="007F0937"/>
    <w:rsid w:val="007F1208"/>
    <w:rsid w:val="007F127E"/>
    <w:rsid w:val="007F131A"/>
    <w:rsid w:val="007F1F18"/>
    <w:rsid w:val="007F3389"/>
    <w:rsid w:val="007F5C99"/>
    <w:rsid w:val="007F5CAA"/>
    <w:rsid w:val="007F6376"/>
    <w:rsid w:val="007F7AAB"/>
    <w:rsid w:val="0080007B"/>
    <w:rsid w:val="00801D70"/>
    <w:rsid w:val="00801F28"/>
    <w:rsid w:val="00803E2D"/>
    <w:rsid w:val="0080460B"/>
    <w:rsid w:val="00805247"/>
    <w:rsid w:val="00806408"/>
    <w:rsid w:val="00807B68"/>
    <w:rsid w:val="00812DDF"/>
    <w:rsid w:val="0081324E"/>
    <w:rsid w:val="00815866"/>
    <w:rsid w:val="0081716D"/>
    <w:rsid w:val="00817785"/>
    <w:rsid w:val="00817A46"/>
    <w:rsid w:val="00817AEF"/>
    <w:rsid w:val="0082050E"/>
    <w:rsid w:val="00826898"/>
    <w:rsid w:val="008270CF"/>
    <w:rsid w:val="0083005A"/>
    <w:rsid w:val="00831C71"/>
    <w:rsid w:val="0083479A"/>
    <w:rsid w:val="00835667"/>
    <w:rsid w:val="0083584E"/>
    <w:rsid w:val="00835C79"/>
    <w:rsid w:val="00837978"/>
    <w:rsid w:val="00840183"/>
    <w:rsid w:val="00840D5F"/>
    <w:rsid w:val="008414CB"/>
    <w:rsid w:val="0084158E"/>
    <w:rsid w:val="00842BFA"/>
    <w:rsid w:val="008443BE"/>
    <w:rsid w:val="008449A6"/>
    <w:rsid w:val="00844AEE"/>
    <w:rsid w:val="00846BB0"/>
    <w:rsid w:val="00846DCC"/>
    <w:rsid w:val="00850D3D"/>
    <w:rsid w:val="00851554"/>
    <w:rsid w:val="00851A9A"/>
    <w:rsid w:val="0085207E"/>
    <w:rsid w:val="00852A67"/>
    <w:rsid w:val="00853B41"/>
    <w:rsid w:val="008548FA"/>
    <w:rsid w:val="00854C4D"/>
    <w:rsid w:val="00854E4A"/>
    <w:rsid w:val="0085506A"/>
    <w:rsid w:val="00856BED"/>
    <w:rsid w:val="00857BED"/>
    <w:rsid w:val="00857F0F"/>
    <w:rsid w:val="00861F0F"/>
    <w:rsid w:val="00862C49"/>
    <w:rsid w:val="0086374B"/>
    <w:rsid w:val="008637B3"/>
    <w:rsid w:val="00865021"/>
    <w:rsid w:val="00865419"/>
    <w:rsid w:val="00866924"/>
    <w:rsid w:val="008675C9"/>
    <w:rsid w:val="00871999"/>
    <w:rsid w:val="00872804"/>
    <w:rsid w:val="00874373"/>
    <w:rsid w:val="00875558"/>
    <w:rsid w:val="008765BD"/>
    <w:rsid w:val="008771B0"/>
    <w:rsid w:val="00877207"/>
    <w:rsid w:val="008776A8"/>
    <w:rsid w:val="00877F51"/>
    <w:rsid w:val="008819B6"/>
    <w:rsid w:val="00882E5F"/>
    <w:rsid w:val="008834E8"/>
    <w:rsid w:val="00883F19"/>
    <w:rsid w:val="00883F88"/>
    <w:rsid w:val="0088450E"/>
    <w:rsid w:val="00884612"/>
    <w:rsid w:val="00884B3F"/>
    <w:rsid w:val="00884C12"/>
    <w:rsid w:val="008850D3"/>
    <w:rsid w:val="008854A1"/>
    <w:rsid w:val="00886141"/>
    <w:rsid w:val="00886679"/>
    <w:rsid w:val="00887DF3"/>
    <w:rsid w:val="008904CB"/>
    <w:rsid w:val="00890710"/>
    <w:rsid w:val="008911F9"/>
    <w:rsid w:val="00891E68"/>
    <w:rsid w:val="00893E5F"/>
    <w:rsid w:val="00893E79"/>
    <w:rsid w:val="008949B2"/>
    <w:rsid w:val="008953CF"/>
    <w:rsid w:val="00895422"/>
    <w:rsid w:val="00895462"/>
    <w:rsid w:val="0089575F"/>
    <w:rsid w:val="008964FF"/>
    <w:rsid w:val="00896AB0"/>
    <w:rsid w:val="008A0445"/>
    <w:rsid w:val="008A18D8"/>
    <w:rsid w:val="008A1F58"/>
    <w:rsid w:val="008A365E"/>
    <w:rsid w:val="008A4B21"/>
    <w:rsid w:val="008A7AA8"/>
    <w:rsid w:val="008A7F7F"/>
    <w:rsid w:val="008B0499"/>
    <w:rsid w:val="008B33D5"/>
    <w:rsid w:val="008B4FC2"/>
    <w:rsid w:val="008B530C"/>
    <w:rsid w:val="008B58ED"/>
    <w:rsid w:val="008C0357"/>
    <w:rsid w:val="008C29A7"/>
    <w:rsid w:val="008C2A1C"/>
    <w:rsid w:val="008C3EF6"/>
    <w:rsid w:val="008C58C9"/>
    <w:rsid w:val="008C5FDB"/>
    <w:rsid w:val="008C6010"/>
    <w:rsid w:val="008C6204"/>
    <w:rsid w:val="008C78AC"/>
    <w:rsid w:val="008D01BA"/>
    <w:rsid w:val="008D06E4"/>
    <w:rsid w:val="008D09F3"/>
    <w:rsid w:val="008D302E"/>
    <w:rsid w:val="008D3D28"/>
    <w:rsid w:val="008D3FE3"/>
    <w:rsid w:val="008D4260"/>
    <w:rsid w:val="008D49E8"/>
    <w:rsid w:val="008D513F"/>
    <w:rsid w:val="008E099B"/>
    <w:rsid w:val="008E15AC"/>
    <w:rsid w:val="008E24A5"/>
    <w:rsid w:val="008E64EC"/>
    <w:rsid w:val="008E6AF8"/>
    <w:rsid w:val="008F26FA"/>
    <w:rsid w:val="008F29F0"/>
    <w:rsid w:val="008F2A8E"/>
    <w:rsid w:val="008F36A3"/>
    <w:rsid w:val="008F4A65"/>
    <w:rsid w:val="008F4AAE"/>
    <w:rsid w:val="008F5202"/>
    <w:rsid w:val="008F6C48"/>
    <w:rsid w:val="008F72C7"/>
    <w:rsid w:val="00900657"/>
    <w:rsid w:val="00900852"/>
    <w:rsid w:val="00901A37"/>
    <w:rsid w:val="00901AC6"/>
    <w:rsid w:val="00901E1E"/>
    <w:rsid w:val="00901F6B"/>
    <w:rsid w:val="00903EFC"/>
    <w:rsid w:val="00904586"/>
    <w:rsid w:val="0090633A"/>
    <w:rsid w:val="0090746C"/>
    <w:rsid w:val="009074EF"/>
    <w:rsid w:val="009079E6"/>
    <w:rsid w:val="009136E4"/>
    <w:rsid w:val="0091479D"/>
    <w:rsid w:val="00914BB7"/>
    <w:rsid w:val="009175C8"/>
    <w:rsid w:val="0092006F"/>
    <w:rsid w:val="00921578"/>
    <w:rsid w:val="00922F6A"/>
    <w:rsid w:val="00923021"/>
    <w:rsid w:val="00923ECF"/>
    <w:rsid w:val="00924C30"/>
    <w:rsid w:val="00925BFA"/>
    <w:rsid w:val="0093091B"/>
    <w:rsid w:val="00930C1B"/>
    <w:rsid w:val="009315BC"/>
    <w:rsid w:val="0093268C"/>
    <w:rsid w:val="0093269D"/>
    <w:rsid w:val="00932FF7"/>
    <w:rsid w:val="009350D3"/>
    <w:rsid w:val="0093540D"/>
    <w:rsid w:val="00936AE8"/>
    <w:rsid w:val="009409CD"/>
    <w:rsid w:val="00941141"/>
    <w:rsid w:val="009438F5"/>
    <w:rsid w:val="0094588B"/>
    <w:rsid w:val="009508F3"/>
    <w:rsid w:val="009528EE"/>
    <w:rsid w:val="0095307A"/>
    <w:rsid w:val="009540C9"/>
    <w:rsid w:val="00954893"/>
    <w:rsid w:val="009552FC"/>
    <w:rsid w:val="00955B00"/>
    <w:rsid w:val="0095682B"/>
    <w:rsid w:val="00960F60"/>
    <w:rsid w:val="00961C4A"/>
    <w:rsid w:val="00962FD5"/>
    <w:rsid w:val="0096416C"/>
    <w:rsid w:val="009641BE"/>
    <w:rsid w:val="00964BF4"/>
    <w:rsid w:val="0096575D"/>
    <w:rsid w:val="00965A1D"/>
    <w:rsid w:val="00966FFA"/>
    <w:rsid w:val="0096735A"/>
    <w:rsid w:val="009709A7"/>
    <w:rsid w:val="0097105F"/>
    <w:rsid w:val="009715D6"/>
    <w:rsid w:val="00971F4D"/>
    <w:rsid w:val="0097242B"/>
    <w:rsid w:val="00972AC7"/>
    <w:rsid w:val="00972BFF"/>
    <w:rsid w:val="00972C9B"/>
    <w:rsid w:val="00973F3A"/>
    <w:rsid w:val="00975429"/>
    <w:rsid w:val="009757B7"/>
    <w:rsid w:val="00976C1F"/>
    <w:rsid w:val="00977DD8"/>
    <w:rsid w:val="00980BBE"/>
    <w:rsid w:val="00981BAA"/>
    <w:rsid w:val="00981E59"/>
    <w:rsid w:val="00981EF4"/>
    <w:rsid w:val="00982664"/>
    <w:rsid w:val="00982D94"/>
    <w:rsid w:val="009831AD"/>
    <w:rsid w:val="00983A8F"/>
    <w:rsid w:val="0098482E"/>
    <w:rsid w:val="0098644A"/>
    <w:rsid w:val="00986B11"/>
    <w:rsid w:val="0099026A"/>
    <w:rsid w:val="00990278"/>
    <w:rsid w:val="00990E27"/>
    <w:rsid w:val="00994140"/>
    <w:rsid w:val="0099552E"/>
    <w:rsid w:val="00995BFD"/>
    <w:rsid w:val="009966D1"/>
    <w:rsid w:val="00996E27"/>
    <w:rsid w:val="009A03DD"/>
    <w:rsid w:val="009A1414"/>
    <w:rsid w:val="009A38FB"/>
    <w:rsid w:val="009A3C4A"/>
    <w:rsid w:val="009A47A8"/>
    <w:rsid w:val="009A4B7B"/>
    <w:rsid w:val="009A56FD"/>
    <w:rsid w:val="009A67D9"/>
    <w:rsid w:val="009A6A1E"/>
    <w:rsid w:val="009A70EB"/>
    <w:rsid w:val="009B04A5"/>
    <w:rsid w:val="009B3658"/>
    <w:rsid w:val="009B3F80"/>
    <w:rsid w:val="009B5432"/>
    <w:rsid w:val="009B5EDA"/>
    <w:rsid w:val="009B6D73"/>
    <w:rsid w:val="009B7C75"/>
    <w:rsid w:val="009C14A1"/>
    <w:rsid w:val="009C1694"/>
    <w:rsid w:val="009C1FC9"/>
    <w:rsid w:val="009C21FF"/>
    <w:rsid w:val="009C2437"/>
    <w:rsid w:val="009C3B33"/>
    <w:rsid w:val="009C479A"/>
    <w:rsid w:val="009C630B"/>
    <w:rsid w:val="009C6DCB"/>
    <w:rsid w:val="009D0889"/>
    <w:rsid w:val="009D089B"/>
    <w:rsid w:val="009D0BA7"/>
    <w:rsid w:val="009D20C2"/>
    <w:rsid w:val="009D247D"/>
    <w:rsid w:val="009D2BF8"/>
    <w:rsid w:val="009D33B8"/>
    <w:rsid w:val="009D4A25"/>
    <w:rsid w:val="009D4D2A"/>
    <w:rsid w:val="009D66AC"/>
    <w:rsid w:val="009E1201"/>
    <w:rsid w:val="009E12BA"/>
    <w:rsid w:val="009E1D00"/>
    <w:rsid w:val="009E2490"/>
    <w:rsid w:val="009E494F"/>
    <w:rsid w:val="009E4AE1"/>
    <w:rsid w:val="009E57DD"/>
    <w:rsid w:val="009E5DDD"/>
    <w:rsid w:val="009F0201"/>
    <w:rsid w:val="009F10E9"/>
    <w:rsid w:val="009F20A0"/>
    <w:rsid w:val="009F2CDC"/>
    <w:rsid w:val="009F3AC8"/>
    <w:rsid w:val="009F423F"/>
    <w:rsid w:val="009F5869"/>
    <w:rsid w:val="009F6734"/>
    <w:rsid w:val="009F6D88"/>
    <w:rsid w:val="009F70A9"/>
    <w:rsid w:val="00A0061F"/>
    <w:rsid w:val="00A02685"/>
    <w:rsid w:val="00A02921"/>
    <w:rsid w:val="00A04480"/>
    <w:rsid w:val="00A05E62"/>
    <w:rsid w:val="00A0662F"/>
    <w:rsid w:val="00A07C15"/>
    <w:rsid w:val="00A101D0"/>
    <w:rsid w:val="00A10456"/>
    <w:rsid w:val="00A14142"/>
    <w:rsid w:val="00A154B2"/>
    <w:rsid w:val="00A15E88"/>
    <w:rsid w:val="00A222C1"/>
    <w:rsid w:val="00A22E5A"/>
    <w:rsid w:val="00A23741"/>
    <w:rsid w:val="00A2535A"/>
    <w:rsid w:val="00A26505"/>
    <w:rsid w:val="00A274F1"/>
    <w:rsid w:val="00A27557"/>
    <w:rsid w:val="00A3106E"/>
    <w:rsid w:val="00A321F0"/>
    <w:rsid w:val="00A328E2"/>
    <w:rsid w:val="00A33446"/>
    <w:rsid w:val="00A3517E"/>
    <w:rsid w:val="00A35305"/>
    <w:rsid w:val="00A35D5E"/>
    <w:rsid w:val="00A401B5"/>
    <w:rsid w:val="00A408BE"/>
    <w:rsid w:val="00A42AEB"/>
    <w:rsid w:val="00A4429F"/>
    <w:rsid w:val="00A44FE6"/>
    <w:rsid w:val="00A46ACB"/>
    <w:rsid w:val="00A47485"/>
    <w:rsid w:val="00A47907"/>
    <w:rsid w:val="00A500AA"/>
    <w:rsid w:val="00A5174D"/>
    <w:rsid w:val="00A542A5"/>
    <w:rsid w:val="00A542CC"/>
    <w:rsid w:val="00A54FCF"/>
    <w:rsid w:val="00A61BD8"/>
    <w:rsid w:val="00A62116"/>
    <w:rsid w:val="00A63FF8"/>
    <w:rsid w:val="00A642B5"/>
    <w:rsid w:val="00A64D81"/>
    <w:rsid w:val="00A6749D"/>
    <w:rsid w:val="00A67979"/>
    <w:rsid w:val="00A67D32"/>
    <w:rsid w:val="00A70111"/>
    <w:rsid w:val="00A736FF"/>
    <w:rsid w:val="00A75D05"/>
    <w:rsid w:val="00A774B4"/>
    <w:rsid w:val="00A77BDB"/>
    <w:rsid w:val="00A77C0E"/>
    <w:rsid w:val="00A82DEE"/>
    <w:rsid w:val="00A83821"/>
    <w:rsid w:val="00A847AE"/>
    <w:rsid w:val="00A853AE"/>
    <w:rsid w:val="00A85422"/>
    <w:rsid w:val="00A85E88"/>
    <w:rsid w:val="00A87646"/>
    <w:rsid w:val="00A91C13"/>
    <w:rsid w:val="00A94B39"/>
    <w:rsid w:val="00A94B71"/>
    <w:rsid w:val="00A95EF7"/>
    <w:rsid w:val="00A97CE1"/>
    <w:rsid w:val="00AA16A9"/>
    <w:rsid w:val="00AA1F6A"/>
    <w:rsid w:val="00AA3FC1"/>
    <w:rsid w:val="00AA46F1"/>
    <w:rsid w:val="00AB0A76"/>
    <w:rsid w:val="00AB1167"/>
    <w:rsid w:val="00AB1237"/>
    <w:rsid w:val="00AB3278"/>
    <w:rsid w:val="00AB3379"/>
    <w:rsid w:val="00AB35EE"/>
    <w:rsid w:val="00AB4180"/>
    <w:rsid w:val="00AB49BF"/>
    <w:rsid w:val="00AB4B3D"/>
    <w:rsid w:val="00AB532E"/>
    <w:rsid w:val="00AC3499"/>
    <w:rsid w:val="00AC389E"/>
    <w:rsid w:val="00AC4BD2"/>
    <w:rsid w:val="00AC5C4A"/>
    <w:rsid w:val="00AC685A"/>
    <w:rsid w:val="00AC7FE2"/>
    <w:rsid w:val="00AD29F9"/>
    <w:rsid w:val="00AD3779"/>
    <w:rsid w:val="00AD41F2"/>
    <w:rsid w:val="00AD470B"/>
    <w:rsid w:val="00AD6389"/>
    <w:rsid w:val="00AD6FDE"/>
    <w:rsid w:val="00AE0D88"/>
    <w:rsid w:val="00AE1B3E"/>
    <w:rsid w:val="00AE27C8"/>
    <w:rsid w:val="00AE3397"/>
    <w:rsid w:val="00AE5F5F"/>
    <w:rsid w:val="00AE6C28"/>
    <w:rsid w:val="00AE72D1"/>
    <w:rsid w:val="00AE7BB1"/>
    <w:rsid w:val="00AF0198"/>
    <w:rsid w:val="00AF1F47"/>
    <w:rsid w:val="00AF237F"/>
    <w:rsid w:val="00AF3F65"/>
    <w:rsid w:val="00AF510F"/>
    <w:rsid w:val="00AF5B12"/>
    <w:rsid w:val="00AF73DC"/>
    <w:rsid w:val="00B00DC0"/>
    <w:rsid w:val="00B0466B"/>
    <w:rsid w:val="00B04BFA"/>
    <w:rsid w:val="00B04BFD"/>
    <w:rsid w:val="00B05F21"/>
    <w:rsid w:val="00B102E0"/>
    <w:rsid w:val="00B11ED4"/>
    <w:rsid w:val="00B13FD0"/>
    <w:rsid w:val="00B171D1"/>
    <w:rsid w:val="00B20BE7"/>
    <w:rsid w:val="00B20CBA"/>
    <w:rsid w:val="00B20DE8"/>
    <w:rsid w:val="00B22179"/>
    <w:rsid w:val="00B228A3"/>
    <w:rsid w:val="00B23EC0"/>
    <w:rsid w:val="00B241F6"/>
    <w:rsid w:val="00B24556"/>
    <w:rsid w:val="00B24A7E"/>
    <w:rsid w:val="00B26044"/>
    <w:rsid w:val="00B2679E"/>
    <w:rsid w:val="00B30195"/>
    <w:rsid w:val="00B304A5"/>
    <w:rsid w:val="00B309AB"/>
    <w:rsid w:val="00B3153D"/>
    <w:rsid w:val="00B316F7"/>
    <w:rsid w:val="00B32A73"/>
    <w:rsid w:val="00B330BE"/>
    <w:rsid w:val="00B36B72"/>
    <w:rsid w:val="00B4027A"/>
    <w:rsid w:val="00B4074E"/>
    <w:rsid w:val="00B41E52"/>
    <w:rsid w:val="00B42898"/>
    <w:rsid w:val="00B42D1A"/>
    <w:rsid w:val="00B43C73"/>
    <w:rsid w:val="00B44502"/>
    <w:rsid w:val="00B44E41"/>
    <w:rsid w:val="00B45320"/>
    <w:rsid w:val="00B457A8"/>
    <w:rsid w:val="00B46749"/>
    <w:rsid w:val="00B47526"/>
    <w:rsid w:val="00B5259D"/>
    <w:rsid w:val="00B52BB6"/>
    <w:rsid w:val="00B55FFD"/>
    <w:rsid w:val="00B56BBF"/>
    <w:rsid w:val="00B574AE"/>
    <w:rsid w:val="00B574CF"/>
    <w:rsid w:val="00B575A8"/>
    <w:rsid w:val="00B6173F"/>
    <w:rsid w:val="00B61DBA"/>
    <w:rsid w:val="00B63E04"/>
    <w:rsid w:val="00B65281"/>
    <w:rsid w:val="00B659C0"/>
    <w:rsid w:val="00B66ACB"/>
    <w:rsid w:val="00B670D5"/>
    <w:rsid w:val="00B70470"/>
    <w:rsid w:val="00B709FD"/>
    <w:rsid w:val="00B732FD"/>
    <w:rsid w:val="00B7644E"/>
    <w:rsid w:val="00B765B0"/>
    <w:rsid w:val="00B7685D"/>
    <w:rsid w:val="00B77145"/>
    <w:rsid w:val="00B778BB"/>
    <w:rsid w:val="00B808BE"/>
    <w:rsid w:val="00B81C1E"/>
    <w:rsid w:val="00B81FD9"/>
    <w:rsid w:val="00B8468B"/>
    <w:rsid w:val="00B863EC"/>
    <w:rsid w:val="00B86783"/>
    <w:rsid w:val="00B90C38"/>
    <w:rsid w:val="00B914C6"/>
    <w:rsid w:val="00B92B23"/>
    <w:rsid w:val="00B946DC"/>
    <w:rsid w:val="00B95E9E"/>
    <w:rsid w:val="00B96292"/>
    <w:rsid w:val="00B97221"/>
    <w:rsid w:val="00B9741E"/>
    <w:rsid w:val="00B97B7A"/>
    <w:rsid w:val="00BA1139"/>
    <w:rsid w:val="00BA2E7F"/>
    <w:rsid w:val="00BA3C4E"/>
    <w:rsid w:val="00BA3E2F"/>
    <w:rsid w:val="00BA5918"/>
    <w:rsid w:val="00BA6B88"/>
    <w:rsid w:val="00BA6D5E"/>
    <w:rsid w:val="00BA6FD1"/>
    <w:rsid w:val="00BA7132"/>
    <w:rsid w:val="00BA7416"/>
    <w:rsid w:val="00BB0E8D"/>
    <w:rsid w:val="00BB2B88"/>
    <w:rsid w:val="00BB4176"/>
    <w:rsid w:val="00BB4551"/>
    <w:rsid w:val="00BB6A52"/>
    <w:rsid w:val="00BB6F29"/>
    <w:rsid w:val="00BB79A5"/>
    <w:rsid w:val="00BC08A0"/>
    <w:rsid w:val="00BC0F1B"/>
    <w:rsid w:val="00BC24AA"/>
    <w:rsid w:val="00BC2A0F"/>
    <w:rsid w:val="00BC3565"/>
    <w:rsid w:val="00BC3C3D"/>
    <w:rsid w:val="00BC4AC9"/>
    <w:rsid w:val="00BC5AC4"/>
    <w:rsid w:val="00BC6014"/>
    <w:rsid w:val="00BC6D06"/>
    <w:rsid w:val="00BD0F6C"/>
    <w:rsid w:val="00BD142A"/>
    <w:rsid w:val="00BD1BDC"/>
    <w:rsid w:val="00BD2302"/>
    <w:rsid w:val="00BD479D"/>
    <w:rsid w:val="00BD49D3"/>
    <w:rsid w:val="00BD64EA"/>
    <w:rsid w:val="00BD7060"/>
    <w:rsid w:val="00BE024B"/>
    <w:rsid w:val="00BE0E38"/>
    <w:rsid w:val="00BE1E36"/>
    <w:rsid w:val="00BE3F3A"/>
    <w:rsid w:val="00BE3F9D"/>
    <w:rsid w:val="00BE5991"/>
    <w:rsid w:val="00BE6988"/>
    <w:rsid w:val="00BE7300"/>
    <w:rsid w:val="00BE7F45"/>
    <w:rsid w:val="00BF0288"/>
    <w:rsid w:val="00BF0CDE"/>
    <w:rsid w:val="00BF10BE"/>
    <w:rsid w:val="00BF23EE"/>
    <w:rsid w:val="00BF28CD"/>
    <w:rsid w:val="00BF38D5"/>
    <w:rsid w:val="00BF4696"/>
    <w:rsid w:val="00BF498E"/>
    <w:rsid w:val="00BF5332"/>
    <w:rsid w:val="00BF6832"/>
    <w:rsid w:val="00BF7AE0"/>
    <w:rsid w:val="00BF7D1A"/>
    <w:rsid w:val="00C011E6"/>
    <w:rsid w:val="00C0129D"/>
    <w:rsid w:val="00C01810"/>
    <w:rsid w:val="00C0358D"/>
    <w:rsid w:val="00C03F75"/>
    <w:rsid w:val="00C04128"/>
    <w:rsid w:val="00C04514"/>
    <w:rsid w:val="00C04C29"/>
    <w:rsid w:val="00C0748C"/>
    <w:rsid w:val="00C07492"/>
    <w:rsid w:val="00C079CB"/>
    <w:rsid w:val="00C1095C"/>
    <w:rsid w:val="00C11430"/>
    <w:rsid w:val="00C122B7"/>
    <w:rsid w:val="00C12931"/>
    <w:rsid w:val="00C1775E"/>
    <w:rsid w:val="00C17A88"/>
    <w:rsid w:val="00C202BF"/>
    <w:rsid w:val="00C2064C"/>
    <w:rsid w:val="00C20CD8"/>
    <w:rsid w:val="00C21E23"/>
    <w:rsid w:val="00C21F8B"/>
    <w:rsid w:val="00C2259A"/>
    <w:rsid w:val="00C23A93"/>
    <w:rsid w:val="00C2594F"/>
    <w:rsid w:val="00C25C6B"/>
    <w:rsid w:val="00C25FC7"/>
    <w:rsid w:val="00C261E9"/>
    <w:rsid w:val="00C262A0"/>
    <w:rsid w:val="00C269D0"/>
    <w:rsid w:val="00C34575"/>
    <w:rsid w:val="00C352B2"/>
    <w:rsid w:val="00C4182A"/>
    <w:rsid w:val="00C4214C"/>
    <w:rsid w:val="00C42D18"/>
    <w:rsid w:val="00C42FD7"/>
    <w:rsid w:val="00C471EA"/>
    <w:rsid w:val="00C50284"/>
    <w:rsid w:val="00C50839"/>
    <w:rsid w:val="00C50AAD"/>
    <w:rsid w:val="00C51504"/>
    <w:rsid w:val="00C518CC"/>
    <w:rsid w:val="00C52972"/>
    <w:rsid w:val="00C52F63"/>
    <w:rsid w:val="00C54A34"/>
    <w:rsid w:val="00C56B46"/>
    <w:rsid w:val="00C57C90"/>
    <w:rsid w:val="00C614BB"/>
    <w:rsid w:val="00C62112"/>
    <w:rsid w:val="00C63023"/>
    <w:rsid w:val="00C63416"/>
    <w:rsid w:val="00C64D1A"/>
    <w:rsid w:val="00C661A8"/>
    <w:rsid w:val="00C66C48"/>
    <w:rsid w:val="00C6713A"/>
    <w:rsid w:val="00C67217"/>
    <w:rsid w:val="00C6728E"/>
    <w:rsid w:val="00C706F7"/>
    <w:rsid w:val="00C71518"/>
    <w:rsid w:val="00C7160B"/>
    <w:rsid w:val="00C72486"/>
    <w:rsid w:val="00C769F1"/>
    <w:rsid w:val="00C7712F"/>
    <w:rsid w:val="00C77902"/>
    <w:rsid w:val="00C779D0"/>
    <w:rsid w:val="00C77E08"/>
    <w:rsid w:val="00C80188"/>
    <w:rsid w:val="00C806E5"/>
    <w:rsid w:val="00C81397"/>
    <w:rsid w:val="00C8142C"/>
    <w:rsid w:val="00C81898"/>
    <w:rsid w:val="00C83CCB"/>
    <w:rsid w:val="00C85974"/>
    <w:rsid w:val="00C85B64"/>
    <w:rsid w:val="00C87099"/>
    <w:rsid w:val="00C874E2"/>
    <w:rsid w:val="00C90706"/>
    <w:rsid w:val="00C90B54"/>
    <w:rsid w:val="00C91437"/>
    <w:rsid w:val="00C93327"/>
    <w:rsid w:val="00C9372B"/>
    <w:rsid w:val="00C949C8"/>
    <w:rsid w:val="00C95016"/>
    <w:rsid w:val="00C96302"/>
    <w:rsid w:val="00CA06EB"/>
    <w:rsid w:val="00CA1343"/>
    <w:rsid w:val="00CA4545"/>
    <w:rsid w:val="00CA5463"/>
    <w:rsid w:val="00CA6F76"/>
    <w:rsid w:val="00CA71F9"/>
    <w:rsid w:val="00CB049A"/>
    <w:rsid w:val="00CB0BC3"/>
    <w:rsid w:val="00CB1B72"/>
    <w:rsid w:val="00CB2E9A"/>
    <w:rsid w:val="00CB36A2"/>
    <w:rsid w:val="00CB3C26"/>
    <w:rsid w:val="00CB404C"/>
    <w:rsid w:val="00CB5B4B"/>
    <w:rsid w:val="00CB62D7"/>
    <w:rsid w:val="00CB7510"/>
    <w:rsid w:val="00CC0965"/>
    <w:rsid w:val="00CC19AD"/>
    <w:rsid w:val="00CC348B"/>
    <w:rsid w:val="00CC44D4"/>
    <w:rsid w:val="00CC59F0"/>
    <w:rsid w:val="00CC66FC"/>
    <w:rsid w:val="00CC785D"/>
    <w:rsid w:val="00CD0745"/>
    <w:rsid w:val="00CD24FE"/>
    <w:rsid w:val="00CD25DD"/>
    <w:rsid w:val="00CD2873"/>
    <w:rsid w:val="00CD4A7D"/>
    <w:rsid w:val="00CD4D99"/>
    <w:rsid w:val="00CD6130"/>
    <w:rsid w:val="00CD6235"/>
    <w:rsid w:val="00CD62FF"/>
    <w:rsid w:val="00CD6C70"/>
    <w:rsid w:val="00CD6EEA"/>
    <w:rsid w:val="00CE0AE4"/>
    <w:rsid w:val="00CE1F70"/>
    <w:rsid w:val="00CE3220"/>
    <w:rsid w:val="00CE334E"/>
    <w:rsid w:val="00CE4006"/>
    <w:rsid w:val="00CF197E"/>
    <w:rsid w:val="00CF23F1"/>
    <w:rsid w:val="00CF2A7A"/>
    <w:rsid w:val="00CF36BD"/>
    <w:rsid w:val="00CF6F70"/>
    <w:rsid w:val="00CF7526"/>
    <w:rsid w:val="00D003A5"/>
    <w:rsid w:val="00D01E74"/>
    <w:rsid w:val="00D06A1B"/>
    <w:rsid w:val="00D07644"/>
    <w:rsid w:val="00D10902"/>
    <w:rsid w:val="00D12662"/>
    <w:rsid w:val="00D12CC1"/>
    <w:rsid w:val="00D12E90"/>
    <w:rsid w:val="00D12FE8"/>
    <w:rsid w:val="00D138CA"/>
    <w:rsid w:val="00D13F91"/>
    <w:rsid w:val="00D16CE3"/>
    <w:rsid w:val="00D16F0D"/>
    <w:rsid w:val="00D178EC"/>
    <w:rsid w:val="00D205AA"/>
    <w:rsid w:val="00D20A69"/>
    <w:rsid w:val="00D212E2"/>
    <w:rsid w:val="00D22506"/>
    <w:rsid w:val="00D22DD6"/>
    <w:rsid w:val="00D23F4E"/>
    <w:rsid w:val="00D240A0"/>
    <w:rsid w:val="00D25C37"/>
    <w:rsid w:val="00D27AC0"/>
    <w:rsid w:val="00D3146D"/>
    <w:rsid w:val="00D35AB0"/>
    <w:rsid w:val="00D36452"/>
    <w:rsid w:val="00D365E1"/>
    <w:rsid w:val="00D3663E"/>
    <w:rsid w:val="00D36C1D"/>
    <w:rsid w:val="00D37B5B"/>
    <w:rsid w:val="00D408F9"/>
    <w:rsid w:val="00D40D92"/>
    <w:rsid w:val="00D414E7"/>
    <w:rsid w:val="00D414F1"/>
    <w:rsid w:val="00D42D37"/>
    <w:rsid w:val="00D4396D"/>
    <w:rsid w:val="00D43AAA"/>
    <w:rsid w:val="00D43F8C"/>
    <w:rsid w:val="00D44399"/>
    <w:rsid w:val="00D47A88"/>
    <w:rsid w:val="00D47B53"/>
    <w:rsid w:val="00D502C8"/>
    <w:rsid w:val="00D509AA"/>
    <w:rsid w:val="00D50B2F"/>
    <w:rsid w:val="00D50F15"/>
    <w:rsid w:val="00D52239"/>
    <w:rsid w:val="00D53DBE"/>
    <w:rsid w:val="00D5488D"/>
    <w:rsid w:val="00D54B78"/>
    <w:rsid w:val="00D54FF2"/>
    <w:rsid w:val="00D550B4"/>
    <w:rsid w:val="00D55247"/>
    <w:rsid w:val="00D55EC5"/>
    <w:rsid w:val="00D57437"/>
    <w:rsid w:val="00D57B42"/>
    <w:rsid w:val="00D63169"/>
    <w:rsid w:val="00D63AD3"/>
    <w:rsid w:val="00D6517C"/>
    <w:rsid w:val="00D65375"/>
    <w:rsid w:val="00D6591A"/>
    <w:rsid w:val="00D65B3A"/>
    <w:rsid w:val="00D65D45"/>
    <w:rsid w:val="00D66674"/>
    <w:rsid w:val="00D66759"/>
    <w:rsid w:val="00D67177"/>
    <w:rsid w:val="00D702E0"/>
    <w:rsid w:val="00D711B5"/>
    <w:rsid w:val="00D711F0"/>
    <w:rsid w:val="00D71C17"/>
    <w:rsid w:val="00D72CF5"/>
    <w:rsid w:val="00D73BD3"/>
    <w:rsid w:val="00D74990"/>
    <w:rsid w:val="00D7630F"/>
    <w:rsid w:val="00D76F95"/>
    <w:rsid w:val="00D77376"/>
    <w:rsid w:val="00D774B7"/>
    <w:rsid w:val="00D77AA8"/>
    <w:rsid w:val="00D81A95"/>
    <w:rsid w:val="00D85C05"/>
    <w:rsid w:val="00D86903"/>
    <w:rsid w:val="00D902A9"/>
    <w:rsid w:val="00D908F1"/>
    <w:rsid w:val="00D919D6"/>
    <w:rsid w:val="00D92283"/>
    <w:rsid w:val="00D92550"/>
    <w:rsid w:val="00D92667"/>
    <w:rsid w:val="00D940E6"/>
    <w:rsid w:val="00D945F5"/>
    <w:rsid w:val="00D954E0"/>
    <w:rsid w:val="00D9647D"/>
    <w:rsid w:val="00D97871"/>
    <w:rsid w:val="00DA1048"/>
    <w:rsid w:val="00DA1327"/>
    <w:rsid w:val="00DA281B"/>
    <w:rsid w:val="00DA33DA"/>
    <w:rsid w:val="00DA3856"/>
    <w:rsid w:val="00DA4840"/>
    <w:rsid w:val="00DA5681"/>
    <w:rsid w:val="00DA5ECD"/>
    <w:rsid w:val="00DA6630"/>
    <w:rsid w:val="00DA7596"/>
    <w:rsid w:val="00DB3E24"/>
    <w:rsid w:val="00DB3FD6"/>
    <w:rsid w:val="00DB47B6"/>
    <w:rsid w:val="00DB5943"/>
    <w:rsid w:val="00DB70BE"/>
    <w:rsid w:val="00DC194B"/>
    <w:rsid w:val="00DC198E"/>
    <w:rsid w:val="00DC2CEB"/>
    <w:rsid w:val="00DC33E7"/>
    <w:rsid w:val="00DC3430"/>
    <w:rsid w:val="00DC4217"/>
    <w:rsid w:val="00DC5A46"/>
    <w:rsid w:val="00DC5AC7"/>
    <w:rsid w:val="00DC623D"/>
    <w:rsid w:val="00DC6365"/>
    <w:rsid w:val="00DC724D"/>
    <w:rsid w:val="00DC76BB"/>
    <w:rsid w:val="00DC76D6"/>
    <w:rsid w:val="00DD0368"/>
    <w:rsid w:val="00DD238E"/>
    <w:rsid w:val="00DD4671"/>
    <w:rsid w:val="00DD568C"/>
    <w:rsid w:val="00DD58ED"/>
    <w:rsid w:val="00DD716C"/>
    <w:rsid w:val="00DD7FE6"/>
    <w:rsid w:val="00DE0629"/>
    <w:rsid w:val="00DE0E74"/>
    <w:rsid w:val="00DE1B20"/>
    <w:rsid w:val="00DE267C"/>
    <w:rsid w:val="00DE2B19"/>
    <w:rsid w:val="00DE2FEF"/>
    <w:rsid w:val="00DE409A"/>
    <w:rsid w:val="00DE4164"/>
    <w:rsid w:val="00DE4FA7"/>
    <w:rsid w:val="00DE661D"/>
    <w:rsid w:val="00DF2A30"/>
    <w:rsid w:val="00DF2D7F"/>
    <w:rsid w:val="00DF4370"/>
    <w:rsid w:val="00DF43F9"/>
    <w:rsid w:val="00DF44D7"/>
    <w:rsid w:val="00DF5C1A"/>
    <w:rsid w:val="00E0019E"/>
    <w:rsid w:val="00E00C5E"/>
    <w:rsid w:val="00E01199"/>
    <w:rsid w:val="00E01B35"/>
    <w:rsid w:val="00E029E7"/>
    <w:rsid w:val="00E04E57"/>
    <w:rsid w:val="00E06E8E"/>
    <w:rsid w:val="00E07D61"/>
    <w:rsid w:val="00E07F92"/>
    <w:rsid w:val="00E12AE8"/>
    <w:rsid w:val="00E1328B"/>
    <w:rsid w:val="00E14A4F"/>
    <w:rsid w:val="00E15054"/>
    <w:rsid w:val="00E163B5"/>
    <w:rsid w:val="00E168BD"/>
    <w:rsid w:val="00E174C2"/>
    <w:rsid w:val="00E17CD9"/>
    <w:rsid w:val="00E20C53"/>
    <w:rsid w:val="00E20DA9"/>
    <w:rsid w:val="00E2104B"/>
    <w:rsid w:val="00E21B40"/>
    <w:rsid w:val="00E23727"/>
    <w:rsid w:val="00E23B2E"/>
    <w:rsid w:val="00E24737"/>
    <w:rsid w:val="00E25B6F"/>
    <w:rsid w:val="00E353AB"/>
    <w:rsid w:val="00E359EB"/>
    <w:rsid w:val="00E40745"/>
    <w:rsid w:val="00E43072"/>
    <w:rsid w:val="00E430D6"/>
    <w:rsid w:val="00E43B62"/>
    <w:rsid w:val="00E47783"/>
    <w:rsid w:val="00E47D78"/>
    <w:rsid w:val="00E47EB3"/>
    <w:rsid w:val="00E5136A"/>
    <w:rsid w:val="00E52424"/>
    <w:rsid w:val="00E53061"/>
    <w:rsid w:val="00E54860"/>
    <w:rsid w:val="00E54B6A"/>
    <w:rsid w:val="00E55ECD"/>
    <w:rsid w:val="00E57759"/>
    <w:rsid w:val="00E60EC3"/>
    <w:rsid w:val="00E62E94"/>
    <w:rsid w:val="00E63C83"/>
    <w:rsid w:val="00E6666A"/>
    <w:rsid w:val="00E71FB7"/>
    <w:rsid w:val="00E72111"/>
    <w:rsid w:val="00E7292A"/>
    <w:rsid w:val="00E7366D"/>
    <w:rsid w:val="00E73AD2"/>
    <w:rsid w:val="00E75781"/>
    <w:rsid w:val="00E761B3"/>
    <w:rsid w:val="00E76376"/>
    <w:rsid w:val="00E77427"/>
    <w:rsid w:val="00E8097E"/>
    <w:rsid w:val="00E819CB"/>
    <w:rsid w:val="00E8298A"/>
    <w:rsid w:val="00E844EF"/>
    <w:rsid w:val="00E85186"/>
    <w:rsid w:val="00E86A3E"/>
    <w:rsid w:val="00E87942"/>
    <w:rsid w:val="00E87C15"/>
    <w:rsid w:val="00E93BF7"/>
    <w:rsid w:val="00E94528"/>
    <w:rsid w:val="00E9527E"/>
    <w:rsid w:val="00E96136"/>
    <w:rsid w:val="00E96CA1"/>
    <w:rsid w:val="00E96CF4"/>
    <w:rsid w:val="00E97769"/>
    <w:rsid w:val="00E977AF"/>
    <w:rsid w:val="00E97981"/>
    <w:rsid w:val="00E97EAF"/>
    <w:rsid w:val="00EA1321"/>
    <w:rsid w:val="00EA1331"/>
    <w:rsid w:val="00EA1908"/>
    <w:rsid w:val="00EA2BD5"/>
    <w:rsid w:val="00EA32AD"/>
    <w:rsid w:val="00EA3480"/>
    <w:rsid w:val="00EA4C1C"/>
    <w:rsid w:val="00EB0836"/>
    <w:rsid w:val="00EB3ABA"/>
    <w:rsid w:val="00EB418F"/>
    <w:rsid w:val="00EB44BF"/>
    <w:rsid w:val="00EB5146"/>
    <w:rsid w:val="00EB54F7"/>
    <w:rsid w:val="00EB6BA4"/>
    <w:rsid w:val="00EB792C"/>
    <w:rsid w:val="00EC0401"/>
    <w:rsid w:val="00EC19C7"/>
    <w:rsid w:val="00EC2842"/>
    <w:rsid w:val="00EC364D"/>
    <w:rsid w:val="00EC3D35"/>
    <w:rsid w:val="00EC41D6"/>
    <w:rsid w:val="00EC4957"/>
    <w:rsid w:val="00EC6865"/>
    <w:rsid w:val="00EC6958"/>
    <w:rsid w:val="00ED2BCF"/>
    <w:rsid w:val="00ED4F46"/>
    <w:rsid w:val="00ED5280"/>
    <w:rsid w:val="00ED5716"/>
    <w:rsid w:val="00ED604A"/>
    <w:rsid w:val="00ED71F4"/>
    <w:rsid w:val="00EE05FC"/>
    <w:rsid w:val="00EE1283"/>
    <w:rsid w:val="00EE249E"/>
    <w:rsid w:val="00EE2ACF"/>
    <w:rsid w:val="00EE3668"/>
    <w:rsid w:val="00EE55A3"/>
    <w:rsid w:val="00EE5C4E"/>
    <w:rsid w:val="00EE6624"/>
    <w:rsid w:val="00EE70AB"/>
    <w:rsid w:val="00EE7870"/>
    <w:rsid w:val="00EE7C6F"/>
    <w:rsid w:val="00EF05C4"/>
    <w:rsid w:val="00EF0792"/>
    <w:rsid w:val="00EF1302"/>
    <w:rsid w:val="00EF1511"/>
    <w:rsid w:val="00EF2117"/>
    <w:rsid w:val="00EF2E70"/>
    <w:rsid w:val="00EF366A"/>
    <w:rsid w:val="00EF39EA"/>
    <w:rsid w:val="00EF4099"/>
    <w:rsid w:val="00EF4142"/>
    <w:rsid w:val="00EF5B99"/>
    <w:rsid w:val="00EF62C2"/>
    <w:rsid w:val="00EF6471"/>
    <w:rsid w:val="00EF7F2C"/>
    <w:rsid w:val="00F02067"/>
    <w:rsid w:val="00F033BF"/>
    <w:rsid w:val="00F0390B"/>
    <w:rsid w:val="00F0532B"/>
    <w:rsid w:val="00F056C2"/>
    <w:rsid w:val="00F05ABA"/>
    <w:rsid w:val="00F07F42"/>
    <w:rsid w:val="00F112DB"/>
    <w:rsid w:val="00F12BBA"/>
    <w:rsid w:val="00F12E29"/>
    <w:rsid w:val="00F14AEB"/>
    <w:rsid w:val="00F16403"/>
    <w:rsid w:val="00F16477"/>
    <w:rsid w:val="00F2009F"/>
    <w:rsid w:val="00F20827"/>
    <w:rsid w:val="00F237BC"/>
    <w:rsid w:val="00F23B40"/>
    <w:rsid w:val="00F25092"/>
    <w:rsid w:val="00F2647A"/>
    <w:rsid w:val="00F30C17"/>
    <w:rsid w:val="00F30E1B"/>
    <w:rsid w:val="00F31578"/>
    <w:rsid w:val="00F31E16"/>
    <w:rsid w:val="00F32FB9"/>
    <w:rsid w:val="00F33438"/>
    <w:rsid w:val="00F335D7"/>
    <w:rsid w:val="00F34CB5"/>
    <w:rsid w:val="00F35AB4"/>
    <w:rsid w:val="00F37446"/>
    <w:rsid w:val="00F37941"/>
    <w:rsid w:val="00F37ADE"/>
    <w:rsid w:val="00F4152D"/>
    <w:rsid w:val="00F41A91"/>
    <w:rsid w:val="00F4281C"/>
    <w:rsid w:val="00F43067"/>
    <w:rsid w:val="00F43712"/>
    <w:rsid w:val="00F44475"/>
    <w:rsid w:val="00F44780"/>
    <w:rsid w:val="00F447B0"/>
    <w:rsid w:val="00F449E7"/>
    <w:rsid w:val="00F45200"/>
    <w:rsid w:val="00F466E5"/>
    <w:rsid w:val="00F46C8B"/>
    <w:rsid w:val="00F479D4"/>
    <w:rsid w:val="00F51709"/>
    <w:rsid w:val="00F53A57"/>
    <w:rsid w:val="00F55570"/>
    <w:rsid w:val="00F6211F"/>
    <w:rsid w:val="00F6303D"/>
    <w:rsid w:val="00F632AD"/>
    <w:rsid w:val="00F64FFB"/>
    <w:rsid w:val="00F65944"/>
    <w:rsid w:val="00F663D5"/>
    <w:rsid w:val="00F712A3"/>
    <w:rsid w:val="00F73341"/>
    <w:rsid w:val="00F7359C"/>
    <w:rsid w:val="00F7449E"/>
    <w:rsid w:val="00F747DA"/>
    <w:rsid w:val="00F76345"/>
    <w:rsid w:val="00F76FD6"/>
    <w:rsid w:val="00F7700E"/>
    <w:rsid w:val="00F77367"/>
    <w:rsid w:val="00F7754B"/>
    <w:rsid w:val="00F8207F"/>
    <w:rsid w:val="00F824EB"/>
    <w:rsid w:val="00F841A1"/>
    <w:rsid w:val="00F87F0D"/>
    <w:rsid w:val="00F90618"/>
    <w:rsid w:val="00F908AA"/>
    <w:rsid w:val="00F92A66"/>
    <w:rsid w:val="00F92E51"/>
    <w:rsid w:val="00F939C6"/>
    <w:rsid w:val="00F93DC5"/>
    <w:rsid w:val="00F96322"/>
    <w:rsid w:val="00F96675"/>
    <w:rsid w:val="00F967BD"/>
    <w:rsid w:val="00F96E50"/>
    <w:rsid w:val="00F9729C"/>
    <w:rsid w:val="00F975E5"/>
    <w:rsid w:val="00FA27E0"/>
    <w:rsid w:val="00FA3F05"/>
    <w:rsid w:val="00FA409A"/>
    <w:rsid w:val="00FA43B7"/>
    <w:rsid w:val="00FA47BF"/>
    <w:rsid w:val="00FA56C9"/>
    <w:rsid w:val="00FA656F"/>
    <w:rsid w:val="00FA6881"/>
    <w:rsid w:val="00FA70F7"/>
    <w:rsid w:val="00FB0701"/>
    <w:rsid w:val="00FB0BB4"/>
    <w:rsid w:val="00FB1974"/>
    <w:rsid w:val="00FB1AEB"/>
    <w:rsid w:val="00FB234E"/>
    <w:rsid w:val="00FB253D"/>
    <w:rsid w:val="00FB2FD1"/>
    <w:rsid w:val="00FB3974"/>
    <w:rsid w:val="00FB630A"/>
    <w:rsid w:val="00FB6F4A"/>
    <w:rsid w:val="00FB74DB"/>
    <w:rsid w:val="00FC0851"/>
    <w:rsid w:val="00FC126F"/>
    <w:rsid w:val="00FC1D21"/>
    <w:rsid w:val="00FC1F33"/>
    <w:rsid w:val="00FC23F3"/>
    <w:rsid w:val="00FC3F94"/>
    <w:rsid w:val="00FC56CE"/>
    <w:rsid w:val="00FC5CAF"/>
    <w:rsid w:val="00FC5D02"/>
    <w:rsid w:val="00FC683E"/>
    <w:rsid w:val="00FC7177"/>
    <w:rsid w:val="00FC798B"/>
    <w:rsid w:val="00FD0A82"/>
    <w:rsid w:val="00FD22E1"/>
    <w:rsid w:val="00FD2A63"/>
    <w:rsid w:val="00FD4AF1"/>
    <w:rsid w:val="00FD4B73"/>
    <w:rsid w:val="00FD5B65"/>
    <w:rsid w:val="00FD76AF"/>
    <w:rsid w:val="00FD77CA"/>
    <w:rsid w:val="00FD7E79"/>
    <w:rsid w:val="00FE04C4"/>
    <w:rsid w:val="00FE13CD"/>
    <w:rsid w:val="00FE1B9C"/>
    <w:rsid w:val="00FE1DDE"/>
    <w:rsid w:val="00FE25EE"/>
    <w:rsid w:val="00FE4A71"/>
    <w:rsid w:val="00FE5C46"/>
    <w:rsid w:val="00FE60EE"/>
    <w:rsid w:val="00FE7284"/>
    <w:rsid w:val="00FE7A78"/>
    <w:rsid w:val="00FF14CD"/>
    <w:rsid w:val="00FF2BFF"/>
    <w:rsid w:val="00FF3F3C"/>
    <w:rsid w:val="00FF4691"/>
    <w:rsid w:val="00FF51DD"/>
    <w:rsid w:val="00FF59A4"/>
    <w:rsid w:val="00FF60FC"/>
    <w:rsid w:val="11FFD96E"/>
    <w:rsid w:val="2738C79F"/>
    <w:rsid w:val="2A6D9EA3"/>
    <w:rsid w:val="448D5EBD"/>
    <w:rsid w:val="5545736F"/>
    <w:rsid w:val="564A0C92"/>
    <w:rsid w:val="62C1ACFF"/>
    <w:rsid w:val="6F764F3F"/>
    <w:rsid w:val="7AE3EC43"/>
  </w:rsids>
  <m:mathPr>
    <m:mathFont m:val="Cambria Math"/>
    <m:brkBin m:val="before"/>
    <m:brkBinSub m:val="--"/>
    <m:smallFrac m:val="0"/>
    <m:dispDef m:val="0"/>
    <m:lMargin m:val="0"/>
    <m:rMargin m:val="0"/>
    <m:defJc m:val="centerGroup"/>
    <m:wrapRight/>
    <m:intLim m:val="subSup"/>
    <m:naryLim m:val="subSup"/>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style="mso-position-horizontal-relative:margin;mso-position-vertical-relative:margin" fill="f" fillcolor="white" stroke="f">
      <v:fill color="white" on="f"/>
      <v:stroke on="f"/>
    </o:shapedefaults>
    <o:shapelayout v:ext="edit">
      <o:idmap v:ext="edit" data="2"/>
    </o:shapelayout>
  </w:shapeDefaults>
  <w:decimalSymbol w:val="."/>
  <w:listSeparator w:val=","/>
  <w14:docId w14:val="7E1EF1C0"/>
  <w15:docId w15:val="{C1B0A470-417B-644B-95F9-07B4E4E67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32EC"/>
    <w:rPr>
      <w:rFonts w:ascii="Arial" w:hAnsi="Arial"/>
      <w:sz w:val="22"/>
      <w:szCs w:val="24"/>
      <w:lang w:eastAsia="en-US"/>
    </w:rPr>
  </w:style>
  <w:style w:type="paragraph" w:styleId="Heading1">
    <w:name w:val="heading 1"/>
    <w:basedOn w:val="Normal"/>
    <w:next w:val="Normal"/>
    <w:link w:val="Heading1Char"/>
    <w:qFormat/>
    <w:rsid w:val="00D37B5B"/>
    <w:pPr>
      <w:keepNext/>
      <w:numPr>
        <w:numId w:val="1"/>
      </w:numPr>
      <w:suppressAutoHyphens/>
      <w:outlineLvl w:val="0"/>
    </w:pPr>
    <w:rPr>
      <w:rFonts w:eastAsia="Hiragino Kaku Gothic Pro W3" w:cs="Arial"/>
      <w:b/>
      <w:caps/>
      <w:color w:val="000000"/>
      <w:kern w:val="1"/>
      <w:sz w:val="36"/>
      <w:szCs w:val="36"/>
      <w:lang w:val="en-US" w:eastAsia="ar-SA"/>
    </w:rPr>
  </w:style>
  <w:style w:type="paragraph" w:styleId="Heading2">
    <w:name w:val="heading 2"/>
    <w:basedOn w:val="Normal"/>
    <w:next w:val="Normal"/>
    <w:link w:val="Heading2Char"/>
    <w:qFormat/>
    <w:rsid w:val="00D37B5B"/>
    <w:pPr>
      <w:keepNext/>
      <w:numPr>
        <w:ilvl w:val="1"/>
        <w:numId w:val="1"/>
      </w:numPr>
      <w:suppressAutoHyphens/>
      <w:outlineLvl w:val="1"/>
    </w:pPr>
    <w:rPr>
      <w:rFonts w:eastAsia="Hiragino Kaku Gothic Pro W3" w:cs="Arial"/>
      <w:caps/>
      <w:color w:val="000000"/>
      <w:sz w:val="26"/>
      <w:szCs w:val="28"/>
      <w:lang w:val="en-US" w:eastAsia="ar-SA"/>
    </w:rPr>
  </w:style>
  <w:style w:type="paragraph" w:styleId="Heading3">
    <w:name w:val="heading 3"/>
    <w:basedOn w:val="Normal"/>
    <w:next w:val="Normal"/>
    <w:link w:val="Heading3Char"/>
    <w:qFormat/>
    <w:rsid w:val="00D37B5B"/>
    <w:pPr>
      <w:keepNext/>
      <w:numPr>
        <w:ilvl w:val="2"/>
        <w:numId w:val="1"/>
      </w:numPr>
      <w:suppressAutoHyphens/>
      <w:outlineLvl w:val="2"/>
    </w:pPr>
    <w:rPr>
      <w:rFonts w:ascii="Amnesty Trade Gothic Cn" w:eastAsia="Hiragino Kaku Gothic Pro W3" w:hAnsi="Amnesty Trade Gothic Cn" w:cs="Arial"/>
      <w:caps/>
      <w:color w:val="000000"/>
      <w:sz w:val="20"/>
      <w:szCs w:val="26"/>
      <w:lang w:val="en-US" w:eastAsia="ar-SA"/>
    </w:rPr>
  </w:style>
  <w:style w:type="paragraph" w:styleId="Heading4">
    <w:name w:val="heading 4"/>
    <w:basedOn w:val="Normal"/>
    <w:next w:val="Normal"/>
    <w:link w:val="Heading4Char"/>
    <w:qFormat/>
    <w:rsid w:val="00D37B5B"/>
    <w:pPr>
      <w:widowControl w:val="0"/>
      <w:numPr>
        <w:ilvl w:val="3"/>
        <w:numId w:val="1"/>
      </w:numPr>
      <w:suppressAutoHyphens/>
      <w:outlineLvl w:val="3"/>
    </w:pPr>
    <w:rPr>
      <w:rFonts w:eastAsia="Hiragino Kaku Gothic Pro W3" w:cs="Arial"/>
      <w:color w:val="000000"/>
      <w:lang w:val="en-US" w:eastAsia="ar-SA"/>
    </w:rPr>
  </w:style>
  <w:style w:type="paragraph" w:styleId="Heading5">
    <w:name w:val="heading 5"/>
    <w:basedOn w:val="Heading4"/>
    <w:next w:val="Normal"/>
    <w:link w:val="Heading5Char"/>
    <w:qFormat/>
    <w:rsid w:val="00D37B5B"/>
    <w:pPr>
      <w:numPr>
        <w:ilvl w:val="4"/>
      </w:numPr>
      <w:outlineLvl w:val="4"/>
    </w:pPr>
  </w:style>
  <w:style w:type="paragraph" w:styleId="Heading6">
    <w:name w:val="heading 6"/>
    <w:basedOn w:val="Heading5"/>
    <w:next w:val="Normal"/>
    <w:link w:val="Heading6Char"/>
    <w:qFormat/>
    <w:rsid w:val="00D37B5B"/>
    <w:pPr>
      <w:numPr>
        <w:ilvl w:val="5"/>
      </w:numPr>
      <w:outlineLvl w:val="5"/>
    </w:pPr>
  </w:style>
  <w:style w:type="paragraph" w:styleId="Heading7">
    <w:name w:val="heading 7"/>
    <w:basedOn w:val="Heading6"/>
    <w:next w:val="Normal"/>
    <w:link w:val="Heading7Char"/>
    <w:qFormat/>
    <w:rsid w:val="00D37B5B"/>
    <w:pPr>
      <w:numPr>
        <w:ilvl w:val="6"/>
      </w:numPr>
      <w:outlineLvl w:val="6"/>
    </w:pPr>
  </w:style>
  <w:style w:type="paragraph" w:styleId="Heading8">
    <w:name w:val="heading 8"/>
    <w:basedOn w:val="Heading7"/>
    <w:next w:val="Normal"/>
    <w:link w:val="Heading8Char"/>
    <w:qFormat/>
    <w:rsid w:val="00D37B5B"/>
    <w:pPr>
      <w:numPr>
        <w:ilvl w:val="7"/>
      </w:numPr>
      <w:outlineLvl w:val="7"/>
    </w:pPr>
  </w:style>
  <w:style w:type="paragraph" w:styleId="Heading9">
    <w:name w:val="heading 9"/>
    <w:basedOn w:val="Heading8"/>
    <w:next w:val="Normal"/>
    <w:link w:val="Heading9Char"/>
    <w:qFormat/>
    <w:rsid w:val="00D37B5B"/>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54A34"/>
    <w:rPr>
      <w:color w:val="0000FF"/>
      <w:u w:val="single"/>
    </w:rPr>
  </w:style>
  <w:style w:type="paragraph" w:styleId="Header">
    <w:name w:val="header"/>
    <w:basedOn w:val="Normal"/>
    <w:link w:val="HeaderChar"/>
    <w:uiPriority w:val="99"/>
    <w:rsid w:val="00C54A34"/>
    <w:pPr>
      <w:tabs>
        <w:tab w:val="center" w:pos="4320"/>
        <w:tab w:val="right" w:pos="8640"/>
      </w:tabs>
    </w:pPr>
  </w:style>
  <w:style w:type="paragraph" w:styleId="Footer">
    <w:name w:val="footer"/>
    <w:basedOn w:val="Normal"/>
    <w:link w:val="FooterChar"/>
    <w:uiPriority w:val="99"/>
    <w:rsid w:val="00C54A34"/>
    <w:pPr>
      <w:tabs>
        <w:tab w:val="center" w:pos="4320"/>
        <w:tab w:val="right" w:pos="8640"/>
      </w:tabs>
    </w:pPr>
  </w:style>
  <w:style w:type="paragraph" w:styleId="BodyTextIndent">
    <w:name w:val="Body Text Indent"/>
    <w:basedOn w:val="Normal"/>
    <w:link w:val="BodyTextIndentChar"/>
    <w:rsid w:val="00C122B7"/>
    <w:pPr>
      <w:spacing w:before="100" w:beforeAutospacing="1" w:after="100" w:afterAutospacing="1"/>
    </w:pPr>
    <w:rPr>
      <w:lang w:val="en-US"/>
    </w:rPr>
  </w:style>
  <w:style w:type="character" w:customStyle="1" w:styleId="BodyTextIndentChar">
    <w:name w:val="Body Text Indent Char"/>
    <w:link w:val="BodyTextIndent"/>
    <w:rsid w:val="00C122B7"/>
    <w:rPr>
      <w:sz w:val="24"/>
      <w:szCs w:val="24"/>
    </w:rPr>
  </w:style>
  <w:style w:type="paragraph" w:styleId="FootnoteText">
    <w:name w:val="footnote text"/>
    <w:aliases w:val="Footnote Text Char2,Footnote Text Char Char1,Footnote Text Char1 Char Char,Footnote Text Char Char Char Char,Footnote Text Char1 Char Char Char Char,Footnote Text Char Char Char Char Char Char,Footnote Text Char1,Footnote Text Char Char,5"/>
    <w:basedOn w:val="Normal"/>
    <w:link w:val="FootnoteTextChar"/>
    <w:uiPriority w:val="99"/>
    <w:rsid w:val="00C122B7"/>
    <w:rPr>
      <w:sz w:val="20"/>
      <w:szCs w:val="20"/>
    </w:rPr>
  </w:style>
  <w:style w:type="character" w:customStyle="1" w:styleId="FootnoteTextChar">
    <w:name w:val="Footnote Text Char"/>
    <w:aliases w:val="Footnote Text Char2 Char,Footnote Text Char Char1 Char,Footnote Text Char1 Char Char Char,Footnote Text Char Char Char Char Char,Footnote Text Char1 Char Char Char Char Char,Footnote Text Char Char Char Char Char Char Char,5 Char"/>
    <w:link w:val="FootnoteText"/>
    <w:uiPriority w:val="99"/>
    <w:rsid w:val="00C122B7"/>
    <w:rPr>
      <w:lang w:val="en-CA"/>
    </w:rPr>
  </w:style>
  <w:style w:type="character" w:styleId="FootnoteReference">
    <w:name w:val="footnote reference"/>
    <w:aliases w:val="Footnotes refss,Footnote number,Fago Fußnotenzeichen,Footnote Ref,16 Point,Superscript 6 Point,4_G,Fago Fu?notenzeichen,Fago Fuﬂnotenzeichen,fr"/>
    <w:uiPriority w:val="99"/>
    <w:rsid w:val="00C122B7"/>
    <w:rPr>
      <w:vertAlign w:val="superscript"/>
    </w:rPr>
  </w:style>
  <w:style w:type="paragraph" w:styleId="NormalWeb">
    <w:name w:val="Normal (Web)"/>
    <w:basedOn w:val="Normal"/>
    <w:uiPriority w:val="99"/>
    <w:unhideWhenUsed/>
    <w:rsid w:val="007B7C2E"/>
    <w:pPr>
      <w:spacing w:before="100" w:beforeAutospacing="1" w:after="100" w:afterAutospacing="1"/>
    </w:pPr>
    <w:rPr>
      <w:lang w:eastAsia="en-CA"/>
    </w:rPr>
  </w:style>
  <w:style w:type="character" w:customStyle="1" w:styleId="FooterChar">
    <w:name w:val="Footer Char"/>
    <w:link w:val="Footer"/>
    <w:uiPriority w:val="99"/>
    <w:rsid w:val="00EB418F"/>
    <w:rPr>
      <w:sz w:val="24"/>
      <w:szCs w:val="24"/>
      <w:lang w:val="en-CA"/>
    </w:rPr>
  </w:style>
  <w:style w:type="paragraph" w:customStyle="1" w:styleId="InsideTitlePage1">
    <w:name w:val="Inside Title Page 1"/>
    <w:basedOn w:val="Normal"/>
    <w:qFormat/>
    <w:rsid w:val="00FB234E"/>
    <w:pPr>
      <w:widowControl w:val="0"/>
      <w:suppressAutoHyphens/>
    </w:pPr>
    <w:rPr>
      <w:rFonts w:ascii="Hiragino Kaku Gothic Pro W3" w:eastAsia="Hiragino Kaku Gothic Pro W3" w:hAnsi="Hiragino Kaku Gothic Pro W3"/>
      <w:color w:val="000000"/>
      <w:sz w:val="16"/>
      <w:szCs w:val="18"/>
      <w:lang w:eastAsia="ar-SA"/>
    </w:rPr>
  </w:style>
  <w:style w:type="paragraph" w:customStyle="1" w:styleId="InsideTitlePage2">
    <w:name w:val="Inside Title Page 2"/>
    <w:basedOn w:val="InsideTitlePage1"/>
    <w:qFormat/>
    <w:rsid w:val="00FB234E"/>
    <w:rPr>
      <w:rFonts w:ascii="Hiragino Kaku Gothic Pro W6" w:hAnsi="Hiragino Kaku Gothic Pro W6"/>
      <w:b/>
      <w:bCs/>
    </w:rPr>
  </w:style>
  <w:style w:type="paragraph" w:styleId="BalloonText">
    <w:name w:val="Balloon Text"/>
    <w:basedOn w:val="Normal"/>
    <w:link w:val="BalloonTextChar"/>
    <w:rsid w:val="009F6D88"/>
    <w:rPr>
      <w:rFonts w:ascii="Tahoma" w:hAnsi="Tahoma" w:cs="Tahoma"/>
      <w:sz w:val="16"/>
      <w:szCs w:val="16"/>
    </w:rPr>
  </w:style>
  <w:style w:type="character" w:customStyle="1" w:styleId="BalloonTextChar">
    <w:name w:val="Balloon Text Char"/>
    <w:basedOn w:val="DefaultParagraphFont"/>
    <w:link w:val="BalloonText"/>
    <w:rsid w:val="009F6D88"/>
    <w:rPr>
      <w:rFonts w:ascii="Tahoma" w:hAnsi="Tahoma" w:cs="Tahoma"/>
      <w:sz w:val="16"/>
      <w:szCs w:val="16"/>
      <w:lang w:eastAsia="en-US"/>
    </w:rPr>
  </w:style>
  <w:style w:type="character" w:customStyle="1" w:styleId="HeaderChar">
    <w:name w:val="Header Char"/>
    <w:basedOn w:val="DefaultParagraphFont"/>
    <w:link w:val="Header"/>
    <w:uiPriority w:val="99"/>
    <w:rsid w:val="00893E5F"/>
    <w:rPr>
      <w:sz w:val="24"/>
      <w:szCs w:val="24"/>
      <w:lang w:eastAsia="en-US"/>
    </w:rPr>
  </w:style>
  <w:style w:type="character" w:customStyle="1" w:styleId="Heading1Char">
    <w:name w:val="Heading 1 Char"/>
    <w:basedOn w:val="DefaultParagraphFont"/>
    <w:link w:val="Heading1"/>
    <w:rsid w:val="00D37B5B"/>
    <w:rPr>
      <w:rFonts w:ascii="Arial" w:eastAsia="Hiragino Kaku Gothic Pro W3" w:hAnsi="Arial" w:cs="Arial"/>
      <w:b/>
      <w:caps/>
      <w:color w:val="000000"/>
      <w:kern w:val="1"/>
      <w:sz w:val="36"/>
      <w:szCs w:val="36"/>
      <w:lang w:val="en-US" w:eastAsia="ar-SA"/>
    </w:rPr>
  </w:style>
  <w:style w:type="character" w:customStyle="1" w:styleId="Heading2Char">
    <w:name w:val="Heading 2 Char"/>
    <w:basedOn w:val="DefaultParagraphFont"/>
    <w:link w:val="Heading2"/>
    <w:rsid w:val="00D37B5B"/>
    <w:rPr>
      <w:rFonts w:ascii="Arial" w:eastAsia="Hiragino Kaku Gothic Pro W3" w:hAnsi="Arial" w:cs="Arial"/>
      <w:caps/>
      <w:color w:val="000000"/>
      <w:sz w:val="26"/>
      <w:szCs w:val="28"/>
      <w:lang w:val="en-US" w:eastAsia="ar-SA"/>
    </w:rPr>
  </w:style>
  <w:style w:type="character" w:customStyle="1" w:styleId="Heading3Char">
    <w:name w:val="Heading 3 Char"/>
    <w:basedOn w:val="DefaultParagraphFont"/>
    <w:link w:val="Heading3"/>
    <w:rsid w:val="00D37B5B"/>
    <w:rPr>
      <w:rFonts w:ascii="Amnesty Trade Gothic Cn" w:eastAsia="Hiragino Kaku Gothic Pro W3" w:hAnsi="Amnesty Trade Gothic Cn" w:cs="Arial"/>
      <w:caps/>
      <w:color w:val="000000"/>
      <w:szCs w:val="26"/>
      <w:lang w:val="en-US" w:eastAsia="ar-SA"/>
    </w:rPr>
  </w:style>
  <w:style w:type="character" w:customStyle="1" w:styleId="Heading4Char">
    <w:name w:val="Heading 4 Char"/>
    <w:basedOn w:val="DefaultParagraphFont"/>
    <w:link w:val="Heading4"/>
    <w:rsid w:val="00D37B5B"/>
    <w:rPr>
      <w:rFonts w:ascii="Arial" w:eastAsia="Hiragino Kaku Gothic Pro W3" w:hAnsi="Arial" w:cs="Arial"/>
      <w:color w:val="000000"/>
      <w:sz w:val="24"/>
      <w:szCs w:val="24"/>
      <w:lang w:val="en-US" w:eastAsia="ar-SA"/>
    </w:rPr>
  </w:style>
  <w:style w:type="character" w:customStyle="1" w:styleId="Heading5Char">
    <w:name w:val="Heading 5 Char"/>
    <w:basedOn w:val="DefaultParagraphFont"/>
    <w:link w:val="Heading5"/>
    <w:rsid w:val="00D37B5B"/>
    <w:rPr>
      <w:rFonts w:ascii="Arial" w:eastAsia="Hiragino Kaku Gothic Pro W3" w:hAnsi="Arial" w:cs="Arial"/>
      <w:color w:val="000000"/>
      <w:sz w:val="24"/>
      <w:szCs w:val="24"/>
      <w:lang w:val="en-US" w:eastAsia="ar-SA"/>
    </w:rPr>
  </w:style>
  <w:style w:type="character" w:customStyle="1" w:styleId="Heading6Char">
    <w:name w:val="Heading 6 Char"/>
    <w:basedOn w:val="DefaultParagraphFont"/>
    <w:link w:val="Heading6"/>
    <w:rsid w:val="00D37B5B"/>
    <w:rPr>
      <w:rFonts w:ascii="Arial" w:eastAsia="Hiragino Kaku Gothic Pro W3" w:hAnsi="Arial" w:cs="Arial"/>
      <w:color w:val="000000"/>
      <w:sz w:val="24"/>
      <w:szCs w:val="24"/>
      <w:lang w:val="en-US" w:eastAsia="ar-SA"/>
    </w:rPr>
  </w:style>
  <w:style w:type="character" w:customStyle="1" w:styleId="Heading7Char">
    <w:name w:val="Heading 7 Char"/>
    <w:basedOn w:val="DefaultParagraphFont"/>
    <w:link w:val="Heading7"/>
    <w:rsid w:val="00D37B5B"/>
    <w:rPr>
      <w:rFonts w:ascii="Arial" w:eastAsia="Hiragino Kaku Gothic Pro W3" w:hAnsi="Arial" w:cs="Arial"/>
      <w:color w:val="000000"/>
      <w:sz w:val="24"/>
      <w:szCs w:val="24"/>
      <w:lang w:val="en-US" w:eastAsia="ar-SA"/>
    </w:rPr>
  </w:style>
  <w:style w:type="character" w:customStyle="1" w:styleId="Heading8Char">
    <w:name w:val="Heading 8 Char"/>
    <w:basedOn w:val="DefaultParagraphFont"/>
    <w:link w:val="Heading8"/>
    <w:rsid w:val="00D37B5B"/>
    <w:rPr>
      <w:rFonts w:ascii="Arial" w:eastAsia="Hiragino Kaku Gothic Pro W3" w:hAnsi="Arial" w:cs="Arial"/>
      <w:color w:val="000000"/>
      <w:sz w:val="24"/>
      <w:szCs w:val="24"/>
      <w:lang w:val="en-US" w:eastAsia="ar-SA"/>
    </w:rPr>
  </w:style>
  <w:style w:type="character" w:customStyle="1" w:styleId="Heading9Char">
    <w:name w:val="Heading 9 Char"/>
    <w:basedOn w:val="DefaultParagraphFont"/>
    <w:link w:val="Heading9"/>
    <w:rsid w:val="00D37B5B"/>
    <w:rPr>
      <w:rFonts w:ascii="Arial" w:eastAsia="Hiragino Kaku Gothic Pro W3" w:hAnsi="Arial" w:cs="Arial"/>
      <w:color w:val="000000"/>
      <w:sz w:val="24"/>
      <w:szCs w:val="24"/>
      <w:lang w:val="en-US" w:eastAsia="ar-SA"/>
    </w:rPr>
  </w:style>
  <w:style w:type="paragraph" w:styleId="ListParagraph">
    <w:name w:val="List Paragraph"/>
    <w:basedOn w:val="Normal"/>
    <w:uiPriority w:val="34"/>
    <w:qFormat/>
    <w:rsid w:val="00D37B5B"/>
    <w:pPr>
      <w:widowControl w:val="0"/>
      <w:suppressAutoHyphens/>
      <w:ind w:left="720"/>
      <w:contextualSpacing/>
    </w:pPr>
    <w:rPr>
      <w:rFonts w:eastAsia="Hiragino Kaku Gothic Pro W3" w:cs="Arial"/>
      <w:color w:val="000000"/>
      <w:lang w:val="en-US" w:eastAsia="ar-SA"/>
    </w:rPr>
  </w:style>
  <w:style w:type="character" w:styleId="CommentReference">
    <w:name w:val="annotation reference"/>
    <w:basedOn w:val="DefaultParagraphFont"/>
    <w:uiPriority w:val="99"/>
    <w:unhideWhenUsed/>
    <w:rsid w:val="00D37B5B"/>
    <w:rPr>
      <w:sz w:val="16"/>
      <w:szCs w:val="16"/>
    </w:rPr>
  </w:style>
  <w:style w:type="paragraph" w:styleId="CommentText">
    <w:name w:val="annotation text"/>
    <w:basedOn w:val="Normal"/>
    <w:link w:val="CommentTextChar"/>
    <w:uiPriority w:val="99"/>
    <w:unhideWhenUsed/>
    <w:rsid w:val="00D37B5B"/>
    <w:pPr>
      <w:widowControl w:val="0"/>
      <w:suppressAutoHyphens/>
    </w:pPr>
    <w:rPr>
      <w:rFonts w:eastAsia="Hiragino Kaku Gothic Pro W3" w:cs="Arial"/>
      <w:color w:val="000000"/>
      <w:sz w:val="20"/>
      <w:szCs w:val="20"/>
      <w:lang w:val="en-US" w:eastAsia="ar-SA"/>
    </w:rPr>
  </w:style>
  <w:style w:type="character" w:customStyle="1" w:styleId="CommentTextChar">
    <w:name w:val="Comment Text Char"/>
    <w:basedOn w:val="DefaultParagraphFont"/>
    <w:link w:val="CommentText"/>
    <w:uiPriority w:val="99"/>
    <w:rsid w:val="00D37B5B"/>
    <w:rPr>
      <w:rFonts w:ascii="Arial" w:eastAsia="Hiragino Kaku Gothic Pro W3" w:hAnsi="Arial" w:cs="Arial"/>
      <w:color w:val="000000"/>
      <w:lang w:val="en-US" w:eastAsia="ar-SA"/>
    </w:rPr>
  </w:style>
  <w:style w:type="paragraph" w:styleId="TOCHeading">
    <w:name w:val="TOC Heading"/>
    <w:basedOn w:val="Heading1"/>
    <w:next w:val="Normal"/>
    <w:uiPriority w:val="39"/>
    <w:unhideWhenUsed/>
    <w:qFormat/>
    <w:rsid w:val="00D37B5B"/>
    <w:pPr>
      <w:keepLines/>
      <w:numPr>
        <w:numId w:val="0"/>
      </w:numPr>
      <w:suppressAutoHyphens w:val="0"/>
      <w:spacing w:before="480" w:line="276" w:lineRule="auto"/>
      <w:outlineLvl w:val="9"/>
    </w:pPr>
    <w:rPr>
      <w:rFonts w:asciiTheme="majorHAnsi" w:eastAsiaTheme="majorEastAsia" w:hAnsiTheme="majorHAnsi" w:cstheme="majorBidi"/>
      <w:bCs/>
      <w:caps w:val="0"/>
      <w:color w:val="365F91" w:themeColor="accent1" w:themeShade="BF"/>
      <w:kern w:val="0"/>
      <w:sz w:val="28"/>
      <w:szCs w:val="28"/>
      <w:lang w:eastAsia="en-US"/>
    </w:rPr>
  </w:style>
  <w:style w:type="paragraph" w:styleId="TOC1">
    <w:name w:val="toc 1"/>
    <w:basedOn w:val="Normal"/>
    <w:next w:val="Normal"/>
    <w:autoRedefine/>
    <w:uiPriority w:val="39"/>
    <w:unhideWhenUsed/>
    <w:rsid w:val="00C21E23"/>
    <w:pPr>
      <w:spacing w:before="120" w:after="120"/>
    </w:pPr>
    <w:rPr>
      <w:bCs/>
    </w:rPr>
  </w:style>
  <w:style w:type="paragraph" w:styleId="TOC2">
    <w:name w:val="toc 2"/>
    <w:basedOn w:val="Normal"/>
    <w:next w:val="Normal"/>
    <w:autoRedefine/>
    <w:unhideWhenUsed/>
    <w:rsid w:val="002F0852"/>
    <w:pPr>
      <w:spacing w:before="120" w:after="120"/>
      <w:ind w:left="240"/>
    </w:pPr>
    <w:rPr>
      <w:rFonts w:asciiTheme="minorHAnsi" w:hAnsiTheme="minorHAnsi"/>
      <w:bCs/>
      <w:szCs w:val="22"/>
    </w:rPr>
  </w:style>
  <w:style w:type="paragraph" w:styleId="TOC3">
    <w:name w:val="toc 3"/>
    <w:basedOn w:val="Normal"/>
    <w:next w:val="Normal"/>
    <w:autoRedefine/>
    <w:unhideWhenUsed/>
    <w:rsid w:val="00D37B5B"/>
    <w:pPr>
      <w:ind w:left="480"/>
    </w:pPr>
    <w:rPr>
      <w:rFonts w:asciiTheme="minorHAnsi" w:hAnsiTheme="minorHAnsi"/>
      <w:szCs w:val="22"/>
    </w:rPr>
  </w:style>
  <w:style w:type="paragraph" w:styleId="TOC4">
    <w:name w:val="toc 4"/>
    <w:basedOn w:val="Normal"/>
    <w:next w:val="Normal"/>
    <w:autoRedefine/>
    <w:unhideWhenUsed/>
    <w:rsid w:val="00D37B5B"/>
    <w:pPr>
      <w:ind w:left="720"/>
    </w:pPr>
    <w:rPr>
      <w:rFonts w:asciiTheme="minorHAnsi" w:hAnsiTheme="minorHAnsi"/>
      <w:sz w:val="20"/>
      <w:szCs w:val="20"/>
    </w:rPr>
  </w:style>
  <w:style w:type="paragraph" w:styleId="TOC5">
    <w:name w:val="toc 5"/>
    <w:basedOn w:val="Normal"/>
    <w:next w:val="Normal"/>
    <w:autoRedefine/>
    <w:unhideWhenUsed/>
    <w:rsid w:val="00D37B5B"/>
    <w:pPr>
      <w:ind w:left="960"/>
    </w:pPr>
    <w:rPr>
      <w:rFonts w:asciiTheme="minorHAnsi" w:hAnsiTheme="minorHAnsi"/>
      <w:sz w:val="20"/>
      <w:szCs w:val="20"/>
    </w:rPr>
  </w:style>
  <w:style w:type="paragraph" w:styleId="TOC6">
    <w:name w:val="toc 6"/>
    <w:basedOn w:val="Normal"/>
    <w:next w:val="Normal"/>
    <w:autoRedefine/>
    <w:unhideWhenUsed/>
    <w:rsid w:val="00D37B5B"/>
    <w:pPr>
      <w:ind w:left="1200"/>
    </w:pPr>
    <w:rPr>
      <w:rFonts w:asciiTheme="minorHAnsi" w:hAnsiTheme="minorHAnsi"/>
      <w:sz w:val="20"/>
      <w:szCs w:val="20"/>
    </w:rPr>
  </w:style>
  <w:style w:type="paragraph" w:styleId="TOC7">
    <w:name w:val="toc 7"/>
    <w:basedOn w:val="Normal"/>
    <w:next w:val="Normal"/>
    <w:autoRedefine/>
    <w:unhideWhenUsed/>
    <w:rsid w:val="00D37B5B"/>
    <w:pPr>
      <w:ind w:left="1440"/>
    </w:pPr>
    <w:rPr>
      <w:rFonts w:asciiTheme="minorHAnsi" w:hAnsiTheme="minorHAnsi"/>
      <w:sz w:val="20"/>
      <w:szCs w:val="20"/>
    </w:rPr>
  </w:style>
  <w:style w:type="paragraph" w:styleId="TOC8">
    <w:name w:val="toc 8"/>
    <w:basedOn w:val="Normal"/>
    <w:next w:val="Normal"/>
    <w:autoRedefine/>
    <w:unhideWhenUsed/>
    <w:rsid w:val="00D37B5B"/>
    <w:pPr>
      <w:ind w:left="1680"/>
    </w:pPr>
    <w:rPr>
      <w:rFonts w:asciiTheme="minorHAnsi" w:hAnsiTheme="minorHAnsi"/>
      <w:sz w:val="20"/>
      <w:szCs w:val="20"/>
    </w:rPr>
  </w:style>
  <w:style w:type="paragraph" w:styleId="TOC9">
    <w:name w:val="toc 9"/>
    <w:basedOn w:val="Normal"/>
    <w:next w:val="Normal"/>
    <w:autoRedefine/>
    <w:unhideWhenUsed/>
    <w:rsid w:val="00D37B5B"/>
    <w:pPr>
      <w:ind w:left="1920"/>
    </w:pPr>
    <w:rPr>
      <w:rFonts w:asciiTheme="minorHAnsi" w:hAnsiTheme="minorHAnsi"/>
      <w:sz w:val="20"/>
      <w:szCs w:val="20"/>
    </w:rPr>
  </w:style>
  <w:style w:type="character" w:styleId="FollowedHyperlink">
    <w:name w:val="FollowedHyperlink"/>
    <w:basedOn w:val="DefaultParagraphFont"/>
    <w:rsid w:val="00B4027A"/>
    <w:rPr>
      <w:color w:val="800080" w:themeColor="followedHyperlink"/>
      <w:u w:val="single"/>
    </w:rPr>
  </w:style>
  <w:style w:type="character" w:styleId="Emphasis">
    <w:name w:val="Emphasis"/>
    <w:basedOn w:val="DefaultParagraphFont"/>
    <w:uiPriority w:val="20"/>
    <w:qFormat/>
    <w:rsid w:val="0037374A"/>
    <w:rPr>
      <w:i/>
      <w:iCs/>
    </w:rPr>
  </w:style>
  <w:style w:type="paragraph" w:customStyle="1" w:styleId="Default">
    <w:name w:val="Default"/>
    <w:rsid w:val="0037374A"/>
    <w:pPr>
      <w:autoSpaceDE w:val="0"/>
      <w:autoSpaceDN w:val="0"/>
      <w:adjustRightInd w:val="0"/>
    </w:pPr>
    <w:rPr>
      <w:rFonts w:ascii="Times" w:hAnsi="Times" w:cs="Times"/>
      <w:color w:val="000000"/>
      <w:sz w:val="24"/>
      <w:szCs w:val="24"/>
      <w:lang w:val="fr-CA"/>
    </w:rPr>
  </w:style>
  <w:style w:type="paragraph" w:customStyle="1" w:styleId="Pa3">
    <w:name w:val="Pa3"/>
    <w:basedOn w:val="Default"/>
    <w:next w:val="Default"/>
    <w:uiPriority w:val="99"/>
    <w:rsid w:val="0037374A"/>
    <w:pPr>
      <w:spacing w:line="221" w:lineRule="atLeast"/>
    </w:pPr>
    <w:rPr>
      <w:rFonts w:cs="Times New Roman"/>
      <w:color w:val="auto"/>
    </w:rPr>
  </w:style>
  <w:style w:type="paragraph" w:styleId="EndnoteText">
    <w:name w:val="endnote text"/>
    <w:basedOn w:val="Normal"/>
    <w:link w:val="EndnoteTextChar"/>
    <w:unhideWhenUsed/>
    <w:rsid w:val="00893E79"/>
  </w:style>
  <w:style w:type="character" w:customStyle="1" w:styleId="EndnoteTextChar">
    <w:name w:val="Endnote Text Char"/>
    <w:basedOn w:val="DefaultParagraphFont"/>
    <w:link w:val="EndnoteText"/>
    <w:rsid w:val="00893E79"/>
    <w:rPr>
      <w:sz w:val="24"/>
      <w:szCs w:val="24"/>
      <w:lang w:eastAsia="en-US"/>
    </w:rPr>
  </w:style>
  <w:style w:type="character" w:styleId="EndnoteReference">
    <w:name w:val="endnote reference"/>
    <w:basedOn w:val="DefaultParagraphFont"/>
    <w:unhideWhenUsed/>
    <w:rsid w:val="00893E79"/>
    <w:rPr>
      <w:vertAlign w:val="superscript"/>
    </w:rPr>
  </w:style>
  <w:style w:type="paragraph" w:styleId="CommentSubject">
    <w:name w:val="annotation subject"/>
    <w:basedOn w:val="CommentText"/>
    <w:next w:val="CommentText"/>
    <w:link w:val="CommentSubjectChar"/>
    <w:semiHidden/>
    <w:unhideWhenUsed/>
    <w:rsid w:val="00363650"/>
    <w:pPr>
      <w:widowControl/>
      <w:suppressAutoHyphens w:val="0"/>
    </w:pPr>
    <w:rPr>
      <w:rFonts w:ascii="Times New Roman" w:eastAsia="Times New Roman" w:hAnsi="Times New Roman" w:cs="Times New Roman"/>
      <w:b/>
      <w:bCs/>
      <w:color w:val="auto"/>
      <w:lang w:val="en-CA" w:eastAsia="en-US"/>
    </w:rPr>
  </w:style>
  <w:style w:type="character" w:customStyle="1" w:styleId="CommentSubjectChar">
    <w:name w:val="Comment Subject Char"/>
    <w:basedOn w:val="CommentTextChar"/>
    <w:link w:val="CommentSubject"/>
    <w:semiHidden/>
    <w:rsid w:val="00363650"/>
    <w:rPr>
      <w:rFonts w:ascii="Arial" w:eastAsia="Hiragino Kaku Gothic Pro W3" w:hAnsi="Arial" w:cs="Arial"/>
      <w:b/>
      <w:bCs/>
      <w:color w:val="000000"/>
      <w:lang w:val="en-US" w:eastAsia="en-US"/>
    </w:rPr>
  </w:style>
  <w:style w:type="paragraph" w:styleId="Revision">
    <w:name w:val="Revision"/>
    <w:hidden/>
    <w:uiPriority w:val="71"/>
    <w:semiHidden/>
    <w:rsid w:val="00486103"/>
    <w:rPr>
      <w:sz w:val="24"/>
      <w:szCs w:val="24"/>
      <w:lang w:eastAsia="en-US"/>
    </w:rPr>
  </w:style>
  <w:style w:type="character" w:customStyle="1" w:styleId="apple-converted-space">
    <w:name w:val="apple-converted-space"/>
    <w:basedOn w:val="DefaultParagraphFont"/>
    <w:rsid w:val="00486103"/>
  </w:style>
  <w:style w:type="paragraph" w:customStyle="1" w:styleId="p1">
    <w:name w:val="p1"/>
    <w:basedOn w:val="Normal"/>
    <w:rsid w:val="00D4396D"/>
    <w:rPr>
      <w:sz w:val="15"/>
      <w:szCs w:val="15"/>
      <w:lang w:val="en-US"/>
    </w:rPr>
  </w:style>
  <w:style w:type="character" w:customStyle="1" w:styleId="s1">
    <w:name w:val="s1"/>
    <w:basedOn w:val="DefaultParagraphFont"/>
    <w:rsid w:val="00BD1BDC"/>
    <w:rPr>
      <w:rFonts w:ascii="Helvetica" w:hAnsi="Helvetica" w:hint="default"/>
      <w:sz w:val="7"/>
      <w:szCs w:val="7"/>
    </w:rPr>
  </w:style>
  <w:style w:type="character" w:styleId="PageNumber">
    <w:name w:val="page number"/>
    <w:basedOn w:val="DefaultParagraphFont"/>
    <w:semiHidden/>
    <w:unhideWhenUsed/>
    <w:rsid w:val="00BE5991"/>
  </w:style>
  <w:style w:type="character" w:customStyle="1" w:styleId="highlight">
    <w:name w:val="highlight"/>
    <w:basedOn w:val="DefaultParagraphFont"/>
    <w:rsid w:val="00CD62FF"/>
  </w:style>
  <w:style w:type="character" w:customStyle="1" w:styleId="A8">
    <w:name w:val="A8"/>
    <w:uiPriority w:val="99"/>
    <w:rsid w:val="0061093D"/>
    <w:rPr>
      <w:rFonts w:cs="Gotham Book"/>
      <w:color w:val="000000"/>
      <w:sz w:val="10"/>
      <w:szCs w:val="10"/>
    </w:rPr>
  </w:style>
  <w:style w:type="character" w:customStyle="1" w:styleId="markedcontent">
    <w:name w:val="markedcontent"/>
    <w:basedOn w:val="DefaultParagraphFont"/>
    <w:rsid w:val="005C30BA"/>
  </w:style>
  <w:style w:type="character" w:styleId="UnresolvedMention">
    <w:name w:val="Unresolved Mention"/>
    <w:basedOn w:val="DefaultParagraphFont"/>
    <w:uiPriority w:val="99"/>
    <w:semiHidden/>
    <w:unhideWhenUsed/>
    <w:rsid w:val="004D515E"/>
    <w:rPr>
      <w:color w:val="605E5C"/>
      <w:shd w:val="clear" w:color="auto" w:fill="E1DFDD"/>
    </w:rPr>
  </w:style>
  <w:style w:type="character" w:styleId="Strong">
    <w:name w:val="Strong"/>
    <w:basedOn w:val="DefaultParagraphFont"/>
    <w:uiPriority w:val="22"/>
    <w:qFormat/>
    <w:rsid w:val="00634EC9"/>
    <w:rPr>
      <w:b/>
      <w:bCs/>
    </w:rPr>
  </w:style>
  <w:style w:type="paragraph" w:styleId="BodyText">
    <w:name w:val="Body Text"/>
    <w:basedOn w:val="Normal"/>
    <w:link w:val="BodyTextChar"/>
    <w:unhideWhenUsed/>
    <w:rsid w:val="003851B9"/>
    <w:pPr>
      <w:spacing w:after="120"/>
    </w:pPr>
    <w:rPr>
      <w:rFonts w:ascii="Times New Roman" w:hAnsi="Times New Roman"/>
      <w:sz w:val="24"/>
    </w:rPr>
  </w:style>
  <w:style w:type="character" w:customStyle="1" w:styleId="BodyTextChar">
    <w:name w:val="Body Text Char"/>
    <w:basedOn w:val="DefaultParagraphFont"/>
    <w:link w:val="BodyText"/>
    <w:rsid w:val="003851B9"/>
    <w:rPr>
      <w:sz w:val="24"/>
      <w:szCs w:val="24"/>
      <w:lang w:eastAsia="en-US"/>
    </w:rPr>
  </w:style>
  <w:style w:type="paragraph" w:styleId="Title">
    <w:name w:val="Title"/>
    <w:basedOn w:val="Normal"/>
    <w:link w:val="TitleChar"/>
    <w:uiPriority w:val="10"/>
    <w:qFormat/>
    <w:rsid w:val="003851B9"/>
    <w:pPr>
      <w:widowControl w:val="0"/>
      <w:autoSpaceDE w:val="0"/>
      <w:autoSpaceDN w:val="0"/>
      <w:ind w:left="119" w:right="215"/>
    </w:pPr>
    <w:rPr>
      <w:rFonts w:eastAsia="Arial" w:cs="Arial"/>
      <w:b/>
      <w:bCs/>
      <w:sz w:val="28"/>
      <w:szCs w:val="28"/>
      <w:lang w:val="en-US"/>
    </w:rPr>
  </w:style>
  <w:style w:type="character" w:customStyle="1" w:styleId="TitleChar">
    <w:name w:val="Title Char"/>
    <w:basedOn w:val="DefaultParagraphFont"/>
    <w:link w:val="Title"/>
    <w:uiPriority w:val="10"/>
    <w:rsid w:val="003851B9"/>
    <w:rPr>
      <w:rFonts w:ascii="Arial" w:eastAsia="Arial" w:hAnsi="Arial" w:cs="Arial"/>
      <w:b/>
      <w:bCs/>
      <w:sz w:val="28"/>
      <w:szCs w:val="28"/>
      <w:lang w:val="en-US" w:eastAsia="en-US"/>
    </w:rPr>
  </w:style>
  <w:style w:type="character" w:customStyle="1" w:styleId="authortext">
    <w:name w:val="authortext"/>
    <w:basedOn w:val="DefaultParagraphFont"/>
    <w:rsid w:val="006A7FFC"/>
  </w:style>
  <w:style w:type="paragraph" w:customStyle="1" w:styleId="ORL1">
    <w:name w:val="OR L1"/>
    <w:basedOn w:val="Normal"/>
    <w:rsid w:val="007D5629"/>
    <w:pPr>
      <w:numPr>
        <w:numId w:val="40"/>
      </w:numPr>
      <w:spacing w:before="360" w:line="36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2115">
      <w:bodyDiv w:val="1"/>
      <w:marLeft w:val="0"/>
      <w:marRight w:val="0"/>
      <w:marTop w:val="0"/>
      <w:marBottom w:val="0"/>
      <w:divBdr>
        <w:top w:val="none" w:sz="0" w:space="0" w:color="auto"/>
        <w:left w:val="none" w:sz="0" w:space="0" w:color="auto"/>
        <w:bottom w:val="none" w:sz="0" w:space="0" w:color="auto"/>
        <w:right w:val="none" w:sz="0" w:space="0" w:color="auto"/>
      </w:divBdr>
    </w:div>
    <w:div w:id="10307234">
      <w:bodyDiv w:val="1"/>
      <w:marLeft w:val="0"/>
      <w:marRight w:val="0"/>
      <w:marTop w:val="0"/>
      <w:marBottom w:val="0"/>
      <w:divBdr>
        <w:top w:val="none" w:sz="0" w:space="0" w:color="auto"/>
        <w:left w:val="none" w:sz="0" w:space="0" w:color="auto"/>
        <w:bottom w:val="none" w:sz="0" w:space="0" w:color="auto"/>
        <w:right w:val="none" w:sz="0" w:space="0" w:color="auto"/>
      </w:divBdr>
    </w:div>
    <w:div w:id="13725453">
      <w:bodyDiv w:val="1"/>
      <w:marLeft w:val="0"/>
      <w:marRight w:val="0"/>
      <w:marTop w:val="0"/>
      <w:marBottom w:val="0"/>
      <w:divBdr>
        <w:top w:val="none" w:sz="0" w:space="0" w:color="auto"/>
        <w:left w:val="none" w:sz="0" w:space="0" w:color="auto"/>
        <w:bottom w:val="none" w:sz="0" w:space="0" w:color="auto"/>
        <w:right w:val="none" w:sz="0" w:space="0" w:color="auto"/>
      </w:divBdr>
    </w:div>
    <w:div w:id="56785026">
      <w:bodyDiv w:val="1"/>
      <w:marLeft w:val="0"/>
      <w:marRight w:val="0"/>
      <w:marTop w:val="0"/>
      <w:marBottom w:val="0"/>
      <w:divBdr>
        <w:top w:val="none" w:sz="0" w:space="0" w:color="auto"/>
        <w:left w:val="none" w:sz="0" w:space="0" w:color="auto"/>
        <w:bottom w:val="none" w:sz="0" w:space="0" w:color="auto"/>
        <w:right w:val="none" w:sz="0" w:space="0" w:color="auto"/>
      </w:divBdr>
    </w:div>
    <w:div w:id="62458409">
      <w:bodyDiv w:val="1"/>
      <w:marLeft w:val="0"/>
      <w:marRight w:val="0"/>
      <w:marTop w:val="0"/>
      <w:marBottom w:val="0"/>
      <w:divBdr>
        <w:top w:val="none" w:sz="0" w:space="0" w:color="auto"/>
        <w:left w:val="none" w:sz="0" w:space="0" w:color="auto"/>
        <w:bottom w:val="none" w:sz="0" w:space="0" w:color="auto"/>
        <w:right w:val="none" w:sz="0" w:space="0" w:color="auto"/>
      </w:divBdr>
    </w:div>
    <w:div w:id="92941114">
      <w:bodyDiv w:val="1"/>
      <w:marLeft w:val="0"/>
      <w:marRight w:val="0"/>
      <w:marTop w:val="0"/>
      <w:marBottom w:val="0"/>
      <w:divBdr>
        <w:top w:val="none" w:sz="0" w:space="0" w:color="auto"/>
        <w:left w:val="none" w:sz="0" w:space="0" w:color="auto"/>
        <w:bottom w:val="none" w:sz="0" w:space="0" w:color="auto"/>
        <w:right w:val="none" w:sz="0" w:space="0" w:color="auto"/>
      </w:divBdr>
    </w:div>
    <w:div w:id="122820216">
      <w:bodyDiv w:val="1"/>
      <w:marLeft w:val="0"/>
      <w:marRight w:val="0"/>
      <w:marTop w:val="0"/>
      <w:marBottom w:val="0"/>
      <w:divBdr>
        <w:top w:val="none" w:sz="0" w:space="0" w:color="auto"/>
        <w:left w:val="none" w:sz="0" w:space="0" w:color="auto"/>
        <w:bottom w:val="none" w:sz="0" w:space="0" w:color="auto"/>
        <w:right w:val="none" w:sz="0" w:space="0" w:color="auto"/>
      </w:divBdr>
    </w:div>
    <w:div w:id="135535576">
      <w:bodyDiv w:val="1"/>
      <w:marLeft w:val="0"/>
      <w:marRight w:val="0"/>
      <w:marTop w:val="0"/>
      <w:marBottom w:val="0"/>
      <w:divBdr>
        <w:top w:val="none" w:sz="0" w:space="0" w:color="auto"/>
        <w:left w:val="none" w:sz="0" w:space="0" w:color="auto"/>
        <w:bottom w:val="none" w:sz="0" w:space="0" w:color="auto"/>
        <w:right w:val="none" w:sz="0" w:space="0" w:color="auto"/>
      </w:divBdr>
    </w:div>
    <w:div w:id="141823446">
      <w:bodyDiv w:val="1"/>
      <w:marLeft w:val="0"/>
      <w:marRight w:val="0"/>
      <w:marTop w:val="0"/>
      <w:marBottom w:val="0"/>
      <w:divBdr>
        <w:top w:val="none" w:sz="0" w:space="0" w:color="auto"/>
        <w:left w:val="none" w:sz="0" w:space="0" w:color="auto"/>
        <w:bottom w:val="none" w:sz="0" w:space="0" w:color="auto"/>
        <w:right w:val="none" w:sz="0" w:space="0" w:color="auto"/>
      </w:divBdr>
    </w:div>
    <w:div w:id="169411522">
      <w:bodyDiv w:val="1"/>
      <w:marLeft w:val="0"/>
      <w:marRight w:val="0"/>
      <w:marTop w:val="0"/>
      <w:marBottom w:val="0"/>
      <w:divBdr>
        <w:top w:val="none" w:sz="0" w:space="0" w:color="auto"/>
        <w:left w:val="none" w:sz="0" w:space="0" w:color="auto"/>
        <w:bottom w:val="none" w:sz="0" w:space="0" w:color="auto"/>
        <w:right w:val="none" w:sz="0" w:space="0" w:color="auto"/>
      </w:divBdr>
    </w:div>
    <w:div w:id="198586863">
      <w:bodyDiv w:val="1"/>
      <w:marLeft w:val="0"/>
      <w:marRight w:val="0"/>
      <w:marTop w:val="0"/>
      <w:marBottom w:val="0"/>
      <w:divBdr>
        <w:top w:val="none" w:sz="0" w:space="0" w:color="auto"/>
        <w:left w:val="none" w:sz="0" w:space="0" w:color="auto"/>
        <w:bottom w:val="none" w:sz="0" w:space="0" w:color="auto"/>
        <w:right w:val="none" w:sz="0" w:space="0" w:color="auto"/>
      </w:divBdr>
    </w:div>
    <w:div w:id="202522914">
      <w:bodyDiv w:val="1"/>
      <w:marLeft w:val="0"/>
      <w:marRight w:val="0"/>
      <w:marTop w:val="0"/>
      <w:marBottom w:val="0"/>
      <w:divBdr>
        <w:top w:val="none" w:sz="0" w:space="0" w:color="auto"/>
        <w:left w:val="none" w:sz="0" w:space="0" w:color="auto"/>
        <w:bottom w:val="none" w:sz="0" w:space="0" w:color="auto"/>
        <w:right w:val="none" w:sz="0" w:space="0" w:color="auto"/>
      </w:divBdr>
    </w:div>
    <w:div w:id="210964953">
      <w:bodyDiv w:val="1"/>
      <w:marLeft w:val="0"/>
      <w:marRight w:val="0"/>
      <w:marTop w:val="0"/>
      <w:marBottom w:val="0"/>
      <w:divBdr>
        <w:top w:val="none" w:sz="0" w:space="0" w:color="auto"/>
        <w:left w:val="none" w:sz="0" w:space="0" w:color="auto"/>
        <w:bottom w:val="none" w:sz="0" w:space="0" w:color="auto"/>
        <w:right w:val="none" w:sz="0" w:space="0" w:color="auto"/>
      </w:divBdr>
    </w:div>
    <w:div w:id="233200655">
      <w:bodyDiv w:val="1"/>
      <w:marLeft w:val="0"/>
      <w:marRight w:val="0"/>
      <w:marTop w:val="0"/>
      <w:marBottom w:val="0"/>
      <w:divBdr>
        <w:top w:val="none" w:sz="0" w:space="0" w:color="auto"/>
        <w:left w:val="none" w:sz="0" w:space="0" w:color="auto"/>
        <w:bottom w:val="none" w:sz="0" w:space="0" w:color="auto"/>
        <w:right w:val="none" w:sz="0" w:space="0" w:color="auto"/>
      </w:divBdr>
    </w:div>
    <w:div w:id="235824750">
      <w:bodyDiv w:val="1"/>
      <w:marLeft w:val="0"/>
      <w:marRight w:val="0"/>
      <w:marTop w:val="0"/>
      <w:marBottom w:val="0"/>
      <w:divBdr>
        <w:top w:val="none" w:sz="0" w:space="0" w:color="auto"/>
        <w:left w:val="none" w:sz="0" w:space="0" w:color="auto"/>
        <w:bottom w:val="none" w:sz="0" w:space="0" w:color="auto"/>
        <w:right w:val="none" w:sz="0" w:space="0" w:color="auto"/>
      </w:divBdr>
    </w:div>
    <w:div w:id="237373994">
      <w:bodyDiv w:val="1"/>
      <w:marLeft w:val="0"/>
      <w:marRight w:val="0"/>
      <w:marTop w:val="0"/>
      <w:marBottom w:val="0"/>
      <w:divBdr>
        <w:top w:val="none" w:sz="0" w:space="0" w:color="auto"/>
        <w:left w:val="none" w:sz="0" w:space="0" w:color="auto"/>
        <w:bottom w:val="none" w:sz="0" w:space="0" w:color="auto"/>
        <w:right w:val="none" w:sz="0" w:space="0" w:color="auto"/>
      </w:divBdr>
    </w:div>
    <w:div w:id="245506408">
      <w:bodyDiv w:val="1"/>
      <w:marLeft w:val="0"/>
      <w:marRight w:val="0"/>
      <w:marTop w:val="0"/>
      <w:marBottom w:val="0"/>
      <w:divBdr>
        <w:top w:val="none" w:sz="0" w:space="0" w:color="auto"/>
        <w:left w:val="none" w:sz="0" w:space="0" w:color="auto"/>
        <w:bottom w:val="none" w:sz="0" w:space="0" w:color="auto"/>
        <w:right w:val="none" w:sz="0" w:space="0" w:color="auto"/>
      </w:divBdr>
    </w:div>
    <w:div w:id="255213736">
      <w:bodyDiv w:val="1"/>
      <w:marLeft w:val="0"/>
      <w:marRight w:val="0"/>
      <w:marTop w:val="0"/>
      <w:marBottom w:val="0"/>
      <w:divBdr>
        <w:top w:val="none" w:sz="0" w:space="0" w:color="auto"/>
        <w:left w:val="none" w:sz="0" w:space="0" w:color="auto"/>
        <w:bottom w:val="none" w:sz="0" w:space="0" w:color="auto"/>
        <w:right w:val="none" w:sz="0" w:space="0" w:color="auto"/>
      </w:divBdr>
    </w:div>
    <w:div w:id="263340021">
      <w:bodyDiv w:val="1"/>
      <w:marLeft w:val="0"/>
      <w:marRight w:val="0"/>
      <w:marTop w:val="0"/>
      <w:marBottom w:val="0"/>
      <w:divBdr>
        <w:top w:val="none" w:sz="0" w:space="0" w:color="auto"/>
        <w:left w:val="none" w:sz="0" w:space="0" w:color="auto"/>
        <w:bottom w:val="none" w:sz="0" w:space="0" w:color="auto"/>
        <w:right w:val="none" w:sz="0" w:space="0" w:color="auto"/>
      </w:divBdr>
    </w:div>
    <w:div w:id="283391838">
      <w:bodyDiv w:val="1"/>
      <w:marLeft w:val="0"/>
      <w:marRight w:val="0"/>
      <w:marTop w:val="0"/>
      <w:marBottom w:val="0"/>
      <w:divBdr>
        <w:top w:val="none" w:sz="0" w:space="0" w:color="auto"/>
        <w:left w:val="none" w:sz="0" w:space="0" w:color="auto"/>
        <w:bottom w:val="none" w:sz="0" w:space="0" w:color="auto"/>
        <w:right w:val="none" w:sz="0" w:space="0" w:color="auto"/>
      </w:divBdr>
    </w:div>
    <w:div w:id="318854070">
      <w:bodyDiv w:val="1"/>
      <w:marLeft w:val="0"/>
      <w:marRight w:val="0"/>
      <w:marTop w:val="0"/>
      <w:marBottom w:val="0"/>
      <w:divBdr>
        <w:top w:val="none" w:sz="0" w:space="0" w:color="auto"/>
        <w:left w:val="none" w:sz="0" w:space="0" w:color="auto"/>
        <w:bottom w:val="none" w:sz="0" w:space="0" w:color="auto"/>
        <w:right w:val="none" w:sz="0" w:space="0" w:color="auto"/>
      </w:divBdr>
    </w:div>
    <w:div w:id="344015973">
      <w:bodyDiv w:val="1"/>
      <w:marLeft w:val="0"/>
      <w:marRight w:val="0"/>
      <w:marTop w:val="0"/>
      <w:marBottom w:val="0"/>
      <w:divBdr>
        <w:top w:val="none" w:sz="0" w:space="0" w:color="auto"/>
        <w:left w:val="none" w:sz="0" w:space="0" w:color="auto"/>
        <w:bottom w:val="none" w:sz="0" w:space="0" w:color="auto"/>
        <w:right w:val="none" w:sz="0" w:space="0" w:color="auto"/>
      </w:divBdr>
    </w:div>
    <w:div w:id="356854261">
      <w:bodyDiv w:val="1"/>
      <w:marLeft w:val="0"/>
      <w:marRight w:val="0"/>
      <w:marTop w:val="0"/>
      <w:marBottom w:val="0"/>
      <w:divBdr>
        <w:top w:val="none" w:sz="0" w:space="0" w:color="auto"/>
        <w:left w:val="none" w:sz="0" w:space="0" w:color="auto"/>
        <w:bottom w:val="none" w:sz="0" w:space="0" w:color="auto"/>
        <w:right w:val="none" w:sz="0" w:space="0" w:color="auto"/>
      </w:divBdr>
    </w:div>
    <w:div w:id="361443804">
      <w:bodyDiv w:val="1"/>
      <w:marLeft w:val="0"/>
      <w:marRight w:val="0"/>
      <w:marTop w:val="0"/>
      <w:marBottom w:val="0"/>
      <w:divBdr>
        <w:top w:val="none" w:sz="0" w:space="0" w:color="auto"/>
        <w:left w:val="none" w:sz="0" w:space="0" w:color="auto"/>
        <w:bottom w:val="none" w:sz="0" w:space="0" w:color="auto"/>
        <w:right w:val="none" w:sz="0" w:space="0" w:color="auto"/>
      </w:divBdr>
    </w:div>
    <w:div w:id="392242749">
      <w:bodyDiv w:val="1"/>
      <w:marLeft w:val="0"/>
      <w:marRight w:val="0"/>
      <w:marTop w:val="0"/>
      <w:marBottom w:val="0"/>
      <w:divBdr>
        <w:top w:val="none" w:sz="0" w:space="0" w:color="auto"/>
        <w:left w:val="none" w:sz="0" w:space="0" w:color="auto"/>
        <w:bottom w:val="none" w:sz="0" w:space="0" w:color="auto"/>
        <w:right w:val="none" w:sz="0" w:space="0" w:color="auto"/>
      </w:divBdr>
    </w:div>
    <w:div w:id="434986650">
      <w:bodyDiv w:val="1"/>
      <w:marLeft w:val="0"/>
      <w:marRight w:val="0"/>
      <w:marTop w:val="0"/>
      <w:marBottom w:val="0"/>
      <w:divBdr>
        <w:top w:val="none" w:sz="0" w:space="0" w:color="auto"/>
        <w:left w:val="none" w:sz="0" w:space="0" w:color="auto"/>
        <w:bottom w:val="none" w:sz="0" w:space="0" w:color="auto"/>
        <w:right w:val="none" w:sz="0" w:space="0" w:color="auto"/>
      </w:divBdr>
      <w:divsChild>
        <w:div w:id="880165525">
          <w:marLeft w:val="0"/>
          <w:marRight w:val="0"/>
          <w:marTop w:val="0"/>
          <w:marBottom w:val="0"/>
          <w:divBdr>
            <w:top w:val="none" w:sz="0" w:space="0" w:color="auto"/>
            <w:left w:val="none" w:sz="0" w:space="0" w:color="auto"/>
            <w:bottom w:val="none" w:sz="0" w:space="0" w:color="auto"/>
            <w:right w:val="none" w:sz="0" w:space="0" w:color="auto"/>
          </w:divBdr>
        </w:div>
        <w:div w:id="1614364497">
          <w:marLeft w:val="0"/>
          <w:marRight w:val="0"/>
          <w:marTop w:val="0"/>
          <w:marBottom w:val="0"/>
          <w:divBdr>
            <w:top w:val="none" w:sz="0" w:space="0" w:color="auto"/>
            <w:left w:val="none" w:sz="0" w:space="0" w:color="auto"/>
            <w:bottom w:val="none" w:sz="0" w:space="0" w:color="auto"/>
            <w:right w:val="none" w:sz="0" w:space="0" w:color="auto"/>
          </w:divBdr>
        </w:div>
        <w:div w:id="790367893">
          <w:marLeft w:val="0"/>
          <w:marRight w:val="0"/>
          <w:marTop w:val="0"/>
          <w:marBottom w:val="0"/>
          <w:divBdr>
            <w:top w:val="none" w:sz="0" w:space="0" w:color="auto"/>
            <w:left w:val="none" w:sz="0" w:space="0" w:color="auto"/>
            <w:bottom w:val="none" w:sz="0" w:space="0" w:color="auto"/>
            <w:right w:val="none" w:sz="0" w:space="0" w:color="auto"/>
          </w:divBdr>
        </w:div>
        <w:div w:id="1705671734">
          <w:marLeft w:val="0"/>
          <w:marRight w:val="0"/>
          <w:marTop w:val="0"/>
          <w:marBottom w:val="0"/>
          <w:divBdr>
            <w:top w:val="none" w:sz="0" w:space="0" w:color="auto"/>
            <w:left w:val="none" w:sz="0" w:space="0" w:color="auto"/>
            <w:bottom w:val="none" w:sz="0" w:space="0" w:color="auto"/>
            <w:right w:val="none" w:sz="0" w:space="0" w:color="auto"/>
          </w:divBdr>
        </w:div>
        <w:div w:id="1450659608">
          <w:marLeft w:val="0"/>
          <w:marRight w:val="0"/>
          <w:marTop w:val="0"/>
          <w:marBottom w:val="0"/>
          <w:divBdr>
            <w:top w:val="none" w:sz="0" w:space="0" w:color="auto"/>
            <w:left w:val="none" w:sz="0" w:space="0" w:color="auto"/>
            <w:bottom w:val="none" w:sz="0" w:space="0" w:color="auto"/>
            <w:right w:val="none" w:sz="0" w:space="0" w:color="auto"/>
          </w:divBdr>
        </w:div>
        <w:div w:id="1883790126">
          <w:marLeft w:val="0"/>
          <w:marRight w:val="0"/>
          <w:marTop w:val="0"/>
          <w:marBottom w:val="0"/>
          <w:divBdr>
            <w:top w:val="none" w:sz="0" w:space="0" w:color="auto"/>
            <w:left w:val="none" w:sz="0" w:space="0" w:color="auto"/>
            <w:bottom w:val="none" w:sz="0" w:space="0" w:color="auto"/>
            <w:right w:val="none" w:sz="0" w:space="0" w:color="auto"/>
          </w:divBdr>
        </w:div>
      </w:divsChild>
    </w:div>
    <w:div w:id="439767701">
      <w:bodyDiv w:val="1"/>
      <w:marLeft w:val="0"/>
      <w:marRight w:val="0"/>
      <w:marTop w:val="0"/>
      <w:marBottom w:val="0"/>
      <w:divBdr>
        <w:top w:val="none" w:sz="0" w:space="0" w:color="auto"/>
        <w:left w:val="none" w:sz="0" w:space="0" w:color="auto"/>
        <w:bottom w:val="none" w:sz="0" w:space="0" w:color="auto"/>
        <w:right w:val="none" w:sz="0" w:space="0" w:color="auto"/>
      </w:divBdr>
    </w:div>
    <w:div w:id="455488647">
      <w:bodyDiv w:val="1"/>
      <w:marLeft w:val="0"/>
      <w:marRight w:val="0"/>
      <w:marTop w:val="0"/>
      <w:marBottom w:val="0"/>
      <w:divBdr>
        <w:top w:val="none" w:sz="0" w:space="0" w:color="auto"/>
        <w:left w:val="none" w:sz="0" w:space="0" w:color="auto"/>
        <w:bottom w:val="none" w:sz="0" w:space="0" w:color="auto"/>
        <w:right w:val="none" w:sz="0" w:space="0" w:color="auto"/>
      </w:divBdr>
    </w:div>
    <w:div w:id="460002988">
      <w:bodyDiv w:val="1"/>
      <w:marLeft w:val="0"/>
      <w:marRight w:val="0"/>
      <w:marTop w:val="0"/>
      <w:marBottom w:val="0"/>
      <w:divBdr>
        <w:top w:val="none" w:sz="0" w:space="0" w:color="auto"/>
        <w:left w:val="none" w:sz="0" w:space="0" w:color="auto"/>
        <w:bottom w:val="none" w:sz="0" w:space="0" w:color="auto"/>
        <w:right w:val="none" w:sz="0" w:space="0" w:color="auto"/>
      </w:divBdr>
    </w:div>
    <w:div w:id="463275865">
      <w:bodyDiv w:val="1"/>
      <w:marLeft w:val="0"/>
      <w:marRight w:val="0"/>
      <w:marTop w:val="0"/>
      <w:marBottom w:val="0"/>
      <w:divBdr>
        <w:top w:val="none" w:sz="0" w:space="0" w:color="auto"/>
        <w:left w:val="none" w:sz="0" w:space="0" w:color="auto"/>
        <w:bottom w:val="none" w:sz="0" w:space="0" w:color="auto"/>
        <w:right w:val="none" w:sz="0" w:space="0" w:color="auto"/>
      </w:divBdr>
    </w:div>
    <w:div w:id="492069042">
      <w:bodyDiv w:val="1"/>
      <w:marLeft w:val="0"/>
      <w:marRight w:val="0"/>
      <w:marTop w:val="0"/>
      <w:marBottom w:val="0"/>
      <w:divBdr>
        <w:top w:val="none" w:sz="0" w:space="0" w:color="auto"/>
        <w:left w:val="none" w:sz="0" w:space="0" w:color="auto"/>
        <w:bottom w:val="none" w:sz="0" w:space="0" w:color="auto"/>
        <w:right w:val="none" w:sz="0" w:space="0" w:color="auto"/>
      </w:divBdr>
    </w:div>
    <w:div w:id="504981431">
      <w:bodyDiv w:val="1"/>
      <w:marLeft w:val="0"/>
      <w:marRight w:val="0"/>
      <w:marTop w:val="0"/>
      <w:marBottom w:val="0"/>
      <w:divBdr>
        <w:top w:val="none" w:sz="0" w:space="0" w:color="auto"/>
        <w:left w:val="none" w:sz="0" w:space="0" w:color="auto"/>
        <w:bottom w:val="none" w:sz="0" w:space="0" w:color="auto"/>
        <w:right w:val="none" w:sz="0" w:space="0" w:color="auto"/>
      </w:divBdr>
    </w:div>
    <w:div w:id="518128456">
      <w:bodyDiv w:val="1"/>
      <w:marLeft w:val="0"/>
      <w:marRight w:val="0"/>
      <w:marTop w:val="0"/>
      <w:marBottom w:val="0"/>
      <w:divBdr>
        <w:top w:val="none" w:sz="0" w:space="0" w:color="auto"/>
        <w:left w:val="none" w:sz="0" w:space="0" w:color="auto"/>
        <w:bottom w:val="none" w:sz="0" w:space="0" w:color="auto"/>
        <w:right w:val="none" w:sz="0" w:space="0" w:color="auto"/>
      </w:divBdr>
    </w:div>
    <w:div w:id="523248118">
      <w:bodyDiv w:val="1"/>
      <w:marLeft w:val="0"/>
      <w:marRight w:val="0"/>
      <w:marTop w:val="0"/>
      <w:marBottom w:val="0"/>
      <w:divBdr>
        <w:top w:val="none" w:sz="0" w:space="0" w:color="auto"/>
        <w:left w:val="none" w:sz="0" w:space="0" w:color="auto"/>
        <w:bottom w:val="none" w:sz="0" w:space="0" w:color="auto"/>
        <w:right w:val="none" w:sz="0" w:space="0" w:color="auto"/>
      </w:divBdr>
    </w:div>
    <w:div w:id="531235801">
      <w:bodyDiv w:val="1"/>
      <w:marLeft w:val="0"/>
      <w:marRight w:val="0"/>
      <w:marTop w:val="0"/>
      <w:marBottom w:val="0"/>
      <w:divBdr>
        <w:top w:val="none" w:sz="0" w:space="0" w:color="auto"/>
        <w:left w:val="none" w:sz="0" w:space="0" w:color="auto"/>
        <w:bottom w:val="none" w:sz="0" w:space="0" w:color="auto"/>
        <w:right w:val="none" w:sz="0" w:space="0" w:color="auto"/>
      </w:divBdr>
    </w:div>
    <w:div w:id="540941490">
      <w:bodyDiv w:val="1"/>
      <w:marLeft w:val="0"/>
      <w:marRight w:val="0"/>
      <w:marTop w:val="0"/>
      <w:marBottom w:val="0"/>
      <w:divBdr>
        <w:top w:val="none" w:sz="0" w:space="0" w:color="auto"/>
        <w:left w:val="none" w:sz="0" w:space="0" w:color="auto"/>
        <w:bottom w:val="none" w:sz="0" w:space="0" w:color="auto"/>
        <w:right w:val="none" w:sz="0" w:space="0" w:color="auto"/>
      </w:divBdr>
    </w:div>
    <w:div w:id="580411590">
      <w:bodyDiv w:val="1"/>
      <w:marLeft w:val="0"/>
      <w:marRight w:val="0"/>
      <w:marTop w:val="0"/>
      <w:marBottom w:val="0"/>
      <w:divBdr>
        <w:top w:val="none" w:sz="0" w:space="0" w:color="auto"/>
        <w:left w:val="none" w:sz="0" w:space="0" w:color="auto"/>
        <w:bottom w:val="none" w:sz="0" w:space="0" w:color="auto"/>
        <w:right w:val="none" w:sz="0" w:space="0" w:color="auto"/>
      </w:divBdr>
    </w:div>
    <w:div w:id="608664747">
      <w:bodyDiv w:val="1"/>
      <w:marLeft w:val="0"/>
      <w:marRight w:val="0"/>
      <w:marTop w:val="0"/>
      <w:marBottom w:val="0"/>
      <w:divBdr>
        <w:top w:val="none" w:sz="0" w:space="0" w:color="auto"/>
        <w:left w:val="none" w:sz="0" w:space="0" w:color="auto"/>
        <w:bottom w:val="none" w:sz="0" w:space="0" w:color="auto"/>
        <w:right w:val="none" w:sz="0" w:space="0" w:color="auto"/>
      </w:divBdr>
    </w:div>
    <w:div w:id="625695637">
      <w:bodyDiv w:val="1"/>
      <w:marLeft w:val="0"/>
      <w:marRight w:val="0"/>
      <w:marTop w:val="0"/>
      <w:marBottom w:val="0"/>
      <w:divBdr>
        <w:top w:val="none" w:sz="0" w:space="0" w:color="auto"/>
        <w:left w:val="none" w:sz="0" w:space="0" w:color="auto"/>
        <w:bottom w:val="none" w:sz="0" w:space="0" w:color="auto"/>
        <w:right w:val="none" w:sz="0" w:space="0" w:color="auto"/>
      </w:divBdr>
    </w:div>
    <w:div w:id="705327523">
      <w:bodyDiv w:val="1"/>
      <w:marLeft w:val="0"/>
      <w:marRight w:val="0"/>
      <w:marTop w:val="0"/>
      <w:marBottom w:val="0"/>
      <w:divBdr>
        <w:top w:val="none" w:sz="0" w:space="0" w:color="auto"/>
        <w:left w:val="none" w:sz="0" w:space="0" w:color="auto"/>
        <w:bottom w:val="none" w:sz="0" w:space="0" w:color="auto"/>
        <w:right w:val="none" w:sz="0" w:space="0" w:color="auto"/>
      </w:divBdr>
    </w:div>
    <w:div w:id="707074532">
      <w:bodyDiv w:val="1"/>
      <w:marLeft w:val="0"/>
      <w:marRight w:val="0"/>
      <w:marTop w:val="0"/>
      <w:marBottom w:val="0"/>
      <w:divBdr>
        <w:top w:val="none" w:sz="0" w:space="0" w:color="auto"/>
        <w:left w:val="none" w:sz="0" w:space="0" w:color="auto"/>
        <w:bottom w:val="none" w:sz="0" w:space="0" w:color="auto"/>
        <w:right w:val="none" w:sz="0" w:space="0" w:color="auto"/>
      </w:divBdr>
    </w:div>
    <w:div w:id="711810539">
      <w:bodyDiv w:val="1"/>
      <w:marLeft w:val="0"/>
      <w:marRight w:val="0"/>
      <w:marTop w:val="0"/>
      <w:marBottom w:val="0"/>
      <w:divBdr>
        <w:top w:val="none" w:sz="0" w:space="0" w:color="auto"/>
        <w:left w:val="none" w:sz="0" w:space="0" w:color="auto"/>
        <w:bottom w:val="none" w:sz="0" w:space="0" w:color="auto"/>
        <w:right w:val="none" w:sz="0" w:space="0" w:color="auto"/>
      </w:divBdr>
    </w:div>
    <w:div w:id="723455873">
      <w:bodyDiv w:val="1"/>
      <w:marLeft w:val="0"/>
      <w:marRight w:val="0"/>
      <w:marTop w:val="0"/>
      <w:marBottom w:val="0"/>
      <w:divBdr>
        <w:top w:val="none" w:sz="0" w:space="0" w:color="auto"/>
        <w:left w:val="none" w:sz="0" w:space="0" w:color="auto"/>
        <w:bottom w:val="none" w:sz="0" w:space="0" w:color="auto"/>
        <w:right w:val="none" w:sz="0" w:space="0" w:color="auto"/>
      </w:divBdr>
    </w:div>
    <w:div w:id="748692310">
      <w:bodyDiv w:val="1"/>
      <w:marLeft w:val="0"/>
      <w:marRight w:val="0"/>
      <w:marTop w:val="0"/>
      <w:marBottom w:val="0"/>
      <w:divBdr>
        <w:top w:val="none" w:sz="0" w:space="0" w:color="auto"/>
        <w:left w:val="none" w:sz="0" w:space="0" w:color="auto"/>
        <w:bottom w:val="none" w:sz="0" w:space="0" w:color="auto"/>
        <w:right w:val="none" w:sz="0" w:space="0" w:color="auto"/>
      </w:divBdr>
      <w:divsChild>
        <w:div w:id="962615552">
          <w:marLeft w:val="0"/>
          <w:marRight w:val="0"/>
          <w:marTop w:val="0"/>
          <w:marBottom w:val="0"/>
          <w:divBdr>
            <w:top w:val="none" w:sz="0" w:space="0" w:color="auto"/>
            <w:left w:val="none" w:sz="0" w:space="0" w:color="auto"/>
            <w:bottom w:val="none" w:sz="0" w:space="0" w:color="auto"/>
            <w:right w:val="none" w:sz="0" w:space="0" w:color="auto"/>
          </w:divBdr>
        </w:div>
        <w:div w:id="1889802871">
          <w:marLeft w:val="0"/>
          <w:marRight w:val="0"/>
          <w:marTop w:val="0"/>
          <w:marBottom w:val="0"/>
          <w:divBdr>
            <w:top w:val="none" w:sz="0" w:space="0" w:color="auto"/>
            <w:left w:val="none" w:sz="0" w:space="0" w:color="auto"/>
            <w:bottom w:val="none" w:sz="0" w:space="0" w:color="auto"/>
            <w:right w:val="none" w:sz="0" w:space="0" w:color="auto"/>
          </w:divBdr>
        </w:div>
        <w:div w:id="1758556004">
          <w:marLeft w:val="0"/>
          <w:marRight w:val="0"/>
          <w:marTop w:val="0"/>
          <w:marBottom w:val="0"/>
          <w:divBdr>
            <w:top w:val="none" w:sz="0" w:space="0" w:color="auto"/>
            <w:left w:val="none" w:sz="0" w:space="0" w:color="auto"/>
            <w:bottom w:val="none" w:sz="0" w:space="0" w:color="auto"/>
            <w:right w:val="none" w:sz="0" w:space="0" w:color="auto"/>
          </w:divBdr>
        </w:div>
        <w:div w:id="1716853528">
          <w:marLeft w:val="0"/>
          <w:marRight w:val="0"/>
          <w:marTop w:val="0"/>
          <w:marBottom w:val="0"/>
          <w:divBdr>
            <w:top w:val="none" w:sz="0" w:space="0" w:color="auto"/>
            <w:left w:val="none" w:sz="0" w:space="0" w:color="auto"/>
            <w:bottom w:val="none" w:sz="0" w:space="0" w:color="auto"/>
            <w:right w:val="none" w:sz="0" w:space="0" w:color="auto"/>
          </w:divBdr>
        </w:div>
        <w:div w:id="1938053648">
          <w:marLeft w:val="0"/>
          <w:marRight w:val="0"/>
          <w:marTop w:val="0"/>
          <w:marBottom w:val="0"/>
          <w:divBdr>
            <w:top w:val="none" w:sz="0" w:space="0" w:color="auto"/>
            <w:left w:val="none" w:sz="0" w:space="0" w:color="auto"/>
            <w:bottom w:val="none" w:sz="0" w:space="0" w:color="auto"/>
            <w:right w:val="none" w:sz="0" w:space="0" w:color="auto"/>
          </w:divBdr>
        </w:div>
      </w:divsChild>
    </w:div>
    <w:div w:id="790780253">
      <w:bodyDiv w:val="1"/>
      <w:marLeft w:val="0"/>
      <w:marRight w:val="0"/>
      <w:marTop w:val="0"/>
      <w:marBottom w:val="0"/>
      <w:divBdr>
        <w:top w:val="none" w:sz="0" w:space="0" w:color="auto"/>
        <w:left w:val="none" w:sz="0" w:space="0" w:color="auto"/>
        <w:bottom w:val="none" w:sz="0" w:space="0" w:color="auto"/>
        <w:right w:val="none" w:sz="0" w:space="0" w:color="auto"/>
      </w:divBdr>
    </w:div>
    <w:div w:id="814025127">
      <w:bodyDiv w:val="1"/>
      <w:marLeft w:val="0"/>
      <w:marRight w:val="0"/>
      <w:marTop w:val="0"/>
      <w:marBottom w:val="0"/>
      <w:divBdr>
        <w:top w:val="none" w:sz="0" w:space="0" w:color="auto"/>
        <w:left w:val="none" w:sz="0" w:space="0" w:color="auto"/>
        <w:bottom w:val="none" w:sz="0" w:space="0" w:color="auto"/>
        <w:right w:val="none" w:sz="0" w:space="0" w:color="auto"/>
      </w:divBdr>
    </w:div>
    <w:div w:id="824586602">
      <w:bodyDiv w:val="1"/>
      <w:marLeft w:val="0"/>
      <w:marRight w:val="0"/>
      <w:marTop w:val="0"/>
      <w:marBottom w:val="0"/>
      <w:divBdr>
        <w:top w:val="none" w:sz="0" w:space="0" w:color="auto"/>
        <w:left w:val="none" w:sz="0" w:space="0" w:color="auto"/>
        <w:bottom w:val="none" w:sz="0" w:space="0" w:color="auto"/>
        <w:right w:val="none" w:sz="0" w:space="0" w:color="auto"/>
      </w:divBdr>
    </w:div>
    <w:div w:id="846091687">
      <w:bodyDiv w:val="1"/>
      <w:marLeft w:val="0"/>
      <w:marRight w:val="0"/>
      <w:marTop w:val="0"/>
      <w:marBottom w:val="0"/>
      <w:divBdr>
        <w:top w:val="none" w:sz="0" w:space="0" w:color="auto"/>
        <w:left w:val="none" w:sz="0" w:space="0" w:color="auto"/>
        <w:bottom w:val="none" w:sz="0" w:space="0" w:color="auto"/>
        <w:right w:val="none" w:sz="0" w:space="0" w:color="auto"/>
      </w:divBdr>
    </w:div>
    <w:div w:id="904414163">
      <w:bodyDiv w:val="1"/>
      <w:marLeft w:val="0"/>
      <w:marRight w:val="0"/>
      <w:marTop w:val="0"/>
      <w:marBottom w:val="0"/>
      <w:divBdr>
        <w:top w:val="none" w:sz="0" w:space="0" w:color="auto"/>
        <w:left w:val="none" w:sz="0" w:space="0" w:color="auto"/>
        <w:bottom w:val="none" w:sz="0" w:space="0" w:color="auto"/>
        <w:right w:val="none" w:sz="0" w:space="0" w:color="auto"/>
      </w:divBdr>
      <w:divsChild>
        <w:div w:id="859661161">
          <w:marLeft w:val="0"/>
          <w:marRight w:val="0"/>
          <w:marTop w:val="0"/>
          <w:marBottom w:val="0"/>
          <w:divBdr>
            <w:top w:val="none" w:sz="0" w:space="0" w:color="auto"/>
            <w:left w:val="none" w:sz="0" w:space="0" w:color="auto"/>
            <w:bottom w:val="none" w:sz="0" w:space="0" w:color="auto"/>
            <w:right w:val="none" w:sz="0" w:space="0" w:color="auto"/>
          </w:divBdr>
        </w:div>
        <w:div w:id="1218399596">
          <w:marLeft w:val="0"/>
          <w:marRight w:val="0"/>
          <w:marTop w:val="0"/>
          <w:marBottom w:val="0"/>
          <w:divBdr>
            <w:top w:val="none" w:sz="0" w:space="0" w:color="auto"/>
            <w:left w:val="none" w:sz="0" w:space="0" w:color="auto"/>
            <w:bottom w:val="none" w:sz="0" w:space="0" w:color="auto"/>
            <w:right w:val="none" w:sz="0" w:space="0" w:color="auto"/>
          </w:divBdr>
        </w:div>
      </w:divsChild>
    </w:div>
    <w:div w:id="966012274">
      <w:bodyDiv w:val="1"/>
      <w:marLeft w:val="0"/>
      <w:marRight w:val="0"/>
      <w:marTop w:val="0"/>
      <w:marBottom w:val="0"/>
      <w:divBdr>
        <w:top w:val="none" w:sz="0" w:space="0" w:color="auto"/>
        <w:left w:val="none" w:sz="0" w:space="0" w:color="auto"/>
        <w:bottom w:val="none" w:sz="0" w:space="0" w:color="auto"/>
        <w:right w:val="none" w:sz="0" w:space="0" w:color="auto"/>
      </w:divBdr>
    </w:div>
    <w:div w:id="967976767">
      <w:bodyDiv w:val="1"/>
      <w:marLeft w:val="0"/>
      <w:marRight w:val="0"/>
      <w:marTop w:val="0"/>
      <w:marBottom w:val="0"/>
      <w:divBdr>
        <w:top w:val="none" w:sz="0" w:space="0" w:color="auto"/>
        <w:left w:val="none" w:sz="0" w:space="0" w:color="auto"/>
        <w:bottom w:val="none" w:sz="0" w:space="0" w:color="auto"/>
        <w:right w:val="none" w:sz="0" w:space="0" w:color="auto"/>
      </w:divBdr>
    </w:div>
    <w:div w:id="981807327">
      <w:bodyDiv w:val="1"/>
      <w:marLeft w:val="0"/>
      <w:marRight w:val="0"/>
      <w:marTop w:val="0"/>
      <w:marBottom w:val="0"/>
      <w:divBdr>
        <w:top w:val="none" w:sz="0" w:space="0" w:color="auto"/>
        <w:left w:val="none" w:sz="0" w:space="0" w:color="auto"/>
        <w:bottom w:val="none" w:sz="0" w:space="0" w:color="auto"/>
        <w:right w:val="none" w:sz="0" w:space="0" w:color="auto"/>
      </w:divBdr>
      <w:divsChild>
        <w:div w:id="1900432819">
          <w:marLeft w:val="0"/>
          <w:marRight w:val="0"/>
          <w:marTop w:val="0"/>
          <w:marBottom w:val="0"/>
          <w:divBdr>
            <w:top w:val="none" w:sz="0" w:space="0" w:color="auto"/>
            <w:left w:val="none" w:sz="0" w:space="0" w:color="auto"/>
            <w:bottom w:val="none" w:sz="0" w:space="0" w:color="auto"/>
            <w:right w:val="none" w:sz="0" w:space="0" w:color="auto"/>
          </w:divBdr>
        </w:div>
        <w:div w:id="1663465054">
          <w:marLeft w:val="0"/>
          <w:marRight w:val="0"/>
          <w:marTop w:val="0"/>
          <w:marBottom w:val="0"/>
          <w:divBdr>
            <w:top w:val="none" w:sz="0" w:space="0" w:color="auto"/>
            <w:left w:val="none" w:sz="0" w:space="0" w:color="auto"/>
            <w:bottom w:val="none" w:sz="0" w:space="0" w:color="auto"/>
            <w:right w:val="none" w:sz="0" w:space="0" w:color="auto"/>
          </w:divBdr>
        </w:div>
        <w:div w:id="378284406">
          <w:marLeft w:val="0"/>
          <w:marRight w:val="0"/>
          <w:marTop w:val="0"/>
          <w:marBottom w:val="0"/>
          <w:divBdr>
            <w:top w:val="none" w:sz="0" w:space="0" w:color="auto"/>
            <w:left w:val="none" w:sz="0" w:space="0" w:color="auto"/>
            <w:bottom w:val="none" w:sz="0" w:space="0" w:color="auto"/>
            <w:right w:val="none" w:sz="0" w:space="0" w:color="auto"/>
          </w:divBdr>
        </w:div>
        <w:div w:id="977875483">
          <w:marLeft w:val="0"/>
          <w:marRight w:val="0"/>
          <w:marTop w:val="0"/>
          <w:marBottom w:val="0"/>
          <w:divBdr>
            <w:top w:val="none" w:sz="0" w:space="0" w:color="auto"/>
            <w:left w:val="none" w:sz="0" w:space="0" w:color="auto"/>
            <w:bottom w:val="none" w:sz="0" w:space="0" w:color="auto"/>
            <w:right w:val="none" w:sz="0" w:space="0" w:color="auto"/>
          </w:divBdr>
        </w:div>
      </w:divsChild>
    </w:div>
    <w:div w:id="986130825">
      <w:bodyDiv w:val="1"/>
      <w:marLeft w:val="0"/>
      <w:marRight w:val="0"/>
      <w:marTop w:val="0"/>
      <w:marBottom w:val="0"/>
      <w:divBdr>
        <w:top w:val="none" w:sz="0" w:space="0" w:color="auto"/>
        <w:left w:val="none" w:sz="0" w:space="0" w:color="auto"/>
        <w:bottom w:val="none" w:sz="0" w:space="0" w:color="auto"/>
        <w:right w:val="none" w:sz="0" w:space="0" w:color="auto"/>
      </w:divBdr>
    </w:div>
    <w:div w:id="995112366">
      <w:bodyDiv w:val="1"/>
      <w:marLeft w:val="0"/>
      <w:marRight w:val="0"/>
      <w:marTop w:val="0"/>
      <w:marBottom w:val="0"/>
      <w:divBdr>
        <w:top w:val="none" w:sz="0" w:space="0" w:color="auto"/>
        <w:left w:val="none" w:sz="0" w:space="0" w:color="auto"/>
        <w:bottom w:val="none" w:sz="0" w:space="0" w:color="auto"/>
        <w:right w:val="none" w:sz="0" w:space="0" w:color="auto"/>
      </w:divBdr>
    </w:div>
    <w:div w:id="1074820165">
      <w:bodyDiv w:val="1"/>
      <w:marLeft w:val="0"/>
      <w:marRight w:val="0"/>
      <w:marTop w:val="0"/>
      <w:marBottom w:val="0"/>
      <w:divBdr>
        <w:top w:val="none" w:sz="0" w:space="0" w:color="auto"/>
        <w:left w:val="none" w:sz="0" w:space="0" w:color="auto"/>
        <w:bottom w:val="none" w:sz="0" w:space="0" w:color="auto"/>
        <w:right w:val="none" w:sz="0" w:space="0" w:color="auto"/>
      </w:divBdr>
    </w:div>
    <w:div w:id="1131361470">
      <w:bodyDiv w:val="1"/>
      <w:marLeft w:val="0"/>
      <w:marRight w:val="0"/>
      <w:marTop w:val="0"/>
      <w:marBottom w:val="0"/>
      <w:divBdr>
        <w:top w:val="none" w:sz="0" w:space="0" w:color="auto"/>
        <w:left w:val="none" w:sz="0" w:space="0" w:color="auto"/>
        <w:bottom w:val="none" w:sz="0" w:space="0" w:color="auto"/>
        <w:right w:val="none" w:sz="0" w:space="0" w:color="auto"/>
      </w:divBdr>
    </w:div>
    <w:div w:id="1171143390">
      <w:bodyDiv w:val="1"/>
      <w:marLeft w:val="0"/>
      <w:marRight w:val="0"/>
      <w:marTop w:val="0"/>
      <w:marBottom w:val="0"/>
      <w:divBdr>
        <w:top w:val="none" w:sz="0" w:space="0" w:color="auto"/>
        <w:left w:val="none" w:sz="0" w:space="0" w:color="auto"/>
        <w:bottom w:val="none" w:sz="0" w:space="0" w:color="auto"/>
        <w:right w:val="none" w:sz="0" w:space="0" w:color="auto"/>
      </w:divBdr>
    </w:div>
    <w:div w:id="1177302664">
      <w:bodyDiv w:val="1"/>
      <w:marLeft w:val="0"/>
      <w:marRight w:val="0"/>
      <w:marTop w:val="0"/>
      <w:marBottom w:val="0"/>
      <w:divBdr>
        <w:top w:val="none" w:sz="0" w:space="0" w:color="auto"/>
        <w:left w:val="none" w:sz="0" w:space="0" w:color="auto"/>
        <w:bottom w:val="none" w:sz="0" w:space="0" w:color="auto"/>
        <w:right w:val="none" w:sz="0" w:space="0" w:color="auto"/>
      </w:divBdr>
    </w:div>
    <w:div w:id="1198201947">
      <w:bodyDiv w:val="1"/>
      <w:marLeft w:val="0"/>
      <w:marRight w:val="0"/>
      <w:marTop w:val="0"/>
      <w:marBottom w:val="0"/>
      <w:divBdr>
        <w:top w:val="none" w:sz="0" w:space="0" w:color="auto"/>
        <w:left w:val="none" w:sz="0" w:space="0" w:color="auto"/>
        <w:bottom w:val="none" w:sz="0" w:space="0" w:color="auto"/>
        <w:right w:val="none" w:sz="0" w:space="0" w:color="auto"/>
      </w:divBdr>
      <w:divsChild>
        <w:div w:id="1076050479">
          <w:marLeft w:val="0"/>
          <w:marRight w:val="0"/>
          <w:marTop w:val="0"/>
          <w:marBottom w:val="0"/>
          <w:divBdr>
            <w:top w:val="none" w:sz="0" w:space="0" w:color="auto"/>
            <w:left w:val="none" w:sz="0" w:space="0" w:color="auto"/>
            <w:bottom w:val="none" w:sz="0" w:space="0" w:color="auto"/>
            <w:right w:val="none" w:sz="0" w:space="0" w:color="auto"/>
          </w:divBdr>
          <w:divsChild>
            <w:div w:id="1335886166">
              <w:marLeft w:val="0"/>
              <w:marRight w:val="0"/>
              <w:marTop w:val="0"/>
              <w:marBottom w:val="0"/>
              <w:divBdr>
                <w:top w:val="none" w:sz="0" w:space="0" w:color="auto"/>
                <w:left w:val="none" w:sz="0" w:space="0" w:color="auto"/>
                <w:bottom w:val="none" w:sz="0" w:space="0" w:color="auto"/>
                <w:right w:val="none" w:sz="0" w:space="0" w:color="auto"/>
              </w:divBdr>
              <w:divsChild>
                <w:div w:id="44192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069199">
      <w:bodyDiv w:val="1"/>
      <w:marLeft w:val="0"/>
      <w:marRight w:val="0"/>
      <w:marTop w:val="0"/>
      <w:marBottom w:val="0"/>
      <w:divBdr>
        <w:top w:val="none" w:sz="0" w:space="0" w:color="auto"/>
        <w:left w:val="none" w:sz="0" w:space="0" w:color="auto"/>
        <w:bottom w:val="none" w:sz="0" w:space="0" w:color="auto"/>
        <w:right w:val="none" w:sz="0" w:space="0" w:color="auto"/>
      </w:divBdr>
    </w:div>
    <w:div w:id="1234662925">
      <w:bodyDiv w:val="1"/>
      <w:marLeft w:val="0"/>
      <w:marRight w:val="0"/>
      <w:marTop w:val="0"/>
      <w:marBottom w:val="0"/>
      <w:divBdr>
        <w:top w:val="none" w:sz="0" w:space="0" w:color="auto"/>
        <w:left w:val="none" w:sz="0" w:space="0" w:color="auto"/>
        <w:bottom w:val="none" w:sz="0" w:space="0" w:color="auto"/>
        <w:right w:val="none" w:sz="0" w:space="0" w:color="auto"/>
      </w:divBdr>
    </w:div>
    <w:div w:id="1239747577">
      <w:bodyDiv w:val="1"/>
      <w:marLeft w:val="0"/>
      <w:marRight w:val="0"/>
      <w:marTop w:val="0"/>
      <w:marBottom w:val="0"/>
      <w:divBdr>
        <w:top w:val="none" w:sz="0" w:space="0" w:color="auto"/>
        <w:left w:val="none" w:sz="0" w:space="0" w:color="auto"/>
        <w:bottom w:val="none" w:sz="0" w:space="0" w:color="auto"/>
        <w:right w:val="none" w:sz="0" w:space="0" w:color="auto"/>
      </w:divBdr>
    </w:div>
    <w:div w:id="1247494794">
      <w:bodyDiv w:val="1"/>
      <w:marLeft w:val="0"/>
      <w:marRight w:val="0"/>
      <w:marTop w:val="0"/>
      <w:marBottom w:val="0"/>
      <w:divBdr>
        <w:top w:val="none" w:sz="0" w:space="0" w:color="auto"/>
        <w:left w:val="none" w:sz="0" w:space="0" w:color="auto"/>
        <w:bottom w:val="none" w:sz="0" w:space="0" w:color="auto"/>
        <w:right w:val="none" w:sz="0" w:space="0" w:color="auto"/>
      </w:divBdr>
    </w:div>
    <w:div w:id="1260026095">
      <w:bodyDiv w:val="1"/>
      <w:marLeft w:val="0"/>
      <w:marRight w:val="0"/>
      <w:marTop w:val="0"/>
      <w:marBottom w:val="0"/>
      <w:divBdr>
        <w:top w:val="none" w:sz="0" w:space="0" w:color="auto"/>
        <w:left w:val="none" w:sz="0" w:space="0" w:color="auto"/>
        <w:bottom w:val="none" w:sz="0" w:space="0" w:color="auto"/>
        <w:right w:val="none" w:sz="0" w:space="0" w:color="auto"/>
      </w:divBdr>
    </w:div>
    <w:div w:id="1272662210">
      <w:bodyDiv w:val="1"/>
      <w:marLeft w:val="0"/>
      <w:marRight w:val="0"/>
      <w:marTop w:val="0"/>
      <w:marBottom w:val="0"/>
      <w:divBdr>
        <w:top w:val="none" w:sz="0" w:space="0" w:color="auto"/>
        <w:left w:val="none" w:sz="0" w:space="0" w:color="auto"/>
        <w:bottom w:val="none" w:sz="0" w:space="0" w:color="auto"/>
        <w:right w:val="none" w:sz="0" w:space="0" w:color="auto"/>
      </w:divBdr>
    </w:div>
    <w:div w:id="1273395663">
      <w:bodyDiv w:val="1"/>
      <w:marLeft w:val="0"/>
      <w:marRight w:val="0"/>
      <w:marTop w:val="0"/>
      <w:marBottom w:val="0"/>
      <w:divBdr>
        <w:top w:val="none" w:sz="0" w:space="0" w:color="auto"/>
        <w:left w:val="none" w:sz="0" w:space="0" w:color="auto"/>
        <w:bottom w:val="none" w:sz="0" w:space="0" w:color="auto"/>
        <w:right w:val="none" w:sz="0" w:space="0" w:color="auto"/>
      </w:divBdr>
      <w:divsChild>
        <w:div w:id="1251357098">
          <w:marLeft w:val="0"/>
          <w:marRight w:val="0"/>
          <w:marTop w:val="0"/>
          <w:marBottom w:val="0"/>
          <w:divBdr>
            <w:top w:val="none" w:sz="0" w:space="0" w:color="auto"/>
            <w:left w:val="none" w:sz="0" w:space="0" w:color="auto"/>
            <w:bottom w:val="none" w:sz="0" w:space="0" w:color="auto"/>
            <w:right w:val="none" w:sz="0" w:space="0" w:color="auto"/>
          </w:divBdr>
        </w:div>
        <w:div w:id="1514879469">
          <w:marLeft w:val="0"/>
          <w:marRight w:val="0"/>
          <w:marTop w:val="0"/>
          <w:marBottom w:val="0"/>
          <w:divBdr>
            <w:top w:val="none" w:sz="0" w:space="0" w:color="auto"/>
            <w:left w:val="none" w:sz="0" w:space="0" w:color="auto"/>
            <w:bottom w:val="none" w:sz="0" w:space="0" w:color="auto"/>
            <w:right w:val="none" w:sz="0" w:space="0" w:color="auto"/>
          </w:divBdr>
        </w:div>
      </w:divsChild>
    </w:div>
    <w:div w:id="1314723480">
      <w:bodyDiv w:val="1"/>
      <w:marLeft w:val="0"/>
      <w:marRight w:val="0"/>
      <w:marTop w:val="0"/>
      <w:marBottom w:val="0"/>
      <w:divBdr>
        <w:top w:val="none" w:sz="0" w:space="0" w:color="auto"/>
        <w:left w:val="none" w:sz="0" w:space="0" w:color="auto"/>
        <w:bottom w:val="none" w:sz="0" w:space="0" w:color="auto"/>
        <w:right w:val="none" w:sz="0" w:space="0" w:color="auto"/>
      </w:divBdr>
    </w:div>
    <w:div w:id="1326593452">
      <w:bodyDiv w:val="1"/>
      <w:marLeft w:val="0"/>
      <w:marRight w:val="0"/>
      <w:marTop w:val="0"/>
      <w:marBottom w:val="0"/>
      <w:divBdr>
        <w:top w:val="none" w:sz="0" w:space="0" w:color="auto"/>
        <w:left w:val="none" w:sz="0" w:space="0" w:color="auto"/>
        <w:bottom w:val="none" w:sz="0" w:space="0" w:color="auto"/>
        <w:right w:val="none" w:sz="0" w:space="0" w:color="auto"/>
      </w:divBdr>
    </w:div>
    <w:div w:id="1336151447">
      <w:bodyDiv w:val="1"/>
      <w:marLeft w:val="0"/>
      <w:marRight w:val="0"/>
      <w:marTop w:val="0"/>
      <w:marBottom w:val="0"/>
      <w:divBdr>
        <w:top w:val="none" w:sz="0" w:space="0" w:color="auto"/>
        <w:left w:val="none" w:sz="0" w:space="0" w:color="auto"/>
        <w:bottom w:val="none" w:sz="0" w:space="0" w:color="auto"/>
        <w:right w:val="none" w:sz="0" w:space="0" w:color="auto"/>
      </w:divBdr>
    </w:div>
    <w:div w:id="1374231254">
      <w:bodyDiv w:val="1"/>
      <w:marLeft w:val="0"/>
      <w:marRight w:val="0"/>
      <w:marTop w:val="0"/>
      <w:marBottom w:val="0"/>
      <w:divBdr>
        <w:top w:val="none" w:sz="0" w:space="0" w:color="auto"/>
        <w:left w:val="none" w:sz="0" w:space="0" w:color="auto"/>
        <w:bottom w:val="none" w:sz="0" w:space="0" w:color="auto"/>
        <w:right w:val="none" w:sz="0" w:space="0" w:color="auto"/>
      </w:divBdr>
    </w:div>
    <w:div w:id="1375810937">
      <w:bodyDiv w:val="1"/>
      <w:marLeft w:val="0"/>
      <w:marRight w:val="0"/>
      <w:marTop w:val="0"/>
      <w:marBottom w:val="0"/>
      <w:divBdr>
        <w:top w:val="none" w:sz="0" w:space="0" w:color="auto"/>
        <w:left w:val="none" w:sz="0" w:space="0" w:color="auto"/>
        <w:bottom w:val="none" w:sz="0" w:space="0" w:color="auto"/>
        <w:right w:val="none" w:sz="0" w:space="0" w:color="auto"/>
      </w:divBdr>
    </w:div>
    <w:div w:id="1377924333">
      <w:bodyDiv w:val="1"/>
      <w:marLeft w:val="0"/>
      <w:marRight w:val="0"/>
      <w:marTop w:val="0"/>
      <w:marBottom w:val="0"/>
      <w:divBdr>
        <w:top w:val="none" w:sz="0" w:space="0" w:color="auto"/>
        <w:left w:val="none" w:sz="0" w:space="0" w:color="auto"/>
        <w:bottom w:val="none" w:sz="0" w:space="0" w:color="auto"/>
        <w:right w:val="none" w:sz="0" w:space="0" w:color="auto"/>
      </w:divBdr>
    </w:div>
    <w:div w:id="1388919684">
      <w:bodyDiv w:val="1"/>
      <w:marLeft w:val="0"/>
      <w:marRight w:val="0"/>
      <w:marTop w:val="0"/>
      <w:marBottom w:val="0"/>
      <w:divBdr>
        <w:top w:val="none" w:sz="0" w:space="0" w:color="auto"/>
        <w:left w:val="none" w:sz="0" w:space="0" w:color="auto"/>
        <w:bottom w:val="none" w:sz="0" w:space="0" w:color="auto"/>
        <w:right w:val="none" w:sz="0" w:space="0" w:color="auto"/>
      </w:divBdr>
    </w:div>
    <w:div w:id="1391492681">
      <w:bodyDiv w:val="1"/>
      <w:marLeft w:val="0"/>
      <w:marRight w:val="0"/>
      <w:marTop w:val="0"/>
      <w:marBottom w:val="0"/>
      <w:divBdr>
        <w:top w:val="none" w:sz="0" w:space="0" w:color="auto"/>
        <w:left w:val="none" w:sz="0" w:space="0" w:color="auto"/>
        <w:bottom w:val="none" w:sz="0" w:space="0" w:color="auto"/>
        <w:right w:val="none" w:sz="0" w:space="0" w:color="auto"/>
      </w:divBdr>
    </w:div>
    <w:div w:id="1407261558">
      <w:bodyDiv w:val="1"/>
      <w:marLeft w:val="0"/>
      <w:marRight w:val="0"/>
      <w:marTop w:val="0"/>
      <w:marBottom w:val="0"/>
      <w:divBdr>
        <w:top w:val="none" w:sz="0" w:space="0" w:color="auto"/>
        <w:left w:val="none" w:sz="0" w:space="0" w:color="auto"/>
        <w:bottom w:val="none" w:sz="0" w:space="0" w:color="auto"/>
        <w:right w:val="none" w:sz="0" w:space="0" w:color="auto"/>
      </w:divBdr>
    </w:div>
    <w:div w:id="1442799921">
      <w:bodyDiv w:val="1"/>
      <w:marLeft w:val="0"/>
      <w:marRight w:val="0"/>
      <w:marTop w:val="0"/>
      <w:marBottom w:val="0"/>
      <w:divBdr>
        <w:top w:val="none" w:sz="0" w:space="0" w:color="auto"/>
        <w:left w:val="none" w:sz="0" w:space="0" w:color="auto"/>
        <w:bottom w:val="none" w:sz="0" w:space="0" w:color="auto"/>
        <w:right w:val="none" w:sz="0" w:space="0" w:color="auto"/>
      </w:divBdr>
    </w:div>
    <w:div w:id="1508708719">
      <w:bodyDiv w:val="1"/>
      <w:marLeft w:val="0"/>
      <w:marRight w:val="0"/>
      <w:marTop w:val="0"/>
      <w:marBottom w:val="0"/>
      <w:divBdr>
        <w:top w:val="none" w:sz="0" w:space="0" w:color="auto"/>
        <w:left w:val="none" w:sz="0" w:space="0" w:color="auto"/>
        <w:bottom w:val="none" w:sz="0" w:space="0" w:color="auto"/>
        <w:right w:val="none" w:sz="0" w:space="0" w:color="auto"/>
      </w:divBdr>
    </w:div>
    <w:div w:id="1511870764">
      <w:bodyDiv w:val="1"/>
      <w:marLeft w:val="0"/>
      <w:marRight w:val="0"/>
      <w:marTop w:val="0"/>
      <w:marBottom w:val="0"/>
      <w:divBdr>
        <w:top w:val="none" w:sz="0" w:space="0" w:color="auto"/>
        <w:left w:val="none" w:sz="0" w:space="0" w:color="auto"/>
        <w:bottom w:val="none" w:sz="0" w:space="0" w:color="auto"/>
        <w:right w:val="none" w:sz="0" w:space="0" w:color="auto"/>
      </w:divBdr>
    </w:div>
    <w:div w:id="1559046857">
      <w:bodyDiv w:val="1"/>
      <w:marLeft w:val="0"/>
      <w:marRight w:val="0"/>
      <w:marTop w:val="0"/>
      <w:marBottom w:val="0"/>
      <w:divBdr>
        <w:top w:val="none" w:sz="0" w:space="0" w:color="auto"/>
        <w:left w:val="none" w:sz="0" w:space="0" w:color="auto"/>
        <w:bottom w:val="none" w:sz="0" w:space="0" w:color="auto"/>
        <w:right w:val="none" w:sz="0" w:space="0" w:color="auto"/>
      </w:divBdr>
    </w:div>
    <w:div w:id="1560172864">
      <w:bodyDiv w:val="1"/>
      <w:marLeft w:val="0"/>
      <w:marRight w:val="0"/>
      <w:marTop w:val="0"/>
      <w:marBottom w:val="0"/>
      <w:divBdr>
        <w:top w:val="none" w:sz="0" w:space="0" w:color="auto"/>
        <w:left w:val="none" w:sz="0" w:space="0" w:color="auto"/>
        <w:bottom w:val="none" w:sz="0" w:space="0" w:color="auto"/>
        <w:right w:val="none" w:sz="0" w:space="0" w:color="auto"/>
      </w:divBdr>
    </w:div>
    <w:div w:id="1567448753">
      <w:bodyDiv w:val="1"/>
      <w:marLeft w:val="0"/>
      <w:marRight w:val="0"/>
      <w:marTop w:val="0"/>
      <w:marBottom w:val="0"/>
      <w:divBdr>
        <w:top w:val="none" w:sz="0" w:space="0" w:color="auto"/>
        <w:left w:val="none" w:sz="0" w:space="0" w:color="auto"/>
        <w:bottom w:val="none" w:sz="0" w:space="0" w:color="auto"/>
        <w:right w:val="none" w:sz="0" w:space="0" w:color="auto"/>
      </w:divBdr>
    </w:div>
    <w:div w:id="1598246454">
      <w:bodyDiv w:val="1"/>
      <w:marLeft w:val="0"/>
      <w:marRight w:val="0"/>
      <w:marTop w:val="0"/>
      <w:marBottom w:val="0"/>
      <w:divBdr>
        <w:top w:val="none" w:sz="0" w:space="0" w:color="auto"/>
        <w:left w:val="none" w:sz="0" w:space="0" w:color="auto"/>
        <w:bottom w:val="none" w:sz="0" w:space="0" w:color="auto"/>
        <w:right w:val="none" w:sz="0" w:space="0" w:color="auto"/>
      </w:divBdr>
    </w:div>
    <w:div w:id="1629504987">
      <w:bodyDiv w:val="1"/>
      <w:marLeft w:val="0"/>
      <w:marRight w:val="0"/>
      <w:marTop w:val="0"/>
      <w:marBottom w:val="0"/>
      <w:divBdr>
        <w:top w:val="none" w:sz="0" w:space="0" w:color="auto"/>
        <w:left w:val="none" w:sz="0" w:space="0" w:color="auto"/>
        <w:bottom w:val="none" w:sz="0" w:space="0" w:color="auto"/>
        <w:right w:val="none" w:sz="0" w:space="0" w:color="auto"/>
      </w:divBdr>
    </w:div>
    <w:div w:id="1642996616">
      <w:bodyDiv w:val="1"/>
      <w:marLeft w:val="0"/>
      <w:marRight w:val="0"/>
      <w:marTop w:val="0"/>
      <w:marBottom w:val="0"/>
      <w:divBdr>
        <w:top w:val="none" w:sz="0" w:space="0" w:color="auto"/>
        <w:left w:val="none" w:sz="0" w:space="0" w:color="auto"/>
        <w:bottom w:val="none" w:sz="0" w:space="0" w:color="auto"/>
        <w:right w:val="none" w:sz="0" w:space="0" w:color="auto"/>
      </w:divBdr>
    </w:div>
    <w:div w:id="1660498701">
      <w:bodyDiv w:val="1"/>
      <w:marLeft w:val="0"/>
      <w:marRight w:val="0"/>
      <w:marTop w:val="0"/>
      <w:marBottom w:val="0"/>
      <w:divBdr>
        <w:top w:val="none" w:sz="0" w:space="0" w:color="auto"/>
        <w:left w:val="none" w:sz="0" w:space="0" w:color="auto"/>
        <w:bottom w:val="none" w:sz="0" w:space="0" w:color="auto"/>
        <w:right w:val="none" w:sz="0" w:space="0" w:color="auto"/>
      </w:divBdr>
    </w:div>
    <w:div w:id="1663195063">
      <w:bodyDiv w:val="1"/>
      <w:marLeft w:val="0"/>
      <w:marRight w:val="0"/>
      <w:marTop w:val="0"/>
      <w:marBottom w:val="0"/>
      <w:divBdr>
        <w:top w:val="none" w:sz="0" w:space="0" w:color="auto"/>
        <w:left w:val="none" w:sz="0" w:space="0" w:color="auto"/>
        <w:bottom w:val="none" w:sz="0" w:space="0" w:color="auto"/>
        <w:right w:val="none" w:sz="0" w:space="0" w:color="auto"/>
      </w:divBdr>
    </w:div>
    <w:div w:id="1698502077">
      <w:bodyDiv w:val="1"/>
      <w:marLeft w:val="0"/>
      <w:marRight w:val="0"/>
      <w:marTop w:val="0"/>
      <w:marBottom w:val="0"/>
      <w:divBdr>
        <w:top w:val="none" w:sz="0" w:space="0" w:color="auto"/>
        <w:left w:val="none" w:sz="0" w:space="0" w:color="auto"/>
        <w:bottom w:val="none" w:sz="0" w:space="0" w:color="auto"/>
        <w:right w:val="none" w:sz="0" w:space="0" w:color="auto"/>
      </w:divBdr>
    </w:div>
    <w:div w:id="1751653551">
      <w:bodyDiv w:val="1"/>
      <w:marLeft w:val="0"/>
      <w:marRight w:val="0"/>
      <w:marTop w:val="0"/>
      <w:marBottom w:val="0"/>
      <w:divBdr>
        <w:top w:val="none" w:sz="0" w:space="0" w:color="auto"/>
        <w:left w:val="none" w:sz="0" w:space="0" w:color="auto"/>
        <w:bottom w:val="none" w:sz="0" w:space="0" w:color="auto"/>
        <w:right w:val="none" w:sz="0" w:space="0" w:color="auto"/>
      </w:divBdr>
    </w:div>
    <w:div w:id="1775709067">
      <w:bodyDiv w:val="1"/>
      <w:marLeft w:val="0"/>
      <w:marRight w:val="0"/>
      <w:marTop w:val="0"/>
      <w:marBottom w:val="0"/>
      <w:divBdr>
        <w:top w:val="none" w:sz="0" w:space="0" w:color="auto"/>
        <w:left w:val="none" w:sz="0" w:space="0" w:color="auto"/>
        <w:bottom w:val="none" w:sz="0" w:space="0" w:color="auto"/>
        <w:right w:val="none" w:sz="0" w:space="0" w:color="auto"/>
      </w:divBdr>
    </w:div>
    <w:div w:id="1843623214">
      <w:bodyDiv w:val="1"/>
      <w:marLeft w:val="0"/>
      <w:marRight w:val="0"/>
      <w:marTop w:val="0"/>
      <w:marBottom w:val="0"/>
      <w:divBdr>
        <w:top w:val="none" w:sz="0" w:space="0" w:color="auto"/>
        <w:left w:val="none" w:sz="0" w:space="0" w:color="auto"/>
        <w:bottom w:val="none" w:sz="0" w:space="0" w:color="auto"/>
        <w:right w:val="none" w:sz="0" w:space="0" w:color="auto"/>
      </w:divBdr>
    </w:div>
    <w:div w:id="1856117661">
      <w:bodyDiv w:val="1"/>
      <w:marLeft w:val="0"/>
      <w:marRight w:val="0"/>
      <w:marTop w:val="0"/>
      <w:marBottom w:val="0"/>
      <w:divBdr>
        <w:top w:val="none" w:sz="0" w:space="0" w:color="auto"/>
        <w:left w:val="none" w:sz="0" w:space="0" w:color="auto"/>
        <w:bottom w:val="none" w:sz="0" w:space="0" w:color="auto"/>
        <w:right w:val="none" w:sz="0" w:space="0" w:color="auto"/>
      </w:divBdr>
    </w:div>
    <w:div w:id="1892419964">
      <w:bodyDiv w:val="1"/>
      <w:marLeft w:val="0"/>
      <w:marRight w:val="0"/>
      <w:marTop w:val="0"/>
      <w:marBottom w:val="0"/>
      <w:divBdr>
        <w:top w:val="none" w:sz="0" w:space="0" w:color="auto"/>
        <w:left w:val="none" w:sz="0" w:space="0" w:color="auto"/>
        <w:bottom w:val="none" w:sz="0" w:space="0" w:color="auto"/>
        <w:right w:val="none" w:sz="0" w:space="0" w:color="auto"/>
      </w:divBdr>
    </w:div>
    <w:div w:id="1900748530">
      <w:bodyDiv w:val="1"/>
      <w:marLeft w:val="0"/>
      <w:marRight w:val="0"/>
      <w:marTop w:val="0"/>
      <w:marBottom w:val="0"/>
      <w:divBdr>
        <w:top w:val="none" w:sz="0" w:space="0" w:color="auto"/>
        <w:left w:val="none" w:sz="0" w:space="0" w:color="auto"/>
        <w:bottom w:val="none" w:sz="0" w:space="0" w:color="auto"/>
        <w:right w:val="none" w:sz="0" w:space="0" w:color="auto"/>
      </w:divBdr>
    </w:div>
    <w:div w:id="1928273452">
      <w:bodyDiv w:val="1"/>
      <w:marLeft w:val="0"/>
      <w:marRight w:val="0"/>
      <w:marTop w:val="0"/>
      <w:marBottom w:val="0"/>
      <w:divBdr>
        <w:top w:val="none" w:sz="0" w:space="0" w:color="auto"/>
        <w:left w:val="none" w:sz="0" w:space="0" w:color="auto"/>
        <w:bottom w:val="none" w:sz="0" w:space="0" w:color="auto"/>
        <w:right w:val="none" w:sz="0" w:space="0" w:color="auto"/>
      </w:divBdr>
    </w:div>
    <w:div w:id="2072993901">
      <w:bodyDiv w:val="1"/>
      <w:marLeft w:val="0"/>
      <w:marRight w:val="0"/>
      <w:marTop w:val="0"/>
      <w:marBottom w:val="0"/>
      <w:divBdr>
        <w:top w:val="none" w:sz="0" w:space="0" w:color="auto"/>
        <w:left w:val="none" w:sz="0" w:space="0" w:color="auto"/>
        <w:bottom w:val="none" w:sz="0" w:space="0" w:color="auto"/>
        <w:right w:val="none" w:sz="0" w:space="0" w:color="auto"/>
      </w:divBdr>
    </w:div>
    <w:div w:id="2086100450">
      <w:bodyDiv w:val="1"/>
      <w:marLeft w:val="0"/>
      <w:marRight w:val="0"/>
      <w:marTop w:val="0"/>
      <w:marBottom w:val="0"/>
      <w:divBdr>
        <w:top w:val="none" w:sz="0" w:space="0" w:color="auto"/>
        <w:left w:val="none" w:sz="0" w:space="0" w:color="auto"/>
        <w:bottom w:val="none" w:sz="0" w:space="0" w:color="auto"/>
        <w:right w:val="none" w:sz="0" w:space="0" w:color="auto"/>
      </w:divBdr>
    </w:div>
    <w:div w:id="209423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news.gov.bc.ca/releases/2024PREM0043-00153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2.gnb.ca/content/dam/gnb/Corporate/pdf/ThroneSpeech/2023/speech-from-the-throne-2023.pdf" TargetMode="External"/><Relationship Id="rId7" Type="http://schemas.openxmlformats.org/officeDocument/2006/relationships/settings" Target="settings.xml"/><Relationship Id="rId12" Type="http://schemas.openxmlformats.org/officeDocument/2006/relationships/hyperlink" Target="http://www.hivlegalnetwork.ca" TargetMode="External"/><Relationship Id="rId17" Type="http://schemas.openxmlformats.org/officeDocument/2006/relationships/hyperlink" Target="https://www.hivlegalnetwork.ca/site/?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nslegislature.ca/legc/bills/64th_1st/1st_read/b009.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chu@hivlegalnetwork.ca" TargetMode="External"/><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cbc.ca/news/canada/edmonton/alberta-weighing-involuntary-treatment-law-for-people-with-addiction-1.681615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s>
</file>

<file path=word/_rels/endnotes.xml.rels><?xml version="1.0" encoding="UTF-8" standalone="yes"?>
<Relationships xmlns="http://schemas.openxmlformats.org/package/2006/relationships"><Relationship Id="rId3" Type="http://schemas.openxmlformats.org/officeDocument/2006/relationships/hyperlink" Target="https://www.canada.ca/en/health-canada/services/substance-use/supervised-consumption-sites/explained.html" TargetMode="External"/><Relationship Id="rId2" Type="http://schemas.openxmlformats.org/officeDocument/2006/relationships/hyperlink" Target="https://www.nss-aps.ca/evidence-brief" TargetMode="External"/><Relationship Id="rId1" Type="http://schemas.openxmlformats.org/officeDocument/2006/relationships/hyperlink" Target="https://theconversation.com/b-c-s-plan-for-involuntary-addiction-treatment-is-a-step-back-in-our-response-to-the-overdose-crisis-239367" TargetMode="External"/></Relationships>
</file>

<file path=word/_rels/footer5.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2025-01-24T09:29:11+00:00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C8E173-FB6F-4152-9FFE-DD616280B4B5}">
  <ds:schemaRefs>
    <ds:schemaRef ds:uri="http://schemas.openxmlformats.org/officeDocument/2006/bibliography"/>
  </ds:schemaRefs>
</ds:datastoreItem>
</file>

<file path=customXml/itemProps2.xml><?xml version="1.0" encoding="utf-8"?>
<ds:datastoreItem xmlns:ds="http://schemas.openxmlformats.org/officeDocument/2006/customXml" ds:itemID="{74601B35-B87C-46BD-A602-0438E8EC411F}"/>
</file>

<file path=customXml/itemProps3.xml><?xml version="1.0" encoding="utf-8"?>
<ds:datastoreItem xmlns:ds="http://schemas.openxmlformats.org/officeDocument/2006/customXml" ds:itemID="{8046CB08-E147-48FB-8034-59B9351F9D7C}">
  <ds:schemaRefs>
    <ds:schemaRef ds:uri="http://schemas.microsoft.com/office/2006/metadata/properties"/>
    <ds:schemaRef ds:uri="http://schemas.microsoft.com/office/infopath/2007/PartnerControls"/>
    <ds:schemaRef ds:uri="80f08fdb-a6f9-40ba-9dfb-90ade4f0059c"/>
    <ds:schemaRef ds:uri="398acca0-6637-415b-bdb1-94c37335be48"/>
  </ds:schemaRefs>
</ds:datastoreItem>
</file>

<file path=customXml/itemProps4.xml><?xml version="1.0" encoding="utf-8"?>
<ds:datastoreItem xmlns:ds="http://schemas.openxmlformats.org/officeDocument/2006/customXml" ds:itemID="{F6E47CAB-5940-45C4-ADC5-62247AA7E8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17</Pages>
  <Words>4867</Words>
  <Characters>27747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Canadian HIV/AIDS Legal Network</Company>
  <LinksUpToDate>false</LinksUpToDate>
  <CharactersWithSpaces>32549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Crimson</dc:creator>
  <cp:lastModifiedBy>Sandra Ka Hon Chu</cp:lastModifiedBy>
  <cp:revision>238</cp:revision>
  <cp:lastPrinted>2017-05-10T18:10:00Z</cp:lastPrinted>
  <dcterms:created xsi:type="dcterms:W3CDTF">2025-01-21T17:30:00Z</dcterms:created>
  <dcterms:modified xsi:type="dcterms:W3CDTF">2025-01-23T21:57:00Z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