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DF639" w14:textId="4B1A3B20" w:rsidR="000761CD" w:rsidRDefault="000761CD">
      <w:pPr>
        <w:spacing w:line="360" w:lineRule="auto"/>
        <w:rPr>
          <w:rFonts w:ascii="Arial" w:eastAsia="Arial" w:hAnsi="Arial" w:cs="Arial"/>
          <w:sz w:val="24"/>
          <w:szCs w:val="24"/>
        </w:rPr>
      </w:pPr>
    </w:p>
    <w:p w14:paraId="5A2BD580" w14:textId="4EC34FDF" w:rsidR="000761CD" w:rsidRDefault="000761CD">
      <w:pPr>
        <w:spacing w:line="360" w:lineRule="auto"/>
        <w:jc w:val="center"/>
        <w:rPr>
          <w:rFonts w:ascii="Arial" w:eastAsia="Arial" w:hAnsi="Arial" w:cs="Arial"/>
          <w:sz w:val="24"/>
          <w:szCs w:val="24"/>
        </w:rPr>
      </w:pPr>
    </w:p>
    <w:p w14:paraId="5EAA85CF" w14:textId="77777777" w:rsidR="000761CD" w:rsidRDefault="000761CD">
      <w:pPr>
        <w:spacing w:line="360" w:lineRule="auto"/>
        <w:jc w:val="center"/>
        <w:rPr>
          <w:rFonts w:ascii="Arial" w:eastAsia="Arial" w:hAnsi="Arial" w:cs="Arial"/>
          <w:sz w:val="24"/>
          <w:szCs w:val="24"/>
        </w:rPr>
      </w:pPr>
    </w:p>
    <w:p w14:paraId="4EDC4F22" w14:textId="77777777" w:rsidR="000761CD" w:rsidRDefault="000761CD">
      <w:pPr>
        <w:spacing w:line="360" w:lineRule="auto"/>
        <w:jc w:val="center"/>
        <w:rPr>
          <w:rFonts w:ascii="Arial" w:eastAsia="Arial" w:hAnsi="Arial" w:cs="Arial"/>
          <w:sz w:val="24"/>
          <w:szCs w:val="24"/>
        </w:rPr>
      </w:pPr>
    </w:p>
    <w:p w14:paraId="74D4ABA2" w14:textId="77777777" w:rsidR="000761CD" w:rsidRDefault="000761CD">
      <w:pPr>
        <w:spacing w:line="360" w:lineRule="auto"/>
        <w:jc w:val="center"/>
        <w:rPr>
          <w:rFonts w:ascii="Arial" w:eastAsia="Arial" w:hAnsi="Arial" w:cs="Arial"/>
          <w:sz w:val="24"/>
          <w:szCs w:val="24"/>
        </w:rPr>
      </w:pPr>
    </w:p>
    <w:p w14:paraId="1DC94F5A" w14:textId="77777777" w:rsidR="000761CD" w:rsidRDefault="000761CD">
      <w:pPr>
        <w:spacing w:line="360" w:lineRule="auto"/>
        <w:jc w:val="center"/>
        <w:rPr>
          <w:rFonts w:ascii="Arial" w:eastAsia="Arial" w:hAnsi="Arial" w:cs="Arial"/>
          <w:sz w:val="24"/>
          <w:szCs w:val="24"/>
        </w:rPr>
      </w:pPr>
    </w:p>
    <w:p w14:paraId="4EF5FFF1" w14:textId="77777777" w:rsidR="000761CD" w:rsidRDefault="000761CD">
      <w:pPr>
        <w:spacing w:line="360" w:lineRule="auto"/>
        <w:jc w:val="center"/>
        <w:rPr>
          <w:rFonts w:ascii="Arial" w:eastAsia="Arial" w:hAnsi="Arial" w:cs="Arial"/>
          <w:sz w:val="24"/>
          <w:szCs w:val="24"/>
        </w:rPr>
      </w:pPr>
    </w:p>
    <w:p w14:paraId="4E68AEFF" w14:textId="77777777" w:rsidR="000761CD" w:rsidRDefault="00492070">
      <w:pPr>
        <w:jc w:val="center"/>
        <w:rPr>
          <w:rFonts w:ascii="Arial" w:eastAsia="Arial" w:hAnsi="Arial" w:cs="Arial"/>
          <w:b/>
          <w:sz w:val="28"/>
          <w:szCs w:val="28"/>
        </w:rPr>
      </w:pPr>
      <w:r>
        <w:rPr>
          <w:rFonts w:ascii="Arial" w:eastAsia="Arial" w:hAnsi="Arial" w:cs="Arial"/>
          <w:b/>
          <w:sz w:val="28"/>
          <w:szCs w:val="28"/>
        </w:rPr>
        <w:t>REPORTE</w:t>
      </w:r>
    </w:p>
    <w:p w14:paraId="210E3C70" w14:textId="77777777" w:rsidR="000761CD" w:rsidRDefault="00492070">
      <w:pPr>
        <w:jc w:val="center"/>
        <w:rPr>
          <w:rFonts w:ascii="Arial" w:eastAsia="Arial" w:hAnsi="Arial" w:cs="Arial"/>
          <w:b/>
          <w:sz w:val="28"/>
          <w:szCs w:val="28"/>
        </w:rPr>
      </w:pPr>
      <w:r>
        <w:rPr>
          <w:rFonts w:ascii="Arial" w:eastAsia="Arial" w:hAnsi="Arial" w:cs="Arial"/>
          <w:b/>
          <w:sz w:val="28"/>
          <w:szCs w:val="28"/>
        </w:rPr>
        <w:t>PERÚ</w:t>
      </w:r>
    </w:p>
    <w:p w14:paraId="3A315953" w14:textId="02D88232" w:rsidR="000761CD" w:rsidRDefault="00492070">
      <w:pPr>
        <w:jc w:val="center"/>
        <w:rPr>
          <w:rFonts w:ascii="Arial" w:eastAsia="Arial" w:hAnsi="Arial" w:cs="Arial"/>
          <w:b/>
          <w:sz w:val="28"/>
          <w:szCs w:val="28"/>
        </w:rPr>
      </w:pPr>
      <w:r>
        <w:rPr>
          <w:rFonts w:ascii="Arial" w:eastAsia="Arial" w:hAnsi="Arial" w:cs="Arial"/>
          <w:b/>
          <w:sz w:val="28"/>
          <w:szCs w:val="28"/>
        </w:rPr>
        <w:t>7</w:t>
      </w:r>
      <w:r w:rsidR="00EF41A2">
        <w:rPr>
          <w:rFonts w:ascii="Arial" w:eastAsia="Arial" w:hAnsi="Arial" w:cs="Arial"/>
          <w:b/>
          <w:sz w:val="28"/>
          <w:szCs w:val="28"/>
        </w:rPr>
        <w:t>7</w:t>
      </w:r>
      <w:r>
        <w:rPr>
          <w:rFonts w:ascii="Arial" w:eastAsia="Arial" w:hAnsi="Arial" w:cs="Arial"/>
          <w:b/>
          <w:sz w:val="28"/>
          <w:szCs w:val="28"/>
        </w:rPr>
        <w:t xml:space="preserve"> SESIÓN</w:t>
      </w:r>
    </w:p>
    <w:p w14:paraId="123C8751" w14:textId="77777777" w:rsidR="000761CD" w:rsidRDefault="00492070">
      <w:pPr>
        <w:jc w:val="center"/>
        <w:rPr>
          <w:rFonts w:ascii="Arial" w:eastAsia="Arial" w:hAnsi="Arial" w:cs="Arial"/>
          <w:sz w:val="24"/>
          <w:szCs w:val="24"/>
        </w:rPr>
      </w:pPr>
      <w:r>
        <w:rPr>
          <w:rFonts w:ascii="Arial" w:eastAsia="Arial" w:hAnsi="Arial" w:cs="Arial"/>
          <w:b/>
          <w:sz w:val="28"/>
          <w:szCs w:val="28"/>
        </w:rPr>
        <w:t>COMITÉ DERECHOS ECONÓMICOS SOCIALES Y CULTURALES.</w:t>
      </w:r>
    </w:p>
    <w:p w14:paraId="371FF0D0" w14:textId="77777777" w:rsidR="000761CD" w:rsidRDefault="000761CD">
      <w:pPr>
        <w:spacing w:line="360" w:lineRule="auto"/>
        <w:jc w:val="both"/>
        <w:rPr>
          <w:rFonts w:ascii="Arial" w:eastAsia="Arial" w:hAnsi="Arial" w:cs="Arial"/>
          <w:sz w:val="24"/>
          <w:szCs w:val="24"/>
        </w:rPr>
      </w:pPr>
    </w:p>
    <w:p w14:paraId="5F6632DA" w14:textId="77777777" w:rsidR="000761CD" w:rsidRDefault="000761CD">
      <w:pPr>
        <w:spacing w:line="360" w:lineRule="auto"/>
        <w:jc w:val="both"/>
        <w:rPr>
          <w:rFonts w:ascii="Arial" w:eastAsia="Arial" w:hAnsi="Arial" w:cs="Arial"/>
          <w:sz w:val="24"/>
          <w:szCs w:val="24"/>
        </w:rPr>
      </w:pPr>
    </w:p>
    <w:p w14:paraId="6EB9C67C" w14:textId="77777777" w:rsidR="000761CD" w:rsidRDefault="000761CD">
      <w:pPr>
        <w:spacing w:line="360" w:lineRule="auto"/>
        <w:jc w:val="both"/>
        <w:rPr>
          <w:rFonts w:ascii="Arial" w:eastAsia="Arial" w:hAnsi="Arial" w:cs="Arial"/>
          <w:sz w:val="24"/>
          <w:szCs w:val="24"/>
        </w:rPr>
      </w:pPr>
    </w:p>
    <w:p w14:paraId="68007576" w14:textId="77777777" w:rsidR="000761CD" w:rsidRDefault="000761CD">
      <w:pPr>
        <w:spacing w:line="360" w:lineRule="auto"/>
        <w:jc w:val="both"/>
        <w:rPr>
          <w:rFonts w:ascii="Arial" w:eastAsia="Arial" w:hAnsi="Arial" w:cs="Arial"/>
          <w:sz w:val="24"/>
          <w:szCs w:val="24"/>
        </w:rPr>
      </w:pPr>
    </w:p>
    <w:p w14:paraId="74A717CA" w14:textId="77777777" w:rsidR="000761CD" w:rsidRDefault="000761CD">
      <w:pPr>
        <w:spacing w:line="360" w:lineRule="auto"/>
        <w:jc w:val="both"/>
        <w:rPr>
          <w:rFonts w:ascii="Arial" w:eastAsia="Arial" w:hAnsi="Arial" w:cs="Arial"/>
          <w:sz w:val="24"/>
          <w:szCs w:val="24"/>
        </w:rPr>
      </w:pPr>
    </w:p>
    <w:p w14:paraId="49489E1D" w14:textId="77777777" w:rsidR="000761CD" w:rsidRDefault="000761CD">
      <w:pPr>
        <w:spacing w:line="360" w:lineRule="auto"/>
        <w:jc w:val="both"/>
        <w:rPr>
          <w:rFonts w:ascii="Arial" w:eastAsia="Arial" w:hAnsi="Arial" w:cs="Arial"/>
          <w:sz w:val="24"/>
          <w:szCs w:val="24"/>
        </w:rPr>
      </w:pPr>
    </w:p>
    <w:p w14:paraId="01E69096" w14:textId="77777777" w:rsidR="000761CD" w:rsidRDefault="000761CD">
      <w:pPr>
        <w:spacing w:line="360" w:lineRule="auto"/>
        <w:jc w:val="both"/>
        <w:rPr>
          <w:rFonts w:ascii="Arial" w:eastAsia="Arial" w:hAnsi="Arial" w:cs="Arial"/>
          <w:sz w:val="24"/>
          <w:szCs w:val="24"/>
        </w:rPr>
      </w:pPr>
    </w:p>
    <w:p w14:paraId="05457A00" w14:textId="42F6898C" w:rsidR="000761CD" w:rsidRDefault="00492070">
      <w:pPr>
        <w:spacing w:after="0" w:line="240" w:lineRule="auto"/>
        <w:jc w:val="center"/>
        <w:rPr>
          <w:rFonts w:ascii="Arial" w:eastAsia="Arial" w:hAnsi="Arial" w:cs="Arial"/>
          <w:sz w:val="20"/>
          <w:szCs w:val="20"/>
          <w:highlight w:val="white"/>
        </w:rPr>
      </w:pPr>
      <w:r>
        <w:rPr>
          <w:rFonts w:ascii="Arial" w:eastAsia="Arial" w:hAnsi="Arial" w:cs="Arial"/>
          <w:sz w:val="20"/>
          <w:szCs w:val="20"/>
          <w:highlight w:val="white"/>
        </w:rPr>
        <w:t>La</w:t>
      </w:r>
      <w:r w:rsidR="001201F1">
        <w:rPr>
          <w:rFonts w:ascii="Arial" w:eastAsia="Arial" w:hAnsi="Arial" w:cs="Arial"/>
          <w:sz w:val="20"/>
          <w:szCs w:val="20"/>
          <w:highlight w:val="white"/>
        </w:rPr>
        <w:t xml:space="preserve"> Asociación National Human Rights Network, la</w:t>
      </w:r>
      <w:r>
        <w:rPr>
          <w:rFonts w:ascii="Arial" w:eastAsia="Arial" w:hAnsi="Arial" w:cs="Arial"/>
          <w:sz w:val="20"/>
          <w:szCs w:val="20"/>
          <w:highlight w:val="white"/>
        </w:rPr>
        <w:t xml:space="preserve"> Fundación Red Nacional de Derechos Humanos (RENADDHH) y el Consejo Nacional para la Defensa del Derecho Humano a la Salud (CNDDHS). tiene como misión: Desarrollar estrategias de investigación educación y divulgación desde enfoques críticos de los derechos humanos dirigidos a toda persona, comunidad, organizaciones, movimientos sociales, para contribuir desde la construcción de experiencias significativas con la transformación social  fundada en los valores de justicia equidad igualdad libertad cooperación solidaridad honestidad y corresponsabilidad de acuerdo al Estado Social de Derecho y de Justicia.</w:t>
      </w:r>
    </w:p>
    <w:p w14:paraId="55660B9F" w14:textId="77777777" w:rsidR="000761CD" w:rsidRDefault="000761CD">
      <w:pPr>
        <w:spacing w:after="0" w:line="240" w:lineRule="auto"/>
        <w:jc w:val="center"/>
        <w:rPr>
          <w:rFonts w:ascii="Arial" w:eastAsia="Arial" w:hAnsi="Arial" w:cs="Arial"/>
          <w:sz w:val="20"/>
          <w:szCs w:val="20"/>
          <w:highlight w:val="white"/>
        </w:rPr>
      </w:pPr>
    </w:p>
    <w:p w14:paraId="46D8B762" w14:textId="77777777" w:rsidR="000761CD" w:rsidRDefault="000761CD">
      <w:pPr>
        <w:spacing w:after="0" w:line="240" w:lineRule="auto"/>
        <w:jc w:val="center"/>
        <w:rPr>
          <w:rFonts w:ascii="Arial" w:eastAsia="Arial" w:hAnsi="Arial" w:cs="Arial"/>
          <w:sz w:val="20"/>
          <w:szCs w:val="20"/>
          <w:highlight w:val="white"/>
        </w:rPr>
      </w:pPr>
    </w:p>
    <w:p w14:paraId="02FFF2FD" w14:textId="77777777" w:rsidR="000761CD" w:rsidRDefault="000761CD">
      <w:pPr>
        <w:spacing w:after="0" w:line="240" w:lineRule="auto"/>
        <w:jc w:val="center"/>
        <w:rPr>
          <w:rFonts w:ascii="Arial" w:eastAsia="Arial" w:hAnsi="Arial" w:cs="Arial"/>
          <w:sz w:val="20"/>
          <w:szCs w:val="20"/>
          <w:highlight w:val="white"/>
        </w:rPr>
      </w:pPr>
    </w:p>
    <w:p w14:paraId="301972DB" w14:textId="77777777" w:rsidR="000761CD" w:rsidRDefault="000761CD">
      <w:pPr>
        <w:spacing w:after="0" w:line="240" w:lineRule="auto"/>
        <w:jc w:val="center"/>
        <w:rPr>
          <w:rFonts w:ascii="Arial" w:eastAsia="Arial" w:hAnsi="Arial" w:cs="Arial"/>
          <w:sz w:val="20"/>
          <w:szCs w:val="20"/>
          <w:highlight w:val="white"/>
        </w:rPr>
      </w:pPr>
    </w:p>
    <w:p w14:paraId="5B581613" w14:textId="77777777" w:rsidR="000761CD" w:rsidRDefault="000761CD">
      <w:pPr>
        <w:spacing w:after="0" w:line="240" w:lineRule="auto"/>
        <w:jc w:val="center"/>
        <w:rPr>
          <w:rFonts w:ascii="Arial" w:eastAsia="Arial" w:hAnsi="Arial" w:cs="Arial"/>
          <w:sz w:val="20"/>
          <w:szCs w:val="20"/>
          <w:highlight w:val="white"/>
        </w:rPr>
      </w:pPr>
    </w:p>
    <w:p w14:paraId="5D53B190" w14:textId="77777777" w:rsidR="000761CD" w:rsidRDefault="000761CD">
      <w:pPr>
        <w:spacing w:line="360" w:lineRule="auto"/>
        <w:jc w:val="both"/>
        <w:rPr>
          <w:rFonts w:ascii="Arial" w:eastAsia="Arial" w:hAnsi="Arial" w:cs="Arial"/>
          <w:sz w:val="24"/>
          <w:szCs w:val="24"/>
        </w:rPr>
      </w:pPr>
    </w:p>
    <w:p w14:paraId="6ECFD945" w14:textId="77777777" w:rsidR="000761CD" w:rsidRDefault="00492070" w:rsidP="007927D0">
      <w:pPr>
        <w:numPr>
          <w:ilvl w:val="0"/>
          <w:numId w:val="3"/>
        </w:numPr>
        <w:pBdr>
          <w:top w:val="nil"/>
          <w:left w:val="nil"/>
          <w:bottom w:val="nil"/>
          <w:right w:val="nil"/>
          <w:between w:val="nil"/>
        </w:pBdr>
        <w:spacing w:after="0" w:line="240" w:lineRule="auto"/>
        <w:jc w:val="both"/>
        <w:rPr>
          <w:rFonts w:ascii="Arial" w:eastAsia="Arial" w:hAnsi="Arial" w:cs="Arial"/>
          <w:b/>
          <w:sz w:val="24"/>
          <w:szCs w:val="24"/>
        </w:rPr>
      </w:pPr>
      <w:r>
        <w:rPr>
          <w:rFonts w:ascii="Arial" w:eastAsia="Arial" w:hAnsi="Arial" w:cs="Arial"/>
          <w:b/>
          <w:sz w:val="24"/>
          <w:szCs w:val="24"/>
        </w:rPr>
        <w:t>Derecho a la Salud</w:t>
      </w:r>
    </w:p>
    <w:p w14:paraId="36CF24DA" w14:textId="77777777" w:rsidR="000761CD" w:rsidRPr="007927D0" w:rsidRDefault="00492070" w:rsidP="007927D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sidRPr="007927D0">
        <w:rPr>
          <w:rFonts w:ascii="Arial" w:eastAsia="Arial" w:hAnsi="Arial" w:cs="Arial"/>
          <w:sz w:val="24"/>
          <w:szCs w:val="24"/>
        </w:rPr>
        <w:t>Perú no escapa de la sorprendente llegada del COVID19, quién cobra la vida de seres humanos sin distingo de ninguna índole, más cuando existe sistemas de salud que no son capaces de dar respuestas oportunas por seguir con deficiencias en sus estructuras como prestadores de servicios de salud que deben ajustar a los avances tecnológicos y científicos, siendo la población más vulnerable la más afecta.</w:t>
      </w:r>
    </w:p>
    <w:p w14:paraId="0D6D4CE1" w14:textId="475ABE17" w:rsidR="000761CD" w:rsidRPr="007927D0" w:rsidRDefault="00492070" w:rsidP="007927D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sidRPr="007927D0">
        <w:rPr>
          <w:rFonts w:ascii="Arial" w:eastAsia="Arial" w:hAnsi="Arial" w:cs="Arial"/>
          <w:sz w:val="24"/>
          <w:szCs w:val="24"/>
        </w:rPr>
        <w:t>Sin embargo y pese a las deficiencias en atención de salud, el Gobierno de Perú previa sugerencia de la Defensoría del Pueblo, el MINSA  y el Ejecutivo Nacional ponen en manchar estrategias que minimicen el índice de transmisión y contagio del COVID 19 en los lugares de mayor índice de casos y poblaciones más vulnerables, esto bajo la confección de mascarillas faciales y decretando a la misma como un bien público.</w:t>
      </w:r>
      <w:r w:rsidR="004247DD" w:rsidRPr="007927D0">
        <w:rPr>
          <w:rFonts w:ascii="Arial" w:eastAsia="Arial" w:hAnsi="Arial" w:cs="Arial"/>
          <w:sz w:val="24"/>
          <w:szCs w:val="24"/>
        </w:rPr>
        <w:t xml:space="preserve"> </w:t>
      </w:r>
      <w:r w:rsidRPr="007927D0">
        <w:rPr>
          <w:rFonts w:ascii="Arial" w:eastAsia="Arial" w:hAnsi="Arial" w:cs="Arial"/>
          <w:sz w:val="24"/>
          <w:szCs w:val="24"/>
        </w:rPr>
        <w:t>Está sugerencias se hacen evidentes en la Rendición de cuentas de la Defensoría del Pueblo 2021.</w:t>
      </w:r>
    </w:p>
    <w:p w14:paraId="352AFCE0" w14:textId="77777777" w:rsidR="000761CD" w:rsidRPr="007927D0" w:rsidRDefault="00492070" w:rsidP="007927D0">
      <w:pPr>
        <w:spacing w:after="0" w:line="240" w:lineRule="auto"/>
        <w:jc w:val="both"/>
        <w:rPr>
          <w:rFonts w:ascii="Arial" w:eastAsia="Arial" w:hAnsi="Arial" w:cs="Arial"/>
          <w:sz w:val="24"/>
          <w:szCs w:val="24"/>
        </w:rPr>
      </w:pPr>
      <w:r w:rsidRPr="007927D0">
        <w:rPr>
          <w:rFonts w:ascii="Arial" w:eastAsia="Arial" w:hAnsi="Arial" w:cs="Arial"/>
          <w:sz w:val="24"/>
          <w:szCs w:val="24"/>
        </w:rPr>
        <w:t>“el Minsa procedió a publicar, el 1 de mayo del 2021, la Resolución Ministerial N° 558-2021-MINSA, con la cual se aprobó el Documento Técnico: Lineamientos para la confección de mascarillas faciales textiles de uso comunitario reutilizables. Asimismo, se demandó que las mascarillas sean distribuidas de manera gratuita en las zonas de mayor índice de contagio y niveles de pobreza extrema. En atención a ello, el Poder Ejecutivo, por medio del D.U. N° 042-2021, declaró a las mascarillas como un bien público, por ser una de las medidas preventivas para frenar el Covid-19. A su vez, mediante la Directiva Administrativa N° 316-MINSA/2021/ DGIESP, el MINSA dictó disposiciones complementarias para la distribución de mascarillas faciales textiles y mascarillas descartables quirúrgicas para uso comunitario entre la población priorizada.”</w:t>
      </w:r>
    </w:p>
    <w:p w14:paraId="24373509" w14:textId="77777777" w:rsidR="004247DD" w:rsidRPr="007927D0" w:rsidRDefault="004247DD" w:rsidP="007927D0">
      <w:pPr>
        <w:pBdr>
          <w:top w:val="nil"/>
          <w:left w:val="nil"/>
          <w:bottom w:val="nil"/>
          <w:right w:val="nil"/>
          <w:between w:val="nil"/>
        </w:pBdr>
        <w:spacing w:after="0" w:line="240" w:lineRule="auto"/>
        <w:jc w:val="both"/>
        <w:rPr>
          <w:rFonts w:ascii="Arial" w:eastAsia="Arial" w:hAnsi="Arial" w:cs="Arial"/>
          <w:b/>
          <w:sz w:val="24"/>
          <w:szCs w:val="24"/>
        </w:rPr>
      </w:pPr>
    </w:p>
    <w:p w14:paraId="2DF11BAC" w14:textId="7F3B624E" w:rsidR="004247DD" w:rsidRPr="007927D0" w:rsidRDefault="004247DD" w:rsidP="007927D0">
      <w:pPr>
        <w:pBdr>
          <w:top w:val="nil"/>
          <w:left w:val="nil"/>
          <w:bottom w:val="nil"/>
          <w:right w:val="nil"/>
          <w:between w:val="nil"/>
        </w:pBdr>
        <w:spacing w:after="0" w:line="240" w:lineRule="auto"/>
        <w:jc w:val="both"/>
        <w:rPr>
          <w:rFonts w:ascii="Arial" w:eastAsia="Arial" w:hAnsi="Arial" w:cs="Arial"/>
          <w:b/>
          <w:sz w:val="24"/>
          <w:szCs w:val="24"/>
        </w:rPr>
      </w:pPr>
      <w:r w:rsidRPr="007927D0">
        <w:rPr>
          <w:rFonts w:ascii="Arial" w:eastAsia="Arial" w:hAnsi="Arial" w:cs="Arial"/>
          <w:b/>
          <w:sz w:val="24"/>
          <w:szCs w:val="24"/>
        </w:rPr>
        <w:t>Salud Mental.</w:t>
      </w:r>
    </w:p>
    <w:p w14:paraId="15BF53AE" w14:textId="77777777" w:rsidR="004247DD" w:rsidRPr="007927D0" w:rsidRDefault="004247DD" w:rsidP="007927D0">
      <w:pPr>
        <w:spacing w:after="0" w:line="240" w:lineRule="auto"/>
        <w:jc w:val="both"/>
        <w:rPr>
          <w:rFonts w:ascii="Arial" w:eastAsia="Arial" w:hAnsi="Arial" w:cs="Arial"/>
          <w:sz w:val="24"/>
          <w:szCs w:val="24"/>
        </w:rPr>
      </w:pPr>
    </w:p>
    <w:p w14:paraId="67F9E48B" w14:textId="77777777" w:rsidR="004247DD" w:rsidRPr="007927D0" w:rsidRDefault="004247DD" w:rsidP="007927D0">
      <w:pPr>
        <w:numPr>
          <w:ilvl w:val="0"/>
          <w:numId w:val="1"/>
        </w:numPr>
        <w:spacing w:after="0" w:line="240" w:lineRule="auto"/>
        <w:jc w:val="both"/>
        <w:rPr>
          <w:rFonts w:ascii="Arial" w:eastAsia="Arial" w:hAnsi="Arial" w:cs="Arial"/>
          <w:sz w:val="24"/>
          <w:szCs w:val="24"/>
        </w:rPr>
      </w:pPr>
      <w:r w:rsidRPr="007927D0">
        <w:rPr>
          <w:rFonts w:ascii="Arial" w:eastAsia="Arial" w:hAnsi="Arial" w:cs="Arial"/>
          <w:sz w:val="24"/>
          <w:szCs w:val="24"/>
        </w:rPr>
        <w:t>Dentro del contexto de la salud mental de las personas privadas de libertad observamos con preocupación los tratos crueles e inhumanos que son sometidos las personas recluidas en los centros de detención y las cárceles, “</w:t>
      </w:r>
      <w:r w:rsidRPr="007927D0">
        <w:rPr>
          <w:rFonts w:ascii="Arial" w:eastAsia="Arial" w:hAnsi="Arial" w:cs="Arial"/>
          <w:sz w:val="24"/>
          <w:szCs w:val="24"/>
          <w:highlight w:val="white"/>
        </w:rPr>
        <w:t>Entre enero y diciembre de 2018, la Defensoría del Pueblo identificó tres casos de afectación arbitraria al derecho a la vida, producidos principalmente en establecimientos penitenciarios y en el Ejército. Asimismo, se conoció de 223 casos de afectaciones al derecho a la integridad personal, seis en la modalidad de tortura, 174 como maltrato físico o psicológico, 20 como trato cruel, inhumano o degradante, 21 como uso desproporcionado de la fuerza pública, y dos como vulneración al trato preferente hacia mujeres embaraza¬das, niños y niñas y personas adultas mayores” (</w:t>
      </w:r>
      <w:hyperlink r:id="rId11">
        <w:r w:rsidRPr="007927D0">
          <w:rPr>
            <w:rFonts w:ascii="Arial" w:eastAsia="Arial" w:hAnsi="Arial" w:cs="Arial"/>
            <w:sz w:val="24"/>
            <w:szCs w:val="24"/>
            <w:highlight w:val="white"/>
            <w:u w:val="single"/>
          </w:rPr>
          <w:t>https://pradpi.es/es/noticias/peru-recordamos-al-estado-peruano-su-compromiso-con-la-prevencion-y-el-combate-de-la-tortura</w:t>
        </w:r>
      </w:hyperlink>
      <w:r w:rsidRPr="007927D0">
        <w:rPr>
          <w:rFonts w:ascii="Arial" w:eastAsia="Arial" w:hAnsi="Arial" w:cs="Arial"/>
          <w:sz w:val="24"/>
          <w:szCs w:val="24"/>
          <w:highlight w:val="white"/>
        </w:rPr>
        <w:t>).</w:t>
      </w:r>
    </w:p>
    <w:p w14:paraId="78C19A62" w14:textId="77777777" w:rsidR="004247DD" w:rsidRPr="007927D0" w:rsidRDefault="004247DD" w:rsidP="007927D0">
      <w:pPr>
        <w:numPr>
          <w:ilvl w:val="0"/>
          <w:numId w:val="1"/>
        </w:numPr>
        <w:spacing w:after="0" w:line="240" w:lineRule="auto"/>
        <w:jc w:val="both"/>
        <w:rPr>
          <w:rFonts w:ascii="Arial" w:eastAsia="Arial" w:hAnsi="Arial" w:cs="Arial"/>
          <w:sz w:val="24"/>
          <w:szCs w:val="24"/>
          <w:highlight w:val="white"/>
        </w:rPr>
      </w:pPr>
      <w:r w:rsidRPr="007927D0">
        <w:rPr>
          <w:rFonts w:ascii="Arial" w:eastAsia="Arial" w:hAnsi="Arial" w:cs="Arial"/>
          <w:sz w:val="24"/>
          <w:szCs w:val="24"/>
          <w:highlight w:val="white"/>
        </w:rPr>
        <w:lastRenderedPageBreak/>
        <w:t xml:space="preserve"> Según informe de” la Defensoría del Pueblo, revela que, en cada uno de esos centros, entre el 4 % y el 31 % de las alumnas encuestadas dijeron haber sufrido agresiones…el informe contiene el resultado de supervisiones inopinadas y encuestas anónimas a las alumnas de cuatro instituciones militares y policiales… Sobre la salud física y psicológica de las estudiantes, se advirtió que en el Instituto de Educación Superior Tecnológico Público Naval (Citen) y en la Escuela Militar de Chorrillos 'Coronel Francisco Bolognesi' el trato y la actividad en el primer mes de internamiento es "muy drástico y marca el inicio de su formación", lo que podría afectar psicológicamente a las alumnas” </w:t>
      </w:r>
    </w:p>
    <w:p w14:paraId="364CA567" w14:textId="77777777" w:rsidR="004247DD" w:rsidRPr="007927D0" w:rsidRDefault="004247DD" w:rsidP="007927D0">
      <w:pPr>
        <w:spacing w:after="0" w:line="240" w:lineRule="auto"/>
        <w:ind w:left="720"/>
        <w:jc w:val="both"/>
        <w:rPr>
          <w:rFonts w:ascii="Arial" w:eastAsia="Arial" w:hAnsi="Arial" w:cs="Arial"/>
          <w:sz w:val="24"/>
          <w:szCs w:val="24"/>
          <w:highlight w:val="white"/>
        </w:rPr>
      </w:pPr>
      <w:r w:rsidRPr="007927D0">
        <w:rPr>
          <w:rFonts w:ascii="Arial" w:eastAsia="Arial" w:hAnsi="Arial" w:cs="Arial"/>
          <w:sz w:val="24"/>
          <w:szCs w:val="24"/>
          <w:highlight w:val="white"/>
        </w:rPr>
        <w:t>(</w:t>
      </w:r>
      <w:hyperlink r:id="rId12">
        <w:r w:rsidRPr="007927D0">
          <w:rPr>
            <w:rFonts w:ascii="Arial" w:eastAsia="Arial" w:hAnsi="Arial" w:cs="Arial"/>
            <w:sz w:val="24"/>
            <w:szCs w:val="24"/>
            <w:highlight w:val="white"/>
            <w:u w:val="single"/>
          </w:rPr>
          <w:t>https://www.elperiodico.com/es/internacional/20190622/defensoria-del-pueblo-alumnas-admiten-agresiones-en-escuelas-militares-peru-7517322</w:t>
        </w:r>
      </w:hyperlink>
      <w:r w:rsidRPr="007927D0">
        <w:rPr>
          <w:rFonts w:ascii="Arial" w:eastAsia="Arial" w:hAnsi="Arial" w:cs="Arial"/>
          <w:sz w:val="24"/>
          <w:szCs w:val="24"/>
          <w:highlight w:val="white"/>
        </w:rPr>
        <w:t>).</w:t>
      </w:r>
    </w:p>
    <w:p w14:paraId="35722760" w14:textId="77777777" w:rsidR="004247DD" w:rsidRPr="007927D0" w:rsidRDefault="004247DD" w:rsidP="007927D0">
      <w:pPr>
        <w:numPr>
          <w:ilvl w:val="0"/>
          <w:numId w:val="1"/>
        </w:numPr>
        <w:spacing w:after="0" w:line="240" w:lineRule="auto"/>
        <w:jc w:val="both"/>
        <w:rPr>
          <w:rFonts w:ascii="Arial" w:eastAsia="Arial" w:hAnsi="Arial" w:cs="Arial"/>
          <w:sz w:val="24"/>
          <w:szCs w:val="24"/>
          <w:highlight w:val="white"/>
        </w:rPr>
      </w:pPr>
      <w:r w:rsidRPr="007927D0">
        <w:rPr>
          <w:rFonts w:ascii="Arial" w:eastAsia="Arial" w:hAnsi="Arial" w:cs="Arial"/>
          <w:sz w:val="24"/>
          <w:szCs w:val="24"/>
          <w:highlight w:val="white"/>
        </w:rPr>
        <w:t xml:space="preserve"> La Defensoría del Pueblo advirtió sobre la necesidad de priorizar la atención de la salud mental en el Perú, que se encuentra en estado de emergencia desde antes de la llegada del COVID-19. Esto ha sido señalado por la institución en distintos informes, como el Informe Defensorial Nº 180 “El derecho a la salud mental”, publicado en el año 2018 y el Informe Especial N° 5 de este año, en el cual se brindan alcances a tomar en cuenta en el contexto de la pandemia.. Según datos de la Organización Mundial de la Salud, el Perú tiene en promedio 3 psiquiatras y 10 psicólogos por cada 100 000 habitantes. A estas cifras, se suma al problema del centralismo en la atención de la salud. Así tenemos que, en el 2016, de los 264 psiquiatras que trabajaban en el Ministerio de Salud (Minsa), el 72 % desarrollaban sus actividades en hospitales psiquiátricos de Lima.( </w:t>
      </w:r>
      <w:hyperlink r:id="rId13">
        <w:r w:rsidRPr="007927D0">
          <w:rPr>
            <w:rFonts w:ascii="Arial" w:eastAsia="Arial" w:hAnsi="Arial" w:cs="Arial"/>
            <w:sz w:val="24"/>
            <w:szCs w:val="24"/>
            <w:highlight w:val="white"/>
            <w:u w:val="single"/>
          </w:rPr>
          <w:t>https://www.defensoria.gob.pe/defensoria-del-pueblo-estado-peruano-debe-priorizar-la-atencion-de-la-salud-mental/</w:t>
        </w:r>
      </w:hyperlink>
      <w:r w:rsidRPr="007927D0">
        <w:rPr>
          <w:rFonts w:ascii="Arial" w:eastAsia="Arial" w:hAnsi="Arial" w:cs="Arial"/>
          <w:sz w:val="24"/>
          <w:szCs w:val="24"/>
          <w:highlight w:val="white"/>
        </w:rPr>
        <w:t xml:space="preserve">) </w:t>
      </w:r>
    </w:p>
    <w:p w14:paraId="775D683C" w14:textId="77777777" w:rsidR="004247DD" w:rsidRPr="007927D0" w:rsidRDefault="004247DD" w:rsidP="007927D0">
      <w:pPr>
        <w:pStyle w:val="H23G"/>
        <w:spacing w:line="240" w:lineRule="auto"/>
        <w:ind w:left="284" w:firstLine="0"/>
        <w:jc w:val="both"/>
        <w:rPr>
          <w:rFonts w:ascii="Arial" w:hAnsi="Arial" w:cs="Arial"/>
          <w:sz w:val="24"/>
          <w:szCs w:val="24"/>
          <w:lang w:val="es"/>
        </w:rPr>
      </w:pPr>
      <w:r w:rsidRPr="007927D0">
        <w:rPr>
          <w:rFonts w:ascii="Arial" w:hAnsi="Arial" w:cs="Arial"/>
          <w:sz w:val="24"/>
          <w:szCs w:val="24"/>
          <w:lang w:val="es"/>
        </w:rPr>
        <w:t>Derecho a la salud física y mental (art. 12): Falta de sucedáneos de la leche materna en recién nacidos de madres con VIH/sida.</w:t>
      </w:r>
    </w:p>
    <w:p w14:paraId="5574C83F" w14:textId="761DC826" w:rsidR="004247DD" w:rsidRPr="007927D0" w:rsidRDefault="004247DD" w:rsidP="007927D0">
      <w:pPr>
        <w:pStyle w:val="SingleTxtG"/>
        <w:numPr>
          <w:ilvl w:val="0"/>
          <w:numId w:val="1"/>
        </w:numPr>
        <w:spacing w:line="240" w:lineRule="auto"/>
        <w:rPr>
          <w:rFonts w:ascii="Arial" w:hAnsi="Arial" w:cs="Arial"/>
          <w:sz w:val="24"/>
          <w:szCs w:val="24"/>
          <w:lang w:val="es"/>
        </w:rPr>
      </w:pPr>
      <w:r w:rsidRPr="007927D0">
        <w:rPr>
          <w:rFonts w:ascii="Arial" w:hAnsi="Arial" w:cs="Arial"/>
          <w:sz w:val="24"/>
          <w:szCs w:val="24"/>
          <w:lang w:val="es"/>
        </w:rPr>
        <w:t>Al hacerse pública la denuncia de las violaciones de niños en la Provincia de Condorcanqui, otro tema es informado por la Dirección Regional de Salud de Amazonas: Al ahondar en la búsqueda de información, tuvimos conocimiento que la Red de Salud de Condorcanqui había reportado 71 gestantes con VIH de las cuales 43 aceptaron el inicio del tratamiento con retrovirales (61 % de cobertura). De igual forma, reportan escasez del sucedáneo de leche materna para 73 niños menores de un año expuestos al VIH (mayo-octubre de 2024). Esto suponía un gasto aproximado a PEN 500 mil. La preocupación de los funcionario del sector salud, es que se depende del gobierno regional para la compra de sucedáneos de la leche materna. Las autoridades regionales no otorgan el presupuesto suficiente para la compra del sucedáneo, lo que en muchos casos no deja a la madre mayor alternativa a la de dar su propia leche a su hijo lactante, ocurriendo la infección que se había evitado en el parto.</w:t>
      </w:r>
    </w:p>
    <w:p w14:paraId="7C32FBDD" w14:textId="77777777" w:rsidR="004247DD" w:rsidRPr="007927D0" w:rsidRDefault="004247DD" w:rsidP="007927D0">
      <w:pPr>
        <w:pStyle w:val="SingleTxtG"/>
        <w:spacing w:line="240" w:lineRule="auto"/>
        <w:ind w:left="720"/>
        <w:rPr>
          <w:rFonts w:ascii="Arial" w:hAnsi="Arial" w:cs="Arial"/>
          <w:sz w:val="24"/>
          <w:szCs w:val="24"/>
          <w:lang w:val="es"/>
        </w:rPr>
      </w:pPr>
      <w:r w:rsidRPr="007927D0">
        <w:rPr>
          <w:rFonts w:ascii="Arial" w:hAnsi="Arial" w:cs="Arial"/>
          <w:sz w:val="24"/>
          <w:szCs w:val="24"/>
          <w:lang w:val="es"/>
        </w:rPr>
        <w:lastRenderedPageBreak/>
        <w:t>Fuente: Dirección Regional de Salud de Amazonas, 2024.</w:t>
      </w:r>
    </w:p>
    <w:p w14:paraId="4D33EC80" w14:textId="77777777" w:rsidR="000761CD" w:rsidRPr="007927D0" w:rsidRDefault="000761CD" w:rsidP="007927D0">
      <w:pPr>
        <w:spacing w:after="0" w:line="240" w:lineRule="auto"/>
        <w:jc w:val="both"/>
        <w:rPr>
          <w:rFonts w:ascii="Arial" w:eastAsia="Arial" w:hAnsi="Arial" w:cs="Arial"/>
          <w:sz w:val="24"/>
          <w:szCs w:val="24"/>
        </w:rPr>
      </w:pPr>
    </w:p>
    <w:p w14:paraId="5C04BD25" w14:textId="77777777" w:rsidR="000761CD" w:rsidRPr="007927D0" w:rsidRDefault="00492070" w:rsidP="007927D0">
      <w:pPr>
        <w:numPr>
          <w:ilvl w:val="0"/>
          <w:numId w:val="3"/>
        </w:numPr>
        <w:pBdr>
          <w:top w:val="nil"/>
          <w:left w:val="nil"/>
          <w:bottom w:val="nil"/>
          <w:right w:val="nil"/>
          <w:between w:val="nil"/>
        </w:pBdr>
        <w:spacing w:after="0" w:line="240" w:lineRule="auto"/>
        <w:jc w:val="both"/>
        <w:rPr>
          <w:rFonts w:ascii="Arial" w:eastAsia="Arial" w:hAnsi="Arial" w:cs="Arial"/>
          <w:b/>
          <w:sz w:val="24"/>
          <w:szCs w:val="24"/>
        </w:rPr>
      </w:pPr>
      <w:r w:rsidRPr="007927D0">
        <w:rPr>
          <w:rFonts w:ascii="Arial" w:eastAsia="Arial" w:hAnsi="Arial" w:cs="Arial"/>
          <w:b/>
          <w:sz w:val="24"/>
          <w:szCs w:val="24"/>
        </w:rPr>
        <w:t>Derecho a la Alimentación.</w:t>
      </w:r>
    </w:p>
    <w:p w14:paraId="3CD91BB1" w14:textId="77777777" w:rsidR="000761CD" w:rsidRPr="007927D0" w:rsidRDefault="000761CD" w:rsidP="007927D0">
      <w:pPr>
        <w:spacing w:after="0" w:line="240" w:lineRule="auto"/>
        <w:jc w:val="both"/>
        <w:rPr>
          <w:rFonts w:ascii="Arial" w:eastAsia="Arial" w:hAnsi="Arial" w:cs="Arial"/>
          <w:b/>
          <w:sz w:val="24"/>
          <w:szCs w:val="24"/>
        </w:rPr>
      </w:pPr>
    </w:p>
    <w:p w14:paraId="32714731" w14:textId="77777777" w:rsidR="00EF41A2" w:rsidRPr="007927D0" w:rsidRDefault="00492070" w:rsidP="007927D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sidRPr="007927D0">
        <w:rPr>
          <w:rFonts w:ascii="Arial" w:eastAsia="Arial" w:hAnsi="Arial" w:cs="Arial"/>
          <w:sz w:val="24"/>
          <w:szCs w:val="24"/>
        </w:rPr>
        <w:t>Actualmente el Perú es el país con más inseguridad alimentaria, sobre todo para las familias y comunidades más vulnerables que viven en pobreza extrema. Generando esto que  estas personas  no tengan un correcto desarrollo físico, mental y social acorde. Aunado a esto, el tema Pandemia ha repercutido en el aumento exponencial en los casos de inseguridad alimentaria</w:t>
      </w:r>
      <w:r w:rsidR="00EF41A2" w:rsidRPr="007927D0">
        <w:rPr>
          <w:rFonts w:ascii="Arial" w:eastAsia="Arial" w:hAnsi="Arial" w:cs="Arial"/>
          <w:sz w:val="24"/>
          <w:szCs w:val="24"/>
        </w:rPr>
        <w:t>.</w:t>
      </w:r>
    </w:p>
    <w:p w14:paraId="538A4900" w14:textId="4CD9D23D" w:rsidR="000761CD" w:rsidRPr="007927D0" w:rsidRDefault="00492070" w:rsidP="007927D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sidRPr="007927D0">
        <w:rPr>
          <w:rFonts w:ascii="Arial" w:eastAsia="Arial" w:hAnsi="Arial" w:cs="Arial"/>
          <w:sz w:val="24"/>
          <w:szCs w:val="24"/>
        </w:rPr>
        <w:t>Durante el estado de emergencia por el COVID 19, se implementó las ollas comunes, como estrategia para la atención de la población más desvalida y se sugirió por parte de la defensoría del Pueblo que se hiciera de manera permanente aun posterior a la pandemia, como parte de un programa del Gobierno para tratar la situación de alimentación en las comunidades.Dicha sugerencia queda expresa en la Rendición de Cuenta de la Defensoría  del Pueblo 2021.</w:t>
      </w:r>
    </w:p>
    <w:p w14:paraId="7B1F5A6A" w14:textId="77777777" w:rsidR="000761CD" w:rsidRPr="007927D0" w:rsidRDefault="000761CD" w:rsidP="007927D0">
      <w:pPr>
        <w:pBdr>
          <w:top w:val="nil"/>
          <w:left w:val="nil"/>
          <w:bottom w:val="nil"/>
          <w:right w:val="nil"/>
          <w:between w:val="nil"/>
        </w:pBdr>
        <w:spacing w:after="0" w:line="240" w:lineRule="auto"/>
        <w:ind w:left="720"/>
        <w:jc w:val="both"/>
        <w:rPr>
          <w:rFonts w:ascii="Arial" w:eastAsia="Arial" w:hAnsi="Arial" w:cs="Arial"/>
          <w:sz w:val="24"/>
          <w:szCs w:val="24"/>
        </w:rPr>
      </w:pPr>
    </w:p>
    <w:p w14:paraId="7CDC9767" w14:textId="77777777" w:rsidR="000761CD" w:rsidRPr="007927D0" w:rsidRDefault="00492070" w:rsidP="007927D0">
      <w:pPr>
        <w:pBdr>
          <w:top w:val="nil"/>
          <w:left w:val="nil"/>
          <w:bottom w:val="nil"/>
          <w:right w:val="nil"/>
          <w:between w:val="nil"/>
        </w:pBdr>
        <w:spacing w:after="0" w:line="240" w:lineRule="auto"/>
        <w:ind w:left="720"/>
        <w:jc w:val="both"/>
        <w:rPr>
          <w:rFonts w:ascii="Arial" w:eastAsia="Arial" w:hAnsi="Arial" w:cs="Arial"/>
          <w:sz w:val="24"/>
          <w:szCs w:val="24"/>
        </w:rPr>
      </w:pPr>
      <w:r w:rsidRPr="007927D0">
        <w:rPr>
          <w:rFonts w:ascii="Arial" w:eastAsia="Arial" w:hAnsi="Arial" w:cs="Arial"/>
          <w:sz w:val="24"/>
          <w:szCs w:val="24"/>
        </w:rPr>
        <w:t>“   Los resultados motivaron que la Defensoría proponga al MIDIS que, como ente rector de las políticas públicas y desarrollo social encaminadas a reducir la pobreza, las desigualdades, las vulnerabilidades y los riesgos sociales, establezca una estrategia integral, a largo plazo, de apoyo a las ollas comunes, en coordinación con los Gobiernos Locales…”(Rendición de cuentas 2021 DP).</w:t>
      </w:r>
    </w:p>
    <w:p w14:paraId="35A95736" w14:textId="77777777" w:rsidR="000761CD" w:rsidRPr="007927D0" w:rsidRDefault="00492070" w:rsidP="007927D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sidRPr="007927D0">
        <w:rPr>
          <w:rFonts w:ascii="Arial" w:eastAsia="Arial" w:hAnsi="Arial" w:cs="Arial"/>
          <w:sz w:val="24"/>
          <w:szCs w:val="24"/>
        </w:rPr>
        <w:t>Niveles de desnutrición “</w:t>
      </w:r>
      <w:r w:rsidRPr="007927D0">
        <w:rPr>
          <w:rFonts w:ascii="Arial" w:eastAsia="Arial" w:hAnsi="Arial" w:cs="Arial"/>
          <w:sz w:val="24"/>
          <w:szCs w:val="24"/>
          <w:highlight w:val="white"/>
        </w:rPr>
        <w:t>En el año 2020, el 12,1% de la población menor de cinco años de edad del país sufrió desnutrición crónica según el Patrón de la Organización Mundial de la Salud (OMS), así lo dio a conocer el Instituto Nacional de Estadística e Informática (INEI) al publicar el documento PERÚ: Indicadores de Resultados de los Programas Presupuestales-2020; elaborado con información recopilada mediante la Encuesta Demográfica y de Salud Familiar (ENDES)”. (fuente INEI).</w:t>
      </w:r>
    </w:p>
    <w:p w14:paraId="6557E755" w14:textId="6566F64B" w:rsidR="00BF1F83" w:rsidRPr="007927D0" w:rsidRDefault="00492070" w:rsidP="007927D0">
      <w:pPr>
        <w:numPr>
          <w:ilvl w:val="0"/>
          <w:numId w:val="1"/>
        </w:numPr>
        <w:shd w:val="clear" w:color="auto" w:fill="FFFFFF"/>
        <w:spacing w:line="240" w:lineRule="auto"/>
        <w:jc w:val="both"/>
        <w:rPr>
          <w:rFonts w:ascii="Arial" w:eastAsia="Arial" w:hAnsi="Arial" w:cs="Arial"/>
          <w:sz w:val="24"/>
          <w:szCs w:val="24"/>
          <w:highlight w:val="white"/>
        </w:rPr>
      </w:pPr>
      <w:r w:rsidRPr="007927D0">
        <w:rPr>
          <w:rFonts w:ascii="Arial" w:eastAsia="Arial" w:hAnsi="Arial" w:cs="Arial"/>
          <w:sz w:val="24"/>
          <w:szCs w:val="24"/>
          <w:highlight w:val="white"/>
        </w:rPr>
        <w:t xml:space="preserve">“ En el área urbana, la desnutrición crónica afectó al 7,2% de este grupo población y en el área rural al 24,7% de las niñas y niños menores de cinco años de edad. Los departamentos que presentaron los niveles más altos de desnutrición crónica fueron: Huancavelica (31,5%), Loreto (25,2%), Cajamarca (24,4%), Huánuco (19,2%), Ayacucho (18,1%) y Pasco (18,0%). Por el contrario, los departamentos que mostraron los menores niveles de desnutrición fueron: Tacna (1,9%), Moquegua (2,2%), Lima Metropolitana (4,6%), Provincia Constitucional del Callao (5,6%), Ica (5,9%) y Arequipa (6,0%)... El 40,0% de la población de 6 a 35 meses de edad tiene anemia en el año 2020…en el área rural (48,4%), que la urbana (36,7%)” (Fuente INEI </w:t>
      </w:r>
      <w:hyperlink r:id="rId14" w:anchor=":~:text=En%20el%20a%C3%B1o%202020%2C%20el,de%20Resultados%20de%20los%20Programas">
        <w:r w:rsidRPr="007927D0">
          <w:rPr>
            <w:rFonts w:ascii="Arial" w:eastAsia="Arial" w:hAnsi="Arial" w:cs="Arial"/>
            <w:sz w:val="24"/>
            <w:szCs w:val="24"/>
            <w:highlight w:val="white"/>
            <w:u w:val="single"/>
          </w:rPr>
          <w:t>https://m.inei.gob.pe/prensa/noticias/el-121-de-la-poblacion-menor-de-cinco-anos-de-edad-del-pais-sufrio-desnutricion-cronica-en-el-ano-2020-12838/#:~:text=En%20el%20a%C3%B1o%202020%2C%20el,de%20Resultados%20de%20los%20Programas</w:t>
        </w:r>
      </w:hyperlink>
      <w:r w:rsidRPr="007927D0">
        <w:rPr>
          <w:rFonts w:ascii="Arial" w:eastAsia="Arial" w:hAnsi="Arial" w:cs="Arial"/>
          <w:sz w:val="24"/>
          <w:szCs w:val="24"/>
          <w:highlight w:val="white"/>
        </w:rPr>
        <w:t>).</w:t>
      </w:r>
    </w:p>
    <w:p w14:paraId="11F94DFE" w14:textId="77777777" w:rsidR="00BF1F83" w:rsidRPr="007927D0" w:rsidRDefault="00BF1F83" w:rsidP="007927D0">
      <w:pPr>
        <w:shd w:val="clear" w:color="auto" w:fill="FFFFFF"/>
        <w:spacing w:line="240" w:lineRule="auto"/>
        <w:jc w:val="both"/>
        <w:rPr>
          <w:rFonts w:ascii="Arial" w:eastAsia="Arial" w:hAnsi="Arial" w:cs="Arial"/>
          <w:sz w:val="24"/>
          <w:szCs w:val="24"/>
          <w:highlight w:val="white"/>
        </w:rPr>
      </w:pPr>
    </w:p>
    <w:p w14:paraId="4951506F" w14:textId="77777777" w:rsidR="00BF1F83" w:rsidRPr="007927D0" w:rsidRDefault="00BF1F83" w:rsidP="007927D0">
      <w:pPr>
        <w:pStyle w:val="H23G"/>
        <w:spacing w:line="240" w:lineRule="auto"/>
        <w:ind w:left="360" w:firstLine="0"/>
        <w:jc w:val="both"/>
        <w:rPr>
          <w:rFonts w:ascii="Arial" w:hAnsi="Arial" w:cs="Arial"/>
          <w:sz w:val="24"/>
          <w:szCs w:val="24"/>
          <w:lang w:val="es"/>
        </w:rPr>
      </w:pPr>
      <w:r w:rsidRPr="007927D0">
        <w:rPr>
          <w:rFonts w:ascii="Arial" w:hAnsi="Arial" w:cs="Arial"/>
          <w:sz w:val="24"/>
          <w:szCs w:val="24"/>
          <w:lang w:val="es"/>
        </w:rPr>
        <w:t>Derecho a un nivel de vida adecuado (art. 11): Avance de la anemia, inseguridad alimentaria y corrupción en programas de alimentación escolar</w:t>
      </w:r>
    </w:p>
    <w:p w14:paraId="1CF0E641" w14:textId="44A99130" w:rsidR="00BF1F83" w:rsidRPr="007927D0" w:rsidRDefault="00BF1F83" w:rsidP="007927D0">
      <w:pPr>
        <w:pStyle w:val="SingleTxtG"/>
        <w:numPr>
          <w:ilvl w:val="0"/>
          <w:numId w:val="1"/>
        </w:numPr>
        <w:tabs>
          <w:tab w:val="clear" w:pos="1701"/>
          <w:tab w:val="clear" w:pos="2268"/>
          <w:tab w:val="clear" w:pos="2835"/>
        </w:tabs>
        <w:spacing w:line="240" w:lineRule="auto"/>
        <w:rPr>
          <w:rFonts w:ascii="Arial" w:hAnsi="Arial" w:cs="Arial"/>
          <w:sz w:val="24"/>
          <w:szCs w:val="24"/>
          <w:lang w:val="es"/>
        </w:rPr>
      </w:pPr>
      <w:r w:rsidRPr="007927D0">
        <w:rPr>
          <w:rFonts w:ascii="Arial" w:hAnsi="Arial" w:cs="Arial"/>
          <w:b/>
          <w:bCs/>
          <w:sz w:val="24"/>
          <w:szCs w:val="24"/>
          <w:lang w:val="es"/>
        </w:rPr>
        <w:t>Anemia Infantil.</w:t>
      </w:r>
      <w:r w:rsidRPr="007927D0">
        <w:rPr>
          <w:rFonts w:ascii="Arial" w:hAnsi="Arial" w:cs="Arial"/>
          <w:sz w:val="24"/>
          <w:szCs w:val="24"/>
          <w:lang w:val="es"/>
        </w:rPr>
        <w:t xml:space="preserve"> Según ENDES 2023, la anemia infantil en Perú aumentó del 38.8% al 43.1% entre 2021 y 2023. Este incremento se observó en 16 de las 25 regiones del país, siendo más notable en las zonas costeras y en Lima Metropolitana. Aunque regiones como Huancavelica, Loreto y Ucayali lograron reducir la anemia durante este período, los niños de 6 a 18 meses ha sido el grupo etario más afectados. La mayoría de los casos son leves y afectan a todos los estratos sociales, incluso al 24% de los niños de familias con mayores ingresos. Además, el 23% de las adolescentes y el 29% de las gestantes también padecen de anemia. (Unicef, Perú 2024). Esto demuestra la ineficacia de los programas sociales en materia de alimentación, como Ollas Comunes y Qali Warma (Programa de alimentación escolar).  La falta de vinculación de los programas sociales en materia de alimentación a través del Ministerio de Desarrollo e Inclusión Social, responsable de implementar los programas; con el Ministerio de Salud, no permite hacer un seguimiento del avance de estos porgramas en la nutrición de nuestras poblaciones más vulnerables, en especial los niños.</w:t>
      </w:r>
    </w:p>
    <w:p w14:paraId="41A9D045" w14:textId="77777777" w:rsidR="00EF41A2" w:rsidRPr="007927D0" w:rsidRDefault="00BF1F83" w:rsidP="007927D0">
      <w:pPr>
        <w:pStyle w:val="SingleTxtG"/>
        <w:numPr>
          <w:ilvl w:val="0"/>
          <w:numId w:val="1"/>
        </w:numPr>
        <w:spacing w:line="240" w:lineRule="auto"/>
        <w:rPr>
          <w:rFonts w:ascii="Arial" w:hAnsi="Arial" w:cs="Arial"/>
          <w:b/>
          <w:bCs/>
          <w:sz w:val="24"/>
          <w:szCs w:val="24"/>
          <w:lang w:val="es"/>
        </w:rPr>
      </w:pPr>
      <w:r w:rsidRPr="007927D0">
        <w:rPr>
          <w:rFonts w:ascii="Arial" w:hAnsi="Arial" w:cs="Arial"/>
          <w:b/>
          <w:bCs/>
          <w:sz w:val="24"/>
          <w:szCs w:val="24"/>
          <w:lang w:val="es"/>
        </w:rPr>
        <w:t>Inseguridad alimentaria.</w:t>
      </w:r>
      <w:r w:rsidRPr="007927D0">
        <w:rPr>
          <w:rFonts w:ascii="Arial" w:hAnsi="Arial" w:cs="Arial"/>
          <w:sz w:val="24"/>
          <w:szCs w:val="24"/>
          <w:lang w:val="es"/>
        </w:rPr>
        <w:t xml:space="preserve"> Según la FAO, en 2023 (gobierno actual) el 51.7% de la población peruana enfrentó inseguridad alimentaria (17.6 millones de  personas). </w:t>
      </w:r>
      <w:r w:rsidRPr="007927D0">
        <w:rPr>
          <w:rFonts w:ascii="Arial" w:hAnsi="Arial" w:cs="Arial"/>
          <w:sz w:val="24"/>
          <w:szCs w:val="24"/>
        </w:rPr>
        <w:t>El INEI (Instituto Nacional de Estadística e Informática) y OXFAM reportaron que en 2023 el 29% de la población peruana vivía en pobreza monetaria. El IEP (Instituto de Estudios Peruanos) señaló que 6 de cada 10 peruanos han experimentado escasez de alimentos en sus hogares en los últimos tres meses (información recogida en el segundo semestre de 2024).</w:t>
      </w:r>
      <w:r w:rsidRPr="007927D0">
        <w:rPr>
          <w:rFonts w:ascii="Arial" w:hAnsi="Arial" w:cs="Arial"/>
          <w:sz w:val="24"/>
          <w:szCs w:val="24"/>
          <w:lang w:val="es"/>
        </w:rPr>
        <w:t xml:space="preserve"> Ante esta problemática, e</w:t>
      </w:r>
      <w:r w:rsidRPr="007927D0">
        <w:rPr>
          <w:rFonts w:ascii="Arial" w:hAnsi="Arial" w:cs="Arial"/>
          <w:sz w:val="24"/>
          <w:szCs w:val="24"/>
        </w:rPr>
        <w:t>l gobierno actual ocultó la información en un inicio, siendo de conocimiento público a casi nueve meses de elaborado el documento por el Ministerio de Desarrollo e Inclusión Social. En el ámbito de la vocería desde el gobierno, el ministro de Agricultura de, Ángel Manero, afirmó que en el país no se pasa hambre. Sus declaraciones fueron cuestionadas por organizaciones como la FAO y por la opinión pública, ya que los datos indican que la inseguridad alimentaria es un problema grave en el país.</w:t>
      </w:r>
    </w:p>
    <w:p w14:paraId="743D8388" w14:textId="3B3D81D0" w:rsidR="00BF1F83" w:rsidRPr="007927D0" w:rsidRDefault="00BF1F83" w:rsidP="007927D0">
      <w:pPr>
        <w:pStyle w:val="SingleTxtG"/>
        <w:numPr>
          <w:ilvl w:val="0"/>
          <w:numId w:val="1"/>
        </w:numPr>
        <w:spacing w:line="240" w:lineRule="auto"/>
        <w:rPr>
          <w:rFonts w:ascii="Arial" w:hAnsi="Arial" w:cs="Arial"/>
          <w:b/>
          <w:bCs/>
          <w:sz w:val="24"/>
          <w:szCs w:val="24"/>
          <w:lang w:val="es"/>
        </w:rPr>
      </w:pPr>
      <w:r w:rsidRPr="007927D0">
        <w:rPr>
          <w:rFonts w:ascii="Arial" w:hAnsi="Arial" w:cs="Arial"/>
          <w:sz w:val="24"/>
          <w:szCs w:val="24"/>
          <w:lang w:val="es"/>
        </w:rPr>
        <w:t xml:space="preserve">hace tan solo 16 meses, mediante Decreto Supremo N° 002-2023-MIDIS de 27 de julio del 2023 se declaró prioridad nacional la elaboración y aprobación de la medición oficial de la pobreza </w:t>
      </w:r>
      <w:r w:rsidRPr="007927D0">
        <w:rPr>
          <w:rFonts w:ascii="Arial" w:hAnsi="Arial" w:cs="Arial"/>
          <w:sz w:val="24"/>
          <w:szCs w:val="24"/>
          <w:lang w:val="es"/>
        </w:rPr>
        <w:lastRenderedPageBreak/>
        <w:t>multidimensional complementaria a la medición de la pobreza monetaria. Sin embargo, con el decreto supremo N° 014-2024-MIDIS, del 29 de diciembre de 2024, de manera silenciosa el Ejecutivo autorizó que la pobreza multidimensional sea evaluada con un único indicador a partir de los lineamientos del Ministerio de Desarrollo e Inclusión Social, lo que favorece a que los datos puedan caer en manipulaciones políticas por el régimen de Dina Boluarte, el cual intentó ocultar las cifras de 2023.</w:t>
      </w:r>
    </w:p>
    <w:p w14:paraId="76EBFBFA" w14:textId="77777777" w:rsidR="00BF1F83" w:rsidRPr="007927D0" w:rsidRDefault="00BF1F83" w:rsidP="007927D0">
      <w:pPr>
        <w:pStyle w:val="SingleTxtG"/>
        <w:spacing w:line="240" w:lineRule="auto"/>
        <w:ind w:left="720"/>
        <w:rPr>
          <w:rFonts w:ascii="Arial" w:hAnsi="Arial" w:cs="Arial"/>
          <w:sz w:val="24"/>
          <w:szCs w:val="24"/>
          <w:lang w:val="es"/>
        </w:rPr>
      </w:pPr>
      <w:hyperlink r:id="rId15" w:history="1">
        <w:r w:rsidRPr="007927D0">
          <w:rPr>
            <w:rStyle w:val="Hipervnculo"/>
            <w:rFonts w:ascii="Arial" w:hAnsi="Arial" w:cs="Arial"/>
            <w:sz w:val="24"/>
            <w:szCs w:val="24"/>
            <w:lang w:val="es"/>
          </w:rPr>
          <w:t>https://busquedas.elperuano.pe/dispositivo/NL/2358391-5</w:t>
        </w:r>
      </w:hyperlink>
    </w:p>
    <w:p w14:paraId="562EA486" w14:textId="0242B2BF" w:rsidR="00BF1F83" w:rsidRPr="007927D0" w:rsidRDefault="00BF1F83" w:rsidP="007927D0">
      <w:pPr>
        <w:pStyle w:val="SingleTxtG"/>
        <w:numPr>
          <w:ilvl w:val="0"/>
          <w:numId w:val="1"/>
        </w:numPr>
        <w:spacing w:line="240" w:lineRule="auto"/>
        <w:rPr>
          <w:rFonts w:ascii="Arial" w:hAnsi="Arial" w:cs="Arial"/>
          <w:sz w:val="24"/>
          <w:szCs w:val="24"/>
          <w:lang w:val="es"/>
        </w:rPr>
      </w:pPr>
      <w:r w:rsidRPr="007927D0">
        <w:rPr>
          <w:rFonts w:ascii="Arial" w:hAnsi="Arial" w:cs="Arial"/>
          <w:sz w:val="24"/>
          <w:szCs w:val="24"/>
          <w:lang w:val="es"/>
        </w:rPr>
        <w:t xml:space="preserve">Corrupción en el programa de alimentación escolar. En Perú, hasta fines de 2024, el Ministerio de Desarrollo e Inclusión Social de este gobierno, implementó el </w:t>
      </w:r>
      <w:r w:rsidRPr="007927D0">
        <w:rPr>
          <w:rFonts w:ascii="Arial" w:hAnsi="Arial" w:cs="Arial"/>
          <w:sz w:val="24"/>
          <w:szCs w:val="24"/>
        </w:rPr>
        <w:t>Programa Nacional de Alimentación Escolar denominado Qali Warma (con una inversión de PEN 2,300 millones en 2023), el cual, se suponía, garantizaba el servicio alimentario a los estudiantes de colegios públicos del país, durante todos los días del año escolar, de acuerdo a sus características y las zonas donde viven.</w:t>
      </w:r>
    </w:p>
    <w:p w14:paraId="566A8883" w14:textId="0E111E75" w:rsidR="00BF1F83" w:rsidRPr="007927D0" w:rsidRDefault="00BF1F83" w:rsidP="007927D0">
      <w:pPr>
        <w:pStyle w:val="SingleTxtG"/>
        <w:numPr>
          <w:ilvl w:val="0"/>
          <w:numId w:val="1"/>
        </w:numPr>
        <w:spacing w:line="240" w:lineRule="auto"/>
        <w:rPr>
          <w:rFonts w:ascii="Arial" w:hAnsi="Arial" w:cs="Arial"/>
          <w:sz w:val="24"/>
          <w:szCs w:val="24"/>
          <w:lang w:val="es"/>
        </w:rPr>
      </w:pPr>
      <w:r w:rsidRPr="007927D0">
        <w:rPr>
          <w:rFonts w:ascii="Arial" w:hAnsi="Arial" w:cs="Arial"/>
          <w:sz w:val="24"/>
          <w:szCs w:val="24"/>
          <w:lang w:val="es"/>
        </w:rPr>
        <w:t>Se decide cambiar el programa de alimentación escolar Qali Warma, ante el escándalo de corrupción documentado desde que la actual mandataria era ministra del Ministerio de Desarrollo e Inclusión social, en el cual, su vocero oficial, Fredy Hinojosa, era el director del programa, periodo en el que se beneficiaron a empresas que en poco tiempo incrementaron exponencialmente su patrimonio, en base a la venta de productos de baja calidad y en mal estado, lo que llevó a la intoxicación de niños en varias oportunidades en diversas regiones. Este programa, nunca tuvo vinculación con el Ministerio de Salud, para realizar el seguimiento en cuanto a su impacto en el desarrollo de los escolares más pobres del país.</w:t>
      </w:r>
    </w:p>
    <w:p w14:paraId="5003EFA4" w14:textId="0B08B6AD" w:rsidR="00BF1F83" w:rsidRPr="007927D0" w:rsidRDefault="00BF1F83" w:rsidP="007927D0">
      <w:pPr>
        <w:pStyle w:val="SingleTxtG"/>
        <w:numPr>
          <w:ilvl w:val="0"/>
          <w:numId w:val="1"/>
        </w:numPr>
        <w:spacing w:line="240" w:lineRule="auto"/>
        <w:rPr>
          <w:rFonts w:ascii="Arial" w:hAnsi="Arial" w:cs="Arial"/>
          <w:sz w:val="24"/>
          <w:szCs w:val="24"/>
          <w:lang w:val="es-MX"/>
        </w:rPr>
      </w:pPr>
      <w:r w:rsidRPr="007927D0">
        <w:rPr>
          <w:rFonts w:ascii="Arial" w:hAnsi="Arial" w:cs="Arial"/>
          <w:sz w:val="24"/>
          <w:szCs w:val="24"/>
          <w:lang w:val="es"/>
        </w:rPr>
        <w:t xml:space="preserve">Este programa será reemplazado por el ahora denominado Wasi Mikuna, lanzado a fines de noviembre de 2024 y que iniciará actividades en las escuelas en el año escolar 2025. La norma legal es el </w:t>
      </w:r>
      <w:r w:rsidRPr="007927D0">
        <w:rPr>
          <w:rFonts w:ascii="Arial" w:hAnsi="Arial" w:cs="Arial"/>
          <w:sz w:val="24"/>
          <w:szCs w:val="24"/>
          <w:lang w:val="es-MX"/>
        </w:rPr>
        <w:t>Decreto Supremo N° 010-2024-MIDIS, que modifica el Decreto Supremo N° 008-2012-MIDIS de creación del Programa Nacional de Alimentación Escolar Qali Warma y regula el nuevo Programa Nacional de Alimentación Escolar Comunitaria Wasi Mikuna estableciendo medidas para su fortalecimiento y mejora.</w:t>
      </w:r>
    </w:p>
    <w:p w14:paraId="7EB18DDA" w14:textId="0CACF831" w:rsidR="000761CD" w:rsidRDefault="00BF1F83" w:rsidP="007927D0">
      <w:pPr>
        <w:pStyle w:val="SingleTxtG"/>
        <w:spacing w:line="240" w:lineRule="auto"/>
        <w:ind w:left="720"/>
        <w:rPr>
          <w:rFonts w:ascii="Arial" w:hAnsi="Arial" w:cs="Arial"/>
          <w:sz w:val="24"/>
          <w:szCs w:val="24"/>
          <w:lang w:val="es-MX"/>
        </w:rPr>
      </w:pPr>
      <w:hyperlink r:id="rId16" w:history="1">
        <w:r w:rsidRPr="007927D0">
          <w:rPr>
            <w:rStyle w:val="Hipervnculo"/>
            <w:rFonts w:ascii="Arial" w:hAnsi="Arial" w:cs="Arial"/>
            <w:sz w:val="24"/>
            <w:szCs w:val="24"/>
            <w:lang w:val="es-MX"/>
          </w:rPr>
          <w:t>https://busquedas.elperuano.pe/dispositivo/NL/2350706-4</w:t>
        </w:r>
      </w:hyperlink>
      <w:r w:rsidRPr="007927D0">
        <w:rPr>
          <w:rFonts w:ascii="Arial" w:hAnsi="Arial" w:cs="Arial"/>
          <w:sz w:val="24"/>
          <w:szCs w:val="24"/>
          <w:lang w:val="es-MX"/>
        </w:rPr>
        <w:t xml:space="preserve"> </w:t>
      </w:r>
    </w:p>
    <w:p w14:paraId="0880AB49" w14:textId="77777777" w:rsidR="00DB581B" w:rsidRDefault="00DB581B" w:rsidP="007927D0">
      <w:pPr>
        <w:pStyle w:val="SingleTxtG"/>
        <w:spacing w:line="240" w:lineRule="auto"/>
        <w:ind w:left="720"/>
        <w:rPr>
          <w:rFonts w:ascii="Arial" w:hAnsi="Arial" w:cs="Arial"/>
          <w:sz w:val="24"/>
          <w:szCs w:val="24"/>
          <w:lang w:val="es-MX"/>
        </w:rPr>
      </w:pPr>
    </w:p>
    <w:p w14:paraId="13593A4A" w14:textId="77777777" w:rsidR="00DB581B" w:rsidRDefault="00DB581B" w:rsidP="007927D0">
      <w:pPr>
        <w:pStyle w:val="SingleTxtG"/>
        <w:spacing w:line="240" w:lineRule="auto"/>
        <w:ind w:left="720"/>
        <w:rPr>
          <w:rFonts w:ascii="Arial" w:hAnsi="Arial" w:cs="Arial"/>
          <w:sz w:val="24"/>
          <w:szCs w:val="24"/>
          <w:lang w:val="es-MX"/>
        </w:rPr>
      </w:pPr>
    </w:p>
    <w:p w14:paraId="5513BF22" w14:textId="77777777" w:rsidR="00DB581B" w:rsidRPr="007927D0" w:rsidRDefault="00DB581B" w:rsidP="007927D0">
      <w:pPr>
        <w:pStyle w:val="SingleTxtG"/>
        <w:spacing w:line="240" w:lineRule="auto"/>
        <w:ind w:left="720"/>
        <w:rPr>
          <w:rFonts w:ascii="Arial" w:hAnsi="Arial" w:cs="Arial"/>
          <w:sz w:val="24"/>
          <w:szCs w:val="24"/>
          <w:lang w:val="es-MX"/>
        </w:rPr>
      </w:pPr>
    </w:p>
    <w:p w14:paraId="7C9BDEB3" w14:textId="77777777" w:rsidR="000761CD" w:rsidRPr="007927D0" w:rsidRDefault="000761CD" w:rsidP="007927D0">
      <w:pPr>
        <w:spacing w:after="0" w:line="240" w:lineRule="auto"/>
        <w:jc w:val="both"/>
        <w:rPr>
          <w:rFonts w:ascii="Arial" w:eastAsia="Arial" w:hAnsi="Arial" w:cs="Arial"/>
          <w:sz w:val="24"/>
          <w:szCs w:val="24"/>
        </w:rPr>
      </w:pPr>
    </w:p>
    <w:p w14:paraId="02BB78A2" w14:textId="77777777" w:rsidR="000761CD" w:rsidRPr="007927D0" w:rsidRDefault="00492070" w:rsidP="007927D0">
      <w:pPr>
        <w:numPr>
          <w:ilvl w:val="0"/>
          <w:numId w:val="3"/>
        </w:numPr>
        <w:pBdr>
          <w:top w:val="nil"/>
          <w:left w:val="nil"/>
          <w:bottom w:val="nil"/>
          <w:right w:val="nil"/>
          <w:between w:val="nil"/>
        </w:pBdr>
        <w:spacing w:after="0" w:line="240" w:lineRule="auto"/>
        <w:jc w:val="both"/>
        <w:rPr>
          <w:rFonts w:ascii="Arial" w:eastAsia="Arial" w:hAnsi="Arial" w:cs="Arial"/>
          <w:b/>
          <w:sz w:val="24"/>
          <w:szCs w:val="24"/>
        </w:rPr>
      </w:pPr>
      <w:r w:rsidRPr="007927D0">
        <w:rPr>
          <w:rFonts w:ascii="Arial" w:eastAsia="Arial" w:hAnsi="Arial" w:cs="Arial"/>
          <w:b/>
          <w:sz w:val="24"/>
          <w:szCs w:val="24"/>
        </w:rPr>
        <w:lastRenderedPageBreak/>
        <w:t xml:space="preserve">Derecho a la Educación </w:t>
      </w:r>
    </w:p>
    <w:p w14:paraId="04F22E8E" w14:textId="77777777" w:rsidR="001201F1" w:rsidRPr="007927D0" w:rsidRDefault="001201F1" w:rsidP="007927D0">
      <w:pPr>
        <w:pStyle w:val="H23G"/>
        <w:spacing w:line="240" w:lineRule="auto"/>
        <w:ind w:left="0" w:firstLine="0"/>
        <w:jc w:val="both"/>
        <w:rPr>
          <w:rFonts w:ascii="Arial" w:hAnsi="Arial" w:cs="Arial"/>
          <w:sz w:val="24"/>
          <w:szCs w:val="24"/>
          <w:lang w:val="es"/>
        </w:rPr>
      </w:pPr>
      <w:r w:rsidRPr="007927D0">
        <w:rPr>
          <w:rFonts w:ascii="Arial" w:hAnsi="Arial" w:cs="Arial"/>
          <w:sz w:val="24"/>
          <w:szCs w:val="24"/>
          <w:lang w:val="es"/>
        </w:rPr>
        <w:t>Sobre el Derecho a la educación (arts. 13 y 14): Ley Mordaza para maestros, la Constitución Política para Escolares e infraestructura educativa.</w:t>
      </w:r>
    </w:p>
    <w:p w14:paraId="119EA05A" w14:textId="77777777" w:rsidR="00EF41A2" w:rsidRPr="007927D0" w:rsidRDefault="001201F1" w:rsidP="007927D0">
      <w:pPr>
        <w:pStyle w:val="SingleTxtG"/>
        <w:numPr>
          <w:ilvl w:val="0"/>
          <w:numId w:val="1"/>
        </w:numPr>
        <w:spacing w:line="240" w:lineRule="auto"/>
        <w:rPr>
          <w:rFonts w:ascii="Arial" w:hAnsi="Arial" w:cs="Arial"/>
          <w:sz w:val="24"/>
          <w:szCs w:val="24"/>
          <w:lang w:val="es"/>
        </w:rPr>
      </w:pPr>
      <w:r w:rsidRPr="007927D0">
        <w:rPr>
          <w:rFonts w:ascii="Arial" w:hAnsi="Arial" w:cs="Arial"/>
          <w:b/>
          <w:bCs/>
          <w:sz w:val="24"/>
          <w:szCs w:val="24"/>
          <w:lang w:val="es"/>
        </w:rPr>
        <w:t>Ley mordaza para maestros.</w:t>
      </w:r>
      <w:r w:rsidRPr="007927D0">
        <w:rPr>
          <w:rFonts w:ascii="Arial" w:hAnsi="Arial" w:cs="Arial"/>
          <w:sz w:val="24"/>
          <w:szCs w:val="24"/>
          <w:lang w:val="es"/>
        </w:rPr>
        <w:t xml:space="preserve"> De manera sistemática, durante el actual gobierno, tanto desde el Legislativo como desde el Ejecutivo se ha presentado diversos proyectos de ley que pretenden modificar la Ley de Reforma Magisterial en los artículos 18°, 44°, 48°, 49° y 52°, relativos a los requisitos para postular a la Carrera Pública Magisterial (18°), medidas preventivas (44°), cese temporal (48°), destitución (49°) y la inhabilitación (52°). Entre noviembre de 2023 y febrero de 2024, son tres los proyectos de ley presentados para modificar la Ley N° 29944, Ley de Reforma Magisterial: Proyecto de Ley N° 6488/2023-CR, presentado el 22 de noviembre de 2023; Proyecto de Ley N° 6511/2023-PE, presentado el 23 de noviembre de 2023; Proyecto de Ley N° 7045/2023-PE, presentado el 14 de febrero de 2024. En este último proyecto de ley, se establece una serie de sanciones, siendo la más grave, la destitución en diversos casos, incluso en los que los maestros expresen una ideología contraria </w:t>
      </w:r>
      <w:r w:rsidRPr="007927D0">
        <w:rPr>
          <w:rFonts w:ascii="Arial" w:hAnsi="Arial" w:cs="Arial"/>
          <w:i/>
          <w:iCs/>
          <w:sz w:val="24"/>
          <w:szCs w:val="24"/>
          <w:lang w:val="es"/>
        </w:rPr>
        <w:t>al orden constitucional, al sistema democrático y/o al respeto a los derechos humanos.</w:t>
      </w:r>
    </w:p>
    <w:p w14:paraId="47955A59" w14:textId="77777777" w:rsidR="00EF41A2" w:rsidRPr="007927D0" w:rsidRDefault="001201F1" w:rsidP="007927D0">
      <w:pPr>
        <w:pStyle w:val="SingleTxtG"/>
        <w:numPr>
          <w:ilvl w:val="0"/>
          <w:numId w:val="1"/>
        </w:numPr>
        <w:spacing w:line="240" w:lineRule="auto"/>
        <w:rPr>
          <w:rFonts w:ascii="Arial" w:hAnsi="Arial" w:cs="Arial"/>
          <w:sz w:val="24"/>
          <w:szCs w:val="24"/>
          <w:lang w:val="es"/>
        </w:rPr>
      </w:pPr>
      <w:r w:rsidRPr="007927D0">
        <w:rPr>
          <w:rFonts w:ascii="Arial" w:hAnsi="Arial" w:cs="Arial"/>
          <w:sz w:val="24"/>
          <w:szCs w:val="24"/>
          <w:lang w:val="es"/>
        </w:rPr>
        <w:t xml:space="preserve">Sindicatos de maestros y colectivos docentes, han expresado el atentado que esta ley supondría no solo por la conculcación de derechos de los maestros, ya que al </w:t>
      </w:r>
      <w:r w:rsidRPr="007927D0">
        <w:rPr>
          <w:rFonts w:ascii="Arial" w:hAnsi="Arial" w:cs="Arial"/>
          <w:sz w:val="24"/>
          <w:szCs w:val="24"/>
          <w:lang w:val="es-MX"/>
        </w:rPr>
        <w:t>restringir el acceso y permanencia de docentes afectan el derecho a la estabilidad laboral</w:t>
      </w:r>
      <w:r w:rsidRPr="007927D0">
        <w:rPr>
          <w:rFonts w:ascii="Arial" w:hAnsi="Arial" w:cs="Arial"/>
          <w:sz w:val="24"/>
          <w:szCs w:val="24"/>
          <w:lang w:val="es"/>
        </w:rPr>
        <w:t xml:space="preserve"> sino que </w:t>
      </w:r>
      <w:r w:rsidRPr="007927D0">
        <w:rPr>
          <w:rFonts w:ascii="Arial" w:hAnsi="Arial" w:cs="Arial"/>
          <w:i/>
          <w:iCs/>
          <w:sz w:val="24"/>
          <w:szCs w:val="24"/>
          <w:lang w:val="es-MX"/>
        </w:rPr>
        <w:t>y, a la vez, le exige al docente en la escuela pública, el adoctrinamiento político y la docilidad a las políticas del gobierno vigente.</w:t>
      </w:r>
      <w:r w:rsidRPr="007927D0">
        <w:rPr>
          <w:rFonts w:ascii="Arial" w:hAnsi="Arial" w:cs="Arial"/>
          <w:sz w:val="24"/>
          <w:szCs w:val="24"/>
          <w:lang w:val="es-MX"/>
        </w:rPr>
        <w:t xml:space="preserve"> (Iguiñiz, 2024).</w:t>
      </w:r>
    </w:p>
    <w:p w14:paraId="2312DB71" w14:textId="45E043C9" w:rsidR="001201F1" w:rsidRPr="007927D0" w:rsidRDefault="001201F1" w:rsidP="007927D0">
      <w:pPr>
        <w:pStyle w:val="SingleTxtG"/>
        <w:numPr>
          <w:ilvl w:val="0"/>
          <w:numId w:val="1"/>
        </w:numPr>
        <w:spacing w:line="240" w:lineRule="auto"/>
        <w:rPr>
          <w:rFonts w:ascii="Arial" w:hAnsi="Arial" w:cs="Arial"/>
          <w:sz w:val="24"/>
          <w:szCs w:val="24"/>
          <w:lang w:val="es"/>
        </w:rPr>
      </w:pPr>
      <w:r w:rsidRPr="007927D0">
        <w:rPr>
          <w:rFonts w:ascii="Arial" w:hAnsi="Arial" w:cs="Arial"/>
          <w:sz w:val="24"/>
          <w:szCs w:val="24"/>
          <w:lang w:val="es-MX"/>
        </w:rPr>
        <w:t>El gobierno, en su estrategia comunicacional respecto al tema, se atribuye y enarbola la lucha por la constitucionalidad, la democracia, la paz y los derechos humanos. Especialmente </w:t>
      </w:r>
      <w:r w:rsidRPr="007927D0">
        <w:rPr>
          <w:rFonts w:ascii="Arial" w:hAnsi="Arial" w:cs="Arial"/>
          <w:i/>
          <w:iCs/>
          <w:sz w:val="24"/>
          <w:szCs w:val="24"/>
          <w:lang w:val="es-MX"/>
        </w:rPr>
        <w:t>coloca a la educación pública, en un rol de restricción de la pluralidad en la sociedad, el ejercicio de la ciudadanía plena y el derecho a la protesta. La autoría del actual proyecto es del MINEDU y el Poder Ejecutivo, pero los une con la coalición de una educación para una ciudadanía obediente, domesticada, resignada a la corrupción y la delincuencia. </w:t>
      </w:r>
      <w:r w:rsidRPr="007927D0">
        <w:rPr>
          <w:rFonts w:ascii="Arial" w:hAnsi="Arial" w:cs="Arial"/>
          <w:sz w:val="24"/>
          <w:szCs w:val="24"/>
          <w:lang w:val="es-MX"/>
        </w:rPr>
        <w:t>(Iguiñiz, 2024).</w:t>
      </w:r>
    </w:p>
    <w:p w14:paraId="25793DE5" w14:textId="77777777" w:rsidR="001201F1" w:rsidRPr="007927D0" w:rsidRDefault="001201F1" w:rsidP="007927D0">
      <w:pPr>
        <w:pStyle w:val="SingleTxtG"/>
        <w:tabs>
          <w:tab w:val="clear" w:pos="1701"/>
          <w:tab w:val="clear" w:pos="2268"/>
          <w:tab w:val="clear" w:pos="2835"/>
        </w:tabs>
        <w:spacing w:line="240" w:lineRule="auto"/>
        <w:ind w:left="720"/>
        <w:rPr>
          <w:rFonts w:ascii="Arial" w:hAnsi="Arial" w:cs="Arial"/>
          <w:sz w:val="24"/>
          <w:szCs w:val="24"/>
          <w:lang w:val="es"/>
        </w:rPr>
      </w:pPr>
      <w:r w:rsidRPr="007927D0">
        <w:rPr>
          <w:rFonts w:ascii="Arial" w:hAnsi="Arial" w:cs="Arial"/>
          <w:sz w:val="24"/>
          <w:szCs w:val="24"/>
          <w:lang w:val="es"/>
        </w:rPr>
        <w:t>Información ampliada sobre este tema:</w:t>
      </w:r>
    </w:p>
    <w:p w14:paraId="37483B61" w14:textId="77777777" w:rsidR="001201F1" w:rsidRPr="007927D0" w:rsidRDefault="001201F1" w:rsidP="007927D0">
      <w:pPr>
        <w:pStyle w:val="SingleTxtG"/>
        <w:tabs>
          <w:tab w:val="clear" w:pos="1701"/>
          <w:tab w:val="clear" w:pos="2268"/>
          <w:tab w:val="clear" w:pos="2835"/>
        </w:tabs>
        <w:spacing w:line="240" w:lineRule="auto"/>
        <w:ind w:left="720"/>
        <w:rPr>
          <w:rFonts w:ascii="Arial" w:hAnsi="Arial" w:cs="Arial"/>
          <w:sz w:val="24"/>
          <w:szCs w:val="24"/>
          <w:lang w:val="es"/>
        </w:rPr>
      </w:pPr>
      <w:hyperlink r:id="rId17" w:history="1">
        <w:r w:rsidRPr="007927D0">
          <w:rPr>
            <w:rStyle w:val="Hipervnculo"/>
            <w:rFonts w:ascii="Arial" w:hAnsi="Arial" w:cs="Arial"/>
            <w:sz w:val="24"/>
            <w:szCs w:val="24"/>
          </w:rPr>
          <w:t>https://www.ohchr.org/sites/default/files/documents/issues/education/cfis/cfi-expression/subm-academic-freedom-cso-red-nacio-peru-peru.docx</w:t>
        </w:r>
      </w:hyperlink>
      <w:r w:rsidRPr="007927D0">
        <w:rPr>
          <w:rFonts w:ascii="Arial" w:hAnsi="Arial" w:cs="Arial"/>
          <w:sz w:val="24"/>
          <w:szCs w:val="24"/>
          <w:u w:val="single"/>
        </w:rPr>
        <w:t xml:space="preserve"> </w:t>
      </w:r>
    </w:p>
    <w:p w14:paraId="691AD320" w14:textId="77777777" w:rsidR="001201F1" w:rsidRPr="007927D0" w:rsidRDefault="001201F1" w:rsidP="007927D0">
      <w:pPr>
        <w:pStyle w:val="SingleTxtG"/>
        <w:numPr>
          <w:ilvl w:val="0"/>
          <w:numId w:val="1"/>
        </w:numPr>
        <w:spacing w:line="240" w:lineRule="auto"/>
        <w:rPr>
          <w:rFonts w:ascii="Arial" w:hAnsi="Arial" w:cs="Arial"/>
          <w:sz w:val="24"/>
          <w:szCs w:val="24"/>
          <w:lang w:val="es"/>
        </w:rPr>
      </w:pPr>
      <w:r w:rsidRPr="007927D0">
        <w:rPr>
          <w:rFonts w:ascii="Arial" w:hAnsi="Arial" w:cs="Arial"/>
          <w:sz w:val="24"/>
          <w:szCs w:val="24"/>
          <w:lang w:val="es"/>
        </w:rPr>
        <w:lastRenderedPageBreak/>
        <w:t>Constitución Política del Perú para Escolares. En Perú, el Fondo Editorial del Congreso está dirigido por el partido Fuerza Popular. A inicios de julio de 2023, se lanza la publicación “La Constitución Política del Perú para Escolares”. En las fotos del lanzamiento, se incluye a escolares menores de edad, lo que sugiere que es un material cuyo destino son las escuelas del país.</w:t>
      </w:r>
    </w:p>
    <w:p w14:paraId="4DD1CCF7" w14:textId="77777777" w:rsidR="00EF41A2" w:rsidRPr="007927D0" w:rsidRDefault="001201F1" w:rsidP="007927D0">
      <w:pPr>
        <w:pStyle w:val="SingleTxtG"/>
        <w:spacing w:line="240" w:lineRule="auto"/>
        <w:ind w:left="720"/>
        <w:rPr>
          <w:rFonts w:ascii="Arial" w:hAnsi="Arial" w:cs="Arial"/>
          <w:sz w:val="24"/>
          <w:szCs w:val="24"/>
          <w:lang w:val="es"/>
        </w:rPr>
      </w:pPr>
      <w:hyperlink r:id="rId18" w:history="1">
        <w:r w:rsidRPr="007927D0">
          <w:rPr>
            <w:rStyle w:val="Hipervnculo"/>
            <w:rFonts w:ascii="Arial" w:hAnsi="Arial" w:cs="Arial"/>
            <w:sz w:val="24"/>
            <w:szCs w:val="24"/>
            <w:lang w:val="es"/>
          </w:rPr>
          <w:t>https://comunicaciones.congreso.gob.pe/noticias/fondo-editorial-del-congreso-presento-libro-constitucion-politica-del-peru-para-escolares/</w:t>
        </w:r>
      </w:hyperlink>
    </w:p>
    <w:p w14:paraId="51C20D0C" w14:textId="10226A92" w:rsidR="001201F1" w:rsidRPr="007927D0" w:rsidRDefault="001201F1" w:rsidP="007927D0">
      <w:pPr>
        <w:pStyle w:val="SingleTxtG"/>
        <w:numPr>
          <w:ilvl w:val="0"/>
          <w:numId w:val="1"/>
        </w:numPr>
        <w:spacing w:line="240" w:lineRule="auto"/>
        <w:rPr>
          <w:rFonts w:ascii="Arial" w:hAnsi="Arial" w:cs="Arial"/>
          <w:sz w:val="24"/>
          <w:szCs w:val="24"/>
          <w:lang w:val="es"/>
        </w:rPr>
      </w:pPr>
      <w:r w:rsidRPr="007927D0">
        <w:rPr>
          <w:rFonts w:ascii="Arial" w:hAnsi="Arial" w:cs="Arial"/>
          <w:sz w:val="24"/>
          <w:szCs w:val="24"/>
          <w:lang w:val="es"/>
        </w:rPr>
        <w:t>La ruta para que las publicaciones sean incluidas dentro del material de estudio para los escolares de escuelas públicas en Perú, pasa por el Ministerio de Educación, por lo cual este material no puede ser presentado en los medios de comunicación como un recurso educativo. El Congreso de la República inicia una campaña sobre esta publicación, que incluye información falsa y tendenciosa, llamando al golpe de Estado de Fujimori, el 5 de abril de 1992 como que “El presidente Fujimori dejó sin efecto la Constitución de 1979, a fin de devolvernos la paz y reconstruir la economía de nuestro país”. También sobre el golpe de Estado: “Esta medida permitió que el país superara aquellos problemas que amenazaban a todos los peruanos…” No se refiere en ningún extremo a un golpe de Estado y presenta a Alberto Fujimori heroico. El quiebre del estado de derecho se normaliza y se reivindica. El material es a juicio de especialistas, una tergiversación de la historia y una amenaza a la formación ciudadana de nuevas generaciones de peruanos, “considerado atentatorio a la formación integral de nuestros escolares al exaltar, justificar, enaltecer a una persona condenada por autoría de delitos, tergiversar la historia con información falsa y promover los antivalores en nuestra población estudiantil.”</w:t>
      </w:r>
    </w:p>
    <w:p w14:paraId="1C7B58D5" w14:textId="77777777" w:rsidR="001201F1" w:rsidRPr="007927D0" w:rsidRDefault="001201F1" w:rsidP="007927D0">
      <w:pPr>
        <w:pStyle w:val="SingleTxtG"/>
        <w:numPr>
          <w:ilvl w:val="0"/>
          <w:numId w:val="1"/>
        </w:numPr>
        <w:spacing w:line="240" w:lineRule="auto"/>
        <w:rPr>
          <w:rFonts w:ascii="Arial" w:hAnsi="Arial" w:cs="Arial"/>
          <w:sz w:val="24"/>
          <w:szCs w:val="24"/>
        </w:rPr>
      </w:pPr>
      <w:r w:rsidRPr="007927D0">
        <w:rPr>
          <w:rFonts w:ascii="Arial" w:hAnsi="Arial" w:cs="Arial"/>
          <w:b/>
          <w:bCs/>
          <w:sz w:val="24"/>
          <w:szCs w:val="24"/>
          <w:lang w:val="es"/>
        </w:rPr>
        <w:t>Infraestructura Educativa:</w:t>
      </w:r>
      <w:r w:rsidRPr="007927D0">
        <w:rPr>
          <w:rFonts w:ascii="Arial" w:hAnsi="Arial" w:cs="Arial"/>
          <w:sz w:val="24"/>
          <w:szCs w:val="24"/>
          <w:lang w:val="es"/>
        </w:rPr>
        <w:t xml:space="preserve"> Las Escuelas Bicentenario. H</w:t>
      </w:r>
      <w:r w:rsidRPr="007927D0">
        <w:rPr>
          <w:rFonts w:ascii="Arial" w:hAnsi="Arial" w:cs="Arial"/>
          <w:sz w:val="24"/>
          <w:szCs w:val="24"/>
        </w:rPr>
        <w:t>asta diciembre de 2023, la brecha de infraestructura educativa estimada en el Perú ascendió a S/ 174,603 millones, según Ministerio de Educación (Minedu). Ante este problema, el gobierno responde a la ciudadanía con la implementación del denominado  Proyecto Especial de Inversión Pública Escuelas Bicentenario, (</w:t>
      </w:r>
      <w:hyperlink r:id="rId19" w:history="1">
        <w:r w:rsidRPr="007927D0">
          <w:rPr>
            <w:rStyle w:val="Hipervnculo"/>
            <w:rFonts w:ascii="Arial" w:hAnsi="Arial" w:cs="Arial"/>
            <w:sz w:val="24"/>
            <w:szCs w:val="24"/>
          </w:rPr>
          <w:t>https://peip-eb.gob.pe/</w:t>
        </w:r>
      </w:hyperlink>
      <w:r w:rsidRPr="007927D0">
        <w:rPr>
          <w:rFonts w:ascii="Arial" w:hAnsi="Arial" w:cs="Arial"/>
          <w:sz w:val="24"/>
          <w:szCs w:val="24"/>
        </w:rPr>
        <w:t xml:space="preserve"> )  el cual consiste en la construcción de únicamente 75 escuelas, 59 en Lima, la capital del país y tan solo 16 en regiones. El incremento desmesurado en el costo del proyecto, de PEN 2800 millones (noviembre de 2021) a 5900 millones (mayo de 2024), ha llamado la atención de la población, pues siguen siendo las mismas 75 escuelas programadas hace ya varios gobiernos, beneficiando una proyección de 120 mil estudiantes, el 1.26 % de 9 millones 500 </w:t>
      </w:r>
      <w:r w:rsidRPr="007927D0">
        <w:rPr>
          <w:rFonts w:ascii="Arial" w:hAnsi="Arial" w:cs="Arial"/>
          <w:sz w:val="24"/>
          <w:szCs w:val="24"/>
        </w:rPr>
        <w:lastRenderedPageBreak/>
        <w:t>mil que son actualmente. Estos niveles de avance, solo maquillan un trabajo ineficiente cuyo avance es mínimo.</w:t>
      </w:r>
    </w:p>
    <w:p w14:paraId="430BA431" w14:textId="77777777" w:rsidR="001201F1" w:rsidRPr="007927D0" w:rsidRDefault="001201F1" w:rsidP="007927D0">
      <w:pPr>
        <w:pStyle w:val="SingleTxtG"/>
        <w:spacing w:line="240" w:lineRule="auto"/>
        <w:ind w:left="720"/>
        <w:rPr>
          <w:rFonts w:ascii="Arial" w:hAnsi="Arial" w:cs="Arial"/>
          <w:sz w:val="24"/>
          <w:szCs w:val="24"/>
        </w:rPr>
      </w:pPr>
      <w:r w:rsidRPr="007927D0">
        <w:rPr>
          <w:rFonts w:ascii="Arial" w:hAnsi="Arial" w:cs="Arial"/>
          <w:sz w:val="24"/>
          <w:szCs w:val="24"/>
          <w:lang w:val="es"/>
        </w:rPr>
        <w:t>Fuente:</w:t>
      </w:r>
    </w:p>
    <w:p w14:paraId="30A6CA36" w14:textId="77777777" w:rsidR="001201F1" w:rsidRPr="007927D0" w:rsidRDefault="001201F1" w:rsidP="007927D0">
      <w:pPr>
        <w:pStyle w:val="SingleTxtG"/>
        <w:spacing w:line="240" w:lineRule="auto"/>
        <w:ind w:left="720"/>
        <w:rPr>
          <w:rFonts w:ascii="Arial" w:hAnsi="Arial" w:cs="Arial"/>
          <w:sz w:val="24"/>
          <w:szCs w:val="24"/>
        </w:rPr>
      </w:pPr>
      <w:hyperlink r:id="rId20" w:history="1">
        <w:r w:rsidRPr="007927D0">
          <w:rPr>
            <w:rStyle w:val="Hipervnculo"/>
            <w:rFonts w:ascii="Arial" w:hAnsi="Arial" w:cs="Arial"/>
            <w:sz w:val="24"/>
            <w:szCs w:val="24"/>
          </w:rPr>
          <w:t>https://peip-eb.gob.pe/escuelas-bicentenario-se-ejecutaran-con-asistencia-tecnica-especializada-del-reino-unido-mediante-acuerdo-gobierno-a-gobierno/</w:t>
        </w:r>
      </w:hyperlink>
      <w:r w:rsidRPr="007927D0">
        <w:rPr>
          <w:rFonts w:ascii="Arial" w:hAnsi="Arial" w:cs="Arial"/>
          <w:sz w:val="24"/>
          <w:szCs w:val="24"/>
        </w:rPr>
        <w:t xml:space="preserve"> </w:t>
      </w:r>
    </w:p>
    <w:p w14:paraId="09A84E5D" w14:textId="77777777" w:rsidR="001201F1" w:rsidRPr="007927D0" w:rsidRDefault="001201F1" w:rsidP="007927D0">
      <w:pPr>
        <w:pStyle w:val="SingleTxtG"/>
        <w:spacing w:line="240" w:lineRule="auto"/>
        <w:ind w:left="720"/>
        <w:rPr>
          <w:rFonts w:ascii="Arial" w:hAnsi="Arial" w:cs="Arial"/>
          <w:sz w:val="24"/>
          <w:szCs w:val="24"/>
        </w:rPr>
      </w:pPr>
      <w:hyperlink r:id="rId21" w:history="1">
        <w:r w:rsidRPr="007927D0">
          <w:rPr>
            <w:rStyle w:val="Hipervnculo"/>
            <w:rFonts w:ascii="Arial" w:hAnsi="Arial" w:cs="Arial"/>
            <w:sz w:val="24"/>
            <w:szCs w:val="24"/>
          </w:rPr>
          <w:t>https://peip-eb.gob.pe/ministerio-de-economia-transfiere-recursos-a-escuelas-bicentenario-para-garantizar-la-ejecucion-de-proyectos/</w:t>
        </w:r>
      </w:hyperlink>
      <w:r w:rsidRPr="007927D0">
        <w:rPr>
          <w:rFonts w:ascii="Arial" w:hAnsi="Arial" w:cs="Arial"/>
          <w:sz w:val="24"/>
          <w:szCs w:val="24"/>
        </w:rPr>
        <w:t xml:space="preserve"> </w:t>
      </w:r>
    </w:p>
    <w:p w14:paraId="0BE901AE" w14:textId="77777777" w:rsidR="001201F1" w:rsidRPr="007927D0" w:rsidRDefault="001201F1" w:rsidP="007927D0">
      <w:pPr>
        <w:pBdr>
          <w:top w:val="nil"/>
          <w:left w:val="nil"/>
          <w:bottom w:val="nil"/>
          <w:right w:val="nil"/>
          <w:between w:val="nil"/>
        </w:pBdr>
        <w:spacing w:after="0" w:line="240" w:lineRule="auto"/>
        <w:jc w:val="both"/>
        <w:rPr>
          <w:rFonts w:ascii="Arial" w:eastAsia="Arial" w:hAnsi="Arial" w:cs="Arial"/>
          <w:b/>
          <w:sz w:val="24"/>
          <w:szCs w:val="24"/>
        </w:rPr>
      </w:pPr>
    </w:p>
    <w:p w14:paraId="6D0F9F36" w14:textId="77777777" w:rsidR="000761CD" w:rsidRPr="007927D0" w:rsidRDefault="000761CD" w:rsidP="007927D0">
      <w:pPr>
        <w:spacing w:after="0" w:line="240" w:lineRule="auto"/>
        <w:ind w:left="360"/>
        <w:jc w:val="both"/>
        <w:rPr>
          <w:rFonts w:ascii="Arial" w:eastAsia="Arial" w:hAnsi="Arial" w:cs="Arial"/>
          <w:sz w:val="24"/>
          <w:szCs w:val="24"/>
        </w:rPr>
      </w:pPr>
    </w:p>
    <w:p w14:paraId="0B5BDBF3" w14:textId="77777777" w:rsidR="000761CD" w:rsidRPr="007927D0" w:rsidRDefault="00492070" w:rsidP="007927D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sidRPr="007927D0">
        <w:rPr>
          <w:rFonts w:ascii="Arial" w:eastAsia="Arial" w:hAnsi="Arial" w:cs="Arial"/>
          <w:sz w:val="24"/>
          <w:szCs w:val="24"/>
        </w:rPr>
        <w:t>En el contexto educativo en el Perú desde antes de la pandemia se evidenciaba la deficiencia en cuanto al acceso a la educación por parte de la población más vulnerable, y posteriormente a raíz del COVID 19 se incrementó, a pesar que se implementaron las clases en casa por vías alternativas como clases online, sin embargo esto carece de efectividad debido al déficit de herramientas sobretodo tecnológicas tanto para alumnos como para docentes a esto se le suma el hecho de que muchos padres debían asumir la tarea de ser los facilitadores del aprendizaje de sus hijos, cuando algunos de estos padres adolecen de habilidades, conocimientos y competencias para asumir esa labor.</w:t>
      </w:r>
    </w:p>
    <w:p w14:paraId="5E11B119" w14:textId="77777777" w:rsidR="000761CD" w:rsidRPr="007927D0" w:rsidRDefault="000761CD" w:rsidP="007927D0">
      <w:pPr>
        <w:pBdr>
          <w:top w:val="nil"/>
          <w:left w:val="nil"/>
          <w:bottom w:val="nil"/>
          <w:right w:val="nil"/>
          <w:between w:val="nil"/>
        </w:pBdr>
        <w:spacing w:after="0" w:line="240" w:lineRule="auto"/>
        <w:ind w:left="720"/>
        <w:jc w:val="both"/>
        <w:rPr>
          <w:rFonts w:ascii="Arial" w:eastAsia="Arial" w:hAnsi="Arial" w:cs="Arial"/>
          <w:sz w:val="24"/>
          <w:szCs w:val="24"/>
        </w:rPr>
      </w:pPr>
    </w:p>
    <w:p w14:paraId="67C3F248" w14:textId="77777777" w:rsidR="000761CD" w:rsidRPr="007927D0" w:rsidRDefault="00492070" w:rsidP="007927D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sidRPr="007927D0">
        <w:rPr>
          <w:rFonts w:ascii="Arial" w:eastAsia="Arial" w:hAnsi="Arial" w:cs="Arial"/>
          <w:sz w:val="24"/>
          <w:szCs w:val="24"/>
        </w:rPr>
        <w:t>Es por ello que la defensoría hace hincapié en la evaluación  de los procesos educativos los cuales estaban suspendidos y que son instrumentos que permiten medir los aprendizajes  y de esta manera aportar información necesaria para mejorar en el ámbito educativo.</w:t>
      </w:r>
    </w:p>
    <w:p w14:paraId="6332AB11" w14:textId="77777777" w:rsidR="000761CD" w:rsidRPr="007927D0" w:rsidRDefault="000761CD" w:rsidP="007927D0">
      <w:pPr>
        <w:pBdr>
          <w:top w:val="nil"/>
          <w:left w:val="nil"/>
          <w:bottom w:val="nil"/>
          <w:right w:val="nil"/>
          <w:between w:val="nil"/>
        </w:pBdr>
        <w:spacing w:after="0" w:line="240" w:lineRule="auto"/>
        <w:ind w:left="720"/>
        <w:jc w:val="both"/>
        <w:rPr>
          <w:rFonts w:ascii="Arial" w:eastAsia="Arial" w:hAnsi="Arial" w:cs="Arial"/>
          <w:sz w:val="24"/>
          <w:szCs w:val="24"/>
        </w:rPr>
      </w:pPr>
    </w:p>
    <w:p w14:paraId="29D98F22" w14:textId="77777777" w:rsidR="000761CD" w:rsidRPr="007927D0" w:rsidRDefault="000761CD" w:rsidP="007927D0">
      <w:pPr>
        <w:pBdr>
          <w:top w:val="nil"/>
          <w:left w:val="nil"/>
          <w:bottom w:val="nil"/>
          <w:right w:val="nil"/>
          <w:between w:val="nil"/>
        </w:pBdr>
        <w:spacing w:after="0" w:line="240" w:lineRule="auto"/>
        <w:ind w:left="720"/>
        <w:jc w:val="both"/>
        <w:rPr>
          <w:rFonts w:ascii="Arial" w:eastAsia="Arial" w:hAnsi="Arial" w:cs="Arial"/>
          <w:sz w:val="24"/>
          <w:szCs w:val="24"/>
        </w:rPr>
      </w:pPr>
    </w:p>
    <w:p w14:paraId="1A54CAAB" w14:textId="77777777" w:rsidR="000761CD" w:rsidRPr="007927D0" w:rsidRDefault="00492070" w:rsidP="007927D0">
      <w:pPr>
        <w:pBdr>
          <w:top w:val="nil"/>
          <w:left w:val="nil"/>
          <w:bottom w:val="nil"/>
          <w:right w:val="nil"/>
          <w:between w:val="nil"/>
        </w:pBdr>
        <w:spacing w:after="0" w:line="240" w:lineRule="auto"/>
        <w:ind w:left="720"/>
        <w:jc w:val="both"/>
        <w:rPr>
          <w:rFonts w:ascii="Arial" w:eastAsia="Arial" w:hAnsi="Arial" w:cs="Arial"/>
          <w:sz w:val="24"/>
          <w:szCs w:val="24"/>
        </w:rPr>
      </w:pPr>
      <w:r w:rsidRPr="007927D0">
        <w:rPr>
          <w:rFonts w:ascii="Arial" w:eastAsia="Arial" w:hAnsi="Arial" w:cs="Arial"/>
          <w:sz w:val="24"/>
          <w:szCs w:val="24"/>
        </w:rPr>
        <w:t>“La evaluación del logro de los aprendizajes es un factor relevante porque permite obtener información para efectuar mejoras al sistema educativo y a la política pedagógica implementada por el Gobierno nacional.</w:t>
      </w:r>
    </w:p>
    <w:p w14:paraId="41EFC841" w14:textId="77777777" w:rsidR="000761CD" w:rsidRPr="007927D0" w:rsidRDefault="00492070" w:rsidP="007927D0">
      <w:pPr>
        <w:pBdr>
          <w:top w:val="nil"/>
          <w:left w:val="nil"/>
          <w:bottom w:val="nil"/>
          <w:right w:val="nil"/>
          <w:between w:val="nil"/>
        </w:pBdr>
        <w:spacing w:after="0" w:line="240" w:lineRule="auto"/>
        <w:ind w:left="720"/>
        <w:jc w:val="both"/>
        <w:rPr>
          <w:rFonts w:ascii="Arial" w:eastAsia="Arial" w:hAnsi="Arial" w:cs="Arial"/>
          <w:sz w:val="24"/>
          <w:szCs w:val="24"/>
        </w:rPr>
      </w:pPr>
      <w:r w:rsidRPr="007927D0">
        <w:rPr>
          <w:rFonts w:ascii="Arial" w:eastAsia="Arial" w:hAnsi="Arial" w:cs="Arial"/>
          <w:sz w:val="24"/>
          <w:szCs w:val="24"/>
        </w:rPr>
        <w:t>Además, dicho tipo de evaluación es una herramienta contra la desigualdad de oportunidades en el logro de aprendizajes que afectan a poblaciones en condición de vulnerabilidad…”(Informe anual 2021 DP).</w:t>
      </w:r>
    </w:p>
    <w:p w14:paraId="2C99C3C2" w14:textId="77777777" w:rsidR="00BF1F83" w:rsidRPr="007927D0" w:rsidRDefault="00BF1F83" w:rsidP="007927D0">
      <w:pPr>
        <w:pBdr>
          <w:top w:val="nil"/>
          <w:left w:val="nil"/>
          <w:bottom w:val="nil"/>
          <w:right w:val="nil"/>
          <w:between w:val="nil"/>
        </w:pBdr>
        <w:spacing w:after="0" w:line="240" w:lineRule="auto"/>
        <w:ind w:left="720"/>
        <w:jc w:val="both"/>
        <w:rPr>
          <w:rFonts w:ascii="Arial" w:eastAsia="Arial" w:hAnsi="Arial" w:cs="Arial"/>
          <w:sz w:val="24"/>
          <w:szCs w:val="24"/>
        </w:rPr>
      </w:pPr>
    </w:p>
    <w:p w14:paraId="72EC269C" w14:textId="29644EF9" w:rsidR="00BF1F83" w:rsidRPr="007927D0" w:rsidRDefault="00BF1F83" w:rsidP="007927D0">
      <w:pPr>
        <w:pStyle w:val="H23G"/>
        <w:spacing w:line="240" w:lineRule="auto"/>
        <w:ind w:left="0" w:firstLine="0"/>
        <w:jc w:val="both"/>
        <w:rPr>
          <w:rFonts w:ascii="Arial" w:hAnsi="Arial" w:cs="Arial"/>
          <w:sz w:val="24"/>
          <w:szCs w:val="24"/>
          <w:lang w:val="es"/>
        </w:rPr>
      </w:pPr>
      <w:r w:rsidRPr="007927D0">
        <w:rPr>
          <w:rFonts w:ascii="Arial" w:hAnsi="Arial" w:cs="Arial"/>
          <w:sz w:val="24"/>
          <w:szCs w:val="24"/>
          <w:lang w:val="es"/>
        </w:rPr>
        <w:t xml:space="preserve">Igualdad de derechos entre hombres y mujeres (art. 3): Violencia sexual en las escuelas. </w:t>
      </w:r>
    </w:p>
    <w:p w14:paraId="15572A1E" w14:textId="77777777" w:rsidR="00EF41A2" w:rsidRPr="007927D0" w:rsidRDefault="00BF1F83" w:rsidP="007927D0">
      <w:pPr>
        <w:pStyle w:val="SingleTxtG"/>
        <w:numPr>
          <w:ilvl w:val="0"/>
          <w:numId w:val="1"/>
        </w:numPr>
        <w:spacing w:line="240" w:lineRule="auto"/>
        <w:rPr>
          <w:rFonts w:ascii="Arial" w:hAnsi="Arial" w:cs="Arial"/>
          <w:sz w:val="24"/>
          <w:szCs w:val="24"/>
          <w:lang w:val="es"/>
        </w:rPr>
      </w:pPr>
      <w:r w:rsidRPr="007927D0">
        <w:rPr>
          <w:rFonts w:ascii="Arial" w:hAnsi="Arial" w:cs="Arial"/>
          <w:sz w:val="24"/>
          <w:szCs w:val="24"/>
          <w:lang w:val="es"/>
        </w:rPr>
        <w:t xml:space="preserve">Fue de conocimiento público en junio de 2024, la violación sistemática de niños, en su mayoría Awajún, Wampis, en la provincia de Condorcanqui, departamento de Amazonas. Estas violaciones habrían sido perpetradas por sus propios maestros. Fueron 524 casos reportados a lo largo de 15 años. Aunque las denuncias de violaciones a niños se han realizado desde el año </w:t>
      </w:r>
      <w:r w:rsidRPr="007927D0">
        <w:rPr>
          <w:rFonts w:ascii="Arial" w:hAnsi="Arial" w:cs="Arial"/>
          <w:sz w:val="24"/>
          <w:szCs w:val="24"/>
          <w:lang w:val="es"/>
        </w:rPr>
        <w:lastRenderedPageBreak/>
        <w:t xml:space="preserve">2000, la repercusión de la noticia a nivel nacional e internacional se debieron principalmente a las declaraciones de </w:t>
      </w:r>
      <w:r w:rsidRPr="007927D0">
        <w:rPr>
          <w:rFonts w:ascii="Arial" w:hAnsi="Arial" w:cs="Arial"/>
          <w:sz w:val="24"/>
          <w:szCs w:val="24"/>
        </w:rPr>
        <w:t>dos ministros del actual gobierno, precisamente los ministerios de Educación y de la Mujer y Poblaciones Vulnerables (ministerios dedicados directamente al desarrollo y bienestar de los niños y adolescentes) que han asociado las violaciones a “prácticas culturales”.</w:t>
      </w:r>
    </w:p>
    <w:p w14:paraId="1151764C" w14:textId="77777777" w:rsidR="00EF41A2" w:rsidRPr="007927D0" w:rsidRDefault="00EF41A2" w:rsidP="007927D0">
      <w:pPr>
        <w:pStyle w:val="SingleTxtG"/>
        <w:numPr>
          <w:ilvl w:val="0"/>
          <w:numId w:val="1"/>
        </w:numPr>
        <w:spacing w:line="240" w:lineRule="auto"/>
        <w:rPr>
          <w:rFonts w:ascii="Arial" w:hAnsi="Arial" w:cs="Arial"/>
          <w:sz w:val="24"/>
          <w:szCs w:val="24"/>
          <w:lang w:val="es"/>
        </w:rPr>
      </w:pPr>
      <w:r w:rsidRPr="007927D0">
        <w:rPr>
          <w:rFonts w:ascii="Arial" w:hAnsi="Arial" w:cs="Arial"/>
          <w:sz w:val="24"/>
          <w:szCs w:val="24"/>
        </w:rPr>
        <w:t>E</w:t>
      </w:r>
      <w:r w:rsidR="00BF1F83" w:rsidRPr="007927D0">
        <w:rPr>
          <w:rFonts w:ascii="Arial" w:hAnsi="Arial" w:cs="Arial"/>
          <w:sz w:val="24"/>
          <w:szCs w:val="24"/>
        </w:rPr>
        <w:t>sta actitud no hace más que ilustrar el racismo ordinario en las altas esferas de la administración estatal y la incultura de ciertos funcionarios. Han sido las principales denunciantes las maestras y lideresas Awajún-Wampís. Las violaciones continúan, siendo las denunciantes quienes actualizan las cifras de estos actos execrables hacia nuestra niñez y juventud. Reportan también la falta de recurso de parte de las autoridades para llegar hasta los centros poblados en los que son denunciados los hechos y la poca o nula atención que se pueden brindar a estos niños y a sus familias de parte del Estado.</w:t>
      </w:r>
    </w:p>
    <w:p w14:paraId="5089F96B" w14:textId="77777777" w:rsidR="00EF41A2" w:rsidRPr="007927D0" w:rsidRDefault="00BF1F83" w:rsidP="007927D0">
      <w:pPr>
        <w:pStyle w:val="SingleTxtG"/>
        <w:numPr>
          <w:ilvl w:val="0"/>
          <w:numId w:val="1"/>
        </w:numPr>
        <w:spacing w:line="240" w:lineRule="auto"/>
        <w:rPr>
          <w:rFonts w:ascii="Arial" w:hAnsi="Arial" w:cs="Arial"/>
          <w:sz w:val="24"/>
          <w:szCs w:val="24"/>
          <w:lang w:val="es"/>
        </w:rPr>
      </w:pPr>
      <w:r w:rsidRPr="007927D0">
        <w:rPr>
          <w:rFonts w:ascii="Arial" w:hAnsi="Arial" w:cs="Arial"/>
          <w:sz w:val="24"/>
          <w:szCs w:val="24"/>
        </w:rPr>
        <w:t>El Instituto de Democracia y Derechos Humanos (Idehpucp), unidad académica de la Pontificia Universidad Católica del Perú, cuyo fin está orientado al fortalecimiento de la democracia y a la vigencia de los derechos humanos en el Perú, presentó algunas precisiones y análisis sobre estos hechos desde la antropología social y recalcó la importancia de las denuncias de las lideresas nativas que han hecho visibles los padecimientos de las niñas y las adolescentes de esta región del país, dejando entre sus reflexiones finales: (1)</w:t>
      </w:r>
      <w:r w:rsidRPr="007927D0">
        <w:rPr>
          <w:rFonts w:ascii="Arial" w:hAnsi="Arial" w:cs="Arial"/>
          <w:sz w:val="24"/>
          <w:szCs w:val="24"/>
          <w:lang w:val="es-MX"/>
        </w:rPr>
        <w:t xml:space="preserve"> Que el caso de violaciones sexuales masivas de niñas nativas que data de hace una veintena de años pero que recién sale a la luz a nivel nacional e internacional demuestra el drama constante en el que viven nuestros compatriotas Wampís y Awajún, atormentados por la exclusión, la discriminación, la pobreza, y la explotación laboral. </w:t>
      </w:r>
    </w:p>
    <w:p w14:paraId="1EAC2F2C" w14:textId="77777777" w:rsidR="00EF41A2" w:rsidRPr="007927D0" w:rsidRDefault="00BF1F83" w:rsidP="007927D0">
      <w:pPr>
        <w:pStyle w:val="SingleTxtG"/>
        <w:numPr>
          <w:ilvl w:val="0"/>
          <w:numId w:val="1"/>
        </w:numPr>
        <w:spacing w:line="240" w:lineRule="auto"/>
        <w:rPr>
          <w:rFonts w:ascii="Arial" w:hAnsi="Arial" w:cs="Arial"/>
          <w:sz w:val="24"/>
          <w:szCs w:val="24"/>
          <w:lang w:val="es"/>
        </w:rPr>
      </w:pPr>
      <w:r w:rsidRPr="007927D0">
        <w:rPr>
          <w:rFonts w:ascii="Arial" w:hAnsi="Arial" w:cs="Arial"/>
          <w:sz w:val="24"/>
          <w:szCs w:val="24"/>
          <w:lang w:val="es-MX"/>
        </w:rPr>
        <w:t xml:space="preserve">Las interpretaciones absurdas aportadas por dos lamentables ministros del gobierno actual, Morgan Quero (Educación) y Ángela Hernández (Mujer y Poblaciones Vulnerables), explicitan la reproducción y la banalización de ideologías racistas al más alto nivel de la administración estatal. (2) Que se debe saludar que las lideresas wampís y awajún estén demostrando que enfrentan con valor y coraje el desafío de las violaciones sexuales de niñas y adolescentes por docentes, reconociendo con entereza que las responsabilidades provienen de las familias, de los dirigentes de las comunidades y del Estado. En efecto, los padres de las alumnas no son conscientes del estado de indefensión en el que deben vivir sus hijas en internados aislados, y además concilian con los violadores a cambio de dinero. </w:t>
      </w:r>
    </w:p>
    <w:p w14:paraId="48AD5543" w14:textId="583259CF" w:rsidR="00BF1F83" w:rsidRPr="007927D0" w:rsidRDefault="00BF1F83" w:rsidP="007927D0">
      <w:pPr>
        <w:pStyle w:val="SingleTxtG"/>
        <w:numPr>
          <w:ilvl w:val="0"/>
          <w:numId w:val="1"/>
        </w:numPr>
        <w:spacing w:line="240" w:lineRule="auto"/>
        <w:rPr>
          <w:rFonts w:ascii="Arial" w:hAnsi="Arial" w:cs="Arial"/>
          <w:sz w:val="24"/>
          <w:szCs w:val="24"/>
          <w:lang w:val="es"/>
        </w:rPr>
      </w:pPr>
      <w:r w:rsidRPr="007927D0">
        <w:rPr>
          <w:rFonts w:ascii="Arial" w:hAnsi="Arial" w:cs="Arial"/>
          <w:sz w:val="24"/>
          <w:szCs w:val="24"/>
          <w:lang w:val="es-MX"/>
        </w:rPr>
        <w:lastRenderedPageBreak/>
        <w:t>Además, los dirigentes de las comunidades aceptan esos convenios vergonzosos que refuerzan la impunidad de los perpetradores. Las autoridades estatales son también responsables por la falta de medios disponibles en el sector de la justicia en toda la Amazonía, y los funcionarios locales son responsables del desdén y de la discriminación ordinaria que demuestran ante los nativos peruanos. Este trágico caso debe ayudar a visibilizar esta situación e introducir cambios substanciales rápidamente.</w:t>
      </w:r>
    </w:p>
    <w:p w14:paraId="3CACB838" w14:textId="77777777" w:rsidR="00BF1F83" w:rsidRPr="007927D0" w:rsidRDefault="00BF1F83" w:rsidP="007927D0">
      <w:pPr>
        <w:pStyle w:val="SingleTxtG"/>
        <w:spacing w:line="240" w:lineRule="auto"/>
        <w:ind w:left="720"/>
        <w:rPr>
          <w:rFonts w:ascii="Arial" w:hAnsi="Arial" w:cs="Arial"/>
          <w:sz w:val="24"/>
          <w:szCs w:val="24"/>
          <w:lang w:val="es"/>
        </w:rPr>
      </w:pPr>
      <w:r w:rsidRPr="007927D0">
        <w:rPr>
          <w:rFonts w:ascii="Arial" w:hAnsi="Arial" w:cs="Arial"/>
          <w:sz w:val="24"/>
          <w:szCs w:val="24"/>
          <w:lang w:val="es"/>
        </w:rPr>
        <w:t>Fuente:</w:t>
      </w:r>
    </w:p>
    <w:p w14:paraId="29D306EF" w14:textId="77777777" w:rsidR="00EF41A2" w:rsidRPr="007927D0" w:rsidRDefault="00BF1F83" w:rsidP="007927D0">
      <w:pPr>
        <w:pStyle w:val="SingleTxtG"/>
        <w:spacing w:line="240" w:lineRule="auto"/>
        <w:ind w:left="720"/>
        <w:rPr>
          <w:rFonts w:ascii="Arial" w:hAnsi="Arial" w:cs="Arial"/>
          <w:sz w:val="24"/>
          <w:szCs w:val="24"/>
          <w:lang w:val="es"/>
        </w:rPr>
      </w:pPr>
      <w:hyperlink r:id="rId22" w:history="1">
        <w:r w:rsidRPr="007927D0">
          <w:rPr>
            <w:rStyle w:val="Hipervnculo"/>
            <w:rFonts w:ascii="Arial" w:hAnsi="Arial" w:cs="Arial"/>
            <w:sz w:val="24"/>
            <w:szCs w:val="24"/>
            <w:lang w:val="es"/>
          </w:rPr>
          <w:t>https://idehpucp.pucp.edu.pe/boletin-eventos/las-violaciones-de-ninas-wampis-y-awajuninjusticia-comunitaria-y-ordinaria-e-impunidad/</w:t>
        </w:r>
      </w:hyperlink>
      <w:r w:rsidRPr="007927D0">
        <w:rPr>
          <w:rFonts w:ascii="Arial" w:hAnsi="Arial" w:cs="Arial"/>
          <w:sz w:val="24"/>
          <w:szCs w:val="24"/>
          <w:lang w:val="es"/>
        </w:rPr>
        <w:t xml:space="preserve"> </w:t>
      </w:r>
    </w:p>
    <w:p w14:paraId="04CAC4E9" w14:textId="79208E06" w:rsidR="00BF1F83" w:rsidRPr="007927D0" w:rsidRDefault="00BF1F83" w:rsidP="007927D0">
      <w:pPr>
        <w:pStyle w:val="SingleTxtG"/>
        <w:numPr>
          <w:ilvl w:val="0"/>
          <w:numId w:val="1"/>
        </w:numPr>
        <w:spacing w:line="240" w:lineRule="auto"/>
        <w:rPr>
          <w:rFonts w:ascii="Arial" w:hAnsi="Arial" w:cs="Arial"/>
          <w:sz w:val="24"/>
          <w:szCs w:val="24"/>
          <w:lang w:val="es"/>
        </w:rPr>
      </w:pPr>
      <w:r w:rsidRPr="007927D0">
        <w:rPr>
          <w:rFonts w:ascii="Arial" w:hAnsi="Arial" w:cs="Arial"/>
          <w:sz w:val="24"/>
          <w:szCs w:val="24"/>
        </w:rPr>
        <w:t xml:space="preserve">En el Documento Defensorial n.° 001-2024-DP/AMACCPI/PPI de agosto de 2024 titulado LA ACTUACIÓN DEL ESTADO FRENTE A LA VIOLENCIA SEXUAL CONTRA LA NIÑEZ Y ADOLESCENCIA INDÍGENA AWAJÚN EN LA PROVINCIA DE CONDORCANQUI: BALANCE DE LAS RECOMENDACIONES FORMULADAS POR LA DEFENSORÍA DEL PUEBLO Y AGENDA PENDIENTE PARA RESTITUIR LOS DERECHOS FUNDAMENTALES DE LA NIÑEZ AWAJÚN. Se llega a las siguientes conclusiones: (1) Las niñas y adolescentes indígenas enfrentan múltiples barreras estructurales de tipo geográfico, económico, sociocultural y lingüístico que dificultan su acceso y permanencia en la educación secundaria, así como su acceso a servicios de salud sexual y reproductiva, lo cual limita su desarrollo integral y se encuentran expuestas a mayores riesgos de violencia. (2) Las acciones de prevención y atención a la violencia sexual contra niñas, y adolescentes indígenas aún son insuficientes e inadecuadas, reflejando la necesidad de fortalecer las políticas y programas con un enfoque intercultural que responda a las particularidades y necesidades específicas de estas poblaciones, para ello se requiere una asignación presupuestal orientada a la erradicación de la violencia. (3) Se ha puesto en evidencia la grave situación de impunidad en torno a los casos de violencia sexual contra niñas y adolescentes indígenas, especialmente en comunidades rurales amazónicas, debido a la insuficiente presencia y cobertura de los servicios de justicia y protección del Estado en dichas zonas. (4) Es fundamental impulsar mecanismos efectivos de denuncia y seguimiento a los casos de violencia sexual contra niñas y adolescentes indígenas, así como fortalecer el acompañamiento y empoderamiento de las comunidades y organizaciones indígenas en estos procesos, a fin de enfrentar y combatir la impunidad que caracteriza estas situaciones. (5) La falta de </w:t>
      </w:r>
      <w:r w:rsidRPr="007927D0">
        <w:rPr>
          <w:rFonts w:ascii="Arial" w:hAnsi="Arial" w:cs="Arial"/>
          <w:sz w:val="24"/>
          <w:szCs w:val="24"/>
        </w:rPr>
        <w:lastRenderedPageBreak/>
        <w:t>información estadística desagregada y de calidad sobre la prevalencia de la violencia sexual contra estudiantes indígenas limita la posibilidad de contar con insumos adecuados para el diseño e implementación de políticas y programas más efectivos en la materia. (6) Las entidades públicas encargadas de atender los casos de violencia sexual contra niñas, niños y adolescentes indígenas deben garantizar la disponibilidad de traductores e intérpretes y registrar detalladamente las intervenciones, para así poder evaluar su impacto y efectividad. Además, es importante que estas mismas entidades reconozcan y enfrenten los desafíos específicos en la implementación de políticas culturalmente pertinentes, asegurando así una protección integral y efectiva de los derechos de esta población vulnerable. (7) UGEL Condorcanqui debe consolidar la información relativa a la cantidad de docentes contratados y nombrados que conforman su plana docente, así como el monto en soles de sus respectivas remuneraciones, con el fin de proyectar y solicitar una ampliación presupuestaria para la genérica de Gasto de Personal de Magisterio (contratados y nombrados) de la UGEL Condorcanqui. El incremento presupuestario se justifica ante el inminente reemplazo de docentes en la UGEL Condorcanqui que registran denuncias activas ante la fiscalía.</w:t>
      </w:r>
    </w:p>
    <w:p w14:paraId="71F0D26B" w14:textId="77777777" w:rsidR="00BF1F83" w:rsidRPr="007927D0" w:rsidRDefault="00BF1F83" w:rsidP="007927D0">
      <w:pPr>
        <w:pStyle w:val="SingleTxtG"/>
        <w:spacing w:line="240" w:lineRule="auto"/>
        <w:ind w:left="720"/>
        <w:rPr>
          <w:rFonts w:ascii="Arial" w:hAnsi="Arial" w:cs="Arial"/>
          <w:sz w:val="24"/>
          <w:szCs w:val="24"/>
          <w:lang w:val="es"/>
        </w:rPr>
      </w:pPr>
      <w:r w:rsidRPr="007927D0">
        <w:rPr>
          <w:rFonts w:ascii="Arial" w:hAnsi="Arial" w:cs="Arial"/>
          <w:sz w:val="24"/>
          <w:szCs w:val="24"/>
        </w:rPr>
        <w:t>Nota: La UGEL (Unidad de Gestión Educativa Local) en la entidad encargada de gestionar las necesidades de las instituciones educativas, de determinadas circunscripciones territoriales. Son dependientes del Gobierno Regional, a excepción de la Dirección Regional de Educación de Lima Metropolitana, adscrita al Ministerio de Educación.</w:t>
      </w:r>
    </w:p>
    <w:p w14:paraId="3EC5406B" w14:textId="77777777" w:rsidR="00BF1F83" w:rsidRPr="007927D0" w:rsidRDefault="00BF1F83" w:rsidP="007927D0">
      <w:pPr>
        <w:pStyle w:val="SingleTxtG"/>
        <w:tabs>
          <w:tab w:val="clear" w:pos="1701"/>
          <w:tab w:val="clear" w:pos="2268"/>
          <w:tab w:val="clear" w:pos="2835"/>
        </w:tabs>
        <w:spacing w:line="240" w:lineRule="auto"/>
        <w:ind w:left="0"/>
        <w:rPr>
          <w:rFonts w:ascii="Arial" w:hAnsi="Arial" w:cs="Arial"/>
          <w:sz w:val="24"/>
          <w:szCs w:val="24"/>
          <w:lang w:val="es"/>
        </w:rPr>
      </w:pPr>
      <w:r w:rsidRPr="007927D0">
        <w:rPr>
          <w:rFonts w:ascii="Arial" w:hAnsi="Arial" w:cs="Arial"/>
          <w:sz w:val="24"/>
          <w:szCs w:val="24"/>
          <w:lang w:val="es"/>
        </w:rPr>
        <w:tab/>
        <w:t xml:space="preserve">   Fuente: </w:t>
      </w:r>
    </w:p>
    <w:p w14:paraId="344FC2AD" w14:textId="304511ED" w:rsidR="00BF1F83" w:rsidRPr="007927D0" w:rsidRDefault="00BF1F83" w:rsidP="007927D0">
      <w:pPr>
        <w:pBdr>
          <w:top w:val="nil"/>
          <w:left w:val="nil"/>
          <w:bottom w:val="nil"/>
          <w:right w:val="nil"/>
          <w:between w:val="nil"/>
        </w:pBdr>
        <w:spacing w:after="0" w:line="240" w:lineRule="auto"/>
        <w:ind w:left="720"/>
        <w:jc w:val="both"/>
        <w:rPr>
          <w:rFonts w:ascii="Arial" w:eastAsia="Arial" w:hAnsi="Arial" w:cs="Arial"/>
          <w:sz w:val="24"/>
          <w:szCs w:val="24"/>
        </w:rPr>
      </w:pPr>
      <w:hyperlink r:id="rId23" w:history="1">
        <w:r w:rsidRPr="007927D0">
          <w:rPr>
            <w:rStyle w:val="Hipervnculo"/>
            <w:rFonts w:ascii="Arial" w:hAnsi="Arial" w:cs="Arial"/>
            <w:sz w:val="24"/>
            <w:szCs w:val="24"/>
            <w:lang w:val="es"/>
          </w:rPr>
          <w:t>https://www.defensoria.gob.pe/wp-content/uploads/2024/09/Documento-Defensorial_violencia_sexual_condorcanqui-1.pdf</w:t>
        </w:r>
      </w:hyperlink>
    </w:p>
    <w:p w14:paraId="441E941F" w14:textId="77777777" w:rsidR="000761CD" w:rsidRPr="007927D0" w:rsidRDefault="000761CD" w:rsidP="007927D0">
      <w:pPr>
        <w:pBdr>
          <w:top w:val="nil"/>
          <w:left w:val="nil"/>
          <w:bottom w:val="nil"/>
          <w:right w:val="nil"/>
          <w:between w:val="nil"/>
        </w:pBdr>
        <w:spacing w:after="0" w:line="240" w:lineRule="auto"/>
        <w:ind w:left="720"/>
        <w:jc w:val="both"/>
        <w:rPr>
          <w:rFonts w:ascii="Arial" w:eastAsia="Arial" w:hAnsi="Arial" w:cs="Arial"/>
          <w:sz w:val="24"/>
          <w:szCs w:val="24"/>
        </w:rPr>
      </w:pPr>
    </w:p>
    <w:p w14:paraId="162CFC48" w14:textId="77777777" w:rsidR="00EF41A2" w:rsidRPr="007927D0" w:rsidRDefault="00492070" w:rsidP="007927D0">
      <w:pPr>
        <w:pBdr>
          <w:top w:val="nil"/>
          <w:left w:val="nil"/>
          <w:bottom w:val="nil"/>
          <w:right w:val="nil"/>
          <w:between w:val="nil"/>
        </w:pBdr>
        <w:spacing w:after="0" w:line="240" w:lineRule="auto"/>
        <w:jc w:val="both"/>
        <w:rPr>
          <w:rFonts w:ascii="Arial" w:eastAsia="Arial" w:hAnsi="Arial" w:cs="Arial"/>
          <w:b/>
          <w:sz w:val="24"/>
          <w:szCs w:val="24"/>
        </w:rPr>
      </w:pPr>
      <w:r w:rsidRPr="007927D0">
        <w:rPr>
          <w:rFonts w:ascii="Arial" w:eastAsia="Arial" w:hAnsi="Arial" w:cs="Arial"/>
          <w:b/>
          <w:sz w:val="24"/>
          <w:szCs w:val="24"/>
        </w:rPr>
        <w:t xml:space="preserve">        </w:t>
      </w:r>
    </w:p>
    <w:p w14:paraId="4C659BCF" w14:textId="128DDE0B" w:rsidR="000761CD" w:rsidRPr="007927D0" w:rsidRDefault="000761CD" w:rsidP="007927D0">
      <w:pPr>
        <w:pBdr>
          <w:top w:val="nil"/>
          <w:left w:val="nil"/>
          <w:bottom w:val="nil"/>
          <w:right w:val="nil"/>
          <w:between w:val="nil"/>
        </w:pBdr>
        <w:spacing w:after="0" w:line="240" w:lineRule="auto"/>
        <w:jc w:val="both"/>
        <w:rPr>
          <w:rFonts w:ascii="Arial" w:eastAsia="Arial" w:hAnsi="Arial" w:cs="Arial"/>
          <w:sz w:val="24"/>
          <w:szCs w:val="24"/>
        </w:rPr>
      </w:pPr>
    </w:p>
    <w:p w14:paraId="711729EA" w14:textId="033BBAF5" w:rsidR="000761CD" w:rsidRPr="007927D0" w:rsidRDefault="00492070" w:rsidP="007927D0">
      <w:pPr>
        <w:pBdr>
          <w:top w:val="nil"/>
          <w:left w:val="nil"/>
          <w:bottom w:val="nil"/>
          <w:right w:val="nil"/>
          <w:between w:val="nil"/>
        </w:pBdr>
        <w:spacing w:after="0" w:line="240" w:lineRule="auto"/>
        <w:jc w:val="both"/>
        <w:rPr>
          <w:rFonts w:ascii="Arial" w:eastAsia="Arial" w:hAnsi="Arial" w:cs="Arial"/>
          <w:b/>
          <w:sz w:val="24"/>
          <w:szCs w:val="24"/>
        </w:rPr>
      </w:pPr>
      <w:r w:rsidRPr="007927D0">
        <w:rPr>
          <w:rFonts w:ascii="Arial" w:eastAsia="Arial" w:hAnsi="Arial" w:cs="Arial"/>
          <w:b/>
          <w:sz w:val="24"/>
          <w:szCs w:val="24"/>
        </w:rPr>
        <w:t xml:space="preserve">        </w:t>
      </w:r>
      <w:r w:rsidR="00EF41A2" w:rsidRPr="007927D0">
        <w:rPr>
          <w:rFonts w:ascii="Arial" w:eastAsia="Arial" w:hAnsi="Arial" w:cs="Arial"/>
          <w:b/>
          <w:sz w:val="24"/>
          <w:szCs w:val="24"/>
        </w:rPr>
        <w:t>D</w:t>
      </w:r>
      <w:r w:rsidRPr="007927D0">
        <w:rPr>
          <w:rFonts w:ascii="Arial" w:eastAsia="Arial" w:hAnsi="Arial" w:cs="Arial"/>
          <w:b/>
          <w:sz w:val="24"/>
          <w:szCs w:val="24"/>
        </w:rPr>
        <w:t xml:space="preserve">. Defensores de derechos humanos </w:t>
      </w:r>
    </w:p>
    <w:p w14:paraId="20AFEE6B" w14:textId="77777777" w:rsidR="000761CD" w:rsidRPr="007927D0" w:rsidRDefault="000761CD" w:rsidP="007927D0">
      <w:pPr>
        <w:pBdr>
          <w:top w:val="nil"/>
          <w:left w:val="nil"/>
          <w:bottom w:val="nil"/>
          <w:right w:val="nil"/>
          <w:between w:val="nil"/>
        </w:pBdr>
        <w:spacing w:after="0" w:line="240" w:lineRule="auto"/>
        <w:ind w:left="720"/>
        <w:jc w:val="both"/>
        <w:rPr>
          <w:rFonts w:ascii="Arial" w:eastAsia="Arial" w:hAnsi="Arial" w:cs="Arial"/>
          <w:b/>
          <w:sz w:val="24"/>
          <w:szCs w:val="24"/>
        </w:rPr>
      </w:pPr>
    </w:p>
    <w:p w14:paraId="131089FE" w14:textId="164BED77" w:rsidR="000761CD" w:rsidRPr="007927D0" w:rsidRDefault="00492070" w:rsidP="007927D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sidRPr="007927D0">
        <w:rPr>
          <w:rFonts w:ascii="Arial" w:eastAsia="Arial" w:hAnsi="Arial" w:cs="Arial"/>
          <w:sz w:val="24"/>
          <w:szCs w:val="24"/>
        </w:rPr>
        <w:t>En numerosas</w:t>
      </w:r>
      <w:r w:rsidR="007927D0" w:rsidRPr="007927D0">
        <w:rPr>
          <w:rFonts w:ascii="Arial" w:eastAsia="Arial" w:hAnsi="Arial" w:cs="Arial"/>
          <w:sz w:val="24"/>
          <w:szCs w:val="24"/>
        </w:rPr>
        <w:t xml:space="preserve"> </w:t>
      </w:r>
      <w:r w:rsidRPr="007927D0">
        <w:rPr>
          <w:rFonts w:ascii="Arial" w:eastAsia="Arial" w:hAnsi="Arial" w:cs="Arial"/>
          <w:sz w:val="24"/>
          <w:szCs w:val="24"/>
        </w:rPr>
        <w:t>oportunidades se han presentados ataques contra los defensores de derechos humanos en el Perú, esto viene sucediendo desde tiempos atrás, tanto así que en Consejo de Derechos Humanos de Julio del 2018,presentó un informe de grupo de trabajo donde se enfatizó los casos de defensores de derechos humanos que nos solo son víctimas de atropellos sino también que a muchos les ha costado la vida el ejercer sus funciones.</w:t>
      </w:r>
    </w:p>
    <w:p w14:paraId="65FB0478" w14:textId="168255D9" w:rsidR="007927D0" w:rsidRPr="007927D0" w:rsidRDefault="007927D0" w:rsidP="007927D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sidRPr="007927D0">
        <w:rPr>
          <w:rFonts w:ascii="Arial" w:eastAsia="Arial" w:hAnsi="Arial" w:cs="Arial"/>
          <w:sz w:val="24"/>
          <w:szCs w:val="24"/>
        </w:rPr>
        <w:t xml:space="preserve">En la actualidad la maestra y defensora de los derechos humanos Maritza Sánchez Perales, es objeto se persecución política y judicial, por denunciar las graves violaciones a los derechos humanos y actos de corrupción del </w:t>
      </w:r>
      <w:r w:rsidRPr="007927D0">
        <w:rPr>
          <w:rFonts w:ascii="Arial" w:eastAsia="Arial" w:hAnsi="Arial" w:cs="Arial"/>
          <w:sz w:val="24"/>
          <w:szCs w:val="24"/>
        </w:rPr>
        <w:lastRenderedPageBreak/>
        <w:t>actual gobierno, situación en pone en peligro su vida. Desde el Ministerio de Justicia se le ha negado incluirla en el protocolo de protección para los defensores e los derechos humanos, rechazando la solicitud formulada por la Defensoría del Pueblo.</w:t>
      </w:r>
    </w:p>
    <w:p w14:paraId="7C8A7E55" w14:textId="77777777" w:rsidR="000761CD" w:rsidRPr="007927D0" w:rsidRDefault="00492070" w:rsidP="007927D0">
      <w:pPr>
        <w:pBdr>
          <w:top w:val="nil"/>
          <w:left w:val="nil"/>
          <w:bottom w:val="nil"/>
          <w:right w:val="nil"/>
          <w:between w:val="nil"/>
        </w:pBdr>
        <w:spacing w:after="0" w:line="240" w:lineRule="auto"/>
        <w:ind w:left="720"/>
        <w:jc w:val="both"/>
        <w:rPr>
          <w:rFonts w:ascii="Arial" w:eastAsia="Arial" w:hAnsi="Arial" w:cs="Arial"/>
          <w:sz w:val="24"/>
          <w:szCs w:val="24"/>
        </w:rPr>
      </w:pPr>
      <w:r w:rsidRPr="007927D0">
        <w:rPr>
          <w:rFonts w:ascii="Arial" w:eastAsia="Arial" w:hAnsi="Arial" w:cs="Arial"/>
          <w:sz w:val="24"/>
          <w:szCs w:val="24"/>
        </w:rPr>
        <w:t>“El Grupo de Trabajo celebró que el Ministerio de Justicia hubiera elaborado un protocolo para tramitar las denuncias relativas a ataques contra los defensores de los derechos humanos. Además, el nuevo Plan de Acción Nacional de Derechos Humanos propone la creación, de aquí a 2021, de un mecanismo para la protección de los defensores de los derechos humanos y de una base de datos, de aquí a 2019, para realizar un seguimiento de las amenazas contra su seguridad”.(Consejo de Derechos Humanos, Julio 2018)</w:t>
      </w:r>
    </w:p>
    <w:p w14:paraId="681D7165" w14:textId="77777777" w:rsidR="000761CD" w:rsidRPr="007927D0" w:rsidRDefault="000761CD" w:rsidP="007927D0">
      <w:pPr>
        <w:spacing w:after="0" w:line="240" w:lineRule="auto"/>
        <w:jc w:val="both"/>
        <w:rPr>
          <w:rFonts w:ascii="Arial" w:eastAsia="Arial" w:hAnsi="Arial" w:cs="Arial"/>
          <w:sz w:val="24"/>
          <w:szCs w:val="24"/>
        </w:rPr>
      </w:pPr>
    </w:p>
    <w:p w14:paraId="4C942CE5" w14:textId="77777777" w:rsidR="000761CD" w:rsidRPr="007927D0" w:rsidRDefault="00492070" w:rsidP="007927D0">
      <w:pPr>
        <w:pBdr>
          <w:top w:val="nil"/>
          <w:left w:val="nil"/>
          <w:bottom w:val="nil"/>
          <w:right w:val="nil"/>
          <w:between w:val="nil"/>
        </w:pBdr>
        <w:spacing w:after="0" w:line="240" w:lineRule="auto"/>
        <w:jc w:val="both"/>
        <w:rPr>
          <w:rFonts w:ascii="Arial" w:eastAsia="Arial" w:hAnsi="Arial" w:cs="Arial"/>
          <w:b/>
          <w:sz w:val="24"/>
          <w:szCs w:val="24"/>
        </w:rPr>
      </w:pPr>
      <w:r w:rsidRPr="007927D0">
        <w:rPr>
          <w:rFonts w:ascii="Arial" w:eastAsia="Arial" w:hAnsi="Arial" w:cs="Arial"/>
          <w:b/>
          <w:sz w:val="24"/>
          <w:szCs w:val="24"/>
        </w:rPr>
        <w:t xml:space="preserve">         H. Derechos de los LGBTI</w:t>
      </w:r>
    </w:p>
    <w:p w14:paraId="6B8B3B09" w14:textId="77777777" w:rsidR="000761CD" w:rsidRPr="007927D0" w:rsidRDefault="000761CD" w:rsidP="007927D0">
      <w:pPr>
        <w:spacing w:after="0" w:line="240" w:lineRule="auto"/>
        <w:ind w:left="360"/>
        <w:jc w:val="both"/>
        <w:rPr>
          <w:rFonts w:ascii="Arial" w:eastAsia="Arial" w:hAnsi="Arial" w:cs="Arial"/>
          <w:b/>
          <w:sz w:val="24"/>
          <w:szCs w:val="24"/>
        </w:rPr>
      </w:pPr>
    </w:p>
    <w:p w14:paraId="5764AD0C" w14:textId="77777777" w:rsidR="000761CD" w:rsidRPr="007927D0" w:rsidRDefault="00492070" w:rsidP="007927D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sidRPr="007927D0">
        <w:rPr>
          <w:rFonts w:ascii="Arial" w:eastAsia="Arial" w:hAnsi="Arial" w:cs="Arial"/>
          <w:sz w:val="24"/>
          <w:szCs w:val="24"/>
        </w:rPr>
        <w:t xml:space="preserve"> Son muchas las situaciones que se han dejado a la luz pública sobre la discriminación de la comunidad LGBTI, las cuales no solo son objeto de acosos sino también de agresiones físicas que involucran hasta al mismo grupo familiar.</w:t>
      </w:r>
    </w:p>
    <w:p w14:paraId="4C4F8B09" w14:textId="77777777" w:rsidR="000761CD" w:rsidRPr="007927D0" w:rsidRDefault="000761CD" w:rsidP="007927D0">
      <w:pPr>
        <w:spacing w:after="0" w:line="240" w:lineRule="auto"/>
        <w:ind w:left="360"/>
        <w:jc w:val="both"/>
        <w:rPr>
          <w:rFonts w:ascii="Arial" w:eastAsia="Arial" w:hAnsi="Arial" w:cs="Arial"/>
          <w:sz w:val="24"/>
          <w:szCs w:val="24"/>
        </w:rPr>
      </w:pPr>
    </w:p>
    <w:p w14:paraId="2295C4C5" w14:textId="77777777" w:rsidR="000761CD" w:rsidRPr="007927D0" w:rsidRDefault="00492070" w:rsidP="007927D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sidRPr="007927D0">
        <w:rPr>
          <w:rFonts w:ascii="Arial" w:eastAsia="Arial" w:hAnsi="Arial" w:cs="Arial"/>
          <w:sz w:val="24"/>
          <w:szCs w:val="24"/>
        </w:rPr>
        <w:t>Se ha dejado atrás el hecho de que son peruanos que como los demás deben gozar de los mismos derechos, independientemente de su orientación sexual, es por ello la importancia de implementar políticas de Estado dirigidas a la protección de los derechos que como persona goza todo ciudadano.</w:t>
      </w:r>
    </w:p>
    <w:p w14:paraId="66AA6DA4" w14:textId="77777777" w:rsidR="000761CD" w:rsidRPr="007927D0" w:rsidRDefault="00492070" w:rsidP="007927D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sidRPr="007927D0">
        <w:rPr>
          <w:rFonts w:ascii="Arial" w:eastAsia="Arial" w:hAnsi="Arial" w:cs="Arial"/>
          <w:sz w:val="24"/>
          <w:szCs w:val="24"/>
        </w:rPr>
        <w:t>El Estado debe dejar de estar ausente antes hechos de violencia o actos de discriminación que ponen en riesgo la vida y libre desenvolvimiento de esta comunidad e indirectamente deja al Gobierno como una especie de cómplice ante tales hechos.</w:t>
      </w:r>
    </w:p>
    <w:p w14:paraId="333D0FA2" w14:textId="77777777" w:rsidR="000761CD" w:rsidRPr="007927D0" w:rsidRDefault="000761CD" w:rsidP="007927D0">
      <w:pPr>
        <w:spacing w:after="0" w:line="240" w:lineRule="auto"/>
        <w:ind w:left="360"/>
        <w:jc w:val="both"/>
        <w:rPr>
          <w:rFonts w:ascii="Arial" w:eastAsia="Arial" w:hAnsi="Arial" w:cs="Arial"/>
          <w:sz w:val="24"/>
          <w:szCs w:val="24"/>
        </w:rPr>
      </w:pPr>
    </w:p>
    <w:p w14:paraId="488D98A3" w14:textId="77777777" w:rsidR="000761CD" w:rsidRPr="007927D0" w:rsidRDefault="00492070" w:rsidP="007927D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sidRPr="007927D0">
        <w:rPr>
          <w:rFonts w:ascii="Arial" w:eastAsia="Arial" w:hAnsi="Arial" w:cs="Arial"/>
          <w:sz w:val="24"/>
          <w:szCs w:val="24"/>
        </w:rPr>
        <w:t>Por tales motivos, la Defensoría del Pueblo hace una observación donde hace énfasis que esta comunidad debe ser parte de las políticas públicas, donde se asegure no solo su protección sino también el reconocimiento de su identidad.</w:t>
      </w:r>
    </w:p>
    <w:p w14:paraId="7B25766F" w14:textId="77777777" w:rsidR="000761CD" w:rsidRPr="007927D0" w:rsidRDefault="000761CD" w:rsidP="007927D0">
      <w:pPr>
        <w:pBdr>
          <w:top w:val="nil"/>
          <w:left w:val="nil"/>
          <w:bottom w:val="nil"/>
          <w:right w:val="nil"/>
          <w:between w:val="nil"/>
        </w:pBdr>
        <w:spacing w:after="0" w:line="240" w:lineRule="auto"/>
        <w:ind w:left="720"/>
        <w:jc w:val="both"/>
        <w:rPr>
          <w:rFonts w:ascii="Arial" w:eastAsia="Arial" w:hAnsi="Arial" w:cs="Arial"/>
          <w:sz w:val="24"/>
          <w:szCs w:val="24"/>
        </w:rPr>
      </w:pPr>
    </w:p>
    <w:p w14:paraId="673D7CA1" w14:textId="777B2DB0" w:rsidR="000761CD" w:rsidRPr="007927D0" w:rsidRDefault="00492070" w:rsidP="007927D0">
      <w:pPr>
        <w:pBdr>
          <w:top w:val="nil"/>
          <w:left w:val="nil"/>
          <w:bottom w:val="nil"/>
          <w:right w:val="nil"/>
          <w:between w:val="nil"/>
        </w:pBdr>
        <w:spacing w:after="0" w:line="240" w:lineRule="auto"/>
        <w:ind w:left="720"/>
        <w:jc w:val="both"/>
        <w:rPr>
          <w:rFonts w:ascii="Arial" w:eastAsia="Arial" w:hAnsi="Arial" w:cs="Arial"/>
          <w:sz w:val="24"/>
          <w:szCs w:val="24"/>
        </w:rPr>
      </w:pPr>
      <w:r w:rsidRPr="007927D0">
        <w:rPr>
          <w:rFonts w:ascii="Arial" w:eastAsia="Arial" w:hAnsi="Arial" w:cs="Arial"/>
          <w:sz w:val="24"/>
          <w:szCs w:val="24"/>
        </w:rPr>
        <w:t>“Planteamos que el Estado brinde una cobertura real a los derechos fundamentales de las personas LGBTI…”(Informe Defensorial,N°175, Derechos humanos de las personas LGBTI).</w:t>
      </w:r>
    </w:p>
    <w:p w14:paraId="3CE31384" w14:textId="77777777" w:rsidR="000761CD" w:rsidRPr="007927D0" w:rsidRDefault="000761CD" w:rsidP="007927D0">
      <w:pPr>
        <w:pBdr>
          <w:top w:val="nil"/>
          <w:left w:val="nil"/>
          <w:bottom w:val="nil"/>
          <w:right w:val="nil"/>
          <w:between w:val="nil"/>
        </w:pBdr>
        <w:spacing w:after="0" w:line="240" w:lineRule="auto"/>
        <w:ind w:left="720"/>
        <w:jc w:val="both"/>
        <w:rPr>
          <w:rFonts w:ascii="Arial" w:eastAsia="Arial" w:hAnsi="Arial" w:cs="Arial"/>
          <w:sz w:val="24"/>
          <w:szCs w:val="24"/>
        </w:rPr>
      </w:pPr>
    </w:p>
    <w:p w14:paraId="6E707F6C" w14:textId="2410C5EF" w:rsidR="000761CD" w:rsidRPr="007927D0" w:rsidRDefault="00492070" w:rsidP="007927D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sidRPr="007927D0">
        <w:rPr>
          <w:rFonts w:ascii="Arial" w:eastAsia="Arial" w:hAnsi="Arial" w:cs="Arial"/>
          <w:sz w:val="24"/>
          <w:szCs w:val="24"/>
        </w:rPr>
        <w:t xml:space="preserve"> En los centros de reclusión debe existir un protroloco de atencón y no discriminación a las personas LGBTI donde se garantice sus derechos y respeto a </w:t>
      </w:r>
      <w:r w:rsidR="007927D0" w:rsidRPr="007927D0">
        <w:rPr>
          <w:rFonts w:ascii="Arial" w:eastAsia="Arial" w:hAnsi="Arial" w:cs="Arial"/>
          <w:sz w:val="24"/>
          <w:szCs w:val="24"/>
        </w:rPr>
        <w:t>su identidad</w:t>
      </w:r>
      <w:r w:rsidRPr="007927D0">
        <w:rPr>
          <w:rFonts w:ascii="Arial" w:eastAsia="Arial" w:hAnsi="Arial" w:cs="Arial"/>
          <w:sz w:val="24"/>
          <w:szCs w:val="24"/>
        </w:rPr>
        <w:t xml:space="preserve"> de género.</w:t>
      </w:r>
    </w:p>
    <w:p w14:paraId="6CD55595" w14:textId="77777777" w:rsidR="000761CD" w:rsidRPr="007927D0" w:rsidRDefault="000761CD" w:rsidP="007927D0">
      <w:pPr>
        <w:spacing w:after="0" w:line="240" w:lineRule="auto"/>
        <w:jc w:val="both"/>
        <w:rPr>
          <w:rFonts w:ascii="Arial" w:eastAsia="Arial" w:hAnsi="Arial" w:cs="Arial"/>
          <w:sz w:val="24"/>
          <w:szCs w:val="24"/>
        </w:rPr>
      </w:pPr>
    </w:p>
    <w:p w14:paraId="4F411F01" w14:textId="77777777" w:rsidR="000761CD" w:rsidRPr="007927D0" w:rsidRDefault="00492070" w:rsidP="007927D0">
      <w:pPr>
        <w:pBdr>
          <w:top w:val="nil"/>
          <w:left w:val="nil"/>
          <w:bottom w:val="nil"/>
          <w:right w:val="nil"/>
          <w:between w:val="nil"/>
        </w:pBdr>
        <w:spacing w:after="0" w:line="240" w:lineRule="auto"/>
        <w:ind w:left="720"/>
        <w:jc w:val="both"/>
        <w:rPr>
          <w:rFonts w:ascii="Arial" w:eastAsia="Arial" w:hAnsi="Arial" w:cs="Arial"/>
          <w:sz w:val="24"/>
          <w:szCs w:val="24"/>
        </w:rPr>
      </w:pPr>
      <w:r w:rsidRPr="007927D0">
        <w:rPr>
          <w:rFonts w:ascii="Arial" w:eastAsia="Arial" w:hAnsi="Arial" w:cs="Arial"/>
          <w:sz w:val="24"/>
          <w:szCs w:val="24"/>
        </w:rPr>
        <w:t xml:space="preserve"> “esta directiva se especifica que las personas LGBTI son consideradas como grupo de especial protección, y en las disposiciones siguientes se establece que deben registrarse mediante la Cartilla de preguntas de orientación sexual e identidad de género”…(Sexto informe anual MNPT)</w:t>
      </w:r>
    </w:p>
    <w:p w14:paraId="0BF047B0" w14:textId="77777777" w:rsidR="000761CD" w:rsidRPr="007927D0" w:rsidRDefault="000761CD" w:rsidP="007927D0">
      <w:pPr>
        <w:shd w:val="clear" w:color="auto" w:fill="FFFFFF"/>
        <w:spacing w:after="380" w:line="240" w:lineRule="auto"/>
        <w:jc w:val="both"/>
        <w:rPr>
          <w:rFonts w:ascii="Arial" w:eastAsia="Arial" w:hAnsi="Arial" w:cs="Arial"/>
          <w:b/>
          <w:sz w:val="24"/>
          <w:szCs w:val="24"/>
          <w:highlight w:val="white"/>
        </w:rPr>
      </w:pPr>
      <w:bookmarkStart w:id="0" w:name="_heading=h.gjdgxs" w:colFirst="0" w:colLast="0"/>
      <w:bookmarkStart w:id="1" w:name="_heading=h.4tl9rxjytj5l" w:colFirst="0" w:colLast="0"/>
      <w:bookmarkEnd w:id="0"/>
      <w:bookmarkEnd w:id="1"/>
    </w:p>
    <w:p w14:paraId="1BFADF17" w14:textId="77777777" w:rsidR="000761CD" w:rsidRPr="007927D0" w:rsidRDefault="00492070" w:rsidP="007927D0">
      <w:pPr>
        <w:shd w:val="clear" w:color="auto" w:fill="FFFFFF"/>
        <w:spacing w:after="380" w:line="240" w:lineRule="auto"/>
        <w:jc w:val="both"/>
        <w:rPr>
          <w:rFonts w:ascii="Arial" w:eastAsia="Arial" w:hAnsi="Arial" w:cs="Arial"/>
          <w:b/>
          <w:sz w:val="24"/>
          <w:szCs w:val="24"/>
          <w:highlight w:val="white"/>
        </w:rPr>
      </w:pPr>
      <w:r w:rsidRPr="007927D0">
        <w:rPr>
          <w:rFonts w:ascii="Arial" w:eastAsia="Arial" w:hAnsi="Arial" w:cs="Arial"/>
          <w:b/>
          <w:sz w:val="24"/>
          <w:szCs w:val="24"/>
          <w:highlight w:val="white"/>
        </w:rPr>
        <w:t>Solicitamos a los Expertos independientes del Comité:</w:t>
      </w:r>
    </w:p>
    <w:p w14:paraId="6791291D" w14:textId="4FB7E88C" w:rsidR="000761CD" w:rsidRPr="007927D0" w:rsidRDefault="00492070" w:rsidP="007927D0">
      <w:pPr>
        <w:spacing w:after="0" w:line="240" w:lineRule="auto"/>
        <w:jc w:val="both"/>
        <w:rPr>
          <w:rFonts w:ascii="Arial" w:eastAsia="Arial" w:hAnsi="Arial" w:cs="Arial"/>
          <w:sz w:val="24"/>
          <w:szCs w:val="24"/>
          <w:highlight w:val="white"/>
        </w:rPr>
      </w:pPr>
      <w:bookmarkStart w:id="2" w:name="_heading=h.wvgaoukk3j6a" w:colFirst="0" w:colLast="0"/>
      <w:bookmarkEnd w:id="2"/>
      <w:r w:rsidRPr="007927D0">
        <w:rPr>
          <w:rFonts w:ascii="Arial" w:eastAsia="Arial" w:hAnsi="Arial" w:cs="Arial"/>
          <w:sz w:val="24"/>
          <w:szCs w:val="24"/>
          <w:highlight w:val="white"/>
        </w:rPr>
        <w:t>1- Que el Estado adecue e implemente políticas públicas en garantizar los derechos sexuales y reproductivo de la población en especial atención de las niñas y adolescentes embarazadas.</w:t>
      </w:r>
      <w:bookmarkStart w:id="3" w:name="_heading=h.z6bqfq5sf0an" w:colFirst="0" w:colLast="0"/>
      <w:bookmarkEnd w:id="3"/>
    </w:p>
    <w:p w14:paraId="46E3357F" w14:textId="0AE8F228" w:rsidR="000761CD" w:rsidRPr="007927D0" w:rsidRDefault="00492070" w:rsidP="007927D0">
      <w:pPr>
        <w:spacing w:after="0" w:line="240" w:lineRule="auto"/>
        <w:jc w:val="both"/>
        <w:rPr>
          <w:rFonts w:ascii="Arial" w:eastAsia="Arial" w:hAnsi="Arial" w:cs="Arial"/>
          <w:sz w:val="24"/>
          <w:szCs w:val="24"/>
          <w:highlight w:val="white"/>
        </w:rPr>
      </w:pPr>
      <w:bookmarkStart w:id="4" w:name="_heading=h.s5m99use88df" w:colFirst="0" w:colLast="0"/>
      <w:bookmarkEnd w:id="4"/>
      <w:r w:rsidRPr="007927D0">
        <w:rPr>
          <w:rFonts w:ascii="Arial" w:eastAsia="Arial" w:hAnsi="Arial" w:cs="Arial"/>
          <w:sz w:val="24"/>
          <w:szCs w:val="24"/>
          <w:highlight w:val="white"/>
        </w:rPr>
        <w:t xml:space="preserve">3- Que el Estado informe al Comité, sobre las medidas adoptadas para el acceso, goce y disfrute de los derechos a la educación, salud, y alimentación de los </w:t>
      </w:r>
      <w:r w:rsidR="00494495" w:rsidRPr="007927D0">
        <w:rPr>
          <w:rFonts w:ascii="Arial" w:eastAsia="Arial" w:hAnsi="Arial" w:cs="Arial"/>
          <w:sz w:val="24"/>
          <w:szCs w:val="24"/>
          <w:highlight w:val="white"/>
        </w:rPr>
        <w:t>poblaciones más pobres</w:t>
      </w:r>
      <w:r w:rsidRPr="007927D0">
        <w:rPr>
          <w:rFonts w:ascii="Arial" w:eastAsia="Arial" w:hAnsi="Arial" w:cs="Arial"/>
          <w:sz w:val="24"/>
          <w:szCs w:val="24"/>
          <w:highlight w:val="white"/>
        </w:rPr>
        <w:t>.</w:t>
      </w:r>
    </w:p>
    <w:p w14:paraId="15883290" w14:textId="77777777" w:rsidR="000761CD" w:rsidRPr="007927D0" w:rsidRDefault="00492070" w:rsidP="007927D0">
      <w:pPr>
        <w:spacing w:after="0" w:line="240" w:lineRule="auto"/>
        <w:jc w:val="both"/>
        <w:rPr>
          <w:rFonts w:ascii="Arial" w:eastAsia="Arial" w:hAnsi="Arial" w:cs="Arial"/>
          <w:sz w:val="24"/>
          <w:szCs w:val="24"/>
          <w:highlight w:val="white"/>
        </w:rPr>
      </w:pPr>
      <w:bookmarkStart w:id="5" w:name="_heading=h.d95obhvzi2wf" w:colFirst="0" w:colLast="0"/>
      <w:bookmarkEnd w:id="5"/>
      <w:r w:rsidRPr="007927D0">
        <w:rPr>
          <w:rFonts w:ascii="Arial" w:eastAsia="Arial" w:hAnsi="Arial" w:cs="Arial"/>
          <w:sz w:val="24"/>
          <w:szCs w:val="24"/>
          <w:highlight w:val="white"/>
        </w:rPr>
        <w:t>4- Que el Estado informe de las medidas adoptadas para adecuar y cumplir con las metas del Milenio en erradicar la pobreza y el cambio climático.</w:t>
      </w:r>
    </w:p>
    <w:p w14:paraId="53469E6C" w14:textId="251F92BD" w:rsidR="000761CD" w:rsidRPr="007927D0" w:rsidRDefault="00492070" w:rsidP="007927D0">
      <w:pPr>
        <w:spacing w:after="0" w:line="240" w:lineRule="auto"/>
        <w:jc w:val="both"/>
        <w:rPr>
          <w:rFonts w:ascii="Arial" w:eastAsia="Arial" w:hAnsi="Arial" w:cs="Arial"/>
          <w:sz w:val="24"/>
          <w:szCs w:val="24"/>
          <w:highlight w:val="white"/>
        </w:rPr>
      </w:pPr>
      <w:bookmarkStart w:id="6" w:name="_heading=h.j1x3el6cln3s" w:colFirst="0" w:colLast="0"/>
      <w:bookmarkEnd w:id="6"/>
      <w:r w:rsidRPr="007927D0">
        <w:rPr>
          <w:rFonts w:ascii="Arial" w:eastAsia="Arial" w:hAnsi="Arial" w:cs="Arial"/>
          <w:sz w:val="24"/>
          <w:szCs w:val="24"/>
          <w:highlight w:val="white"/>
        </w:rPr>
        <w:t>5- Que el Estado, se comprometa en adoptar reformas legislativas uregntes para garantizar los derechos y no discriminación de las personas LGBTI.</w:t>
      </w:r>
      <w:bookmarkStart w:id="7" w:name="_heading=h.iplc3ohewpos" w:colFirst="0" w:colLast="0"/>
      <w:bookmarkEnd w:id="7"/>
    </w:p>
    <w:p w14:paraId="3ED542A7" w14:textId="56C4310F" w:rsidR="000761CD" w:rsidRPr="007927D0" w:rsidRDefault="00492070" w:rsidP="007927D0">
      <w:pPr>
        <w:spacing w:after="0" w:line="240" w:lineRule="auto"/>
        <w:jc w:val="both"/>
        <w:rPr>
          <w:rFonts w:ascii="Arial" w:eastAsia="Arial" w:hAnsi="Arial" w:cs="Arial"/>
          <w:sz w:val="24"/>
          <w:szCs w:val="24"/>
          <w:highlight w:val="white"/>
        </w:rPr>
      </w:pPr>
      <w:bookmarkStart w:id="8" w:name="_heading=h.nfdm90b3i4lq" w:colFirst="0" w:colLast="0"/>
      <w:bookmarkEnd w:id="8"/>
      <w:r w:rsidRPr="007927D0">
        <w:rPr>
          <w:rFonts w:ascii="Arial" w:eastAsia="Arial" w:hAnsi="Arial" w:cs="Arial"/>
          <w:sz w:val="24"/>
          <w:szCs w:val="24"/>
          <w:highlight w:val="white"/>
        </w:rPr>
        <w:t xml:space="preserve">7- Que el Estado adopte medidas urgentes y eficaces en </w:t>
      </w:r>
      <w:r w:rsidR="00494495" w:rsidRPr="007927D0">
        <w:rPr>
          <w:rFonts w:ascii="Arial" w:eastAsia="Arial" w:hAnsi="Arial" w:cs="Arial"/>
          <w:sz w:val="24"/>
          <w:szCs w:val="24"/>
          <w:highlight w:val="white"/>
        </w:rPr>
        <w:t>el mecanismo</w:t>
      </w:r>
      <w:r w:rsidRPr="007927D0">
        <w:rPr>
          <w:rFonts w:ascii="Arial" w:eastAsia="Arial" w:hAnsi="Arial" w:cs="Arial"/>
          <w:sz w:val="24"/>
          <w:szCs w:val="24"/>
          <w:highlight w:val="white"/>
        </w:rPr>
        <w:t xml:space="preserve"> de protección a los defensores de derechos humanos.</w:t>
      </w:r>
      <w:bookmarkStart w:id="9" w:name="_heading=h.lorhso57zpps" w:colFirst="0" w:colLast="0"/>
      <w:bookmarkEnd w:id="9"/>
    </w:p>
    <w:sectPr w:rsidR="000761CD" w:rsidRPr="007927D0">
      <w:headerReference w:type="default" r:id="rId24"/>
      <w:footerReference w:type="default" r:id="rId25"/>
      <w:pgSz w:w="12240" w:h="15840"/>
      <w:pgMar w:top="1417" w:right="1700" w:bottom="1133" w:left="17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70986" w14:textId="77777777" w:rsidR="00435DDB" w:rsidRDefault="00435DDB">
      <w:pPr>
        <w:spacing w:after="0" w:line="240" w:lineRule="auto"/>
      </w:pPr>
      <w:r>
        <w:separator/>
      </w:r>
    </w:p>
  </w:endnote>
  <w:endnote w:type="continuationSeparator" w:id="0">
    <w:p w14:paraId="7F08B4F4" w14:textId="77777777" w:rsidR="00435DDB" w:rsidRDefault="00435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605F9" w14:textId="77777777" w:rsidR="000761CD" w:rsidRDefault="00492070">
    <w:pPr>
      <w:jc w:val="center"/>
    </w:pPr>
    <w:r>
      <w:t xml:space="preserve">@renaddhh </w:t>
    </w:r>
    <w:hyperlink r:id="rId1">
      <w:r>
        <w:rPr>
          <w:color w:val="1155CC"/>
          <w:u w:val="single"/>
        </w:rPr>
        <w:t>rednaddhh@gmail.com</w:t>
      </w:r>
    </w:hyperlink>
    <w:r>
      <w:t xml:space="preserve"> @cnddhs_ve </w:t>
    </w:r>
    <w:hyperlink r:id="rId2">
      <w:r>
        <w:rPr>
          <w:color w:val="1155CC"/>
          <w:u w:val="single"/>
        </w:rPr>
        <w:t>cnddhhs@gmail.com</w:t>
      </w:r>
    </w:hyperlink>
    <w:r>
      <w:t xml:space="preserve"> </w:t>
    </w:r>
  </w:p>
  <w:p w14:paraId="70200BC7" w14:textId="77777777" w:rsidR="000761CD" w:rsidRDefault="000761C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F9EC4" w14:textId="77777777" w:rsidR="00435DDB" w:rsidRDefault="00435DDB">
      <w:pPr>
        <w:spacing w:after="0" w:line="240" w:lineRule="auto"/>
      </w:pPr>
      <w:r>
        <w:separator/>
      </w:r>
    </w:p>
  </w:footnote>
  <w:footnote w:type="continuationSeparator" w:id="0">
    <w:p w14:paraId="61D6683F" w14:textId="77777777" w:rsidR="00435DDB" w:rsidRDefault="00435D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38104" w14:textId="7517137C" w:rsidR="000761CD" w:rsidRDefault="001F0823" w:rsidP="007927D0">
    <w:pPr>
      <w:tabs>
        <w:tab w:val="center" w:pos="4420"/>
      </w:tabs>
    </w:pPr>
    <w:r>
      <w:rPr>
        <w:rFonts w:ascii="Arial" w:hAnsi="Arial" w:cs="Arial"/>
        <w:noProof/>
        <w:color w:val="000000"/>
        <w:bdr w:val="none" w:sz="0" w:space="0" w:color="auto" w:frame="1"/>
      </w:rPr>
      <w:drawing>
        <wp:anchor distT="0" distB="0" distL="114300" distR="114300" simplePos="0" relativeHeight="251660288" behindDoc="1" locked="0" layoutInCell="1" allowOverlap="1" wp14:anchorId="74ECFA51" wp14:editId="11537FC6">
          <wp:simplePos x="0" y="0"/>
          <wp:positionH relativeFrom="margin">
            <wp:align>center</wp:align>
          </wp:positionH>
          <wp:positionV relativeFrom="paragraph">
            <wp:posOffset>-303530</wp:posOffset>
          </wp:positionV>
          <wp:extent cx="1676400" cy="755650"/>
          <wp:effectExtent l="0" t="0" r="0" b="6350"/>
          <wp:wrapNone/>
          <wp:docPr id="921860127" name="Imagen 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60127" name="Imagen 2" descr="Logotipo, nombre de la empres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34587" b="20677"/>
                  <a:stretch/>
                </pic:blipFill>
                <pic:spPr bwMode="auto">
                  <a:xfrm>
                    <a:off x="0" y="0"/>
                    <a:ext cx="1676400" cy="755650"/>
                  </a:xfrm>
                  <a:prstGeom prst="rect">
                    <a:avLst/>
                  </a:prstGeom>
                  <a:noFill/>
                  <a:ln>
                    <a:noFill/>
                  </a:ln>
                  <a:extLst>
                    <a:ext uri="{53640926-AAD7-44D8-BBD7-CCE9431645EC}">
                      <a14:shadowObscured xmlns:a14="http://schemas.microsoft.com/office/drawing/2010/main"/>
                    </a:ext>
                  </a:extLst>
                </pic:spPr>
              </pic:pic>
            </a:graphicData>
          </a:graphic>
        </wp:anchor>
      </w:drawing>
    </w:r>
    <w:r w:rsidR="00BF1F83">
      <w:rPr>
        <w:noProof/>
        <w:lang w:val="en-GB"/>
      </w:rPr>
      <w:drawing>
        <wp:anchor distT="0" distB="0" distL="0" distR="0" simplePos="0" relativeHeight="251659264" behindDoc="0" locked="0" layoutInCell="1" hidden="0" allowOverlap="1" wp14:anchorId="7FA58A2F" wp14:editId="7447EB6D">
          <wp:simplePos x="0" y="0"/>
          <wp:positionH relativeFrom="column">
            <wp:posOffset>4591050</wp:posOffset>
          </wp:positionH>
          <wp:positionV relativeFrom="paragraph">
            <wp:posOffset>-201930</wp:posOffset>
          </wp:positionV>
          <wp:extent cx="1574800" cy="615950"/>
          <wp:effectExtent l="0" t="0" r="6350" b="0"/>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1574800" cy="615950"/>
                  </a:xfrm>
                  <a:prstGeom prst="rect">
                    <a:avLst/>
                  </a:prstGeom>
                  <a:ln/>
                </pic:spPr>
              </pic:pic>
            </a:graphicData>
          </a:graphic>
          <wp14:sizeRelH relativeFrom="margin">
            <wp14:pctWidth>0</wp14:pctWidth>
          </wp14:sizeRelH>
          <wp14:sizeRelV relativeFrom="margin">
            <wp14:pctHeight>0</wp14:pctHeight>
          </wp14:sizeRelV>
        </wp:anchor>
      </w:drawing>
    </w:r>
    <w:r w:rsidR="00492070">
      <w:rPr>
        <w:noProof/>
        <w:lang w:val="en-GB"/>
      </w:rPr>
      <w:drawing>
        <wp:anchor distT="0" distB="0" distL="0" distR="0" simplePos="0" relativeHeight="251658240" behindDoc="0" locked="0" layoutInCell="1" hidden="0" allowOverlap="1" wp14:anchorId="085F3070" wp14:editId="336E773D">
          <wp:simplePos x="0" y="0"/>
          <wp:positionH relativeFrom="margin">
            <wp:align>left</wp:align>
          </wp:positionH>
          <wp:positionV relativeFrom="paragraph">
            <wp:posOffset>-201929</wp:posOffset>
          </wp:positionV>
          <wp:extent cx="1250950" cy="64770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r="-14901" b="-14901"/>
                  <a:stretch>
                    <a:fillRect/>
                  </a:stretch>
                </pic:blipFill>
                <pic:spPr>
                  <a:xfrm>
                    <a:off x="0" y="0"/>
                    <a:ext cx="1250950" cy="647700"/>
                  </a:xfrm>
                  <a:prstGeom prst="rect">
                    <a:avLst/>
                  </a:prstGeom>
                  <a:ln/>
                </pic:spPr>
              </pic:pic>
            </a:graphicData>
          </a:graphic>
          <wp14:sizeRelH relativeFrom="margin">
            <wp14:pctWidth>0</wp14:pctWidth>
          </wp14:sizeRelH>
          <wp14:sizeRelV relativeFrom="margin">
            <wp14:pctHeight>0</wp14:pctHeight>
          </wp14:sizeRelV>
        </wp:anchor>
      </w:drawing>
    </w:r>
    <w:r w:rsidR="007927D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67702"/>
    <w:multiLevelType w:val="multilevel"/>
    <w:tmpl w:val="6A2EF86E"/>
    <w:lvl w:ilvl="0">
      <w:start w:val="1"/>
      <w:numFmt w:val="decimal"/>
      <w:lvlText w:val="%1."/>
      <w:lvlJc w:val="left"/>
      <w:pPr>
        <w:ind w:left="786"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CF20CD2"/>
    <w:multiLevelType w:val="hybridMultilevel"/>
    <w:tmpl w:val="59989768"/>
    <w:lvl w:ilvl="0" w:tplc="AECA0F9C">
      <w:start w:val="1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90D570D"/>
    <w:multiLevelType w:val="multilevel"/>
    <w:tmpl w:val="B3C62372"/>
    <w:lvl w:ilvl="0">
      <w:start w:val="1"/>
      <w:numFmt w:val="upperLetter"/>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384663E"/>
    <w:multiLevelType w:val="multilevel"/>
    <w:tmpl w:val="6376FC2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1EE58F1"/>
    <w:multiLevelType w:val="hybridMultilevel"/>
    <w:tmpl w:val="548ACBB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56AF4AD4"/>
    <w:multiLevelType w:val="hybridMultilevel"/>
    <w:tmpl w:val="CD92D4E0"/>
    <w:lvl w:ilvl="0" w:tplc="080A0015">
      <w:start w:val="2"/>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718818072">
    <w:abstractNumId w:val="0"/>
  </w:num>
  <w:num w:numId="2" w16cid:durableId="643046001">
    <w:abstractNumId w:val="3"/>
  </w:num>
  <w:num w:numId="3" w16cid:durableId="421529207">
    <w:abstractNumId w:val="2"/>
  </w:num>
  <w:num w:numId="4" w16cid:durableId="312880952">
    <w:abstractNumId w:val="4"/>
  </w:num>
  <w:num w:numId="5" w16cid:durableId="188614247">
    <w:abstractNumId w:val="1"/>
  </w:num>
  <w:num w:numId="6" w16cid:durableId="20260100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1CD"/>
    <w:rsid w:val="000761CD"/>
    <w:rsid w:val="001201F1"/>
    <w:rsid w:val="001A46DB"/>
    <w:rsid w:val="001F0823"/>
    <w:rsid w:val="004247DD"/>
    <w:rsid w:val="00435DDB"/>
    <w:rsid w:val="00492070"/>
    <w:rsid w:val="00494495"/>
    <w:rsid w:val="00635A95"/>
    <w:rsid w:val="006D5E26"/>
    <w:rsid w:val="007927D0"/>
    <w:rsid w:val="008428E0"/>
    <w:rsid w:val="00943F43"/>
    <w:rsid w:val="00A65DB1"/>
    <w:rsid w:val="00BF1F83"/>
    <w:rsid w:val="00D73733"/>
    <w:rsid w:val="00DB581B"/>
    <w:rsid w:val="00EF27A0"/>
    <w:rsid w:val="00EF41A2"/>
    <w:rsid w:val="00F22974"/>
    <w:rsid w:val="00FB6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DCAEC"/>
  <w15:docId w15:val="{FBC9D7B4-5AF9-4F50-9533-404CD9FB2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VE"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pPr>
      <w:keepNext/>
      <w:keepLines/>
      <w:spacing w:before="480" w:after="120"/>
    </w:pPr>
    <w:rPr>
      <w:b/>
      <w:sz w:val="72"/>
      <w:szCs w:val="72"/>
    </w:rPr>
  </w:style>
  <w:style w:type="paragraph" w:styleId="Prrafodelista">
    <w:name w:val="List Paragraph"/>
    <w:basedOn w:val="Normal"/>
    <w:uiPriority w:val="34"/>
    <w:qFormat/>
    <w:rsid w:val="005F212A"/>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H23G">
    <w:name w:val="_ H_2/3_G"/>
    <w:basedOn w:val="Normal"/>
    <w:next w:val="Normal"/>
    <w:qFormat/>
    <w:rsid w:val="00BF1F83"/>
    <w:pPr>
      <w:keepNext/>
      <w:keepLines/>
      <w:tabs>
        <w:tab w:val="right" w:pos="851"/>
      </w:tabs>
      <w:suppressAutoHyphens/>
      <w:spacing w:before="240" w:after="120" w:line="240" w:lineRule="exact"/>
      <w:ind w:left="1134" w:right="1134" w:hanging="1134"/>
      <w:outlineLvl w:val="3"/>
    </w:pPr>
    <w:rPr>
      <w:rFonts w:ascii="Times New Roman" w:eastAsiaTheme="minorEastAsia" w:hAnsi="Times New Roman" w:cs="Times New Roman"/>
      <w:b/>
      <w:sz w:val="20"/>
      <w:szCs w:val="20"/>
      <w:lang w:val="es-ES" w:eastAsia="es-ES"/>
    </w:rPr>
  </w:style>
  <w:style w:type="paragraph" w:customStyle="1" w:styleId="SingleTxtG">
    <w:name w:val="_ Single Txt_G"/>
    <w:basedOn w:val="Normal"/>
    <w:link w:val="SingleTxtGChar"/>
    <w:qFormat/>
    <w:rsid w:val="00BF1F83"/>
    <w:pPr>
      <w:tabs>
        <w:tab w:val="left" w:pos="1701"/>
        <w:tab w:val="left" w:pos="2268"/>
        <w:tab w:val="left" w:pos="2835"/>
      </w:tabs>
      <w:spacing w:after="120" w:line="240" w:lineRule="atLeast"/>
      <w:ind w:left="1134" w:right="1134"/>
      <w:jc w:val="both"/>
    </w:pPr>
    <w:rPr>
      <w:rFonts w:ascii="Times New Roman" w:eastAsiaTheme="minorEastAsia" w:hAnsi="Times New Roman" w:cs="Times New Roman"/>
      <w:sz w:val="20"/>
      <w:szCs w:val="20"/>
      <w:lang w:val="es-ES" w:eastAsia="es-ES"/>
    </w:rPr>
  </w:style>
  <w:style w:type="character" w:styleId="Hipervnculo">
    <w:name w:val="Hyperlink"/>
    <w:rsid w:val="00BF1F83"/>
    <w:rPr>
      <w:color w:val="0000FF"/>
      <w:u w:val="none"/>
    </w:rPr>
  </w:style>
  <w:style w:type="character" w:customStyle="1" w:styleId="SingleTxtGChar">
    <w:name w:val="_ Single Txt_G Char"/>
    <w:link w:val="SingleTxtG"/>
    <w:rsid w:val="00BF1F83"/>
    <w:rPr>
      <w:rFonts w:ascii="Times New Roman" w:eastAsiaTheme="minorEastAsia" w:hAnsi="Times New Roman" w:cs="Times New Roman"/>
      <w:sz w:val="20"/>
      <w:szCs w:val="20"/>
      <w:lang w:val="es-ES" w:eastAsia="es-ES"/>
    </w:rPr>
  </w:style>
  <w:style w:type="character" w:styleId="Mencinsinresolver">
    <w:name w:val="Unresolved Mention"/>
    <w:basedOn w:val="Fuentedeprrafopredeter"/>
    <w:uiPriority w:val="99"/>
    <w:semiHidden/>
    <w:unhideWhenUsed/>
    <w:rsid w:val="00BF1F83"/>
    <w:rPr>
      <w:color w:val="605E5C"/>
      <w:shd w:val="clear" w:color="auto" w:fill="E1DFDD"/>
    </w:rPr>
  </w:style>
  <w:style w:type="paragraph" w:styleId="Encabezado">
    <w:name w:val="header"/>
    <w:basedOn w:val="Normal"/>
    <w:link w:val="EncabezadoCar"/>
    <w:uiPriority w:val="99"/>
    <w:unhideWhenUsed/>
    <w:rsid w:val="00BF1F8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F1F83"/>
  </w:style>
  <w:style w:type="paragraph" w:styleId="Piedepgina">
    <w:name w:val="footer"/>
    <w:basedOn w:val="Normal"/>
    <w:link w:val="PiedepginaCar"/>
    <w:uiPriority w:val="99"/>
    <w:unhideWhenUsed/>
    <w:rsid w:val="00BF1F8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F1F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efensoria.gob.pe/defensoria-del-pueblo-estado-peruano-debe-priorizar-la-atencion-de-la-salud-mental/" TargetMode="External"/><Relationship Id="rId18" Type="http://schemas.openxmlformats.org/officeDocument/2006/relationships/hyperlink" Target="https://comunicaciones.congreso.gob.pe/noticias/fondo-editorial-del-congreso-presento-libro-constitucion-politica-del-peru-para-escolare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peip-eb.gob.pe/ministerio-de-economia-transfiere-recursos-a-escuelas-bicentenario-para-garantizar-la-ejecucion-de-proyectos/" TargetMode="External"/><Relationship Id="rId7" Type="http://schemas.openxmlformats.org/officeDocument/2006/relationships/settings" Target="settings.xml"/><Relationship Id="rId12" Type="http://schemas.openxmlformats.org/officeDocument/2006/relationships/hyperlink" Target="https://www.elperiodico.com/es/internacional/20190622/defensoria-del-pueblo-alumnas-admiten-agresiones-en-escuelas-militares-peru-7517322" TargetMode="External"/><Relationship Id="rId17" Type="http://schemas.openxmlformats.org/officeDocument/2006/relationships/hyperlink" Target="https://www.ohchr.org/sites/default/files/documents/issues/education/cfis/cfi-expression/subm-academic-freedom-cso-red-nacio-peru-peru.docx"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usquedas.elperuano.pe/dispositivo/NL/2350706-4" TargetMode="External"/><Relationship Id="rId20" Type="http://schemas.openxmlformats.org/officeDocument/2006/relationships/hyperlink" Target="https://peip-eb.gob.pe/escuelas-bicentenario-se-ejecutaran-con-asistencia-tecnica-especializada-del-reino-unido-mediante-acuerdo-gobierno-a-gobiern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adpi.es/es/noticias/peru-recordamos-al-estado-peruano-su-compromiso-con-la-prevencion-y-el-combate-de-la-tortura"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usquedas.elperuano.pe/dispositivo/NL/2358391-5" TargetMode="External"/><Relationship Id="rId23" Type="http://schemas.openxmlformats.org/officeDocument/2006/relationships/hyperlink" Target="https://www.defensoria.gob.pe/wp-content/uploads/2024/09/Documento-Defensorial_violencia_sexual_condorcanqui-1.pdf" TargetMode="External"/><Relationship Id="rId10" Type="http://schemas.openxmlformats.org/officeDocument/2006/relationships/endnotes" Target="endnotes.xml"/><Relationship Id="rId19" Type="http://schemas.openxmlformats.org/officeDocument/2006/relationships/hyperlink" Target="https://peip-eb.gob.p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inei.gob.pe/prensa/noticias/el-121-de-la-poblacion-menor-de-cinco-anos-de-edad-del-pais-sufrio-desnutricion-cronica-en-el-ano-2020-12838/" TargetMode="External"/><Relationship Id="rId22" Type="http://schemas.openxmlformats.org/officeDocument/2006/relationships/hyperlink" Target="https://idehpucp.pucp.edu.pe/boletin-eventos/las-violaciones-de-ninas-wampis-y-awajuninjusticia-comunitaria-y-ordinaria-e-impunidad/"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cnddhhs@gmail.com" TargetMode="External"/><Relationship Id="rId1" Type="http://schemas.openxmlformats.org/officeDocument/2006/relationships/hyperlink" Target="mailto:rednaddhh@gmail.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gqrHRLDWPuik8n9AG3TbBdhAEp2g==">AMUW2mX+Yl7OAThGh23VM9D8ZIgIIZz0iKoy3IA4WyN5vccPmIf4qnhkNVCGpYCqCgJ+fSEZ6o6G5iSkNITTgl85ttqTe/XR50qYV6AVkl+koMD43W8eoRDpUXgF5gRhPVuHr2YibZOA/kmkoFBE3A8+9ml67NMRtE1bQ1n3z4XxH0fWmlWcnTX+3U3oCKTKbLYSRH5LPQdaPy7gJKZzFCOBtoe8gGBN1qYfn9KALzuCJ+ZbLMfsImV3HHUQI5jymmGtHjoLDedVYG1sndd421yrRdfsRPqY9y/IvB41eOJ29zBkrgEVpxWXV+JalxaHJL+w1cuEkIooY9ygvM+B7oiXB6PP0uaUSD+WYa6kqBcMtsGZHjYyAIs7EKY3U99+wCObWxd/Lb+Hwm7b4+8t0Vb81zhIVSKb/RNeRX6fYO6Np9mbH+TM7vhwrvCs0H6AlCoiYDYab71iCa8mUVNuKrq9ujdSR0+2PHu/UicSlOZYLKIVTSlekLRPRwmyPLZIv5hcBaZqgXo/lTvn32in3QjyXCshkRrr4D/eyUQ8Okv6BZ2zWPiVKdqFNqUUsf6XdUOG09OZpRFT7u6b1vEI+EYpVxS7VtUx17AmJk4zhsK6uWsZQZY03OT9PJQJLWTtgEV8O0Nn98zrfYE3GO4NOPC5F21XFIh43Du5VroB7y3M5KrQFCBRHOedWVlU7iD9NzFjJRAff2bySofEIPAAXi6trKhYL4LAoMZ45pQIBTyQOb7f0KdLD9qHVM3027f9Pr33nM19LjdtS/9Z2ZyOSMlY8nYkGtW7vbGgxg4cMB9/wBsRjpmQ/Qxf27JbglHxbpHf4ZluMCiGl81+JGXaQnCQFEs+XxBBj5xMrJ4nR7/R6naeo60ZBGFuzsc+UBKinEQ1cCqJKmxa2sCC1XpFvAxOfrmnReXlwFei70JTUcVSDZcrdoHmY4dAepNZnvDOPxKVeweQbIzpATjUKhftFi9L/vboR6050tn3mfmYhngURbHdBX+AGGgSHyiB7Fq1PUiF2sO+ZmLjk495i0ow9x301lUjxtqXTUqgvFhonlFBxyMowbq2bpX0fHrxE6oTIGNedZNzt6AYhg4ni6WF4cj2dWo6StZ0p5cxMGf7JwK1ECSt8Gv93OQhcvt1FQkJfP4PJPbriLcjh87Sc8acdAsW404Dk8OJBw==</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359BCC-E5B2-40FD-A95B-C8C72D4FAA25}">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5AC362CA-541A-4C3B-9A7A-8D88D4DBE76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A652FCC-F0FD-4E14-AE2F-C76DB7B21D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5211</Words>
  <Characters>28664</Characters>
  <Application>Microsoft Office Word</Application>
  <DocSecurity>0</DocSecurity>
  <Lines>238</Lines>
  <Paragraphs>67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OHCHR</Company>
  <LinksUpToDate>false</LinksUpToDate>
  <CharactersWithSpaces>33808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Invitado</dc:creator>
  <cp:keywords/>
  <dc:description/>
  <cp:lastModifiedBy>A G</cp:lastModifiedBy>
  <cp:revision>3</cp:revision>
  <cp:lastPrinted>2025-01-12T23:16:00Z</cp:lastPrinted>
  <dcterms:created xsi:type="dcterms:W3CDTF">2025-01-12T23:19:00Z</dcterms:created>
  <dcterms:modified xsi:type="dcterms:W3CDTF">2025-01-12T23:20:00Z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