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F787" w14:textId="77777777" w:rsidR="00A374EB" w:rsidRDefault="003350B4" w:rsidP="009E5C56">
      <w:pPr>
        <w:pStyle w:val="Header"/>
        <w:tabs>
          <w:tab w:val="clear" w:pos="4703"/>
          <w:tab w:val="clear" w:pos="9406"/>
          <w:tab w:val="left" w:pos="4485"/>
        </w:tabs>
        <w:ind w:left="-1800" w:firstLine="1800"/>
      </w:pPr>
      <w:r w:rsidRPr="00054861">
        <w:rPr>
          <w:noProof/>
          <w:lang w:val="en-GB" w:eastAsia="en-GB"/>
        </w:rPr>
        <w:drawing>
          <wp:anchor distT="0" distB="0" distL="114300" distR="114300" simplePos="0" relativeHeight="251659264" behindDoc="1" locked="0" layoutInCell="1" allowOverlap="1" wp14:anchorId="675B2EC4" wp14:editId="5BC8A4D5">
            <wp:simplePos x="0" y="0"/>
            <wp:positionH relativeFrom="margin">
              <wp:posOffset>-984885</wp:posOffset>
            </wp:positionH>
            <wp:positionV relativeFrom="margin">
              <wp:posOffset>-806450</wp:posOffset>
            </wp:positionV>
            <wp:extent cx="7503795" cy="10064115"/>
            <wp:effectExtent l="0" t="0" r="1905" b="0"/>
            <wp:wrapNone/>
            <wp:docPr id="4" name="Picture 4" descr="S:\Communications (Charlotte)\Brand &amp; Logos\Letterhead\Final Letterhead with New Margins\ERT_Letterhead_Final_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Charlotte)\Brand &amp; Logos\Letterhead\Final Letterhead with New Margins\ERT_Letterhead_Final_2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3795" cy="10064115"/>
                    </a:xfrm>
                    <a:prstGeom prst="rect">
                      <a:avLst/>
                    </a:prstGeom>
                    <a:noFill/>
                    <a:ln>
                      <a:noFill/>
                    </a:ln>
                  </pic:spPr>
                </pic:pic>
              </a:graphicData>
            </a:graphic>
          </wp:anchor>
        </w:drawing>
      </w:r>
    </w:p>
    <w:p w14:paraId="54CDAFE3" w14:textId="77777777" w:rsidR="00A374EB" w:rsidRDefault="00A374EB" w:rsidP="009E5C56">
      <w:pPr>
        <w:pStyle w:val="Header"/>
        <w:tabs>
          <w:tab w:val="clear" w:pos="4703"/>
          <w:tab w:val="clear" w:pos="9406"/>
          <w:tab w:val="left" w:pos="4485"/>
        </w:tabs>
        <w:ind w:left="-1800" w:firstLine="1800"/>
      </w:pPr>
    </w:p>
    <w:p w14:paraId="71E179FE" w14:textId="77777777" w:rsidR="00A374EB" w:rsidRDefault="00A374EB" w:rsidP="009E5C56">
      <w:pPr>
        <w:pStyle w:val="Header"/>
        <w:tabs>
          <w:tab w:val="clear" w:pos="4703"/>
          <w:tab w:val="clear" w:pos="9406"/>
          <w:tab w:val="left" w:pos="4485"/>
        </w:tabs>
        <w:ind w:left="-1800" w:firstLine="1800"/>
      </w:pPr>
    </w:p>
    <w:p w14:paraId="72120001" w14:textId="77777777" w:rsidR="00A374EB" w:rsidRDefault="00A374EB" w:rsidP="009E5C56">
      <w:pPr>
        <w:pStyle w:val="Header"/>
        <w:tabs>
          <w:tab w:val="clear" w:pos="4703"/>
          <w:tab w:val="clear" w:pos="9406"/>
          <w:tab w:val="left" w:pos="4485"/>
        </w:tabs>
        <w:ind w:left="-1800" w:firstLine="1800"/>
      </w:pPr>
    </w:p>
    <w:p w14:paraId="37971495" w14:textId="77777777" w:rsidR="00B4395B" w:rsidRDefault="00B4395B" w:rsidP="009E5C56">
      <w:pPr>
        <w:pStyle w:val="Default"/>
        <w:jc w:val="both"/>
        <w:rPr>
          <w:b/>
          <w:sz w:val="22"/>
          <w:szCs w:val="22"/>
          <w:u w:val="single"/>
        </w:rPr>
      </w:pPr>
    </w:p>
    <w:p w14:paraId="39FD7976" w14:textId="6A172CE5" w:rsidR="00B4395B" w:rsidRDefault="00261F05" w:rsidP="009E5C56">
      <w:pPr>
        <w:pStyle w:val="Default"/>
        <w:jc w:val="center"/>
        <w:rPr>
          <w:b/>
          <w:sz w:val="22"/>
          <w:szCs w:val="22"/>
        </w:rPr>
      </w:pPr>
      <w:r>
        <w:rPr>
          <w:b/>
          <w:sz w:val="22"/>
          <w:szCs w:val="22"/>
        </w:rPr>
        <w:t xml:space="preserve">Joint Submission: </w:t>
      </w:r>
      <w:r w:rsidR="00B4395B">
        <w:rPr>
          <w:b/>
          <w:sz w:val="22"/>
          <w:szCs w:val="22"/>
        </w:rPr>
        <w:t>Equal Rights Trust</w:t>
      </w:r>
      <w:r>
        <w:rPr>
          <w:b/>
          <w:sz w:val="22"/>
          <w:szCs w:val="22"/>
        </w:rPr>
        <w:t xml:space="preserve"> and </w:t>
      </w:r>
      <w:r w:rsidRPr="00261F05">
        <w:rPr>
          <w:b/>
          <w:sz w:val="22"/>
          <w:szCs w:val="22"/>
        </w:rPr>
        <w:t>Focus Development Association</w:t>
      </w:r>
    </w:p>
    <w:p w14:paraId="4C297BD5" w14:textId="77777777" w:rsidR="00B4395B" w:rsidRDefault="00B4395B" w:rsidP="009E5C56">
      <w:pPr>
        <w:pStyle w:val="Default"/>
        <w:jc w:val="center"/>
        <w:rPr>
          <w:b/>
          <w:sz w:val="22"/>
          <w:szCs w:val="22"/>
        </w:rPr>
      </w:pPr>
    </w:p>
    <w:p w14:paraId="6E807DA8" w14:textId="77777777" w:rsidR="00B4395B" w:rsidRDefault="00B4395B" w:rsidP="009E5C56">
      <w:pPr>
        <w:pStyle w:val="Default"/>
        <w:jc w:val="center"/>
        <w:rPr>
          <w:bCs/>
          <w:sz w:val="22"/>
          <w:szCs w:val="22"/>
        </w:rPr>
      </w:pPr>
      <w:r>
        <w:rPr>
          <w:bCs/>
          <w:sz w:val="22"/>
          <w:szCs w:val="22"/>
        </w:rPr>
        <w:t>Suggested issues and questions to be adopted</w:t>
      </w:r>
      <w:r w:rsidR="00C8477C">
        <w:rPr>
          <w:bCs/>
          <w:sz w:val="22"/>
          <w:szCs w:val="22"/>
        </w:rPr>
        <w:t xml:space="preserve"> by the </w:t>
      </w:r>
      <w:r w:rsidR="00C8477C" w:rsidRPr="00C8477C">
        <w:rPr>
          <w:bCs/>
          <w:sz w:val="22"/>
          <w:szCs w:val="22"/>
        </w:rPr>
        <w:t>Country Report Task Force</w:t>
      </w:r>
      <w:r>
        <w:rPr>
          <w:bCs/>
          <w:sz w:val="22"/>
          <w:szCs w:val="22"/>
        </w:rPr>
        <w:t xml:space="preserve"> at the </w:t>
      </w:r>
      <w:r w:rsidR="00C8477C">
        <w:rPr>
          <w:bCs/>
          <w:sz w:val="22"/>
          <w:szCs w:val="22"/>
        </w:rPr>
        <w:t>118</w:t>
      </w:r>
      <w:r w:rsidRPr="00B4395B">
        <w:rPr>
          <w:bCs/>
          <w:sz w:val="22"/>
          <w:szCs w:val="22"/>
          <w:vertAlign w:val="superscript"/>
        </w:rPr>
        <w:t>th</w:t>
      </w:r>
      <w:r>
        <w:rPr>
          <w:bCs/>
          <w:sz w:val="22"/>
          <w:szCs w:val="22"/>
        </w:rPr>
        <w:t xml:space="preserve"> session of the </w:t>
      </w:r>
      <w:r w:rsidR="00C8477C">
        <w:rPr>
          <w:bCs/>
          <w:sz w:val="22"/>
          <w:szCs w:val="22"/>
        </w:rPr>
        <w:t>Human Rights Committee</w:t>
      </w:r>
      <w:r>
        <w:rPr>
          <w:bCs/>
          <w:sz w:val="22"/>
          <w:szCs w:val="22"/>
        </w:rPr>
        <w:t xml:space="preserve"> in relation to the </w:t>
      </w:r>
      <w:r w:rsidR="00C8477C">
        <w:rPr>
          <w:bCs/>
          <w:sz w:val="22"/>
          <w:szCs w:val="22"/>
        </w:rPr>
        <w:t>fourth</w:t>
      </w:r>
      <w:r>
        <w:rPr>
          <w:bCs/>
          <w:sz w:val="22"/>
          <w:szCs w:val="22"/>
        </w:rPr>
        <w:t xml:space="preserve"> periodic report submitted by:</w:t>
      </w:r>
    </w:p>
    <w:p w14:paraId="526189B8" w14:textId="77777777" w:rsidR="00B4395B" w:rsidRDefault="00B4395B" w:rsidP="009E5C56">
      <w:pPr>
        <w:pStyle w:val="Default"/>
        <w:jc w:val="center"/>
        <w:rPr>
          <w:bCs/>
          <w:sz w:val="22"/>
          <w:szCs w:val="22"/>
        </w:rPr>
      </w:pPr>
    </w:p>
    <w:p w14:paraId="02ED4312" w14:textId="77777777" w:rsidR="00B4395B" w:rsidRDefault="00C8477C" w:rsidP="009E5C56">
      <w:pPr>
        <w:pStyle w:val="Default"/>
        <w:jc w:val="center"/>
        <w:rPr>
          <w:b/>
          <w:sz w:val="22"/>
          <w:szCs w:val="22"/>
        </w:rPr>
      </w:pPr>
      <w:r>
        <w:rPr>
          <w:b/>
          <w:sz w:val="22"/>
          <w:szCs w:val="22"/>
        </w:rPr>
        <w:t>Madagascar</w:t>
      </w:r>
    </w:p>
    <w:p w14:paraId="6332BA3E" w14:textId="77777777" w:rsidR="00C8477C" w:rsidRDefault="00C8477C" w:rsidP="009E5C56">
      <w:pPr>
        <w:pStyle w:val="Default"/>
        <w:jc w:val="center"/>
        <w:rPr>
          <w:b/>
          <w:sz w:val="22"/>
          <w:szCs w:val="22"/>
        </w:rPr>
      </w:pPr>
    </w:p>
    <w:p w14:paraId="2C1FB8EA" w14:textId="008CAA5C" w:rsidR="00C8477C" w:rsidRPr="00C8477C" w:rsidRDefault="00025A97" w:rsidP="009E5C56">
      <w:pPr>
        <w:pStyle w:val="Default"/>
        <w:jc w:val="right"/>
        <w:rPr>
          <w:i/>
          <w:sz w:val="22"/>
          <w:szCs w:val="22"/>
        </w:rPr>
      </w:pPr>
      <w:r>
        <w:rPr>
          <w:i/>
          <w:sz w:val="22"/>
          <w:szCs w:val="22"/>
        </w:rPr>
        <w:t>25</w:t>
      </w:r>
      <w:r w:rsidR="00C8477C" w:rsidRPr="00C8477C">
        <w:rPr>
          <w:i/>
          <w:sz w:val="22"/>
          <w:szCs w:val="22"/>
        </w:rPr>
        <w:t xml:space="preserve"> July 2016</w:t>
      </w:r>
    </w:p>
    <w:p w14:paraId="5805B210" w14:textId="77777777" w:rsidR="00B4395B" w:rsidRDefault="00B4395B" w:rsidP="009E5C56">
      <w:pPr>
        <w:pStyle w:val="Default"/>
        <w:jc w:val="both"/>
        <w:rPr>
          <w:b/>
          <w:sz w:val="22"/>
          <w:szCs w:val="22"/>
          <w:u w:val="single"/>
        </w:rPr>
      </w:pPr>
    </w:p>
    <w:p w14:paraId="6D8CED78" w14:textId="77777777" w:rsidR="00B4395B" w:rsidRDefault="00B4395B" w:rsidP="009E5C56">
      <w:pPr>
        <w:pStyle w:val="Default"/>
        <w:jc w:val="both"/>
        <w:rPr>
          <w:b/>
          <w:sz w:val="22"/>
          <w:szCs w:val="22"/>
          <w:u w:val="single"/>
        </w:rPr>
      </w:pPr>
      <w:r>
        <w:rPr>
          <w:b/>
          <w:sz w:val="22"/>
          <w:szCs w:val="22"/>
          <w:u w:val="single"/>
        </w:rPr>
        <w:t>Statement of Interest</w:t>
      </w:r>
    </w:p>
    <w:p w14:paraId="527F16BE" w14:textId="77777777" w:rsidR="00B4395B" w:rsidRDefault="00B4395B" w:rsidP="009E5C56">
      <w:pPr>
        <w:pStyle w:val="Default"/>
        <w:jc w:val="both"/>
        <w:rPr>
          <w:b/>
          <w:sz w:val="22"/>
          <w:szCs w:val="22"/>
          <w:u w:val="single"/>
        </w:rPr>
      </w:pPr>
    </w:p>
    <w:p w14:paraId="7098647E" w14:textId="77777777" w:rsidR="00B4395B" w:rsidRPr="00DE01AD" w:rsidRDefault="00B4395B" w:rsidP="009E5C56">
      <w:pPr>
        <w:pStyle w:val="Default"/>
        <w:numPr>
          <w:ilvl w:val="0"/>
          <w:numId w:val="8"/>
        </w:numPr>
        <w:jc w:val="both"/>
        <w:rPr>
          <w:sz w:val="22"/>
          <w:szCs w:val="22"/>
        </w:rPr>
      </w:pPr>
      <w:r w:rsidRPr="00DE01AD">
        <w:rPr>
          <w:sz w:val="22"/>
          <w:szCs w:val="22"/>
        </w:rPr>
        <w:t xml:space="preserve">The Equal Rights Trust </w:t>
      </w:r>
      <w:r w:rsidR="00261F05">
        <w:rPr>
          <w:sz w:val="22"/>
          <w:szCs w:val="22"/>
        </w:rPr>
        <w:t xml:space="preserve">and </w:t>
      </w:r>
      <w:r w:rsidR="00261F05" w:rsidRPr="00261F05">
        <w:rPr>
          <w:sz w:val="22"/>
          <w:szCs w:val="22"/>
        </w:rPr>
        <w:t>Focus Development Association</w:t>
      </w:r>
      <w:r w:rsidR="00261F05">
        <w:rPr>
          <w:sz w:val="22"/>
          <w:szCs w:val="22"/>
        </w:rPr>
        <w:t xml:space="preserve"> (Focus) </w:t>
      </w:r>
      <w:r w:rsidRPr="00DE01AD">
        <w:rPr>
          <w:sz w:val="22"/>
          <w:szCs w:val="22"/>
        </w:rPr>
        <w:t xml:space="preserve">submits the following suggested issues and questions for adoption by the </w:t>
      </w:r>
      <w:r w:rsidR="00C8477C" w:rsidRPr="00DE01AD">
        <w:rPr>
          <w:sz w:val="22"/>
          <w:szCs w:val="22"/>
        </w:rPr>
        <w:t>Country Report Task Force</w:t>
      </w:r>
      <w:r w:rsidRPr="00DE01AD">
        <w:rPr>
          <w:sz w:val="22"/>
          <w:szCs w:val="22"/>
        </w:rPr>
        <w:t xml:space="preserve"> </w:t>
      </w:r>
      <w:r w:rsidR="00C8477C" w:rsidRPr="00DE01AD">
        <w:rPr>
          <w:sz w:val="22"/>
          <w:szCs w:val="22"/>
        </w:rPr>
        <w:t xml:space="preserve">at the Human Rights Committee’s </w:t>
      </w:r>
      <w:r w:rsidRPr="00DE01AD">
        <w:rPr>
          <w:sz w:val="22"/>
          <w:szCs w:val="22"/>
        </w:rPr>
        <w:t xml:space="preserve">(the Committee) </w:t>
      </w:r>
      <w:r w:rsidR="00C8477C" w:rsidRPr="00DE01AD">
        <w:rPr>
          <w:sz w:val="22"/>
          <w:szCs w:val="22"/>
        </w:rPr>
        <w:t>118</w:t>
      </w:r>
      <w:r w:rsidRPr="00DE01AD">
        <w:rPr>
          <w:sz w:val="22"/>
          <w:szCs w:val="22"/>
          <w:vertAlign w:val="superscript"/>
        </w:rPr>
        <w:t>th</w:t>
      </w:r>
      <w:r w:rsidRPr="00DE01AD">
        <w:rPr>
          <w:sz w:val="22"/>
          <w:szCs w:val="22"/>
        </w:rPr>
        <w:t xml:space="preserve"> session, </w:t>
      </w:r>
      <w:r w:rsidR="00772507" w:rsidRPr="00DE01AD">
        <w:rPr>
          <w:sz w:val="22"/>
          <w:szCs w:val="22"/>
        </w:rPr>
        <w:t>based on the fourth periodic report submitted by Madagascar</w:t>
      </w:r>
      <w:r w:rsidRPr="00DE01AD">
        <w:rPr>
          <w:sz w:val="22"/>
          <w:szCs w:val="22"/>
        </w:rPr>
        <w:t xml:space="preserve">. </w:t>
      </w:r>
    </w:p>
    <w:p w14:paraId="21541E13" w14:textId="77777777" w:rsidR="00B4395B" w:rsidRPr="00DE01AD" w:rsidRDefault="00B4395B" w:rsidP="009E5C56">
      <w:pPr>
        <w:pStyle w:val="Default"/>
        <w:jc w:val="both"/>
        <w:rPr>
          <w:sz w:val="22"/>
          <w:szCs w:val="22"/>
        </w:rPr>
      </w:pPr>
    </w:p>
    <w:p w14:paraId="331292C0" w14:textId="77777777" w:rsidR="00B4395B" w:rsidRDefault="00B4395B" w:rsidP="009E5C56">
      <w:pPr>
        <w:pStyle w:val="Default"/>
        <w:numPr>
          <w:ilvl w:val="0"/>
          <w:numId w:val="8"/>
        </w:numPr>
        <w:jc w:val="both"/>
        <w:rPr>
          <w:sz w:val="22"/>
          <w:szCs w:val="22"/>
        </w:rPr>
      </w:pPr>
      <w:r w:rsidRPr="00DE01AD">
        <w:rPr>
          <w:sz w:val="22"/>
          <w:szCs w:val="22"/>
        </w:rPr>
        <w:t>The Equal Rights Trust exists to combat discrimination and promote equality as a fundamental human right and a basic principle of social justice. It focuses on the complex relationship between different types of discrimination and inequality, developing strategies for translating the principles of equality into practice. The Trust is the only international organisation</w:t>
      </w:r>
      <w:r w:rsidR="008F673D">
        <w:rPr>
          <w:sz w:val="22"/>
          <w:szCs w:val="22"/>
        </w:rPr>
        <w:t xml:space="preserve"> which focuses</w:t>
      </w:r>
      <w:r w:rsidRPr="00DE01AD">
        <w:rPr>
          <w:sz w:val="22"/>
          <w:szCs w:val="22"/>
        </w:rPr>
        <w:t xml:space="preserve"> exclusively on the right to equality and </w:t>
      </w:r>
      <w:r w:rsidR="008F673D">
        <w:rPr>
          <w:sz w:val="22"/>
          <w:szCs w:val="22"/>
        </w:rPr>
        <w:t xml:space="preserve">which </w:t>
      </w:r>
      <w:r w:rsidRPr="00DE01AD">
        <w:rPr>
          <w:sz w:val="22"/>
          <w:szCs w:val="22"/>
        </w:rPr>
        <w:t>approach</w:t>
      </w:r>
      <w:r w:rsidR="008F673D">
        <w:rPr>
          <w:sz w:val="22"/>
          <w:szCs w:val="22"/>
        </w:rPr>
        <w:t>es</w:t>
      </w:r>
      <w:r w:rsidRPr="00DE01AD">
        <w:rPr>
          <w:sz w:val="22"/>
          <w:szCs w:val="22"/>
        </w:rPr>
        <w:t xml:space="preserve"> equality from a unified human rights framework.</w:t>
      </w:r>
    </w:p>
    <w:p w14:paraId="6A948D0A" w14:textId="77777777" w:rsidR="00D372F7" w:rsidRDefault="00D372F7" w:rsidP="009E5C56">
      <w:pPr>
        <w:pStyle w:val="Default"/>
        <w:ind w:left="567"/>
        <w:jc w:val="both"/>
        <w:rPr>
          <w:sz w:val="22"/>
          <w:szCs w:val="22"/>
        </w:rPr>
      </w:pPr>
    </w:p>
    <w:p w14:paraId="5FF3A8CD" w14:textId="7BC5A92D" w:rsidR="00261F05" w:rsidRPr="00DE01AD" w:rsidRDefault="00A029DC" w:rsidP="009E5C56">
      <w:pPr>
        <w:pStyle w:val="Default"/>
        <w:numPr>
          <w:ilvl w:val="0"/>
          <w:numId w:val="8"/>
        </w:numPr>
        <w:jc w:val="both"/>
        <w:rPr>
          <w:sz w:val="22"/>
          <w:szCs w:val="22"/>
        </w:rPr>
      </w:pPr>
      <w:r w:rsidRPr="00A029DC">
        <w:rPr>
          <w:sz w:val="22"/>
          <w:szCs w:val="22"/>
        </w:rPr>
        <w:t xml:space="preserve">Focus Development Association (Focus) is </w:t>
      </w:r>
      <w:r w:rsidR="00025A97">
        <w:rPr>
          <w:sz w:val="22"/>
          <w:szCs w:val="22"/>
        </w:rPr>
        <w:t>a Malagasy civil society organisation focused on advancing</w:t>
      </w:r>
      <w:r>
        <w:rPr>
          <w:sz w:val="22"/>
          <w:szCs w:val="22"/>
        </w:rPr>
        <w:t xml:space="preserve"> gender equality</w:t>
      </w:r>
      <w:r w:rsidR="00025A97">
        <w:rPr>
          <w:sz w:val="22"/>
          <w:szCs w:val="22"/>
        </w:rPr>
        <w:t xml:space="preserve">. It works through </w:t>
      </w:r>
      <w:r w:rsidRPr="00A029DC">
        <w:rPr>
          <w:sz w:val="22"/>
          <w:szCs w:val="22"/>
        </w:rPr>
        <w:t xml:space="preserve">research, capacity building, and advocacy. </w:t>
      </w:r>
      <w:r>
        <w:rPr>
          <w:sz w:val="22"/>
          <w:szCs w:val="22"/>
        </w:rPr>
        <w:t>In</w:t>
      </w:r>
      <w:r w:rsidRPr="00A029DC">
        <w:rPr>
          <w:sz w:val="22"/>
          <w:szCs w:val="22"/>
        </w:rPr>
        <w:t xml:space="preserve"> 2014, it became the implementing partner of the United Nations High Commissioner for Refugees (UNHCR) for the initiative </w:t>
      </w:r>
      <w:r w:rsidRPr="00025A97">
        <w:rPr>
          <w:i/>
          <w:sz w:val="22"/>
          <w:szCs w:val="22"/>
        </w:rPr>
        <w:t xml:space="preserve">Prevention and </w:t>
      </w:r>
      <w:r w:rsidR="00025A97" w:rsidRPr="00025A97">
        <w:rPr>
          <w:i/>
          <w:sz w:val="22"/>
          <w:szCs w:val="22"/>
        </w:rPr>
        <w:t>R</w:t>
      </w:r>
      <w:r w:rsidRPr="00025A97">
        <w:rPr>
          <w:i/>
          <w:sz w:val="22"/>
          <w:szCs w:val="22"/>
        </w:rPr>
        <w:t xml:space="preserve">eduction of </w:t>
      </w:r>
      <w:r w:rsidR="00025A97" w:rsidRPr="00025A97">
        <w:rPr>
          <w:i/>
          <w:sz w:val="22"/>
          <w:szCs w:val="22"/>
        </w:rPr>
        <w:t>S</w:t>
      </w:r>
      <w:r w:rsidRPr="00025A97">
        <w:rPr>
          <w:i/>
          <w:sz w:val="22"/>
          <w:szCs w:val="22"/>
        </w:rPr>
        <w:t>tatelessness in Madagascar</w:t>
      </w:r>
      <w:r w:rsidRPr="00A029DC">
        <w:rPr>
          <w:sz w:val="22"/>
          <w:szCs w:val="22"/>
        </w:rPr>
        <w:t xml:space="preserve">. Focus is actively involved in advocacy with policymakers to reform the Malagasy nationality law to </w:t>
      </w:r>
      <w:r>
        <w:rPr>
          <w:sz w:val="22"/>
          <w:szCs w:val="22"/>
        </w:rPr>
        <w:t>ensure conformity with</w:t>
      </w:r>
      <w:r w:rsidRPr="00A029DC">
        <w:rPr>
          <w:sz w:val="22"/>
          <w:szCs w:val="22"/>
        </w:rPr>
        <w:t xml:space="preserve"> international human rights</w:t>
      </w:r>
      <w:r w:rsidR="00025A97">
        <w:rPr>
          <w:sz w:val="22"/>
          <w:szCs w:val="22"/>
        </w:rPr>
        <w:t xml:space="preserve"> standards</w:t>
      </w:r>
      <w:r w:rsidRPr="00A029DC">
        <w:rPr>
          <w:sz w:val="22"/>
          <w:szCs w:val="22"/>
        </w:rPr>
        <w:t>.</w:t>
      </w:r>
    </w:p>
    <w:p w14:paraId="219F9718" w14:textId="77777777" w:rsidR="00B4395B" w:rsidRPr="00DE01AD" w:rsidRDefault="00B4395B" w:rsidP="009E5C56">
      <w:pPr>
        <w:pStyle w:val="ListParagraph"/>
      </w:pPr>
    </w:p>
    <w:p w14:paraId="0274264D" w14:textId="68F82DF6" w:rsidR="00B4395B" w:rsidRPr="00DE01AD" w:rsidRDefault="00B4395B" w:rsidP="009E5C56">
      <w:pPr>
        <w:pStyle w:val="Default"/>
        <w:numPr>
          <w:ilvl w:val="0"/>
          <w:numId w:val="8"/>
        </w:numPr>
        <w:jc w:val="both"/>
        <w:rPr>
          <w:sz w:val="22"/>
          <w:szCs w:val="22"/>
        </w:rPr>
      </w:pPr>
      <w:r w:rsidRPr="00DE01AD">
        <w:rPr>
          <w:sz w:val="22"/>
          <w:szCs w:val="22"/>
        </w:rPr>
        <w:t xml:space="preserve">This submission </w:t>
      </w:r>
      <w:r w:rsidR="008F673D">
        <w:rPr>
          <w:sz w:val="22"/>
          <w:szCs w:val="22"/>
        </w:rPr>
        <w:t>examines the enjoyment of the rights to equality and non-discrimination in Madagascar, focusing on the gender discriminatory provisions in the country’s nationality</w:t>
      </w:r>
      <w:r w:rsidR="00025A97">
        <w:rPr>
          <w:sz w:val="22"/>
          <w:szCs w:val="22"/>
        </w:rPr>
        <w:t xml:space="preserve"> law</w:t>
      </w:r>
      <w:r w:rsidR="008F673D">
        <w:rPr>
          <w:sz w:val="22"/>
          <w:szCs w:val="22"/>
        </w:rPr>
        <w:t>. As such, it examines the state’s compliance with its obligations under Article</w:t>
      </w:r>
      <w:r w:rsidR="006C6126">
        <w:rPr>
          <w:sz w:val="22"/>
          <w:szCs w:val="22"/>
        </w:rPr>
        <w:t>s 2 and</w:t>
      </w:r>
      <w:r w:rsidR="008F673D">
        <w:rPr>
          <w:sz w:val="22"/>
          <w:szCs w:val="22"/>
        </w:rPr>
        <w:t xml:space="preserve"> 26 of </w:t>
      </w:r>
      <w:r w:rsidRPr="00DE01AD">
        <w:rPr>
          <w:sz w:val="22"/>
          <w:szCs w:val="22"/>
        </w:rPr>
        <w:t xml:space="preserve">the </w:t>
      </w:r>
      <w:r w:rsidR="00772507" w:rsidRPr="00DE01AD">
        <w:rPr>
          <w:sz w:val="22"/>
          <w:szCs w:val="22"/>
        </w:rPr>
        <w:t>International Covenant on Civil and Political Rights</w:t>
      </w:r>
      <w:r w:rsidR="009726E8" w:rsidRPr="00DE01AD">
        <w:rPr>
          <w:rStyle w:val="FootnoteReference"/>
          <w:sz w:val="22"/>
          <w:szCs w:val="22"/>
        </w:rPr>
        <w:footnoteReference w:id="1"/>
      </w:r>
      <w:r w:rsidRPr="00DE01AD">
        <w:rPr>
          <w:sz w:val="22"/>
          <w:szCs w:val="22"/>
        </w:rPr>
        <w:t xml:space="preserve"> (the </w:t>
      </w:r>
      <w:r w:rsidR="00710444" w:rsidRPr="00DE01AD">
        <w:rPr>
          <w:sz w:val="22"/>
          <w:szCs w:val="22"/>
        </w:rPr>
        <w:t>Covenant</w:t>
      </w:r>
      <w:r w:rsidR="00772507" w:rsidRPr="00DE01AD">
        <w:rPr>
          <w:sz w:val="22"/>
          <w:szCs w:val="22"/>
        </w:rPr>
        <w:t xml:space="preserve">), </w:t>
      </w:r>
      <w:r w:rsidR="00675DD5" w:rsidRPr="00DE01AD">
        <w:rPr>
          <w:sz w:val="22"/>
          <w:szCs w:val="22"/>
        </w:rPr>
        <w:t>interpreted in light of</w:t>
      </w:r>
      <w:r w:rsidR="00772507" w:rsidRPr="00DE01AD">
        <w:rPr>
          <w:sz w:val="22"/>
          <w:szCs w:val="22"/>
        </w:rPr>
        <w:t xml:space="preserve"> </w:t>
      </w:r>
      <w:r w:rsidR="00675DD5" w:rsidRPr="00DE01AD">
        <w:rPr>
          <w:sz w:val="22"/>
          <w:szCs w:val="22"/>
        </w:rPr>
        <w:t xml:space="preserve">the Committee’s </w:t>
      </w:r>
      <w:r w:rsidR="003B21A2" w:rsidRPr="00DE01AD">
        <w:rPr>
          <w:sz w:val="22"/>
          <w:szCs w:val="22"/>
        </w:rPr>
        <w:t>jurisprudence</w:t>
      </w:r>
      <w:r w:rsidR="00675DD5" w:rsidRPr="00DE01AD">
        <w:rPr>
          <w:sz w:val="22"/>
          <w:szCs w:val="22"/>
        </w:rPr>
        <w:t xml:space="preserve"> and </w:t>
      </w:r>
      <w:r w:rsidRPr="00DE01AD">
        <w:rPr>
          <w:sz w:val="22"/>
          <w:szCs w:val="22"/>
        </w:rPr>
        <w:t xml:space="preserve">General </w:t>
      </w:r>
      <w:r w:rsidR="00772507" w:rsidRPr="00DE01AD">
        <w:rPr>
          <w:sz w:val="22"/>
          <w:szCs w:val="22"/>
        </w:rPr>
        <w:t>Comment</w:t>
      </w:r>
      <w:r w:rsidR="00675DD5" w:rsidRPr="00DE01AD">
        <w:rPr>
          <w:sz w:val="22"/>
          <w:szCs w:val="22"/>
        </w:rPr>
        <w:t>s, in particular General Comment</w:t>
      </w:r>
      <w:r w:rsidRPr="00DE01AD">
        <w:rPr>
          <w:sz w:val="22"/>
          <w:szCs w:val="22"/>
        </w:rPr>
        <w:t xml:space="preserve"> </w:t>
      </w:r>
      <w:r w:rsidR="00772507" w:rsidRPr="00DE01AD">
        <w:rPr>
          <w:sz w:val="22"/>
          <w:szCs w:val="22"/>
        </w:rPr>
        <w:t xml:space="preserve">No. </w:t>
      </w:r>
      <w:r w:rsidRPr="00DE01AD">
        <w:rPr>
          <w:sz w:val="22"/>
          <w:szCs w:val="22"/>
        </w:rPr>
        <w:t>1</w:t>
      </w:r>
      <w:r w:rsidR="00772507" w:rsidRPr="00DE01AD">
        <w:rPr>
          <w:sz w:val="22"/>
          <w:szCs w:val="22"/>
        </w:rPr>
        <w:t>8</w:t>
      </w:r>
      <w:r w:rsidRPr="00DE01AD">
        <w:rPr>
          <w:sz w:val="22"/>
          <w:szCs w:val="22"/>
        </w:rPr>
        <w:t xml:space="preserve"> on </w:t>
      </w:r>
      <w:r w:rsidR="00772507" w:rsidRPr="00DE01AD">
        <w:rPr>
          <w:sz w:val="22"/>
          <w:szCs w:val="22"/>
        </w:rPr>
        <w:t>Non-discrimination.</w:t>
      </w:r>
      <w:r w:rsidRPr="00DE01AD">
        <w:rPr>
          <w:rStyle w:val="FootnoteReference"/>
          <w:sz w:val="22"/>
          <w:szCs w:val="22"/>
        </w:rPr>
        <w:footnoteReference w:id="2"/>
      </w:r>
    </w:p>
    <w:p w14:paraId="3CEDFC63" w14:textId="77777777" w:rsidR="00B4395B" w:rsidRPr="00DE01AD" w:rsidRDefault="00B4395B" w:rsidP="009E5C56">
      <w:pPr>
        <w:pStyle w:val="Default"/>
        <w:ind w:left="720"/>
        <w:jc w:val="both"/>
        <w:rPr>
          <w:sz w:val="22"/>
          <w:szCs w:val="22"/>
        </w:rPr>
      </w:pPr>
    </w:p>
    <w:p w14:paraId="10F84673" w14:textId="77777777" w:rsidR="00B4395B" w:rsidRPr="00DE01AD" w:rsidRDefault="008F673D" w:rsidP="009E5C56">
      <w:pPr>
        <w:pStyle w:val="Default"/>
        <w:numPr>
          <w:ilvl w:val="0"/>
          <w:numId w:val="8"/>
        </w:numPr>
        <w:jc w:val="both"/>
        <w:rPr>
          <w:sz w:val="22"/>
          <w:szCs w:val="22"/>
        </w:rPr>
      </w:pPr>
      <w:r>
        <w:rPr>
          <w:sz w:val="22"/>
          <w:szCs w:val="22"/>
        </w:rPr>
        <w:lastRenderedPageBreak/>
        <w:t xml:space="preserve">This submission </w:t>
      </w:r>
      <w:r w:rsidR="00B4395B" w:rsidRPr="00DE01AD">
        <w:rPr>
          <w:sz w:val="22"/>
          <w:szCs w:val="22"/>
        </w:rPr>
        <w:t>also relies on the Declaration of Principles on Equality (the Declaration),</w:t>
      </w:r>
      <w:r w:rsidR="00B4395B" w:rsidRPr="00DE01AD">
        <w:rPr>
          <w:rStyle w:val="FootnoteReference"/>
          <w:sz w:val="22"/>
          <w:szCs w:val="22"/>
        </w:rPr>
        <w:footnoteReference w:id="3"/>
      </w:r>
      <w:r w:rsidR="00B4395B" w:rsidRPr="00DE01AD">
        <w:rPr>
          <w:sz w:val="22"/>
          <w:szCs w:val="22"/>
        </w:rPr>
        <w:t xml:space="preserve"> a document of international best practice on equality. The Declaration was drafted and adopted in 2008 by 128 prominent human rights and equality advocates and experts, and has been described as “the current international understanding of Principles on Equality”.</w:t>
      </w:r>
      <w:r w:rsidR="00B4395B" w:rsidRPr="00DE01AD">
        <w:rPr>
          <w:rStyle w:val="FootnoteReference"/>
          <w:sz w:val="22"/>
          <w:szCs w:val="22"/>
        </w:rPr>
        <w:footnoteReference w:id="4"/>
      </w:r>
      <w:r w:rsidR="00B4395B" w:rsidRPr="00DE01AD">
        <w:rPr>
          <w:sz w:val="22"/>
          <w:szCs w:val="22"/>
        </w:rPr>
        <w:t xml:space="preserve"> It has also been endorsed by the Parliamentary Assembly of the Council of Europe.</w:t>
      </w:r>
      <w:r w:rsidR="00B4395B" w:rsidRPr="00DE01AD">
        <w:rPr>
          <w:rStyle w:val="FootnoteReference"/>
          <w:sz w:val="22"/>
          <w:szCs w:val="22"/>
        </w:rPr>
        <w:footnoteReference w:id="5"/>
      </w:r>
    </w:p>
    <w:p w14:paraId="1FB36426" w14:textId="77777777" w:rsidR="00B4395B" w:rsidRPr="00DE01AD" w:rsidRDefault="00B4395B" w:rsidP="009E5C56">
      <w:pPr>
        <w:pStyle w:val="Default"/>
        <w:jc w:val="both"/>
        <w:rPr>
          <w:sz w:val="22"/>
          <w:szCs w:val="22"/>
        </w:rPr>
      </w:pPr>
    </w:p>
    <w:p w14:paraId="4015CC63" w14:textId="77777777" w:rsidR="00B4395B" w:rsidRPr="00DE01AD" w:rsidRDefault="00B4395B" w:rsidP="009E5C56">
      <w:pPr>
        <w:pStyle w:val="Default"/>
        <w:jc w:val="both"/>
        <w:rPr>
          <w:sz w:val="22"/>
          <w:szCs w:val="22"/>
        </w:rPr>
      </w:pPr>
      <w:r w:rsidRPr="00DE01AD">
        <w:rPr>
          <w:b/>
          <w:sz w:val="22"/>
          <w:szCs w:val="22"/>
          <w:u w:val="single"/>
        </w:rPr>
        <w:t>Introduction</w:t>
      </w:r>
    </w:p>
    <w:p w14:paraId="1F4ECFDA" w14:textId="77777777" w:rsidR="00B4395B" w:rsidRPr="00DE01AD" w:rsidRDefault="00B4395B" w:rsidP="009E5C56">
      <w:pPr>
        <w:pStyle w:val="Default"/>
        <w:jc w:val="both"/>
        <w:rPr>
          <w:sz w:val="22"/>
          <w:szCs w:val="22"/>
        </w:rPr>
      </w:pPr>
    </w:p>
    <w:p w14:paraId="2D88A887" w14:textId="203CA902" w:rsidR="00675DD5" w:rsidRPr="00A4075E" w:rsidRDefault="00A4075E" w:rsidP="009E5C56">
      <w:pPr>
        <w:pStyle w:val="Default"/>
        <w:numPr>
          <w:ilvl w:val="0"/>
          <w:numId w:val="8"/>
        </w:numPr>
        <w:jc w:val="both"/>
        <w:rPr>
          <w:sz w:val="22"/>
          <w:szCs w:val="22"/>
        </w:rPr>
      </w:pPr>
      <w:r w:rsidRPr="00A4075E">
        <w:rPr>
          <w:sz w:val="22"/>
          <w:szCs w:val="22"/>
        </w:rPr>
        <w:t>Th</w:t>
      </w:r>
      <w:r>
        <w:rPr>
          <w:sz w:val="22"/>
          <w:szCs w:val="22"/>
        </w:rPr>
        <w:t>roughout 2015, the Equal Rights</w:t>
      </w:r>
      <w:r w:rsidRPr="00A4075E">
        <w:rPr>
          <w:sz w:val="22"/>
          <w:szCs w:val="22"/>
        </w:rPr>
        <w:t xml:space="preserve"> Trust</w:t>
      </w:r>
      <w:r w:rsidR="00025A97">
        <w:rPr>
          <w:sz w:val="22"/>
          <w:szCs w:val="22"/>
        </w:rPr>
        <w:t>, with assistance from Focus,</w:t>
      </w:r>
      <w:r w:rsidRPr="00A4075E">
        <w:rPr>
          <w:sz w:val="22"/>
          <w:szCs w:val="22"/>
        </w:rPr>
        <w:t xml:space="preserve"> </w:t>
      </w:r>
      <w:r>
        <w:rPr>
          <w:sz w:val="22"/>
          <w:szCs w:val="22"/>
        </w:rPr>
        <w:t>documented</w:t>
      </w:r>
      <w:r w:rsidRPr="00A4075E">
        <w:rPr>
          <w:sz w:val="22"/>
          <w:szCs w:val="22"/>
        </w:rPr>
        <w:t xml:space="preserve"> the </w:t>
      </w:r>
      <w:r>
        <w:rPr>
          <w:sz w:val="22"/>
          <w:szCs w:val="22"/>
        </w:rPr>
        <w:t xml:space="preserve">nature and </w:t>
      </w:r>
      <w:r w:rsidRPr="00A4075E">
        <w:rPr>
          <w:sz w:val="22"/>
          <w:szCs w:val="22"/>
        </w:rPr>
        <w:t>impact of gender discrimination in nationality laws in Madagascar</w:t>
      </w:r>
      <w:r>
        <w:rPr>
          <w:sz w:val="22"/>
          <w:szCs w:val="22"/>
        </w:rPr>
        <w:t>, as part of a multi-country research project</w:t>
      </w:r>
      <w:r w:rsidR="0092315C">
        <w:rPr>
          <w:sz w:val="22"/>
          <w:szCs w:val="22"/>
        </w:rPr>
        <w:t xml:space="preserve"> on gender discriminatory nationality laws</w:t>
      </w:r>
      <w:r>
        <w:rPr>
          <w:sz w:val="22"/>
          <w:szCs w:val="22"/>
        </w:rPr>
        <w:t xml:space="preserve">. </w:t>
      </w:r>
      <w:r w:rsidR="00675DD5" w:rsidRPr="00A4075E">
        <w:rPr>
          <w:sz w:val="22"/>
          <w:szCs w:val="22"/>
        </w:rPr>
        <w:t xml:space="preserve">In September 2015, the Trust published the report </w:t>
      </w:r>
      <w:r w:rsidR="00675DD5" w:rsidRPr="00A4075E">
        <w:rPr>
          <w:i/>
          <w:sz w:val="22"/>
          <w:szCs w:val="22"/>
        </w:rPr>
        <w:t>My Children’s Future: Ending Gender Discrimination in Nationality Laws</w:t>
      </w:r>
      <w:r w:rsidR="00675DD5" w:rsidRPr="00A4075E">
        <w:rPr>
          <w:sz w:val="22"/>
          <w:szCs w:val="22"/>
        </w:rPr>
        <w:t xml:space="preserve">. The </w:t>
      </w:r>
      <w:r>
        <w:rPr>
          <w:sz w:val="22"/>
          <w:szCs w:val="22"/>
        </w:rPr>
        <w:t xml:space="preserve">report is based on research conducted in four countries, two of which retain gender discriminatory nationality laws (Madagascar and Nepal) and two of which have reformed such laws in recent years (Kenya and Indonesia). The </w:t>
      </w:r>
      <w:r w:rsidR="00675DD5" w:rsidRPr="00A4075E">
        <w:rPr>
          <w:sz w:val="22"/>
          <w:szCs w:val="22"/>
        </w:rPr>
        <w:t xml:space="preserve">purpose of the report </w:t>
      </w:r>
      <w:r w:rsidR="0092315C">
        <w:rPr>
          <w:sz w:val="22"/>
          <w:szCs w:val="22"/>
        </w:rPr>
        <w:t>was</w:t>
      </w:r>
      <w:r w:rsidR="00675DD5" w:rsidRPr="00A4075E">
        <w:rPr>
          <w:sz w:val="22"/>
          <w:szCs w:val="22"/>
        </w:rPr>
        <w:t xml:space="preserve"> to </w:t>
      </w:r>
      <w:r w:rsidR="0092315C">
        <w:rPr>
          <w:sz w:val="22"/>
          <w:szCs w:val="22"/>
        </w:rPr>
        <w:t>add</w:t>
      </w:r>
      <w:r w:rsidR="0092315C" w:rsidRPr="00A4075E">
        <w:rPr>
          <w:sz w:val="22"/>
          <w:szCs w:val="22"/>
        </w:rPr>
        <w:t xml:space="preserve"> to the existing body of knowledge on gendered natio</w:t>
      </w:r>
      <w:r w:rsidR="0092315C">
        <w:rPr>
          <w:sz w:val="22"/>
          <w:szCs w:val="22"/>
        </w:rPr>
        <w:t>nality laws and thereby increase</w:t>
      </w:r>
      <w:r w:rsidR="0092315C" w:rsidRPr="00A4075E">
        <w:rPr>
          <w:sz w:val="22"/>
          <w:szCs w:val="22"/>
        </w:rPr>
        <w:t xml:space="preserve"> awareness as to the need for</w:t>
      </w:r>
      <w:r w:rsidR="0092315C">
        <w:rPr>
          <w:sz w:val="22"/>
          <w:szCs w:val="22"/>
        </w:rPr>
        <w:t xml:space="preserve"> and nature of</w:t>
      </w:r>
      <w:r w:rsidR="0092315C" w:rsidRPr="00A4075E">
        <w:rPr>
          <w:sz w:val="22"/>
          <w:szCs w:val="22"/>
        </w:rPr>
        <w:t xml:space="preserve"> reform</w:t>
      </w:r>
      <w:r w:rsidR="0092315C">
        <w:rPr>
          <w:sz w:val="22"/>
          <w:szCs w:val="22"/>
        </w:rPr>
        <w:t xml:space="preserve">. In so doing, </w:t>
      </w:r>
      <w:r w:rsidR="00025A97">
        <w:rPr>
          <w:sz w:val="22"/>
          <w:szCs w:val="22"/>
        </w:rPr>
        <w:t>the report</w:t>
      </w:r>
      <w:r w:rsidR="0092315C">
        <w:rPr>
          <w:sz w:val="22"/>
          <w:szCs w:val="22"/>
        </w:rPr>
        <w:t xml:space="preserve"> sought to</w:t>
      </w:r>
      <w:r w:rsidR="0092315C" w:rsidRPr="00A4075E">
        <w:rPr>
          <w:sz w:val="22"/>
          <w:szCs w:val="22"/>
        </w:rPr>
        <w:t xml:space="preserve"> </w:t>
      </w:r>
      <w:r w:rsidR="00675DD5" w:rsidRPr="00A4075E">
        <w:rPr>
          <w:sz w:val="22"/>
          <w:szCs w:val="22"/>
        </w:rPr>
        <w:t>contribute to the Global Campaign for Equal Nationality Rights</w:t>
      </w:r>
      <w:r w:rsidR="0092315C">
        <w:rPr>
          <w:sz w:val="22"/>
          <w:szCs w:val="22"/>
        </w:rPr>
        <w:t xml:space="preserve">, of which the Trust is a Steering Committee member. </w:t>
      </w:r>
      <w:r w:rsidR="00675DD5" w:rsidRPr="00A4075E">
        <w:rPr>
          <w:sz w:val="22"/>
          <w:szCs w:val="22"/>
        </w:rPr>
        <w:t xml:space="preserve">The </w:t>
      </w:r>
      <w:r w:rsidR="0092315C">
        <w:rPr>
          <w:sz w:val="22"/>
          <w:szCs w:val="22"/>
        </w:rPr>
        <w:t>report includes findings from</w:t>
      </w:r>
      <w:r w:rsidR="00675DD5" w:rsidRPr="00A4075E">
        <w:rPr>
          <w:sz w:val="22"/>
          <w:szCs w:val="22"/>
        </w:rPr>
        <w:t xml:space="preserve"> </w:t>
      </w:r>
      <w:r w:rsidR="0092315C">
        <w:rPr>
          <w:sz w:val="22"/>
          <w:szCs w:val="22"/>
        </w:rPr>
        <w:t>interviews with</w:t>
      </w:r>
      <w:r w:rsidR="00675DD5" w:rsidRPr="00A4075E">
        <w:rPr>
          <w:sz w:val="22"/>
          <w:szCs w:val="22"/>
        </w:rPr>
        <w:t xml:space="preserve"> 28 </w:t>
      </w:r>
      <w:r w:rsidR="00025A97">
        <w:rPr>
          <w:sz w:val="22"/>
          <w:szCs w:val="22"/>
        </w:rPr>
        <w:t xml:space="preserve">persons affected </w:t>
      </w:r>
      <w:r w:rsidR="0092315C">
        <w:rPr>
          <w:sz w:val="22"/>
          <w:szCs w:val="22"/>
        </w:rPr>
        <w:t>by gender discriminatory nationality laws</w:t>
      </w:r>
      <w:r w:rsidR="00025A97" w:rsidRPr="00025A97">
        <w:rPr>
          <w:sz w:val="22"/>
          <w:szCs w:val="22"/>
        </w:rPr>
        <w:t xml:space="preserve"> </w:t>
      </w:r>
      <w:r w:rsidR="00025A97">
        <w:rPr>
          <w:sz w:val="22"/>
          <w:szCs w:val="22"/>
        </w:rPr>
        <w:t>in Madagascar</w:t>
      </w:r>
      <w:r w:rsidR="00675DD5" w:rsidRPr="00A4075E">
        <w:rPr>
          <w:sz w:val="22"/>
          <w:szCs w:val="22"/>
        </w:rPr>
        <w:t>, alongside interviews with state authorities, civil society actors, l</w:t>
      </w:r>
      <w:r w:rsidR="0092315C">
        <w:rPr>
          <w:sz w:val="22"/>
          <w:szCs w:val="22"/>
        </w:rPr>
        <w:t>awyers and experts</w:t>
      </w:r>
      <w:r w:rsidR="001547FC">
        <w:rPr>
          <w:sz w:val="22"/>
          <w:szCs w:val="22"/>
        </w:rPr>
        <w:t>.</w:t>
      </w:r>
    </w:p>
    <w:p w14:paraId="6EB5FDB6" w14:textId="77777777" w:rsidR="00675DD5" w:rsidRPr="00DE01AD" w:rsidRDefault="00675DD5" w:rsidP="009E5C56">
      <w:pPr>
        <w:pStyle w:val="Default"/>
        <w:ind w:left="567"/>
        <w:jc w:val="both"/>
        <w:rPr>
          <w:sz w:val="22"/>
          <w:szCs w:val="22"/>
        </w:rPr>
      </w:pPr>
    </w:p>
    <w:p w14:paraId="56D31192" w14:textId="447BFAC5" w:rsidR="00B4395B" w:rsidRDefault="00541C88" w:rsidP="009E5C56">
      <w:pPr>
        <w:pStyle w:val="Default"/>
        <w:numPr>
          <w:ilvl w:val="0"/>
          <w:numId w:val="8"/>
        </w:numPr>
        <w:jc w:val="both"/>
        <w:rPr>
          <w:sz w:val="22"/>
          <w:szCs w:val="22"/>
        </w:rPr>
      </w:pPr>
      <w:r w:rsidRPr="00DE01AD">
        <w:rPr>
          <w:sz w:val="22"/>
          <w:szCs w:val="22"/>
        </w:rPr>
        <w:t>T</w:t>
      </w:r>
      <w:r w:rsidR="00B4395B" w:rsidRPr="00DE01AD">
        <w:rPr>
          <w:sz w:val="22"/>
          <w:szCs w:val="22"/>
        </w:rPr>
        <w:t>his submission will argue that</w:t>
      </w:r>
      <w:r w:rsidRPr="00DE01AD">
        <w:rPr>
          <w:sz w:val="22"/>
          <w:szCs w:val="22"/>
        </w:rPr>
        <w:t xml:space="preserve"> </w:t>
      </w:r>
      <w:r w:rsidR="00025A97">
        <w:rPr>
          <w:sz w:val="22"/>
          <w:szCs w:val="22"/>
        </w:rPr>
        <w:t>the</w:t>
      </w:r>
      <w:r w:rsidR="00503050">
        <w:rPr>
          <w:sz w:val="22"/>
          <w:szCs w:val="22"/>
        </w:rPr>
        <w:t xml:space="preserve"> </w:t>
      </w:r>
      <w:r w:rsidR="001547FC">
        <w:rPr>
          <w:sz w:val="22"/>
          <w:szCs w:val="22"/>
        </w:rPr>
        <w:t>n</w:t>
      </w:r>
      <w:r w:rsidR="00503050">
        <w:rPr>
          <w:sz w:val="22"/>
          <w:szCs w:val="22"/>
        </w:rPr>
        <w:t xml:space="preserve">ationality </w:t>
      </w:r>
      <w:r w:rsidR="001547FC">
        <w:rPr>
          <w:sz w:val="22"/>
          <w:szCs w:val="22"/>
        </w:rPr>
        <w:t>l</w:t>
      </w:r>
      <w:r w:rsidR="00503050">
        <w:rPr>
          <w:sz w:val="22"/>
          <w:szCs w:val="22"/>
        </w:rPr>
        <w:t>aw</w:t>
      </w:r>
      <w:r w:rsidRPr="00DE01AD">
        <w:rPr>
          <w:sz w:val="22"/>
          <w:szCs w:val="22"/>
        </w:rPr>
        <w:t xml:space="preserve"> </w:t>
      </w:r>
      <w:r w:rsidR="00025A97">
        <w:rPr>
          <w:sz w:val="22"/>
          <w:szCs w:val="22"/>
        </w:rPr>
        <w:t xml:space="preserve">of Madagascar </w:t>
      </w:r>
      <w:r w:rsidRPr="00DE01AD">
        <w:rPr>
          <w:sz w:val="22"/>
          <w:szCs w:val="22"/>
        </w:rPr>
        <w:t>breach</w:t>
      </w:r>
      <w:r w:rsidR="00503050">
        <w:rPr>
          <w:sz w:val="22"/>
          <w:szCs w:val="22"/>
        </w:rPr>
        <w:t>es</w:t>
      </w:r>
      <w:r w:rsidR="00B4395B" w:rsidRPr="00DE01AD">
        <w:rPr>
          <w:sz w:val="22"/>
          <w:szCs w:val="22"/>
        </w:rPr>
        <w:t xml:space="preserve"> </w:t>
      </w:r>
      <w:r w:rsidRPr="00DE01AD">
        <w:rPr>
          <w:sz w:val="22"/>
          <w:szCs w:val="22"/>
        </w:rPr>
        <w:t>the State’s</w:t>
      </w:r>
      <w:r w:rsidR="003B21A2" w:rsidRPr="00DE01AD">
        <w:rPr>
          <w:sz w:val="22"/>
          <w:szCs w:val="22"/>
        </w:rPr>
        <w:t xml:space="preserve"> </w:t>
      </w:r>
      <w:r w:rsidR="00B4395B" w:rsidRPr="00DE01AD">
        <w:rPr>
          <w:sz w:val="22"/>
          <w:szCs w:val="22"/>
        </w:rPr>
        <w:t>obligation</w:t>
      </w:r>
      <w:r w:rsidR="003B21A2" w:rsidRPr="00DE01AD">
        <w:rPr>
          <w:sz w:val="22"/>
          <w:szCs w:val="22"/>
        </w:rPr>
        <w:t>s arising</w:t>
      </w:r>
      <w:r w:rsidR="00B4395B" w:rsidRPr="00DE01AD">
        <w:rPr>
          <w:sz w:val="22"/>
          <w:szCs w:val="22"/>
        </w:rPr>
        <w:t xml:space="preserve"> under </w:t>
      </w:r>
      <w:r w:rsidR="006C6126">
        <w:rPr>
          <w:sz w:val="22"/>
          <w:szCs w:val="22"/>
        </w:rPr>
        <w:t>Article 2</w:t>
      </w:r>
      <w:r w:rsidR="00025A97">
        <w:rPr>
          <w:sz w:val="22"/>
          <w:szCs w:val="22"/>
        </w:rPr>
        <w:t xml:space="preserve"> – </w:t>
      </w:r>
      <w:r w:rsidR="006C6126">
        <w:rPr>
          <w:sz w:val="22"/>
          <w:szCs w:val="22"/>
        </w:rPr>
        <w:t>read in conjunction with Article</w:t>
      </w:r>
      <w:r w:rsidR="001547FC">
        <w:rPr>
          <w:sz w:val="22"/>
          <w:szCs w:val="22"/>
        </w:rPr>
        <w:t>s 12 and</w:t>
      </w:r>
      <w:r w:rsidR="006C6126">
        <w:rPr>
          <w:sz w:val="22"/>
          <w:szCs w:val="22"/>
        </w:rPr>
        <w:t xml:space="preserve"> 24(3)</w:t>
      </w:r>
      <w:r w:rsidR="001547FC">
        <w:rPr>
          <w:sz w:val="22"/>
          <w:szCs w:val="22"/>
        </w:rPr>
        <w:t xml:space="preserve"> of the Covenant</w:t>
      </w:r>
      <w:r w:rsidR="00025A97">
        <w:rPr>
          <w:sz w:val="22"/>
          <w:szCs w:val="22"/>
        </w:rPr>
        <w:t xml:space="preserve"> – </w:t>
      </w:r>
      <w:r w:rsidR="00FE6724">
        <w:rPr>
          <w:sz w:val="22"/>
          <w:szCs w:val="22"/>
        </w:rPr>
        <w:t>as well as</w:t>
      </w:r>
      <w:r w:rsidR="006C6126">
        <w:rPr>
          <w:sz w:val="22"/>
          <w:szCs w:val="22"/>
        </w:rPr>
        <w:t xml:space="preserve"> </w:t>
      </w:r>
      <w:r w:rsidR="003B21A2" w:rsidRPr="00DE01AD">
        <w:rPr>
          <w:sz w:val="22"/>
          <w:szCs w:val="22"/>
        </w:rPr>
        <w:t>Article</w:t>
      </w:r>
      <w:r w:rsidR="0092315C">
        <w:rPr>
          <w:sz w:val="22"/>
          <w:szCs w:val="22"/>
        </w:rPr>
        <w:t xml:space="preserve"> </w:t>
      </w:r>
      <w:r w:rsidR="003B21A2" w:rsidRPr="00DE01AD">
        <w:rPr>
          <w:sz w:val="22"/>
          <w:szCs w:val="22"/>
        </w:rPr>
        <w:t>26</w:t>
      </w:r>
      <w:r w:rsidR="00B4395B" w:rsidRPr="00DE01AD">
        <w:rPr>
          <w:sz w:val="22"/>
          <w:szCs w:val="22"/>
        </w:rPr>
        <w:t xml:space="preserve"> of the </w:t>
      </w:r>
      <w:r w:rsidR="00710444" w:rsidRPr="00DE01AD">
        <w:rPr>
          <w:sz w:val="22"/>
          <w:szCs w:val="22"/>
        </w:rPr>
        <w:t>Covenant</w:t>
      </w:r>
      <w:r w:rsidR="00B4395B" w:rsidRPr="00DE01AD">
        <w:rPr>
          <w:sz w:val="22"/>
          <w:szCs w:val="22"/>
        </w:rPr>
        <w:t>.</w:t>
      </w:r>
      <w:r w:rsidR="003B21A2" w:rsidRPr="00DE01AD">
        <w:rPr>
          <w:sz w:val="22"/>
          <w:szCs w:val="22"/>
        </w:rPr>
        <w:t xml:space="preserve"> </w:t>
      </w:r>
      <w:r w:rsidR="00B4395B" w:rsidRPr="00DE01AD">
        <w:rPr>
          <w:sz w:val="22"/>
          <w:szCs w:val="22"/>
        </w:rPr>
        <w:t xml:space="preserve"> </w:t>
      </w:r>
      <w:r w:rsidR="007A5D1B" w:rsidRPr="00DE01AD">
        <w:rPr>
          <w:sz w:val="22"/>
          <w:szCs w:val="22"/>
        </w:rPr>
        <w:t xml:space="preserve">Despite the recommendations of </w:t>
      </w:r>
      <w:r w:rsidR="0092315C">
        <w:rPr>
          <w:sz w:val="22"/>
          <w:szCs w:val="22"/>
        </w:rPr>
        <w:t xml:space="preserve">the Committee on the Elimination of Discrimination </w:t>
      </w:r>
      <w:r w:rsidR="001547FC">
        <w:rPr>
          <w:sz w:val="22"/>
          <w:szCs w:val="22"/>
        </w:rPr>
        <w:t>a</w:t>
      </w:r>
      <w:r w:rsidR="0092315C">
        <w:rPr>
          <w:sz w:val="22"/>
          <w:szCs w:val="22"/>
        </w:rPr>
        <w:t>gainst Women</w:t>
      </w:r>
      <w:r w:rsidR="007A5D1B" w:rsidRPr="00DE01AD">
        <w:rPr>
          <w:sz w:val="22"/>
          <w:szCs w:val="22"/>
        </w:rPr>
        <w:t xml:space="preserve">, </w:t>
      </w:r>
      <w:r w:rsidR="00025A97">
        <w:rPr>
          <w:sz w:val="22"/>
          <w:szCs w:val="22"/>
        </w:rPr>
        <w:t xml:space="preserve">the </w:t>
      </w:r>
      <w:r w:rsidR="006C6126">
        <w:rPr>
          <w:sz w:val="22"/>
          <w:szCs w:val="22"/>
        </w:rPr>
        <w:t>nationality law</w:t>
      </w:r>
      <w:r w:rsidR="007A5D1B" w:rsidRPr="00DE01AD">
        <w:rPr>
          <w:sz w:val="22"/>
          <w:szCs w:val="22"/>
        </w:rPr>
        <w:t xml:space="preserve"> continues to discriminate against Malagasy women, who “cannot transmit their nationality to their foreign or stateless spouse or to their children on an equal basis with men”.</w:t>
      </w:r>
      <w:r w:rsidR="0092315C" w:rsidRPr="00DE01AD">
        <w:rPr>
          <w:rStyle w:val="FootnoteReference"/>
          <w:sz w:val="22"/>
          <w:szCs w:val="22"/>
        </w:rPr>
        <w:footnoteReference w:id="6"/>
      </w:r>
      <w:r w:rsidR="007A5D1B" w:rsidRPr="00DE01AD">
        <w:rPr>
          <w:sz w:val="22"/>
          <w:szCs w:val="22"/>
        </w:rPr>
        <w:t xml:space="preserve"> Although </w:t>
      </w:r>
      <w:r w:rsidR="006C5E8A" w:rsidRPr="00DE01AD">
        <w:rPr>
          <w:sz w:val="22"/>
          <w:szCs w:val="22"/>
        </w:rPr>
        <w:t>Madagascar has committed to reforming its discriminatory nationality provisions,</w:t>
      </w:r>
      <w:r w:rsidR="006C5E8A" w:rsidRPr="00DE01AD">
        <w:rPr>
          <w:rStyle w:val="FootnoteReference"/>
          <w:sz w:val="22"/>
          <w:szCs w:val="22"/>
        </w:rPr>
        <w:footnoteReference w:id="7"/>
      </w:r>
      <w:r w:rsidR="006C5E8A" w:rsidRPr="00DE01AD">
        <w:rPr>
          <w:sz w:val="22"/>
          <w:szCs w:val="22"/>
        </w:rPr>
        <w:t xml:space="preserve"> </w:t>
      </w:r>
      <w:r w:rsidR="0092315C">
        <w:rPr>
          <w:sz w:val="22"/>
          <w:szCs w:val="22"/>
        </w:rPr>
        <w:t xml:space="preserve">it has yet to do so. </w:t>
      </w:r>
    </w:p>
    <w:p w14:paraId="7A5601F3" w14:textId="77777777" w:rsidR="00DE01AD" w:rsidRDefault="00DE01AD" w:rsidP="009E5C56">
      <w:pPr>
        <w:pStyle w:val="Default"/>
        <w:jc w:val="both"/>
        <w:rPr>
          <w:sz w:val="22"/>
          <w:szCs w:val="22"/>
        </w:rPr>
      </w:pPr>
    </w:p>
    <w:p w14:paraId="3A480230" w14:textId="77777777" w:rsidR="009E5C56" w:rsidRDefault="009E5C56" w:rsidP="009E5C56">
      <w:pPr>
        <w:pStyle w:val="Default"/>
        <w:jc w:val="both"/>
        <w:rPr>
          <w:sz w:val="22"/>
          <w:szCs w:val="22"/>
        </w:rPr>
      </w:pPr>
    </w:p>
    <w:p w14:paraId="7788B982" w14:textId="77777777" w:rsidR="009E5C56" w:rsidRDefault="009E5C56" w:rsidP="009E5C56">
      <w:pPr>
        <w:pStyle w:val="Default"/>
        <w:jc w:val="both"/>
        <w:rPr>
          <w:sz w:val="22"/>
          <w:szCs w:val="22"/>
        </w:rPr>
      </w:pPr>
    </w:p>
    <w:p w14:paraId="5341BAC5" w14:textId="77777777" w:rsidR="009E5C56" w:rsidRDefault="009E5C56" w:rsidP="009E5C56">
      <w:pPr>
        <w:pStyle w:val="Default"/>
        <w:jc w:val="both"/>
        <w:rPr>
          <w:sz w:val="22"/>
          <w:szCs w:val="22"/>
        </w:rPr>
      </w:pPr>
    </w:p>
    <w:p w14:paraId="5095C767" w14:textId="635043E9" w:rsidR="007A6A25" w:rsidRDefault="007A6A25" w:rsidP="009E5C56">
      <w:pPr>
        <w:pStyle w:val="Default"/>
        <w:jc w:val="both"/>
        <w:rPr>
          <w:b/>
          <w:sz w:val="22"/>
          <w:szCs w:val="22"/>
          <w:u w:val="single"/>
        </w:rPr>
      </w:pPr>
      <w:r w:rsidRPr="007A6A25">
        <w:rPr>
          <w:b/>
          <w:sz w:val="22"/>
          <w:szCs w:val="22"/>
          <w:u w:val="single"/>
        </w:rPr>
        <w:lastRenderedPageBreak/>
        <w:t>Obligations in Respect of Non-Discrimination and Nationality</w:t>
      </w:r>
      <w:r w:rsidRPr="007A6A25" w:rsidDel="007A6A25">
        <w:rPr>
          <w:b/>
          <w:sz w:val="22"/>
          <w:szCs w:val="22"/>
          <w:u w:val="single"/>
        </w:rPr>
        <w:t xml:space="preserve"> </w:t>
      </w:r>
    </w:p>
    <w:p w14:paraId="7D38514C" w14:textId="77777777" w:rsidR="0005137E" w:rsidRDefault="0005137E" w:rsidP="009E5C56">
      <w:pPr>
        <w:pStyle w:val="Default"/>
        <w:jc w:val="both"/>
        <w:rPr>
          <w:sz w:val="22"/>
          <w:szCs w:val="22"/>
        </w:rPr>
      </w:pPr>
    </w:p>
    <w:p w14:paraId="7493BC94" w14:textId="6E361993" w:rsidR="00D372F7" w:rsidRPr="00071848" w:rsidRDefault="00E12503" w:rsidP="009E5C56">
      <w:pPr>
        <w:pStyle w:val="ListParagraph"/>
        <w:numPr>
          <w:ilvl w:val="0"/>
          <w:numId w:val="8"/>
        </w:numPr>
        <w:jc w:val="both"/>
        <w:rPr>
          <w:rFonts w:ascii="Cambria" w:hAnsi="Cambria"/>
          <w:sz w:val="22"/>
          <w:szCs w:val="22"/>
        </w:rPr>
      </w:pPr>
      <w:r w:rsidRPr="00071848">
        <w:rPr>
          <w:rFonts w:ascii="Cambria" w:hAnsi="Cambria"/>
          <w:sz w:val="22"/>
          <w:szCs w:val="22"/>
        </w:rPr>
        <w:t xml:space="preserve">Research undertaken by the Equal Rights Trust and Focus for the report </w:t>
      </w:r>
      <w:r w:rsidRPr="00071848">
        <w:rPr>
          <w:rFonts w:ascii="Cambria" w:hAnsi="Cambria"/>
          <w:i/>
          <w:sz w:val="22"/>
          <w:szCs w:val="22"/>
        </w:rPr>
        <w:t>My Children’s Future: Ending Gender Discrimination in Nationality Laws</w:t>
      </w:r>
      <w:r w:rsidRPr="00071848">
        <w:rPr>
          <w:rFonts w:ascii="Cambria" w:hAnsi="Cambria"/>
          <w:sz w:val="22"/>
          <w:szCs w:val="22"/>
        </w:rPr>
        <w:t xml:space="preserve"> indicates that</w:t>
      </w:r>
      <w:r w:rsidR="00713FCB" w:rsidRPr="00071848">
        <w:rPr>
          <w:rFonts w:ascii="Cambria" w:hAnsi="Cambria"/>
          <w:sz w:val="22"/>
          <w:szCs w:val="22"/>
        </w:rPr>
        <w:t xml:space="preserve"> Malagasy nationality laws discriminate directly against women and, by association, against their children in respect of the right to acquire a nationality</w:t>
      </w:r>
      <w:r w:rsidR="00F2428F" w:rsidRPr="00071848">
        <w:rPr>
          <w:rFonts w:ascii="Cambria" w:hAnsi="Cambria"/>
          <w:sz w:val="22"/>
          <w:szCs w:val="22"/>
        </w:rPr>
        <w:t xml:space="preserve">, contrary to </w:t>
      </w:r>
      <w:r w:rsidR="00071848">
        <w:rPr>
          <w:rFonts w:ascii="Cambria" w:hAnsi="Cambria"/>
          <w:sz w:val="22"/>
          <w:szCs w:val="22"/>
        </w:rPr>
        <w:t>the requirements of Article 26 and</w:t>
      </w:r>
      <w:r w:rsidR="00F2428F" w:rsidRPr="00071848">
        <w:rPr>
          <w:rFonts w:ascii="Cambria" w:hAnsi="Cambria"/>
          <w:sz w:val="22"/>
          <w:szCs w:val="22"/>
        </w:rPr>
        <w:t xml:space="preserve"> </w:t>
      </w:r>
      <w:r w:rsidR="00071848">
        <w:rPr>
          <w:rFonts w:ascii="Cambria" w:hAnsi="Cambria"/>
          <w:sz w:val="22"/>
          <w:szCs w:val="22"/>
        </w:rPr>
        <w:t>Article</w:t>
      </w:r>
      <w:r w:rsidR="00071848" w:rsidRPr="00071848">
        <w:rPr>
          <w:rFonts w:ascii="Cambria" w:hAnsi="Cambria"/>
          <w:sz w:val="22"/>
          <w:szCs w:val="22"/>
        </w:rPr>
        <w:t xml:space="preserve"> 24 </w:t>
      </w:r>
      <w:r w:rsidR="00071848">
        <w:rPr>
          <w:rFonts w:ascii="Cambria" w:hAnsi="Cambria"/>
          <w:sz w:val="22"/>
          <w:szCs w:val="22"/>
        </w:rPr>
        <w:t xml:space="preserve">in conjunction with Article </w:t>
      </w:r>
      <w:r w:rsidR="00071848" w:rsidRPr="00071848">
        <w:rPr>
          <w:rFonts w:ascii="Cambria" w:hAnsi="Cambria"/>
          <w:sz w:val="22"/>
          <w:szCs w:val="22"/>
        </w:rPr>
        <w:t xml:space="preserve">2(1) </w:t>
      </w:r>
      <w:r w:rsidR="00F2428F" w:rsidRPr="00071848">
        <w:rPr>
          <w:rFonts w:ascii="Cambria" w:hAnsi="Cambria"/>
          <w:sz w:val="22"/>
          <w:szCs w:val="22"/>
        </w:rPr>
        <w:t>of the Covenant.</w:t>
      </w:r>
    </w:p>
    <w:p w14:paraId="62B6703A" w14:textId="77777777" w:rsidR="00D372F7" w:rsidRPr="00071848" w:rsidRDefault="00D372F7" w:rsidP="009E5C56">
      <w:pPr>
        <w:pStyle w:val="ListParagraph"/>
        <w:ind w:left="567"/>
        <w:jc w:val="both"/>
        <w:rPr>
          <w:rFonts w:ascii="Cambria" w:hAnsi="Cambria"/>
          <w:sz w:val="22"/>
          <w:szCs w:val="22"/>
        </w:rPr>
      </w:pPr>
    </w:p>
    <w:p w14:paraId="0C0A32C4" w14:textId="2B6DD0B6" w:rsidR="000C7E74" w:rsidRPr="00DE01AD" w:rsidRDefault="00E12503" w:rsidP="009E5C56">
      <w:pPr>
        <w:pStyle w:val="Default"/>
        <w:numPr>
          <w:ilvl w:val="0"/>
          <w:numId w:val="8"/>
        </w:numPr>
        <w:jc w:val="both"/>
        <w:rPr>
          <w:rFonts w:eastAsia="Calibri" w:cs="Times New Roman"/>
          <w:sz w:val="22"/>
          <w:szCs w:val="22"/>
        </w:rPr>
      </w:pPr>
      <w:r>
        <w:rPr>
          <w:sz w:val="22"/>
          <w:szCs w:val="22"/>
        </w:rPr>
        <w:t>Under Article 26</w:t>
      </w:r>
      <w:r w:rsidR="00F2428F">
        <w:rPr>
          <w:sz w:val="22"/>
          <w:szCs w:val="22"/>
        </w:rPr>
        <w:t xml:space="preserve"> of the Covenant</w:t>
      </w:r>
      <w:r>
        <w:rPr>
          <w:sz w:val="22"/>
          <w:szCs w:val="22"/>
        </w:rPr>
        <w:t>, “all persons are equal before the law and are entitled without any discrimination to the equal protection of the law</w:t>
      </w:r>
      <w:r w:rsidR="00A81F40">
        <w:rPr>
          <w:sz w:val="22"/>
          <w:szCs w:val="22"/>
        </w:rPr>
        <w:t>”; t</w:t>
      </w:r>
      <w:r>
        <w:rPr>
          <w:sz w:val="22"/>
          <w:szCs w:val="22"/>
        </w:rPr>
        <w:t>o this end, the law “shall prohibit any discrimination and guarantee to all persons equal and effective protection against discrimination on any ground”</w:t>
      </w:r>
      <w:r w:rsidR="00071848">
        <w:rPr>
          <w:sz w:val="22"/>
          <w:szCs w:val="22"/>
        </w:rPr>
        <w:t>.</w:t>
      </w:r>
      <w:r w:rsidR="00F2428F" w:rsidDel="00E12503">
        <w:rPr>
          <w:sz w:val="22"/>
          <w:szCs w:val="22"/>
        </w:rPr>
        <w:t xml:space="preserve"> </w:t>
      </w:r>
      <w:r w:rsidR="00F2428F">
        <w:rPr>
          <w:sz w:val="22"/>
          <w:szCs w:val="22"/>
        </w:rPr>
        <w:t>T</w:t>
      </w:r>
      <w:r w:rsidR="000C7E74" w:rsidRPr="00DE01AD">
        <w:rPr>
          <w:rFonts w:eastAsia="Calibri" w:cs="Times New Roman"/>
          <w:sz w:val="22"/>
          <w:szCs w:val="22"/>
        </w:rPr>
        <w:t>he Committee has emphasised that</w:t>
      </w:r>
      <w:r w:rsidR="006369FD">
        <w:rPr>
          <w:rFonts w:eastAsia="Calibri" w:cs="Times New Roman"/>
          <w:sz w:val="22"/>
          <w:szCs w:val="22"/>
        </w:rPr>
        <w:t xml:space="preserve"> </w:t>
      </w:r>
      <w:r w:rsidR="000C7E74" w:rsidRPr="00DE01AD">
        <w:rPr>
          <w:rFonts w:eastAsia="Calibri" w:cs="Times New Roman"/>
          <w:sz w:val="22"/>
          <w:szCs w:val="22"/>
        </w:rPr>
        <w:t>Article 26 provides an autonomous right</w:t>
      </w:r>
      <w:r w:rsidR="004C7499">
        <w:rPr>
          <w:rFonts w:eastAsia="Calibri" w:cs="Times New Roman"/>
          <w:sz w:val="22"/>
          <w:szCs w:val="22"/>
        </w:rPr>
        <w:t xml:space="preserve"> to non-discrimination</w:t>
      </w:r>
      <w:r w:rsidR="000C7E74" w:rsidRPr="00DE01AD">
        <w:rPr>
          <w:rFonts w:eastAsia="Calibri" w:cs="Times New Roman"/>
          <w:sz w:val="22"/>
          <w:szCs w:val="22"/>
        </w:rPr>
        <w:t>. That is to say:</w:t>
      </w:r>
    </w:p>
    <w:p w14:paraId="7E4A533B" w14:textId="77777777" w:rsidR="000C7E74" w:rsidRPr="00DE01AD" w:rsidRDefault="000C7E74" w:rsidP="009E5C56">
      <w:pPr>
        <w:pStyle w:val="Default"/>
        <w:ind w:left="567"/>
        <w:jc w:val="both"/>
        <w:rPr>
          <w:rFonts w:eastAsia="Calibri" w:cs="Times New Roman"/>
          <w:sz w:val="22"/>
          <w:szCs w:val="22"/>
        </w:rPr>
      </w:pPr>
    </w:p>
    <w:p w14:paraId="0467E9F6" w14:textId="77777777" w:rsidR="000C7E74" w:rsidRPr="00604F1D" w:rsidRDefault="000C7E74" w:rsidP="009E5C56">
      <w:pPr>
        <w:pStyle w:val="Default"/>
        <w:ind w:left="1440" w:right="985"/>
        <w:jc w:val="both"/>
        <w:rPr>
          <w:rFonts w:eastAsia="Calibri" w:cs="Times New Roman"/>
          <w:i/>
          <w:sz w:val="22"/>
          <w:szCs w:val="22"/>
        </w:rPr>
      </w:pPr>
      <w:r w:rsidRPr="00DE01AD">
        <w:rPr>
          <w:rFonts w:eastAsia="Calibri" w:cs="Times New Roman"/>
          <w:i/>
          <w:sz w:val="22"/>
          <w:szCs w:val="22"/>
        </w:rPr>
        <w:t>It prohibits discrimination in law or in fact in any field regulated and protected by public authorities. Article 26 is therefore concerned with the obligations imposed on States parties in regard to their legislation and the application thereof.</w:t>
      </w:r>
      <w:r w:rsidRPr="00DE01AD">
        <w:rPr>
          <w:rStyle w:val="FootnoteReference"/>
          <w:rFonts w:eastAsia="Calibri" w:cs="Times New Roman"/>
          <w:sz w:val="22"/>
          <w:szCs w:val="22"/>
        </w:rPr>
        <w:footnoteReference w:id="8"/>
      </w:r>
      <w:r w:rsidRPr="00604F1D">
        <w:rPr>
          <w:rFonts w:eastAsia="Calibri" w:cs="Times New Roman"/>
          <w:sz w:val="22"/>
          <w:szCs w:val="22"/>
        </w:rPr>
        <w:t xml:space="preserve"> </w:t>
      </w:r>
    </w:p>
    <w:p w14:paraId="218728A8" w14:textId="77777777" w:rsidR="000C7E74" w:rsidRPr="00477C89" w:rsidRDefault="000C7E74" w:rsidP="009E5C56">
      <w:pPr>
        <w:pStyle w:val="Default"/>
        <w:ind w:left="567"/>
        <w:jc w:val="both"/>
        <w:rPr>
          <w:sz w:val="22"/>
          <w:szCs w:val="22"/>
        </w:rPr>
      </w:pPr>
    </w:p>
    <w:p w14:paraId="592F87E7" w14:textId="139B1470" w:rsidR="00F2428F" w:rsidRDefault="00F2428F" w:rsidP="009E5C56">
      <w:pPr>
        <w:pStyle w:val="Default"/>
        <w:numPr>
          <w:ilvl w:val="0"/>
          <w:numId w:val="8"/>
        </w:numPr>
        <w:jc w:val="both"/>
        <w:rPr>
          <w:sz w:val="22"/>
          <w:szCs w:val="22"/>
        </w:rPr>
      </w:pPr>
      <w:r>
        <w:rPr>
          <w:sz w:val="22"/>
          <w:szCs w:val="22"/>
        </w:rPr>
        <w:t>Under Article 2(1) of the Covenant, each State Party to the Covenant undertakes to ensure Covenant rights to all individuals within its territory without discrimination.</w:t>
      </w:r>
      <w:r>
        <w:rPr>
          <w:rStyle w:val="FootnoteReference"/>
          <w:sz w:val="22"/>
          <w:szCs w:val="22"/>
        </w:rPr>
        <w:footnoteReference w:id="9"/>
      </w:r>
      <w:r>
        <w:rPr>
          <w:sz w:val="22"/>
          <w:szCs w:val="22"/>
        </w:rPr>
        <w:t xml:space="preserve"> This includes the right of children to acquire a nationality under Article 24(3).</w:t>
      </w:r>
      <w:r>
        <w:rPr>
          <w:rStyle w:val="FootnoteReference"/>
          <w:sz w:val="22"/>
          <w:szCs w:val="22"/>
        </w:rPr>
        <w:footnoteReference w:id="10"/>
      </w:r>
      <w:r>
        <w:rPr>
          <w:sz w:val="22"/>
          <w:szCs w:val="22"/>
        </w:rPr>
        <w:t xml:space="preserve"> The Committee, in its General Comments, ha</w:t>
      </w:r>
      <w:r w:rsidR="00071848">
        <w:rPr>
          <w:sz w:val="22"/>
          <w:szCs w:val="22"/>
        </w:rPr>
        <w:t>s</w:t>
      </w:r>
      <w:r>
        <w:rPr>
          <w:sz w:val="22"/>
          <w:szCs w:val="22"/>
        </w:rPr>
        <w:t xml:space="preserve"> explained that whilst this provision does not “necessarily” require States to confer nationality on all children born within its territory, States are required to </w:t>
      </w:r>
      <w:r w:rsidRPr="00C5797C">
        <w:rPr>
          <w:sz w:val="22"/>
          <w:szCs w:val="22"/>
        </w:rPr>
        <w:t>adopt approp</w:t>
      </w:r>
      <w:r>
        <w:rPr>
          <w:sz w:val="22"/>
          <w:szCs w:val="22"/>
        </w:rPr>
        <w:t>riate measure</w:t>
      </w:r>
      <w:r w:rsidRPr="00C5797C">
        <w:rPr>
          <w:sz w:val="22"/>
          <w:szCs w:val="22"/>
        </w:rPr>
        <w:t xml:space="preserve"> to ensure that every child has a nationality</w:t>
      </w:r>
      <w:r>
        <w:rPr>
          <w:sz w:val="22"/>
          <w:szCs w:val="22"/>
        </w:rPr>
        <w:t xml:space="preserve"> </w:t>
      </w:r>
      <w:r w:rsidRPr="00C5797C">
        <w:rPr>
          <w:sz w:val="22"/>
          <w:szCs w:val="22"/>
        </w:rPr>
        <w:t>when he is born.</w:t>
      </w:r>
      <w:r>
        <w:rPr>
          <w:rStyle w:val="FootnoteReference"/>
          <w:sz w:val="22"/>
          <w:szCs w:val="22"/>
        </w:rPr>
        <w:footnoteReference w:id="11"/>
      </w:r>
      <w:r w:rsidRPr="00C5797C">
        <w:rPr>
          <w:sz w:val="22"/>
          <w:szCs w:val="22"/>
        </w:rPr>
        <w:t xml:space="preserve">  </w:t>
      </w:r>
      <w:r>
        <w:rPr>
          <w:sz w:val="22"/>
          <w:szCs w:val="22"/>
        </w:rPr>
        <w:t>Consequently, as the Committee has noted, Article 24(3), read together with Article 2, gives rise to an obligation of non-discrimination in the acquisition of citizenship by children:</w:t>
      </w:r>
    </w:p>
    <w:p w14:paraId="0F7D7EB7" w14:textId="77777777" w:rsidR="00F2428F" w:rsidRDefault="00F2428F" w:rsidP="009E5C56">
      <w:pPr>
        <w:pStyle w:val="Default"/>
        <w:ind w:left="567"/>
        <w:jc w:val="both"/>
        <w:rPr>
          <w:sz w:val="22"/>
          <w:szCs w:val="22"/>
        </w:rPr>
      </w:pPr>
    </w:p>
    <w:p w14:paraId="5C72E521" w14:textId="77777777" w:rsidR="00F2428F" w:rsidRPr="006C7846" w:rsidRDefault="00F2428F" w:rsidP="009E5C56">
      <w:pPr>
        <w:pStyle w:val="Default"/>
        <w:ind w:left="1440" w:right="985"/>
        <w:jc w:val="both"/>
        <w:rPr>
          <w:i/>
          <w:sz w:val="22"/>
          <w:szCs w:val="22"/>
        </w:rPr>
      </w:pPr>
      <w:r>
        <w:rPr>
          <w:i/>
          <w:sz w:val="22"/>
          <w:szCs w:val="22"/>
        </w:rPr>
        <w:t>[N]</w:t>
      </w:r>
      <w:r w:rsidRPr="006C7846">
        <w:rPr>
          <w:i/>
          <w:sz w:val="22"/>
          <w:szCs w:val="22"/>
        </w:rPr>
        <w:t>o discrimination with regard to the acquisition of nationality should be admissible under internal law as between legitimate children and children born out of wedlock or of stateless parents or based on the nationality status of one or both of the parents.</w:t>
      </w:r>
      <w:r>
        <w:rPr>
          <w:rStyle w:val="FootnoteReference"/>
          <w:i/>
          <w:sz w:val="22"/>
          <w:szCs w:val="22"/>
        </w:rPr>
        <w:footnoteReference w:id="12"/>
      </w:r>
    </w:p>
    <w:p w14:paraId="3ECD1B19" w14:textId="77777777" w:rsidR="00D372F7" w:rsidRDefault="00D372F7" w:rsidP="009E5C56">
      <w:pPr>
        <w:pStyle w:val="Default"/>
        <w:ind w:left="567"/>
        <w:jc w:val="both"/>
        <w:rPr>
          <w:sz w:val="22"/>
          <w:szCs w:val="22"/>
        </w:rPr>
      </w:pPr>
    </w:p>
    <w:p w14:paraId="5D956E70" w14:textId="6186CE82" w:rsidR="00574430" w:rsidRPr="00071848" w:rsidRDefault="00713FCB" w:rsidP="009E5C56">
      <w:pPr>
        <w:numPr>
          <w:ilvl w:val="0"/>
          <w:numId w:val="8"/>
        </w:numPr>
        <w:autoSpaceDE w:val="0"/>
        <w:autoSpaceDN w:val="0"/>
        <w:adjustRightInd w:val="0"/>
        <w:jc w:val="both"/>
        <w:rPr>
          <w:rFonts w:ascii="Cambria" w:eastAsia="Calibri" w:hAnsi="Cambria" w:cs="Cambria"/>
          <w:color w:val="000000"/>
          <w:sz w:val="22"/>
          <w:szCs w:val="22"/>
        </w:rPr>
      </w:pPr>
      <w:r w:rsidRPr="00071848">
        <w:rPr>
          <w:rFonts w:ascii="Cambria" w:eastAsia="Calibri" w:hAnsi="Cambria" w:cs="Cambria"/>
          <w:color w:val="000000"/>
          <w:sz w:val="22"/>
          <w:szCs w:val="22"/>
        </w:rPr>
        <w:t>Principle 5 of the Declaration of Principles on Equality</w:t>
      </w:r>
      <w:r w:rsidR="00574430">
        <w:rPr>
          <w:rFonts w:ascii="Cambria" w:eastAsia="Calibri" w:hAnsi="Cambria" w:cs="Cambria"/>
          <w:color w:val="000000"/>
          <w:sz w:val="22"/>
          <w:szCs w:val="22"/>
        </w:rPr>
        <w:t xml:space="preserve"> recogni</w:t>
      </w:r>
      <w:r w:rsidR="00071848">
        <w:rPr>
          <w:rFonts w:ascii="Cambria" w:eastAsia="Calibri" w:hAnsi="Cambria" w:cs="Cambria"/>
          <w:color w:val="000000"/>
          <w:sz w:val="22"/>
          <w:szCs w:val="22"/>
        </w:rPr>
        <w:t>ses associative discrimination, providing that a</w:t>
      </w:r>
      <w:r w:rsidR="00574430">
        <w:rPr>
          <w:rFonts w:ascii="Cambria" w:eastAsia="Calibri" w:hAnsi="Cambria" w:cs="Cambria"/>
          <w:color w:val="000000"/>
          <w:sz w:val="22"/>
          <w:szCs w:val="22"/>
        </w:rPr>
        <w:t>ny</w:t>
      </w:r>
      <w:r w:rsidRPr="00071848">
        <w:rPr>
          <w:rFonts w:ascii="Cambria" w:eastAsia="Calibri" w:hAnsi="Cambria" w:cs="Cambria"/>
          <w:color w:val="000000"/>
          <w:sz w:val="22"/>
          <w:szCs w:val="22"/>
        </w:rPr>
        <w:t xml:space="preserve"> discrimination “when it is on the ground of the association of a person with other persons to whom a prohibited ground applies”</w:t>
      </w:r>
      <w:r w:rsidR="00574430">
        <w:rPr>
          <w:rFonts w:ascii="Cambria" w:eastAsia="Calibri" w:hAnsi="Cambria" w:cs="Cambria"/>
          <w:color w:val="000000"/>
          <w:sz w:val="22"/>
          <w:szCs w:val="22"/>
        </w:rPr>
        <w:t xml:space="preserve"> must be prohibited.</w:t>
      </w:r>
      <w:r w:rsidRPr="00071848">
        <w:rPr>
          <w:rFonts w:ascii="Cambria" w:eastAsia="Calibri" w:hAnsi="Cambria" w:cs="Cambria"/>
          <w:color w:val="000000"/>
          <w:sz w:val="22"/>
          <w:szCs w:val="22"/>
          <w:vertAlign w:val="superscript"/>
        </w:rPr>
        <w:footnoteReference w:id="13"/>
      </w:r>
      <w:r w:rsidRPr="00071848">
        <w:rPr>
          <w:rFonts w:ascii="Cambria" w:eastAsia="Calibri" w:hAnsi="Cambria" w:cs="Cambria"/>
          <w:color w:val="000000"/>
          <w:sz w:val="22"/>
          <w:szCs w:val="22"/>
        </w:rPr>
        <w:t xml:space="preserve"> Although not expressly recognised </w:t>
      </w:r>
      <w:r w:rsidR="001547FC">
        <w:rPr>
          <w:rFonts w:ascii="Cambria" w:eastAsia="Calibri" w:hAnsi="Cambria" w:cs="Cambria"/>
          <w:color w:val="000000"/>
          <w:sz w:val="22"/>
          <w:szCs w:val="22"/>
        </w:rPr>
        <w:t>by</w:t>
      </w:r>
      <w:r w:rsidRPr="00071848">
        <w:rPr>
          <w:rFonts w:ascii="Cambria" w:eastAsia="Calibri" w:hAnsi="Cambria" w:cs="Cambria"/>
          <w:color w:val="000000"/>
          <w:sz w:val="22"/>
          <w:szCs w:val="22"/>
        </w:rPr>
        <w:t xml:space="preserve"> the Covenant, adopting a holistic </w:t>
      </w:r>
      <w:r w:rsidRPr="00071848">
        <w:rPr>
          <w:rFonts w:ascii="Cambria" w:eastAsia="Calibri" w:hAnsi="Cambria" w:cs="Cambria"/>
          <w:color w:val="000000"/>
          <w:sz w:val="22"/>
          <w:szCs w:val="22"/>
        </w:rPr>
        <w:lastRenderedPageBreak/>
        <w:t>approach to the concept of non-discrimination, and recognising the universality, indivisibility and interdependence of human rights</w:t>
      </w:r>
      <w:r w:rsidR="00C36CDA">
        <w:rPr>
          <w:rStyle w:val="FootnoteReference"/>
          <w:rFonts w:ascii="Cambria" w:eastAsia="Calibri" w:hAnsi="Cambria" w:cs="Cambria"/>
          <w:color w:val="000000"/>
          <w:sz w:val="22"/>
          <w:szCs w:val="22"/>
        </w:rPr>
        <w:footnoteReference w:id="14"/>
      </w:r>
      <w:r w:rsidRPr="00071848">
        <w:rPr>
          <w:rFonts w:ascii="Cambria" w:eastAsia="Calibri" w:hAnsi="Cambria" w:cs="Cambria"/>
          <w:color w:val="000000"/>
          <w:sz w:val="22"/>
          <w:szCs w:val="22"/>
        </w:rPr>
        <w:t xml:space="preserve"> suggests that non-discrimination “on any other grounds” would include discrimination by association. This view is supported by the concluding observations and general comments of several human rights treaty bodies, including the Committee on Economic, Social and Cultural Rights.</w:t>
      </w:r>
      <w:r w:rsidRPr="00071848">
        <w:rPr>
          <w:rFonts w:ascii="Cambria" w:eastAsia="Calibri" w:hAnsi="Cambria" w:cs="Cambria"/>
          <w:color w:val="000000"/>
          <w:sz w:val="22"/>
          <w:szCs w:val="22"/>
          <w:vertAlign w:val="superscript"/>
        </w:rPr>
        <w:footnoteReference w:id="15"/>
      </w:r>
    </w:p>
    <w:p w14:paraId="48BAAF28" w14:textId="77777777" w:rsidR="00D372F7" w:rsidRDefault="00D372F7" w:rsidP="009E5C56">
      <w:pPr>
        <w:pStyle w:val="Default"/>
        <w:ind w:left="567"/>
        <w:jc w:val="both"/>
        <w:rPr>
          <w:sz w:val="22"/>
          <w:szCs w:val="22"/>
        </w:rPr>
      </w:pPr>
    </w:p>
    <w:p w14:paraId="14232777" w14:textId="5FB3CC9A" w:rsidR="00071848" w:rsidRPr="00071848" w:rsidRDefault="00230684" w:rsidP="009E5C56">
      <w:pPr>
        <w:pStyle w:val="Default"/>
        <w:numPr>
          <w:ilvl w:val="0"/>
          <w:numId w:val="8"/>
        </w:numPr>
        <w:jc w:val="both"/>
        <w:rPr>
          <w:sz w:val="22"/>
          <w:szCs w:val="22"/>
        </w:rPr>
      </w:pPr>
      <w:r>
        <w:rPr>
          <w:sz w:val="22"/>
          <w:szCs w:val="22"/>
        </w:rPr>
        <w:t>Malagasy</w:t>
      </w:r>
      <w:r w:rsidR="000C7E74">
        <w:rPr>
          <w:sz w:val="22"/>
          <w:szCs w:val="22"/>
        </w:rPr>
        <w:t xml:space="preserve"> women are discriminated against in both law and practice as a consequence of discriminatory nationality laws. These laws are </w:t>
      </w:r>
      <w:r w:rsidR="000C7E74">
        <w:rPr>
          <w:i/>
          <w:sz w:val="22"/>
          <w:szCs w:val="22"/>
        </w:rPr>
        <w:t>prima facie</w:t>
      </w:r>
      <w:r w:rsidR="000C7E74">
        <w:rPr>
          <w:sz w:val="22"/>
          <w:szCs w:val="22"/>
        </w:rPr>
        <w:t xml:space="preserve"> discriminatory, in contravention </w:t>
      </w:r>
      <w:r w:rsidR="00EC4FA3">
        <w:rPr>
          <w:sz w:val="22"/>
          <w:szCs w:val="22"/>
        </w:rPr>
        <w:t>of the</w:t>
      </w:r>
      <w:r w:rsidR="000C7E74">
        <w:rPr>
          <w:sz w:val="22"/>
          <w:szCs w:val="22"/>
        </w:rPr>
        <w:t xml:space="preserve"> </w:t>
      </w:r>
      <w:r w:rsidR="00E91FD1">
        <w:rPr>
          <w:sz w:val="22"/>
          <w:szCs w:val="22"/>
        </w:rPr>
        <w:t xml:space="preserve">autonomous </w:t>
      </w:r>
      <w:r w:rsidR="000C7E74">
        <w:rPr>
          <w:sz w:val="22"/>
          <w:szCs w:val="22"/>
        </w:rPr>
        <w:t xml:space="preserve">right to non-discrimination contained in Article </w:t>
      </w:r>
      <w:r w:rsidR="00EC4FA3">
        <w:rPr>
          <w:sz w:val="22"/>
          <w:szCs w:val="22"/>
        </w:rPr>
        <w:t>2</w:t>
      </w:r>
      <w:r w:rsidR="00E91FD1">
        <w:rPr>
          <w:sz w:val="22"/>
          <w:szCs w:val="22"/>
        </w:rPr>
        <w:t>6</w:t>
      </w:r>
      <w:r w:rsidR="00EC4FA3">
        <w:rPr>
          <w:sz w:val="22"/>
          <w:szCs w:val="22"/>
        </w:rPr>
        <w:t xml:space="preserve"> </w:t>
      </w:r>
      <w:r w:rsidR="00751D32">
        <w:rPr>
          <w:sz w:val="22"/>
          <w:szCs w:val="22"/>
        </w:rPr>
        <w:t>of the C</w:t>
      </w:r>
      <w:r w:rsidR="00E91FD1">
        <w:rPr>
          <w:sz w:val="22"/>
          <w:szCs w:val="22"/>
        </w:rPr>
        <w:t>ovenant</w:t>
      </w:r>
      <w:r w:rsidR="00751D32">
        <w:rPr>
          <w:sz w:val="22"/>
          <w:szCs w:val="22"/>
        </w:rPr>
        <w:t>.</w:t>
      </w:r>
      <w:r>
        <w:rPr>
          <w:sz w:val="22"/>
          <w:szCs w:val="22"/>
        </w:rPr>
        <w:t xml:space="preserve"> Moreover, </w:t>
      </w:r>
      <w:r w:rsidR="00C929B2">
        <w:rPr>
          <w:sz w:val="22"/>
          <w:szCs w:val="22"/>
        </w:rPr>
        <w:t>many children are denied</w:t>
      </w:r>
      <w:r w:rsidRPr="00230684">
        <w:rPr>
          <w:sz w:val="22"/>
          <w:szCs w:val="22"/>
        </w:rPr>
        <w:t xml:space="preserve"> </w:t>
      </w:r>
      <w:r>
        <w:rPr>
          <w:sz w:val="22"/>
          <w:szCs w:val="22"/>
        </w:rPr>
        <w:t>the</w:t>
      </w:r>
      <w:r w:rsidRPr="00230684">
        <w:rPr>
          <w:sz w:val="22"/>
          <w:szCs w:val="22"/>
        </w:rPr>
        <w:t xml:space="preserve"> right </w:t>
      </w:r>
      <w:r>
        <w:rPr>
          <w:sz w:val="22"/>
          <w:szCs w:val="22"/>
        </w:rPr>
        <w:t xml:space="preserve">of nationality </w:t>
      </w:r>
      <w:r w:rsidRPr="00230684">
        <w:rPr>
          <w:sz w:val="22"/>
          <w:szCs w:val="22"/>
        </w:rPr>
        <w:t xml:space="preserve">as a result of gender discrimination in the law – </w:t>
      </w:r>
      <w:r>
        <w:rPr>
          <w:sz w:val="22"/>
          <w:szCs w:val="22"/>
        </w:rPr>
        <w:t>constituting</w:t>
      </w:r>
      <w:r w:rsidRPr="00230684">
        <w:rPr>
          <w:sz w:val="22"/>
          <w:szCs w:val="22"/>
        </w:rPr>
        <w:t xml:space="preserve"> direc</w:t>
      </w:r>
      <w:r>
        <w:rPr>
          <w:sz w:val="22"/>
          <w:szCs w:val="22"/>
        </w:rPr>
        <w:t>t discrimination by association</w:t>
      </w:r>
      <w:r w:rsidRPr="00230684">
        <w:rPr>
          <w:sz w:val="22"/>
          <w:szCs w:val="22"/>
        </w:rPr>
        <w:t xml:space="preserve"> in the enjoyment of a Covenant right</w:t>
      </w:r>
      <w:r w:rsidR="00071848">
        <w:rPr>
          <w:sz w:val="22"/>
          <w:szCs w:val="22"/>
        </w:rPr>
        <w:t>, thus contravening Article 24(3) when read in conjunction with Article 2.</w:t>
      </w:r>
    </w:p>
    <w:p w14:paraId="39BBE4DA" w14:textId="77777777" w:rsidR="00EC4FA3" w:rsidRDefault="00EC4FA3" w:rsidP="009E5C56">
      <w:pPr>
        <w:pStyle w:val="Default"/>
        <w:jc w:val="both"/>
        <w:rPr>
          <w:sz w:val="22"/>
          <w:szCs w:val="22"/>
        </w:rPr>
      </w:pPr>
    </w:p>
    <w:p w14:paraId="78474B78" w14:textId="37F42BFD" w:rsidR="00EC4FA3" w:rsidRPr="00EC4FA3" w:rsidRDefault="009E22E2" w:rsidP="009E5C56">
      <w:pPr>
        <w:pStyle w:val="Default"/>
        <w:jc w:val="both"/>
        <w:rPr>
          <w:sz w:val="22"/>
          <w:szCs w:val="22"/>
          <w:u w:val="single"/>
        </w:rPr>
      </w:pPr>
      <w:r>
        <w:rPr>
          <w:b/>
          <w:sz w:val="22"/>
          <w:szCs w:val="22"/>
          <w:u w:val="single"/>
        </w:rPr>
        <w:t xml:space="preserve">Discriminatory Provisions </w:t>
      </w:r>
      <w:r w:rsidR="00EC4FA3">
        <w:rPr>
          <w:b/>
          <w:sz w:val="22"/>
          <w:szCs w:val="22"/>
          <w:u w:val="single"/>
        </w:rPr>
        <w:t xml:space="preserve">in </w:t>
      </w:r>
      <w:r>
        <w:rPr>
          <w:b/>
          <w:sz w:val="22"/>
          <w:szCs w:val="22"/>
          <w:u w:val="single"/>
        </w:rPr>
        <w:t xml:space="preserve">the </w:t>
      </w:r>
      <w:r w:rsidR="00EC4FA3">
        <w:rPr>
          <w:b/>
          <w:sz w:val="22"/>
          <w:szCs w:val="22"/>
          <w:u w:val="single"/>
        </w:rPr>
        <w:t xml:space="preserve">Nationality </w:t>
      </w:r>
      <w:r>
        <w:rPr>
          <w:b/>
          <w:sz w:val="22"/>
          <w:szCs w:val="22"/>
          <w:u w:val="single"/>
        </w:rPr>
        <w:t>Code of Madagascar</w:t>
      </w:r>
    </w:p>
    <w:p w14:paraId="62273759" w14:textId="77777777" w:rsidR="000C7E74" w:rsidRDefault="000C7E74" w:rsidP="009E5C56">
      <w:pPr>
        <w:pStyle w:val="Default"/>
        <w:ind w:left="567"/>
        <w:jc w:val="both"/>
        <w:rPr>
          <w:sz w:val="22"/>
          <w:szCs w:val="22"/>
        </w:rPr>
      </w:pPr>
    </w:p>
    <w:p w14:paraId="15833BCF" w14:textId="41A85B8B" w:rsidR="0005137E" w:rsidRDefault="00837229" w:rsidP="009E5C56">
      <w:pPr>
        <w:pStyle w:val="Default"/>
        <w:numPr>
          <w:ilvl w:val="0"/>
          <w:numId w:val="8"/>
        </w:numPr>
        <w:jc w:val="both"/>
        <w:rPr>
          <w:sz w:val="22"/>
          <w:szCs w:val="22"/>
        </w:rPr>
      </w:pPr>
      <w:r w:rsidRPr="00837229">
        <w:rPr>
          <w:sz w:val="22"/>
          <w:szCs w:val="22"/>
        </w:rPr>
        <w:t>The Nationality Code (the Code) was adopted in 1960. Whilst Article 7 of the Code provides that the p</w:t>
      </w:r>
      <w:r w:rsidR="00DE72CF">
        <w:rPr>
          <w:sz w:val="22"/>
          <w:szCs w:val="22"/>
        </w:rPr>
        <w:t xml:space="preserve">rovisions of international law – </w:t>
      </w:r>
      <w:r w:rsidRPr="00837229">
        <w:rPr>
          <w:sz w:val="22"/>
          <w:szCs w:val="22"/>
        </w:rPr>
        <w:t>presumably including the right to non-discrimination</w:t>
      </w:r>
      <w:r w:rsidR="00DE72CF">
        <w:rPr>
          <w:sz w:val="22"/>
          <w:szCs w:val="22"/>
        </w:rPr>
        <w:t xml:space="preserve"> –</w:t>
      </w:r>
      <w:r w:rsidRPr="00837229">
        <w:rPr>
          <w:sz w:val="22"/>
          <w:szCs w:val="22"/>
        </w:rPr>
        <w:t xml:space="preserve"> are to apply, this provision is contradicted by Articles 9 and 10, </w:t>
      </w:r>
      <w:r>
        <w:rPr>
          <w:sz w:val="22"/>
          <w:szCs w:val="22"/>
        </w:rPr>
        <w:t xml:space="preserve">which concern the automatic acquisition of nationality at birth. These articles only apply to </w:t>
      </w:r>
      <w:r w:rsidRPr="00837229">
        <w:rPr>
          <w:sz w:val="22"/>
          <w:szCs w:val="22"/>
        </w:rPr>
        <w:t xml:space="preserve">children born </w:t>
      </w:r>
      <w:r>
        <w:rPr>
          <w:sz w:val="22"/>
          <w:szCs w:val="22"/>
        </w:rPr>
        <w:t>with</w:t>
      </w:r>
      <w:r w:rsidRPr="00837229">
        <w:rPr>
          <w:sz w:val="22"/>
          <w:szCs w:val="22"/>
        </w:rPr>
        <w:t xml:space="preserve">in marriage </w:t>
      </w:r>
      <w:r w:rsidR="00DE72CF">
        <w:rPr>
          <w:sz w:val="22"/>
          <w:szCs w:val="22"/>
        </w:rPr>
        <w:t>to a Malagasy father or</w:t>
      </w:r>
      <w:r>
        <w:rPr>
          <w:sz w:val="22"/>
          <w:szCs w:val="22"/>
        </w:rPr>
        <w:t xml:space="preserve"> </w:t>
      </w:r>
      <w:r w:rsidRPr="00837229">
        <w:rPr>
          <w:sz w:val="22"/>
          <w:szCs w:val="22"/>
        </w:rPr>
        <w:t xml:space="preserve">to a </w:t>
      </w:r>
      <w:r w:rsidR="00DE72CF">
        <w:rPr>
          <w:sz w:val="22"/>
          <w:szCs w:val="22"/>
        </w:rPr>
        <w:t>Malagasy</w:t>
      </w:r>
      <w:r w:rsidRPr="00837229">
        <w:rPr>
          <w:sz w:val="22"/>
          <w:szCs w:val="22"/>
        </w:rPr>
        <w:t xml:space="preserve"> mother and a father who does n</w:t>
      </w:r>
      <w:r>
        <w:rPr>
          <w:sz w:val="22"/>
          <w:szCs w:val="22"/>
        </w:rPr>
        <w:t>ot have nationality (Article 9);</w:t>
      </w:r>
      <w:r w:rsidRPr="00837229">
        <w:rPr>
          <w:sz w:val="22"/>
          <w:szCs w:val="22"/>
        </w:rPr>
        <w:t xml:space="preserve"> </w:t>
      </w:r>
      <w:r>
        <w:rPr>
          <w:sz w:val="22"/>
          <w:szCs w:val="22"/>
        </w:rPr>
        <w:t xml:space="preserve">and to </w:t>
      </w:r>
      <w:r w:rsidRPr="00837229">
        <w:rPr>
          <w:sz w:val="22"/>
          <w:szCs w:val="22"/>
        </w:rPr>
        <w:t xml:space="preserve">children born outside of </w:t>
      </w:r>
      <w:r w:rsidR="00DE72CF">
        <w:rPr>
          <w:sz w:val="22"/>
          <w:szCs w:val="22"/>
        </w:rPr>
        <w:t xml:space="preserve">marriage to a </w:t>
      </w:r>
      <w:r w:rsidR="003E2883">
        <w:rPr>
          <w:sz w:val="22"/>
          <w:szCs w:val="22"/>
        </w:rPr>
        <w:t>Malagasy</w:t>
      </w:r>
      <w:r w:rsidR="00DE72CF">
        <w:rPr>
          <w:sz w:val="22"/>
          <w:szCs w:val="22"/>
        </w:rPr>
        <w:t xml:space="preserve"> mother</w:t>
      </w:r>
      <w:r w:rsidRPr="00837229">
        <w:rPr>
          <w:sz w:val="22"/>
          <w:szCs w:val="22"/>
        </w:rPr>
        <w:t xml:space="preserve"> </w:t>
      </w:r>
      <w:r>
        <w:rPr>
          <w:sz w:val="22"/>
          <w:szCs w:val="22"/>
        </w:rPr>
        <w:t>or those</w:t>
      </w:r>
      <w:r w:rsidRPr="00837229">
        <w:rPr>
          <w:sz w:val="22"/>
          <w:szCs w:val="22"/>
        </w:rPr>
        <w:t xml:space="preserve"> born outside of marriage to a mother whose nationality is unknown </w:t>
      </w:r>
      <w:r>
        <w:rPr>
          <w:sz w:val="22"/>
          <w:szCs w:val="22"/>
        </w:rPr>
        <w:t>and</w:t>
      </w:r>
      <w:r w:rsidRPr="00837229">
        <w:rPr>
          <w:sz w:val="22"/>
          <w:szCs w:val="22"/>
        </w:rPr>
        <w:t xml:space="preserve"> a </w:t>
      </w:r>
      <w:r w:rsidR="003E2883">
        <w:rPr>
          <w:sz w:val="22"/>
          <w:szCs w:val="22"/>
        </w:rPr>
        <w:t>Malagasy</w:t>
      </w:r>
      <w:r w:rsidRPr="00837229">
        <w:rPr>
          <w:sz w:val="22"/>
          <w:szCs w:val="22"/>
        </w:rPr>
        <w:t xml:space="preserve"> father (Article 10).</w:t>
      </w:r>
      <w:r>
        <w:rPr>
          <w:sz w:val="22"/>
          <w:szCs w:val="22"/>
        </w:rPr>
        <w:t xml:space="preserve"> </w:t>
      </w:r>
    </w:p>
    <w:p w14:paraId="669A2BF2" w14:textId="77777777" w:rsidR="00837229" w:rsidRDefault="00837229" w:rsidP="009E5C56">
      <w:pPr>
        <w:pStyle w:val="Default"/>
        <w:ind w:left="567"/>
        <w:jc w:val="both"/>
        <w:rPr>
          <w:sz w:val="22"/>
          <w:szCs w:val="22"/>
        </w:rPr>
      </w:pPr>
    </w:p>
    <w:p w14:paraId="4394C226" w14:textId="6B18A2A1" w:rsidR="00837229" w:rsidRPr="00837229" w:rsidRDefault="00837229" w:rsidP="009E5C56">
      <w:pPr>
        <w:pStyle w:val="Default"/>
        <w:numPr>
          <w:ilvl w:val="0"/>
          <w:numId w:val="8"/>
        </w:numPr>
        <w:jc w:val="both"/>
        <w:rPr>
          <w:sz w:val="22"/>
          <w:szCs w:val="22"/>
        </w:rPr>
      </w:pPr>
      <w:r w:rsidRPr="00837229">
        <w:rPr>
          <w:sz w:val="22"/>
          <w:szCs w:val="22"/>
        </w:rPr>
        <w:t xml:space="preserve">These provisions clearly </w:t>
      </w:r>
      <w:r w:rsidR="00503050">
        <w:rPr>
          <w:sz w:val="22"/>
          <w:szCs w:val="22"/>
        </w:rPr>
        <w:t>demonstrate</w:t>
      </w:r>
      <w:r w:rsidRPr="00837229">
        <w:rPr>
          <w:sz w:val="22"/>
          <w:szCs w:val="22"/>
        </w:rPr>
        <w:t xml:space="preserve"> an unequal approach to the nationality rights of</w:t>
      </w:r>
      <w:r>
        <w:rPr>
          <w:sz w:val="22"/>
          <w:szCs w:val="22"/>
        </w:rPr>
        <w:t xml:space="preserve"> </w:t>
      </w:r>
      <w:r w:rsidRPr="00837229">
        <w:rPr>
          <w:sz w:val="22"/>
          <w:szCs w:val="22"/>
        </w:rPr>
        <w:t>men and women, as well as significant discrimination between children born</w:t>
      </w:r>
      <w:r>
        <w:rPr>
          <w:sz w:val="22"/>
          <w:szCs w:val="22"/>
        </w:rPr>
        <w:t xml:space="preserve"> </w:t>
      </w:r>
      <w:r w:rsidRPr="00837229">
        <w:rPr>
          <w:sz w:val="22"/>
          <w:szCs w:val="22"/>
        </w:rPr>
        <w:t>in and out of wedlock. In most cases, children will automatically acquire citizenship through their father, whereas the opportunity to acquire</w:t>
      </w:r>
      <w:r>
        <w:rPr>
          <w:sz w:val="22"/>
          <w:szCs w:val="22"/>
        </w:rPr>
        <w:t xml:space="preserve"> </w:t>
      </w:r>
      <w:r w:rsidRPr="00837229">
        <w:rPr>
          <w:sz w:val="22"/>
          <w:szCs w:val="22"/>
        </w:rPr>
        <w:t>it through their mother is more limited. Only if the father is stateless or of</w:t>
      </w:r>
      <w:r>
        <w:rPr>
          <w:sz w:val="22"/>
          <w:szCs w:val="22"/>
        </w:rPr>
        <w:t xml:space="preserve"> </w:t>
      </w:r>
      <w:r w:rsidRPr="00837229">
        <w:rPr>
          <w:sz w:val="22"/>
          <w:szCs w:val="22"/>
        </w:rPr>
        <w:t>unknown nationality, or if the child is born out of wedlock, can a Ma</w:t>
      </w:r>
      <w:r w:rsidR="003E2883">
        <w:rPr>
          <w:sz w:val="22"/>
          <w:szCs w:val="22"/>
        </w:rPr>
        <w:t>lagasy</w:t>
      </w:r>
      <w:r>
        <w:rPr>
          <w:sz w:val="22"/>
          <w:szCs w:val="22"/>
        </w:rPr>
        <w:t xml:space="preserve"> </w:t>
      </w:r>
      <w:r w:rsidRPr="00837229">
        <w:rPr>
          <w:sz w:val="22"/>
          <w:szCs w:val="22"/>
        </w:rPr>
        <w:t>woman automatically confer her nationality according to the main provisions of</w:t>
      </w:r>
      <w:r>
        <w:rPr>
          <w:sz w:val="22"/>
          <w:szCs w:val="22"/>
        </w:rPr>
        <w:t xml:space="preserve"> </w:t>
      </w:r>
      <w:r w:rsidRPr="00837229">
        <w:rPr>
          <w:sz w:val="22"/>
          <w:szCs w:val="22"/>
        </w:rPr>
        <w:t xml:space="preserve">the law. </w:t>
      </w:r>
      <w:r w:rsidR="003E2883">
        <w:rPr>
          <w:sz w:val="22"/>
          <w:szCs w:val="22"/>
        </w:rPr>
        <w:t>Malagasy</w:t>
      </w:r>
      <w:r w:rsidRPr="00837229">
        <w:rPr>
          <w:sz w:val="22"/>
          <w:szCs w:val="22"/>
        </w:rPr>
        <w:t xml:space="preserve"> men also enjoy rights not enjoyed by </w:t>
      </w:r>
      <w:r w:rsidR="003E2883">
        <w:rPr>
          <w:sz w:val="22"/>
          <w:szCs w:val="22"/>
        </w:rPr>
        <w:t>Malagasy</w:t>
      </w:r>
      <w:r w:rsidRPr="00837229">
        <w:rPr>
          <w:sz w:val="22"/>
          <w:szCs w:val="22"/>
        </w:rPr>
        <w:t xml:space="preserve"> women</w:t>
      </w:r>
      <w:r>
        <w:rPr>
          <w:sz w:val="22"/>
          <w:szCs w:val="22"/>
        </w:rPr>
        <w:t xml:space="preserve"> </w:t>
      </w:r>
      <w:r w:rsidRPr="00837229">
        <w:rPr>
          <w:sz w:val="22"/>
          <w:szCs w:val="22"/>
        </w:rPr>
        <w:t>with regard to conferral of nationality to a foreign or a stateless spouse.</w:t>
      </w:r>
      <w:r>
        <w:rPr>
          <w:rStyle w:val="FootnoteReference"/>
          <w:sz w:val="22"/>
          <w:szCs w:val="22"/>
        </w:rPr>
        <w:footnoteReference w:id="16"/>
      </w:r>
    </w:p>
    <w:p w14:paraId="3CE90079" w14:textId="77777777" w:rsidR="0005137E" w:rsidRDefault="0005137E" w:rsidP="009E5C56">
      <w:pPr>
        <w:pStyle w:val="Default"/>
        <w:jc w:val="both"/>
        <w:rPr>
          <w:sz w:val="22"/>
          <w:szCs w:val="22"/>
        </w:rPr>
      </w:pPr>
    </w:p>
    <w:p w14:paraId="51C40589" w14:textId="53E0A7D5" w:rsidR="00EC4FA3" w:rsidRPr="00107FEF" w:rsidRDefault="00837229" w:rsidP="009E5C56">
      <w:pPr>
        <w:pStyle w:val="Default"/>
        <w:numPr>
          <w:ilvl w:val="0"/>
          <w:numId w:val="8"/>
        </w:numPr>
        <w:jc w:val="both"/>
        <w:rPr>
          <w:sz w:val="22"/>
          <w:szCs w:val="22"/>
        </w:rPr>
      </w:pPr>
      <w:r>
        <w:rPr>
          <w:sz w:val="22"/>
          <w:szCs w:val="22"/>
        </w:rPr>
        <w:t xml:space="preserve">Where excluded from the above provisions, </w:t>
      </w:r>
      <w:r w:rsidR="003E2883">
        <w:rPr>
          <w:sz w:val="22"/>
          <w:szCs w:val="22"/>
        </w:rPr>
        <w:t>Malagasy</w:t>
      </w:r>
      <w:r>
        <w:rPr>
          <w:sz w:val="22"/>
          <w:szCs w:val="22"/>
        </w:rPr>
        <w:t xml:space="preserve"> nationality can be conferred to a “</w:t>
      </w:r>
      <w:r w:rsidRPr="00837229">
        <w:rPr>
          <w:sz w:val="22"/>
          <w:szCs w:val="22"/>
        </w:rPr>
        <w:t>legitimate child born t</w:t>
      </w:r>
      <w:r>
        <w:rPr>
          <w:sz w:val="22"/>
          <w:szCs w:val="22"/>
        </w:rPr>
        <w:t xml:space="preserve">o </w:t>
      </w:r>
      <w:r w:rsidRPr="00837229">
        <w:rPr>
          <w:sz w:val="22"/>
          <w:szCs w:val="22"/>
        </w:rPr>
        <w:t xml:space="preserve">a </w:t>
      </w:r>
      <w:r w:rsidR="003E2883">
        <w:rPr>
          <w:sz w:val="22"/>
          <w:szCs w:val="22"/>
        </w:rPr>
        <w:t>Madagascan</w:t>
      </w:r>
      <w:r w:rsidRPr="00837229">
        <w:rPr>
          <w:sz w:val="22"/>
          <w:szCs w:val="22"/>
        </w:rPr>
        <w:t xml:space="preserve"> mother and a foreign father</w:t>
      </w:r>
      <w:r>
        <w:rPr>
          <w:sz w:val="22"/>
          <w:szCs w:val="22"/>
        </w:rPr>
        <w:t xml:space="preserve">” up </w:t>
      </w:r>
      <w:r w:rsidR="00503050">
        <w:rPr>
          <w:sz w:val="22"/>
          <w:szCs w:val="22"/>
        </w:rPr>
        <w:t>unti</w:t>
      </w:r>
      <w:r>
        <w:rPr>
          <w:sz w:val="22"/>
          <w:szCs w:val="22"/>
        </w:rPr>
        <w:t>l the age of majority</w:t>
      </w:r>
      <w:r w:rsidR="004004E4">
        <w:rPr>
          <w:sz w:val="22"/>
          <w:szCs w:val="22"/>
        </w:rPr>
        <w:t xml:space="preserve"> </w:t>
      </w:r>
      <w:r>
        <w:rPr>
          <w:sz w:val="22"/>
          <w:szCs w:val="22"/>
        </w:rPr>
        <w:t>by way of application.</w:t>
      </w:r>
      <w:r>
        <w:rPr>
          <w:rStyle w:val="FootnoteReference"/>
          <w:sz w:val="22"/>
          <w:szCs w:val="22"/>
        </w:rPr>
        <w:footnoteReference w:id="17"/>
      </w:r>
      <w:r w:rsidR="004004E4">
        <w:rPr>
          <w:sz w:val="22"/>
          <w:szCs w:val="22"/>
        </w:rPr>
        <w:t xml:space="preserve"> However, under Article 18 of the Code, government may </w:t>
      </w:r>
      <w:r w:rsidR="004004E4" w:rsidRPr="004004E4">
        <w:rPr>
          <w:sz w:val="22"/>
          <w:szCs w:val="22"/>
        </w:rPr>
        <w:t xml:space="preserve">oppose an individual's acquisition of nationality for reasons of their "indignity, </w:t>
      </w:r>
      <w:r w:rsidR="004004E4" w:rsidRPr="004004E4">
        <w:rPr>
          <w:sz w:val="22"/>
          <w:szCs w:val="22"/>
        </w:rPr>
        <w:lastRenderedPageBreak/>
        <w:t>default or inadequate assimilation, or serious physical or mental disability".</w:t>
      </w:r>
      <w:r w:rsidR="004004E4">
        <w:rPr>
          <w:rStyle w:val="FootnoteReference"/>
          <w:sz w:val="22"/>
          <w:szCs w:val="22"/>
        </w:rPr>
        <w:footnoteReference w:id="18"/>
      </w:r>
      <w:r w:rsidR="004004E4">
        <w:rPr>
          <w:sz w:val="22"/>
          <w:szCs w:val="22"/>
        </w:rPr>
        <w:t xml:space="preserve"> This provision allows unwarranted government discretion in the determination of citizenship, and facilitates direct discrimination against children on the grounds of disability.</w:t>
      </w:r>
      <w:r w:rsidR="004004E4">
        <w:rPr>
          <w:rStyle w:val="FootnoteReference"/>
          <w:sz w:val="22"/>
          <w:szCs w:val="22"/>
        </w:rPr>
        <w:footnoteReference w:id="19"/>
      </w:r>
      <w:r w:rsidR="004004E4">
        <w:rPr>
          <w:sz w:val="22"/>
          <w:szCs w:val="22"/>
        </w:rPr>
        <w:t xml:space="preserve"> For those outside of the purview of Articles 9, 10 and 18, nationality may only be acquired through naturalisation</w:t>
      </w:r>
      <w:r w:rsidR="000C7E74">
        <w:rPr>
          <w:sz w:val="22"/>
          <w:szCs w:val="22"/>
        </w:rPr>
        <w:t xml:space="preserve"> after the age of 18; requiring at least 5 years residency in Madagascar preceding the application, a “good moral character”, no danger to the community due to disease, no convictions for one of a number of offences (or incarceration for more than one year), and a demonstration of their “assimilation” to the </w:t>
      </w:r>
      <w:r w:rsidR="003E2883">
        <w:rPr>
          <w:sz w:val="22"/>
          <w:szCs w:val="22"/>
        </w:rPr>
        <w:t>Malagasy</w:t>
      </w:r>
      <w:r w:rsidR="000C7E74">
        <w:rPr>
          <w:sz w:val="22"/>
          <w:szCs w:val="22"/>
        </w:rPr>
        <w:t xml:space="preserve"> community.</w:t>
      </w:r>
      <w:r w:rsidR="000C7E74">
        <w:rPr>
          <w:rStyle w:val="FootnoteReference"/>
          <w:sz w:val="22"/>
          <w:szCs w:val="22"/>
        </w:rPr>
        <w:footnoteReference w:id="20"/>
      </w:r>
    </w:p>
    <w:p w14:paraId="681541F7" w14:textId="77777777" w:rsidR="00DE01AD" w:rsidRDefault="00DE01AD" w:rsidP="009E5C56">
      <w:pPr>
        <w:pStyle w:val="Default"/>
        <w:ind w:left="567"/>
        <w:jc w:val="both"/>
        <w:rPr>
          <w:sz w:val="22"/>
          <w:szCs w:val="22"/>
        </w:rPr>
      </w:pPr>
    </w:p>
    <w:p w14:paraId="1290A1D6" w14:textId="1EADED68" w:rsidR="00DE01AD" w:rsidRDefault="00503050" w:rsidP="009E5C56">
      <w:pPr>
        <w:pStyle w:val="Default"/>
        <w:numPr>
          <w:ilvl w:val="0"/>
          <w:numId w:val="8"/>
        </w:numPr>
        <w:jc w:val="both"/>
        <w:rPr>
          <w:sz w:val="22"/>
          <w:szCs w:val="22"/>
        </w:rPr>
      </w:pPr>
      <w:r>
        <w:rPr>
          <w:sz w:val="22"/>
          <w:szCs w:val="22"/>
        </w:rPr>
        <w:t>In those limited circumstances where</w:t>
      </w:r>
      <w:r w:rsidR="00EC4FA3">
        <w:rPr>
          <w:sz w:val="22"/>
          <w:szCs w:val="22"/>
        </w:rPr>
        <w:t xml:space="preserve"> </w:t>
      </w:r>
      <w:r w:rsidR="003E2883">
        <w:rPr>
          <w:sz w:val="22"/>
          <w:szCs w:val="22"/>
        </w:rPr>
        <w:t>Malagasy</w:t>
      </w:r>
      <w:r w:rsidR="00EC4FA3">
        <w:rPr>
          <w:sz w:val="22"/>
          <w:szCs w:val="22"/>
        </w:rPr>
        <w:t xml:space="preserve"> women are able to pass on their nationality, evidence suggests that women </w:t>
      </w:r>
      <w:r>
        <w:rPr>
          <w:sz w:val="22"/>
          <w:szCs w:val="22"/>
        </w:rPr>
        <w:t xml:space="preserve">still </w:t>
      </w:r>
      <w:r w:rsidR="00EC4FA3">
        <w:rPr>
          <w:sz w:val="22"/>
          <w:szCs w:val="22"/>
        </w:rPr>
        <w:t>face difficulties in practice.</w:t>
      </w:r>
      <w:r w:rsidR="004C7499">
        <w:rPr>
          <w:sz w:val="22"/>
          <w:szCs w:val="22"/>
        </w:rPr>
        <w:t xml:space="preserve"> </w:t>
      </w:r>
      <w:r w:rsidR="004C7499" w:rsidRPr="004C7499">
        <w:rPr>
          <w:sz w:val="22"/>
          <w:szCs w:val="22"/>
        </w:rPr>
        <w:t xml:space="preserve">Many of those interviewed </w:t>
      </w:r>
      <w:r w:rsidR="003E2883">
        <w:rPr>
          <w:sz w:val="22"/>
          <w:szCs w:val="22"/>
        </w:rPr>
        <w:t>by the T</w:t>
      </w:r>
      <w:r w:rsidR="004C7499">
        <w:rPr>
          <w:sz w:val="22"/>
          <w:szCs w:val="22"/>
        </w:rPr>
        <w:t>rust</w:t>
      </w:r>
      <w:r w:rsidR="004C7499" w:rsidRPr="004C7499">
        <w:rPr>
          <w:sz w:val="22"/>
          <w:szCs w:val="22"/>
        </w:rPr>
        <w:t xml:space="preserve"> discussed </w:t>
      </w:r>
      <w:r w:rsidRPr="004C7499">
        <w:rPr>
          <w:sz w:val="22"/>
          <w:szCs w:val="22"/>
        </w:rPr>
        <w:t>problems</w:t>
      </w:r>
      <w:r w:rsidR="004C7499" w:rsidRPr="004C7499">
        <w:rPr>
          <w:sz w:val="22"/>
          <w:szCs w:val="22"/>
        </w:rPr>
        <w:t xml:space="preserve"> in acquiring nationality even where they were eligible</w:t>
      </w:r>
      <w:r w:rsidR="003E2883">
        <w:rPr>
          <w:sz w:val="22"/>
          <w:szCs w:val="22"/>
        </w:rPr>
        <w:t>.</w:t>
      </w:r>
      <w:r w:rsidR="003E2883">
        <w:rPr>
          <w:rStyle w:val="FootnoteReference"/>
          <w:sz w:val="22"/>
          <w:szCs w:val="22"/>
        </w:rPr>
        <w:footnoteReference w:id="21"/>
      </w:r>
      <w:r w:rsidR="004C7499">
        <w:rPr>
          <w:sz w:val="22"/>
          <w:szCs w:val="22"/>
        </w:rPr>
        <w:t xml:space="preserve"> </w:t>
      </w:r>
      <w:r w:rsidR="00E91FD1" w:rsidRPr="00E91FD1">
        <w:rPr>
          <w:sz w:val="22"/>
          <w:szCs w:val="22"/>
        </w:rPr>
        <w:t>In order to apply for a national identity card, a birth and residenc</w:t>
      </w:r>
      <w:r>
        <w:rPr>
          <w:sz w:val="22"/>
          <w:szCs w:val="22"/>
        </w:rPr>
        <w:t>y certificate must be provided, h</w:t>
      </w:r>
      <w:r w:rsidR="00E91FD1" w:rsidRPr="00E91FD1">
        <w:rPr>
          <w:sz w:val="22"/>
          <w:szCs w:val="22"/>
        </w:rPr>
        <w:t>owever, officers may request further documentation. This discretion is often exercised where an individual is pe</w:t>
      </w:r>
      <w:r w:rsidR="00E91FD1">
        <w:rPr>
          <w:sz w:val="22"/>
          <w:szCs w:val="22"/>
        </w:rPr>
        <w:t>r</w:t>
      </w:r>
      <w:r w:rsidR="00E91FD1" w:rsidRPr="00E91FD1">
        <w:rPr>
          <w:sz w:val="22"/>
          <w:szCs w:val="22"/>
        </w:rPr>
        <w:t>ceived as possessing a "foreign"</w:t>
      </w:r>
      <w:r>
        <w:rPr>
          <w:sz w:val="22"/>
          <w:szCs w:val="22"/>
        </w:rPr>
        <w:t xml:space="preserve"> name,</w:t>
      </w:r>
      <w:r>
        <w:rPr>
          <w:rStyle w:val="FootnoteReference"/>
          <w:sz w:val="22"/>
          <w:szCs w:val="22"/>
        </w:rPr>
        <w:footnoteReference w:id="22"/>
      </w:r>
      <w:r>
        <w:rPr>
          <w:sz w:val="22"/>
          <w:szCs w:val="22"/>
        </w:rPr>
        <w:t xml:space="preserve"> or w</w:t>
      </w:r>
      <w:r w:rsidR="00E91FD1" w:rsidRPr="00E91FD1">
        <w:rPr>
          <w:sz w:val="22"/>
          <w:szCs w:val="22"/>
        </w:rPr>
        <w:t>here individuals are suspected of not being a national, they have been refused documentation. In particular, children with Arab, Muslim or Comorian sounding names encounter difficulties in the application process.</w:t>
      </w:r>
      <w:r w:rsidR="003E2883">
        <w:rPr>
          <w:rStyle w:val="FootnoteReference"/>
          <w:sz w:val="22"/>
          <w:szCs w:val="22"/>
        </w:rPr>
        <w:footnoteReference w:id="23"/>
      </w:r>
    </w:p>
    <w:p w14:paraId="519D40F2" w14:textId="77777777" w:rsidR="00E91FD1" w:rsidRDefault="00E91FD1" w:rsidP="009E5C56">
      <w:pPr>
        <w:pStyle w:val="Default"/>
        <w:ind w:left="567"/>
        <w:jc w:val="both"/>
        <w:rPr>
          <w:sz w:val="22"/>
          <w:szCs w:val="22"/>
        </w:rPr>
      </w:pPr>
    </w:p>
    <w:p w14:paraId="18D15238" w14:textId="5415E878" w:rsidR="00E91FD1" w:rsidRDefault="00E91FD1" w:rsidP="009E5C56">
      <w:pPr>
        <w:pStyle w:val="Default"/>
        <w:numPr>
          <w:ilvl w:val="0"/>
          <w:numId w:val="8"/>
        </w:numPr>
        <w:jc w:val="both"/>
        <w:rPr>
          <w:sz w:val="22"/>
          <w:szCs w:val="22"/>
        </w:rPr>
      </w:pPr>
      <w:r w:rsidRPr="00E91FD1">
        <w:rPr>
          <w:sz w:val="22"/>
          <w:szCs w:val="22"/>
        </w:rPr>
        <w:t xml:space="preserve">Families are additionally burdened by a lack of </w:t>
      </w:r>
      <w:r w:rsidR="003E2883">
        <w:rPr>
          <w:sz w:val="22"/>
          <w:szCs w:val="22"/>
        </w:rPr>
        <w:t>knowledge or understanding of</w:t>
      </w:r>
      <w:r w:rsidRPr="00E91FD1">
        <w:rPr>
          <w:sz w:val="22"/>
          <w:szCs w:val="22"/>
        </w:rPr>
        <w:t xml:space="preserve"> the relevant legal rules</w:t>
      </w:r>
      <w:r w:rsidR="0084757D">
        <w:rPr>
          <w:sz w:val="22"/>
          <w:szCs w:val="22"/>
        </w:rPr>
        <w:t>, in</w:t>
      </w:r>
      <w:r w:rsidR="003E2883">
        <w:rPr>
          <w:sz w:val="22"/>
          <w:szCs w:val="22"/>
        </w:rPr>
        <w:t>cluding in</w:t>
      </w:r>
      <w:r w:rsidR="0084757D">
        <w:rPr>
          <w:sz w:val="22"/>
          <w:szCs w:val="22"/>
        </w:rPr>
        <w:t xml:space="preserve"> particular</w:t>
      </w:r>
      <w:r w:rsidRPr="00E91FD1">
        <w:rPr>
          <w:sz w:val="22"/>
          <w:szCs w:val="22"/>
        </w:rPr>
        <w:t xml:space="preserve"> that an application must be made before </w:t>
      </w:r>
      <w:r w:rsidR="000C3252">
        <w:rPr>
          <w:sz w:val="22"/>
          <w:szCs w:val="22"/>
        </w:rPr>
        <w:t xml:space="preserve">reaching </w:t>
      </w:r>
      <w:r w:rsidRPr="00E91FD1">
        <w:rPr>
          <w:sz w:val="22"/>
          <w:szCs w:val="22"/>
        </w:rPr>
        <w:t>the age of majority.</w:t>
      </w:r>
      <w:r w:rsidR="00C929B2">
        <w:rPr>
          <w:rStyle w:val="FootnoteReference"/>
          <w:sz w:val="22"/>
          <w:szCs w:val="22"/>
        </w:rPr>
        <w:footnoteReference w:id="24"/>
      </w:r>
      <w:r w:rsidRPr="00E91FD1">
        <w:rPr>
          <w:sz w:val="22"/>
          <w:szCs w:val="22"/>
        </w:rPr>
        <w:t xml:space="preserve"> </w:t>
      </w:r>
      <w:r w:rsidR="000C3252">
        <w:rPr>
          <w:sz w:val="22"/>
          <w:szCs w:val="22"/>
        </w:rPr>
        <w:t>In many</w:t>
      </w:r>
      <w:r w:rsidRPr="00E91FD1">
        <w:rPr>
          <w:sz w:val="22"/>
          <w:szCs w:val="22"/>
        </w:rPr>
        <w:t xml:space="preserve"> </w:t>
      </w:r>
      <w:r w:rsidR="000C3252">
        <w:rPr>
          <w:sz w:val="22"/>
          <w:szCs w:val="22"/>
        </w:rPr>
        <w:t>cases</w:t>
      </w:r>
      <w:r w:rsidR="003E2883">
        <w:rPr>
          <w:sz w:val="22"/>
          <w:szCs w:val="22"/>
        </w:rPr>
        <w:t>,</w:t>
      </w:r>
      <w:r w:rsidR="000C3252">
        <w:rPr>
          <w:sz w:val="22"/>
          <w:szCs w:val="22"/>
        </w:rPr>
        <w:t xml:space="preserve"> </w:t>
      </w:r>
      <w:r w:rsidRPr="00E91FD1">
        <w:rPr>
          <w:sz w:val="22"/>
          <w:szCs w:val="22"/>
        </w:rPr>
        <w:t xml:space="preserve">bribes </w:t>
      </w:r>
      <w:r w:rsidR="000C3252">
        <w:rPr>
          <w:sz w:val="22"/>
          <w:szCs w:val="22"/>
        </w:rPr>
        <w:t xml:space="preserve">may be </w:t>
      </w:r>
      <w:r w:rsidRPr="00E91FD1">
        <w:rPr>
          <w:sz w:val="22"/>
          <w:szCs w:val="22"/>
        </w:rPr>
        <w:t>required in order to complete the procedure to obtain a national identity card.</w:t>
      </w:r>
      <w:r w:rsidR="00C929B2">
        <w:rPr>
          <w:rStyle w:val="FootnoteReference"/>
          <w:sz w:val="22"/>
          <w:szCs w:val="22"/>
        </w:rPr>
        <w:footnoteReference w:id="25"/>
      </w:r>
      <w:r w:rsidRPr="00E91FD1">
        <w:rPr>
          <w:sz w:val="22"/>
          <w:szCs w:val="22"/>
        </w:rPr>
        <w:t xml:space="preserve"> For those without money, including those who cannot afford to return to their district of permanent residence, completing the application process </w:t>
      </w:r>
      <w:r w:rsidR="0084757D">
        <w:rPr>
          <w:sz w:val="22"/>
          <w:szCs w:val="22"/>
        </w:rPr>
        <w:t>can be prohibitively expensive.</w:t>
      </w:r>
      <w:r w:rsidR="00C929B2">
        <w:rPr>
          <w:rStyle w:val="FootnoteReference"/>
          <w:sz w:val="22"/>
          <w:szCs w:val="22"/>
        </w:rPr>
        <w:footnoteReference w:id="26"/>
      </w:r>
    </w:p>
    <w:p w14:paraId="5BBC79B2" w14:textId="77777777" w:rsidR="00717216" w:rsidRPr="009E5C56" w:rsidRDefault="00717216" w:rsidP="00717216">
      <w:pPr>
        <w:pStyle w:val="Default"/>
        <w:jc w:val="both"/>
        <w:rPr>
          <w:rFonts w:eastAsia="Calibri" w:cs="Times New Roman"/>
          <w:color w:val="auto"/>
          <w:sz w:val="22"/>
          <w:szCs w:val="22"/>
        </w:rPr>
      </w:pPr>
    </w:p>
    <w:p w14:paraId="13026226" w14:textId="77777777" w:rsidR="00A81F40" w:rsidRDefault="00717216" w:rsidP="00A81F40">
      <w:pPr>
        <w:pStyle w:val="Default"/>
        <w:numPr>
          <w:ilvl w:val="0"/>
          <w:numId w:val="8"/>
        </w:numPr>
        <w:jc w:val="both"/>
        <w:rPr>
          <w:rFonts w:eastAsia="Calibri" w:cs="Times New Roman"/>
          <w:color w:val="auto"/>
          <w:sz w:val="22"/>
          <w:szCs w:val="22"/>
        </w:rPr>
      </w:pPr>
      <w:r>
        <w:rPr>
          <w:rFonts w:eastAsia="Calibri" w:cs="Times New Roman"/>
          <w:color w:val="auto"/>
          <w:sz w:val="22"/>
          <w:szCs w:val="22"/>
          <w:highlight w:val="yellow"/>
        </w:rPr>
        <w:lastRenderedPageBreak/>
        <w:t>The aforementioned pr</w:t>
      </w:r>
      <w:r w:rsidRPr="009E5C56">
        <w:rPr>
          <w:rFonts w:eastAsia="Calibri" w:cs="Times New Roman"/>
          <w:color w:val="auto"/>
          <w:sz w:val="22"/>
          <w:szCs w:val="22"/>
          <w:highlight w:val="yellow"/>
        </w:rPr>
        <w:t>ovisions in Madagascar’s nationality law breach the autonomous right to non-discrimination provided under Article 26</w:t>
      </w:r>
      <w:r>
        <w:rPr>
          <w:rFonts w:eastAsia="Calibri" w:cs="Times New Roman"/>
          <w:color w:val="auto"/>
          <w:sz w:val="22"/>
          <w:szCs w:val="22"/>
          <w:highlight w:val="yellow"/>
        </w:rPr>
        <w:t xml:space="preserve"> of the Covenant, and also violate </w:t>
      </w:r>
      <w:r w:rsidRPr="009E5C56">
        <w:rPr>
          <w:rFonts w:eastAsia="Calibri" w:cs="Times New Roman"/>
          <w:color w:val="auto"/>
          <w:sz w:val="22"/>
          <w:szCs w:val="22"/>
          <w:highlight w:val="yellow"/>
        </w:rPr>
        <w:t>Article 2</w:t>
      </w:r>
      <w:r>
        <w:rPr>
          <w:rFonts w:eastAsia="Calibri" w:cs="Times New Roman"/>
          <w:color w:val="auto"/>
          <w:sz w:val="22"/>
          <w:szCs w:val="22"/>
          <w:highlight w:val="yellow"/>
        </w:rPr>
        <w:t>4 read</w:t>
      </w:r>
      <w:r w:rsidRPr="009E5C56">
        <w:rPr>
          <w:rFonts w:eastAsia="Calibri" w:cs="Times New Roman"/>
          <w:color w:val="auto"/>
          <w:sz w:val="22"/>
          <w:szCs w:val="22"/>
          <w:highlight w:val="yellow"/>
        </w:rPr>
        <w:t xml:space="preserve"> in conjunction with Article 2(1). By distinguishing between men and women</w:t>
      </w:r>
      <w:r w:rsidR="00A81F40">
        <w:rPr>
          <w:rFonts w:eastAsia="Calibri" w:cs="Times New Roman"/>
          <w:color w:val="auto"/>
          <w:sz w:val="22"/>
          <w:szCs w:val="22"/>
          <w:highlight w:val="yellow"/>
        </w:rPr>
        <w:t xml:space="preserve"> and creating a narrower set of circumstances in which women can confer</w:t>
      </w:r>
      <w:r w:rsidRPr="009E5C56">
        <w:rPr>
          <w:rFonts w:eastAsia="Calibri" w:cs="Times New Roman"/>
          <w:color w:val="auto"/>
          <w:sz w:val="22"/>
          <w:szCs w:val="22"/>
          <w:highlight w:val="yellow"/>
        </w:rPr>
        <w:t xml:space="preserve"> citizenship</w:t>
      </w:r>
      <w:r w:rsidR="00A81F40">
        <w:rPr>
          <w:rFonts w:eastAsia="Calibri" w:cs="Times New Roman"/>
          <w:color w:val="auto"/>
          <w:sz w:val="22"/>
          <w:szCs w:val="22"/>
          <w:highlight w:val="yellow"/>
        </w:rPr>
        <w:t xml:space="preserve">, </w:t>
      </w:r>
      <w:r>
        <w:rPr>
          <w:rFonts w:eastAsia="Calibri" w:cs="Times New Roman"/>
          <w:color w:val="auto"/>
          <w:sz w:val="22"/>
          <w:szCs w:val="22"/>
          <w:highlight w:val="yellow"/>
        </w:rPr>
        <w:t xml:space="preserve">the law directly discriminates against women on the basis of their sex, contrary to Article 26. In addition, the effect of the gender discriminatory provisions is to ensure that </w:t>
      </w:r>
      <w:r w:rsidRPr="009E5C56">
        <w:rPr>
          <w:rFonts w:eastAsia="Calibri" w:cs="Times New Roman"/>
          <w:color w:val="auto"/>
          <w:sz w:val="22"/>
          <w:szCs w:val="22"/>
          <w:highlight w:val="yellow"/>
        </w:rPr>
        <w:t xml:space="preserve">certain children are less likely to gain Malagasy nationality, and </w:t>
      </w:r>
      <w:r>
        <w:rPr>
          <w:rFonts w:eastAsia="Calibri" w:cs="Times New Roman"/>
          <w:color w:val="auto"/>
          <w:sz w:val="22"/>
          <w:szCs w:val="22"/>
          <w:highlight w:val="yellow"/>
        </w:rPr>
        <w:t>are subjected to</w:t>
      </w:r>
      <w:r w:rsidRPr="009E5C56">
        <w:rPr>
          <w:rFonts w:eastAsia="Calibri" w:cs="Times New Roman"/>
          <w:color w:val="auto"/>
          <w:sz w:val="22"/>
          <w:szCs w:val="22"/>
          <w:highlight w:val="yellow"/>
        </w:rPr>
        <w:t xml:space="preserve"> a separate, more arduous procedure to gain access to </w:t>
      </w:r>
      <w:r>
        <w:rPr>
          <w:rFonts w:eastAsia="Calibri" w:cs="Times New Roman"/>
          <w:color w:val="auto"/>
          <w:sz w:val="22"/>
          <w:szCs w:val="22"/>
          <w:highlight w:val="yellow"/>
        </w:rPr>
        <w:t>citizenship</w:t>
      </w:r>
      <w:r w:rsidRPr="009E5C56">
        <w:rPr>
          <w:rFonts w:eastAsia="Calibri" w:cs="Times New Roman"/>
          <w:color w:val="auto"/>
          <w:sz w:val="22"/>
          <w:szCs w:val="22"/>
          <w:highlight w:val="yellow"/>
        </w:rPr>
        <w:t>.</w:t>
      </w:r>
      <w:r w:rsidR="00A81F40">
        <w:rPr>
          <w:rFonts w:eastAsia="Calibri" w:cs="Times New Roman"/>
          <w:color w:val="auto"/>
          <w:sz w:val="22"/>
          <w:szCs w:val="22"/>
          <w:highlight w:val="yellow"/>
        </w:rPr>
        <w:t xml:space="preserve"> </w:t>
      </w:r>
      <w:r>
        <w:rPr>
          <w:rFonts w:eastAsia="Calibri" w:cs="Times New Roman"/>
          <w:color w:val="auto"/>
          <w:sz w:val="22"/>
          <w:szCs w:val="22"/>
          <w:highlight w:val="yellow"/>
        </w:rPr>
        <w:t xml:space="preserve">As the Committee has considered in its General Comment 17, such differential treatment </w:t>
      </w:r>
      <w:r w:rsidR="00A81F40">
        <w:rPr>
          <w:rFonts w:eastAsia="Calibri" w:cs="Times New Roman"/>
          <w:color w:val="auto"/>
          <w:sz w:val="22"/>
          <w:szCs w:val="22"/>
          <w:highlight w:val="yellow"/>
        </w:rPr>
        <w:t xml:space="preserve">can </w:t>
      </w:r>
      <w:r>
        <w:rPr>
          <w:rFonts w:eastAsia="Calibri" w:cs="Times New Roman"/>
          <w:color w:val="auto"/>
          <w:sz w:val="22"/>
          <w:szCs w:val="22"/>
          <w:highlight w:val="yellow"/>
        </w:rPr>
        <w:t>constitute a violation of</w:t>
      </w:r>
      <w:r w:rsidRPr="009E5C56">
        <w:rPr>
          <w:rFonts w:eastAsia="Calibri" w:cs="Times New Roman"/>
          <w:color w:val="auto"/>
          <w:sz w:val="22"/>
          <w:szCs w:val="22"/>
          <w:highlight w:val="yellow"/>
        </w:rPr>
        <w:t xml:space="preserve"> Article 24 </w:t>
      </w:r>
      <w:r>
        <w:rPr>
          <w:rFonts w:eastAsia="Calibri" w:cs="Times New Roman"/>
          <w:color w:val="auto"/>
          <w:sz w:val="22"/>
          <w:szCs w:val="22"/>
          <w:highlight w:val="yellow"/>
        </w:rPr>
        <w:t xml:space="preserve">read together with </w:t>
      </w:r>
      <w:r w:rsidRPr="009E5C56">
        <w:rPr>
          <w:rFonts w:eastAsia="Calibri" w:cs="Times New Roman"/>
          <w:color w:val="auto"/>
          <w:sz w:val="22"/>
          <w:szCs w:val="22"/>
          <w:highlight w:val="yellow"/>
        </w:rPr>
        <w:t xml:space="preserve">Article 2(1) of the Covenant. </w:t>
      </w:r>
      <w:r>
        <w:rPr>
          <w:rFonts w:eastAsia="Calibri" w:cs="Times New Roman"/>
          <w:color w:val="auto"/>
          <w:sz w:val="22"/>
          <w:szCs w:val="22"/>
          <w:highlight w:val="yellow"/>
        </w:rPr>
        <w:t xml:space="preserve">Beyond the law itself, there is also – as illustrated above </w:t>
      </w:r>
      <w:r w:rsidR="00A81F40">
        <w:rPr>
          <w:rFonts w:eastAsia="Calibri" w:cs="Times New Roman"/>
          <w:color w:val="auto"/>
          <w:sz w:val="22"/>
          <w:szCs w:val="22"/>
          <w:highlight w:val="yellow"/>
        </w:rPr>
        <w:t>– evidence of discrimination in its application, which may constitute further violations of Article 26 and Article 24 in conjunction with Article 2.</w:t>
      </w:r>
    </w:p>
    <w:p w14:paraId="4CCEF195" w14:textId="5D7BF5B0" w:rsidR="00717216" w:rsidRPr="00717216" w:rsidRDefault="00A81F40" w:rsidP="00A81F40">
      <w:pPr>
        <w:pStyle w:val="Default"/>
        <w:jc w:val="both"/>
        <w:rPr>
          <w:rFonts w:eastAsia="Calibri" w:cs="Times New Roman"/>
          <w:color w:val="auto"/>
          <w:sz w:val="22"/>
          <w:szCs w:val="22"/>
        </w:rPr>
      </w:pPr>
      <w:r w:rsidRPr="00717216">
        <w:rPr>
          <w:rFonts w:eastAsia="Calibri" w:cs="Times New Roman"/>
          <w:color w:val="auto"/>
          <w:sz w:val="22"/>
          <w:szCs w:val="22"/>
        </w:rPr>
        <w:t xml:space="preserve"> </w:t>
      </w:r>
    </w:p>
    <w:p w14:paraId="39AD9925" w14:textId="5409F00E" w:rsidR="00D372F7" w:rsidRPr="009E5C56" w:rsidRDefault="000C3252" w:rsidP="009E5C56">
      <w:pPr>
        <w:pStyle w:val="Default"/>
        <w:numPr>
          <w:ilvl w:val="0"/>
          <w:numId w:val="8"/>
        </w:numPr>
        <w:jc w:val="both"/>
        <w:rPr>
          <w:rFonts w:eastAsia="Calibri" w:cs="Times New Roman"/>
          <w:color w:val="auto"/>
          <w:sz w:val="22"/>
          <w:szCs w:val="22"/>
        </w:rPr>
      </w:pPr>
      <w:r w:rsidRPr="009E5C56">
        <w:rPr>
          <w:sz w:val="22"/>
          <w:szCs w:val="22"/>
        </w:rPr>
        <w:t>As a consequence of Madagascar’s discriminatory nationality law</w:t>
      </w:r>
      <w:r w:rsidR="003E2883" w:rsidRPr="009E5C56">
        <w:rPr>
          <w:sz w:val="22"/>
          <w:szCs w:val="22"/>
        </w:rPr>
        <w:t xml:space="preserve"> and the practices in its implementation</w:t>
      </w:r>
      <w:r w:rsidRPr="009E5C56">
        <w:rPr>
          <w:sz w:val="22"/>
          <w:szCs w:val="22"/>
        </w:rPr>
        <w:t xml:space="preserve">, many </w:t>
      </w:r>
      <w:r w:rsidR="008A77A2" w:rsidRPr="009E5C56">
        <w:rPr>
          <w:sz w:val="22"/>
          <w:szCs w:val="22"/>
        </w:rPr>
        <w:t>children</w:t>
      </w:r>
      <w:r w:rsidR="003E2883" w:rsidRPr="009E5C56">
        <w:rPr>
          <w:sz w:val="22"/>
          <w:szCs w:val="22"/>
        </w:rPr>
        <w:t xml:space="preserve"> have been made stateless, </w:t>
      </w:r>
      <w:r w:rsidRPr="009E5C56">
        <w:rPr>
          <w:sz w:val="22"/>
          <w:szCs w:val="22"/>
        </w:rPr>
        <w:t>severely circumscribing their enjoyment of established convention rights</w:t>
      </w:r>
      <w:r w:rsidR="003E2883" w:rsidRPr="009E5C56">
        <w:rPr>
          <w:sz w:val="22"/>
          <w:szCs w:val="22"/>
        </w:rPr>
        <w:t>, such as freedom of movement</w:t>
      </w:r>
      <w:r w:rsidRPr="009E5C56">
        <w:rPr>
          <w:sz w:val="22"/>
          <w:szCs w:val="22"/>
        </w:rPr>
        <w:t>.</w:t>
      </w:r>
      <w:r>
        <w:rPr>
          <w:rStyle w:val="FootnoteReference"/>
          <w:sz w:val="22"/>
          <w:szCs w:val="22"/>
        </w:rPr>
        <w:footnoteReference w:id="27"/>
      </w:r>
      <w:r w:rsidRPr="009E5C56">
        <w:rPr>
          <w:sz w:val="22"/>
          <w:szCs w:val="22"/>
        </w:rPr>
        <w:t xml:space="preserve"> As has been recognised by regional courts, s</w:t>
      </w:r>
      <w:r w:rsidR="003E2883" w:rsidRPr="009E5C56">
        <w:rPr>
          <w:rFonts w:eastAsia="Calibri" w:cs="Times New Roman"/>
          <w:color w:val="auto"/>
          <w:sz w:val="22"/>
          <w:szCs w:val="22"/>
        </w:rPr>
        <w:t>tateless individuals – being</w:t>
      </w:r>
      <w:r w:rsidRPr="009E5C56">
        <w:rPr>
          <w:rFonts w:eastAsia="Calibri" w:cs="Times New Roman"/>
          <w:color w:val="auto"/>
          <w:sz w:val="22"/>
          <w:szCs w:val="22"/>
        </w:rPr>
        <w:t xml:space="preserve"> by definition without nationality</w:t>
      </w:r>
      <w:r w:rsidR="003E2883" w:rsidRPr="009E5C56">
        <w:rPr>
          <w:rFonts w:eastAsia="Calibri" w:cs="Times New Roman"/>
          <w:color w:val="auto"/>
          <w:sz w:val="22"/>
          <w:szCs w:val="22"/>
        </w:rPr>
        <w:t xml:space="preserve"> –</w:t>
      </w:r>
      <w:r w:rsidRPr="009E5C56">
        <w:rPr>
          <w:rFonts w:eastAsia="Calibri" w:cs="Times New Roman"/>
          <w:color w:val="auto"/>
          <w:sz w:val="22"/>
          <w:szCs w:val="22"/>
        </w:rPr>
        <w:t xml:space="preserve"> are not granted access to the same legal rights relied upon by citizens.</w:t>
      </w:r>
      <w:r>
        <w:rPr>
          <w:rStyle w:val="FootnoteReference"/>
          <w:rFonts w:eastAsia="Calibri" w:cs="Times New Roman"/>
          <w:color w:val="auto"/>
          <w:sz w:val="22"/>
          <w:szCs w:val="22"/>
        </w:rPr>
        <w:footnoteReference w:id="28"/>
      </w:r>
      <w:r w:rsidRPr="009E5C56">
        <w:rPr>
          <w:rFonts w:eastAsia="Calibri" w:cs="Times New Roman"/>
          <w:color w:val="auto"/>
          <w:sz w:val="22"/>
          <w:szCs w:val="22"/>
        </w:rPr>
        <w:t xml:space="preserve"> </w:t>
      </w:r>
      <w:r w:rsidR="008A77A2" w:rsidRPr="009E5C56">
        <w:rPr>
          <w:rFonts w:eastAsia="Calibri" w:cs="Times New Roman"/>
          <w:color w:val="auto"/>
          <w:sz w:val="22"/>
          <w:szCs w:val="22"/>
        </w:rPr>
        <w:t>Moreover, stateless persons in Madagascar may face discrimination on account of their status</w:t>
      </w:r>
      <w:r w:rsidR="003E2883" w:rsidRPr="009E5C56">
        <w:rPr>
          <w:rFonts w:eastAsia="Calibri" w:cs="Times New Roman"/>
          <w:color w:val="auto"/>
          <w:sz w:val="22"/>
          <w:szCs w:val="22"/>
        </w:rPr>
        <w:t xml:space="preserve"> as stateless</w:t>
      </w:r>
      <w:r w:rsidR="008A77A2" w:rsidRPr="009E5C56">
        <w:rPr>
          <w:rFonts w:eastAsia="Calibri" w:cs="Times New Roman"/>
          <w:color w:val="auto"/>
          <w:sz w:val="22"/>
          <w:szCs w:val="22"/>
        </w:rPr>
        <w:t xml:space="preserve">, being seen as illegal immigrants who do not deserve to become citizens. </w:t>
      </w:r>
      <w:r w:rsidR="009E5C56" w:rsidRPr="009E5C56">
        <w:rPr>
          <w:rFonts w:eastAsia="Calibri" w:cs="Times New Roman"/>
          <w:color w:val="auto"/>
          <w:sz w:val="22"/>
          <w:szCs w:val="22"/>
        </w:rPr>
        <w:t>Person</w:t>
      </w:r>
      <w:r w:rsidR="008A77A2" w:rsidRPr="009E5C56">
        <w:rPr>
          <w:rFonts w:eastAsia="Calibri" w:cs="Times New Roman"/>
          <w:color w:val="auto"/>
          <w:sz w:val="22"/>
          <w:szCs w:val="22"/>
        </w:rPr>
        <w:t xml:space="preserve">s interviewed by the Trust in Madagascar often reported feeling shunned by society, including </w:t>
      </w:r>
      <w:r w:rsidR="009E5C56" w:rsidRPr="009E5C56">
        <w:rPr>
          <w:rFonts w:eastAsia="Calibri" w:cs="Times New Roman"/>
          <w:color w:val="auto"/>
          <w:sz w:val="22"/>
          <w:szCs w:val="22"/>
        </w:rPr>
        <w:t>non-governmental organisation</w:t>
      </w:r>
      <w:r w:rsidR="008A77A2" w:rsidRPr="009E5C56">
        <w:rPr>
          <w:rFonts w:eastAsia="Calibri" w:cs="Times New Roman"/>
          <w:color w:val="auto"/>
          <w:sz w:val="22"/>
          <w:szCs w:val="22"/>
        </w:rPr>
        <w:t>s</w:t>
      </w:r>
      <w:r w:rsidR="009E5C56" w:rsidRPr="009E5C56">
        <w:rPr>
          <w:rFonts w:eastAsia="Calibri" w:cs="Times New Roman"/>
          <w:color w:val="auto"/>
          <w:sz w:val="22"/>
          <w:szCs w:val="22"/>
        </w:rPr>
        <w:t xml:space="preserve"> (NGOs)</w:t>
      </w:r>
      <w:r w:rsidR="008A77A2" w:rsidRPr="009E5C56">
        <w:rPr>
          <w:rFonts w:eastAsia="Calibri" w:cs="Times New Roman"/>
          <w:color w:val="auto"/>
          <w:sz w:val="22"/>
          <w:szCs w:val="22"/>
        </w:rPr>
        <w:t>, as well as state authorities. As one interviewee described, “</w:t>
      </w:r>
      <w:r w:rsidR="009E5C56" w:rsidRPr="009E5C56">
        <w:rPr>
          <w:sz w:val="22"/>
          <w:szCs w:val="22"/>
        </w:rPr>
        <w:t>[s]</w:t>
      </w:r>
      <w:r w:rsidR="008A77A2" w:rsidRPr="009E5C56">
        <w:rPr>
          <w:sz w:val="22"/>
          <w:szCs w:val="22"/>
        </w:rPr>
        <w:t>tateless people have no value, no NGOs are taking care of them, they</w:t>
      </w:r>
      <w:r w:rsidR="008A77A2" w:rsidRPr="009E5C56">
        <w:rPr>
          <w:rFonts w:eastAsia="Calibri" w:cs="Times New Roman"/>
          <w:color w:val="auto"/>
          <w:sz w:val="22"/>
          <w:szCs w:val="22"/>
        </w:rPr>
        <w:t xml:space="preserve"> </w:t>
      </w:r>
      <w:r w:rsidR="008A77A2" w:rsidRPr="009E5C56">
        <w:rPr>
          <w:sz w:val="22"/>
          <w:szCs w:val="22"/>
        </w:rPr>
        <w:t>have lived their whole lives like this and no-one cares.”</w:t>
      </w:r>
      <w:r w:rsidR="008A77A2">
        <w:rPr>
          <w:rStyle w:val="FootnoteReference"/>
          <w:sz w:val="22"/>
          <w:szCs w:val="22"/>
        </w:rPr>
        <w:footnoteReference w:id="29"/>
      </w:r>
    </w:p>
    <w:p w14:paraId="721B7CDF" w14:textId="77777777" w:rsidR="008A77A2" w:rsidRDefault="008A77A2" w:rsidP="009E5C56">
      <w:pPr>
        <w:pStyle w:val="Default"/>
        <w:jc w:val="both"/>
        <w:rPr>
          <w:sz w:val="22"/>
          <w:szCs w:val="22"/>
        </w:rPr>
      </w:pPr>
    </w:p>
    <w:p w14:paraId="23926AEE" w14:textId="31B203B4" w:rsidR="00377BB3" w:rsidRDefault="005347AD" w:rsidP="009E5C56">
      <w:pPr>
        <w:pStyle w:val="Default"/>
        <w:jc w:val="both"/>
        <w:rPr>
          <w:b/>
          <w:sz w:val="22"/>
          <w:szCs w:val="22"/>
          <w:u w:val="single"/>
        </w:rPr>
      </w:pPr>
      <w:r>
        <w:rPr>
          <w:b/>
          <w:sz w:val="22"/>
          <w:szCs w:val="22"/>
          <w:u w:val="single"/>
        </w:rPr>
        <w:t>Discriminatory Deni</w:t>
      </w:r>
      <w:r w:rsidR="009E5C56">
        <w:rPr>
          <w:b/>
          <w:sz w:val="22"/>
          <w:szCs w:val="22"/>
          <w:u w:val="single"/>
        </w:rPr>
        <w:t xml:space="preserve">al of Freedom of Movement (Articles </w:t>
      </w:r>
      <w:r>
        <w:rPr>
          <w:b/>
          <w:sz w:val="22"/>
          <w:szCs w:val="22"/>
          <w:u w:val="single"/>
        </w:rPr>
        <w:t>2  and 12 of the Covenant)</w:t>
      </w:r>
    </w:p>
    <w:p w14:paraId="431CDFF0" w14:textId="77777777" w:rsidR="005347AD" w:rsidRDefault="005347AD" w:rsidP="009E5C56">
      <w:pPr>
        <w:pStyle w:val="Default"/>
        <w:jc w:val="both"/>
        <w:rPr>
          <w:b/>
          <w:sz w:val="22"/>
          <w:szCs w:val="22"/>
          <w:u w:val="single"/>
        </w:rPr>
      </w:pPr>
    </w:p>
    <w:p w14:paraId="45C7CBDC" w14:textId="6DB33E05" w:rsidR="001870BE" w:rsidRPr="008B7ACC" w:rsidRDefault="001870BE" w:rsidP="009E5C56">
      <w:pPr>
        <w:pStyle w:val="Default"/>
        <w:numPr>
          <w:ilvl w:val="0"/>
          <w:numId w:val="8"/>
        </w:numPr>
        <w:jc w:val="both"/>
        <w:rPr>
          <w:sz w:val="22"/>
          <w:szCs w:val="22"/>
        </w:rPr>
      </w:pPr>
      <w:r>
        <w:rPr>
          <w:sz w:val="22"/>
          <w:szCs w:val="22"/>
        </w:rPr>
        <w:t>Although free</w:t>
      </w:r>
      <w:r w:rsidR="009E5C56">
        <w:rPr>
          <w:sz w:val="22"/>
          <w:szCs w:val="22"/>
        </w:rPr>
        <w:t>dom of</w:t>
      </w:r>
      <w:r>
        <w:rPr>
          <w:sz w:val="22"/>
          <w:szCs w:val="22"/>
        </w:rPr>
        <w:t xml:space="preserve"> movement under Article 12(1) of the Covenant are restricted to those individuals “</w:t>
      </w:r>
      <w:r w:rsidRPr="009C1F89">
        <w:rPr>
          <w:sz w:val="22"/>
          <w:szCs w:val="22"/>
        </w:rPr>
        <w:t>lawfully within the territory</w:t>
      </w:r>
      <w:r>
        <w:rPr>
          <w:sz w:val="22"/>
          <w:szCs w:val="22"/>
        </w:rPr>
        <w:t xml:space="preserve"> of a State”, no such restriction exists in relation to Article 12(2) (freedom to leave the country).</w:t>
      </w:r>
      <w:r>
        <w:rPr>
          <w:rStyle w:val="FootnoteReference"/>
          <w:sz w:val="22"/>
          <w:szCs w:val="22"/>
        </w:rPr>
        <w:footnoteReference w:id="30"/>
      </w:r>
      <w:r>
        <w:rPr>
          <w:sz w:val="22"/>
          <w:szCs w:val="22"/>
        </w:rPr>
        <w:t xml:space="preserve"> The Committee has also recognised that the right to return, under Article 12(4), </w:t>
      </w:r>
      <w:r w:rsidRPr="009C1F89">
        <w:rPr>
          <w:rFonts w:eastAsia="Calibri" w:cs="Times New Roman"/>
          <w:color w:val="auto"/>
          <w:sz w:val="22"/>
          <w:szCs w:val="22"/>
        </w:rPr>
        <w:t>may include “an individual who, because of his special ties to or claims in relation to a given country cannot there be considered to be a mere alien”.</w:t>
      </w:r>
      <w:r w:rsidRPr="009C1F89">
        <w:rPr>
          <w:rFonts w:eastAsia="Calibri" w:cs="Times New Roman"/>
          <w:color w:val="auto"/>
          <w:sz w:val="22"/>
          <w:szCs w:val="22"/>
          <w:vertAlign w:val="superscript"/>
        </w:rPr>
        <w:footnoteReference w:id="31"/>
      </w:r>
      <w:r>
        <w:rPr>
          <w:rFonts w:eastAsia="Calibri" w:cs="Times New Roman"/>
          <w:color w:val="auto"/>
          <w:sz w:val="22"/>
          <w:szCs w:val="22"/>
        </w:rPr>
        <w:t xml:space="preserve">  This right may extend to stateless persons. In </w:t>
      </w:r>
      <w:r w:rsidRPr="008B7ACC">
        <w:rPr>
          <w:rFonts w:eastAsia="Calibri" w:cs="Times New Roman"/>
          <w:i/>
          <w:color w:val="auto"/>
          <w:sz w:val="22"/>
          <w:szCs w:val="22"/>
        </w:rPr>
        <w:t>Stewart v Canada</w:t>
      </w:r>
      <w:r>
        <w:rPr>
          <w:rFonts w:eastAsia="Calibri" w:cs="Times New Roman"/>
          <w:color w:val="auto"/>
          <w:sz w:val="22"/>
          <w:szCs w:val="22"/>
        </w:rPr>
        <w:t xml:space="preserve"> the Committee held:</w:t>
      </w:r>
    </w:p>
    <w:p w14:paraId="1CE49050" w14:textId="77777777" w:rsidR="001870BE" w:rsidRDefault="001870BE" w:rsidP="009E5C56">
      <w:pPr>
        <w:pStyle w:val="Default"/>
        <w:jc w:val="both"/>
        <w:rPr>
          <w:rFonts w:eastAsia="Calibri" w:cs="Times New Roman"/>
          <w:color w:val="auto"/>
          <w:sz w:val="22"/>
          <w:szCs w:val="22"/>
        </w:rPr>
      </w:pPr>
    </w:p>
    <w:p w14:paraId="07811B4B" w14:textId="77777777" w:rsidR="00D372F7" w:rsidRDefault="001870BE" w:rsidP="009E5C56">
      <w:pPr>
        <w:ind w:left="1560" w:right="985"/>
        <w:jc w:val="both"/>
        <w:rPr>
          <w:rFonts w:ascii="Cambria" w:eastAsia="Calibri" w:hAnsi="Cambria"/>
          <w:i/>
          <w:sz w:val="22"/>
          <w:szCs w:val="22"/>
          <w:lang w:val="en-GB"/>
        </w:rPr>
      </w:pPr>
      <w:r w:rsidRPr="008B7ACC">
        <w:rPr>
          <w:rFonts w:ascii="Cambria" w:eastAsia="Calibri" w:hAnsi="Cambria"/>
          <w:i/>
          <w:sz w:val="22"/>
          <w:szCs w:val="22"/>
          <w:lang w:val="en-GB"/>
        </w:rPr>
        <w:lastRenderedPageBreak/>
        <w:t>In short, while these individuals may not be nationals in the formal sense, neither are they aliens within the meaning of article 13. The language of article 12, paragraph 4, permits a broader interpretation, moreover, that might embrace other categories of long-term residents, particularly stateless persons arbitrarily deprived of the right to acquire the nationality of the country of such residence.</w:t>
      </w:r>
      <w:r w:rsidRPr="008B7ACC">
        <w:rPr>
          <w:rFonts w:ascii="Cambria" w:eastAsia="Calibri" w:hAnsi="Cambria"/>
          <w:i/>
          <w:sz w:val="22"/>
          <w:szCs w:val="22"/>
          <w:vertAlign w:val="superscript"/>
          <w:lang w:val="en-GB"/>
        </w:rPr>
        <w:footnoteReference w:id="32"/>
      </w:r>
    </w:p>
    <w:p w14:paraId="2ECE455E" w14:textId="77777777" w:rsidR="009E5C56" w:rsidRDefault="009E5C56" w:rsidP="009E5C56">
      <w:pPr>
        <w:ind w:right="985"/>
        <w:jc w:val="both"/>
        <w:rPr>
          <w:sz w:val="22"/>
          <w:szCs w:val="22"/>
        </w:rPr>
      </w:pPr>
    </w:p>
    <w:p w14:paraId="7F00B1A2" w14:textId="604A131F" w:rsidR="005347AD" w:rsidRPr="009C1F89" w:rsidRDefault="009E5C56" w:rsidP="009E5C56">
      <w:pPr>
        <w:pStyle w:val="Default"/>
        <w:numPr>
          <w:ilvl w:val="0"/>
          <w:numId w:val="8"/>
        </w:numPr>
        <w:jc w:val="both"/>
        <w:rPr>
          <w:sz w:val="22"/>
          <w:szCs w:val="22"/>
        </w:rPr>
      </w:pPr>
      <w:r>
        <w:rPr>
          <w:sz w:val="22"/>
          <w:szCs w:val="22"/>
        </w:rPr>
        <w:t>In Madagascasr, f</w:t>
      </w:r>
      <w:r w:rsidR="001870BE">
        <w:rPr>
          <w:sz w:val="22"/>
          <w:szCs w:val="22"/>
        </w:rPr>
        <w:t xml:space="preserve">reedom of movement, as protected under Article 12 of the Covenant, is restricted for those made stateless by </w:t>
      </w:r>
      <w:r>
        <w:rPr>
          <w:sz w:val="22"/>
          <w:szCs w:val="22"/>
        </w:rPr>
        <w:t xml:space="preserve">the </w:t>
      </w:r>
      <w:r w:rsidR="001870BE">
        <w:rPr>
          <w:sz w:val="22"/>
          <w:szCs w:val="22"/>
        </w:rPr>
        <w:t xml:space="preserve">gender-discriminatory nationality laws; both within and outside of the country. </w:t>
      </w:r>
      <w:r w:rsidR="005347AD">
        <w:rPr>
          <w:sz w:val="22"/>
          <w:szCs w:val="22"/>
        </w:rPr>
        <w:t xml:space="preserve">With the potential of being caught and denied re-entry, travel for stateless persons </w:t>
      </w:r>
      <w:r w:rsidR="001870BE">
        <w:rPr>
          <w:sz w:val="22"/>
          <w:szCs w:val="22"/>
        </w:rPr>
        <w:t xml:space="preserve">is difficult. </w:t>
      </w:r>
      <w:r w:rsidR="005347AD" w:rsidRPr="009C1F89">
        <w:rPr>
          <w:sz w:val="22"/>
          <w:szCs w:val="22"/>
        </w:rPr>
        <w:t xml:space="preserve">Several individuals interviewed </w:t>
      </w:r>
      <w:r w:rsidR="001870BE">
        <w:rPr>
          <w:sz w:val="22"/>
          <w:szCs w:val="22"/>
        </w:rPr>
        <w:t xml:space="preserve">by the Trust and Focus </w:t>
      </w:r>
      <w:r w:rsidR="005347AD" w:rsidRPr="009C1F89">
        <w:rPr>
          <w:sz w:val="22"/>
          <w:szCs w:val="22"/>
        </w:rPr>
        <w:t xml:space="preserve">discussed difficulties moving freely within </w:t>
      </w:r>
      <w:r w:rsidR="005347AD">
        <w:rPr>
          <w:sz w:val="22"/>
          <w:szCs w:val="22"/>
        </w:rPr>
        <w:t>the State</w:t>
      </w:r>
      <w:r w:rsidR="005347AD" w:rsidRPr="009C1F89">
        <w:rPr>
          <w:sz w:val="22"/>
          <w:szCs w:val="22"/>
        </w:rPr>
        <w:t>. Speaking on behalf of his uncle who was denied citizenship on account of gender discriminatory nationality laws, one participant noted how a lack of nationality has limited his willingness to move:</w:t>
      </w:r>
    </w:p>
    <w:p w14:paraId="58AB8631" w14:textId="77777777" w:rsidR="005347AD" w:rsidRDefault="005347AD" w:rsidP="009E5C56">
      <w:pPr>
        <w:pStyle w:val="Default"/>
        <w:ind w:left="567"/>
        <w:jc w:val="both"/>
        <w:rPr>
          <w:sz w:val="22"/>
          <w:szCs w:val="22"/>
        </w:rPr>
      </w:pPr>
    </w:p>
    <w:p w14:paraId="4747E6D5" w14:textId="77777777" w:rsidR="005347AD" w:rsidRDefault="005347AD" w:rsidP="009E5C56">
      <w:pPr>
        <w:pStyle w:val="Default"/>
        <w:ind w:left="1440" w:right="985"/>
        <w:jc w:val="both"/>
        <w:rPr>
          <w:i/>
          <w:sz w:val="22"/>
          <w:szCs w:val="22"/>
        </w:rPr>
      </w:pPr>
      <w:r w:rsidRPr="001E03AC">
        <w:rPr>
          <w:i/>
          <w:sz w:val="22"/>
          <w:szCs w:val="22"/>
        </w:rPr>
        <w:t>My uncle is scared to do anything. He always has been. He lives underground, he doesn’t leave the mosque or the surrounding areas much as he worries someone will ask him for his documents.</w:t>
      </w:r>
    </w:p>
    <w:p w14:paraId="2C6F5BD6" w14:textId="77777777" w:rsidR="005347AD" w:rsidRPr="001E03AC" w:rsidRDefault="005347AD" w:rsidP="009E5C56">
      <w:pPr>
        <w:pStyle w:val="Default"/>
        <w:ind w:left="1440" w:right="985"/>
        <w:jc w:val="both"/>
        <w:rPr>
          <w:i/>
          <w:sz w:val="22"/>
          <w:szCs w:val="22"/>
        </w:rPr>
      </w:pPr>
    </w:p>
    <w:p w14:paraId="4722EE25" w14:textId="77777777" w:rsidR="005347AD" w:rsidRDefault="005347AD" w:rsidP="009E5C56">
      <w:pPr>
        <w:pStyle w:val="Default"/>
        <w:numPr>
          <w:ilvl w:val="0"/>
          <w:numId w:val="8"/>
        </w:numPr>
        <w:jc w:val="both"/>
        <w:rPr>
          <w:sz w:val="22"/>
          <w:szCs w:val="22"/>
        </w:rPr>
      </w:pPr>
      <w:r>
        <w:rPr>
          <w:sz w:val="22"/>
          <w:szCs w:val="22"/>
        </w:rPr>
        <w:t xml:space="preserve">Other interviewees discussed difficulties leaving Madagascar, either for work or travel.  As Mahmoud explained: </w:t>
      </w:r>
    </w:p>
    <w:p w14:paraId="2216CD45" w14:textId="77777777" w:rsidR="005347AD" w:rsidRDefault="005347AD" w:rsidP="009E5C56">
      <w:pPr>
        <w:pStyle w:val="Default"/>
        <w:ind w:left="567"/>
        <w:jc w:val="both"/>
        <w:rPr>
          <w:sz w:val="22"/>
          <w:szCs w:val="22"/>
        </w:rPr>
      </w:pPr>
    </w:p>
    <w:p w14:paraId="5FCDA303" w14:textId="77777777" w:rsidR="005347AD" w:rsidRDefault="005347AD" w:rsidP="009E5C56">
      <w:pPr>
        <w:pStyle w:val="Default"/>
        <w:ind w:left="1440" w:right="985"/>
        <w:jc w:val="both"/>
        <w:rPr>
          <w:i/>
          <w:sz w:val="22"/>
          <w:szCs w:val="22"/>
        </w:rPr>
      </w:pPr>
      <w:r w:rsidRPr="001E03AC">
        <w:rPr>
          <w:i/>
          <w:sz w:val="22"/>
          <w:szCs w:val="22"/>
        </w:rPr>
        <w:t>Risking the travel can come with grave consequences ‒ I can no longer travel abroad as, if I get caught by the French authorities, they will put me in jail. This has huge effects on my work. If you do not have citizenship you can buy travel documents, but if they catch you abroad without the other documents you will get into trouble. I do not want to have to do this.</w:t>
      </w:r>
    </w:p>
    <w:p w14:paraId="6EF386D9" w14:textId="77777777" w:rsidR="005347AD" w:rsidRDefault="005347AD" w:rsidP="009E5C56">
      <w:pPr>
        <w:pStyle w:val="Default"/>
        <w:ind w:right="985"/>
        <w:jc w:val="both"/>
        <w:rPr>
          <w:i/>
          <w:sz w:val="22"/>
          <w:szCs w:val="22"/>
        </w:rPr>
      </w:pPr>
    </w:p>
    <w:p w14:paraId="0F892E18" w14:textId="77777777" w:rsidR="005347AD" w:rsidRDefault="005347AD" w:rsidP="009E5C56">
      <w:pPr>
        <w:pStyle w:val="Default"/>
        <w:numPr>
          <w:ilvl w:val="0"/>
          <w:numId w:val="8"/>
        </w:numPr>
        <w:jc w:val="both"/>
        <w:rPr>
          <w:sz w:val="22"/>
          <w:szCs w:val="22"/>
        </w:rPr>
      </w:pPr>
      <w:r>
        <w:rPr>
          <w:sz w:val="22"/>
          <w:szCs w:val="22"/>
        </w:rPr>
        <w:t>Similarly, for Jacqui:</w:t>
      </w:r>
    </w:p>
    <w:p w14:paraId="1CB9FA8E" w14:textId="77777777" w:rsidR="005347AD" w:rsidRDefault="005347AD" w:rsidP="009E5C56">
      <w:pPr>
        <w:pStyle w:val="Default"/>
        <w:jc w:val="both"/>
        <w:rPr>
          <w:sz w:val="22"/>
          <w:szCs w:val="22"/>
        </w:rPr>
      </w:pPr>
    </w:p>
    <w:p w14:paraId="25CDD707" w14:textId="77777777" w:rsidR="005347AD" w:rsidRPr="009C1F89" w:rsidRDefault="005347AD" w:rsidP="009E5C56">
      <w:pPr>
        <w:pStyle w:val="Default"/>
        <w:ind w:left="1440" w:right="985"/>
        <w:jc w:val="both"/>
        <w:rPr>
          <w:i/>
          <w:sz w:val="22"/>
          <w:szCs w:val="22"/>
        </w:rPr>
      </w:pPr>
      <w:r w:rsidRPr="009C1F89">
        <w:rPr>
          <w:i/>
          <w:sz w:val="22"/>
          <w:szCs w:val="22"/>
        </w:rPr>
        <w:t>At this age our main desire from citizenship is to be able to travel. Also we really want to go on pilgrimage. I cannot go to hajj and do the pilgrimage because I cannot get a passport. It is a very serious and sad thought for both of us that we may never be able to go to Mecca.</w:t>
      </w:r>
    </w:p>
    <w:p w14:paraId="64BEFF48" w14:textId="77777777" w:rsidR="005347AD" w:rsidRPr="001E03AC" w:rsidRDefault="005347AD" w:rsidP="009E5C56">
      <w:pPr>
        <w:pStyle w:val="Default"/>
        <w:ind w:right="985"/>
        <w:jc w:val="both"/>
        <w:rPr>
          <w:i/>
          <w:sz w:val="22"/>
          <w:szCs w:val="22"/>
        </w:rPr>
      </w:pPr>
    </w:p>
    <w:p w14:paraId="0E5461E6" w14:textId="14CC6CD9" w:rsidR="005347AD" w:rsidRDefault="001870BE" w:rsidP="009E5C56">
      <w:pPr>
        <w:pStyle w:val="Default"/>
        <w:numPr>
          <w:ilvl w:val="0"/>
          <w:numId w:val="8"/>
        </w:numPr>
        <w:jc w:val="both"/>
        <w:rPr>
          <w:sz w:val="22"/>
          <w:szCs w:val="22"/>
        </w:rPr>
      </w:pPr>
      <w:r>
        <w:rPr>
          <w:sz w:val="22"/>
          <w:szCs w:val="22"/>
        </w:rPr>
        <w:t>By failing to facilitate the free-movement of stateless persons beyond its borders,</w:t>
      </w:r>
      <w:r w:rsidR="009E5C56">
        <w:rPr>
          <w:sz w:val="22"/>
          <w:szCs w:val="22"/>
        </w:rPr>
        <w:t xml:space="preserve"> </w:t>
      </w:r>
      <w:r>
        <w:rPr>
          <w:sz w:val="22"/>
          <w:szCs w:val="22"/>
        </w:rPr>
        <w:t xml:space="preserve"> </w:t>
      </w:r>
      <w:r w:rsidR="005347AD">
        <w:rPr>
          <w:sz w:val="22"/>
          <w:szCs w:val="22"/>
        </w:rPr>
        <w:t>it appears likely</w:t>
      </w:r>
      <w:r>
        <w:rPr>
          <w:sz w:val="22"/>
          <w:szCs w:val="22"/>
        </w:rPr>
        <w:t xml:space="preserve"> </w:t>
      </w:r>
      <w:r w:rsidR="005347AD">
        <w:rPr>
          <w:sz w:val="22"/>
          <w:szCs w:val="22"/>
        </w:rPr>
        <w:t>that Madagascar is acting in contravention of Article</w:t>
      </w:r>
      <w:r>
        <w:rPr>
          <w:sz w:val="22"/>
          <w:szCs w:val="22"/>
        </w:rPr>
        <w:t>s</w:t>
      </w:r>
      <w:r w:rsidR="005347AD">
        <w:rPr>
          <w:sz w:val="22"/>
          <w:szCs w:val="22"/>
        </w:rPr>
        <w:t xml:space="preserve"> 12</w:t>
      </w:r>
      <w:r>
        <w:rPr>
          <w:sz w:val="22"/>
          <w:szCs w:val="22"/>
        </w:rPr>
        <w:t xml:space="preserve"> and 2(1)</w:t>
      </w:r>
      <w:r w:rsidR="005347AD">
        <w:rPr>
          <w:sz w:val="22"/>
          <w:szCs w:val="22"/>
        </w:rPr>
        <w:t xml:space="preserve"> of the Covenant</w:t>
      </w:r>
      <w:r>
        <w:rPr>
          <w:sz w:val="22"/>
          <w:szCs w:val="22"/>
        </w:rPr>
        <w:t>.</w:t>
      </w:r>
    </w:p>
    <w:p w14:paraId="563C67E1" w14:textId="77777777" w:rsidR="005347AD" w:rsidRDefault="005347AD" w:rsidP="009E5C56">
      <w:pPr>
        <w:pStyle w:val="Default"/>
        <w:jc w:val="both"/>
        <w:rPr>
          <w:b/>
          <w:sz w:val="22"/>
          <w:szCs w:val="22"/>
          <w:u w:val="single"/>
        </w:rPr>
      </w:pPr>
    </w:p>
    <w:p w14:paraId="1C882B65" w14:textId="77777777" w:rsidR="000D4A92" w:rsidRDefault="000D4A92" w:rsidP="009E5C56">
      <w:pPr>
        <w:pStyle w:val="Default"/>
        <w:jc w:val="both"/>
        <w:rPr>
          <w:b/>
          <w:sz w:val="22"/>
          <w:szCs w:val="22"/>
          <w:u w:val="single"/>
        </w:rPr>
      </w:pPr>
    </w:p>
    <w:p w14:paraId="2EF58727" w14:textId="77777777" w:rsidR="000D4A92" w:rsidRDefault="000D4A92" w:rsidP="009E5C56">
      <w:pPr>
        <w:pStyle w:val="Default"/>
        <w:jc w:val="both"/>
        <w:rPr>
          <w:b/>
          <w:sz w:val="22"/>
          <w:szCs w:val="22"/>
          <w:u w:val="single"/>
        </w:rPr>
      </w:pPr>
    </w:p>
    <w:p w14:paraId="1C4EA542" w14:textId="77777777" w:rsidR="000D4A92" w:rsidRDefault="000D4A92" w:rsidP="009E5C56">
      <w:pPr>
        <w:pStyle w:val="Default"/>
        <w:jc w:val="both"/>
        <w:rPr>
          <w:b/>
          <w:sz w:val="22"/>
          <w:szCs w:val="22"/>
          <w:u w:val="single"/>
        </w:rPr>
      </w:pPr>
    </w:p>
    <w:p w14:paraId="666A0CD6" w14:textId="7631BC5B" w:rsidR="005347AD" w:rsidRPr="00377BB3" w:rsidRDefault="009E5C56" w:rsidP="009E5C56">
      <w:pPr>
        <w:pStyle w:val="Default"/>
        <w:jc w:val="both"/>
        <w:rPr>
          <w:b/>
          <w:sz w:val="22"/>
          <w:szCs w:val="22"/>
          <w:u w:val="single"/>
        </w:rPr>
      </w:pPr>
      <w:r>
        <w:rPr>
          <w:b/>
          <w:sz w:val="22"/>
          <w:szCs w:val="22"/>
          <w:u w:val="single"/>
        </w:rPr>
        <w:lastRenderedPageBreak/>
        <w:t xml:space="preserve">Other Examples of Discrimination </w:t>
      </w:r>
      <w:r w:rsidR="005347AD">
        <w:rPr>
          <w:b/>
          <w:sz w:val="22"/>
          <w:szCs w:val="22"/>
          <w:u w:val="single"/>
        </w:rPr>
        <w:t>as a Consequence of Discriminatory Nationality Laws (Article 26)</w:t>
      </w:r>
    </w:p>
    <w:p w14:paraId="0D7B4F61" w14:textId="77777777" w:rsidR="00377BB3" w:rsidRDefault="00377BB3" w:rsidP="009E5C56">
      <w:pPr>
        <w:pStyle w:val="Default"/>
        <w:jc w:val="both"/>
        <w:rPr>
          <w:sz w:val="22"/>
          <w:szCs w:val="22"/>
        </w:rPr>
      </w:pPr>
    </w:p>
    <w:p w14:paraId="4EA0E35A" w14:textId="77777777" w:rsidR="008A77A2" w:rsidRPr="001E2B10" w:rsidRDefault="008A77A2" w:rsidP="009E5C56">
      <w:pPr>
        <w:pStyle w:val="Default"/>
        <w:numPr>
          <w:ilvl w:val="0"/>
          <w:numId w:val="8"/>
        </w:numPr>
        <w:jc w:val="both"/>
        <w:rPr>
          <w:sz w:val="22"/>
          <w:szCs w:val="22"/>
        </w:rPr>
      </w:pPr>
      <w:r w:rsidRPr="001E2B10">
        <w:rPr>
          <w:sz w:val="22"/>
          <w:szCs w:val="22"/>
        </w:rPr>
        <w:t>Statelessness in Madagascar is a direct consequence of discriminatory nationality laws; arbitrarily restricting the rights of women to confer their nationality</w:t>
      </w:r>
      <w:r w:rsidR="00377BB3">
        <w:rPr>
          <w:sz w:val="22"/>
          <w:szCs w:val="22"/>
        </w:rPr>
        <w:t xml:space="preserve"> upon their children</w:t>
      </w:r>
      <w:r w:rsidRPr="001E2B10">
        <w:rPr>
          <w:sz w:val="22"/>
          <w:szCs w:val="22"/>
        </w:rPr>
        <w:t xml:space="preserve">. </w:t>
      </w:r>
      <w:r w:rsidR="0084757D">
        <w:rPr>
          <w:sz w:val="22"/>
          <w:szCs w:val="22"/>
        </w:rPr>
        <w:t>Both the Committee on the E</w:t>
      </w:r>
      <w:r w:rsidR="001E2B10" w:rsidRPr="001E2B10">
        <w:rPr>
          <w:sz w:val="22"/>
          <w:szCs w:val="22"/>
        </w:rPr>
        <w:t xml:space="preserve">limination of </w:t>
      </w:r>
      <w:r w:rsidR="0084757D">
        <w:rPr>
          <w:sz w:val="22"/>
          <w:szCs w:val="22"/>
        </w:rPr>
        <w:t>D</w:t>
      </w:r>
      <w:r w:rsidR="001E2B10" w:rsidRPr="001E2B10">
        <w:rPr>
          <w:sz w:val="22"/>
          <w:szCs w:val="22"/>
        </w:rPr>
        <w:t>iscrimina</w:t>
      </w:r>
      <w:r w:rsidR="0084757D">
        <w:rPr>
          <w:sz w:val="22"/>
          <w:szCs w:val="22"/>
        </w:rPr>
        <w:t>tion against Women, and the Committee on the Rights of the C</w:t>
      </w:r>
      <w:r w:rsidR="001E2B10" w:rsidRPr="001E2B10">
        <w:rPr>
          <w:sz w:val="22"/>
          <w:szCs w:val="22"/>
        </w:rPr>
        <w:t>hild have recognised the discriminatory impact of Madagascar’s nationality legislation, recommending immediate legal reform</w:t>
      </w:r>
      <w:r w:rsidR="001E2B10">
        <w:rPr>
          <w:sz w:val="22"/>
          <w:szCs w:val="22"/>
        </w:rPr>
        <w:t>,</w:t>
      </w:r>
      <w:r w:rsidR="003D0313">
        <w:rPr>
          <w:rStyle w:val="FootnoteReference"/>
          <w:sz w:val="22"/>
          <w:szCs w:val="22"/>
        </w:rPr>
        <w:footnoteReference w:id="33"/>
      </w:r>
      <w:r w:rsidR="001E2B10">
        <w:rPr>
          <w:sz w:val="22"/>
          <w:szCs w:val="22"/>
        </w:rPr>
        <w:t xml:space="preserve"> retroactively applicable to ensure that all those currently made stateless through the discriminatory provisions are granted nationality,</w:t>
      </w:r>
      <w:r w:rsidR="001E2B10">
        <w:rPr>
          <w:rStyle w:val="FootnoteReference"/>
          <w:sz w:val="22"/>
          <w:szCs w:val="22"/>
        </w:rPr>
        <w:footnoteReference w:id="34"/>
      </w:r>
      <w:r w:rsidR="001E2B10" w:rsidRPr="001E2B10">
        <w:rPr>
          <w:sz w:val="22"/>
          <w:szCs w:val="22"/>
        </w:rPr>
        <w:t xml:space="preserve"> and that the state take measures to ensure that children born in the country are not left stateless</w:t>
      </w:r>
      <w:r w:rsidR="003D0313">
        <w:rPr>
          <w:sz w:val="22"/>
          <w:szCs w:val="22"/>
        </w:rPr>
        <w:t>.</w:t>
      </w:r>
      <w:r w:rsidR="003D0313">
        <w:rPr>
          <w:rStyle w:val="FootnoteReference"/>
          <w:sz w:val="22"/>
          <w:szCs w:val="22"/>
        </w:rPr>
        <w:footnoteReference w:id="35"/>
      </w:r>
      <w:r w:rsidR="003D0313">
        <w:rPr>
          <w:sz w:val="22"/>
          <w:szCs w:val="22"/>
        </w:rPr>
        <w:t xml:space="preserve"> </w:t>
      </w:r>
    </w:p>
    <w:p w14:paraId="597A3E96" w14:textId="77777777" w:rsidR="00D372F7" w:rsidRDefault="00D372F7" w:rsidP="009E5C56">
      <w:pPr>
        <w:pStyle w:val="Default"/>
        <w:jc w:val="both"/>
        <w:rPr>
          <w:sz w:val="22"/>
          <w:szCs w:val="22"/>
        </w:rPr>
      </w:pPr>
    </w:p>
    <w:p w14:paraId="41BFF3F5" w14:textId="18B89157" w:rsidR="00537C2C" w:rsidRDefault="00123592" w:rsidP="009E5C56">
      <w:pPr>
        <w:pStyle w:val="Default"/>
        <w:numPr>
          <w:ilvl w:val="0"/>
          <w:numId w:val="8"/>
        </w:numPr>
        <w:jc w:val="both"/>
        <w:rPr>
          <w:sz w:val="22"/>
          <w:szCs w:val="22"/>
        </w:rPr>
      </w:pPr>
      <w:r>
        <w:rPr>
          <w:sz w:val="22"/>
          <w:szCs w:val="22"/>
        </w:rPr>
        <w:t>As stated above, Madagascar’s nationality provisions directly discriminat</w:t>
      </w:r>
      <w:r w:rsidR="00FE6724">
        <w:rPr>
          <w:sz w:val="22"/>
          <w:szCs w:val="22"/>
        </w:rPr>
        <w:t>e</w:t>
      </w:r>
      <w:r>
        <w:rPr>
          <w:sz w:val="22"/>
          <w:szCs w:val="22"/>
        </w:rPr>
        <w:t xml:space="preserve"> </w:t>
      </w:r>
      <w:r w:rsidR="00537C2C">
        <w:rPr>
          <w:sz w:val="22"/>
          <w:szCs w:val="22"/>
        </w:rPr>
        <w:t>on the basis of the marital status, statelessness and nationality of the parent. These provisions have the effect of rendering individuals stateless, with a number of detrimental impacts on</w:t>
      </w:r>
      <w:r>
        <w:rPr>
          <w:sz w:val="22"/>
          <w:szCs w:val="22"/>
        </w:rPr>
        <w:t xml:space="preserve"> the livelihoods and living conditions of such persons. </w:t>
      </w:r>
      <w:r w:rsidR="00F97491">
        <w:rPr>
          <w:sz w:val="22"/>
          <w:szCs w:val="22"/>
        </w:rPr>
        <w:t>To the extent that stateless persons in Madagascar experience direct or indirect discrimination arising on the basis of their statelessness, these practices will constitute violations of Article 26, of the Covenant which, as noted above, provides an autonomous and free-standing right to non-discrimination, beyond the prohibition of discrimination in the enjoyment of Covenant rights provided by Article 2(1).</w:t>
      </w:r>
    </w:p>
    <w:p w14:paraId="7BFED451" w14:textId="77777777" w:rsidR="00713FCB" w:rsidRDefault="00713FCB" w:rsidP="009E5C56">
      <w:pPr>
        <w:pStyle w:val="Default"/>
        <w:ind w:left="567"/>
        <w:jc w:val="both"/>
        <w:rPr>
          <w:sz w:val="22"/>
          <w:szCs w:val="22"/>
        </w:rPr>
      </w:pPr>
    </w:p>
    <w:p w14:paraId="7A243137" w14:textId="3F4280DE" w:rsidR="00123592" w:rsidRDefault="00123592" w:rsidP="009E5C56">
      <w:pPr>
        <w:pStyle w:val="Default"/>
        <w:numPr>
          <w:ilvl w:val="0"/>
          <w:numId w:val="8"/>
        </w:numPr>
        <w:jc w:val="both"/>
        <w:rPr>
          <w:sz w:val="22"/>
          <w:szCs w:val="22"/>
        </w:rPr>
      </w:pPr>
      <w:r w:rsidRPr="00123592">
        <w:rPr>
          <w:sz w:val="22"/>
          <w:szCs w:val="22"/>
        </w:rPr>
        <w:t>Testimony received by the Equal Rights Trust from individuals made stateless as a consequence of the Nationality Code highlight</w:t>
      </w:r>
      <w:r w:rsidR="00F97491">
        <w:rPr>
          <w:sz w:val="22"/>
          <w:szCs w:val="22"/>
        </w:rPr>
        <w:t xml:space="preserve"> a number of</w:t>
      </w:r>
      <w:r w:rsidRPr="00123592">
        <w:rPr>
          <w:sz w:val="22"/>
          <w:szCs w:val="22"/>
        </w:rPr>
        <w:t xml:space="preserve"> </w:t>
      </w:r>
      <w:r w:rsidR="00537C2C">
        <w:rPr>
          <w:sz w:val="22"/>
          <w:szCs w:val="22"/>
        </w:rPr>
        <w:t>negative impacts of the law</w:t>
      </w:r>
      <w:r w:rsidRPr="00123592">
        <w:rPr>
          <w:sz w:val="22"/>
          <w:szCs w:val="22"/>
        </w:rPr>
        <w:t>. As one interviewee attested:</w:t>
      </w:r>
    </w:p>
    <w:p w14:paraId="59810CAE" w14:textId="77777777" w:rsidR="00123592" w:rsidRDefault="00123592" w:rsidP="009E5C56">
      <w:pPr>
        <w:pStyle w:val="Default"/>
        <w:jc w:val="both"/>
        <w:rPr>
          <w:sz w:val="22"/>
          <w:szCs w:val="22"/>
        </w:rPr>
      </w:pPr>
    </w:p>
    <w:p w14:paraId="46D0593C" w14:textId="59461D2B" w:rsidR="00123592" w:rsidRDefault="00F97491" w:rsidP="009E5C56">
      <w:pPr>
        <w:pStyle w:val="Default"/>
        <w:ind w:left="1440" w:right="985"/>
        <w:jc w:val="both"/>
        <w:rPr>
          <w:i/>
          <w:sz w:val="22"/>
          <w:szCs w:val="22"/>
        </w:rPr>
      </w:pPr>
      <w:r>
        <w:rPr>
          <w:i/>
          <w:sz w:val="22"/>
          <w:szCs w:val="22"/>
        </w:rPr>
        <w:t>My daughter is workinG. H</w:t>
      </w:r>
      <w:r w:rsidR="00123592" w:rsidRPr="00123592">
        <w:rPr>
          <w:i/>
          <w:sz w:val="22"/>
          <w:szCs w:val="22"/>
        </w:rPr>
        <w:t>er boss asks her for her ID card but she just tells him it is in process. He knows her situation so he will wait, but there is always the risk that he might lose patience and employ someone who has citizenship instead.</w:t>
      </w:r>
      <w:r w:rsidR="00123592" w:rsidRPr="00F97491">
        <w:rPr>
          <w:rStyle w:val="FootnoteReference"/>
          <w:sz w:val="22"/>
          <w:szCs w:val="22"/>
        </w:rPr>
        <w:footnoteReference w:id="36"/>
      </w:r>
    </w:p>
    <w:p w14:paraId="41FC2D76" w14:textId="77777777" w:rsidR="00123592" w:rsidRPr="00123592" w:rsidRDefault="00123592" w:rsidP="009E5C56">
      <w:pPr>
        <w:pStyle w:val="Default"/>
        <w:ind w:left="1440" w:right="985"/>
        <w:jc w:val="both"/>
        <w:rPr>
          <w:sz w:val="22"/>
          <w:szCs w:val="22"/>
        </w:rPr>
      </w:pPr>
    </w:p>
    <w:p w14:paraId="0268D978" w14:textId="1147839E" w:rsidR="00123592" w:rsidRDefault="00D74645" w:rsidP="009E5C56">
      <w:pPr>
        <w:pStyle w:val="Default"/>
        <w:numPr>
          <w:ilvl w:val="0"/>
          <w:numId w:val="8"/>
        </w:numPr>
        <w:jc w:val="both"/>
        <w:rPr>
          <w:sz w:val="22"/>
          <w:szCs w:val="22"/>
        </w:rPr>
      </w:pPr>
      <w:r>
        <w:rPr>
          <w:sz w:val="22"/>
          <w:szCs w:val="22"/>
        </w:rPr>
        <w:t>Likewise, parents may struggle to provide for their children; lacking the necessary documents required to work and purchase property. Following the passing of her husband, Layla, a woman from the Karana Community,</w:t>
      </w:r>
      <w:r w:rsidR="0084757D">
        <w:rPr>
          <w:sz w:val="22"/>
          <w:szCs w:val="22"/>
        </w:rPr>
        <w:t xml:space="preserve"> who was</w:t>
      </w:r>
      <w:r>
        <w:rPr>
          <w:sz w:val="22"/>
          <w:szCs w:val="22"/>
        </w:rPr>
        <w:t xml:space="preserve"> left stateless despite the fact that her mother possessed </w:t>
      </w:r>
      <w:r w:rsidR="003E2883">
        <w:rPr>
          <w:sz w:val="22"/>
          <w:szCs w:val="22"/>
        </w:rPr>
        <w:t>Malagasy</w:t>
      </w:r>
      <w:r>
        <w:rPr>
          <w:sz w:val="22"/>
          <w:szCs w:val="22"/>
        </w:rPr>
        <w:t xml:space="preserve"> nationality, could not purchase her family home:</w:t>
      </w:r>
    </w:p>
    <w:p w14:paraId="0B6B7CA8" w14:textId="77777777" w:rsidR="00D74645" w:rsidRDefault="00D74645" w:rsidP="009E5C56">
      <w:pPr>
        <w:pStyle w:val="Default"/>
        <w:jc w:val="both"/>
        <w:rPr>
          <w:sz w:val="22"/>
          <w:szCs w:val="22"/>
        </w:rPr>
      </w:pPr>
    </w:p>
    <w:p w14:paraId="3599E504" w14:textId="77777777" w:rsidR="00D74645" w:rsidRDefault="00D74645" w:rsidP="009E5C56">
      <w:pPr>
        <w:pStyle w:val="Default"/>
        <w:ind w:left="1440" w:right="985"/>
        <w:jc w:val="both"/>
        <w:rPr>
          <w:i/>
          <w:sz w:val="22"/>
          <w:szCs w:val="22"/>
        </w:rPr>
      </w:pPr>
      <w:r w:rsidRPr="00D74645">
        <w:rPr>
          <w:i/>
          <w:sz w:val="22"/>
          <w:szCs w:val="22"/>
        </w:rPr>
        <w:t xml:space="preserve">It is not possible for me to buy land or property without nationality, which makes things difficult for us. The land which I live in now is not </w:t>
      </w:r>
      <w:r w:rsidRPr="00D74645">
        <w:rPr>
          <w:i/>
          <w:sz w:val="22"/>
          <w:szCs w:val="22"/>
        </w:rPr>
        <w:lastRenderedPageBreak/>
        <w:t>in my name. I do not even have anyone under whose name I could put the land in, we are all stateless</w:t>
      </w:r>
      <w:r>
        <w:rPr>
          <w:i/>
          <w:sz w:val="22"/>
          <w:szCs w:val="22"/>
        </w:rPr>
        <w:t>.</w:t>
      </w:r>
      <w:r>
        <w:rPr>
          <w:rStyle w:val="FootnoteReference"/>
          <w:i/>
          <w:sz w:val="22"/>
          <w:szCs w:val="22"/>
        </w:rPr>
        <w:footnoteReference w:id="37"/>
      </w:r>
    </w:p>
    <w:p w14:paraId="16289EAA" w14:textId="77777777" w:rsidR="008B7ACC" w:rsidRDefault="008B7ACC" w:rsidP="009E5C56">
      <w:pPr>
        <w:pStyle w:val="Default"/>
        <w:ind w:left="567"/>
        <w:jc w:val="both"/>
        <w:rPr>
          <w:sz w:val="22"/>
          <w:szCs w:val="22"/>
        </w:rPr>
      </w:pPr>
    </w:p>
    <w:p w14:paraId="09C47043" w14:textId="77777777" w:rsidR="00B4395B" w:rsidRPr="00F97491" w:rsidRDefault="00713FCB" w:rsidP="009E5C56">
      <w:pPr>
        <w:jc w:val="both"/>
        <w:rPr>
          <w:rFonts w:ascii="Cambria" w:hAnsi="Cambria" w:cs="Cambria"/>
          <w:b/>
          <w:color w:val="000000"/>
          <w:u w:val="single"/>
        </w:rPr>
      </w:pPr>
      <w:r w:rsidRPr="00F97491">
        <w:rPr>
          <w:rFonts w:ascii="Cambria" w:hAnsi="Cambria" w:cs="Cambria"/>
          <w:b/>
          <w:color w:val="000000"/>
          <w:u w:val="single"/>
        </w:rPr>
        <w:t>Moves to Reform the Nationality Code</w:t>
      </w:r>
    </w:p>
    <w:p w14:paraId="125214A8" w14:textId="77777777" w:rsidR="005347AD" w:rsidRDefault="005347AD" w:rsidP="009E5C56">
      <w:pPr>
        <w:pStyle w:val="Default"/>
        <w:jc w:val="both"/>
        <w:rPr>
          <w:rFonts w:eastAsia="Calibri" w:cs="Times New Roman"/>
          <w:color w:val="auto"/>
          <w:sz w:val="22"/>
          <w:szCs w:val="22"/>
        </w:rPr>
      </w:pPr>
    </w:p>
    <w:p w14:paraId="71EF234E" w14:textId="2DCD4649" w:rsidR="001D7722" w:rsidRDefault="00321F6E" w:rsidP="009E5C56">
      <w:pPr>
        <w:pStyle w:val="Default"/>
        <w:numPr>
          <w:ilvl w:val="0"/>
          <w:numId w:val="8"/>
        </w:numPr>
        <w:jc w:val="both"/>
        <w:rPr>
          <w:sz w:val="22"/>
          <w:szCs w:val="22"/>
        </w:rPr>
      </w:pPr>
      <w:r w:rsidRPr="00717216">
        <w:rPr>
          <w:sz w:val="22"/>
          <w:szCs w:val="22"/>
        </w:rPr>
        <w:t xml:space="preserve">In </w:t>
      </w:r>
      <w:r w:rsidR="00F97491" w:rsidRPr="00717216">
        <w:rPr>
          <w:sz w:val="22"/>
          <w:szCs w:val="22"/>
        </w:rPr>
        <w:t>November 2015, the Equal Rights Trust</w:t>
      </w:r>
      <w:r w:rsidR="00A5752F" w:rsidRPr="00717216">
        <w:rPr>
          <w:sz w:val="22"/>
          <w:szCs w:val="22"/>
        </w:rPr>
        <w:t>, together with Focus, the Global Campaign on Equal Nationality Rights and the office of United Nations High Commissioner for Refugees, engaged with members of the National Assembly of Madagascar on the need for reform of the country’s nationality law</w:t>
      </w:r>
      <w:r w:rsidR="00F97491" w:rsidRPr="00717216">
        <w:rPr>
          <w:sz w:val="22"/>
          <w:szCs w:val="22"/>
        </w:rPr>
        <w:t>.</w:t>
      </w:r>
      <w:r w:rsidRPr="00717216">
        <w:rPr>
          <w:sz w:val="22"/>
          <w:szCs w:val="22"/>
        </w:rPr>
        <w:t xml:space="preserve"> </w:t>
      </w:r>
      <w:r w:rsidR="00717216">
        <w:rPr>
          <w:sz w:val="22"/>
          <w:szCs w:val="22"/>
        </w:rPr>
        <w:t>During this period</w:t>
      </w:r>
      <w:r w:rsidR="00A5752F">
        <w:rPr>
          <w:sz w:val="22"/>
          <w:szCs w:val="22"/>
        </w:rPr>
        <w:t xml:space="preserve">, </w:t>
      </w:r>
      <w:r w:rsidR="00847C3E">
        <w:rPr>
          <w:sz w:val="22"/>
          <w:szCs w:val="22"/>
        </w:rPr>
        <w:t>Jean Max Rakotomamonjy, President of the National Assembly</w:t>
      </w:r>
      <w:r w:rsidR="00A029DC">
        <w:rPr>
          <w:sz w:val="22"/>
          <w:szCs w:val="22"/>
        </w:rPr>
        <w:t>,</w:t>
      </w:r>
      <w:r w:rsidR="00847C3E">
        <w:rPr>
          <w:sz w:val="22"/>
          <w:szCs w:val="22"/>
        </w:rPr>
        <w:t xml:space="preserve"> met with the Trust</w:t>
      </w:r>
      <w:r w:rsidR="00A5752F">
        <w:rPr>
          <w:sz w:val="22"/>
          <w:szCs w:val="22"/>
        </w:rPr>
        <w:t>, Focus</w:t>
      </w:r>
      <w:r w:rsidR="00847C3E">
        <w:rPr>
          <w:sz w:val="22"/>
          <w:szCs w:val="22"/>
        </w:rPr>
        <w:t xml:space="preserve"> and </w:t>
      </w:r>
      <w:r w:rsidR="00A5752F">
        <w:rPr>
          <w:sz w:val="22"/>
          <w:szCs w:val="22"/>
        </w:rPr>
        <w:t>our</w:t>
      </w:r>
      <w:r w:rsidR="00847C3E">
        <w:rPr>
          <w:sz w:val="22"/>
          <w:szCs w:val="22"/>
        </w:rPr>
        <w:t xml:space="preserve"> partners and </w:t>
      </w:r>
      <w:r w:rsidR="00F97491">
        <w:rPr>
          <w:sz w:val="22"/>
          <w:szCs w:val="22"/>
        </w:rPr>
        <w:t xml:space="preserve">as a result of this meeting, </w:t>
      </w:r>
      <w:r w:rsidR="00847C3E">
        <w:rPr>
          <w:sz w:val="22"/>
          <w:szCs w:val="22"/>
        </w:rPr>
        <w:t xml:space="preserve">proposed a </w:t>
      </w:r>
      <w:r w:rsidR="00847C3E" w:rsidRPr="00A5752F">
        <w:rPr>
          <w:i/>
          <w:sz w:val="22"/>
          <w:szCs w:val="22"/>
        </w:rPr>
        <w:t>proposition de loi</w:t>
      </w:r>
      <w:r w:rsidR="00847C3E">
        <w:rPr>
          <w:sz w:val="22"/>
          <w:szCs w:val="22"/>
        </w:rPr>
        <w:t xml:space="preserve"> (a draft law </w:t>
      </w:r>
      <w:r w:rsidR="00A029DC">
        <w:rPr>
          <w:sz w:val="22"/>
          <w:szCs w:val="22"/>
        </w:rPr>
        <w:t>that</w:t>
      </w:r>
      <w:r w:rsidR="00847C3E">
        <w:rPr>
          <w:sz w:val="22"/>
          <w:szCs w:val="22"/>
        </w:rPr>
        <w:t xml:space="preserve"> emanates from </w:t>
      </w:r>
      <w:r w:rsidR="00A029DC">
        <w:rPr>
          <w:sz w:val="22"/>
          <w:szCs w:val="22"/>
        </w:rPr>
        <w:t>a Member of Parliament</w:t>
      </w:r>
      <w:r w:rsidR="00847C3E">
        <w:rPr>
          <w:sz w:val="22"/>
          <w:szCs w:val="22"/>
        </w:rPr>
        <w:t xml:space="preserve"> rather than the government)</w:t>
      </w:r>
      <w:r w:rsidR="00A029DC">
        <w:rPr>
          <w:sz w:val="22"/>
          <w:szCs w:val="22"/>
        </w:rPr>
        <w:t>,</w:t>
      </w:r>
      <w:r w:rsidR="00847C3E">
        <w:rPr>
          <w:sz w:val="22"/>
          <w:szCs w:val="22"/>
        </w:rPr>
        <w:t xml:space="preserve"> which would reform the</w:t>
      </w:r>
      <w:r w:rsidR="00A029DC">
        <w:rPr>
          <w:sz w:val="22"/>
          <w:szCs w:val="22"/>
        </w:rPr>
        <w:t xml:space="preserve"> Nationality Code to allow mother</w:t>
      </w:r>
      <w:r w:rsidR="00847C3E">
        <w:rPr>
          <w:sz w:val="22"/>
          <w:szCs w:val="22"/>
        </w:rPr>
        <w:t xml:space="preserve">s to pass on their nationality even </w:t>
      </w:r>
      <w:r w:rsidR="00A029DC">
        <w:rPr>
          <w:sz w:val="22"/>
          <w:szCs w:val="22"/>
        </w:rPr>
        <w:t>where</w:t>
      </w:r>
      <w:r w:rsidR="00847C3E">
        <w:rPr>
          <w:sz w:val="22"/>
          <w:szCs w:val="22"/>
        </w:rPr>
        <w:t xml:space="preserve"> the father’s nationality is known. </w:t>
      </w:r>
      <w:r w:rsidR="00A029DC">
        <w:rPr>
          <w:sz w:val="22"/>
          <w:szCs w:val="22"/>
        </w:rPr>
        <w:t xml:space="preserve">The </w:t>
      </w:r>
      <w:r w:rsidR="00747A17">
        <w:rPr>
          <w:sz w:val="22"/>
          <w:szCs w:val="22"/>
        </w:rPr>
        <w:t>draft law</w:t>
      </w:r>
      <w:r w:rsidR="00847C3E">
        <w:rPr>
          <w:sz w:val="22"/>
          <w:szCs w:val="22"/>
        </w:rPr>
        <w:t xml:space="preserve"> would also deal with other issues of gend</w:t>
      </w:r>
      <w:r w:rsidR="00A029DC">
        <w:rPr>
          <w:sz w:val="22"/>
          <w:szCs w:val="22"/>
        </w:rPr>
        <w:t>er inequality and statelessness</w:t>
      </w:r>
      <w:r w:rsidR="00747A17">
        <w:rPr>
          <w:sz w:val="22"/>
          <w:szCs w:val="22"/>
        </w:rPr>
        <w:t xml:space="preserve"> in Madagascar</w:t>
      </w:r>
      <w:r w:rsidR="00A5752F">
        <w:rPr>
          <w:sz w:val="22"/>
          <w:szCs w:val="22"/>
        </w:rPr>
        <w:t>. Twenty members of the National Assembly</w:t>
      </w:r>
      <w:r w:rsidR="00847C3E">
        <w:rPr>
          <w:sz w:val="22"/>
          <w:szCs w:val="22"/>
        </w:rPr>
        <w:t xml:space="preserve"> signed a Statement of Commitment backing the </w:t>
      </w:r>
      <w:r w:rsidR="00847C3E" w:rsidRPr="00A5752F">
        <w:rPr>
          <w:i/>
          <w:sz w:val="22"/>
          <w:szCs w:val="22"/>
        </w:rPr>
        <w:t>proposition de loi</w:t>
      </w:r>
      <w:r w:rsidR="00847C3E">
        <w:rPr>
          <w:sz w:val="22"/>
          <w:szCs w:val="22"/>
        </w:rPr>
        <w:t xml:space="preserve">, acknowledging </w:t>
      </w:r>
      <w:r w:rsidR="00A029DC">
        <w:rPr>
          <w:sz w:val="22"/>
          <w:szCs w:val="22"/>
        </w:rPr>
        <w:t>deficiencies</w:t>
      </w:r>
      <w:r w:rsidR="00847C3E">
        <w:rPr>
          <w:sz w:val="22"/>
          <w:szCs w:val="22"/>
        </w:rPr>
        <w:t xml:space="preserve"> in the</w:t>
      </w:r>
      <w:r w:rsidR="00A029DC">
        <w:rPr>
          <w:sz w:val="22"/>
          <w:szCs w:val="22"/>
        </w:rPr>
        <w:t xml:space="preserve"> current</w:t>
      </w:r>
      <w:r w:rsidR="00847C3E">
        <w:rPr>
          <w:sz w:val="22"/>
          <w:szCs w:val="22"/>
        </w:rPr>
        <w:t xml:space="preserve"> law and </w:t>
      </w:r>
      <w:r w:rsidR="00747A17">
        <w:rPr>
          <w:sz w:val="22"/>
          <w:szCs w:val="22"/>
        </w:rPr>
        <w:t>advocating</w:t>
      </w:r>
      <w:r w:rsidR="00847C3E">
        <w:rPr>
          <w:sz w:val="22"/>
          <w:szCs w:val="22"/>
        </w:rPr>
        <w:t xml:space="preserve"> reform</w:t>
      </w:r>
      <w:r w:rsidR="00847C3E" w:rsidRPr="005D3C31">
        <w:rPr>
          <w:sz w:val="22"/>
          <w:szCs w:val="22"/>
        </w:rPr>
        <w:t xml:space="preserve">. </w:t>
      </w:r>
    </w:p>
    <w:p w14:paraId="7E2A62F7" w14:textId="77777777" w:rsidR="001D7722" w:rsidRDefault="001D7722" w:rsidP="00F97491">
      <w:pPr>
        <w:pStyle w:val="Default"/>
        <w:ind w:left="567"/>
        <w:jc w:val="both"/>
        <w:rPr>
          <w:sz w:val="22"/>
          <w:szCs w:val="22"/>
        </w:rPr>
      </w:pPr>
    </w:p>
    <w:p w14:paraId="593DBA04" w14:textId="77777777" w:rsidR="00717216" w:rsidRDefault="00847C3E" w:rsidP="009C45DE">
      <w:pPr>
        <w:pStyle w:val="Default"/>
        <w:numPr>
          <w:ilvl w:val="0"/>
          <w:numId w:val="8"/>
        </w:numPr>
        <w:jc w:val="both"/>
        <w:rPr>
          <w:sz w:val="22"/>
          <w:szCs w:val="22"/>
        </w:rPr>
      </w:pPr>
      <w:r w:rsidRPr="00717216">
        <w:rPr>
          <w:sz w:val="22"/>
          <w:szCs w:val="22"/>
        </w:rPr>
        <w:t xml:space="preserve">However, the </w:t>
      </w:r>
      <w:r w:rsidRPr="00717216">
        <w:rPr>
          <w:i/>
          <w:sz w:val="22"/>
          <w:szCs w:val="22"/>
        </w:rPr>
        <w:t>proposition de loi</w:t>
      </w:r>
      <w:r w:rsidRPr="00717216">
        <w:rPr>
          <w:sz w:val="22"/>
          <w:szCs w:val="22"/>
        </w:rPr>
        <w:t xml:space="preserve"> has </w:t>
      </w:r>
      <w:r w:rsidR="00717216" w:rsidRPr="00717216">
        <w:rPr>
          <w:sz w:val="22"/>
          <w:szCs w:val="22"/>
        </w:rPr>
        <w:t xml:space="preserve">recently </w:t>
      </w:r>
      <w:r w:rsidRPr="00717216">
        <w:rPr>
          <w:sz w:val="22"/>
          <w:szCs w:val="22"/>
        </w:rPr>
        <w:t xml:space="preserve">been displaced by a </w:t>
      </w:r>
      <w:r w:rsidRPr="00717216">
        <w:rPr>
          <w:i/>
          <w:sz w:val="22"/>
          <w:szCs w:val="22"/>
        </w:rPr>
        <w:t>projet de loi</w:t>
      </w:r>
      <w:r w:rsidRPr="00717216">
        <w:rPr>
          <w:sz w:val="22"/>
          <w:szCs w:val="22"/>
        </w:rPr>
        <w:t xml:space="preserve"> (a bill put forward by government) which proposes </w:t>
      </w:r>
      <w:r w:rsidR="001D7722" w:rsidRPr="00717216">
        <w:rPr>
          <w:sz w:val="22"/>
          <w:szCs w:val="22"/>
        </w:rPr>
        <w:t xml:space="preserve">separate </w:t>
      </w:r>
      <w:r w:rsidRPr="00717216">
        <w:rPr>
          <w:sz w:val="22"/>
          <w:szCs w:val="22"/>
        </w:rPr>
        <w:t xml:space="preserve">reforms to the Code, </w:t>
      </w:r>
      <w:r w:rsidR="001D7722" w:rsidRPr="00717216">
        <w:rPr>
          <w:sz w:val="22"/>
          <w:szCs w:val="22"/>
        </w:rPr>
        <w:t>focusing</w:t>
      </w:r>
      <w:r w:rsidRPr="00717216">
        <w:rPr>
          <w:sz w:val="22"/>
          <w:szCs w:val="22"/>
        </w:rPr>
        <w:t xml:space="preserve"> </w:t>
      </w:r>
      <w:r w:rsidR="001D7722" w:rsidRPr="00717216">
        <w:rPr>
          <w:sz w:val="22"/>
          <w:szCs w:val="22"/>
        </w:rPr>
        <w:t>almost exclusively on</w:t>
      </w:r>
      <w:r w:rsidRPr="00717216">
        <w:rPr>
          <w:sz w:val="22"/>
          <w:szCs w:val="22"/>
        </w:rPr>
        <w:t xml:space="preserve"> the nationality issue. The </w:t>
      </w:r>
      <w:r w:rsidR="00717216" w:rsidRPr="00717216">
        <w:rPr>
          <w:i/>
          <w:sz w:val="22"/>
          <w:szCs w:val="22"/>
        </w:rPr>
        <w:t>project de loi</w:t>
      </w:r>
      <w:r w:rsidRPr="00717216">
        <w:rPr>
          <w:sz w:val="22"/>
          <w:szCs w:val="22"/>
        </w:rPr>
        <w:t xml:space="preserve"> proposes a change to </w:t>
      </w:r>
      <w:r w:rsidR="001D7722" w:rsidRPr="00717216">
        <w:rPr>
          <w:sz w:val="22"/>
          <w:szCs w:val="22"/>
        </w:rPr>
        <w:t>the wording of Article 9 of the Code, abolishing the previous discriminatory provision by stating that: “</w:t>
      </w:r>
      <w:r w:rsidRPr="00717216">
        <w:rPr>
          <w:sz w:val="22"/>
          <w:szCs w:val="22"/>
        </w:rPr>
        <w:t>Malagasy is the child born of a father or a Malagasy mother.</w:t>
      </w:r>
      <w:r w:rsidR="001D7722" w:rsidRPr="00717216">
        <w:rPr>
          <w:sz w:val="22"/>
          <w:szCs w:val="22"/>
        </w:rPr>
        <w:t>”</w:t>
      </w:r>
      <w:r>
        <w:rPr>
          <w:rStyle w:val="FootnoteReference"/>
          <w:sz w:val="22"/>
          <w:szCs w:val="22"/>
        </w:rPr>
        <w:footnoteReference w:id="38"/>
      </w:r>
      <w:r w:rsidR="00447143" w:rsidRPr="00717216">
        <w:rPr>
          <w:sz w:val="22"/>
          <w:szCs w:val="22"/>
        </w:rPr>
        <w:t xml:space="preserve"> </w:t>
      </w:r>
      <w:r w:rsidRPr="00717216">
        <w:rPr>
          <w:sz w:val="22"/>
          <w:szCs w:val="22"/>
        </w:rPr>
        <w:t xml:space="preserve">This </w:t>
      </w:r>
      <w:r w:rsidR="001D7722" w:rsidRPr="00717216">
        <w:rPr>
          <w:sz w:val="22"/>
          <w:szCs w:val="22"/>
        </w:rPr>
        <w:t>provision would allow</w:t>
      </w:r>
      <w:r w:rsidRPr="00717216">
        <w:rPr>
          <w:sz w:val="22"/>
          <w:szCs w:val="22"/>
        </w:rPr>
        <w:t xml:space="preserve"> for women to pass their nationality onto their children, regardless of their marital status.</w:t>
      </w:r>
      <w:r w:rsidR="00717216">
        <w:rPr>
          <w:sz w:val="22"/>
          <w:szCs w:val="22"/>
        </w:rPr>
        <w:t xml:space="preserve"> </w:t>
      </w:r>
      <w:r w:rsidRPr="00717216">
        <w:rPr>
          <w:sz w:val="22"/>
          <w:szCs w:val="22"/>
        </w:rPr>
        <w:t xml:space="preserve">Although </w:t>
      </w:r>
      <w:r w:rsidR="001D7722" w:rsidRPr="00717216">
        <w:rPr>
          <w:sz w:val="22"/>
          <w:szCs w:val="22"/>
        </w:rPr>
        <w:t>the proposed change to Article 9 of the Code</w:t>
      </w:r>
      <w:r w:rsidRPr="00717216">
        <w:rPr>
          <w:sz w:val="22"/>
          <w:szCs w:val="22"/>
        </w:rPr>
        <w:t xml:space="preserve"> would be a step forward,</w:t>
      </w:r>
      <w:r w:rsidR="00AA41B2" w:rsidRPr="00717216">
        <w:rPr>
          <w:sz w:val="22"/>
          <w:szCs w:val="22"/>
        </w:rPr>
        <w:t xml:space="preserve"> </w:t>
      </w:r>
      <w:r w:rsidR="00717216" w:rsidRPr="00717216">
        <w:rPr>
          <w:sz w:val="22"/>
          <w:szCs w:val="22"/>
        </w:rPr>
        <w:t xml:space="preserve">it would leave </w:t>
      </w:r>
      <w:r w:rsidRPr="00717216">
        <w:rPr>
          <w:sz w:val="22"/>
          <w:szCs w:val="22"/>
        </w:rPr>
        <w:t xml:space="preserve">issues of nationality </w:t>
      </w:r>
      <w:r w:rsidR="006A7E5E" w:rsidRPr="00717216">
        <w:rPr>
          <w:sz w:val="22"/>
          <w:szCs w:val="22"/>
        </w:rPr>
        <w:t>regarding</w:t>
      </w:r>
      <w:r w:rsidRPr="00717216">
        <w:rPr>
          <w:sz w:val="22"/>
          <w:szCs w:val="22"/>
        </w:rPr>
        <w:t xml:space="preserve"> foreign</w:t>
      </w:r>
      <w:r w:rsidR="00717216" w:rsidRPr="00717216">
        <w:rPr>
          <w:sz w:val="22"/>
          <w:szCs w:val="22"/>
        </w:rPr>
        <w:t xml:space="preserve"> spouses and statelessness unadd</w:t>
      </w:r>
      <w:r w:rsidR="00321F6E" w:rsidRPr="00717216">
        <w:rPr>
          <w:sz w:val="22"/>
          <w:szCs w:val="22"/>
        </w:rPr>
        <w:t>ressed</w:t>
      </w:r>
      <w:r w:rsidRPr="00717216">
        <w:rPr>
          <w:sz w:val="22"/>
          <w:szCs w:val="22"/>
        </w:rPr>
        <w:t>.</w:t>
      </w:r>
      <w:r w:rsidR="00321F6E" w:rsidRPr="00717216">
        <w:rPr>
          <w:sz w:val="22"/>
          <w:szCs w:val="22"/>
        </w:rPr>
        <w:t xml:space="preserve"> </w:t>
      </w:r>
      <w:r w:rsidR="00717216">
        <w:rPr>
          <w:sz w:val="22"/>
          <w:szCs w:val="22"/>
        </w:rPr>
        <w:t xml:space="preserve">It retains other discriminatory provisions: for example, </w:t>
      </w:r>
      <w:r w:rsidRPr="00717216">
        <w:rPr>
          <w:sz w:val="22"/>
          <w:szCs w:val="22"/>
        </w:rPr>
        <w:t xml:space="preserve">Article 23 only </w:t>
      </w:r>
      <w:r w:rsidR="00321F6E" w:rsidRPr="00717216">
        <w:rPr>
          <w:sz w:val="22"/>
          <w:szCs w:val="22"/>
        </w:rPr>
        <w:t>concerns</w:t>
      </w:r>
      <w:r w:rsidRPr="00717216">
        <w:rPr>
          <w:sz w:val="22"/>
          <w:szCs w:val="22"/>
        </w:rPr>
        <w:t xml:space="preserve"> </w:t>
      </w:r>
      <w:r w:rsidR="00AA41B2" w:rsidRPr="00717216">
        <w:rPr>
          <w:sz w:val="22"/>
          <w:szCs w:val="22"/>
        </w:rPr>
        <w:t>situations where a “</w:t>
      </w:r>
      <w:r w:rsidRPr="00717216">
        <w:rPr>
          <w:sz w:val="22"/>
          <w:szCs w:val="22"/>
        </w:rPr>
        <w:t>woman intends take the Malagasy nationality</w:t>
      </w:r>
      <w:r w:rsidR="00AA41B2" w:rsidRPr="00717216">
        <w:rPr>
          <w:sz w:val="22"/>
          <w:szCs w:val="22"/>
        </w:rPr>
        <w:t>”</w:t>
      </w:r>
      <w:r w:rsidR="00321F6E" w:rsidRPr="00717216">
        <w:rPr>
          <w:sz w:val="22"/>
          <w:szCs w:val="22"/>
        </w:rPr>
        <w:t>, and</w:t>
      </w:r>
      <w:r w:rsidRPr="00717216">
        <w:rPr>
          <w:sz w:val="22"/>
          <w:szCs w:val="22"/>
        </w:rPr>
        <w:t xml:space="preserve"> </w:t>
      </w:r>
      <w:r w:rsidR="00321F6E" w:rsidRPr="00717216">
        <w:rPr>
          <w:sz w:val="22"/>
          <w:szCs w:val="22"/>
        </w:rPr>
        <w:t xml:space="preserve">does not extend to a foreign man wishing to adopt the nationality of his wife. </w:t>
      </w:r>
      <w:r w:rsidRPr="00717216">
        <w:rPr>
          <w:sz w:val="22"/>
          <w:szCs w:val="22"/>
        </w:rPr>
        <w:t xml:space="preserve">Concerns </w:t>
      </w:r>
      <w:r w:rsidR="00AA41B2" w:rsidRPr="00717216">
        <w:rPr>
          <w:sz w:val="22"/>
          <w:szCs w:val="22"/>
        </w:rPr>
        <w:t>that</w:t>
      </w:r>
      <w:r w:rsidRPr="00717216">
        <w:rPr>
          <w:sz w:val="22"/>
          <w:szCs w:val="22"/>
        </w:rPr>
        <w:t xml:space="preserve"> the </w:t>
      </w:r>
      <w:r w:rsidR="00AA41B2" w:rsidRPr="00717216">
        <w:rPr>
          <w:sz w:val="22"/>
          <w:szCs w:val="22"/>
        </w:rPr>
        <w:t>Code may</w:t>
      </w:r>
      <w:r w:rsidR="00F97491" w:rsidRPr="00717216">
        <w:rPr>
          <w:sz w:val="22"/>
          <w:szCs w:val="22"/>
        </w:rPr>
        <w:t xml:space="preserve"> retain provisions which</w:t>
      </w:r>
      <w:r w:rsidR="00AA41B2" w:rsidRPr="00717216">
        <w:rPr>
          <w:sz w:val="22"/>
          <w:szCs w:val="22"/>
        </w:rPr>
        <w:t xml:space="preserve"> discriminate</w:t>
      </w:r>
      <w:r w:rsidRPr="00717216">
        <w:rPr>
          <w:sz w:val="22"/>
          <w:szCs w:val="22"/>
        </w:rPr>
        <w:t xml:space="preserve"> </w:t>
      </w:r>
      <w:r w:rsidR="00AA41B2" w:rsidRPr="00717216">
        <w:rPr>
          <w:sz w:val="22"/>
          <w:szCs w:val="22"/>
        </w:rPr>
        <w:t>against</w:t>
      </w:r>
      <w:r w:rsidRPr="00717216">
        <w:rPr>
          <w:sz w:val="22"/>
          <w:szCs w:val="22"/>
        </w:rPr>
        <w:t xml:space="preserve"> </w:t>
      </w:r>
      <w:r w:rsidR="00AA41B2" w:rsidRPr="00717216">
        <w:rPr>
          <w:sz w:val="22"/>
          <w:szCs w:val="22"/>
        </w:rPr>
        <w:t>persons with disabilities</w:t>
      </w:r>
      <w:r w:rsidRPr="00717216">
        <w:rPr>
          <w:sz w:val="22"/>
          <w:szCs w:val="22"/>
        </w:rPr>
        <w:t xml:space="preserve"> are </w:t>
      </w:r>
      <w:r w:rsidR="00717216">
        <w:rPr>
          <w:sz w:val="22"/>
          <w:szCs w:val="22"/>
        </w:rPr>
        <w:t xml:space="preserve">also </w:t>
      </w:r>
      <w:r w:rsidRPr="00717216">
        <w:rPr>
          <w:sz w:val="22"/>
          <w:szCs w:val="22"/>
        </w:rPr>
        <w:t xml:space="preserve">not </w:t>
      </w:r>
      <w:r w:rsidR="00AA41B2" w:rsidRPr="00717216">
        <w:rPr>
          <w:sz w:val="22"/>
          <w:szCs w:val="22"/>
        </w:rPr>
        <w:t>addressed</w:t>
      </w:r>
      <w:r w:rsidRPr="00717216">
        <w:rPr>
          <w:sz w:val="22"/>
          <w:szCs w:val="22"/>
        </w:rPr>
        <w:t xml:space="preserve">. </w:t>
      </w:r>
      <w:r w:rsidR="00AA41B2" w:rsidRPr="00717216">
        <w:rPr>
          <w:sz w:val="22"/>
          <w:szCs w:val="22"/>
        </w:rPr>
        <w:t>Likewise, s</w:t>
      </w:r>
      <w:r w:rsidRPr="00717216">
        <w:rPr>
          <w:sz w:val="22"/>
          <w:szCs w:val="22"/>
        </w:rPr>
        <w:t xml:space="preserve">tatelessness is </w:t>
      </w:r>
      <w:r w:rsidR="00AA41B2" w:rsidRPr="00717216">
        <w:rPr>
          <w:sz w:val="22"/>
          <w:szCs w:val="22"/>
        </w:rPr>
        <w:t>not discussed</w:t>
      </w:r>
      <w:r w:rsidR="00321F6E" w:rsidRPr="00717216">
        <w:rPr>
          <w:sz w:val="22"/>
          <w:szCs w:val="22"/>
        </w:rPr>
        <w:t xml:space="preserve"> in the draft law</w:t>
      </w:r>
      <w:r w:rsidR="00903DFC" w:rsidRPr="00717216">
        <w:rPr>
          <w:sz w:val="22"/>
          <w:szCs w:val="22"/>
        </w:rPr>
        <w:t>. I</w:t>
      </w:r>
      <w:r w:rsidRPr="00717216">
        <w:rPr>
          <w:sz w:val="22"/>
          <w:szCs w:val="22"/>
        </w:rPr>
        <w:t xml:space="preserve">f the </w:t>
      </w:r>
      <w:r w:rsidRPr="00717216">
        <w:rPr>
          <w:i/>
          <w:sz w:val="22"/>
          <w:szCs w:val="22"/>
        </w:rPr>
        <w:t>projet de loi</w:t>
      </w:r>
      <w:r w:rsidRPr="00717216">
        <w:rPr>
          <w:sz w:val="22"/>
          <w:szCs w:val="22"/>
        </w:rPr>
        <w:t xml:space="preserve"> moves forward then separate legislation</w:t>
      </w:r>
      <w:r w:rsidR="00AA41B2" w:rsidRPr="00717216">
        <w:rPr>
          <w:sz w:val="22"/>
          <w:szCs w:val="22"/>
        </w:rPr>
        <w:t xml:space="preserve"> will be required to </w:t>
      </w:r>
      <w:r w:rsidR="00321F6E" w:rsidRPr="00717216">
        <w:rPr>
          <w:sz w:val="22"/>
          <w:szCs w:val="22"/>
        </w:rPr>
        <w:t>deal with</w:t>
      </w:r>
      <w:r w:rsidR="00AA41B2" w:rsidRPr="00717216">
        <w:rPr>
          <w:sz w:val="22"/>
          <w:szCs w:val="22"/>
        </w:rPr>
        <w:t xml:space="preserve"> the issue</w:t>
      </w:r>
      <w:r w:rsidRPr="00717216">
        <w:rPr>
          <w:sz w:val="22"/>
          <w:szCs w:val="22"/>
        </w:rPr>
        <w:t xml:space="preserve">. </w:t>
      </w:r>
    </w:p>
    <w:p w14:paraId="7EB53787" w14:textId="77777777" w:rsidR="00A81F40" w:rsidRDefault="00A81F40" w:rsidP="00A81F40">
      <w:pPr>
        <w:pStyle w:val="Default"/>
        <w:ind w:left="567"/>
        <w:jc w:val="both"/>
        <w:rPr>
          <w:sz w:val="22"/>
          <w:szCs w:val="22"/>
        </w:rPr>
      </w:pPr>
    </w:p>
    <w:p w14:paraId="08A3356A" w14:textId="3ECEF556" w:rsidR="00903DFC" w:rsidRDefault="00717216" w:rsidP="009E5C56">
      <w:pPr>
        <w:pStyle w:val="Default"/>
        <w:numPr>
          <w:ilvl w:val="0"/>
          <w:numId w:val="8"/>
        </w:numPr>
        <w:jc w:val="both"/>
        <w:rPr>
          <w:sz w:val="22"/>
          <w:szCs w:val="22"/>
        </w:rPr>
      </w:pPr>
      <w:r>
        <w:rPr>
          <w:sz w:val="22"/>
          <w:szCs w:val="22"/>
        </w:rPr>
        <w:t>A</w:t>
      </w:r>
      <w:r w:rsidR="00903DFC">
        <w:rPr>
          <w:sz w:val="22"/>
          <w:szCs w:val="22"/>
        </w:rPr>
        <w:t xml:space="preserve">t the </w:t>
      </w:r>
      <w:r w:rsidR="00903DFC" w:rsidRPr="00A029DC">
        <w:rPr>
          <w:sz w:val="22"/>
          <w:szCs w:val="22"/>
        </w:rPr>
        <w:t>Istanbul Humanitarian Summit in May 2016</w:t>
      </w:r>
      <w:r w:rsidR="00903DFC">
        <w:rPr>
          <w:sz w:val="22"/>
          <w:szCs w:val="22"/>
        </w:rPr>
        <w:t xml:space="preserve">, President of the Republic, </w:t>
      </w:r>
      <w:r w:rsidR="00903DFC" w:rsidRPr="00A029DC">
        <w:rPr>
          <w:sz w:val="22"/>
          <w:szCs w:val="22"/>
        </w:rPr>
        <w:t>Hery Rajaonarimampianina</w:t>
      </w:r>
      <w:r w:rsidR="00903DFC">
        <w:rPr>
          <w:sz w:val="22"/>
          <w:szCs w:val="22"/>
        </w:rPr>
        <w:t xml:space="preserve">, </w:t>
      </w:r>
      <w:r w:rsidR="006A7E5E">
        <w:rPr>
          <w:sz w:val="22"/>
          <w:szCs w:val="22"/>
        </w:rPr>
        <w:t xml:space="preserve">set out </w:t>
      </w:r>
      <w:r w:rsidR="00673CBF">
        <w:rPr>
          <w:sz w:val="22"/>
          <w:szCs w:val="22"/>
        </w:rPr>
        <w:t>a</w:t>
      </w:r>
      <w:r w:rsidR="006A7E5E">
        <w:rPr>
          <w:sz w:val="22"/>
          <w:szCs w:val="22"/>
        </w:rPr>
        <w:t xml:space="preserve"> timeline for the adoption of the </w:t>
      </w:r>
      <w:r w:rsidR="006A7E5E" w:rsidRPr="001D7722">
        <w:rPr>
          <w:sz w:val="22"/>
          <w:szCs w:val="22"/>
        </w:rPr>
        <w:t>projet de loi</w:t>
      </w:r>
      <w:r w:rsidR="00903DFC">
        <w:rPr>
          <w:sz w:val="22"/>
          <w:szCs w:val="22"/>
        </w:rPr>
        <w:t>, stating:</w:t>
      </w:r>
    </w:p>
    <w:p w14:paraId="7844D87B" w14:textId="77777777" w:rsidR="00903DFC" w:rsidRDefault="00903DFC" w:rsidP="009E5C56">
      <w:pPr>
        <w:pStyle w:val="Default"/>
        <w:ind w:left="567"/>
        <w:jc w:val="both"/>
        <w:rPr>
          <w:sz w:val="22"/>
          <w:szCs w:val="22"/>
        </w:rPr>
      </w:pPr>
    </w:p>
    <w:p w14:paraId="0431D0A3" w14:textId="77777777" w:rsidR="00903DFC" w:rsidRDefault="00903DFC" w:rsidP="00F97491">
      <w:pPr>
        <w:pStyle w:val="Default"/>
        <w:ind w:left="1440" w:right="985"/>
        <w:jc w:val="both"/>
        <w:rPr>
          <w:i/>
          <w:sz w:val="22"/>
          <w:szCs w:val="22"/>
        </w:rPr>
      </w:pPr>
      <w:r w:rsidRPr="00A029DC">
        <w:rPr>
          <w:i/>
          <w:sz w:val="22"/>
          <w:szCs w:val="22"/>
        </w:rPr>
        <w:t xml:space="preserve">The process of adoption of the nationality bill, its enactment and application will be accelerated. The text in question will be implemented by the end of this year. The nationality code will take into account all the provisions of the Convention on the Elimination </w:t>
      </w:r>
      <w:r w:rsidR="006A7E5E">
        <w:rPr>
          <w:i/>
          <w:sz w:val="22"/>
          <w:szCs w:val="22"/>
        </w:rPr>
        <w:t>of All Forms of Discrimination a</w:t>
      </w:r>
      <w:r w:rsidRPr="00A029DC">
        <w:rPr>
          <w:i/>
          <w:sz w:val="22"/>
          <w:szCs w:val="22"/>
        </w:rPr>
        <w:t>gainst Women</w:t>
      </w:r>
      <w:r>
        <w:rPr>
          <w:i/>
          <w:sz w:val="22"/>
          <w:szCs w:val="22"/>
        </w:rPr>
        <w:t>.</w:t>
      </w:r>
      <w:r>
        <w:rPr>
          <w:rStyle w:val="FootnoteReference"/>
          <w:i/>
          <w:sz w:val="22"/>
          <w:szCs w:val="22"/>
        </w:rPr>
        <w:footnoteReference w:id="39"/>
      </w:r>
    </w:p>
    <w:p w14:paraId="061DAAB3" w14:textId="77777777" w:rsidR="006A7E5E" w:rsidRPr="00A029DC" w:rsidRDefault="006A7E5E" w:rsidP="009E5C56">
      <w:pPr>
        <w:pStyle w:val="Default"/>
        <w:ind w:left="567"/>
        <w:jc w:val="both"/>
        <w:rPr>
          <w:sz w:val="22"/>
          <w:szCs w:val="22"/>
        </w:rPr>
      </w:pPr>
    </w:p>
    <w:p w14:paraId="3B2A5252" w14:textId="08F240BF" w:rsidR="00903DFC" w:rsidRPr="00AA41B2" w:rsidRDefault="00A81F40" w:rsidP="009E5C56">
      <w:pPr>
        <w:pStyle w:val="Default"/>
        <w:numPr>
          <w:ilvl w:val="0"/>
          <w:numId w:val="8"/>
        </w:numPr>
        <w:jc w:val="both"/>
        <w:rPr>
          <w:sz w:val="22"/>
          <w:szCs w:val="22"/>
        </w:rPr>
      </w:pPr>
      <w:r>
        <w:rPr>
          <w:sz w:val="22"/>
          <w:szCs w:val="22"/>
        </w:rPr>
        <w:t xml:space="preserve">However, </w:t>
      </w:r>
      <w:r>
        <w:rPr>
          <w:sz w:val="22"/>
          <w:szCs w:val="22"/>
        </w:rPr>
        <w:t xml:space="preserve">there is also little certainty that the government will effect </w:t>
      </w:r>
      <w:r>
        <w:rPr>
          <w:sz w:val="22"/>
          <w:szCs w:val="22"/>
        </w:rPr>
        <w:t>these reforms</w:t>
      </w:r>
      <w:r>
        <w:rPr>
          <w:sz w:val="22"/>
          <w:szCs w:val="22"/>
        </w:rPr>
        <w:t xml:space="preserve">. </w:t>
      </w:r>
      <w:r w:rsidRPr="00717216">
        <w:rPr>
          <w:sz w:val="22"/>
          <w:szCs w:val="22"/>
        </w:rPr>
        <w:t xml:space="preserve">The Council in Government have rejected bills </w:t>
      </w:r>
      <w:r>
        <w:rPr>
          <w:sz w:val="22"/>
          <w:szCs w:val="22"/>
        </w:rPr>
        <w:t>related to discrimination in nationality law</w:t>
      </w:r>
      <w:r w:rsidRPr="00717216">
        <w:rPr>
          <w:sz w:val="22"/>
          <w:szCs w:val="22"/>
        </w:rPr>
        <w:t xml:space="preserve"> before</w:t>
      </w:r>
      <w:r>
        <w:rPr>
          <w:sz w:val="22"/>
          <w:szCs w:val="22"/>
        </w:rPr>
        <w:t>,</w:t>
      </w:r>
      <w:r w:rsidRPr="00717216">
        <w:rPr>
          <w:sz w:val="22"/>
          <w:szCs w:val="22"/>
        </w:rPr>
        <w:t xml:space="preserve"> due to a reluctance to deal with statelessness in Madagascar. </w:t>
      </w:r>
      <w:r>
        <w:rPr>
          <w:sz w:val="22"/>
          <w:szCs w:val="22"/>
        </w:rPr>
        <w:t>Moreover, i</w:t>
      </w:r>
      <w:r w:rsidR="006A7E5E">
        <w:rPr>
          <w:sz w:val="22"/>
          <w:szCs w:val="22"/>
        </w:rPr>
        <w:t>n its current form</w:t>
      </w:r>
      <w:r w:rsidR="00717216">
        <w:rPr>
          <w:sz w:val="22"/>
          <w:szCs w:val="22"/>
        </w:rPr>
        <w:t xml:space="preserve"> however</w:t>
      </w:r>
      <w:r w:rsidR="006A7E5E">
        <w:rPr>
          <w:sz w:val="22"/>
          <w:szCs w:val="22"/>
        </w:rPr>
        <w:t xml:space="preserve">, </w:t>
      </w:r>
      <w:r w:rsidR="00673CBF">
        <w:rPr>
          <w:sz w:val="22"/>
          <w:szCs w:val="22"/>
        </w:rPr>
        <w:t>t</w:t>
      </w:r>
      <w:r w:rsidR="00673CBF" w:rsidRPr="00AA41B2">
        <w:rPr>
          <w:sz w:val="22"/>
          <w:szCs w:val="22"/>
        </w:rPr>
        <w:t xml:space="preserve">he </w:t>
      </w:r>
      <w:r>
        <w:rPr>
          <w:i/>
          <w:sz w:val="22"/>
          <w:szCs w:val="22"/>
        </w:rPr>
        <w:t>project de loi</w:t>
      </w:r>
      <w:r w:rsidR="00673CBF" w:rsidRPr="00AA41B2">
        <w:rPr>
          <w:sz w:val="22"/>
          <w:szCs w:val="22"/>
        </w:rPr>
        <w:t xml:space="preserve"> does not make </w:t>
      </w:r>
      <w:r>
        <w:rPr>
          <w:sz w:val="22"/>
          <w:szCs w:val="22"/>
        </w:rPr>
        <w:t xml:space="preserve">all of </w:t>
      </w:r>
      <w:r w:rsidR="00673CBF" w:rsidRPr="00AA41B2">
        <w:rPr>
          <w:sz w:val="22"/>
          <w:szCs w:val="22"/>
        </w:rPr>
        <w:t>the reforms necessary for full gender equality</w:t>
      </w:r>
      <w:r>
        <w:rPr>
          <w:sz w:val="22"/>
          <w:szCs w:val="22"/>
        </w:rPr>
        <w:t xml:space="preserve"> in nationality law in Madagascar.</w:t>
      </w:r>
    </w:p>
    <w:p w14:paraId="61A4DD97" w14:textId="77777777" w:rsidR="005347AD" w:rsidRDefault="005347AD" w:rsidP="009E5C56">
      <w:pPr>
        <w:pStyle w:val="Default"/>
        <w:jc w:val="both"/>
        <w:rPr>
          <w:rFonts w:eastAsia="Calibri" w:cs="Times New Roman"/>
          <w:color w:val="auto"/>
          <w:sz w:val="22"/>
          <w:szCs w:val="22"/>
        </w:rPr>
      </w:pPr>
    </w:p>
    <w:p w14:paraId="0CD5E6D7" w14:textId="77777777" w:rsidR="005347AD" w:rsidRPr="009E22E2" w:rsidRDefault="005347AD" w:rsidP="009E5C56">
      <w:pPr>
        <w:pStyle w:val="Default"/>
        <w:jc w:val="both"/>
        <w:rPr>
          <w:rFonts w:eastAsia="Calibri" w:cs="Times New Roman"/>
          <w:b/>
          <w:color w:val="auto"/>
          <w:sz w:val="22"/>
          <w:szCs w:val="22"/>
          <w:u w:val="single"/>
        </w:rPr>
      </w:pPr>
      <w:r>
        <w:rPr>
          <w:rFonts w:eastAsia="Calibri" w:cs="Times New Roman"/>
          <w:b/>
          <w:color w:val="auto"/>
          <w:sz w:val="22"/>
          <w:szCs w:val="22"/>
          <w:u w:val="single"/>
        </w:rPr>
        <w:t>Recommended Questions for the List of Issues</w:t>
      </w:r>
    </w:p>
    <w:p w14:paraId="050578B0" w14:textId="77777777" w:rsidR="005347AD" w:rsidRPr="00A3307C" w:rsidRDefault="005347AD" w:rsidP="009E5C56">
      <w:pPr>
        <w:pStyle w:val="Default"/>
        <w:jc w:val="both"/>
        <w:rPr>
          <w:rFonts w:eastAsia="Calibri" w:cs="Times New Roman"/>
          <w:color w:val="auto"/>
          <w:sz w:val="22"/>
          <w:szCs w:val="22"/>
        </w:rPr>
      </w:pPr>
    </w:p>
    <w:p w14:paraId="3DF39C5A" w14:textId="20F88A97" w:rsidR="005347AD" w:rsidRPr="00F97491" w:rsidRDefault="005347AD" w:rsidP="009E5C56">
      <w:pPr>
        <w:pStyle w:val="Default"/>
        <w:numPr>
          <w:ilvl w:val="0"/>
          <w:numId w:val="8"/>
        </w:numPr>
        <w:jc w:val="both"/>
        <w:rPr>
          <w:rFonts w:eastAsia="Calibri" w:cs="Times New Roman"/>
          <w:color w:val="auto"/>
          <w:sz w:val="22"/>
          <w:szCs w:val="22"/>
        </w:rPr>
      </w:pPr>
      <w:r>
        <w:rPr>
          <w:sz w:val="22"/>
          <w:szCs w:val="22"/>
        </w:rPr>
        <w:t>We</w:t>
      </w:r>
      <w:r w:rsidRPr="00EA11F0">
        <w:rPr>
          <w:sz w:val="22"/>
          <w:szCs w:val="22"/>
        </w:rPr>
        <w:t xml:space="preserve"> </w:t>
      </w:r>
      <w:r w:rsidR="00A81F40">
        <w:rPr>
          <w:sz w:val="22"/>
          <w:szCs w:val="22"/>
        </w:rPr>
        <w:t>urge</w:t>
      </w:r>
      <w:r w:rsidRPr="00EA11F0">
        <w:rPr>
          <w:sz w:val="22"/>
          <w:szCs w:val="22"/>
        </w:rPr>
        <w:t xml:space="preserve"> </w:t>
      </w:r>
      <w:r w:rsidR="00A81F40">
        <w:rPr>
          <w:sz w:val="22"/>
          <w:szCs w:val="22"/>
        </w:rPr>
        <w:t>the C</w:t>
      </w:r>
      <w:r w:rsidR="00A81F40">
        <w:rPr>
          <w:sz w:val="22"/>
          <w:szCs w:val="22"/>
        </w:rPr>
        <w:t>ommittee’s C</w:t>
      </w:r>
      <w:r w:rsidR="00A81F40">
        <w:rPr>
          <w:sz w:val="22"/>
          <w:szCs w:val="22"/>
        </w:rPr>
        <w:t>ountry Report Task Force</w:t>
      </w:r>
      <w:r w:rsidR="00A81F40">
        <w:rPr>
          <w:sz w:val="22"/>
          <w:szCs w:val="22"/>
        </w:rPr>
        <w:t xml:space="preserve"> to pose</w:t>
      </w:r>
      <w:r w:rsidR="00A81F40" w:rsidRPr="00EA11F0">
        <w:rPr>
          <w:sz w:val="22"/>
          <w:szCs w:val="22"/>
        </w:rPr>
        <w:t xml:space="preserve"> </w:t>
      </w:r>
      <w:r w:rsidRPr="00EA11F0">
        <w:rPr>
          <w:sz w:val="22"/>
          <w:szCs w:val="22"/>
        </w:rPr>
        <w:t>the following questions</w:t>
      </w:r>
      <w:r>
        <w:rPr>
          <w:sz w:val="22"/>
          <w:szCs w:val="22"/>
        </w:rPr>
        <w:t>:</w:t>
      </w:r>
    </w:p>
    <w:p w14:paraId="45C20D2D" w14:textId="77777777" w:rsidR="00D372F7" w:rsidRDefault="00D372F7" w:rsidP="00F97491">
      <w:pPr>
        <w:pStyle w:val="Default"/>
        <w:ind w:left="567"/>
        <w:jc w:val="both"/>
        <w:rPr>
          <w:rFonts w:eastAsia="Calibri" w:cs="Times New Roman"/>
          <w:color w:val="auto"/>
          <w:sz w:val="22"/>
          <w:szCs w:val="22"/>
        </w:rPr>
      </w:pPr>
    </w:p>
    <w:p w14:paraId="40804114" w14:textId="41433FE4" w:rsidR="005347AD" w:rsidRDefault="005347AD" w:rsidP="00A81F40">
      <w:pPr>
        <w:pStyle w:val="Default"/>
        <w:numPr>
          <w:ilvl w:val="0"/>
          <w:numId w:val="10"/>
        </w:numPr>
        <w:jc w:val="both"/>
        <w:rPr>
          <w:sz w:val="22"/>
          <w:szCs w:val="22"/>
        </w:rPr>
      </w:pPr>
      <w:r>
        <w:rPr>
          <w:sz w:val="22"/>
          <w:szCs w:val="22"/>
        </w:rPr>
        <w:t>How does Madagascar plan to amend its nationality law in order to remove its discriminatory impact, including on the grounds of gender and disability?</w:t>
      </w:r>
    </w:p>
    <w:p w14:paraId="5E3488A5" w14:textId="77777777" w:rsidR="00A81F40" w:rsidRDefault="00A81F40" w:rsidP="00A81F40">
      <w:pPr>
        <w:pStyle w:val="Default"/>
        <w:ind w:left="1443"/>
        <w:jc w:val="both"/>
        <w:rPr>
          <w:sz w:val="22"/>
          <w:szCs w:val="22"/>
        </w:rPr>
      </w:pPr>
    </w:p>
    <w:p w14:paraId="278C025C" w14:textId="088B2C70" w:rsidR="00A81F40" w:rsidRDefault="00A81F40" w:rsidP="00A81F40">
      <w:pPr>
        <w:pStyle w:val="Default"/>
        <w:numPr>
          <w:ilvl w:val="0"/>
          <w:numId w:val="10"/>
        </w:numPr>
        <w:jc w:val="both"/>
        <w:rPr>
          <w:sz w:val="22"/>
          <w:szCs w:val="22"/>
        </w:rPr>
      </w:pPr>
      <w:r>
        <w:rPr>
          <w:sz w:val="22"/>
          <w:szCs w:val="22"/>
        </w:rPr>
        <w:t>When does Madagascar propose to amend its nationality law?</w:t>
      </w:r>
    </w:p>
    <w:p w14:paraId="134D6BEB" w14:textId="77777777" w:rsidR="005347AD" w:rsidRDefault="005347AD" w:rsidP="009E5C56">
      <w:pPr>
        <w:pStyle w:val="Default"/>
        <w:ind w:left="1437" w:hanging="870"/>
        <w:jc w:val="both"/>
        <w:rPr>
          <w:sz w:val="22"/>
          <w:szCs w:val="22"/>
        </w:rPr>
      </w:pPr>
    </w:p>
    <w:p w14:paraId="1C31CD12" w14:textId="660F53AF" w:rsidR="005347AD" w:rsidRDefault="00673CBF" w:rsidP="009E5C56">
      <w:pPr>
        <w:pStyle w:val="Default"/>
        <w:ind w:left="1437" w:hanging="870"/>
        <w:jc w:val="both"/>
        <w:rPr>
          <w:sz w:val="22"/>
          <w:szCs w:val="22"/>
        </w:rPr>
      </w:pPr>
      <w:r>
        <w:rPr>
          <w:sz w:val="22"/>
          <w:szCs w:val="22"/>
        </w:rPr>
        <w:t>(2</w:t>
      </w:r>
      <w:r w:rsidR="005347AD">
        <w:rPr>
          <w:sz w:val="22"/>
          <w:szCs w:val="22"/>
        </w:rPr>
        <w:t>)</w:t>
      </w:r>
      <w:r w:rsidR="005347AD">
        <w:rPr>
          <w:sz w:val="22"/>
          <w:szCs w:val="22"/>
        </w:rPr>
        <w:tab/>
        <w:t xml:space="preserve">What current measures are being undertaken by the State to reduce corruption and discrimination in </w:t>
      </w:r>
      <w:r w:rsidR="00A81F40">
        <w:rPr>
          <w:sz w:val="22"/>
          <w:szCs w:val="22"/>
        </w:rPr>
        <w:t>the application of nationality law?</w:t>
      </w:r>
    </w:p>
    <w:p w14:paraId="3D94F5F1" w14:textId="77777777" w:rsidR="005347AD" w:rsidRDefault="005347AD" w:rsidP="009E5C56">
      <w:pPr>
        <w:pStyle w:val="Default"/>
        <w:ind w:left="1437" w:hanging="870"/>
        <w:jc w:val="both"/>
        <w:rPr>
          <w:sz w:val="22"/>
          <w:szCs w:val="22"/>
        </w:rPr>
      </w:pPr>
    </w:p>
    <w:p w14:paraId="16AC068E" w14:textId="750A4F2A" w:rsidR="005347AD" w:rsidRDefault="00673CBF" w:rsidP="009E5C56">
      <w:pPr>
        <w:pStyle w:val="Default"/>
        <w:ind w:left="1437" w:hanging="870"/>
        <w:jc w:val="both"/>
        <w:rPr>
          <w:sz w:val="22"/>
          <w:szCs w:val="22"/>
        </w:rPr>
      </w:pPr>
      <w:r>
        <w:rPr>
          <w:sz w:val="22"/>
          <w:szCs w:val="22"/>
        </w:rPr>
        <w:t>(3</w:t>
      </w:r>
      <w:r w:rsidR="005347AD">
        <w:rPr>
          <w:sz w:val="22"/>
          <w:szCs w:val="22"/>
        </w:rPr>
        <w:t>)</w:t>
      </w:r>
      <w:r w:rsidR="005347AD">
        <w:rPr>
          <w:sz w:val="22"/>
          <w:szCs w:val="22"/>
        </w:rPr>
        <w:tab/>
        <w:t xml:space="preserve">What measures are being taken by the State to inform individuals of current rules, particularly those rules regarding the age of majority? </w:t>
      </w:r>
    </w:p>
    <w:p w14:paraId="60842D8E" w14:textId="77777777" w:rsidR="00847C3E" w:rsidRDefault="00847C3E" w:rsidP="009E5C56">
      <w:pPr>
        <w:pStyle w:val="Default"/>
        <w:ind w:left="1437" w:hanging="870"/>
        <w:jc w:val="both"/>
        <w:rPr>
          <w:sz w:val="22"/>
          <w:szCs w:val="22"/>
        </w:rPr>
      </w:pPr>
    </w:p>
    <w:p w14:paraId="49D494B9" w14:textId="77777777" w:rsidR="00847C3E" w:rsidRDefault="00847C3E" w:rsidP="009E5C56">
      <w:pPr>
        <w:pStyle w:val="Default"/>
        <w:ind w:left="1437" w:hanging="870"/>
        <w:jc w:val="both"/>
        <w:rPr>
          <w:sz w:val="22"/>
          <w:szCs w:val="22"/>
        </w:rPr>
      </w:pPr>
      <w:r>
        <w:rPr>
          <w:sz w:val="22"/>
          <w:szCs w:val="22"/>
        </w:rPr>
        <w:t>(</w:t>
      </w:r>
      <w:r w:rsidR="00673CBF">
        <w:rPr>
          <w:sz w:val="22"/>
          <w:szCs w:val="22"/>
        </w:rPr>
        <w:t>4</w:t>
      </w:r>
      <w:r>
        <w:rPr>
          <w:sz w:val="22"/>
          <w:szCs w:val="22"/>
        </w:rPr>
        <w:t>)</w:t>
      </w:r>
      <w:r>
        <w:rPr>
          <w:sz w:val="22"/>
          <w:szCs w:val="22"/>
        </w:rPr>
        <w:tab/>
        <w:t>Regarding proposed amendments to the nationality law, is Madagascar planning to apply changes retroactively to those made stateless through discriminatory nationality provisions?</w:t>
      </w:r>
    </w:p>
    <w:p w14:paraId="7B5A6BDF" w14:textId="77777777" w:rsidR="00847C3E" w:rsidRDefault="00847C3E" w:rsidP="009E5C56">
      <w:pPr>
        <w:pStyle w:val="Default"/>
        <w:ind w:left="1437" w:hanging="870"/>
        <w:jc w:val="both"/>
        <w:rPr>
          <w:sz w:val="22"/>
          <w:szCs w:val="22"/>
        </w:rPr>
      </w:pPr>
    </w:p>
    <w:p w14:paraId="56E95514" w14:textId="4796E7CC" w:rsidR="00847C3E" w:rsidRDefault="00847C3E" w:rsidP="009E5C56">
      <w:pPr>
        <w:pStyle w:val="Default"/>
        <w:ind w:left="1437" w:hanging="870"/>
        <w:jc w:val="both"/>
        <w:rPr>
          <w:sz w:val="22"/>
          <w:szCs w:val="22"/>
        </w:rPr>
      </w:pPr>
      <w:r>
        <w:rPr>
          <w:sz w:val="22"/>
          <w:szCs w:val="22"/>
        </w:rPr>
        <w:t>(</w:t>
      </w:r>
      <w:r w:rsidR="00673CBF">
        <w:rPr>
          <w:sz w:val="22"/>
          <w:szCs w:val="22"/>
        </w:rPr>
        <w:t>5</w:t>
      </w:r>
      <w:r>
        <w:rPr>
          <w:sz w:val="22"/>
          <w:szCs w:val="22"/>
        </w:rPr>
        <w:t>)</w:t>
      </w:r>
      <w:r>
        <w:rPr>
          <w:sz w:val="22"/>
          <w:szCs w:val="22"/>
        </w:rPr>
        <w:tab/>
        <w:t>What short-term measures does the State int</w:t>
      </w:r>
      <w:r w:rsidR="00A81F40">
        <w:rPr>
          <w:sz w:val="22"/>
          <w:szCs w:val="22"/>
        </w:rPr>
        <w:t xml:space="preserve">end to adopt in order to allow </w:t>
      </w:r>
      <w:r>
        <w:rPr>
          <w:sz w:val="22"/>
          <w:szCs w:val="22"/>
        </w:rPr>
        <w:t>effective freedom of movement for stateless persons, particularly those wishing to leave and return to the country?</w:t>
      </w:r>
    </w:p>
    <w:p w14:paraId="5071BEE6" w14:textId="77777777" w:rsidR="00847C3E" w:rsidRDefault="00847C3E" w:rsidP="009E5C56">
      <w:pPr>
        <w:pStyle w:val="Default"/>
        <w:ind w:left="1437" w:hanging="870"/>
        <w:jc w:val="both"/>
        <w:rPr>
          <w:sz w:val="22"/>
          <w:szCs w:val="22"/>
        </w:rPr>
      </w:pPr>
    </w:p>
    <w:p w14:paraId="36B56734" w14:textId="3DCBD806" w:rsidR="00847C3E" w:rsidRPr="00820D35" w:rsidRDefault="00847C3E" w:rsidP="009E5C56">
      <w:pPr>
        <w:pStyle w:val="Default"/>
        <w:ind w:left="1437" w:hanging="870"/>
        <w:jc w:val="both"/>
        <w:rPr>
          <w:sz w:val="22"/>
          <w:szCs w:val="22"/>
        </w:rPr>
      </w:pPr>
      <w:r>
        <w:rPr>
          <w:sz w:val="22"/>
          <w:szCs w:val="22"/>
        </w:rPr>
        <w:t>(</w:t>
      </w:r>
      <w:r w:rsidR="00673CBF">
        <w:rPr>
          <w:sz w:val="22"/>
          <w:szCs w:val="22"/>
        </w:rPr>
        <w:t>6</w:t>
      </w:r>
      <w:r>
        <w:rPr>
          <w:sz w:val="22"/>
          <w:szCs w:val="22"/>
        </w:rPr>
        <w:t>)</w:t>
      </w:r>
      <w:r>
        <w:rPr>
          <w:sz w:val="22"/>
          <w:szCs w:val="22"/>
        </w:rPr>
        <w:tab/>
        <w:t xml:space="preserve">What short-term measures does the State intend to adopt in order to </w:t>
      </w:r>
      <w:r w:rsidR="00A81F40">
        <w:rPr>
          <w:sz w:val="22"/>
          <w:szCs w:val="22"/>
        </w:rPr>
        <w:t>ensure</w:t>
      </w:r>
      <w:r>
        <w:rPr>
          <w:sz w:val="22"/>
          <w:szCs w:val="22"/>
        </w:rPr>
        <w:t xml:space="preserve">, </w:t>
      </w:r>
      <w:r>
        <w:rPr>
          <w:i/>
          <w:sz w:val="22"/>
          <w:szCs w:val="22"/>
        </w:rPr>
        <w:t>inter alia</w:t>
      </w:r>
      <w:r>
        <w:rPr>
          <w:sz w:val="22"/>
          <w:szCs w:val="22"/>
        </w:rPr>
        <w:t xml:space="preserve">, </w:t>
      </w:r>
      <w:r w:rsidR="00A81F40">
        <w:rPr>
          <w:sz w:val="22"/>
          <w:szCs w:val="22"/>
        </w:rPr>
        <w:t>non-discrimination on the basis of nationality or citizenship in access to work, education and land</w:t>
      </w:r>
      <w:r>
        <w:rPr>
          <w:sz w:val="22"/>
          <w:szCs w:val="22"/>
        </w:rPr>
        <w:t>?</w:t>
      </w:r>
    </w:p>
    <w:p w14:paraId="68451413" w14:textId="77777777" w:rsidR="00847C3E" w:rsidRDefault="00847C3E" w:rsidP="009E5C56">
      <w:pPr>
        <w:pStyle w:val="Default"/>
        <w:ind w:left="1437" w:hanging="870"/>
        <w:jc w:val="both"/>
        <w:rPr>
          <w:sz w:val="22"/>
          <w:szCs w:val="22"/>
        </w:rPr>
      </w:pPr>
    </w:p>
    <w:p w14:paraId="3D20031B" w14:textId="77777777" w:rsidR="00A374EB" w:rsidRDefault="00A374EB" w:rsidP="009E5C56">
      <w:pPr>
        <w:pStyle w:val="Header"/>
        <w:tabs>
          <w:tab w:val="clear" w:pos="4703"/>
          <w:tab w:val="clear" w:pos="9406"/>
          <w:tab w:val="left" w:pos="4485"/>
        </w:tabs>
        <w:ind w:left="-1800" w:firstLine="1800"/>
      </w:pPr>
      <w:r>
        <w:tab/>
      </w:r>
      <w:r>
        <w:tab/>
      </w:r>
      <w:r>
        <w:tab/>
      </w:r>
      <w:r>
        <w:tab/>
      </w:r>
      <w:r>
        <w:tab/>
      </w:r>
      <w:r>
        <w:tab/>
      </w:r>
    </w:p>
    <w:p w14:paraId="1023F35C" w14:textId="77777777" w:rsidR="00A374EB" w:rsidRDefault="00A374EB" w:rsidP="009E5C56">
      <w:pPr>
        <w:pStyle w:val="Header"/>
        <w:tabs>
          <w:tab w:val="clear" w:pos="4703"/>
          <w:tab w:val="clear" w:pos="9406"/>
          <w:tab w:val="left" w:pos="4485"/>
        </w:tabs>
        <w:ind w:left="-1800" w:firstLine="1800"/>
        <w:rPr>
          <w:rFonts w:ascii="Cambria" w:hAnsi="Cambria"/>
          <w:sz w:val="22"/>
          <w:szCs w:val="22"/>
        </w:rPr>
      </w:pPr>
      <w:r>
        <w:tab/>
      </w:r>
      <w:r>
        <w:tab/>
      </w:r>
      <w:r>
        <w:tab/>
      </w:r>
      <w:r>
        <w:tab/>
      </w:r>
      <w:r>
        <w:tab/>
      </w:r>
      <w:r>
        <w:tab/>
      </w:r>
      <w:r>
        <w:tab/>
      </w:r>
      <w:r>
        <w:tab/>
      </w:r>
      <w:r>
        <w:tab/>
      </w:r>
      <w:r>
        <w:tab/>
        <w:t xml:space="preserve">                                </w:t>
      </w:r>
    </w:p>
    <w:p w14:paraId="4E3BCE03" w14:textId="77777777" w:rsidR="00BB6C18" w:rsidRPr="00D04629" w:rsidRDefault="00BB6C18" w:rsidP="009E5C56">
      <w:pPr>
        <w:pStyle w:val="Header"/>
        <w:tabs>
          <w:tab w:val="clear" w:pos="4703"/>
          <w:tab w:val="clear" w:pos="9406"/>
          <w:tab w:val="left" w:pos="4485"/>
        </w:tabs>
      </w:pPr>
      <w:bookmarkStart w:id="0" w:name="_GoBack"/>
      <w:bookmarkEnd w:id="0"/>
    </w:p>
    <w:sectPr w:rsidR="00BB6C18" w:rsidRPr="00D04629" w:rsidSect="004B3103">
      <w:headerReference w:type="default" r:id="rId9"/>
      <w:footerReference w:type="even" r:id="rId10"/>
      <w:footerReference w:type="default" r:id="rId11"/>
      <w:pgSz w:w="12240" w:h="15840"/>
      <w:pgMar w:top="1440" w:right="1800"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518F" w14:textId="77777777" w:rsidR="00AA0636" w:rsidRDefault="00AA0636">
      <w:r>
        <w:separator/>
      </w:r>
    </w:p>
  </w:endnote>
  <w:endnote w:type="continuationSeparator" w:id="0">
    <w:p w14:paraId="0276B413" w14:textId="77777777" w:rsidR="00AA0636" w:rsidRDefault="00AA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5A7B" w14:textId="77777777" w:rsidR="00D74645" w:rsidRDefault="00713FCB" w:rsidP="00DA65A4">
    <w:pPr>
      <w:pStyle w:val="Footer"/>
      <w:framePr w:wrap="around" w:vAnchor="text" w:hAnchor="margin" w:xAlign="right" w:y="1"/>
      <w:rPr>
        <w:rStyle w:val="PageNumber"/>
      </w:rPr>
    </w:pPr>
    <w:r>
      <w:rPr>
        <w:rStyle w:val="PageNumber"/>
      </w:rPr>
      <w:fldChar w:fldCharType="begin"/>
    </w:r>
    <w:r w:rsidR="00D74645">
      <w:rPr>
        <w:rStyle w:val="PageNumber"/>
      </w:rPr>
      <w:instrText xml:space="preserve">PAGE  </w:instrText>
    </w:r>
    <w:r>
      <w:rPr>
        <w:rStyle w:val="PageNumber"/>
      </w:rPr>
      <w:fldChar w:fldCharType="end"/>
    </w:r>
  </w:p>
  <w:p w14:paraId="48EDFC3F" w14:textId="77777777" w:rsidR="00D74645" w:rsidRDefault="00D74645" w:rsidP="000308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B192" w14:textId="77777777" w:rsidR="00D74645" w:rsidRDefault="00713FCB" w:rsidP="00DA65A4">
    <w:pPr>
      <w:pStyle w:val="Footer"/>
      <w:framePr w:wrap="around" w:vAnchor="text" w:hAnchor="margin" w:xAlign="right" w:y="1"/>
      <w:rPr>
        <w:rStyle w:val="PageNumber"/>
      </w:rPr>
    </w:pPr>
    <w:r>
      <w:rPr>
        <w:rStyle w:val="PageNumber"/>
      </w:rPr>
      <w:fldChar w:fldCharType="begin"/>
    </w:r>
    <w:r w:rsidR="00D74645">
      <w:rPr>
        <w:rStyle w:val="PageNumber"/>
      </w:rPr>
      <w:instrText xml:space="preserve">PAGE  </w:instrText>
    </w:r>
    <w:r>
      <w:rPr>
        <w:rStyle w:val="PageNumber"/>
      </w:rPr>
      <w:fldChar w:fldCharType="separate"/>
    </w:r>
    <w:r w:rsidR="000D4A92">
      <w:rPr>
        <w:rStyle w:val="PageNumber"/>
        <w:noProof/>
      </w:rPr>
      <w:t>10</w:t>
    </w:r>
    <w:r>
      <w:rPr>
        <w:rStyle w:val="PageNumber"/>
      </w:rPr>
      <w:fldChar w:fldCharType="end"/>
    </w:r>
  </w:p>
  <w:p w14:paraId="3ED904E2" w14:textId="77777777" w:rsidR="00D74645" w:rsidRDefault="00D74645" w:rsidP="000308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CC1EA" w14:textId="77777777" w:rsidR="00AA0636" w:rsidRDefault="00AA0636">
      <w:r>
        <w:separator/>
      </w:r>
    </w:p>
  </w:footnote>
  <w:footnote w:type="continuationSeparator" w:id="0">
    <w:p w14:paraId="3A703AC8" w14:textId="77777777" w:rsidR="00AA0636" w:rsidRDefault="00AA0636">
      <w:r>
        <w:continuationSeparator/>
      </w:r>
    </w:p>
  </w:footnote>
  <w:footnote w:id="1">
    <w:p w14:paraId="2518A2E3" w14:textId="77777777" w:rsidR="00D74645" w:rsidRPr="00673CBF" w:rsidRDefault="00D74645"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eastAsia="Calibri" w:hAnsi="Cambria"/>
        </w:rPr>
        <w:t>International Covenant on Civil and Political Rights, 999 U.N.T.S. 171, 1966</w:t>
      </w:r>
      <w:r w:rsidRPr="00673CBF">
        <w:rPr>
          <w:rFonts w:ascii="Cambria" w:hAnsi="Cambria"/>
          <w:b/>
        </w:rPr>
        <w:t>.</w:t>
      </w:r>
    </w:p>
  </w:footnote>
  <w:footnote w:id="2">
    <w:p w14:paraId="3D2D9DA1" w14:textId="77777777" w:rsidR="00D74645" w:rsidRPr="00673CBF" w:rsidRDefault="00D74645"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eastAsia="Calibri" w:hAnsi="Cambria" w:cs="Times New Roman"/>
        </w:rPr>
        <w:t xml:space="preserve">Human Rights Committee, </w:t>
      </w:r>
      <w:r w:rsidRPr="00673CBF">
        <w:rPr>
          <w:rFonts w:ascii="Cambria" w:eastAsia="Calibri" w:hAnsi="Cambria" w:cs="Times New Roman"/>
          <w:i/>
          <w:iCs/>
        </w:rPr>
        <w:t>General Comment No. 18: Non-Discrimination</w:t>
      </w:r>
      <w:r w:rsidRPr="00673CBF">
        <w:rPr>
          <w:rFonts w:ascii="Cambria" w:eastAsia="Calibri" w:hAnsi="Cambria" w:cs="Times New Roman"/>
        </w:rPr>
        <w:t>, UN Doc. HRI/GEN/1/Rev.1, 1989, p. 26.</w:t>
      </w:r>
    </w:p>
  </w:footnote>
  <w:footnote w:id="3">
    <w:p w14:paraId="1A05080D" w14:textId="77777777" w:rsidR="00D74645" w:rsidRPr="00673CBF" w:rsidRDefault="00D74645"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Declaration of Principles on Equality</w:t>
      </w:r>
      <w:r w:rsidRPr="00673CBF">
        <w:rPr>
          <w:rFonts w:ascii="Cambria" w:hAnsi="Cambria"/>
        </w:rPr>
        <w:t>, Equal Rights Trust, London, 2008.</w:t>
      </w:r>
    </w:p>
  </w:footnote>
  <w:footnote w:id="4">
    <w:p w14:paraId="4E12970A" w14:textId="77777777" w:rsidR="00D74645" w:rsidRPr="00673CBF" w:rsidRDefault="00D74645"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Naz Foundation v Government of NCT of Delhi and Others</w:t>
      </w:r>
      <w:r w:rsidRPr="00673CBF">
        <w:rPr>
          <w:rFonts w:ascii="Cambria" w:hAnsi="Cambria"/>
          <w:iCs/>
        </w:rPr>
        <w:t>, High Court of Delhi,</w:t>
      </w:r>
      <w:r w:rsidRPr="00673CBF">
        <w:rPr>
          <w:rFonts w:ascii="Cambria" w:hAnsi="Cambria"/>
        </w:rPr>
        <w:t xml:space="preserve"> WP(C) No. 7455/2001, Para 93.</w:t>
      </w:r>
    </w:p>
  </w:footnote>
  <w:footnote w:id="5">
    <w:p w14:paraId="3A393CF0" w14:textId="77777777" w:rsidR="00D74645" w:rsidRPr="00673CBF" w:rsidRDefault="00D74645"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Parliamentary Assembly of the Council of Europe, </w:t>
      </w:r>
      <w:r w:rsidRPr="00673CBF">
        <w:rPr>
          <w:rFonts w:ascii="Cambria" w:hAnsi="Cambria"/>
          <w:i/>
        </w:rPr>
        <w:t>Resolution and Recommendation: The Declaration of Principles on Equality and activities of the Council of Europe</w:t>
      </w:r>
      <w:r w:rsidRPr="00673CBF">
        <w:rPr>
          <w:rFonts w:ascii="Cambria" w:hAnsi="Cambria"/>
        </w:rPr>
        <w:t>, REC 1986 (2011), 25 November 2011, available at: http://assembly.coe.int/ASP/Doc/ATListingDetails_E.asp?ATID=11380.</w:t>
      </w:r>
    </w:p>
  </w:footnote>
  <w:footnote w:id="6">
    <w:p w14:paraId="40E3A904" w14:textId="77777777" w:rsidR="0092315C" w:rsidRPr="00673CBF" w:rsidRDefault="0092315C"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Committee on the Elimination of Discrimination against Women, </w:t>
      </w:r>
      <w:r w:rsidRPr="00A81F40">
        <w:rPr>
          <w:rFonts w:ascii="Cambria" w:hAnsi="Cambria"/>
          <w:i/>
        </w:rPr>
        <w:t>Concluding Observations: Madagascar</w:t>
      </w:r>
      <w:r w:rsidRPr="00673CBF">
        <w:rPr>
          <w:rFonts w:ascii="Cambria" w:hAnsi="Cambria"/>
        </w:rPr>
        <w:t>, UN Doc. CEDAW/C/MDG/CO/6-7, 24 November 2015, Paras 26 and 27.</w:t>
      </w:r>
    </w:p>
  </w:footnote>
  <w:footnote w:id="7">
    <w:p w14:paraId="78D7D285" w14:textId="77777777" w:rsidR="00D74645" w:rsidRPr="00673CBF" w:rsidRDefault="00D74645" w:rsidP="00673CB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Human Rights Committee, </w:t>
      </w:r>
      <w:r w:rsidRPr="00673CBF">
        <w:rPr>
          <w:rFonts w:ascii="Cambria" w:hAnsi="Cambria"/>
          <w:i/>
        </w:rPr>
        <w:t>Fourth Periodic Report: Madagascar</w:t>
      </w:r>
      <w:r w:rsidRPr="00673CBF">
        <w:rPr>
          <w:rFonts w:ascii="Cambria" w:hAnsi="Cambria"/>
        </w:rPr>
        <w:t>, UN Doc. CCPR/C/MDG/4, 21 December 2015, Para 311.</w:t>
      </w:r>
    </w:p>
  </w:footnote>
  <w:footnote w:id="8">
    <w:p w14:paraId="4757B368" w14:textId="77777777" w:rsidR="00D74645" w:rsidRPr="00673CBF" w:rsidRDefault="00D74645">
      <w:pPr>
        <w:keepNext/>
        <w:keepLines/>
        <w:spacing w:after="200"/>
        <w:rPr>
          <w:rFonts w:ascii="Cambria" w:eastAsia="Calibri" w:hAnsi="Cambria" w:cs="Arial"/>
          <w:sz w:val="20"/>
          <w:szCs w:val="20"/>
          <w:lang w:val="ro-RO"/>
        </w:rPr>
      </w:pPr>
      <w:r w:rsidRPr="00673CBF">
        <w:rPr>
          <w:rStyle w:val="FootnoteReference"/>
          <w:rFonts w:ascii="Cambria" w:hAnsi="Cambria"/>
          <w:sz w:val="20"/>
          <w:szCs w:val="20"/>
        </w:rPr>
        <w:footnoteRef/>
      </w:r>
      <w:r w:rsidRPr="00673CBF">
        <w:rPr>
          <w:rFonts w:ascii="Cambria" w:hAnsi="Cambria"/>
          <w:sz w:val="20"/>
          <w:szCs w:val="20"/>
        </w:rPr>
        <w:t xml:space="preserve"> </w:t>
      </w:r>
      <w:r w:rsidR="00ED3F49" w:rsidRPr="00673CBF">
        <w:rPr>
          <w:rFonts w:ascii="Cambria" w:eastAsia="Calibri" w:hAnsi="Cambria"/>
          <w:sz w:val="20"/>
          <w:szCs w:val="20"/>
          <w:lang w:val="en-GB"/>
        </w:rPr>
        <w:t>See above, Note 2</w:t>
      </w:r>
      <w:r w:rsidRPr="00673CBF">
        <w:rPr>
          <w:rFonts w:ascii="Cambria" w:eastAsia="Calibri" w:hAnsi="Cambria"/>
          <w:sz w:val="20"/>
          <w:szCs w:val="20"/>
          <w:lang w:val="en-GB"/>
        </w:rPr>
        <w:t>, Para 1.</w:t>
      </w:r>
    </w:p>
  </w:footnote>
  <w:footnote w:id="9">
    <w:p w14:paraId="0A8A76D9" w14:textId="476F0D1F" w:rsidR="00F2428F" w:rsidRPr="00673CBF" w:rsidRDefault="00F2428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00A81F40">
        <w:rPr>
          <w:rFonts w:ascii="Cambria" w:eastAsia="Calibri" w:hAnsi="Cambria"/>
        </w:rPr>
        <w:t>See above, note 1</w:t>
      </w:r>
      <w:r w:rsidRPr="00673CBF">
        <w:rPr>
          <w:rFonts w:ascii="Cambria" w:hAnsi="Cambria"/>
        </w:rPr>
        <w:t>, Article 2(1).</w:t>
      </w:r>
    </w:p>
  </w:footnote>
  <w:footnote w:id="10">
    <w:p w14:paraId="7CFE230B" w14:textId="66B337CA" w:rsidR="00F2428F" w:rsidRPr="00673CBF" w:rsidRDefault="00F2428F">
      <w:pPr>
        <w:pStyle w:val="FootnoteText"/>
        <w:spacing w:after="200"/>
        <w:rPr>
          <w:rFonts w:ascii="Cambria" w:hAnsi="Cambria"/>
        </w:rPr>
      </w:pPr>
      <w:r w:rsidRPr="00673CBF">
        <w:rPr>
          <w:rStyle w:val="FootnoteReference"/>
          <w:rFonts w:ascii="Cambria" w:hAnsi="Cambria"/>
        </w:rPr>
        <w:footnoteRef/>
      </w:r>
      <w:r w:rsidR="00A81F40">
        <w:rPr>
          <w:rFonts w:ascii="Cambria" w:hAnsi="Cambria"/>
        </w:rPr>
        <w:t xml:space="preserve"> </w:t>
      </w:r>
      <w:r w:rsidR="00A81F40">
        <w:rPr>
          <w:rFonts w:ascii="Cambria" w:hAnsi="Cambria"/>
          <w:i/>
        </w:rPr>
        <w:t>Ibid.,</w:t>
      </w:r>
      <w:r w:rsidRPr="00673CBF">
        <w:rPr>
          <w:rFonts w:ascii="Cambria" w:hAnsi="Cambria"/>
        </w:rPr>
        <w:t xml:space="preserve"> Article 24(3).</w:t>
      </w:r>
    </w:p>
  </w:footnote>
  <w:footnote w:id="11">
    <w:p w14:paraId="3C935063" w14:textId="77777777" w:rsidR="00F2428F" w:rsidRPr="00673CBF" w:rsidRDefault="00F2428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Human Rights Committee, </w:t>
      </w:r>
      <w:r w:rsidRPr="00673CBF">
        <w:rPr>
          <w:rFonts w:ascii="Cambria" w:hAnsi="Cambria"/>
          <w:i/>
        </w:rPr>
        <w:t>General Comment No. 17: Article 24 (Rights of the child)</w:t>
      </w:r>
      <w:r w:rsidRPr="00673CBF">
        <w:rPr>
          <w:rFonts w:ascii="Cambria" w:hAnsi="Cambria"/>
        </w:rPr>
        <w:t>, UN Doc. HRI/GEN/1/Rev.1, 1989, p. 23, Para 8.</w:t>
      </w:r>
    </w:p>
  </w:footnote>
  <w:footnote w:id="12">
    <w:p w14:paraId="7A7FB550" w14:textId="77777777" w:rsidR="00F2428F" w:rsidRPr="00673CBF" w:rsidRDefault="00F2428F">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Ibid</w:t>
      </w:r>
      <w:r w:rsidRPr="00673CBF">
        <w:rPr>
          <w:rFonts w:ascii="Cambria" w:hAnsi="Cambria"/>
        </w:rPr>
        <w:t>.</w:t>
      </w:r>
    </w:p>
  </w:footnote>
  <w:footnote w:id="13">
    <w:p w14:paraId="105BA59E" w14:textId="3268A3F8" w:rsidR="00574430" w:rsidRPr="00673CBF" w:rsidRDefault="00574430">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00A81F40">
        <w:rPr>
          <w:rFonts w:ascii="Cambria" w:hAnsi="Cambria"/>
        </w:rPr>
        <w:t>See above, note 3</w:t>
      </w:r>
      <w:r w:rsidRPr="00673CBF">
        <w:rPr>
          <w:rFonts w:ascii="Cambria" w:hAnsi="Cambria"/>
        </w:rPr>
        <w:t>, Principle 5.</w:t>
      </w:r>
    </w:p>
  </w:footnote>
  <w:footnote w:id="14">
    <w:p w14:paraId="26ED5313" w14:textId="6992E2BC" w:rsidR="00D372F7" w:rsidRPr="00A81F40" w:rsidRDefault="00C36CDA"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w:t>
      </w:r>
      <w:r w:rsidRPr="00673CBF">
        <w:rPr>
          <w:rFonts w:ascii="Cambria" w:hAnsi="Cambria"/>
        </w:rPr>
        <w:t xml:space="preserve">World Conference on Human Rights, </w:t>
      </w:r>
      <w:r w:rsidRPr="00A81F40">
        <w:rPr>
          <w:rFonts w:ascii="Cambria" w:hAnsi="Cambria"/>
          <w:i/>
        </w:rPr>
        <w:t>Vienna Declaration and Programme of Action</w:t>
      </w:r>
      <w:r w:rsidR="00A81F40">
        <w:rPr>
          <w:rFonts w:ascii="Cambria" w:hAnsi="Cambria"/>
        </w:rPr>
        <w:t>, 25 June 1993, Para. 5.</w:t>
      </w:r>
    </w:p>
  </w:footnote>
  <w:footnote w:id="15">
    <w:p w14:paraId="7622D3FF" w14:textId="77777777" w:rsidR="00574430" w:rsidRPr="00673CBF" w:rsidRDefault="00574430">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Committee on Economic, Social and Cultural Rights, </w:t>
      </w:r>
      <w:r w:rsidRPr="00673CBF">
        <w:rPr>
          <w:rFonts w:ascii="Cambria" w:hAnsi="Cambria"/>
          <w:i/>
        </w:rPr>
        <w:t>General Comment 20: Non-Discrimination in Economic, Social and Cultural Rights</w:t>
      </w:r>
      <w:r w:rsidRPr="00673CBF">
        <w:rPr>
          <w:rFonts w:ascii="Cambria" w:hAnsi="Cambria"/>
        </w:rPr>
        <w:t>, UN Doc. E/C.12/GC/20, 2009, Para 16.</w:t>
      </w:r>
    </w:p>
  </w:footnote>
  <w:footnote w:id="16">
    <w:p w14:paraId="312BD84C" w14:textId="431126A8"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Nationality Code</w:t>
      </w:r>
      <w:r w:rsidR="00A81F40">
        <w:rPr>
          <w:rFonts w:ascii="Cambria" w:hAnsi="Cambria"/>
        </w:rPr>
        <w:t xml:space="preserve"> of Madagascar</w:t>
      </w:r>
      <w:r w:rsidRPr="00673CBF">
        <w:rPr>
          <w:rFonts w:ascii="Cambria" w:hAnsi="Cambria"/>
        </w:rPr>
        <w:t>, Article 22.</w:t>
      </w:r>
    </w:p>
  </w:footnote>
  <w:footnote w:id="17">
    <w:p w14:paraId="7A159C6B"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Ibid</w:t>
      </w:r>
      <w:r w:rsidRPr="00673CBF">
        <w:rPr>
          <w:rFonts w:ascii="Cambria" w:hAnsi="Cambria"/>
        </w:rPr>
        <w:t>., Article 16. Under Article 5 of the Code, the age of majority is 21. Those born outside of marriage to a Madagascan father are similarly eligible to acquire nationality by application.</w:t>
      </w:r>
    </w:p>
  </w:footnote>
  <w:footnote w:id="18">
    <w:p w14:paraId="2A1EB9A5"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Ibid</w:t>
      </w:r>
      <w:r w:rsidRPr="00673CBF">
        <w:rPr>
          <w:rFonts w:ascii="Cambria" w:hAnsi="Cambria"/>
        </w:rPr>
        <w:t>., Article 18.</w:t>
      </w:r>
    </w:p>
  </w:footnote>
  <w:footnote w:id="19">
    <w:p w14:paraId="77C4C3AF"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This discrimination is also applicable for a child adopted by a person of Madagascan nationality (Article 17) and for a foreigner or stateless woman who wants to acquire the nationality of her spouse (Article 24).</w:t>
      </w:r>
    </w:p>
  </w:footnote>
  <w:footnote w:id="20">
    <w:p w14:paraId="5293FB1F"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Ibid</w:t>
      </w:r>
      <w:r w:rsidRPr="00673CBF">
        <w:rPr>
          <w:rFonts w:ascii="Cambria" w:hAnsi="Cambria"/>
        </w:rPr>
        <w:t>., Article 27.</w:t>
      </w:r>
    </w:p>
  </w:footnote>
  <w:footnote w:id="21">
    <w:p w14:paraId="71F60C7B" w14:textId="77777777" w:rsidR="003E2883" w:rsidRPr="00A81F40" w:rsidRDefault="003E2883"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w:t>
      </w:r>
      <w:r w:rsidRPr="00673CBF">
        <w:rPr>
          <w:rFonts w:ascii="Cambria" w:hAnsi="Cambria"/>
        </w:rPr>
        <w:t xml:space="preserve">Equal Rights Trust, </w:t>
      </w:r>
      <w:r w:rsidRPr="00673CBF">
        <w:rPr>
          <w:rFonts w:ascii="Cambria" w:hAnsi="Cambria"/>
          <w:i/>
        </w:rPr>
        <w:t>My Children’s Future: Ending Gender Discrimination in Nationality Laws</w:t>
      </w:r>
      <w:r w:rsidRPr="00673CBF">
        <w:rPr>
          <w:rFonts w:ascii="Cambria" w:hAnsi="Cambria"/>
        </w:rPr>
        <w:t>, 2016, p. 12, available at: http://www.equalrightstrust.org/ertdocumentbank/My%20Children%27s%20Future%20Ending%20Gender%20Discrimination%20in%20Nationality%20Laws.pdf.</w:t>
      </w:r>
    </w:p>
  </w:footnote>
  <w:footnote w:id="22">
    <w:p w14:paraId="1215B97E"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Information provided by United Nations Development Programme Madagascar in their review of </w:t>
      </w:r>
      <w:r w:rsidRPr="00673CBF">
        <w:rPr>
          <w:rFonts w:ascii="Cambria" w:hAnsi="Cambria"/>
          <w:i/>
        </w:rPr>
        <w:t>My Children’s Future</w:t>
      </w:r>
      <w:r w:rsidRPr="00673CBF">
        <w:rPr>
          <w:rFonts w:ascii="Cambria" w:hAnsi="Cambria"/>
        </w:rPr>
        <w:t>.</w:t>
      </w:r>
    </w:p>
  </w:footnote>
  <w:footnote w:id="23">
    <w:p w14:paraId="06BF3451" w14:textId="617DBD7A" w:rsidR="003E2883" w:rsidRPr="00A81F40" w:rsidRDefault="003E2883"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w:t>
      </w:r>
      <w:r>
        <w:rPr>
          <w:rFonts w:ascii="Cambria" w:hAnsi="Cambria"/>
        </w:rPr>
        <w:t>S</w:t>
      </w:r>
      <w:r w:rsidR="000D4A92">
        <w:rPr>
          <w:rFonts w:ascii="Cambria" w:hAnsi="Cambria"/>
        </w:rPr>
        <w:t>ee above, note 21</w:t>
      </w:r>
      <w:r w:rsidRPr="00673CBF">
        <w:rPr>
          <w:rFonts w:ascii="Cambria" w:hAnsi="Cambria"/>
        </w:rPr>
        <w:t>, p. 12.</w:t>
      </w:r>
    </w:p>
  </w:footnote>
  <w:footnote w:id="24">
    <w:p w14:paraId="6B9850AB" w14:textId="77777777" w:rsidR="00D372F7" w:rsidRPr="00A81F40" w:rsidRDefault="00713FCB"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w:t>
      </w:r>
      <w:r w:rsidRPr="00A81F40">
        <w:rPr>
          <w:rFonts w:ascii="Cambria" w:hAnsi="Cambria"/>
          <w:i/>
        </w:rPr>
        <w:t>Ibid</w:t>
      </w:r>
      <w:r w:rsidRPr="00A81F40">
        <w:rPr>
          <w:rFonts w:ascii="Cambria" w:hAnsi="Cambria"/>
        </w:rPr>
        <w:t>., p. 13.</w:t>
      </w:r>
    </w:p>
  </w:footnote>
  <w:footnote w:id="25">
    <w:p w14:paraId="4D5B90EE" w14:textId="77777777" w:rsidR="00D372F7" w:rsidRPr="00A81F40" w:rsidRDefault="00713FCB"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w:t>
      </w:r>
      <w:r w:rsidRPr="00A81F40">
        <w:rPr>
          <w:rFonts w:ascii="Cambria" w:hAnsi="Cambria"/>
          <w:i/>
        </w:rPr>
        <w:t>Ibid</w:t>
      </w:r>
      <w:r w:rsidRPr="00A81F40">
        <w:rPr>
          <w:rFonts w:ascii="Cambria" w:hAnsi="Cambria"/>
        </w:rPr>
        <w:t xml:space="preserve">., p. </w:t>
      </w:r>
      <w:r w:rsidR="00C929B2" w:rsidRPr="00673CBF">
        <w:rPr>
          <w:rFonts w:ascii="Cambria" w:hAnsi="Cambria"/>
        </w:rPr>
        <w:t>14.</w:t>
      </w:r>
    </w:p>
  </w:footnote>
  <w:footnote w:id="26">
    <w:p w14:paraId="4CD3C803" w14:textId="77777777" w:rsidR="00D372F7" w:rsidRPr="00A81F40" w:rsidRDefault="00713FCB"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w:t>
      </w:r>
      <w:r w:rsidRPr="00A81F40">
        <w:rPr>
          <w:rFonts w:ascii="Cambria" w:hAnsi="Cambria"/>
          <w:i/>
        </w:rPr>
        <w:t>Ibid</w:t>
      </w:r>
      <w:r w:rsidR="00C929B2" w:rsidRPr="00673CBF">
        <w:rPr>
          <w:rFonts w:ascii="Cambria" w:hAnsi="Cambria"/>
        </w:rPr>
        <w:t>.</w:t>
      </w:r>
      <w:r w:rsidRPr="00A81F40">
        <w:rPr>
          <w:rFonts w:ascii="Cambria" w:hAnsi="Cambria"/>
        </w:rPr>
        <w:t xml:space="preserve"> </w:t>
      </w:r>
    </w:p>
  </w:footnote>
  <w:footnote w:id="27">
    <w:p w14:paraId="73ACF4DA" w14:textId="7EF5657F"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000D4A92">
        <w:rPr>
          <w:rFonts w:ascii="Cambria" w:hAnsi="Cambria"/>
        </w:rPr>
        <w:t>See above, note 21</w:t>
      </w:r>
      <w:r w:rsidRPr="00673CBF">
        <w:rPr>
          <w:rFonts w:ascii="Cambria" w:hAnsi="Cambria"/>
        </w:rPr>
        <w:t>, p. 31</w:t>
      </w:r>
      <w:r w:rsidR="000D4A92">
        <w:rPr>
          <w:rFonts w:ascii="Cambria" w:hAnsi="Cambria"/>
        </w:rPr>
        <w:t>.</w:t>
      </w:r>
    </w:p>
  </w:footnote>
  <w:footnote w:id="28">
    <w:p w14:paraId="4D3A4043"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eastAsia="Calibri" w:hAnsi="Cambria" w:cs="Times New Roman"/>
          <w:i/>
        </w:rPr>
        <w:t>Case of the</w:t>
      </w:r>
      <w:r w:rsidRPr="00673CBF">
        <w:rPr>
          <w:rFonts w:ascii="Cambria" w:eastAsia="Calibri" w:hAnsi="Cambria" w:cs="Times New Roman"/>
        </w:rPr>
        <w:t xml:space="preserve"> </w:t>
      </w:r>
      <w:r w:rsidRPr="00673CBF">
        <w:rPr>
          <w:rFonts w:ascii="Cambria" w:eastAsia="Calibri" w:hAnsi="Cambria" w:cs="Times New Roman"/>
          <w:i/>
        </w:rPr>
        <w:t>Yean and Bosico Children v. The Dominican Republic</w:t>
      </w:r>
      <w:r w:rsidRPr="00673CBF">
        <w:rPr>
          <w:rFonts w:ascii="Cambria" w:eastAsia="Calibri" w:hAnsi="Cambria" w:cs="Times New Roman"/>
        </w:rPr>
        <w:t>, Inter-American Court of Human Rights, 8 September 2005, Paras 137 and 142.</w:t>
      </w:r>
    </w:p>
  </w:footnote>
  <w:footnote w:id="29">
    <w:p w14:paraId="4EC027ED"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Equal Rights Trust interview with Hussein, 23 January 2015, Majungha, Madagascar.</w:t>
      </w:r>
    </w:p>
  </w:footnote>
  <w:footnote w:id="30">
    <w:p w14:paraId="3CC883EB" w14:textId="6E3258DE" w:rsidR="001870BE" w:rsidRPr="00673CBF" w:rsidRDefault="001870BE">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eastAsia="Calibri" w:hAnsi="Cambria" w:cs="Times New Roman"/>
        </w:rPr>
        <w:t xml:space="preserve">See above, note </w:t>
      </w:r>
      <w:r w:rsidR="000D4A92">
        <w:rPr>
          <w:rFonts w:ascii="Cambria" w:eastAsia="Calibri" w:hAnsi="Cambria" w:cs="Times New Roman"/>
        </w:rPr>
        <w:t>1</w:t>
      </w:r>
      <w:r w:rsidRPr="00673CBF">
        <w:rPr>
          <w:rFonts w:ascii="Cambria" w:eastAsia="Calibri" w:hAnsi="Cambria" w:cs="Times New Roman"/>
        </w:rPr>
        <w:t>1, Para 8.</w:t>
      </w:r>
    </w:p>
  </w:footnote>
  <w:footnote w:id="31">
    <w:p w14:paraId="73799985" w14:textId="77777777" w:rsidR="001870BE" w:rsidRPr="00673CBF" w:rsidRDefault="001870BE">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Stewart v Canada</w:t>
      </w:r>
      <w:r w:rsidRPr="00673CBF">
        <w:rPr>
          <w:rFonts w:ascii="Cambria" w:hAnsi="Cambria"/>
        </w:rPr>
        <w:t>, Human Rights Committee, Communication No. 538/1993, 16 December 1996, UN Doc. CCPR/C/58/D/538/1993, Para 12.4.</w:t>
      </w:r>
    </w:p>
  </w:footnote>
  <w:footnote w:id="32">
    <w:p w14:paraId="1B038AA4" w14:textId="77777777" w:rsidR="001870BE" w:rsidRPr="00673CBF" w:rsidRDefault="001870BE">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Ibid</w:t>
      </w:r>
      <w:r w:rsidRPr="00673CBF">
        <w:rPr>
          <w:rFonts w:ascii="Cambria" w:hAnsi="Cambria"/>
        </w:rPr>
        <w:t>.</w:t>
      </w:r>
    </w:p>
  </w:footnote>
  <w:footnote w:id="33">
    <w:p w14:paraId="71EA6AD9" w14:textId="59502BF2"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Committee on the Rights of the Child, </w:t>
      </w:r>
      <w:r w:rsidRPr="00673CBF">
        <w:rPr>
          <w:rFonts w:ascii="Cambria" w:hAnsi="Cambria"/>
          <w:i/>
        </w:rPr>
        <w:t>Concluding Observations: Madagascar</w:t>
      </w:r>
      <w:r w:rsidRPr="00673CBF">
        <w:rPr>
          <w:rFonts w:ascii="Cambria" w:hAnsi="Cambria"/>
        </w:rPr>
        <w:t>, UN Doc. CRC/C/MFG/CO/3-4, 8 March 2012, Para 32.</w:t>
      </w:r>
    </w:p>
  </w:footnote>
  <w:footnote w:id="34">
    <w:p w14:paraId="49120CA7" w14:textId="73B2C4C5"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Pr="00673CBF">
        <w:rPr>
          <w:rFonts w:ascii="Cambria" w:hAnsi="Cambria"/>
          <w:i/>
        </w:rPr>
        <w:t>Ibid</w:t>
      </w:r>
      <w:r w:rsidRPr="00673CBF">
        <w:rPr>
          <w:rFonts w:ascii="Cambria" w:hAnsi="Cambria"/>
        </w:rPr>
        <w:t>.</w:t>
      </w:r>
    </w:p>
  </w:footnote>
  <w:footnote w:id="35">
    <w:p w14:paraId="547C4C64" w14:textId="4A6D2C7A"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w:t>
      </w:r>
      <w:r w:rsidR="000D4A92">
        <w:rPr>
          <w:rFonts w:ascii="Cambria" w:hAnsi="Cambria"/>
          <w:i/>
        </w:rPr>
        <w:t>Ibid</w:t>
      </w:r>
      <w:r w:rsidR="00ED3F49" w:rsidRPr="00673CBF">
        <w:rPr>
          <w:rFonts w:ascii="Cambria" w:hAnsi="Cambria"/>
        </w:rPr>
        <w:t>.</w:t>
      </w:r>
    </w:p>
  </w:footnote>
  <w:footnote w:id="36">
    <w:p w14:paraId="148C5D10"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Equal Rights Trust interview with Shavana from the Karana community, 23 January 2015, Majungha, Madagascar.</w:t>
      </w:r>
    </w:p>
  </w:footnote>
  <w:footnote w:id="37">
    <w:p w14:paraId="67DAD985" w14:textId="77777777" w:rsidR="00D74645" w:rsidRPr="00673CBF" w:rsidRDefault="00D74645">
      <w:pPr>
        <w:pStyle w:val="FootnoteText"/>
        <w:spacing w:after="200"/>
        <w:rPr>
          <w:rFonts w:ascii="Cambria" w:hAnsi="Cambria"/>
        </w:rPr>
      </w:pPr>
      <w:r w:rsidRPr="00673CBF">
        <w:rPr>
          <w:rStyle w:val="FootnoteReference"/>
          <w:rFonts w:ascii="Cambria" w:hAnsi="Cambria"/>
        </w:rPr>
        <w:footnoteRef/>
      </w:r>
      <w:r w:rsidRPr="00673CBF">
        <w:rPr>
          <w:rFonts w:ascii="Cambria" w:hAnsi="Cambria"/>
        </w:rPr>
        <w:t xml:space="preserve"> Equal Rights Trust interview with Layla, 23 January 2015, Majungha, Madagascar.</w:t>
      </w:r>
    </w:p>
  </w:footnote>
  <w:footnote w:id="38">
    <w:p w14:paraId="1B8F8B7A" w14:textId="77777777" w:rsidR="00D372F7" w:rsidRPr="00A81F40" w:rsidRDefault="00713FCB"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Bill No. 025/2016 of 15 June 2016, Amending and Supplementing Certain Provisions of Order No. 60-064 of 22 July 1960 on the Malagasy Nationality Code, Article 9.</w:t>
      </w:r>
    </w:p>
  </w:footnote>
  <w:footnote w:id="39">
    <w:p w14:paraId="61972F0E" w14:textId="77777777" w:rsidR="00903DFC" w:rsidRPr="00A81F40" w:rsidRDefault="00903DFC" w:rsidP="00A81F40">
      <w:pPr>
        <w:pStyle w:val="FootnoteText"/>
        <w:spacing w:after="200"/>
        <w:rPr>
          <w:rFonts w:ascii="Cambria" w:hAnsi="Cambria"/>
        </w:rPr>
      </w:pPr>
      <w:r w:rsidRPr="00A81F40">
        <w:rPr>
          <w:rStyle w:val="FootnoteReference"/>
          <w:rFonts w:ascii="Cambria" w:hAnsi="Cambria"/>
        </w:rPr>
        <w:footnoteRef/>
      </w:r>
      <w:r w:rsidRPr="00A81F40">
        <w:rPr>
          <w:rFonts w:ascii="Cambria" w:hAnsi="Cambria"/>
        </w:rPr>
        <w:t xml:space="preserve"> Unofficial Translation. Rajaonarimampianina, H., </w:t>
      </w:r>
      <w:r w:rsidRPr="00A81F40">
        <w:rPr>
          <w:rFonts w:ascii="Cambria" w:hAnsi="Cambria"/>
          <w:i/>
        </w:rPr>
        <w:t xml:space="preserve">Statement at the Istanbul Humanitarian Summit, </w:t>
      </w:r>
      <w:r w:rsidRPr="00A81F40">
        <w:rPr>
          <w:rFonts w:ascii="Cambria" w:hAnsi="Cambria"/>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7FE3" w14:textId="77777777" w:rsidR="00D74645" w:rsidRDefault="00D74645" w:rsidP="005971B8">
    <w:pPr>
      <w:pStyle w:val="Header"/>
      <w:ind w:left="-1800"/>
    </w:pP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F39"/>
    <w:multiLevelType w:val="hybridMultilevel"/>
    <w:tmpl w:val="41A6E0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905AF9"/>
    <w:multiLevelType w:val="hybridMultilevel"/>
    <w:tmpl w:val="D55A6A44"/>
    <w:lvl w:ilvl="0" w:tplc="14B243B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C5AC3"/>
    <w:multiLevelType w:val="hybridMultilevel"/>
    <w:tmpl w:val="63A2B42A"/>
    <w:lvl w:ilvl="0" w:tplc="922E82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444E7"/>
    <w:multiLevelType w:val="hybridMultilevel"/>
    <w:tmpl w:val="EECA5534"/>
    <w:lvl w:ilvl="0" w:tplc="B2AE456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4A6427DC"/>
    <w:multiLevelType w:val="hybridMultilevel"/>
    <w:tmpl w:val="CC8ED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657BD"/>
    <w:multiLevelType w:val="hybridMultilevel"/>
    <w:tmpl w:val="D584CF60"/>
    <w:lvl w:ilvl="0" w:tplc="96524E6C">
      <w:start w:val="1"/>
      <w:numFmt w:val="decimal"/>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62B7A52"/>
    <w:multiLevelType w:val="hybridMultilevel"/>
    <w:tmpl w:val="E6B43C3E"/>
    <w:lvl w:ilvl="0" w:tplc="3676A720">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60B24671"/>
    <w:multiLevelType w:val="hybridMultilevel"/>
    <w:tmpl w:val="63A2B42A"/>
    <w:lvl w:ilvl="0" w:tplc="922E82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8176B"/>
    <w:multiLevelType w:val="hybridMultilevel"/>
    <w:tmpl w:val="63A2B42A"/>
    <w:lvl w:ilvl="0" w:tplc="922E82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B8"/>
    <w:rsid w:val="00013300"/>
    <w:rsid w:val="00013680"/>
    <w:rsid w:val="0001658B"/>
    <w:rsid w:val="00023D4C"/>
    <w:rsid w:val="000244DB"/>
    <w:rsid w:val="00025A97"/>
    <w:rsid w:val="00027854"/>
    <w:rsid w:val="0003088A"/>
    <w:rsid w:val="00043B8E"/>
    <w:rsid w:val="00044C09"/>
    <w:rsid w:val="0005137E"/>
    <w:rsid w:val="00054861"/>
    <w:rsid w:val="00061231"/>
    <w:rsid w:val="00066C10"/>
    <w:rsid w:val="00071848"/>
    <w:rsid w:val="000764A5"/>
    <w:rsid w:val="000771EE"/>
    <w:rsid w:val="00077EA3"/>
    <w:rsid w:val="00087D9F"/>
    <w:rsid w:val="000A33C4"/>
    <w:rsid w:val="000B7BB5"/>
    <w:rsid w:val="000C3252"/>
    <w:rsid w:val="000C5C9E"/>
    <w:rsid w:val="000C7E74"/>
    <w:rsid w:val="000D4A6E"/>
    <w:rsid w:val="000D4A92"/>
    <w:rsid w:val="000E4F7D"/>
    <w:rsid w:val="000F55FD"/>
    <w:rsid w:val="000F5D34"/>
    <w:rsid w:val="00106512"/>
    <w:rsid w:val="00107FEF"/>
    <w:rsid w:val="00115D35"/>
    <w:rsid w:val="00123592"/>
    <w:rsid w:val="001307B5"/>
    <w:rsid w:val="00144D4E"/>
    <w:rsid w:val="00147F55"/>
    <w:rsid w:val="001547FC"/>
    <w:rsid w:val="00164B39"/>
    <w:rsid w:val="00167B33"/>
    <w:rsid w:val="00182020"/>
    <w:rsid w:val="00183D7F"/>
    <w:rsid w:val="001870BE"/>
    <w:rsid w:val="00192975"/>
    <w:rsid w:val="00195A65"/>
    <w:rsid w:val="00195B3C"/>
    <w:rsid w:val="001A1D42"/>
    <w:rsid w:val="001A2A8E"/>
    <w:rsid w:val="001B3F9B"/>
    <w:rsid w:val="001B7108"/>
    <w:rsid w:val="001C713A"/>
    <w:rsid w:val="001D7722"/>
    <w:rsid w:val="001E03AC"/>
    <w:rsid w:val="001E2B10"/>
    <w:rsid w:val="001F0F8D"/>
    <w:rsid w:val="001F3887"/>
    <w:rsid w:val="001F56CB"/>
    <w:rsid w:val="002014F9"/>
    <w:rsid w:val="002025E8"/>
    <w:rsid w:val="00221D06"/>
    <w:rsid w:val="00230684"/>
    <w:rsid w:val="00230827"/>
    <w:rsid w:val="002365F6"/>
    <w:rsid w:val="00236879"/>
    <w:rsid w:val="00244B95"/>
    <w:rsid w:val="002569DB"/>
    <w:rsid w:val="00261F05"/>
    <w:rsid w:val="002629B7"/>
    <w:rsid w:val="0026737A"/>
    <w:rsid w:val="002674A6"/>
    <w:rsid w:val="00274173"/>
    <w:rsid w:val="00275C6A"/>
    <w:rsid w:val="002803C9"/>
    <w:rsid w:val="00282C37"/>
    <w:rsid w:val="00284FD5"/>
    <w:rsid w:val="00286DC6"/>
    <w:rsid w:val="0028771B"/>
    <w:rsid w:val="002944C9"/>
    <w:rsid w:val="002B0D5A"/>
    <w:rsid w:val="002C667B"/>
    <w:rsid w:val="002F5EE0"/>
    <w:rsid w:val="00321F6E"/>
    <w:rsid w:val="003256E1"/>
    <w:rsid w:val="0033200F"/>
    <w:rsid w:val="003350B4"/>
    <w:rsid w:val="00337A72"/>
    <w:rsid w:val="00341671"/>
    <w:rsid w:val="00350AE3"/>
    <w:rsid w:val="003567F1"/>
    <w:rsid w:val="00364CC8"/>
    <w:rsid w:val="00371F7F"/>
    <w:rsid w:val="003723D2"/>
    <w:rsid w:val="00377BB3"/>
    <w:rsid w:val="00385A6D"/>
    <w:rsid w:val="00390583"/>
    <w:rsid w:val="003A32D2"/>
    <w:rsid w:val="003B21A2"/>
    <w:rsid w:val="003B77CC"/>
    <w:rsid w:val="003C7481"/>
    <w:rsid w:val="003D0313"/>
    <w:rsid w:val="003E1814"/>
    <w:rsid w:val="003E2883"/>
    <w:rsid w:val="003F4AE2"/>
    <w:rsid w:val="003F6C23"/>
    <w:rsid w:val="004004E4"/>
    <w:rsid w:val="0040474D"/>
    <w:rsid w:val="00411AAA"/>
    <w:rsid w:val="0041514F"/>
    <w:rsid w:val="0042461A"/>
    <w:rsid w:val="0042505E"/>
    <w:rsid w:val="00430FE3"/>
    <w:rsid w:val="004364E2"/>
    <w:rsid w:val="00443BAD"/>
    <w:rsid w:val="00445ACE"/>
    <w:rsid w:val="00447143"/>
    <w:rsid w:val="0044741C"/>
    <w:rsid w:val="004522B6"/>
    <w:rsid w:val="00466C79"/>
    <w:rsid w:val="0047395E"/>
    <w:rsid w:val="00477C89"/>
    <w:rsid w:val="0048322D"/>
    <w:rsid w:val="004901AA"/>
    <w:rsid w:val="004929B1"/>
    <w:rsid w:val="00494C55"/>
    <w:rsid w:val="004B183C"/>
    <w:rsid w:val="004B27F7"/>
    <w:rsid w:val="004B3103"/>
    <w:rsid w:val="004B3CD9"/>
    <w:rsid w:val="004C7499"/>
    <w:rsid w:val="004D0B16"/>
    <w:rsid w:val="004D2FC1"/>
    <w:rsid w:val="004E1FC8"/>
    <w:rsid w:val="004E2ABC"/>
    <w:rsid w:val="005016E2"/>
    <w:rsid w:val="00501EF8"/>
    <w:rsid w:val="00503050"/>
    <w:rsid w:val="00515177"/>
    <w:rsid w:val="00517DD3"/>
    <w:rsid w:val="005347AD"/>
    <w:rsid w:val="005362AE"/>
    <w:rsid w:val="00537C2C"/>
    <w:rsid w:val="00541C88"/>
    <w:rsid w:val="00557ED5"/>
    <w:rsid w:val="00561DDD"/>
    <w:rsid w:val="00561F2F"/>
    <w:rsid w:val="005654AA"/>
    <w:rsid w:val="005741D7"/>
    <w:rsid w:val="00574430"/>
    <w:rsid w:val="00574851"/>
    <w:rsid w:val="00596B76"/>
    <w:rsid w:val="005971B8"/>
    <w:rsid w:val="005A65A1"/>
    <w:rsid w:val="005B2463"/>
    <w:rsid w:val="005C107F"/>
    <w:rsid w:val="005C1473"/>
    <w:rsid w:val="005C37B6"/>
    <w:rsid w:val="005C4D6A"/>
    <w:rsid w:val="005E7662"/>
    <w:rsid w:val="005F1953"/>
    <w:rsid w:val="005F2554"/>
    <w:rsid w:val="00600173"/>
    <w:rsid w:val="00601C8F"/>
    <w:rsid w:val="00604F1D"/>
    <w:rsid w:val="006058D9"/>
    <w:rsid w:val="00605901"/>
    <w:rsid w:val="00606E1C"/>
    <w:rsid w:val="006369FD"/>
    <w:rsid w:val="00642FF3"/>
    <w:rsid w:val="006443E3"/>
    <w:rsid w:val="00654BD0"/>
    <w:rsid w:val="00671F87"/>
    <w:rsid w:val="00673CBF"/>
    <w:rsid w:val="00675DC5"/>
    <w:rsid w:val="00675DD5"/>
    <w:rsid w:val="006919C7"/>
    <w:rsid w:val="006A7E5E"/>
    <w:rsid w:val="006B6802"/>
    <w:rsid w:val="006C0F5E"/>
    <w:rsid w:val="006C2BCB"/>
    <w:rsid w:val="006C5E8A"/>
    <w:rsid w:val="006C6126"/>
    <w:rsid w:val="006C7846"/>
    <w:rsid w:val="006D438C"/>
    <w:rsid w:val="006D78BF"/>
    <w:rsid w:val="006E3D4E"/>
    <w:rsid w:val="006E7246"/>
    <w:rsid w:val="0070302B"/>
    <w:rsid w:val="007063D3"/>
    <w:rsid w:val="00710444"/>
    <w:rsid w:val="00713FCB"/>
    <w:rsid w:val="0071624C"/>
    <w:rsid w:val="00717216"/>
    <w:rsid w:val="00731C2F"/>
    <w:rsid w:val="007406BF"/>
    <w:rsid w:val="00747A17"/>
    <w:rsid w:val="00751D32"/>
    <w:rsid w:val="007529C1"/>
    <w:rsid w:val="007545B0"/>
    <w:rsid w:val="007719C2"/>
    <w:rsid w:val="00772507"/>
    <w:rsid w:val="00775AF4"/>
    <w:rsid w:val="00780D0B"/>
    <w:rsid w:val="00787293"/>
    <w:rsid w:val="007A3FC4"/>
    <w:rsid w:val="007A5D1B"/>
    <w:rsid w:val="007A6A25"/>
    <w:rsid w:val="007D31F9"/>
    <w:rsid w:val="007D6413"/>
    <w:rsid w:val="007E216C"/>
    <w:rsid w:val="00800B96"/>
    <w:rsid w:val="00801C12"/>
    <w:rsid w:val="00814CD1"/>
    <w:rsid w:val="00820D35"/>
    <w:rsid w:val="00824838"/>
    <w:rsid w:val="00836945"/>
    <w:rsid w:val="00837229"/>
    <w:rsid w:val="00837E25"/>
    <w:rsid w:val="008449FD"/>
    <w:rsid w:val="0084581F"/>
    <w:rsid w:val="0084757D"/>
    <w:rsid w:val="00847C3E"/>
    <w:rsid w:val="00854497"/>
    <w:rsid w:val="00856B69"/>
    <w:rsid w:val="00857A70"/>
    <w:rsid w:val="008659E8"/>
    <w:rsid w:val="00871059"/>
    <w:rsid w:val="0087423B"/>
    <w:rsid w:val="008A2D87"/>
    <w:rsid w:val="008A5748"/>
    <w:rsid w:val="008A5AB0"/>
    <w:rsid w:val="008A77A2"/>
    <w:rsid w:val="008B11D7"/>
    <w:rsid w:val="008B2FEC"/>
    <w:rsid w:val="008B7ACC"/>
    <w:rsid w:val="008C5C97"/>
    <w:rsid w:val="008D7AEC"/>
    <w:rsid w:val="008F4C7C"/>
    <w:rsid w:val="008F673D"/>
    <w:rsid w:val="00901079"/>
    <w:rsid w:val="009026D0"/>
    <w:rsid w:val="00903DFC"/>
    <w:rsid w:val="00906945"/>
    <w:rsid w:val="00907DA4"/>
    <w:rsid w:val="0092315C"/>
    <w:rsid w:val="009310E2"/>
    <w:rsid w:val="00935B5F"/>
    <w:rsid w:val="00940EF0"/>
    <w:rsid w:val="00941EF5"/>
    <w:rsid w:val="00943F17"/>
    <w:rsid w:val="00946685"/>
    <w:rsid w:val="00947140"/>
    <w:rsid w:val="009568DC"/>
    <w:rsid w:val="009726E8"/>
    <w:rsid w:val="00975E12"/>
    <w:rsid w:val="00980BAE"/>
    <w:rsid w:val="009844FD"/>
    <w:rsid w:val="009901BB"/>
    <w:rsid w:val="009906AB"/>
    <w:rsid w:val="0099094F"/>
    <w:rsid w:val="009B2149"/>
    <w:rsid w:val="009B3856"/>
    <w:rsid w:val="009C1F89"/>
    <w:rsid w:val="009D2F8A"/>
    <w:rsid w:val="009D4D67"/>
    <w:rsid w:val="009E0262"/>
    <w:rsid w:val="009E22E2"/>
    <w:rsid w:val="009E2DB0"/>
    <w:rsid w:val="009E33EE"/>
    <w:rsid w:val="009E5164"/>
    <w:rsid w:val="009E5C56"/>
    <w:rsid w:val="00A029DC"/>
    <w:rsid w:val="00A05AAA"/>
    <w:rsid w:val="00A07D28"/>
    <w:rsid w:val="00A256C7"/>
    <w:rsid w:val="00A31602"/>
    <w:rsid w:val="00A3307C"/>
    <w:rsid w:val="00A374EB"/>
    <w:rsid w:val="00A4075E"/>
    <w:rsid w:val="00A4555A"/>
    <w:rsid w:val="00A545FC"/>
    <w:rsid w:val="00A5752F"/>
    <w:rsid w:val="00A63BB2"/>
    <w:rsid w:val="00A81F40"/>
    <w:rsid w:val="00A8746A"/>
    <w:rsid w:val="00A90F28"/>
    <w:rsid w:val="00AA0636"/>
    <w:rsid w:val="00AA1209"/>
    <w:rsid w:val="00AA41B2"/>
    <w:rsid w:val="00AA51F4"/>
    <w:rsid w:val="00AA6A00"/>
    <w:rsid w:val="00AB5A7C"/>
    <w:rsid w:val="00AB67B1"/>
    <w:rsid w:val="00AD228B"/>
    <w:rsid w:val="00AD45AA"/>
    <w:rsid w:val="00AE1BA1"/>
    <w:rsid w:val="00AE4356"/>
    <w:rsid w:val="00AF324C"/>
    <w:rsid w:val="00AF796C"/>
    <w:rsid w:val="00B0122E"/>
    <w:rsid w:val="00B01DCE"/>
    <w:rsid w:val="00B06078"/>
    <w:rsid w:val="00B242DC"/>
    <w:rsid w:val="00B31743"/>
    <w:rsid w:val="00B4395B"/>
    <w:rsid w:val="00B64B85"/>
    <w:rsid w:val="00B722CA"/>
    <w:rsid w:val="00B74943"/>
    <w:rsid w:val="00B831BD"/>
    <w:rsid w:val="00B9583F"/>
    <w:rsid w:val="00B96C69"/>
    <w:rsid w:val="00BA18C3"/>
    <w:rsid w:val="00BA74E6"/>
    <w:rsid w:val="00BA7FAF"/>
    <w:rsid w:val="00BB51E3"/>
    <w:rsid w:val="00BB57DE"/>
    <w:rsid w:val="00BB6C18"/>
    <w:rsid w:val="00BD1AE2"/>
    <w:rsid w:val="00BD34C4"/>
    <w:rsid w:val="00BD51EC"/>
    <w:rsid w:val="00BE0846"/>
    <w:rsid w:val="00BE2BA1"/>
    <w:rsid w:val="00BE3155"/>
    <w:rsid w:val="00BF6B6B"/>
    <w:rsid w:val="00C00610"/>
    <w:rsid w:val="00C02902"/>
    <w:rsid w:val="00C03FFD"/>
    <w:rsid w:val="00C05F7C"/>
    <w:rsid w:val="00C063ED"/>
    <w:rsid w:val="00C10326"/>
    <w:rsid w:val="00C16CAE"/>
    <w:rsid w:val="00C24ADC"/>
    <w:rsid w:val="00C36CDA"/>
    <w:rsid w:val="00C5797C"/>
    <w:rsid w:val="00C65FE7"/>
    <w:rsid w:val="00C8477C"/>
    <w:rsid w:val="00C855B6"/>
    <w:rsid w:val="00C861B8"/>
    <w:rsid w:val="00C929B2"/>
    <w:rsid w:val="00CA02FC"/>
    <w:rsid w:val="00CA1A02"/>
    <w:rsid w:val="00CA250F"/>
    <w:rsid w:val="00CD07A5"/>
    <w:rsid w:val="00CE2063"/>
    <w:rsid w:val="00CF2222"/>
    <w:rsid w:val="00D04629"/>
    <w:rsid w:val="00D046BD"/>
    <w:rsid w:val="00D13211"/>
    <w:rsid w:val="00D14C7D"/>
    <w:rsid w:val="00D15C7B"/>
    <w:rsid w:val="00D33FEC"/>
    <w:rsid w:val="00D3460B"/>
    <w:rsid w:val="00D3708A"/>
    <w:rsid w:val="00D372F7"/>
    <w:rsid w:val="00D464B8"/>
    <w:rsid w:val="00D5753E"/>
    <w:rsid w:val="00D74645"/>
    <w:rsid w:val="00D7673E"/>
    <w:rsid w:val="00D9022F"/>
    <w:rsid w:val="00D90871"/>
    <w:rsid w:val="00D909AD"/>
    <w:rsid w:val="00D90B29"/>
    <w:rsid w:val="00D93C0C"/>
    <w:rsid w:val="00DA65A4"/>
    <w:rsid w:val="00DB069F"/>
    <w:rsid w:val="00DB07D7"/>
    <w:rsid w:val="00DB3C43"/>
    <w:rsid w:val="00DD1000"/>
    <w:rsid w:val="00DD2849"/>
    <w:rsid w:val="00DD68E4"/>
    <w:rsid w:val="00DE01AD"/>
    <w:rsid w:val="00DE6569"/>
    <w:rsid w:val="00DE72CF"/>
    <w:rsid w:val="00E04D6E"/>
    <w:rsid w:val="00E0508F"/>
    <w:rsid w:val="00E11178"/>
    <w:rsid w:val="00E12503"/>
    <w:rsid w:val="00E15968"/>
    <w:rsid w:val="00E20C44"/>
    <w:rsid w:val="00E25B6B"/>
    <w:rsid w:val="00E352BF"/>
    <w:rsid w:val="00E3702E"/>
    <w:rsid w:val="00E43528"/>
    <w:rsid w:val="00E62F26"/>
    <w:rsid w:val="00E65183"/>
    <w:rsid w:val="00E82B02"/>
    <w:rsid w:val="00E91FD1"/>
    <w:rsid w:val="00E95D9F"/>
    <w:rsid w:val="00EA036C"/>
    <w:rsid w:val="00EB42CB"/>
    <w:rsid w:val="00EB6D61"/>
    <w:rsid w:val="00EC1964"/>
    <w:rsid w:val="00EC29ED"/>
    <w:rsid w:val="00EC4C81"/>
    <w:rsid w:val="00EC4FA3"/>
    <w:rsid w:val="00ED1ECE"/>
    <w:rsid w:val="00ED3383"/>
    <w:rsid w:val="00ED3F49"/>
    <w:rsid w:val="00EE1182"/>
    <w:rsid w:val="00F04DD2"/>
    <w:rsid w:val="00F168C8"/>
    <w:rsid w:val="00F202B3"/>
    <w:rsid w:val="00F2428F"/>
    <w:rsid w:val="00F34FAC"/>
    <w:rsid w:val="00F43B2B"/>
    <w:rsid w:val="00F5029D"/>
    <w:rsid w:val="00F56B75"/>
    <w:rsid w:val="00F56FC0"/>
    <w:rsid w:val="00F6174A"/>
    <w:rsid w:val="00F64DE9"/>
    <w:rsid w:val="00F664C9"/>
    <w:rsid w:val="00F74E5D"/>
    <w:rsid w:val="00F80C9F"/>
    <w:rsid w:val="00F8624D"/>
    <w:rsid w:val="00F97491"/>
    <w:rsid w:val="00FA2449"/>
    <w:rsid w:val="00FC38E1"/>
    <w:rsid w:val="00FC63F5"/>
    <w:rsid w:val="00FD10EC"/>
    <w:rsid w:val="00FE6724"/>
    <w:rsid w:val="00FE77E8"/>
    <w:rsid w:val="00FF32E8"/>
    <w:rsid w:val="00FF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F365D"/>
  <w15:docId w15:val="{C8AC026E-C577-4B67-9982-27660A0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71B8"/>
    <w:pPr>
      <w:tabs>
        <w:tab w:val="center" w:pos="4703"/>
        <w:tab w:val="right" w:pos="9406"/>
      </w:tabs>
    </w:pPr>
  </w:style>
  <w:style w:type="paragraph" w:styleId="Footer">
    <w:name w:val="footer"/>
    <w:basedOn w:val="Normal"/>
    <w:rsid w:val="005971B8"/>
    <w:pPr>
      <w:tabs>
        <w:tab w:val="center" w:pos="4703"/>
        <w:tab w:val="right" w:pos="9406"/>
      </w:tabs>
    </w:pPr>
  </w:style>
  <w:style w:type="character" w:customStyle="1" w:styleId="apple-style-span">
    <w:name w:val="apple-style-span"/>
    <w:basedOn w:val="DefaultParagraphFont"/>
    <w:rsid w:val="009D4D67"/>
  </w:style>
  <w:style w:type="character" w:customStyle="1" w:styleId="apple-converted-space">
    <w:name w:val="apple-converted-space"/>
    <w:basedOn w:val="DefaultParagraphFont"/>
    <w:rsid w:val="009D4D67"/>
  </w:style>
  <w:style w:type="character" w:styleId="PageNumber">
    <w:name w:val="page number"/>
    <w:basedOn w:val="DefaultParagraphFont"/>
    <w:rsid w:val="0003088A"/>
  </w:style>
  <w:style w:type="character" w:customStyle="1" w:styleId="HeaderChar">
    <w:name w:val="Header Char"/>
    <w:link w:val="Header"/>
    <w:locked/>
    <w:rsid w:val="00C063ED"/>
    <w:rPr>
      <w:sz w:val="24"/>
      <w:szCs w:val="24"/>
      <w:lang w:val="en-US" w:eastAsia="en-US"/>
    </w:rPr>
  </w:style>
  <w:style w:type="paragraph" w:styleId="ListParagraph">
    <w:name w:val="List Paragraph"/>
    <w:basedOn w:val="Normal"/>
    <w:uiPriority w:val="34"/>
    <w:qFormat/>
    <w:rsid w:val="00DD68E4"/>
    <w:pPr>
      <w:ind w:left="720"/>
      <w:contextualSpacing/>
    </w:pPr>
  </w:style>
  <w:style w:type="paragraph" w:styleId="BalloonText">
    <w:name w:val="Balloon Text"/>
    <w:basedOn w:val="Normal"/>
    <w:link w:val="BalloonTextChar"/>
    <w:rsid w:val="009B3856"/>
    <w:rPr>
      <w:rFonts w:ascii="Segoe UI" w:hAnsi="Segoe UI" w:cs="Segoe UI"/>
      <w:sz w:val="18"/>
      <w:szCs w:val="18"/>
    </w:rPr>
  </w:style>
  <w:style w:type="character" w:customStyle="1" w:styleId="BalloonTextChar">
    <w:name w:val="Balloon Text Char"/>
    <w:basedOn w:val="DefaultParagraphFont"/>
    <w:link w:val="BalloonText"/>
    <w:rsid w:val="009B3856"/>
    <w:rPr>
      <w:rFonts w:ascii="Segoe UI" w:hAnsi="Segoe UI" w:cs="Segoe UI"/>
      <w:sz w:val="18"/>
      <w:szCs w:val="18"/>
      <w:lang w:val="en-US" w:eastAsia="en-US"/>
    </w:rPr>
  </w:style>
  <w:style w:type="paragraph" w:customStyle="1" w:styleId="Default">
    <w:name w:val="Default"/>
    <w:rsid w:val="00B4395B"/>
    <w:pPr>
      <w:autoSpaceDE w:val="0"/>
      <w:autoSpaceDN w:val="0"/>
      <w:adjustRightInd w:val="0"/>
    </w:pPr>
    <w:rPr>
      <w:rFonts w:ascii="Cambria" w:eastAsiaTheme="minorHAnsi" w:hAnsi="Cambria" w:cs="Cambria"/>
      <w:color w:val="000000"/>
      <w:sz w:val="24"/>
      <w:szCs w:val="24"/>
      <w:lang w:eastAsia="en-US"/>
    </w:rPr>
  </w:style>
  <w:style w:type="paragraph" w:styleId="FootnoteText">
    <w:name w:val="footnote text"/>
    <w:basedOn w:val="Normal"/>
    <w:link w:val="FootnoteTextChar"/>
    <w:uiPriority w:val="99"/>
    <w:unhideWhenUsed/>
    <w:rsid w:val="00B4395B"/>
    <w:rPr>
      <w:rFonts w:ascii="Arial" w:eastAsiaTheme="minorHAnsi" w:hAnsi="Arial" w:cstheme="minorBidi"/>
      <w:sz w:val="20"/>
      <w:szCs w:val="20"/>
      <w:lang w:val="en-GB"/>
    </w:rPr>
  </w:style>
  <w:style w:type="character" w:customStyle="1" w:styleId="FootnoteTextChar">
    <w:name w:val="Footnote Text Char"/>
    <w:basedOn w:val="DefaultParagraphFont"/>
    <w:link w:val="FootnoteText"/>
    <w:uiPriority w:val="99"/>
    <w:rsid w:val="00B4395B"/>
    <w:rPr>
      <w:rFonts w:ascii="Arial" w:eastAsiaTheme="minorHAnsi" w:hAnsi="Arial" w:cstheme="minorBidi"/>
      <w:lang w:eastAsia="en-US"/>
    </w:rPr>
  </w:style>
  <w:style w:type="character" w:styleId="FootnoteReference">
    <w:name w:val="footnote reference"/>
    <w:aliases w:val="4_G,Times 10 Point, Exposant 3 Point,Footnote symbol,Footnote reference number,Exposant 3 Point,EN Footnote Reference,note TESI,16 Point,Superscript 6 Point,ftref,Rimando nota a piè di pagina1,Footnotes refss,Footnote Refernece,[0],FZ"/>
    <w:basedOn w:val="DefaultParagraphFont"/>
    <w:link w:val="AppelnotedebasdepageCharCharCharCharCharCharChar"/>
    <w:uiPriority w:val="99"/>
    <w:unhideWhenUsed/>
    <w:qFormat/>
    <w:rsid w:val="00B4395B"/>
    <w:rPr>
      <w:vertAlign w:val="superscript"/>
    </w:rPr>
  </w:style>
  <w:style w:type="character" w:styleId="Hyperlink">
    <w:name w:val="Hyperlink"/>
    <w:basedOn w:val="DefaultParagraphFont"/>
    <w:rsid w:val="009901BB"/>
    <w:rPr>
      <w:color w:val="0563C1" w:themeColor="hyperlink"/>
      <w:u w:val="single"/>
    </w:rPr>
  </w:style>
  <w:style w:type="paragraph" w:customStyle="1" w:styleId="AppelnotedebasdepageCharCharCharCharCharCharChar">
    <w:name w:val="Appel note de bas de page Char Char Char Char Char Char Char"/>
    <w:basedOn w:val="Normal"/>
    <w:link w:val="FootnoteReference"/>
    <w:uiPriority w:val="99"/>
    <w:rsid w:val="00477C89"/>
    <w:pPr>
      <w:jc w:val="both"/>
    </w:pPr>
    <w:rPr>
      <w:sz w:val="20"/>
      <w:szCs w:val="20"/>
      <w:vertAlign w:val="superscript"/>
      <w:lang w:val="en-GB" w:eastAsia="en-GB"/>
    </w:rPr>
  </w:style>
  <w:style w:type="character" w:styleId="CommentReference">
    <w:name w:val="annotation reference"/>
    <w:basedOn w:val="DefaultParagraphFont"/>
    <w:rsid w:val="00837229"/>
    <w:rPr>
      <w:sz w:val="16"/>
      <w:szCs w:val="16"/>
    </w:rPr>
  </w:style>
  <w:style w:type="paragraph" w:styleId="CommentText">
    <w:name w:val="annotation text"/>
    <w:basedOn w:val="Normal"/>
    <w:link w:val="CommentTextChar"/>
    <w:rsid w:val="00837229"/>
    <w:rPr>
      <w:sz w:val="20"/>
      <w:szCs w:val="20"/>
    </w:rPr>
  </w:style>
  <w:style w:type="character" w:customStyle="1" w:styleId="CommentTextChar">
    <w:name w:val="Comment Text Char"/>
    <w:basedOn w:val="DefaultParagraphFont"/>
    <w:link w:val="CommentText"/>
    <w:rsid w:val="00837229"/>
    <w:rPr>
      <w:lang w:val="en-US" w:eastAsia="en-US"/>
    </w:rPr>
  </w:style>
  <w:style w:type="paragraph" w:styleId="CommentSubject">
    <w:name w:val="annotation subject"/>
    <w:basedOn w:val="CommentText"/>
    <w:next w:val="CommentText"/>
    <w:link w:val="CommentSubjectChar"/>
    <w:rsid w:val="00837229"/>
    <w:rPr>
      <w:b/>
      <w:bCs/>
    </w:rPr>
  </w:style>
  <w:style w:type="character" w:customStyle="1" w:styleId="CommentSubjectChar">
    <w:name w:val="Comment Subject Char"/>
    <w:basedOn w:val="CommentTextChar"/>
    <w:link w:val="CommentSubject"/>
    <w:rsid w:val="00837229"/>
    <w:rPr>
      <w:b/>
      <w:bCs/>
      <w:lang w:val="en-US" w:eastAsia="en-US"/>
    </w:rPr>
  </w:style>
  <w:style w:type="paragraph" w:styleId="Revision">
    <w:name w:val="Revision"/>
    <w:hidden/>
    <w:uiPriority w:val="99"/>
    <w:semiHidden/>
    <w:rsid w:val="001E03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298">
      <w:bodyDiv w:val="1"/>
      <w:marLeft w:val="0"/>
      <w:marRight w:val="0"/>
      <w:marTop w:val="0"/>
      <w:marBottom w:val="0"/>
      <w:divBdr>
        <w:top w:val="none" w:sz="0" w:space="0" w:color="auto"/>
        <w:left w:val="none" w:sz="0" w:space="0" w:color="auto"/>
        <w:bottom w:val="none" w:sz="0" w:space="0" w:color="auto"/>
        <w:right w:val="none" w:sz="0" w:space="0" w:color="auto"/>
      </w:divBdr>
    </w:div>
    <w:div w:id="352849032">
      <w:bodyDiv w:val="1"/>
      <w:marLeft w:val="0"/>
      <w:marRight w:val="0"/>
      <w:marTop w:val="0"/>
      <w:marBottom w:val="0"/>
      <w:divBdr>
        <w:top w:val="none" w:sz="0" w:space="0" w:color="auto"/>
        <w:left w:val="none" w:sz="0" w:space="0" w:color="auto"/>
        <w:bottom w:val="none" w:sz="0" w:space="0" w:color="auto"/>
        <w:right w:val="none" w:sz="0" w:space="0" w:color="auto"/>
      </w:divBdr>
    </w:div>
    <w:div w:id="423965800">
      <w:bodyDiv w:val="1"/>
      <w:marLeft w:val="0"/>
      <w:marRight w:val="0"/>
      <w:marTop w:val="0"/>
      <w:marBottom w:val="0"/>
      <w:divBdr>
        <w:top w:val="none" w:sz="0" w:space="0" w:color="auto"/>
        <w:left w:val="none" w:sz="0" w:space="0" w:color="auto"/>
        <w:bottom w:val="none" w:sz="0" w:space="0" w:color="auto"/>
        <w:right w:val="none" w:sz="0" w:space="0" w:color="auto"/>
      </w:divBdr>
    </w:div>
    <w:div w:id="535655605">
      <w:bodyDiv w:val="1"/>
      <w:marLeft w:val="0"/>
      <w:marRight w:val="0"/>
      <w:marTop w:val="0"/>
      <w:marBottom w:val="0"/>
      <w:divBdr>
        <w:top w:val="none" w:sz="0" w:space="0" w:color="auto"/>
        <w:left w:val="none" w:sz="0" w:space="0" w:color="auto"/>
        <w:bottom w:val="none" w:sz="0" w:space="0" w:color="auto"/>
        <w:right w:val="none" w:sz="0" w:space="0" w:color="auto"/>
      </w:divBdr>
    </w:div>
    <w:div w:id="743141236">
      <w:bodyDiv w:val="1"/>
      <w:marLeft w:val="0"/>
      <w:marRight w:val="0"/>
      <w:marTop w:val="0"/>
      <w:marBottom w:val="0"/>
      <w:divBdr>
        <w:top w:val="none" w:sz="0" w:space="0" w:color="auto"/>
        <w:left w:val="none" w:sz="0" w:space="0" w:color="auto"/>
        <w:bottom w:val="none" w:sz="0" w:space="0" w:color="auto"/>
        <w:right w:val="none" w:sz="0" w:space="0" w:color="auto"/>
      </w:divBdr>
    </w:div>
    <w:div w:id="767970204">
      <w:bodyDiv w:val="1"/>
      <w:marLeft w:val="0"/>
      <w:marRight w:val="0"/>
      <w:marTop w:val="0"/>
      <w:marBottom w:val="0"/>
      <w:divBdr>
        <w:top w:val="none" w:sz="0" w:space="0" w:color="auto"/>
        <w:left w:val="none" w:sz="0" w:space="0" w:color="auto"/>
        <w:bottom w:val="none" w:sz="0" w:space="0" w:color="auto"/>
        <w:right w:val="none" w:sz="0" w:space="0" w:color="auto"/>
      </w:divBdr>
    </w:div>
    <w:div w:id="1153526269">
      <w:bodyDiv w:val="1"/>
      <w:marLeft w:val="0"/>
      <w:marRight w:val="0"/>
      <w:marTop w:val="0"/>
      <w:marBottom w:val="0"/>
      <w:divBdr>
        <w:top w:val="none" w:sz="0" w:space="0" w:color="auto"/>
        <w:left w:val="none" w:sz="0" w:space="0" w:color="auto"/>
        <w:bottom w:val="none" w:sz="0" w:space="0" w:color="auto"/>
        <w:right w:val="none" w:sz="0" w:space="0" w:color="auto"/>
      </w:divBdr>
    </w:div>
    <w:div w:id="1406876660">
      <w:bodyDiv w:val="1"/>
      <w:marLeft w:val="0"/>
      <w:marRight w:val="0"/>
      <w:marTop w:val="0"/>
      <w:marBottom w:val="0"/>
      <w:divBdr>
        <w:top w:val="none" w:sz="0" w:space="0" w:color="auto"/>
        <w:left w:val="none" w:sz="0" w:space="0" w:color="auto"/>
        <w:bottom w:val="none" w:sz="0" w:space="0" w:color="auto"/>
        <w:right w:val="none" w:sz="0" w:space="0" w:color="auto"/>
      </w:divBdr>
    </w:div>
    <w:div w:id="1830247023">
      <w:bodyDiv w:val="1"/>
      <w:marLeft w:val="0"/>
      <w:marRight w:val="0"/>
      <w:marTop w:val="0"/>
      <w:marBottom w:val="0"/>
      <w:divBdr>
        <w:top w:val="none" w:sz="0" w:space="0" w:color="auto"/>
        <w:left w:val="none" w:sz="0" w:space="0" w:color="auto"/>
        <w:bottom w:val="none" w:sz="0" w:space="0" w:color="auto"/>
        <w:right w:val="none" w:sz="0" w:space="0" w:color="auto"/>
      </w:divBdr>
      <w:divsChild>
        <w:div w:id="1035278412">
          <w:marLeft w:val="0"/>
          <w:marRight w:val="0"/>
          <w:marTop w:val="0"/>
          <w:marBottom w:val="0"/>
          <w:divBdr>
            <w:top w:val="none" w:sz="0" w:space="0" w:color="auto"/>
            <w:left w:val="none" w:sz="0" w:space="0" w:color="auto"/>
            <w:bottom w:val="none" w:sz="0" w:space="0" w:color="auto"/>
            <w:right w:val="none" w:sz="0" w:space="0" w:color="auto"/>
          </w:divBdr>
        </w:div>
        <w:div w:id="676008422">
          <w:marLeft w:val="0"/>
          <w:marRight w:val="0"/>
          <w:marTop w:val="0"/>
          <w:marBottom w:val="0"/>
          <w:divBdr>
            <w:top w:val="none" w:sz="0" w:space="0" w:color="auto"/>
            <w:left w:val="none" w:sz="0" w:space="0" w:color="auto"/>
            <w:bottom w:val="none" w:sz="0" w:space="0" w:color="auto"/>
            <w:right w:val="none" w:sz="0" w:space="0" w:color="auto"/>
          </w:divBdr>
          <w:divsChild>
            <w:div w:id="409277713">
              <w:marLeft w:val="0"/>
              <w:marRight w:val="0"/>
              <w:marTop w:val="0"/>
              <w:marBottom w:val="0"/>
              <w:divBdr>
                <w:top w:val="none" w:sz="0" w:space="0" w:color="auto"/>
                <w:left w:val="none" w:sz="0" w:space="0" w:color="auto"/>
                <w:bottom w:val="none" w:sz="0" w:space="0" w:color="auto"/>
                <w:right w:val="none" w:sz="0" w:space="0" w:color="auto"/>
              </w:divBdr>
              <w:divsChild>
                <w:div w:id="1030574606">
                  <w:marLeft w:val="0"/>
                  <w:marRight w:val="0"/>
                  <w:marTop w:val="0"/>
                  <w:marBottom w:val="0"/>
                  <w:divBdr>
                    <w:top w:val="none" w:sz="0" w:space="0" w:color="auto"/>
                    <w:left w:val="none" w:sz="0" w:space="0" w:color="auto"/>
                    <w:bottom w:val="none" w:sz="0" w:space="0" w:color="auto"/>
                    <w:right w:val="none" w:sz="0" w:space="0" w:color="auto"/>
                  </w:divBdr>
                </w:div>
                <w:div w:id="130055925">
                  <w:marLeft w:val="374"/>
                  <w:marRight w:val="0"/>
                  <w:marTop w:val="0"/>
                  <w:marBottom w:val="0"/>
                  <w:divBdr>
                    <w:top w:val="none" w:sz="0" w:space="0" w:color="auto"/>
                    <w:left w:val="none" w:sz="0" w:space="0" w:color="auto"/>
                    <w:bottom w:val="none" w:sz="0" w:space="0" w:color="auto"/>
                    <w:right w:val="none" w:sz="0" w:space="0" w:color="auto"/>
                  </w:divBdr>
                  <w:divsChild>
                    <w:div w:id="1819180845">
                      <w:marLeft w:val="0"/>
                      <w:marRight w:val="0"/>
                      <w:marTop w:val="0"/>
                      <w:marBottom w:val="0"/>
                      <w:divBdr>
                        <w:top w:val="none" w:sz="0" w:space="0" w:color="auto"/>
                        <w:left w:val="none" w:sz="0" w:space="0" w:color="auto"/>
                        <w:bottom w:val="none" w:sz="0" w:space="0" w:color="auto"/>
                        <w:right w:val="none" w:sz="0" w:space="0" w:color="auto"/>
                      </w:divBdr>
                      <w:divsChild>
                        <w:div w:id="21176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69418">
          <w:marLeft w:val="0"/>
          <w:marRight w:val="0"/>
          <w:marTop w:val="0"/>
          <w:marBottom w:val="0"/>
          <w:divBdr>
            <w:top w:val="none" w:sz="0" w:space="0" w:color="auto"/>
            <w:left w:val="none" w:sz="0" w:space="0" w:color="auto"/>
            <w:bottom w:val="none" w:sz="0" w:space="0" w:color="auto"/>
            <w:right w:val="none" w:sz="0" w:space="0" w:color="auto"/>
          </w:divBdr>
          <w:divsChild>
            <w:div w:id="2055811288">
              <w:marLeft w:val="0"/>
              <w:marRight w:val="0"/>
              <w:marTop w:val="0"/>
              <w:marBottom w:val="0"/>
              <w:divBdr>
                <w:top w:val="none" w:sz="0" w:space="0" w:color="auto"/>
                <w:left w:val="none" w:sz="0" w:space="0" w:color="auto"/>
                <w:bottom w:val="none" w:sz="0" w:space="0" w:color="auto"/>
                <w:right w:val="none" w:sz="0" w:space="0" w:color="auto"/>
              </w:divBdr>
              <w:divsChild>
                <w:div w:id="1078669562">
                  <w:marLeft w:val="0"/>
                  <w:marRight w:val="0"/>
                  <w:marTop w:val="0"/>
                  <w:marBottom w:val="0"/>
                  <w:divBdr>
                    <w:top w:val="none" w:sz="0" w:space="0" w:color="auto"/>
                    <w:left w:val="none" w:sz="0" w:space="0" w:color="auto"/>
                    <w:bottom w:val="none" w:sz="0" w:space="0" w:color="auto"/>
                    <w:right w:val="none" w:sz="0" w:space="0" w:color="auto"/>
                  </w:divBdr>
                </w:div>
                <w:div w:id="57823724">
                  <w:marLeft w:val="374"/>
                  <w:marRight w:val="0"/>
                  <w:marTop w:val="0"/>
                  <w:marBottom w:val="0"/>
                  <w:divBdr>
                    <w:top w:val="none" w:sz="0" w:space="0" w:color="auto"/>
                    <w:left w:val="none" w:sz="0" w:space="0" w:color="auto"/>
                    <w:bottom w:val="none" w:sz="0" w:space="0" w:color="auto"/>
                    <w:right w:val="none" w:sz="0" w:space="0" w:color="auto"/>
                  </w:divBdr>
                  <w:divsChild>
                    <w:div w:id="115755850">
                      <w:marLeft w:val="0"/>
                      <w:marRight w:val="0"/>
                      <w:marTop w:val="0"/>
                      <w:marBottom w:val="0"/>
                      <w:divBdr>
                        <w:top w:val="none" w:sz="0" w:space="0" w:color="auto"/>
                        <w:left w:val="none" w:sz="0" w:space="0" w:color="auto"/>
                        <w:bottom w:val="none" w:sz="0" w:space="0" w:color="auto"/>
                        <w:right w:val="none" w:sz="0" w:space="0" w:color="auto"/>
                      </w:divBdr>
                      <w:divsChild>
                        <w:div w:id="972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88308">
          <w:marLeft w:val="0"/>
          <w:marRight w:val="0"/>
          <w:marTop w:val="0"/>
          <w:marBottom w:val="0"/>
          <w:divBdr>
            <w:top w:val="none" w:sz="0" w:space="0" w:color="auto"/>
            <w:left w:val="none" w:sz="0" w:space="0" w:color="auto"/>
            <w:bottom w:val="none" w:sz="0" w:space="0" w:color="auto"/>
            <w:right w:val="none" w:sz="0" w:space="0" w:color="auto"/>
          </w:divBdr>
        </w:div>
        <w:div w:id="1230850192">
          <w:marLeft w:val="0"/>
          <w:marRight w:val="0"/>
          <w:marTop w:val="0"/>
          <w:marBottom w:val="0"/>
          <w:divBdr>
            <w:top w:val="none" w:sz="0" w:space="0" w:color="auto"/>
            <w:left w:val="none" w:sz="0" w:space="0" w:color="auto"/>
            <w:bottom w:val="none" w:sz="0" w:space="0" w:color="auto"/>
            <w:right w:val="none" w:sz="0" w:space="0" w:color="auto"/>
          </w:divBdr>
          <w:divsChild>
            <w:div w:id="249240646">
              <w:marLeft w:val="0"/>
              <w:marRight w:val="0"/>
              <w:marTop w:val="0"/>
              <w:marBottom w:val="0"/>
              <w:divBdr>
                <w:top w:val="none" w:sz="0" w:space="0" w:color="auto"/>
                <w:left w:val="none" w:sz="0" w:space="0" w:color="auto"/>
                <w:bottom w:val="none" w:sz="0" w:space="0" w:color="auto"/>
                <w:right w:val="none" w:sz="0" w:space="0" w:color="auto"/>
              </w:divBdr>
              <w:divsChild>
                <w:div w:id="734202195">
                  <w:marLeft w:val="0"/>
                  <w:marRight w:val="0"/>
                  <w:marTop w:val="0"/>
                  <w:marBottom w:val="0"/>
                  <w:divBdr>
                    <w:top w:val="none" w:sz="0" w:space="0" w:color="auto"/>
                    <w:left w:val="none" w:sz="0" w:space="0" w:color="auto"/>
                    <w:bottom w:val="none" w:sz="0" w:space="0" w:color="auto"/>
                    <w:right w:val="none" w:sz="0" w:space="0" w:color="auto"/>
                  </w:divBdr>
                </w:div>
                <w:div w:id="1149790179">
                  <w:marLeft w:val="374"/>
                  <w:marRight w:val="0"/>
                  <w:marTop w:val="0"/>
                  <w:marBottom w:val="0"/>
                  <w:divBdr>
                    <w:top w:val="none" w:sz="0" w:space="0" w:color="auto"/>
                    <w:left w:val="none" w:sz="0" w:space="0" w:color="auto"/>
                    <w:bottom w:val="none" w:sz="0" w:space="0" w:color="auto"/>
                    <w:right w:val="none" w:sz="0" w:space="0" w:color="auto"/>
                  </w:divBdr>
                  <w:divsChild>
                    <w:div w:id="2027705478">
                      <w:marLeft w:val="0"/>
                      <w:marRight w:val="0"/>
                      <w:marTop w:val="0"/>
                      <w:marBottom w:val="0"/>
                      <w:divBdr>
                        <w:top w:val="none" w:sz="0" w:space="0" w:color="auto"/>
                        <w:left w:val="none" w:sz="0" w:space="0" w:color="auto"/>
                        <w:bottom w:val="none" w:sz="0" w:space="0" w:color="auto"/>
                        <w:right w:val="none" w:sz="0" w:space="0" w:color="auto"/>
                      </w:divBdr>
                      <w:divsChild>
                        <w:div w:id="1134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8CCE5-17CB-46AF-8790-1C3B39FEA4AB}"/>
</file>

<file path=customXml/itemProps2.xml><?xml version="1.0" encoding="utf-8"?>
<ds:datastoreItem xmlns:ds="http://schemas.openxmlformats.org/officeDocument/2006/customXml" ds:itemID="{E417B7E0-A542-423F-9E98-3694298CE5EA}"/>
</file>

<file path=customXml/itemProps3.xml><?xml version="1.0" encoding="utf-8"?>
<ds:datastoreItem xmlns:ds="http://schemas.openxmlformats.org/officeDocument/2006/customXml" ds:itemID="{5765961B-1FE8-4D78-980A-6DF1C805891B}"/>
</file>

<file path=customXml/itemProps4.xml><?xml version="1.0" encoding="utf-8"?>
<ds:datastoreItem xmlns:ds="http://schemas.openxmlformats.org/officeDocument/2006/customXml" ds:itemID="{6837BB9B-50BA-49CE-AA42-C513799DFEB2}"/>
</file>

<file path=docProps/app.xml><?xml version="1.0" encoding="utf-8"?>
<Properties xmlns="http://schemas.openxmlformats.org/officeDocument/2006/extended-properties" xmlns:vt="http://schemas.openxmlformats.org/officeDocument/2006/docPropsVTypes">
  <Template>Normal</Template>
  <TotalTime>497</TotalTime>
  <Pages>10</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bhc</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Zwi</dc:creator>
  <cp:lastModifiedBy>Jim  Fitzgerald</cp:lastModifiedBy>
  <cp:revision>13</cp:revision>
  <cp:lastPrinted>2016-06-10T18:45:00Z</cp:lastPrinted>
  <dcterms:created xsi:type="dcterms:W3CDTF">2016-07-25T13:10:00Z</dcterms:created>
  <dcterms:modified xsi:type="dcterms:W3CDTF">2016-07-25T22:21:00Z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0x0101001095AF07E9D52746B60E2F270CE938D2</vt:lpwstr>
  </property>
</Properties>
</file>