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A0034" w:rsidRPr="00B7259A" w:rsidRDefault="00173555" w:rsidP="00B7259A">
      <w:pPr>
        <w:spacing w:line="276" w:lineRule="auto"/>
        <w:jc w:val="center"/>
        <w:rPr>
          <w:rFonts w:asciiTheme="minorHAnsi" w:hAnsiTheme="minorHAnsi" w:cstheme="minorHAnsi"/>
          <w:b/>
          <w:bCs/>
        </w:rPr>
      </w:pPr>
      <w:r w:rsidRPr="00B7259A">
        <w:rPr>
          <w:rFonts w:asciiTheme="minorHAnsi" w:hAnsiTheme="minorHAnsi" w:cstheme="minorHAnsi"/>
          <w:b/>
          <w:bCs/>
          <w:noProof/>
        </w:rPr>
        <w:drawing>
          <wp:inline distT="0" distB="0" distL="0" distR="0" wp14:anchorId="0670A961" wp14:editId="2B1E992C">
            <wp:extent cx="2254250" cy="2254250"/>
            <wp:effectExtent l="0" t="0" r="0" b="0"/>
            <wp:docPr id="1748363610" name="Picture 1748363610" descr="A logo for a women's rights organiz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for a women's rights organization&#10;&#10;Description automatically generated"/>
                    <pic:cNvPicPr preferRelativeResize="0"/>
                  </pic:nvPicPr>
                  <pic:blipFill>
                    <a:blip r:embed="rId7"/>
                    <a:srcRect/>
                    <a:stretch>
                      <a:fillRect/>
                    </a:stretch>
                  </pic:blipFill>
                  <pic:spPr>
                    <a:xfrm>
                      <a:off x="0" y="0"/>
                      <a:ext cx="2254250" cy="2254250"/>
                    </a:xfrm>
                    <a:prstGeom prst="rect">
                      <a:avLst/>
                    </a:prstGeom>
                    <a:ln/>
                  </pic:spPr>
                </pic:pic>
              </a:graphicData>
            </a:graphic>
          </wp:inline>
        </w:drawing>
      </w:r>
    </w:p>
    <w:p w14:paraId="17A42898" w14:textId="77777777" w:rsidR="004F0CE0" w:rsidRPr="00B7259A" w:rsidRDefault="004F0CE0" w:rsidP="00B7259A">
      <w:pPr>
        <w:spacing w:line="276" w:lineRule="auto"/>
        <w:jc w:val="center"/>
        <w:rPr>
          <w:rFonts w:asciiTheme="minorHAnsi" w:hAnsiTheme="minorHAnsi" w:cstheme="minorHAnsi"/>
          <w:b/>
          <w:bCs/>
        </w:rPr>
      </w:pPr>
      <w:r w:rsidRPr="00B7259A">
        <w:rPr>
          <w:rFonts w:asciiTheme="minorHAnsi" w:hAnsiTheme="minorHAnsi" w:cstheme="minorHAnsi"/>
          <w:b/>
          <w:bCs/>
        </w:rPr>
        <w:t>UNITED NATIONS CONVENTION ON THE ELIMINATION OF ALL FORMS OF DISCRIMINATION AGAINST WOMEN</w:t>
      </w:r>
    </w:p>
    <w:p w14:paraId="0FB5FD87" w14:textId="77777777" w:rsidR="004F0CE0" w:rsidRPr="00B7259A" w:rsidRDefault="004F0CE0" w:rsidP="00B7259A">
      <w:pPr>
        <w:spacing w:line="276" w:lineRule="auto"/>
        <w:jc w:val="center"/>
        <w:rPr>
          <w:rFonts w:asciiTheme="minorHAnsi" w:hAnsiTheme="minorHAnsi" w:cstheme="minorHAnsi"/>
          <w:b/>
          <w:bCs/>
        </w:rPr>
      </w:pPr>
      <w:bookmarkStart w:id="0" w:name="_Hlk145877393"/>
    </w:p>
    <w:p w14:paraId="53CBE142" w14:textId="77777777" w:rsidR="004F0CE0" w:rsidRPr="00B7259A" w:rsidRDefault="004F0CE0" w:rsidP="00B7259A">
      <w:pPr>
        <w:spacing w:line="276" w:lineRule="auto"/>
        <w:jc w:val="center"/>
        <w:rPr>
          <w:rFonts w:asciiTheme="minorHAnsi" w:hAnsiTheme="minorHAnsi" w:cstheme="minorHAnsi"/>
          <w:b/>
          <w:bCs/>
        </w:rPr>
      </w:pPr>
    </w:p>
    <w:p w14:paraId="4F8D8A2D" w14:textId="094DFA1F" w:rsidR="004F0CE0" w:rsidRPr="00B7259A" w:rsidRDefault="1659F903" w:rsidP="00B7259A">
      <w:pPr>
        <w:spacing w:line="276" w:lineRule="auto"/>
        <w:jc w:val="center"/>
        <w:rPr>
          <w:rFonts w:asciiTheme="minorHAnsi" w:hAnsiTheme="minorHAnsi" w:cstheme="minorHAnsi"/>
          <w:b/>
          <w:bCs/>
        </w:rPr>
      </w:pPr>
      <w:r w:rsidRPr="00B7259A">
        <w:rPr>
          <w:rFonts w:asciiTheme="minorHAnsi" w:hAnsiTheme="minorHAnsi" w:cstheme="minorHAnsi"/>
          <w:b/>
          <w:bCs/>
        </w:rPr>
        <w:t>SHADOW</w:t>
      </w:r>
      <w:r w:rsidR="004F0CE0" w:rsidRPr="00B7259A">
        <w:rPr>
          <w:rFonts w:asciiTheme="minorHAnsi" w:hAnsiTheme="minorHAnsi" w:cstheme="minorHAnsi"/>
          <w:b/>
          <w:bCs/>
        </w:rPr>
        <w:t xml:space="preserve"> REPORT</w:t>
      </w:r>
      <w:bookmarkEnd w:id="0"/>
    </w:p>
    <w:p w14:paraId="03FABB17" w14:textId="19846442" w:rsidR="004F0CE0" w:rsidRPr="00B7259A" w:rsidRDefault="004F0CE0" w:rsidP="00B7259A">
      <w:pPr>
        <w:spacing w:line="276" w:lineRule="auto"/>
        <w:jc w:val="center"/>
        <w:rPr>
          <w:rFonts w:asciiTheme="minorHAnsi" w:hAnsiTheme="minorHAnsi" w:cstheme="minorHAnsi"/>
          <w:b/>
          <w:bCs/>
        </w:rPr>
      </w:pPr>
      <w:r w:rsidRPr="00B7259A">
        <w:rPr>
          <w:rFonts w:asciiTheme="minorHAnsi" w:hAnsiTheme="minorHAnsi" w:cstheme="minorHAnsi"/>
          <w:b/>
          <w:bCs/>
        </w:rPr>
        <w:t>COMPLEMENTING THE COUNTRY REPORT OF THE MALAWI</w:t>
      </w:r>
      <w:r w:rsidR="0057284B" w:rsidRPr="00B7259A">
        <w:rPr>
          <w:rFonts w:asciiTheme="minorHAnsi" w:hAnsiTheme="minorHAnsi" w:cstheme="minorHAnsi"/>
          <w:b/>
          <w:bCs/>
        </w:rPr>
        <w:t xml:space="preserve"> </w:t>
      </w:r>
      <w:r w:rsidRPr="00B7259A">
        <w:rPr>
          <w:rFonts w:asciiTheme="minorHAnsi" w:hAnsiTheme="minorHAnsi" w:cstheme="minorHAnsi"/>
          <w:b/>
          <w:bCs/>
        </w:rPr>
        <w:t>GOVERNMENT TO THE CEDAW COMMITTEE ON THE STATUS OF THE WOMEN’S ECONOMIC, CULTURAL, AND SOCIAL RIGHTS</w:t>
      </w:r>
    </w:p>
    <w:p w14:paraId="067F38F1" w14:textId="03C1D31B" w:rsidR="004F0CE0" w:rsidRPr="00B7259A" w:rsidRDefault="004F0CE0" w:rsidP="00B7259A">
      <w:pPr>
        <w:spacing w:line="276" w:lineRule="auto"/>
        <w:jc w:val="center"/>
        <w:rPr>
          <w:rFonts w:asciiTheme="minorHAnsi" w:hAnsiTheme="minorHAnsi" w:cstheme="minorHAnsi"/>
          <w:b/>
          <w:bCs/>
        </w:rPr>
      </w:pPr>
    </w:p>
    <w:p w14:paraId="59B81E29" w14:textId="77777777" w:rsidR="004F0CE0" w:rsidRPr="00B7259A" w:rsidRDefault="004F0CE0" w:rsidP="00B7259A">
      <w:pPr>
        <w:spacing w:line="276" w:lineRule="auto"/>
        <w:jc w:val="center"/>
        <w:rPr>
          <w:rFonts w:asciiTheme="minorHAnsi" w:hAnsiTheme="minorHAnsi" w:cstheme="minorHAnsi"/>
          <w:b/>
          <w:bCs/>
        </w:rPr>
      </w:pPr>
      <w:r w:rsidRPr="00B7259A">
        <w:rPr>
          <w:rFonts w:asciiTheme="minorHAnsi" w:hAnsiTheme="minorHAnsi" w:cstheme="minorHAnsi"/>
          <w:b/>
          <w:bCs/>
        </w:rPr>
        <w:t>FEMINIST MACROECONOMIC ALLIANCE - MALAWI (FEAM)</w:t>
      </w:r>
    </w:p>
    <w:p w14:paraId="7C2784F1" w14:textId="77777777" w:rsidR="001F250A" w:rsidRPr="00B7259A" w:rsidRDefault="001F250A" w:rsidP="00B7259A">
      <w:pPr>
        <w:spacing w:line="276" w:lineRule="auto"/>
        <w:jc w:val="center"/>
        <w:rPr>
          <w:rFonts w:asciiTheme="minorHAnsi" w:hAnsiTheme="minorHAnsi" w:cstheme="minorHAnsi"/>
          <w:b/>
          <w:bCs/>
        </w:rPr>
      </w:pPr>
    </w:p>
    <w:p w14:paraId="5058F5EF" w14:textId="24440283" w:rsidR="4531088F" w:rsidRPr="00B7259A" w:rsidRDefault="4531088F" w:rsidP="00B7259A">
      <w:pPr>
        <w:spacing w:line="276" w:lineRule="auto"/>
        <w:jc w:val="center"/>
        <w:rPr>
          <w:rFonts w:asciiTheme="minorHAnsi" w:hAnsiTheme="minorHAnsi" w:cstheme="minorHAnsi"/>
          <w:b/>
          <w:bCs/>
        </w:rPr>
      </w:pPr>
      <w:r w:rsidRPr="00B7259A">
        <w:rPr>
          <w:rFonts w:asciiTheme="minorHAnsi" w:hAnsiTheme="minorHAnsi" w:cstheme="minorHAnsi"/>
          <w:b/>
          <w:bCs/>
        </w:rPr>
        <w:t>www.feammalawi.org</w:t>
      </w:r>
    </w:p>
    <w:p w14:paraId="2600C1B6" w14:textId="77777777" w:rsidR="004F0CE0" w:rsidRPr="00B7259A" w:rsidRDefault="004F0CE0" w:rsidP="00B7259A">
      <w:pPr>
        <w:spacing w:line="276" w:lineRule="auto"/>
        <w:jc w:val="center"/>
        <w:rPr>
          <w:rFonts w:asciiTheme="minorHAnsi" w:hAnsiTheme="minorHAnsi" w:cstheme="minorHAnsi"/>
          <w:b/>
          <w:bCs/>
        </w:rPr>
      </w:pPr>
      <w:r w:rsidRPr="00B7259A">
        <w:rPr>
          <w:rFonts w:asciiTheme="minorHAnsi" w:hAnsiTheme="minorHAnsi" w:cstheme="minorHAnsi"/>
          <w:b/>
          <w:bCs/>
        </w:rPr>
        <w:t>September 202</w:t>
      </w:r>
      <w:r w:rsidR="001F250A" w:rsidRPr="00B7259A">
        <w:rPr>
          <w:rFonts w:asciiTheme="minorHAnsi" w:hAnsiTheme="minorHAnsi" w:cstheme="minorHAnsi"/>
          <w:b/>
          <w:bCs/>
        </w:rPr>
        <w:t>3</w:t>
      </w:r>
    </w:p>
    <w:p w14:paraId="339E5B6B" w14:textId="77777777" w:rsidR="00C85EB8" w:rsidRPr="00B7259A" w:rsidRDefault="00C85EB8" w:rsidP="00B7259A">
      <w:pPr>
        <w:spacing w:line="276" w:lineRule="auto"/>
        <w:jc w:val="center"/>
        <w:rPr>
          <w:rFonts w:asciiTheme="minorHAnsi" w:hAnsiTheme="minorHAnsi" w:cstheme="minorHAnsi"/>
          <w:b/>
          <w:bCs/>
        </w:rPr>
      </w:pPr>
    </w:p>
    <w:p w14:paraId="109788BF" w14:textId="77777777" w:rsidR="00C85EB8" w:rsidRPr="00B7259A" w:rsidRDefault="00C85EB8" w:rsidP="00B7259A">
      <w:pPr>
        <w:spacing w:line="276" w:lineRule="auto"/>
        <w:jc w:val="center"/>
        <w:rPr>
          <w:rFonts w:asciiTheme="minorHAnsi" w:hAnsiTheme="minorHAnsi" w:cstheme="minorHAnsi"/>
        </w:rPr>
      </w:pPr>
    </w:p>
    <w:p w14:paraId="78E40BC8" w14:textId="77777777" w:rsidR="00C85EB8" w:rsidRPr="00B7259A" w:rsidRDefault="00C85EB8" w:rsidP="00B7259A">
      <w:pPr>
        <w:spacing w:line="276" w:lineRule="auto"/>
        <w:jc w:val="center"/>
        <w:rPr>
          <w:rFonts w:asciiTheme="minorHAnsi" w:hAnsiTheme="minorHAnsi" w:cstheme="minorHAnsi"/>
        </w:rPr>
      </w:pPr>
    </w:p>
    <w:p w14:paraId="57A5BA95" w14:textId="77777777" w:rsidR="00C85EB8" w:rsidRPr="00B7259A" w:rsidRDefault="00C85EB8" w:rsidP="00B7259A">
      <w:pPr>
        <w:spacing w:line="276" w:lineRule="auto"/>
        <w:jc w:val="both"/>
        <w:rPr>
          <w:rFonts w:asciiTheme="minorHAnsi" w:hAnsiTheme="minorHAnsi" w:cstheme="minorHAnsi"/>
        </w:rPr>
      </w:pPr>
    </w:p>
    <w:p w14:paraId="1FE4CC9B" w14:textId="77777777" w:rsidR="00C85EB8" w:rsidRPr="00B7259A" w:rsidRDefault="00C85EB8" w:rsidP="00B7259A">
      <w:pPr>
        <w:spacing w:line="276" w:lineRule="auto"/>
        <w:jc w:val="both"/>
        <w:rPr>
          <w:rFonts w:asciiTheme="minorHAnsi" w:hAnsiTheme="minorHAnsi" w:cstheme="minorHAnsi"/>
        </w:rPr>
      </w:pPr>
    </w:p>
    <w:p w14:paraId="5AEF8FB3" w14:textId="77777777" w:rsidR="00C85EB8" w:rsidRPr="00B7259A" w:rsidRDefault="00C85EB8" w:rsidP="00B7259A">
      <w:pPr>
        <w:spacing w:line="276" w:lineRule="auto"/>
        <w:jc w:val="both"/>
        <w:rPr>
          <w:rFonts w:asciiTheme="minorHAnsi" w:hAnsiTheme="minorHAnsi" w:cstheme="minorHAnsi"/>
        </w:rPr>
      </w:pPr>
      <w:r w:rsidRPr="00B7259A">
        <w:rPr>
          <w:rFonts w:asciiTheme="minorHAnsi" w:hAnsiTheme="minorHAnsi" w:cstheme="minorHAnsi"/>
        </w:rPr>
        <w:br w:type="page"/>
      </w:r>
    </w:p>
    <w:p w14:paraId="78B68C8F" w14:textId="5112D7D9" w:rsidR="004F0CE0" w:rsidRPr="00B7259A" w:rsidRDefault="204F0CAA" w:rsidP="00B7259A">
      <w:pPr>
        <w:pStyle w:val="Heading1"/>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lastRenderedPageBreak/>
        <w:t>About F</w:t>
      </w:r>
      <w:r w:rsidR="340A4AB9" w:rsidRPr="00B7259A">
        <w:rPr>
          <w:rFonts w:asciiTheme="minorHAnsi" w:hAnsiTheme="minorHAnsi" w:cstheme="minorHAnsi"/>
          <w:sz w:val="22"/>
          <w:szCs w:val="22"/>
        </w:rPr>
        <w:t>eminist Macro-Economic Alliance – Malawi (F</w:t>
      </w:r>
      <w:r w:rsidRPr="00B7259A">
        <w:rPr>
          <w:rFonts w:asciiTheme="minorHAnsi" w:hAnsiTheme="minorHAnsi" w:cstheme="minorHAnsi"/>
          <w:sz w:val="22"/>
          <w:szCs w:val="22"/>
        </w:rPr>
        <w:t>EAM</w:t>
      </w:r>
      <w:r w:rsidR="3A70E11D" w:rsidRPr="00B7259A">
        <w:rPr>
          <w:rFonts w:asciiTheme="minorHAnsi" w:hAnsiTheme="minorHAnsi" w:cstheme="minorHAnsi"/>
          <w:sz w:val="22"/>
          <w:szCs w:val="22"/>
        </w:rPr>
        <w:t>)</w:t>
      </w:r>
      <w:r w:rsidRPr="00B7259A">
        <w:rPr>
          <w:rFonts w:asciiTheme="minorHAnsi" w:hAnsiTheme="minorHAnsi" w:cstheme="minorHAnsi"/>
          <w:sz w:val="22"/>
          <w:szCs w:val="22"/>
        </w:rPr>
        <w:t xml:space="preserve"> </w:t>
      </w:r>
    </w:p>
    <w:p w14:paraId="41EE5986" w14:textId="56C4F46A" w:rsidR="004F0CE0" w:rsidRPr="00B7259A" w:rsidRDefault="204F0CAA" w:rsidP="00B7259A">
      <w:pPr>
        <w:spacing w:line="276" w:lineRule="auto"/>
        <w:jc w:val="both"/>
        <w:rPr>
          <w:rFonts w:asciiTheme="minorHAnsi" w:hAnsiTheme="minorHAnsi" w:cstheme="minorHAnsi"/>
        </w:rPr>
      </w:pPr>
      <w:r w:rsidRPr="00B7259A">
        <w:rPr>
          <w:rFonts w:asciiTheme="minorHAnsi" w:hAnsiTheme="minorHAnsi" w:cstheme="minorHAnsi"/>
        </w:rPr>
        <w:t xml:space="preserve">FEAM is a women’s rights centered coalition working to deepen knowledge, capacity and skills of women and young women and their allies to engage and influence macro-economic policies and frameworks including debt management from a feminist perspective to achieve economic justice for women in Malawi. The alliance came about as a realization that national coordination is key to achieving economic justice for women. FEAM’s founding members are ActionAid Malawi, NGO Gender Coordination Network (NGOGCN), Malawi Human Rights Resource Centre (MHRRC), For Equality (FE), and Activista Youth Network with UN Women as a vital collaborative partner since the establishment of FEAM. Recently, the alliance has been joined by progressive women’s rights and gender focused institutions such as Care International and Christian Aid. </w:t>
      </w:r>
    </w:p>
    <w:p w14:paraId="5CAA6339" w14:textId="2FB172D3" w:rsidR="004F0CE0" w:rsidRPr="00B7259A" w:rsidRDefault="37587A59"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1.0 </w:t>
      </w:r>
      <w:r w:rsidR="004F0CE0" w:rsidRPr="00B7259A">
        <w:rPr>
          <w:rFonts w:asciiTheme="minorHAnsi" w:hAnsiTheme="minorHAnsi" w:cstheme="minorHAnsi"/>
          <w:sz w:val="22"/>
          <w:szCs w:val="22"/>
        </w:rPr>
        <w:t>Introduction</w:t>
      </w:r>
    </w:p>
    <w:p w14:paraId="0FAD6BE2" w14:textId="68427A53"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 xml:space="preserve">This </w:t>
      </w:r>
      <w:r w:rsidR="19F9AFB0" w:rsidRPr="00B7259A">
        <w:rPr>
          <w:rFonts w:asciiTheme="minorHAnsi" w:hAnsiTheme="minorHAnsi" w:cstheme="minorHAnsi"/>
        </w:rPr>
        <w:t>Shadow</w:t>
      </w:r>
      <w:r w:rsidRPr="00B7259A">
        <w:rPr>
          <w:rFonts w:asciiTheme="minorHAnsi" w:hAnsiTheme="minorHAnsi" w:cstheme="minorHAnsi"/>
        </w:rPr>
        <w:t xml:space="preserve"> Report on the implementation of the UN Convention on the Elimination of All Forms of Discrimination Against Women (CEDAW) is a joint initiative of Malawian NGOs, in particular, </w:t>
      </w:r>
      <w:r w:rsidR="37D43C47" w:rsidRPr="00B7259A">
        <w:rPr>
          <w:rFonts w:asciiTheme="minorHAnsi" w:hAnsiTheme="minorHAnsi" w:cstheme="minorHAnsi"/>
        </w:rPr>
        <w:t xml:space="preserve">the </w:t>
      </w:r>
      <w:r w:rsidRPr="00B7259A">
        <w:rPr>
          <w:rFonts w:asciiTheme="minorHAnsi" w:hAnsiTheme="minorHAnsi" w:cstheme="minorHAnsi"/>
        </w:rPr>
        <w:t xml:space="preserve">Young Urban Women </w:t>
      </w:r>
      <w:r w:rsidR="3F554279" w:rsidRPr="00B7259A">
        <w:rPr>
          <w:rFonts w:asciiTheme="minorHAnsi" w:hAnsiTheme="minorHAnsi" w:cstheme="minorHAnsi"/>
        </w:rPr>
        <w:t xml:space="preserve">Network, </w:t>
      </w:r>
      <w:r w:rsidRPr="00B7259A">
        <w:rPr>
          <w:rFonts w:asciiTheme="minorHAnsi" w:hAnsiTheme="minorHAnsi" w:cstheme="minorHAnsi"/>
        </w:rPr>
        <w:t xml:space="preserve">and </w:t>
      </w:r>
      <w:r w:rsidR="00C85EB8" w:rsidRPr="00B7259A">
        <w:rPr>
          <w:rFonts w:asciiTheme="minorHAnsi" w:hAnsiTheme="minorHAnsi" w:cstheme="minorHAnsi"/>
        </w:rPr>
        <w:t>the</w:t>
      </w:r>
      <w:r w:rsidRPr="00B7259A">
        <w:rPr>
          <w:rFonts w:asciiTheme="minorHAnsi" w:hAnsiTheme="minorHAnsi" w:cstheme="minorHAnsi"/>
        </w:rPr>
        <w:t xml:space="preserve"> Feminist Macro-</w:t>
      </w:r>
      <w:r w:rsidR="001F250A" w:rsidRPr="00B7259A">
        <w:rPr>
          <w:rFonts w:asciiTheme="minorHAnsi" w:hAnsiTheme="minorHAnsi" w:cstheme="minorHAnsi"/>
        </w:rPr>
        <w:t>Economic</w:t>
      </w:r>
      <w:r w:rsidRPr="00B7259A">
        <w:rPr>
          <w:rFonts w:asciiTheme="minorHAnsi" w:hAnsiTheme="minorHAnsi" w:cstheme="minorHAnsi"/>
        </w:rPr>
        <w:t xml:space="preserve"> Alliance</w:t>
      </w:r>
      <w:r w:rsidR="7BF8B617" w:rsidRPr="00B7259A">
        <w:rPr>
          <w:rFonts w:asciiTheme="minorHAnsi" w:hAnsiTheme="minorHAnsi" w:cstheme="minorHAnsi"/>
        </w:rPr>
        <w:t>-</w:t>
      </w:r>
      <w:r w:rsidRPr="00B7259A">
        <w:rPr>
          <w:rFonts w:asciiTheme="minorHAnsi" w:hAnsiTheme="minorHAnsi" w:cstheme="minorHAnsi"/>
        </w:rPr>
        <w:t xml:space="preserve"> Malawi (FEAM). </w:t>
      </w:r>
    </w:p>
    <w:p w14:paraId="38A7BA20" w14:textId="19AEF5D7"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 xml:space="preserve">The report complements the Periodic Country Report for Malawi </w:t>
      </w:r>
      <w:r w:rsidR="00904C0A" w:rsidRPr="00B7259A">
        <w:rPr>
          <w:rFonts w:asciiTheme="minorHAnsi" w:hAnsiTheme="minorHAnsi" w:cstheme="minorHAnsi"/>
        </w:rPr>
        <w:t xml:space="preserve">Government </w:t>
      </w:r>
      <w:r w:rsidRPr="00B7259A">
        <w:rPr>
          <w:rFonts w:asciiTheme="minorHAnsi" w:hAnsiTheme="minorHAnsi" w:cstheme="minorHAnsi"/>
        </w:rPr>
        <w:t xml:space="preserve">to the CEDAW Committee, submitted in advance of the 86th session and its review of Malawi </w:t>
      </w:r>
      <w:r w:rsidR="00C85EB8" w:rsidRPr="00B7259A">
        <w:rPr>
          <w:rFonts w:asciiTheme="minorHAnsi" w:hAnsiTheme="minorHAnsi" w:cstheme="minorHAnsi"/>
        </w:rPr>
        <w:t>under CEDAW</w:t>
      </w:r>
      <w:r w:rsidRPr="00B7259A">
        <w:rPr>
          <w:rFonts w:asciiTheme="minorHAnsi" w:hAnsiTheme="minorHAnsi" w:cstheme="minorHAnsi"/>
        </w:rPr>
        <w:t xml:space="preserve">. </w:t>
      </w:r>
      <w:r w:rsidR="0739AC38" w:rsidRPr="00B7259A">
        <w:rPr>
          <w:rFonts w:asciiTheme="minorHAnsi" w:hAnsiTheme="minorHAnsi" w:cstheme="minorHAnsi"/>
        </w:rPr>
        <w:t xml:space="preserve">It is noted that the Malawi Government submitted her </w:t>
      </w:r>
      <w:r w:rsidR="1ECA6D9E" w:rsidRPr="00B7259A">
        <w:rPr>
          <w:rFonts w:asciiTheme="minorHAnsi" w:hAnsiTheme="minorHAnsi" w:cstheme="minorHAnsi"/>
        </w:rPr>
        <w:t xml:space="preserve">Seventh CEDAW Periodic Report covering the period 2009 – 2014. </w:t>
      </w:r>
      <w:r w:rsidR="69B84D75" w:rsidRPr="00B7259A">
        <w:rPr>
          <w:rFonts w:asciiTheme="minorHAnsi" w:hAnsiTheme="minorHAnsi" w:cstheme="minorHAnsi"/>
        </w:rPr>
        <w:t>Malawi’s Eight</w:t>
      </w:r>
      <w:r w:rsidR="3CC1C568" w:rsidRPr="00B7259A">
        <w:rPr>
          <w:rFonts w:asciiTheme="minorHAnsi" w:hAnsiTheme="minorHAnsi" w:cstheme="minorHAnsi"/>
        </w:rPr>
        <w:t xml:space="preserve">h Periodic Report on the implementation of the Convention on the Elimination of All Forms of Discrimination against Women (hereinafter referred to as “CEDAW” or the “Convention”) 2015-2019 </w:t>
      </w:r>
      <w:r w:rsidR="69B84D75" w:rsidRPr="00B7259A">
        <w:rPr>
          <w:rFonts w:asciiTheme="minorHAnsi" w:hAnsiTheme="minorHAnsi" w:cstheme="minorHAnsi"/>
        </w:rPr>
        <w:t>is yet to be submitted</w:t>
      </w:r>
      <w:r w:rsidR="4F715672" w:rsidRPr="00B7259A">
        <w:rPr>
          <w:rFonts w:asciiTheme="minorHAnsi" w:hAnsiTheme="minorHAnsi" w:cstheme="minorHAnsi"/>
        </w:rPr>
        <w:t xml:space="preserve">. However, the Draft Report is available locally and has been shared with the CSOs. This </w:t>
      </w:r>
      <w:r w:rsidR="670217D8" w:rsidRPr="00B7259A">
        <w:rPr>
          <w:rFonts w:asciiTheme="minorHAnsi" w:hAnsiTheme="minorHAnsi" w:cstheme="minorHAnsi"/>
        </w:rPr>
        <w:t>E</w:t>
      </w:r>
      <w:r w:rsidR="4F715672" w:rsidRPr="00B7259A">
        <w:rPr>
          <w:rFonts w:asciiTheme="minorHAnsi" w:hAnsiTheme="minorHAnsi" w:cstheme="minorHAnsi"/>
        </w:rPr>
        <w:t>ighth Re</w:t>
      </w:r>
      <w:r w:rsidR="175BEC1B" w:rsidRPr="00B7259A">
        <w:rPr>
          <w:rFonts w:asciiTheme="minorHAnsi" w:hAnsiTheme="minorHAnsi" w:cstheme="minorHAnsi"/>
        </w:rPr>
        <w:t>port</w:t>
      </w:r>
      <w:r w:rsidR="48E3CB4C" w:rsidRPr="00B7259A">
        <w:rPr>
          <w:rFonts w:asciiTheme="minorHAnsi" w:hAnsiTheme="minorHAnsi" w:cstheme="minorHAnsi"/>
        </w:rPr>
        <w:t xml:space="preserve"> is the basis of this FEAM Shadow Report. </w:t>
      </w:r>
    </w:p>
    <w:p w14:paraId="113CB3ED" w14:textId="4553C4C6" w:rsidR="004F0CE0" w:rsidRPr="00B7259A" w:rsidRDefault="48E3CB4C" w:rsidP="00B7259A">
      <w:pPr>
        <w:spacing w:line="276" w:lineRule="auto"/>
        <w:jc w:val="both"/>
        <w:rPr>
          <w:rFonts w:asciiTheme="minorHAnsi" w:hAnsiTheme="minorHAnsi" w:cstheme="minorHAnsi"/>
        </w:rPr>
      </w:pPr>
      <w:r w:rsidRPr="00B7259A">
        <w:rPr>
          <w:rFonts w:asciiTheme="minorHAnsi" w:hAnsiTheme="minorHAnsi" w:cstheme="minorHAnsi"/>
        </w:rPr>
        <w:t>While the Ei</w:t>
      </w:r>
      <w:r w:rsidR="25A6FD0A" w:rsidRPr="00B7259A">
        <w:rPr>
          <w:rFonts w:asciiTheme="minorHAnsi" w:hAnsiTheme="minorHAnsi" w:cstheme="minorHAnsi"/>
        </w:rPr>
        <w:t xml:space="preserve">ghth Draft Report covers almost all the </w:t>
      </w:r>
      <w:r w:rsidR="0C1E0408" w:rsidRPr="00B7259A">
        <w:rPr>
          <w:rFonts w:asciiTheme="minorHAnsi" w:hAnsiTheme="minorHAnsi" w:cstheme="minorHAnsi"/>
        </w:rPr>
        <w:t xml:space="preserve">rights in the </w:t>
      </w:r>
      <w:r w:rsidR="25A6FD0A" w:rsidRPr="00B7259A">
        <w:rPr>
          <w:rFonts w:asciiTheme="minorHAnsi" w:hAnsiTheme="minorHAnsi" w:cstheme="minorHAnsi"/>
        </w:rPr>
        <w:t xml:space="preserve">CEDAW, this </w:t>
      </w:r>
      <w:r w:rsidR="004F0CE0" w:rsidRPr="00B7259A">
        <w:rPr>
          <w:rFonts w:asciiTheme="minorHAnsi" w:hAnsiTheme="minorHAnsi" w:cstheme="minorHAnsi"/>
        </w:rPr>
        <w:t>Report focuses on</w:t>
      </w:r>
      <w:r w:rsidR="3B7462A3" w:rsidRPr="00B7259A">
        <w:rPr>
          <w:rFonts w:asciiTheme="minorHAnsi" w:hAnsiTheme="minorHAnsi" w:cstheme="minorHAnsi"/>
        </w:rPr>
        <w:t xml:space="preserve">ly on </w:t>
      </w:r>
      <w:r w:rsidR="55FA3D8B" w:rsidRPr="00B7259A">
        <w:rPr>
          <w:rFonts w:asciiTheme="minorHAnsi" w:hAnsiTheme="minorHAnsi" w:cstheme="minorHAnsi"/>
        </w:rPr>
        <w:t>Economic</w:t>
      </w:r>
      <w:r w:rsidR="3B7462A3" w:rsidRPr="00B7259A">
        <w:rPr>
          <w:rFonts w:asciiTheme="minorHAnsi" w:hAnsiTheme="minorHAnsi" w:cstheme="minorHAnsi"/>
        </w:rPr>
        <w:t xml:space="preserve"> and </w:t>
      </w:r>
      <w:r w:rsidR="6656D3E4" w:rsidRPr="00B7259A">
        <w:rPr>
          <w:rFonts w:asciiTheme="minorHAnsi" w:hAnsiTheme="minorHAnsi" w:cstheme="minorHAnsi"/>
        </w:rPr>
        <w:t>Social</w:t>
      </w:r>
      <w:r w:rsidR="3B7462A3" w:rsidRPr="00B7259A">
        <w:rPr>
          <w:rFonts w:asciiTheme="minorHAnsi" w:hAnsiTheme="minorHAnsi" w:cstheme="minorHAnsi"/>
        </w:rPr>
        <w:t xml:space="preserve"> rights of the CEDAW under Articles 10 – 1</w:t>
      </w:r>
      <w:r w:rsidR="308A52F2" w:rsidRPr="00B7259A">
        <w:rPr>
          <w:rFonts w:asciiTheme="minorHAnsi" w:hAnsiTheme="minorHAnsi" w:cstheme="minorHAnsi"/>
        </w:rPr>
        <w:t>2</w:t>
      </w:r>
      <w:r w:rsidR="3B7462A3" w:rsidRPr="00B7259A">
        <w:rPr>
          <w:rFonts w:asciiTheme="minorHAnsi" w:hAnsiTheme="minorHAnsi" w:cstheme="minorHAnsi"/>
        </w:rPr>
        <w:t xml:space="preserve">. </w:t>
      </w:r>
      <w:r w:rsidR="004F0CE0" w:rsidRPr="00B7259A">
        <w:rPr>
          <w:rFonts w:asciiTheme="minorHAnsi" w:hAnsiTheme="minorHAnsi" w:cstheme="minorHAnsi"/>
        </w:rPr>
        <w:t xml:space="preserve"> </w:t>
      </w:r>
      <w:r w:rsidR="770463B8" w:rsidRPr="00B7259A">
        <w:rPr>
          <w:rFonts w:asciiTheme="minorHAnsi" w:hAnsiTheme="minorHAnsi" w:cstheme="minorHAnsi"/>
        </w:rPr>
        <w:t xml:space="preserve">Under these Articles, the CEDAW obligates states to eliminate discrimination of women in relation to </w:t>
      </w:r>
      <w:r w:rsidR="00C85EB8" w:rsidRPr="00B7259A">
        <w:rPr>
          <w:rFonts w:asciiTheme="minorHAnsi" w:hAnsiTheme="minorHAnsi" w:cstheme="minorHAnsi"/>
        </w:rPr>
        <w:t>several</w:t>
      </w:r>
      <w:r w:rsidR="770463B8" w:rsidRPr="00B7259A">
        <w:rPr>
          <w:rFonts w:asciiTheme="minorHAnsi" w:hAnsiTheme="minorHAnsi" w:cstheme="minorHAnsi"/>
        </w:rPr>
        <w:t xml:space="preserve"> economic, </w:t>
      </w:r>
      <w:proofErr w:type="gramStart"/>
      <w:r w:rsidR="770463B8" w:rsidRPr="00B7259A">
        <w:rPr>
          <w:rFonts w:asciiTheme="minorHAnsi" w:hAnsiTheme="minorHAnsi" w:cstheme="minorHAnsi"/>
        </w:rPr>
        <w:t>social</w:t>
      </w:r>
      <w:proofErr w:type="gramEnd"/>
      <w:r w:rsidR="770463B8" w:rsidRPr="00B7259A">
        <w:rPr>
          <w:rFonts w:asciiTheme="minorHAnsi" w:hAnsiTheme="minorHAnsi" w:cstheme="minorHAnsi"/>
        </w:rPr>
        <w:t xml:space="preserve"> and cultural rights. These include education</w:t>
      </w:r>
      <w:r w:rsidR="062F2F6F" w:rsidRPr="00B7259A">
        <w:rPr>
          <w:rFonts w:asciiTheme="minorHAnsi" w:hAnsiTheme="minorHAnsi" w:cstheme="minorHAnsi"/>
        </w:rPr>
        <w:t xml:space="preserve"> (article 10)</w:t>
      </w:r>
      <w:r w:rsidR="770463B8" w:rsidRPr="00B7259A">
        <w:rPr>
          <w:rFonts w:asciiTheme="minorHAnsi" w:hAnsiTheme="minorHAnsi" w:cstheme="minorHAnsi"/>
        </w:rPr>
        <w:t>, employment</w:t>
      </w:r>
      <w:r w:rsidR="6BF514A6" w:rsidRPr="00B7259A">
        <w:rPr>
          <w:rFonts w:asciiTheme="minorHAnsi" w:hAnsiTheme="minorHAnsi" w:cstheme="minorHAnsi"/>
        </w:rPr>
        <w:t xml:space="preserve"> (article 11)</w:t>
      </w:r>
      <w:r w:rsidR="770463B8" w:rsidRPr="00B7259A">
        <w:rPr>
          <w:rFonts w:asciiTheme="minorHAnsi" w:hAnsiTheme="minorHAnsi" w:cstheme="minorHAnsi"/>
        </w:rPr>
        <w:t xml:space="preserve"> and healthcare</w:t>
      </w:r>
      <w:r w:rsidR="3E6D7E3C" w:rsidRPr="00B7259A">
        <w:rPr>
          <w:rFonts w:asciiTheme="minorHAnsi" w:hAnsiTheme="minorHAnsi" w:cstheme="minorHAnsi"/>
        </w:rPr>
        <w:t xml:space="preserve"> (article 12)</w:t>
      </w:r>
      <w:r w:rsidR="770463B8" w:rsidRPr="00B7259A">
        <w:rPr>
          <w:rFonts w:asciiTheme="minorHAnsi" w:hAnsiTheme="minorHAnsi" w:cstheme="minorHAnsi"/>
        </w:rPr>
        <w:t>. Significantly, the Convention establishes specific provisions requiring states to eliminate discrimination against women in rural areas to ensure their equal participation in and benefits from rural development. While the whole Convention has a bearing on the enjoyment of rights by rural women, states are obligated to implement measures with respect to rural women, addressing issues such as economic disempowerment, limited participation in political and public life, limited access to services, and labour</w:t>
      </w:r>
      <w:r w:rsidR="1DBFF0D5" w:rsidRPr="00B7259A">
        <w:rPr>
          <w:rFonts w:asciiTheme="minorHAnsi" w:hAnsiTheme="minorHAnsi" w:cstheme="minorHAnsi"/>
        </w:rPr>
        <w:t xml:space="preserve"> </w:t>
      </w:r>
      <w:r w:rsidR="770463B8" w:rsidRPr="00B7259A">
        <w:rPr>
          <w:rFonts w:asciiTheme="minorHAnsi" w:hAnsiTheme="minorHAnsi" w:cstheme="minorHAnsi"/>
        </w:rPr>
        <w:t>exploitation of rural migrant women workers</w:t>
      </w:r>
      <w:r w:rsidR="5C7FA719" w:rsidRPr="00B7259A">
        <w:rPr>
          <w:rFonts w:asciiTheme="minorHAnsi" w:hAnsiTheme="minorHAnsi" w:cstheme="minorHAnsi"/>
        </w:rPr>
        <w:t xml:space="preserve"> as provided for under General </w:t>
      </w:r>
      <w:r w:rsidR="09AEFF94" w:rsidRPr="00B7259A">
        <w:rPr>
          <w:rFonts w:asciiTheme="minorHAnsi" w:hAnsiTheme="minorHAnsi" w:cstheme="minorHAnsi"/>
        </w:rPr>
        <w:t>Recommendation No. 34 on the Rights of Rural Women (CEDAW Committee, 2016.</w:t>
      </w:r>
    </w:p>
    <w:p w14:paraId="12F1F5F7" w14:textId="309700CD" w:rsidR="004F0CE0" w:rsidRPr="00B7259A" w:rsidRDefault="41ED4E61" w:rsidP="00B7259A">
      <w:pPr>
        <w:spacing w:line="276" w:lineRule="auto"/>
        <w:jc w:val="both"/>
        <w:rPr>
          <w:rFonts w:asciiTheme="minorHAnsi" w:hAnsiTheme="minorHAnsi" w:cstheme="minorHAnsi"/>
        </w:rPr>
      </w:pPr>
      <w:r w:rsidRPr="00B7259A">
        <w:rPr>
          <w:rFonts w:asciiTheme="minorHAnsi" w:hAnsiTheme="minorHAnsi" w:cstheme="minorHAnsi"/>
        </w:rPr>
        <w:t>It is in view of this international framework that this Shadow</w:t>
      </w:r>
      <w:r w:rsidR="004F0CE0" w:rsidRPr="00B7259A">
        <w:rPr>
          <w:rFonts w:asciiTheme="minorHAnsi" w:hAnsiTheme="minorHAnsi" w:cstheme="minorHAnsi"/>
        </w:rPr>
        <w:t xml:space="preserve"> Report focuses on the impact of macro-economic policy framework on the rights</w:t>
      </w:r>
      <w:r w:rsidR="00A51415" w:rsidRPr="00B7259A">
        <w:rPr>
          <w:rFonts w:asciiTheme="minorHAnsi" w:hAnsiTheme="minorHAnsi" w:cstheme="minorHAnsi"/>
        </w:rPr>
        <w:t xml:space="preserve"> of women</w:t>
      </w:r>
      <w:r w:rsidR="1C8A3109" w:rsidRPr="00B7259A">
        <w:rPr>
          <w:rFonts w:asciiTheme="minorHAnsi" w:hAnsiTheme="minorHAnsi" w:cstheme="minorHAnsi"/>
        </w:rPr>
        <w:t xml:space="preserve">, </w:t>
      </w:r>
      <w:r w:rsidR="25E886E1" w:rsidRPr="00B7259A">
        <w:rPr>
          <w:rFonts w:asciiTheme="minorHAnsi" w:hAnsiTheme="minorHAnsi" w:cstheme="minorHAnsi"/>
        </w:rPr>
        <w:t xml:space="preserve">in particular, </w:t>
      </w:r>
      <w:r w:rsidR="00854919" w:rsidRPr="00B7259A">
        <w:rPr>
          <w:rFonts w:asciiTheme="minorHAnsi" w:hAnsiTheme="minorHAnsi" w:cstheme="minorHAnsi"/>
        </w:rPr>
        <w:t>the</w:t>
      </w:r>
      <w:r w:rsidR="4A04EB38" w:rsidRPr="00B7259A">
        <w:rPr>
          <w:rFonts w:asciiTheme="minorHAnsi" w:hAnsiTheme="minorHAnsi" w:cstheme="minorHAnsi"/>
        </w:rPr>
        <w:t xml:space="preserve"> right to </w:t>
      </w:r>
      <w:r w:rsidR="004F0CE0" w:rsidRPr="00B7259A">
        <w:rPr>
          <w:rFonts w:asciiTheme="minorHAnsi" w:hAnsiTheme="minorHAnsi" w:cstheme="minorHAnsi"/>
        </w:rPr>
        <w:t xml:space="preserve">education, </w:t>
      </w:r>
      <w:r w:rsidR="0EE62DED" w:rsidRPr="00B7259A">
        <w:rPr>
          <w:rFonts w:asciiTheme="minorHAnsi" w:hAnsiTheme="minorHAnsi" w:cstheme="minorHAnsi"/>
        </w:rPr>
        <w:t>the right to</w:t>
      </w:r>
      <w:r w:rsidR="004F0CE0" w:rsidRPr="00B7259A">
        <w:rPr>
          <w:rFonts w:asciiTheme="minorHAnsi" w:hAnsiTheme="minorHAnsi" w:cstheme="minorHAnsi"/>
        </w:rPr>
        <w:t xml:space="preserve"> health, and </w:t>
      </w:r>
      <w:r w:rsidR="3A9616B3" w:rsidRPr="00B7259A">
        <w:rPr>
          <w:rFonts w:asciiTheme="minorHAnsi" w:hAnsiTheme="minorHAnsi" w:cstheme="minorHAnsi"/>
        </w:rPr>
        <w:t xml:space="preserve">the right to </w:t>
      </w:r>
      <w:r w:rsidR="2D1BDD06" w:rsidRPr="00B7259A">
        <w:rPr>
          <w:rFonts w:asciiTheme="minorHAnsi" w:hAnsiTheme="minorHAnsi" w:cstheme="minorHAnsi"/>
        </w:rPr>
        <w:t>work</w:t>
      </w:r>
      <w:r w:rsidR="6195AC9E" w:rsidRPr="00B7259A">
        <w:rPr>
          <w:rFonts w:asciiTheme="minorHAnsi" w:hAnsiTheme="minorHAnsi" w:cstheme="minorHAnsi"/>
        </w:rPr>
        <w:t>.</w:t>
      </w:r>
      <w:r w:rsidR="27A6575E" w:rsidRPr="00B7259A">
        <w:rPr>
          <w:rFonts w:asciiTheme="minorHAnsi" w:hAnsiTheme="minorHAnsi" w:cstheme="minorHAnsi"/>
        </w:rPr>
        <w:t xml:space="preserve"> S</w:t>
      </w:r>
      <w:r w:rsidR="004F0CE0" w:rsidRPr="00B7259A">
        <w:rPr>
          <w:rFonts w:asciiTheme="minorHAnsi" w:hAnsiTheme="minorHAnsi" w:cstheme="minorHAnsi"/>
        </w:rPr>
        <w:t xml:space="preserve">pecifically, </w:t>
      </w:r>
      <w:r w:rsidR="68F012DF" w:rsidRPr="00B7259A">
        <w:rPr>
          <w:rFonts w:asciiTheme="minorHAnsi" w:hAnsiTheme="minorHAnsi" w:cstheme="minorHAnsi"/>
        </w:rPr>
        <w:t>the report focuses on</w:t>
      </w:r>
      <w:r w:rsidR="004F0CE0" w:rsidRPr="00B7259A">
        <w:rPr>
          <w:rFonts w:asciiTheme="minorHAnsi" w:hAnsiTheme="minorHAnsi" w:cstheme="minorHAnsi"/>
        </w:rPr>
        <w:t xml:space="preserve"> young women in Malawi</w:t>
      </w:r>
      <w:r w:rsidR="539BAB85" w:rsidRPr="00B7259A">
        <w:rPr>
          <w:rFonts w:asciiTheme="minorHAnsi" w:hAnsiTheme="minorHAnsi" w:cstheme="minorHAnsi"/>
        </w:rPr>
        <w:t xml:space="preserve"> under the umbrella of FEAM</w:t>
      </w:r>
      <w:r w:rsidR="004F0CE0" w:rsidRPr="00B7259A">
        <w:rPr>
          <w:rFonts w:asciiTheme="minorHAnsi" w:hAnsiTheme="minorHAnsi" w:cstheme="minorHAnsi"/>
        </w:rPr>
        <w:t xml:space="preserve">. </w:t>
      </w:r>
    </w:p>
    <w:p w14:paraId="2928C670" w14:textId="68D9A4E6" w:rsidR="004F0CE0" w:rsidRPr="00B7259A" w:rsidRDefault="62F660A7" w:rsidP="00B7259A">
      <w:pPr>
        <w:spacing w:line="276" w:lineRule="auto"/>
        <w:jc w:val="both"/>
        <w:rPr>
          <w:rFonts w:asciiTheme="minorHAnsi" w:hAnsiTheme="minorHAnsi" w:cstheme="minorHAnsi"/>
        </w:rPr>
      </w:pPr>
      <w:r w:rsidRPr="00B7259A">
        <w:rPr>
          <w:rFonts w:asciiTheme="minorHAnsi" w:hAnsiTheme="minorHAnsi" w:cstheme="minorHAnsi"/>
        </w:rPr>
        <w:t>The c</w:t>
      </w:r>
      <w:r w:rsidR="004F0CE0" w:rsidRPr="00B7259A">
        <w:rPr>
          <w:rFonts w:asciiTheme="minorHAnsi" w:hAnsiTheme="minorHAnsi" w:cstheme="minorHAnsi"/>
        </w:rPr>
        <w:t>ontributions</w:t>
      </w:r>
      <w:r w:rsidR="1D9A953B" w:rsidRPr="00B7259A">
        <w:rPr>
          <w:rFonts w:asciiTheme="minorHAnsi" w:hAnsiTheme="minorHAnsi" w:cstheme="minorHAnsi"/>
        </w:rPr>
        <w:t xml:space="preserve"> and views </w:t>
      </w:r>
      <w:r w:rsidR="4F4CAAC8" w:rsidRPr="00B7259A">
        <w:rPr>
          <w:rFonts w:asciiTheme="minorHAnsi" w:hAnsiTheme="minorHAnsi" w:cstheme="minorHAnsi"/>
        </w:rPr>
        <w:t>of</w:t>
      </w:r>
      <w:r w:rsidR="1D9A953B" w:rsidRPr="00B7259A">
        <w:rPr>
          <w:rFonts w:asciiTheme="minorHAnsi" w:hAnsiTheme="minorHAnsi" w:cstheme="minorHAnsi"/>
        </w:rPr>
        <w:t xml:space="preserve"> this Shadow Report</w:t>
      </w:r>
      <w:r w:rsidR="004F0CE0" w:rsidRPr="00B7259A">
        <w:rPr>
          <w:rFonts w:asciiTheme="minorHAnsi" w:hAnsiTheme="minorHAnsi" w:cstheme="minorHAnsi"/>
        </w:rPr>
        <w:t xml:space="preserve"> </w:t>
      </w:r>
      <w:r w:rsidR="0327EBE0" w:rsidRPr="00B7259A">
        <w:rPr>
          <w:rFonts w:asciiTheme="minorHAnsi" w:hAnsiTheme="minorHAnsi" w:cstheme="minorHAnsi"/>
        </w:rPr>
        <w:t>were</w:t>
      </w:r>
      <w:r w:rsidR="004F0CE0" w:rsidRPr="00B7259A">
        <w:rPr>
          <w:rFonts w:asciiTheme="minorHAnsi" w:hAnsiTheme="minorHAnsi" w:cstheme="minorHAnsi"/>
        </w:rPr>
        <w:t xml:space="preserve"> collected by young women themselves with support from </w:t>
      </w:r>
      <w:r w:rsidR="5CA567C1" w:rsidRPr="00B7259A">
        <w:rPr>
          <w:rFonts w:asciiTheme="minorHAnsi" w:hAnsiTheme="minorHAnsi" w:cstheme="minorHAnsi"/>
        </w:rPr>
        <w:t xml:space="preserve">the </w:t>
      </w:r>
      <w:r w:rsidR="004F0CE0" w:rsidRPr="00B7259A">
        <w:rPr>
          <w:rFonts w:asciiTheme="minorHAnsi" w:hAnsiTheme="minorHAnsi" w:cstheme="minorHAnsi"/>
        </w:rPr>
        <w:t xml:space="preserve">Feminist Macro Economics Alliance – Malawi </w:t>
      </w:r>
      <w:r w:rsidR="159BED33" w:rsidRPr="00B7259A">
        <w:rPr>
          <w:rFonts w:asciiTheme="minorHAnsi" w:hAnsiTheme="minorHAnsi" w:cstheme="minorHAnsi"/>
        </w:rPr>
        <w:t xml:space="preserve">members </w:t>
      </w:r>
      <w:r w:rsidR="004F0CE0" w:rsidRPr="00B7259A">
        <w:rPr>
          <w:rFonts w:asciiTheme="minorHAnsi" w:hAnsiTheme="minorHAnsi" w:cstheme="minorHAnsi"/>
        </w:rPr>
        <w:t xml:space="preserve">and individual experts. </w:t>
      </w:r>
      <w:r w:rsidR="7E336B9F" w:rsidRPr="00B7259A">
        <w:rPr>
          <w:rFonts w:asciiTheme="minorHAnsi" w:hAnsiTheme="minorHAnsi" w:cstheme="minorHAnsi"/>
        </w:rPr>
        <w:t>As such</w:t>
      </w:r>
      <w:r w:rsidR="004F0CE0" w:rsidRPr="00B7259A">
        <w:rPr>
          <w:rFonts w:asciiTheme="minorHAnsi" w:hAnsiTheme="minorHAnsi" w:cstheme="minorHAnsi"/>
        </w:rPr>
        <w:t xml:space="preserve">, </w:t>
      </w:r>
      <w:r w:rsidR="3AE81807" w:rsidRPr="00B7259A">
        <w:rPr>
          <w:rFonts w:asciiTheme="minorHAnsi" w:hAnsiTheme="minorHAnsi" w:cstheme="minorHAnsi"/>
        </w:rPr>
        <w:lastRenderedPageBreak/>
        <w:t>the</w:t>
      </w:r>
      <w:r w:rsidR="004F0CE0" w:rsidRPr="00B7259A">
        <w:rPr>
          <w:rFonts w:asciiTheme="minorHAnsi" w:hAnsiTheme="minorHAnsi" w:cstheme="minorHAnsi"/>
        </w:rPr>
        <w:t xml:space="preserve"> opinions and recommendations presented in this report solely reflect the views of the </w:t>
      </w:r>
      <w:r w:rsidR="1B40648E" w:rsidRPr="00B7259A">
        <w:rPr>
          <w:rFonts w:asciiTheme="minorHAnsi" w:hAnsiTheme="minorHAnsi" w:cstheme="minorHAnsi"/>
        </w:rPr>
        <w:t xml:space="preserve">young women and the </w:t>
      </w:r>
      <w:r w:rsidR="004F0CE0" w:rsidRPr="00B7259A">
        <w:rPr>
          <w:rFonts w:asciiTheme="minorHAnsi" w:hAnsiTheme="minorHAnsi" w:cstheme="minorHAnsi"/>
        </w:rPr>
        <w:t>respective authors</w:t>
      </w:r>
      <w:r w:rsidR="75A5F1B1" w:rsidRPr="00B7259A">
        <w:rPr>
          <w:rFonts w:asciiTheme="minorHAnsi" w:hAnsiTheme="minorHAnsi" w:cstheme="minorHAnsi"/>
        </w:rPr>
        <w:t xml:space="preserve"> from the prism of young women</w:t>
      </w:r>
      <w:r w:rsidR="004F0CE0" w:rsidRPr="00B7259A">
        <w:rPr>
          <w:rFonts w:asciiTheme="minorHAnsi" w:hAnsiTheme="minorHAnsi" w:cstheme="minorHAnsi"/>
        </w:rPr>
        <w:t>.</w:t>
      </w:r>
      <w:r w:rsidR="66DD6C2E" w:rsidRPr="00B7259A">
        <w:rPr>
          <w:rFonts w:asciiTheme="minorHAnsi" w:hAnsiTheme="minorHAnsi" w:cstheme="minorHAnsi"/>
        </w:rPr>
        <w:t xml:space="preserve"> Consequently, t</w:t>
      </w:r>
      <w:r w:rsidR="004F0CE0" w:rsidRPr="00B7259A">
        <w:rPr>
          <w:rFonts w:asciiTheme="minorHAnsi" w:hAnsiTheme="minorHAnsi" w:cstheme="minorHAnsi"/>
        </w:rPr>
        <w:t>h</w:t>
      </w:r>
      <w:r w:rsidR="28F26F0D" w:rsidRPr="00B7259A">
        <w:rPr>
          <w:rFonts w:asciiTheme="minorHAnsi" w:hAnsiTheme="minorHAnsi" w:cstheme="minorHAnsi"/>
        </w:rPr>
        <w:t>is</w:t>
      </w:r>
      <w:r w:rsidR="004F0CE0" w:rsidRPr="00B7259A">
        <w:rPr>
          <w:rFonts w:asciiTheme="minorHAnsi" w:hAnsiTheme="minorHAnsi" w:cstheme="minorHAnsi"/>
        </w:rPr>
        <w:t xml:space="preserve"> report should not be regarded as exhaustive, </w:t>
      </w:r>
      <w:r w:rsidR="462FDEC7" w:rsidRPr="00B7259A">
        <w:rPr>
          <w:rFonts w:asciiTheme="minorHAnsi" w:hAnsiTheme="minorHAnsi" w:cstheme="minorHAnsi"/>
        </w:rPr>
        <w:t>despite being</w:t>
      </w:r>
      <w:r w:rsidR="004F0CE0" w:rsidRPr="00B7259A">
        <w:rPr>
          <w:rFonts w:asciiTheme="minorHAnsi" w:hAnsiTheme="minorHAnsi" w:cstheme="minorHAnsi"/>
        </w:rPr>
        <w:t xml:space="preserve"> structured according to the CEDAW articles.</w:t>
      </w:r>
    </w:p>
    <w:p w14:paraId="0CD756FC" w14:textId="42680B92" w:rsidR="004F0CE0" w:rsidRPr="00B7259A" w:rsidRDefault="04C478B7"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1.1 </w:t>
      </w:r>
      <w:r w:rsidR="004F0CE0" w:rsidRPr="00B7259A">
        <w:rPr>
          <w:rFonts w:asciiTheme="minorHAnsi" w:hAnsiTheme="minorHAnsi" w:cstheme="minorHAnsi"/>
          <w:sz w:val="22"/>
          <w:szCs w:val="22"/>
        </w:rPr>
        <w:t>The Context: Women’s rights and neoliberalism</w:t>
      </w:r>
    </w:p>
    <w:p w14:paraId="3C30BBD7" w14:textId="77777777"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A growing body of evidence produced by feminist researchers across the globe strongly indicates that well-funded systems of gender-responsive public services are imperative to achieving gender equality and women’s empowerment (SDG 5). In fact, they form the backbone of the entire 2030 Agenda: from health and wellbeing (SDG 3) to quality education for all (SDG 4), from poverty eradication (SDG 1) to the reduction of inequalities (SDG 10), and from decent work and inclusive growth (SDG 8) to combating climate change (SDG 13).</w:t>
      </w:r>
    </w:p>
    <w:p w14:paraId="34A30D15" w14:textId="0ED01DD5"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 xml:space="preserve">Despite this, the current economic climate in Malawi gives much cause for concern, and activists and scholars increasingly blame the existing dominant neoliberal </w:t>
      </w:r>
      <w:r w:rsidR="34522810" w:rsidRPr="00B7259A">
        <w:rPr>
          <w:rFonts w:asciiTheme="minorHAnsi" w:hAnsiTheme="minorHAnsi" w:cstheme="minorHAnsi"/>
        </w:rPr>
        <w:t>macro-</w:t>
      </w:r>
      <w:r w:rsidRPr="00B7259A">
        <w:rPr>
          <w:rFonts w:asciiTheme="minorHAnsi" w:hAnsiTheme="minorHAnsi" w:cstheme="minorHAnsi"/>
        </w:rPr>
        <w:t>economic framework for the crisis in public service delivery. Like countries everywhere, policy makers in Malawi are committed to implementing obligations on advancing gender-equality, including improving delivery of gender-responsive public service. These commitments are also endorsed through formulation and domestication of global and regional legal frameworks on gender equality.</w:t>
      </w:r>
    </w:p>
    <w:p w14:paraId="389FF72B" w14:textId="4EE277E3"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 xml:space="preserve">However, such efforts continue to be hampered by the global neoliberal-capitalist system which pursues growth at all costs, causing human exploitation and environmental destruction, while forcing governments in the global </w:t>
      </w:r>
      <w:sdt>
        <w:sdtPr>
          <w:rPr>
            <w:rFonts w:asciiTheme="minorHAnsi" w:hAnsiTheme="minorHAnsi" w:cstheme="minorHAnsi"/>
          </w:rPr>
          <w:tag w:val="goog_rdk_65"/>
          <w:id w:val="1859770997"/>
        </w:sdtPr>
        <w:sdtContent>
          <w:r w:rsidRPr="00B7259A">
            <w:rPr>
              <w:rFonts w:asciiTheme="minorHAnsi" w:hAnsiTheme="minorHAnsi" w:cstheme="minorHAnsi"/>
            </w:rPr>
            <w:t>S</w:t>
          </w:r>
        </w:sdtContent>
      </w:sdt>
      <w:r w:rsidRPr="00B7259A">
        <w:rPr>
          <w:rFonts w:asciiTheme="minorHAnsi" w:hAnsiTheme="minorHAnsi" w:cstheme="minorHAnsi"/>
        </w:rPr>
        <w:t xml:space="preserve">outh to </w:t>
      </w:r>
      <w:r w:rsidR="001546C6" w:rsidRPr="00B7259A">
        <w:rPr>
          <w:rFonts w:asciiTheme="minorHAnsi" w:hAnsiTheme="minorHAnsi" w:cstheme="minorHAnsi"/>
        </w:rPr>
        <w:t>minimize</w:t>
      </w:r>
      <w:r w:rsidRPr="00B7259A">
        <w:rPr>
          <w:rFonts w:asciiTheme="minorHAnsi" w:hAnsiTheme="minorHAnsi" w:cstheme="minorHAnsi"/>
        </w:rPr>
        <w:t xml:space="preserve"> social service expenditure.</w:t>
      </w:r>
      <w:r w:rsidR="44C95BCA" w:rsidRPr="00B7259A">
        <w:rPr>
          <w:rFonts w:asciiTheme="minorHAnsi" w:hAnsiTheme="minorHAnsi" w:cstheme="minorHAnsi"/>
        </w:rPr>
        <w:t xml:space="preserve"> </w:t>
      </w:r>
      <w:r w:rsidRPr="00B7259A">
        <w:rPr>
          <w:rFonts w:asciiTheme="minorHAnsi" w:hAnsiTheme="minorHAnsi" w:cstheme="minorHAnsi"/>
        </w:rPr>
        <w:t>In the name of austerity, many advances in the provision of gender-responsive public services continue to be under threat of cutbacks, even as economic inequality is growing. Levels of inequality have been exacerbated by the inadequate response and recovery from the on-going poly-crisis, including the on-going public health and economic crisis, and all this occurs in the context of increasing corporate power and rampant tax evasion influenced by global North governments and International Financial Institutions (IFIs).</w:t>
      </w:r>
    </w:p>
    <w:p w14:paraId="6BDA113F" w14:textId="4D2A0766"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 xml:space="preserve">Malawi, like many countries in the global south, functions under neoliberal economic framework. For decades, neoliberalism has remained a dominant policy model that encompasses both politics and economics, and the primacy it places on economic growth and profits achieved through </w:t>
      </w:r>
      <w:r w:rsidR="00C85EB8" w:rsidRPr="00B7259A">
        <w:rPr>
          <w:rFonts w:asciiTheme="minorHAnsi" w:hAnsiTheme="minorHAnsi" w:cstheme="minorHAnsi"/>
        </w:rPr>
        <w:t>privatization</w:t>
      </w:r>
      <w:r w:rsidRPr="00B7259A">
        <w:rPr>
          <w:rFonts w:asciiTheme="minorHAnsi" w:hAnsiTheme="minorHAnsi" w:cstheme="minorHAnsi"/>
        </w:rPr>
        <w:t xml:space="preserve">, deregulation, contractionary fiscal policies, and </w:t>
      </w:r>
      <w:r w:rsidR="00C85EB8" w:rsidRPr="00B7259A">
        <w:rPr>
          <w:rFonts w:asciiTheme="minorHAnsi" w:hAnsiTheme="minorHAnsi" w:cstheme="minorHAnsi"/>
        </w:rPr>
        <w:t>liberalization</w:t>
      </w:r>
      <w:r w:rsidRPr="00B7259A">
        <w:rPr>
          <w:rFonts w:asciiTheme="minorHAnsi" w:hAnsiTheme="minorHAnsi" w:cstheme="minorHAnsi"/>
        </w:rPr>
        <w:t xml:space="preserve"> among other things, have proven detrimental to women’s rights and the environment. Neoliberalism </w:t>
      </w:r>
      <w:r w:rsidR="00C85EB8" w:rsidRPr="00B7259A">
        <w:rPr>
          <w:rFonts w:asciiTheme="minorHAnsi" w:hAnsiTheme="minorHAnsi" w:cstheme="minorHAnsi"/>
        </w:rPr>
        <w:t>prioritizes</w:t>
      </w:r>
      <w:r w:rsidRPr="00B7259A">
        <w:rPr>
          <w:rFonts w:asciiTheme="minorHAnsi" w:hAnsiTheme="minorHAnsi" w:cstheme="minorHAnsi"/>
        </w:rPr>
        <w:t xml:space="preserve"> economic growth and supports minimal government intervention, because its core principle is a belief in the productivity of market competition and free trade.</w:t>
      </w:r>
    </w:p>
    <w:p w14:paraId="27D49BEB" w14:textId="0ECF6703"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 xml:space="preserve">Neoliberalism in Malawi, was introduced as an economic framework through the Structural Adjustment Programs (SAPs), imposed by International Financial Institutions (IFIs) such as the International Monetary Fund (IMF) and the World Bank. The SAPs formed part of the loan conditionalities to the country and have since evolved to the current austerity measures. Specifically, the IFIs recommended for the Malawi government to privatize utilities such as food, healthcare, and education to private entities. Subsidies and social welfare programs were also cut, leading to reduced public spending in these utilities. These </w:t>
      </w:r>
      <w:r w:rsidRPr="00B7259A">
        <w:rPr>
          <w:rFonts w:asciiTheme="minorHAnsi" w:hAnsiTheme="minorHAnsi" w:cstheme="minorHAnsi"/>
        </w:rPr>
        <w:lastRenderedPageBreak/>
        <w:t>measures have had adverse effects on vulnerable populations-especially women and girls, who were primarily dependent on government support.</w:t>
      </w:r>
    </w:p>
    <w:p w14:paraId="226E4DEE" w14:textId="66E73AD3"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 xml:space="preserve">While Malawi has a primarily agricultural economy, heavily reliant on subsistence, rainfed agriculture, it is far from enough to sustain the country’s economy. As such, the economy also depends on domestic revenue through the tax system, donor aid and debt from IFIs to meet the economic needs of the country. The dependence on donor aid and debt has weakened fiscal management and economic policies and created breeding grounds for numerous rounds of austerity, and in turn further reduced public spending </w:t>
      </w:r>
      <w:r w:rsidR="14E87A0B" w:rsidRPr="00B7259A">
        <w:rPr>
          <w:rFonts w:asciiTheme="minorHAnsi" w:hAnsiTheme="minorHAnsi" w:cstheme="minorHAnsi"/>
        </w:rPr>
        <w:t>on</w:t>
      </w:r>
      <w:r w:rsidRPr="00B7259A">
        <w:rPr>
          <w:rFonts w:asciiTheme="minorHAnsi" w:hAnsiTheme="minorHAnsi" w:cstheme="minorHAnsi"/>
        </w:rPr>
        <w:t xml:space="preserve"> public services.</w:t>
      </w:r>
    </w:p>
    <w:p w14:paraId="31399A48" w14:textId="4608C583" w:rsidR="001F250A" w:rsidRPr="00B7259A" w:rsidRDefault="7D327A58"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1.2 </w:t>
      </w:r>
      <w:r w:rsidR="004F0CE0" w:rsidRPr="00B7259A">
        <w:rPr>
          <w:rFonts w:asciiTheme="minorHAnsi" w:hAnsiTheme="minorHAnsi" w:cstheme="minorHAnsi"/>
          <w:sz w:val="22"/>
          <w:szCs w:val="22"/>
        </w:rPr>
        <w:t>Gendered Austerity</w:t>
      </w:r>
    </w:p>
    <w:p w14:paraId="1C628410" w14:textId="1A186D1B"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When the</w:t>
      </w:r>
      <w:r w:rsidR="75601772" w:rsidRPr="00B7259A">
        <w:rPr>
          <w:rFonts w:asciiTheme="minorHAnsi" w:hAnsiTheme="minorHAnsi" w:cstheme="minorHAnsi"/>
        </w:rPr>
        <w:t xml:space="preserve"> expenditure</w:t>
      </w:r>
      <w:r w:rsidRPr="00B7259A">
        <w:rPr>
          <w:rFonts w:asciiTheme="minorHAnsi" w:hAnsiTheme="minorHAnsi" w:cstheme="minorHAnsi"/>
        </w:rPr>
        <w:t xml:space="preserve"> cuts are made to essential public services such as healthcare, a gap is created, and the responsibility is simply transferred from the public to the private sphere, to unpaid caregivers in the home who, because of Malawi’s entrenched social norms, are usually women (ActionAid, 2022).</w:t>
      </w:r>
      <w:r w:rsidR="1EFDF325" w:rsidRPr="00B7259A">
        <w:rPr>
          <w:rFonts w:asciiTheme="minorHAnsi" w:hAnsiTheme="minorHAnsi" w:cstheme="minorHAnsi"/>
        </w:rPr>
        <w:t xml:space="preserve"> When these services are relegated to the private sector, accessibility and affordability become a luxury, therefore placing the country in violation of several human rights commitments including the CEDAW, the Universal Declaration on Human Rights, the Convention on Economic, Social and Cultural Rights, the Abuja Declaration, and the Maputo Protocol, the Malawi constitution as well as the delayed achievement of the Sustainable Development Goals.</w:t>
      </w:r>
    </w:p>
    <w:p w14:paraId="4FF68D09" w14:textId="09282D56" w:rsidR="46491E9A" w:rsidRPr="00B7259A" w:rsidRDefault="46491E9A" w:rsidP="00B7259A">
      <w:pPr>
        <w:spacing w:line="276" w:lineRule="auto"/>
        <w:jc w:val="both"/>
        <w:rPr>
          <w:rFonts w:asciiTheme="minorHAnsi" w:hAnsiTheme="minorHAnsi" w:cstheme="minorHAnsi"/>
        </w:rPr>
      </w:pPr>
      <w:r w:rsidRPr="00B7259A">
        <w:rPr>
          <w:rFonts w:asciiTheme="minorHAnsi" w:hAnsiTheme="minorHAnsi" w:cstheme="minorHAnsi"/>
        </w:rPr>
        <w:t>When these cuts are made to essential public services such as healthcare, a gap is created, and the responsibility is simply transferred from the public to the private sphere, to unpaid caregivers in the home who, because of Malawi’s entrenched social norms, are usually women (ActionAid, 2022).</w:t>
      </w:r>
    </w:p>
    <w:p w14:paraId="75A9D25D" w14:textId="77777777" w:rsidR="00C85EB8" w:rsidRPr="00B7259A" w:rsidRDefault="00000000" w:rsidP="00B7259A">
      <w:pPr>
        <w:pStyle w:val="Heading2"/>
        <w:spacing w:line="276" w:lineRule="auto"/>
        <w:jc w:val="both"/>
        <w:rPr>
          <w:rFonts w:asciiTheme="minorHAnsi" w:hAnsiTheme="minorHAnsi" w:cstheme="minorHAnsi"/>
          <w:sz w:val="22"/>
          <w:szCs w:val="22"/>
        </w:rPr>
      </w:pPr>
      <w:sdt>
        <w:sdtPr>
          <w:rPr>
            <w:rFonts w:asciiTheme="minorHAnsi" w:hAnsiTheme="minorHAnsi" w:cstheme="minorHAnsi"/>
            <w:sz w:val="22"/>
            <w:szCs w:val="22"/>
          </w:rPr>
          <w:tag w:val="goog_rdk_73"/>
          <w:id w:val="194434167"/>
        </w:sdtPr>
        <w:sdtContent>
          <w:r w:rsidR="3F0C7A28" w:rsidRPr="00B7259A">
            <w:rPr>
              <w:rFonts w:asciiTheme="minorHAnsi" w:hAnsiTheme="minorHAnsi" w:cstheme="minorHAnsi"/>
              <w:sz w:val="22"/>
              <w:szCs w:val="22"/>
            </w:rPr>
            <w:t xml:space="preserve">1.3 </w:t>
          </w:r>
          <w:sdt>
            <w:sdtPr>
              <w:rPr>
                <w:rFonts w:asciiTheme="minorHAnsi" w:hAnsiTheme="minorHAnsi" w:cstheme="minorHAnsi"/>
                <w:sz w:val="22"/>
                <w:szCs w:val="22"/>
              </w:rPr>
              <w:tag w:val="goog_rdk_71"/>
              <w:id w:val="311607520"/>
            </w:sdtPr>
            <w:sdtContent>
              <w:r w:rsidR="004F0CE0" w:rsidRPr="00B7259A">
                <w:rPr>
                  <w:rFonts w:asciiTheme="minorHAnsi" w:hAnsiTheme="minorHAnsi" w:cstheme="minorHAnsi"/>
                  <w:sz w:val="22"/>
                  <w:szCs w:val="22"/>
                </w:rPr>
                <w:t>How debt is holding Malawi back</w:t>
              </w:r>
            </w:sdtContent>
          </w:sdt>
          <w:sdt>
            <w:sdtPr>
              <w:rPr>
                <w:rFonts w:asciiTheme="minorHAnsi" w:hAnsiTheme="minorHAnsi" w:cstheme="minorHAnsi"/>
                <w:sz w:val="22"/>
                <w:szCs w:val="22"/>
              </w:rPr>
              <w:tag w:val="goog_rdk_72"/>
              <w:id w:val="-1145350473"/>
              <w:showingPlcHdr/>
            </w:sdtPr>
            <w:sdtContent>
              <w:r w:rsidR="004F0CE0" w:rsidRPr="00B7259A">
                <w:rPr>
                  <w:rFonts w:asciiTheme="minorHAnsi" w:hAnsiTheme="minorHAnsi" w:cstheme="minorHAnsi"/>
                  <w:sz w:val="22"/>
                  <w:szCs w:val="22"/>
                </w:rPr>
                <w:t xml:space="preserve">     </w:t>
              </w:r>
            </w:sdtContent>
          </w:sdt>
        </w:sdtContent>
      </w:sdt>
    </w:p>
    <w:p w14:paraId="6D44DB41" w14:textId="585CFA48" w:rsidR="004F0CE0"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The</w:t>
      </w:r>
      <w:sdt>
        <w:sdtPr>
          <w:rPr>
            <w:rFonts w:asciiTheme="minorHAnsi" w:hAnsiTheme="minorHAnsi" w:cstheme="minorHAnsi"/>
          </w:rPr>
          <w:tag w:val="goog_rdk_74"/>
          <w:id w:val="955069964"/>
        </w:sdtPr>
        <w:sdtContent>
          <w:r w:rsidRPr="00B7259A">
            <w:rPr>
              <w:rFonts w:asciiTheme="minorHAnsi" w:hAnsiTheme="minorHAnsi" w:cstheme="minorHAnsi"/>
            </w:rPr>
            <w:t xml:space="preserve"> situation in</w:t>
          </w:r>
        </w:sdtContent>
      </w:sdt>
      <w:r w:rsidRPr="00B7259A">
        <w:rPr>
          <w:rFonts w:asciiTheme="minorHAnsi" w:hAnsiTheme="minorHAnsi" w:cstheme="minorHAnsi"/>
        </w:rPr>
        <w:t xml:space="preserve"> Malawi </w:t>
      </w:r>
      <w:sdt>
        <w:sdtPr>
          <w:rPr>
            <w:rFonts w:asciiTheme="minorHAnsi" w:hAnsiTheme="minorHAnsi" w:cstheme="minorHAnsi"/>
          </w:rPr>
          <w:tag w:val="goog_rdk_75"/>
          <w:id w:val="434411461"/>
        </w:sdtPr>
        <w:sdtContent>
          <w:r w:rsidRPr="00B7259A">
            <w:rPr>
              <w:rFonts w:asciiTheme="minorHAnsi" w:hAnsiTheme="minorHAnsi" w:cstheme="minorHAnsi"/>
            </w:rPr>
            <w:t xml:space="preserve">is a </w:t>
          </w:r>
          <w:sdt>
            <w:sdtPr>
              <w:rPr>
                <w:rFonts w:asciiTheme="minorHAnsi" w:hAnsiTheme="minorHAnsi" w:cstheme="minorHAnsi"/>
              </w:rPr>
              <w:tag w:val="goog_rdk_76"/>
              <w:id w:val="-1142888525"/>
            </w:sdtPr>
            <w:sdtContent/>
          </w:sdt>
          <w:r w:rsidRPr="00B7259A">
            <w:rPr>
              <w:rFonts w:asciiTheme="minorHAnsi" w:hAnsiTheme="minorHAnsi" w:cstheme="minorHAnsi"/>
            </w:rPr>
            <w:t xml:space="preserve">shocking example of </w:t>
          </w:r>
        </w:sdtContent>
      </w:sdt>
      <w:r w:rsidRPr="00B7259A">
        <w:rPr>
          <w:rFonts w:asciiTheme="minorHAnsi" w:hAnsiTheme="minorHAnsi" w:cstheme="minorHAnsi"/>
        </w:rPr>
        <w:t xml:space="preserve">how the current </w:t>
      </w:r>
      <w:r w:rsidR="6238D1C5" w:rsidRPr="00B7259A">
        <w:rPr>
          <w:rFonts w:asciiTheme="minorHAnsi" w:hAnsiTheme="minorHAnsi" w:cstheme="minorHAnsi"/>
        </w:rPr>
        <w:t xml:space="preserve">dominant </w:t>
      </w:r>
      <w:r w:rsidRPr="00B7259A">
        <w:rPr>
          <w:rFonts w:asciiTheme="minorHAnsi" w:hAnsiTheme="minorHAnsi" w:cstheme="minorHAnsi"/>
        </w:rPr>
        <w:t>economic model is not working. Numerous rounds of economic reforms since the 1980s linked to loans or policy advice from the World Bank and International Monetary Fund (IMF) have led to sustained under-investment and cuts to vital public services, and this continue</w:t>
      </w:r>
      <w:sdt>
        <w:sdtPr>
          <w:rPr>
            <w:rFonts w:asciiTheme="minorHAnsi" w:hAnsiTheme="minorHAnsi" w:cstheme="minorHAnsi"/>
          </w:rPr>
          <w:tag w:val="goog_rdk_82"/>
          <w:id w:val="-164089816"/>
        </w:sdtPr>
        <w:sdtContent>
          <w:r w:rsidRPr="00B7259A">
            <w:rPr>
              <w:rFonts w:asciiTheme="minorHAnsi" w:hAnsiTheme="minorHAnsi" w:cstheme="minorHAnsi"/>
            </w:rPr>
            <w:t>s</w:t>
          </w:r>
        </w:sdtContent>
      </w:sdt>
      <w:r w:rsidRPr="00B7259A">
        <w:rPr>
          <w:rFonts w:asciiTheme="minorHAnsi" w:hAnsiTheme="minorHAnsi" w:cstheme="minorHAnsi"/>
        </w:rPr>
        <w:t xml:space="preserve"> to negatively affect investment in key sectors like health, education, </w:t>
      </w:r>
      <w:r w:rsidR="0014571A" w:rsidRPr="00B7259A">
        <w:rPr>
          <w:rFonts w:asciiTheme="minorHAnsi" w:hAnsiTheme="minorHAnsi" w:cstheme="minorHAnsi"/>
        </w:rPr>
        <w:t xml:space="preserve">and </w:t>
      </w:r>
      <w:r w:rsidRPr="00B7259A">
        <w:rPr>
          <w:rFonts w:asciiTheme="minorHAnsi" w:hAnsiTheme="minorHAnsi" w:cstheme="minorHAnsi"/>
        </w:rPr>
        <w:t>social protection</w:t>
      </w:r>
      <w:r w:rsidR="0014571A" w:rsidRPr="00B7259A">
        <w:rPr>
          <w:rFonts w:asciiTheme="minorHAnsi" w:hAnsiTheme="minorHAnsi" w:cstheme="minorHAnsi"/>
        </w:rPr>
        <w:t>.</w:t>
      </w:r>
      <w:r w:rsidRPr="00B7259A">
        <w:rPr>
          <w:rFonts w:asciiTheme="minorHAnsi" w:hAnsiTheme="minorHAnsi" w:cstheme="minorHAnsi"/>
        </w:rPr>
        <w:t xml:space="preserve"> The on-going </w:t>
      </w:r>
      <w:r w:rsidR="0014571A" w:rsidRPr="00B7259A">
        <w:rPr>
          <w:rFonts w:asciiTheme="minorHAnsi" w:hAnsiTheme="minorHAnsi" w:cstheme="minorHAnsi"/>
        </w:rPr>
        <w:t xml:space="preserve">multiple </w:t>
      </w:r>
      <w:r w:rsidRPr="00B7259A">
        <w:rPr>
          <w:rFonts w:asciiTheme="minorHAnsi" w:hAnsiTheme="minorHAnsi" w:cstheme="minorHAnsi"/>
        </w:rPr>
        <w:t>cris</w:t>
      </w:r>
      <w:r w:rsidR="0014571A" w:rsidRPr="00B7259A">
        <w:rPr>
          <w:rFonts w:asciiTheme="minorHAnsi" w:hAnsiTheme="minorHAnsi" w:cstheme="minorHAnsi"/>
        </w:rPr>
        <w:t>e</w:t>
      </w:r>
      <w:r w:rsidRPr="00B7259A">
        <w:rPr>
          <w:rFonts w:asciiTheme="minorHAnsi" w:hAnsiTheme="minorHAnsi" w:cstheme="minorHAnsi"/>
        </w:rPr>
        <w:t>s has</w:t>
      </w:r>
      <w:r w:rsidR="0014571A" w:rsidRPr="00B7259A">
        <w:rPr>
          <w:rFonts w:asciiTheme="minorHAnsi" w:hAnsiTheme="minorHAnsi" w:cstheme="minorHAnsi"/>
        </w:rPr>
        <w:t xml:space="preserve"> also</w:t>
      </w:r>
      <w:r w:rsidRPr="00B7259A">
        <w:rPr>
          <w:rFonts w:asciiTheme="minorHAnsi" w:hAnsiTheme="minorHAnsi" w:cstheme="minorHAnsi"/>
        </w:rPr>
        <w:t xml:space="preserve"> been used to justify intensified rounds of austerity</w:t>
      </w:r>
      <w:r w:rsidR="0014571A" w:rsidRPr="00B7259A">
        <w:rPr>
          <w:rFonts w:asciiTheme="minorHAnsi" w:hAnsiTheme="minorHAnsi" w:cstheme="minorHAnsi"/>
        </w:rPr>
        <w:t xml:space="preserve">, reinforcing </w:t>
      </w:r>
      <w:r w:rsidRPr="00B7259A">
        <w:rPr>
          <w:rFonts w:asciiTheme="minorHAnsi" w:hAnsiTheme="minorHAnsi" w:cstheme="minorHAnsi"/>
        </w:rPr>
        <w:t xml:space="preserve">a racist, sexist division of labour that devalues care work, whether paid or unpaid, </w:t>
      </w:r>
      <w:r w:rsidR="0014571A" w:rsidRPr="00B7259A">
        <w:rPr>
          <w:rFonts w:asciiTheme="minorHAnsi" w:hAnsiTheme="minorHAnsi" w:cstheme="minorHAnsi"/>
        </w:rPr>
        <w:t xml:space="preserve">and diminishes the functionality of the public services. </w:t>
      </w:r>
    </w:p>
    <w:p w14:paraId="1CDCE3A5" w14:textId="5AB0B47F" w:rsidR="00714C78" w:rsidRPr="00B7259A" w:rsidRDefault="004F0CE0" w:rsidP="00B7259A">
      <w:pPr>
        <w:spacing w:line="276" w:lineRule="auto"/>
        <w:jc w:val="both"/>
        <w:rPr>
          <w:rFonts w:asciiTheme="minorHAnsi" w:hAnsiTheme="minorHAnsi" w:cstheme="minorHAnsi"/>
        </w:rPr>
      </w:pPr>
      <w:r w:rsidRPr="00B7259A">
        <w:rPr>
          <w:rFonts w:asciiTheme="minorHAnsi" w:hAnsiTheme="minorHAnsi" w:cstheme="minorHAnsi"/>
        </w:rPr>
        <w:t xml:space="preserve">Such austerity measures have an impact on women due to their gendered roles, </w:t>
      </w:r>
      <w:sdt>
        <w:sdtPr>
          <w:rPr>
            <w:rFonts w:asciiTheme="minorHAnsi" w:hAnsiTheme="minorHAnsi" w:cstheme="minorHAnsi"/>
          </w:rPr>
          <w:tag w:val="goog_rdk_84"/>
          <w:id w:val="614327337"/>
        </w:sdtPr>
        <w:sdtContent>
          <w:r w:rsidRPr="00B7259A">
            <w:rPr>
              <w:rFonts w:asciiTheme="minorHAnsi" w:hAnsiTheme="minorHAnsi" w:cstheme="minorHAnsi"/>
            </w:rPr>
            <w:t>representing</w:t>
          </w:r>
        </w:sdtContent>
      </w:sdt>
      <w:r w:rsidRPr="00B7259A">
        <w:rPr>
          <w:rFonts w:asciiTheme="minorHAnsi" w:hAnsiTheme="minorHAnsi" w:cstheme="minorHAnsi"/>
        </w:rPr>
        <w:t xml:space="preserve"> most public sector workers and primary users of public services. The pandemic, climate crisis and </w:t>
      </w:r>
      <w:r w:rsidR="0014571A" w:rsidRPr="00B7259A">
        <w:rPr>
          <w:rFonts w:asciiTheme="minorHAnsi" w:hAnsiTheme="minorHAnsi" w:cstheme="minorHAnsi"/>
        </w:rPr>
        <w:t xml:space="preserve">spiraling inflation </w:t>
      </w:r>
      <w:r w:rsidRPr="00B7259A">
        <w:rPr>
          <w:rFonts w:asciiTheme="minorHAnsi" w:hAnsiTheme="minorHAnsi" w:cstheme="minorHAnsi"/>
        </w:rPr>
        <w:t xml:space="preserve">have also pushed Malawi into a debt crisis. </w:t>
      </w:r>
    </w:p>
    <w:p w14:paraId="0C470CEA" w14:textId="2BCC45D5" w:rsidR="00714C78" w:rsidRPr="00B7259A" w:rsidRDefault="2E58D6BC" w:rsidP="00B7259A">
      <w:pPr>
        <w:spacing w:line="276" w:lineRule="auto"/>
        <w:jc w:val="both"/>
        <w:rPr>
          <w:rFonts w:asciiTheme="minorHAnsi" w:hAnsiTheme="minorHAnsi" w:cstheme="minorHAnsi"/>
        </w:rPr>
      </w:pPr>
      <w:r w:rsidRPr="00B7259A">
        <w:rPr>
          <w:rFonts w:asciiTheme="minorHAnsi" w:hAnsiTheme="minorHAnsi" w:cstheme="minorHAnsi"/>
        </w:rPr>
        <w:t xml:space="preserve">Malawi’s debt hit 66.7% of GDP in 2022 and is predicted to rise in 2023, further constraining its ability to finance desperately needed public services, which are crucial for women’s rights and </w:t>
      </w:r>
      <w:sdt>
        <w:sdtPr>
          <w:rPr>
            <w:rFonts w:asciiTheme="minorHAnsi" w:hAnsiTheme="minorHAnsi" w:cstheme="minorHAnsi"/>
          </w:rPr>
          <w:tag w:val="goog_rdk_91"/>
          <w:id w:val="973244389"/>
        </w:sdtPr>
        <w:sdtContent>
          <w:r w:rsidRPr="00B7259A">
            <w:rPr>
              <w:rFonts w:asciiTheme="minorHAnsi" w:hAnsiTheme="minorHAnsi" w:cstheme="minorHAnsi"/>
            </w:rPr>
            <w:t xml:space="preserve">the </w:t>
          </w:r>
        </w:sdtContent>
      </w:sdt>
      <w:r w:rsidRPr="00B7259A">
        <w:rPr>
          <w:rFonts w:asciiTheme="minorHAnsi" w:hAnsiTheme="minorHAnsi" w:cstheme="minorHAnsi"/>
        </w:rPr>
        <w:t xml:space="preserve">country’s ability to respond to the </w:t>
      </w:r>
      <w:r w:rsidR="0014571A" w:rsidRPr="00B7259A">
        <w:rPr>
          <w:rFonts w:asciiTheme="minorHAnsi" w:hAnsiTheme="minorHAnsi" w:cstheme="minorHAnsi"/>
        </w:rPr>
        <w:t>multiple</w:t>
      </w:r>
      <w:r w:rsidRPr="00B7259A">
        <w:rPr>
          <w:rFonts w:asciiTheme="minorHAnsi" w:hAnsiTheme="minorHAnsi" w:cstheme="minorHAnsi"/>
        </w:rPr>
        <w:t xml:space="preserve"> cris</w:t>
      </w:r>
      <w:r w:rsidR="0014571A" w:rsidRPr="00B7259A">
        <w:rPr>
          <w:rFonts w:asciiTheme="minorHAnsi" w:hAnsiTheme="minorHAnsi" w:cstheme="minorHAnsi"/>
        </w:rPr>
        <w:t>e</w:t>
      </w:r>
      <w:r w:rsidRPr="00B7259A">
        <w:rPr>
          <w:rFonts w:asciiTheme="minorHAnsi" w:hAnsiTheme="minorHAnsi" w:cstheme="minorHAnsi"/>
        </w:rPr>
        <w:t xml:space="preserve">s. The IMF predicts that this debt is likely to stay over 30% of government revenue until at least the early 2030s. As loans are mostly provided in US dollars, Malawi’s debt has been intensified by recent interest rate rises in the US to curb inflation, along with the depreciation of its own currency. Over-reliance on export-oriented agriculture has led to chronic food insecurity, which </w:t>
      </w:r>
      <w:sdt>
        <w:sdtPr>
          <w:rPr>
            <w:rFonts w:asciiTheme="minorHAnsi" w:hAnsiTheme="minorHAnsi" w:cstheme="minorHAnsi"/>
          </w:rPr>
          <w:tag w:val="goog_rdk_93"/>
          <w:id w:val="99335401"/>
        </w:sdtPr>
        <w:sdtContent>
          <w:r w:rsidRPr="00B7259A">
            <w:rPr>
              <w:rFonts w:asciiTheme="minorHAnsi" w:hAnsiTheme="minorHAnsi" w:cstheme="minorHAnsi"/>
            </w:rPr>
            <w:t xml:space="preserve">disproportionately </w:t>
          </w:r>
        </w:sdtContent>
      </w:sdt>
      <w:r w:rsidRPr="00B7259A">
        <w:rPr>
          <w:rFonts w:asciiTheme="minorHAnsi" w:hAnsiTheme="minorHAnsi" w:cstheme="minorHAnsi"/>
        </w:rPr>
        <w:t>affects women as those responsible for meeting the nutritional needs of their families. Climate crises, driven by the demands of the current economic model, are having devastating consequences for women, who comprise 60-80% of the agricultural labor force.</w:t>
      </w:r>
      <w:sdt>
        <w:sdtPr>
          <w:rPr>
            <w:rFonts w:asciiTheme="minorHAnsi" w:hAnsiTheme="minorHAnsi" w:cstheme="minorHAnsi"/>
          </w:rPr>
          <w:tag w:val="goog_rdk_94"/>
          <w:id w:val="1005225992"/>
          <w:showingPlcHdr/>
        </w:sdtPr>
        <w:sdtContent>
          <w:r w:rsidR="0014571A" w:rsidRPr="00B7259A">
            <w:rPr>
              <w:rFonts w:asciiTheme="minorHAnsi" w:hAnsiTheme="minorHAnsi" w:cstheme="minorHAnsi"/>
            </w:rPr>
            <w:t xml:space="preserve">     </w:t>
          </w:r>
        </w:sdtContent>
      </w:sdt>
    </w:p>
    <w:p w14:paraId="1C71DA1B" w14:textId="6AE018F0" w:rsidR="00714C78" w:rsidRPr="00B7259A" w:rsidRDefault="5AADB15B" w:rsidP="00B7259A">
      <w:pPr>
        <w:spacing w:line="276" w:lineRule="auto"/>
        <w:jc w:val="both"/>
        <w:rPr>
          <w:rFonts w:asciiTheme="minorHAnsi" w:hAnsiTheme="minorHAnsi" w:cstheme="minorHAnsi"/>
        </w:rPr>
      </w:pPr>
      <w:r w:rsidRPr="00B7259A">
        <w:rPr>
          <w:rFonts w:asciiTheme="minorHAnsi" w:hAnsiTheme="minorHAnsi" w:cstheme="minorHAnsi"/>
        </w:rPr>
        <w:t>I</w:t>
      </w:r>
      <w:r w:rsidR="2E76B29C" w:rsidRPr="00B7259A">
        <w:rPr>
          <w:rFonts w:asciiTheme="minorHAnsi" w:hAnsiTheme="minorHAnsi" w:cstheme="minorHAnsi"/>
        </w:rPr>
        <w:t xml:space="preserve">n summary, and in its essence, a neoliberal economic paradigm </w:t>
      </w:r>
      <w:r w:rsidR="0014571A" w:rsidRPr="00B7259A">
        <w:rPr>
          <w:rFonts w:asciiTheme="minorHAnsi" w:hAnsiTheme="minorHAnsi" w:cstheme="minorHAnsi"/>
        </w:rPr>
        <w:t xml:space="preserve">has </w:t>
      </w:r>
      <w:r w:rsidR="2E76B29C" w:rsidRPr="00B7259A">
        <w:rPr>
          <w:rFonts w:asciiTheme="minorHAnsi" w:hAnsiTheme="minorHAnsi" w:cstheme="minorHAnsi"/>
        </w:rPr>
        <w:t>undermine</w:t>
      </w:r>
      <w:r w:rsidR="0014571A" w:rsidRPr="00B7259A">
        <w:rPr>
          <w:rFonts w:asciiTheme="minorHAnsi" w:hAnsiTheme="minorHAnsi" w:cstheme="minorHAnsi"/>
        </w:rPr>
        <w:t>d</w:t>
      </w:r>
      <w:r w:rsidR="2E76B29C" w:rsidRPr="00B7259A">
        <w:rPr>
          <w:rFonts w:asciiTheme="minorHAnsi" w:hAnsiTheme="minorHAnsi" w:cstheme="minorHAnsi"/>
        </w:rPr>
        <w:t xml:space="preserve"> the State’s constitutional obligations to care for the people by providing quality public services such as health, education, and the protection of labor rights.  </w:t>
      </w:r>
    </w:p>
    <w:p w14:paraId="2C85EF14" w14:textId="3FF151E2" w:rsidR="00714C78" w:rsidRPr="00B7259A" w:rsidRDefault="723A6D7B"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2.0 </w:t>
      </w:r>
      <w:r w:rsidR="00714C78" w:rsidRPr="00B7259A">
        <w:rPr>
          <w:rFonts w:asciiTheme="minorHAnsi" w:hAnsiTheme="minorHAnsi" w:cstheme="minorHAnsi"/>
          <w:sz w:val="22"/>
          <w:szCs w:val="22"/>
        </w:rPr>
        <w:t xml:space="preserve">Article 1 – Definition of Discrimination against Women </w:t>
      </w:r>
    </w:p>
    <w:p w14:paraId="43DD7AB9" w14:textId="68268F7D" w:rsidR="46F18420"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Section 20 of the Constitution prohibits discrimination against all persons and the Gender Equality Act, in section 4, prohibits sex discrimination. It is noteworthy that the two provisions have not adopted the definition of discrimination </w:t>
      </w:r>
      <w:r w:rsidR="489D75F0" w:rsidRPr="00B7259A">
        <w:rPr>
          <w:rFonts w:asciiTheme="minorHAnsi" w:hAnsiTheme="minorHAnsi" w:cstheme="minorHAnsi"/>
        </w:rPr>
        <w:t xml:space="preserve">to the extent </w:t>
      </w:r>
      <w:r w:rsidRPr="00B7259A">
        <w:rPr>
          <w:rFonts w:asciiTheme="minorHAnsi" w:hAnsiTheme="minorHAnsi" w:cstheme="minorHAnsi"/>
        </w:rPr>
        <w:t xml:space="preserve">as provided in the CEDAW. </w:t>
      </w:r>
      <w:r w:rsidR="3F3DDE1C" w:rsidRPr="00B7259A">
        <w:rPr>
          <w:rFonts w:asciiTheme="minorHAnsi" w:hAnsiTheme="minorHAnsi" w:cstheme="minorHAnsi"/>
        </w:rPr>
        <w:t xml:space="preserve">As noted by the CEDAW Committee in General Recommendation No. 25 that certain groups of women, in addition to suffering from discrimination directed against them as women, may also suffer from multiple forms of discrimination based on additional grounds such as race, ethnic or religious identity, disability, age, class, caste or other factors (including sexual orientation). It is also important to note that Malawi </w:t>
      </w:r>
      <w:r w:rsidR="4FBBC1C2" w:rsidRPr="00B7259A">
        <w:rPr>
          <w:rFonts w:asciiTheme="minorHAnsi" w:hAnsiTheme="minorHAnsi" w:cstheme="minorHAnsi"/>
        </w:rPr>
        <w:t>criminalizes</w:t>
      </w:r>
      <w:r w:rsidR="3F3DDE1C" w:rsidRPr="00B7259A">
        <w:rPr>
          <w:rFonts w:asciiTheme="minorHAnsi" w:hAnsiTheme="minorHAnsi" w:cstheme="minorHAnsi"/>
        </w:rPr>
        <w:t xml:space="preserve"> same-sex marriages</w:t>
      </w:r>
      <w:r w:rsidR="32B4367D" w:rsidRPr="00B7259A">
        <w:rPr>
          <w:rFonts w:asciiTheme="minorHAnsi" w:hAnsiTheme="minorHAnsi" w:cstheme="minorHAnsi"/>
        </w:rPr>
        <w:t xml:space="preserve"> through the penal code</w:t>
      </w:r>
      <w:r w:rsidR="2EA47D35" w:rsidRPr="00B7259A">
        <w:rPr>
          <w:rFonts w:asciiTheme="minorHAnsi" w:hAnsiTheme="minorHAnsi" w:cstheme="minorHAnsi"/>
        </w:rPr>
        <w:t>. Section 153 (a) of the penal code provides that any person who has carnal knowledge of any person against the order</w:t>
      </w:r>
      <w:r w:rsidR="458B3093" w:rsidRPr="00B7259A">
        <w:rPr>
          <w:rFonts w:asciiTheme="minorHAnsi" w:hAnsiTheme="minorHAnsi" w:cstheme="minorHAnsi"/>
        </w:rPr>
        <w:t xml:space="preserve"> </w:t>
      </w:r>
      <w:r w:rsidR="2EA47D35" w:rsidRPr="00B7259A">
        <w:rPr>
          <w:rFonts w:asciiTheme="minorHAnsi" w:hAnsiTheme="minorHAnsi" w:cstheme="minorHAnsi"/>
        </w:rPr>
        <w:t>of nature o</w:t>
      </w:r>
      <w:r w:rsidR="6F1B540A" w:rsidRPr="00B7259A">
        <w:rPr>
          <w:rFonts w:asciiTheme="minorHAnsi" w:hAnsiTheme="minorHAnsi" w:cstheme="minorHAnsi"/>
        </w:rPr>
        <w:t>r (c)</w:t>
      </w:r>
      <w:r w:rsidR="3F3DDE1C" w:rsidRPr="00B7259A">
        <w:rPr>
          <w:rFonts w:asciiTheme="minorHAnsi" w:hAnsiTheme="minorHAnsi" w:cstheme="minorHAnsi"/>
        </w:rPr>
        <w:t xml:space="preserve"> </w:t>
      </w:r>
      <w:r w:rsidR="0991762C" w:rsidRPr="00B7259A">
        <w:rPr>
          <w:rFonts w:asciiTheme="minorHAnsi" w:hAnsiTheme="minorHAnsi" w:cstheme="minorHAnsi"/>
        </w:rPr>
        <w:t>permits a male person to have carnal knowledge of him or her against the order of nature</w:t>
      </w:r>
      <w:r w:rsidR="3CA1140E" w:rsidRPr="00B7259A">
        <w:rPr>
          <w:rFonts w:asciiTheme="minorHAnsi" w:hAnsiTheme="minorHAnsi" w:cstheme="minorHAnsi"/>
        </w:rPr>
        <w:t xml:space="preserve">, shall be guilty of a felony and shall be liable to imprisonment for fourteen years. The State has used this law to prosecute same-sex relationships. This has meant </w:t>
      </w:r>
      <w:r w:rsidR="15AAEF9D" w:rsidRPr="00B7259A">
        <w:rPr>
          <w:rFonts w:asciiTheme="minorHAnsi" w:hAnsiTheme="minorHAnsi" w:cstheme="minorHAnsi"/>
        </w:rPr>
        <w:t xml:space="preserve">young women being discriminated against </w:t>
      </w:r>
      <w:r w:rsidR="6286E833" w:rsidRPr="00B7259A">
        <w:rPr>
          <w:rFonts w:asciiTheme="minorHAnsi" w:hAnsiTheme="minorHAnsi" w:cstheme="minorHAnsi"/>
        </w:rPr>
        <w:t>based on</w:t>
      </w:r>
      <w:r w:rsidR="15AAEF9D" w:rsidRPr="00B7259A">
        <w:rPr>
          <w:rFonts w:asciiTheme="minorHAnsi" w:hAnsiTheme="minorHAnsi" w:cstheme="minorHAnsi"/>
        </w:rPr>
        <w:t xml:space="preserve"> sex</w:t>
      </w:r>
      <w:r w:rsidR="44DFBD07" w:rsidRPr="00B7259A">
        <w:rPr>
          <w:rFonts w:asciiTheme="minorHAnsi" w:hAnsiTheme="minorHAnsi" w:cstheme="minorHAnsi"/>
        </w:rPr>
        <w:t>ual</w:t>
      </w:r>
      <w:r w:rsidR="15AAEF9D" w:rsidRPr="00B7259A">
        <w:rPr>
          <w:rFonts w:asciiTheme="minorHAnsi" w:hAnsiTheme="minorHAnsi" w:cstheme="minorHAnsi"/>
        </w:rPr>
        <w:t xml:space="preserve"> orientation. This is against the CEDAW definition of discrimination</w:t>
      </w:r>
      <w:r w:rsidR="2D47752C" w:rsidRPr="00B7259A">
        <w:rPr>
          <w:rFonts w:asciiTheme="minorHAnsi" w:hAnsiTheme="minorHAnsi" w:cstheme="minorHAnsi"/>
        </w:rPr>
        <w:t>.</w:t>
      </w:r>
      <w:r w:rsidR="0991762C" w:rsidRPr="00B7259A">
        <w:rPr>
          <w:rFonts w:asciiTheme="minorHAnsi" w:hAnsiTheme="minorHAnsi" w:cstheme="minorHAnsi"/>
        </w:rPr>
        <w:t xml:space="preserve"> </w:t>
      </w:r>
      <w:r w:rsidRPr="00B7259A">
        <w:rPr>
          <w:rFonts w:asciiTheme="minorHAnsi" w:hAnsiTheme="minorHAnsi" w:cstheme="minorHAnsi"/>
        </w:rPr>
        <w:t xml:space="preserve">It is therefore recommended for Government to review the Gender Equality Act </w:t>
      </w:r>
      <w:r w:rsidR="0A55FF30" w:rsidRPr="00B7259A">
        <w:rPr>
          <w:rFonts w:asciiTheme="minorHAnsi" w:hAnsiTheme="minorHAnsi" w:cstheme="minorHAnsi"/>
        </w:rPr>
        <w:t xml:space="preserve">in section 4 and the </w:t>
      </w:r>
      <w:r w:rsidR="09B59677" w:rsidRPr="00B7259A">
        <w:rPr>
          <w:rFonts w:asciiTheme="minorHAnsi" w:hAnsiTheme="minorHAnsi" w:cstheme="minorHAnsi"/>
        </w:rPr>
        <w:t>constitution</w:t>
      </w:r>
      <w:r w:rsidR="0A55FF30" w:rsidRPr="00B7259A">
        <w:rPr>
          <w:rFonts w:asciiTheme="minorHAnsi" w:hAnsiTheme="minorHAnsi" w:cstheme="minorHAnsi"/>
        </w:rPr>
        <w:t xml:space="preserve"> in section 20 to expressly</w:t>
      </w:r>
      <w:r w:rsidRPr="00B7259A">
        <w:rPr>
          <w:rFonts w:asciiTheme="minorHAnsi" w:hAnsiTheme="minorHAnsi" w:cstheme="minorHAnsi"/>
        </w:rPr>
        <w:t xml:space="preserve"> prohibit discrimination </w:t>
      </w:r>
      <w:r w:rsidR="0C3BF7AC" w:rsidRPr="00B7259A">
        <w:rPr>
          <w:rFonts w:asciiTheme="minorHAnsi" w:hAnsiTheme="minorHAnsi" w:cstheme="minorHAnsi"/>
        </w:rPr>
        <w:t>based on</w:t>
      </w:r>
      <w:r w:rsidR="0A55FF30" w:rsidRPr="00B7259A">
        <w:rPr>
          <w:rFonts w:asciiTheme="minorHAnsi" w:hAnsiTheme="minorHAnsi" w:cstheme="minorHAnsi"/>
        </w:rPr>
        <w:t xml:space="preserve"> sexual </w:t>
      </w:r>
      <w:r w:rsidR="4003F446" w:rsidRPr="00B7259A">
        <w:rPr>
          <w:rFonts w:asciiTheme="minorHAnsi" w:hAnsiTheme="minorHAnsi" w:cstheme="minorHAnsi"/>
        </w:rPr>
        <w:t>orientation</w:t>
      </w:r>
      <w:r w:rsidR="4E4921CC" w:rsidRPr="00B7259A">
        <w:rPr>
          <w:rFonts w:asciiTheme="minorHAnsi" w:hAnsiTheme="minorHAnsi" w:cstheme="minorHAnsi"/>
        </w:rPr>
        <w:t xml:space="preserve"> and repeal such laws in fulfilment of the SDG goal number 10</w:t>
      </w:r>
      <w:r w:rsidR="0A55FF30" w:rsidRPr="00B7259A">
        <w:rPr>
          <w:rFonts w:asciiTheme="minorHAnsi" w:hAnsiTheme="minorHAnsi" w:cstheme="minorHAnsi"/>
        </w:rPr>
        <w:t>.</w:t>
      </w:r>
      <w:r w:rsidRPr="00B7259A">
        <w:rPr>
          <w:rFonts w:asciiTheme="minorHAnsi" w:hAnsiTheme="minorHAnsi" w:cstheme="minorHAnsi"/>
        </w:rPr>
        <w:t xml:space="preserve"> The State is further asked to actively disseminate the Gender Equality Act to increase its awareness amongst women at all </w:t>
      </w:r>
      <w:sdt>
        <w:sdtPr>
          <w:rPr>
            <w:rFonts w:asciiTheme="minorHAnsi" w:hAnsiTheme="minorHAnsi" w:cstheme="minorHAnsi"/>
          </w:rPr>
          <w:tag w:val="goog_rdk_0"/>
          <w:id w:val="-612440782"/>
        </w:sdtPr>
        <w:sdtContent/>
      </w:sdt>
      <w:r w:rsidRPr="00B7259A">
        <w:rPr>
          <w:rFonts w:asciiTheme="minorHAnsi" w:hAnsiTheme="minorHAnsi" w:cstheme="minorHAnsi"/>
        </w:rPr>
        <w:t>levels</w:t>
      </w:r>
      <w:r w:rsidR="22D79C88" w:rsidRPr="00B7259A">
        <w:rPr>
          <w:rFonts w:asciiTheme="minorHAnsi" w:hAnsiTheme="minorHAnsi" w:cstheme="minorHAnsi"/>
        </w:rPr>
        <w:t xml:space="preserve"> as required in Part VII section 21 of the Act.</w:t>
      </w:r>
    </w:p>
    <w:p w14:paraId="6D434BEA" w14:textId="7C25B79E" w:rsidR="00714C78" w:rsidRPr="00B7259A" w:rsidRDefault="3088257E"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3.0 </w:t>
      </w:r>
      <w:r w:rsidR="00714C78" w:rsidRPr="00B7259A">
        <w:rPr>
          <w:rFonts w:asciiTheme="minorHAnsi" w:hAnsiTheme="minorHAnsi" w:cstheme="minorHAnsi"/>
          <w:sz w:val="22"/>
          <w:szCs w:val="22"/>
        </w:rPr>
        <w:t xml:space="preserve">Article 2 – Policy Measures </w:t>
      </w:r>
    </w:p>
    <w:p w14:paraId="49C44BB7" w14:textId="130EBDA0"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Malawi, in the last decade has made significant progress in mainstreaming gender equality and championing the need for equity to achieve equality. These efforts build on existing mechanisms in place which include the ratification of the Convention on the Elimination of all forms of Discrimination Against Women (CEDAW), the SADC Declaration on Gender and Development; the African Charter on Women and People’s Rights; and the Beijing Platform for Action.  Key achievements in the last 10 years include the enactment of the Gender Equality Act No 13 of 2013; the Marriage, Divorce and Family Relations Act No 2 of 2015; the Trafficking in Persons Act No 3 of 2015</w:t>
      </w:r>
      <w:r w:rsidR="0C47273D" w:rsidRPr="00B7259A">
        <w:rPr>
          <w:rFonts w:asciiTheme="minorHAnsi" w:hAnsiTheme="minorHAnsi" w:cstheme="minorHAnsi"/>
        </w:rPr>
        <w:t xml:space="preserve">; and the amendment of Land Laws (2017 and 2022) which confers land rights to women </w:t>
      </w:r>
      <w:r w:rsidR="3C69DDEF" w:rsidRPr="00B7259A">
        <w:rPr>
          <w:rFonts w:asciiTheme="minorHAnsi" w:hAnsiTheme="minorHAnsi" w:cstheme="minorHAnsi"/>
        </w:rPr>
        <w:t>as individuals or jointly</w:t>
      </w:r>
      <w:r w:rsidRPr="00B7259A">
        <w:rPr>
          <w:rFonts w:asciiTheme="minorHAnsi" w:hAnsiTheme="minorHAnsi" w:cstheme="minorHAnsi"/>
        </w:rPr>
        <w:t>.</w:t>
      </w:r>
    </w:p>
    <w:p w14:paraId="0A998121" w14:textId="77777777"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And more recently, Malawi became a global co-lead for the Generation Equality Forum action coalition on Feminist Movements and Leadership, and as well as made commitments to the Economic Justice and Rights action coalition.</w:t>
      </w:r>
    </w:p>
    <w:p w14:paraId="3DFB73B4" w14:textId="27A4F7FF"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lastRenderedPageBreak/>
        <w:t xml:space="preserve">While Malawi has made significant progress, it is imperative to recognize the momentous regression in the implementation of its commitments to CEDAW. Specifically, in the role of the country’s macroeconomic policy on the implementation of its commitments to CEDAW </w:t>
      </w:r>
      <w:r w:rsidR="756E1B44" w:rsidRPr="00B7259A">
        <w:rPr>
          <w:rFonts w:asciiTheme="minorHAnsi" w:hAnsiTheme="minorHAnsi" w:cstheme="minorHAnsi"/>
        </w:rPr>
        <w:t xml:space="preserve">on </w:t>
      </w:r>
      <w:r w:rsidRPr="00B7259A">
        <w:rPr>
          <w:rFonts w:asciiTheme="minorHAnsi" w:hAnsiTheme="minorHAnsi" w:cstheme="minorHAnsi"/>
        </w:rPr>
        <w:t>the rights to health and labor rights in the context of the recent multiple crises that have exacerbated the rates of inequality.</w:t>
      </w:r>
    </w:p>
    <w:p w14:paraId="22E9B52C" w14:textId="45EF3349" w:rsidR="00714C78" w:rsidRPr="00B7259A" w:rsidRDefault="6840DCA5"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4.0 Overview of Economic</w:t>
      </w:r>
      <w:r w:rsidR="30345589" w:rsidRPr="00B7259A">
        <w:rPr>
          <w:rFonts w:asciiTheme="minorHAnsi" w:hAnsiTheme="minorHAnsi" w:cstheme="minorHAnsi"/>
          <w:sz w:val="22"/>
          <w:szCs w:val="22"/>
        </w:rPr>
        <w:t xml:space="preserve">, Social </w:t>
      </w:r>
      <w:r w:rsidRPr="00B7259A">
        <w:rPr>
          <w:rFonts w:asciiTheme="minorHAnsi" w:hAnsiTheme="minorHAnsi" w:cstheme="minorHAnsi"/>
          <w:sz w:val="22"/>
          <w:szCs w:val="22"/>
        </w:rPr>
        <w:t>and Cultural Rights</w:t>
      </w:r>
    </w:p>
    <w:p w14:paraId="2FD74041" w14:textId="647F5AFD" w:rsidR="00714C78" w:rsidRPr="00B7259A" w:rsidRDefault="42D60390" w:rsidP="00B7259A">
      <w:pPr>
        <w:spacing w:line="276" w:lineRule="auto"/>
        <w:jc w:val="both"/>
        <w:rPr>
          <w:rFonts w:asciiTheme="minorHAnsi" w:hAnsiTheme="minorHAnsi" w:cstheme="minorHAnsi"/>
        </w:rPr>
      </w:pPr>
      <w:r w:rsidRPr="00B7259A">
        <w:rPr>
          <w:rFonts w:asciiTheme="minorHAnsi" w:hAnsiTheme="minorHAnsi" w:cstheme="minorHAnsi"/>
        </w:rPr>
        <w:t xml:space="preserve">The Covenant on Economic, </w:t>
      </w:r>
      <w:r w:rsidR="00297752" w:rsidRPr="00B7259A">
        <w:rPr>
          <w:rFonts w:asciiTheme="minorHAnsi" w:hAnsiTheme="minorHAnsi" w:cstheme="minorHAnsi"/>
        </w:rPr>
        <w:t>Social,</w:t>
      </w:r>
      <w:r w:rsidRPr="00B7259A">
        <w:rPr>
          <w:rFonts w:asciiTheme="minorHAnsi" w:hAnsiTheme="minorHAnsi" w:cstheme="minorHAnsi"/>
        </w:rPr>
        <w:t xml:space="preserve"> and cultural Rights </w:t>
      </w:r>
      <w:r w:rsidR="7536793D" w:rsidRPr="00B7259A">
        <w:rPr>
          <w:rFonts w:asciiTheme="minorHAnsi" w:hAnsiTheme="minorHAnsi" w:cstheme="minorHAnsi"/>
        </w:rPr>
        <w:t>creates</w:t>
      </w:r>
      <w:r w:rsidRPr="00B7259A">
        <w:rPr>
          <w:rFonts w:asciiTheme="minorHAnsi" w:hAnsiTheme="minorHAnsi" w:cstheme="minorHAnsi"/>
        </w:rPr>
        <w:t xml:space="preserve"> binding legal obligations for the State parties. </w:t>
      </w:r>
      <w:r w:rsidR="375E8D26" w:rsidRPr="00B7259A">
        <w:rPr>
          <w:rFonts w:asciiTheme="minorHAnsi" w:hAnsiTheme="minorHAnsi" w:cstheme="minorHAnsi"/>
        </w:rPr>
        <w:t xml:space="preserve">economic, </w:t>
      </w:r>
      <w:r w:rsidR="00297752" w:rsidRPr="00B7259A">
        <w:rPr>
          <w:rFonts w:asciiTheme="minorHAnsi" w:hAnsiTheme="minorHAnsi" w:cstheme="minorHAnsi"/>
        </w:rPr>
        <w:t>social,</w:t>
      </w:r>
      <w:r w:rsidR="375E8D26" w:rsidRPr="00B7259A">
        <w:rPr>
          <w:rFonts w:asciiTheme="minorHAnsi" w:hAnsiTheme="minorHAnsi" w:cstheme="minorHAnsi"/>
        </w:rPr>
        <w:t xml:space="preserve"> and cultural rights impose three different types of obligations on States: the obligations to respect, protect and fulfil. Failure to perform any one of these three obligations constitutes a violation of such rights. The obligation to respect requires States to refrain from interfering with the enjoyment of economic, </w:t>
      </w:r>
      <w:r w:rsidR="00297752" w:rsidRPr="00B7259A">
        <w:rPr>
          <w:rFonts w:asciiTheme="minorHAnsi" w:hAnsiTheme="minorHAnsi" w:cstheme="minorHAnsi"/>
        </w:rPr>
        <w:t>social,</w:t>
      </w:r>
      <w:r w:rsidR="375E8D26" w:rsidRPr="00B7259A">
        <w:rPr>
          <w:rFonts w:asciiTheme="minorHAnsi" w:hAnsiTheme="minorHAnsi" w:cstheme="minorHAnsi"/>
        </w:rPr>
        <w:t xml:space="preserve"> and cultural rights. Thus, the right to housing is violated if the State engages in arbitrary forced evictions. The obligation to protect requires States to prevent violations of such rights by third parties. Thus, the failure to ensure that private employers comply with basic </w:t>
      </w:r>
      <w:r w:rsidR="049532EF" w:rsidRPr="00B7259A">
        <w:rPr>
          <w:rFonts w:asciiTheme="minorHAnsi" w:hAnsiTheme="minorHAnsi" w:cstheme="minorHAnsi"/>
        </w:rPr>
        <w:t>labor</w:t>
      </w:r>
      <w:r w:rsidR="375E8D26" w:rsidRPr="00B7259A">
        <w:rPr>
          <w:rFonts w:asciiTheme="minorHAnsi" w:hAnsiTheme="minorHAnsi" w:cstheme="minorHAnsi"/>
        </w:rPr>
        <w:t xml:space="preserve"> standards may amount to a violation of the right to work or the right to just and </w:t>
      </w:r>
      <w:r w:rsidR="0CCD6C5F" w:rsidRPr="00B7259A">
        <w:rPr>
          <w:rFonts w:asciiTheme="minorHAnsi" w:hAnsiTheme="minorHAnsi" w:cstheme="minorHAnsi"/>
        </w:rPr>
        <w:t>favorable</w:t>
      </w:r>
      <w:r w:rsidR="375E8D26" w:rsidRPr="00B7259A">
        <w:rPr>
          <w:rFonts w:asciiTheme="minorHAnsi" w:hAnsiTheme="minorHAnsi" w:cstheme="minorHAnsi"/>
        </w:rPr>
        <w:t xml:space="preserve"> conditions of work. The obligation to fulfil requires States to take appropriate legislative, administrative, budgetary, </w:t>
      </w:r>
      <w:r w:rsidR="00A9221F" w:rsidRPr="00B7259A">
        <w:rPr>
          <w:rFonts w:asciiTheme="minorHAnsi" w:hAnsiTheme="minorHAnsi" w:cstheme="minorHAnsi"/>
        </w:rPr>
        <w:t>judicial,</w:t>
      </w:r>
      <w:r w:rsidR="375E8D26" w:rsidRPr="00B7259A">
        <w:rPr>
          <w:rFonts w:asciiTheme="minorHAnsi" w:hAnsiTheme="minorHAnsi" w:cstheme="minorHAnsi"/>
        </w:rPr>
        <w:t xml:space="preserve"> and other measures towards the full realization of such rights. Thus, the failure of States to provide essential primary health care to those in need may amount to a violation. </w:t>
      </w:r>
      <w:r w:rsidRPr="00B7259A">
        <w:rPr>
          <w:rFonts w:asciiTheme="minorHAnsi" w:hAnsiTheme="minorHAnsi" w:cstheme="minorHAnsi"/>
        </w:rPr>
        <w:t>It is in this regard that issues pertaining to compliance with,</w:t>
      </w:r>
      <w:r w:rsidR="6A071748" w:rsidRPr="00B7259A">
        <w:rPr>
          <w:rFonts w:asciiTheme="minorHAnsi" w:hAnsiTheme="minorHAnsi" w:cstheme="minorHAnsi"/>
        </w:rPr>
        <w:t xml:space="preserve"> </w:t>
      </w:r>
      <w:r w:rsidRPr="00B7259A">
        <w:rPr>
          <w:rFonts w:asciiTheme="minorHAnsi" w:hAnsiTheme="minorHAnsi" w:cstheme="minorHAnsi"/>
        </w:rPr>
        <w:t xml:space="preserve">and the enjoyment </w:t>
      </w:r>
      <w:r w:rsidR="7C3F4EDC" w:rsidRPr="00B7259A">
        <w:rPr>
          <w:rFonts w:asciiTheme="minorHAnsi" w:hAnsiTheme="minorHAnsi" w:cstheme="minorHAnsi"/>
        </w:rPr>
        <w:t>of,</w:t>
      </w:r>
      <w:r w:rsidRPr="00B7259A">
        <w:rPr>
          <w:rFonts w:asciiTheme="minorHAnsi" w:hAnsiTheme="minorHAnsi" w:cstheme="minorHAnsi"/>
        </w:rPr>
        <w:t xml:space="preserve"> the rights guaranteed by the covenants are matters of international concern and thus are no longer exclusively within the domestic jurisdiction</w:t>
      </w:r>
      <w:r w:rsidR="6D60A848" w:rsidRPr="00B7259A">
        <w:rPr>
          <w:rFonts w:asciiTheme="minorHAnsi" w:hAnsiTheme="minorHAnsi" w:cstheme="minorHAnsi"/>
        </w:rPr>
        <w:t xml:space="preserve">. </w:t>
      </w:r>
    </w:p>
    <w:p w14:paraId="49A6F1BE" w14:textId="709D73C9" w:rsidR="00714C78" w:rsidRPr="00B7259A" w:rsidRDefault="5B6DC3B6" w:rsidP="00B7259A">
      <w:pPr>
        <w:spacing w:line="276" w:lineRule="auto"/>
        <w:jc w:val="both"/>
        <w:rPr>
          <w:rFonts w:asciiTheme="minorHAnsi" w:hAnsiTheme="minorHAnsi" w:cstheme="minorHAnsi"/>
        </w:rPr>
      </w:pPr>
      <w:r w:rsidRPr="00B7259A">
        <w:rPr>
          <w:rFonts w:asciiTheme="minorHAnsi" w:hAnsiTheme="minorHAnsi" w:cstheme="minorHAnsi"/>
        </w:rPr>
        <w:t xml:space="preserve">In its General Comment No. 3, the Committee on Economic, Social and Cultural Rights argues that States have “minimum core obligations” under the Covenant to ensure a basic level of enjoyment of each economic, </w:t>
      </w:r>
      <w:r w:rsidR="00A9221F" w:rsidRPr="00B7259A">
        <w:rPr>
          <w:rFonts w:asciiTheme="minorHAnsi" w:hAnsiTheme="minorHAnsi" w:cstheme="minorHAnsi"/>
        </w:rPr>
        <w:t>social,</w:t>
      </w:r>
      <w:r w:rsidRPr="00B7259A">
        <w:rPr>
          <w:rFonts w:asciiTheme="minorHAnsi" w:hAnsiTheme="minorHAnsi" w:cstheme="minorHAnsi"/>
        </w:rPr>
        <w:t xml:space="preserve"> and cultural right. This is despite the</w:t>
      </w:r>
      <w:r w:rsidR="6D07C6CF" w:rsidRPr="00B7259A">
        <w:rPr>
          <w:rFonts w:asciiTheme="minorHAnsi" w:hAnsiTheme="minorHAnsi" w:cstheme="minorHAnsi"/>
        </w:rPr>
        <w:t xml:space="preserve"> “progressive </w:t>
      </w:r>
      <w:r w:rsidR="77DE75C0" w:rsidRPr="00B7259A">
        <w:rPr>
          <w:rFonts w:asciiTheme="minorHAnsi" w:hAnsiTheme="minorHAnsi" w:cstheme="minorHAnsi"/>
        </w:rPr>
        <w:t>realization” conceptualization</w:t>
      </w:r>
      <w:r w:rsidRPr="00B7259A">
        <w:rPr>
          <w:rFonts w:asciiTheme="minorHAnsi" w:hAnsiTheme="minorHAnsi" w:cstheme="minorHAnsi"/>
        </w:rPr>
        <w:t xml:space="preserve"> </w:t>
      </w:r>
      <w:r w:rsidR="6D60A848" w:rsidRPr="00B7259A">
        <w:rPr>
          <w:rFonts w:asciiTheme="minorHAnsi" w:hAnsiTheme="minorHAnsi" w:cstheme="minorHAnsi"/>
        </w:rPr>
        <w:t>of ESCRs.</w:t>
      </w:r>
      <w:r w:rsidR="25FE8461" w:rsidRPr="00B7259A">
        <w:rPr>
          <w:rFonts w:asciiTheme="minorHAnsi" w:hAnsiTheme="minorHAnsi" w:cstheme="minorHAnsi"/>
        </w:rPr>
        <w:t xml:space="preserve"> </w:t>
      </w:r>
      <w:r w:rsidR="4C176D95" w:rsidRPr="00B7259A">
        <w:rPr>
          <w:rFonts w:asciiTheme="minorHAnsi" w:hAnsiTheme="minorHAnsi" w:cstheme="minorHAnsi"/>
        </w:rPr>
        <w:t xml:space="preserve">As such, the Committee is of the view that a minimum core obligation to ensure the satisfaction of, at the very least, minimum essential levels of each of the rights is incumbent upon every State party. Thus, for example, a </w:t>
      </w:r>
      <w:bookmarkStart w:id="1" w:name="_Int_RcmarCEH"/>
      <w:proofErr w:type="gramStart"/>
      <w:r w:rsidR="4C176D95" w:rsidRPr="00B7259A">
        <w:rPr>
          <w:rFonts w:asciiTheme="minorHAnsi" w:hAnsiTheme="minorHAnsi" w:cstheme="minorHAnsi"/>
        </w:rPr>
        <w:t>State</w:t>
      </w:r>
      <w:bookmarkEnd w:id="1"/>
      <w:proofErr w:type="gramEnd"/>
      <w:r w:rsidR="4C176D95" w:rsidRPr="00B7259A">
        <w:rPr>
          <w:rFonts w:asciiTheme="minorHAnsi" w:hAnsiTheme="minorHAnsi" w:cstheme="minorHAnsi"/>
        </w:rPr>
        <w:t xml:space="preserve"> party in which any significant number of individuals is deprived of essential foodstuffs, of essential primary health care, of basic shelter and housing, or of the most basic forms of education is, prima facie, failing to discharge its obligations under the Covenant.</w:t>
      </w:r>
    </w:p>
    <w:p w14:paraId="7B856D37" w14:textId="21F1573E" w:rsidR="00714C78" w:rsidRPr="00B7259A" w:rsidRDefault="08BEE205" w:rsidP="00B7259A">
      <w:pPr>
        <w:spacing w:line="276" w:lineRule="auto"/>
        <w:jc w:val="both"/>
        <w:rPr>
          <w:rFonts w:asciiTheme="minorHAnsi" w:hAnsiTheme="minorHAnsi" w:cstheme="minorHAnsi"/>
        </w:rPr>
      </w:pPr>
      <w:r w:rsidRPr="00B7259A">
        <w:rPr>
          <w:rFonts w:asciiTheme="minorHAnsi" w:hAnsiTheme="minorHAnsi" w:cstheme="minorHAnsi"/>
        </w:rPr>
        <w:t>It is in view of the above that Article 4 of the CEDAW calls on State Parties to adop</w:t>
      </w:r>
      <w:r w:rsidR="52A6265B" w:rsidRPr="00B7259A">
        <w:rPr>
          <w:rFonts w:asciiTheme="minorHAnsi" w:hAnsiTheme="minorHAnsi" w:cstheme="minorHAnsi"/>
        </w:rPr>
        <w:t>t</w:t>
      </w:r>
      <w:r w:rsidRPr="00B7259A">
        <w:rPr>
          <w:rFonts w:asciiTheme="minorHAnsi" w:hAnsiTheme="minorHAnsi" w:cstheme="minorHAnsi"/>
        </w:rPr>
        <w:t xml:space="preserve"> </w:t>
      </w:r>
      <w:r w:rsidR="7C3EDFB4" w:rsidRPr="00B7259A">
        <w:rPr>
          <w:rFonts w:asciiTheme="minorHAnsi" w:hAnsiTheme="minorHAnsi" w:cstheme="minorHAnsi"/>
        </w:rPr>
        <w:t>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r w:rsidR="06157FFE" w:rsidRPr="00B7259A">
        <w:rPr>
          <w:rFonts w:asciiTheme="minorHAnsi" w:hAnsiTheme="minorHAnsi" w:cstheme="minorHAnsi"/>
        </w:rPr>
        <w:t xml:space="preserve"> </w:t>
      </w:r>
    </w:p>
    <w:p w14:paraId="04C1F73D" w14:textId="37D4F390" w:rsidR="00714C78" w:rsidRPr="00B7259A" w:rsidRDefault="06157FFE" w:rsidP="00B7259A">
      <w:pPr>
        <w:spacing w:line="276" w:lineRule="auto"/>
        <w:jc w:val="both"/>
        <w:rPr>
          <w:rFonts w:asciiTheme="minorHAnsi" w:hAnsiTheme="minorHAnsi" w:cstheme="minorHAnsi"/>
        </w:rPr>
      </w:pPr>
      <w:r w:rsidRPr="00B7259A">
        <w:rPr>
          <w:rFonts w:asciiTheme="minorHAnsi" w:hAnsiTheme="minorHAnsi" w:cstheme="minorHAnsi"/>
        </w:rPr>
        <w:t>It is noted that Malawi has made strides by implem</w:t>
      </w:r>
      <w:r w:rsidR="57537D54" w:rsidRPr="00B7259A">
        <w:rPr>
          <w:rFonts w:asciiTheme="minorHAnsi" w:hAnsiTheme="minorHAnsi" w:cstheme="minorHAnsi"/>
        </w:rPr>
        <w:t>en</w:t>
      </w:r>
      <w:r w:rsidRPr="00B7259A">
        <w:rPr>
          <w:rFonts w:asciiTheme="minorHAnsi" w:hAnsiTheme="minorHAnsi" w:cstheme="minorHAnsi"/>
        </w:rPr>
        <w:t>ti</w:t>
      </w:r>
      <w:r w:rsidR="1876810C" w:rsidRPr="00B7259A">
        <w:rPr>
          <w:rFonts w:asciiTheme="minorHAnsi" w:hAnsiTheme="minorHAnsi" w:cstheme="minorHAnsi"/>
        </w:rPr>
        <w:t>n</w:t>
      </w:r>
      <w:r w:rsidRPr="00B7259A">
        <w:rPr>
          <w:rFonts w:asciiTheme="minorHAnsi" w:hAnsiTheme="minorHAnsi" w:cstheme="minorHAnsi"/>
        </w:rPr>
        <w:t>g some equitable measures to achi</w:t>
      </w:r>
      <w:r w:rsidR="1E6A1112" w:rsidRPr="00B7259A">
        <w:rPr>
          <w:rFonts w:asciiTheme="minorHAnsi" w:hAnsiTheme="minorHAnsi" w:cstheme="minorHAnsi"/>
        </w:rPr>
        <w:t>e</w:t>
      </w:r>
      <w:r w:rsidRPr="00B7259A">
        <w:rPr>
          <w:rFonts w:asciiTheme="minorHAnsi" w:hAnsiTheme="minorHAnsi" w:cstheme="minorHAnsi"/>
        </w:rPr>
        <w:t xml:space="preserve">ve gender equality through legislative, </w:t>
      </w:r>
      <w:r w:rsidR="00A9221F" w:rsidRPr="00B7259A">
        <w:rPr>
          <w:rFonts w:asciiTheme="minorHAnsi" w:hAnsiTheme="minorHAnsi" w:cstheme="minorHAnsi"/>
        </w:rPr>
        <w:t>judicial,</w:t>
      </w:r>
      <w:r w:rsidR="2BC34C88" w:rsidRPr="00B7259A">
        <w:rPr>
          <w:rFonts w:asciiTheme="minorHAnsi" w:hAnsiTheme="minorHAnsi" w:cstheme="minorHAnsi"/>
        </w:rPr>
        <w:t xml:space="preserve"> and administrative strategies</w:t>
      </w:r>
      <w:r w:rsidR="44C1EBA4" w:rsidRPr="00B7259A">
        <w:rPr>
          <w:rFonts w:asciiTheme="minorHAnsi" w:hAnsiTheme="minorHAnsi" w:cstheme="minorHAnsi"/>
        </w:rPr>
        <w:t xml:space="preserve"> and processes. This </w:t>
      </w:r>
      <w:r w:rsidR="411088B5" w:rsidRPr="00B7259A">
        <w:rPr>
          <w:rFonts w:asciiTheme="minorHAnsi" w:hAnsiTheme="minorHAnsi" w:cstheme="minorHAnsi"/>
        </w:rPr>
        <w:t>notwithstanding</w:t>
      </w:r>
      <w:r w:rsidR="44C1EBA4" w:rsidRPr="00B7259A">
        <w:rPr>
          <w:rFonts w:asciiTheme="minorHAnsi" w:hAnsiTheme="minorHAnsi" w:cstheme="minorHAnsi"/>
        </w:rPr>
        <w:t xml:space="preserve">, FEAM notes that these </w:t>
      </w:r>
      <w:r w:rsidR="00714C78" w:rsidRPr="00B7259A">
        <w:rPr>
          <w:rFonts w:asciiTheme="minorHAnsi" w:hAnsiTheme="minorHAnsi" w:cstheme="minorHAnsi"/>
        </w:rPr>
        <w:t>advanc</w:t>
      </w:r>
      <w:r w:rsidR="3713A92A" w:rsidRPr="00B7259A">
        <w:rPr>
          <w:rFonts w:asciiTheme="minorHAnsi" w:hAnsiTheme="minorHAnsi" w:cstheme="minorHAnsi"/>
        </w:rPr>
        <w:t>es in trying</w:t>
      </w:r>
      <w:r w:rsidR="00714C78" w:rsidRPr="00B7259A">
        <w:rPr>
          <w:rFonts w:asciiTheme="minorHAnsi" w:hAnsiTheme="minorHAnsi" w:cstheme="minorHAnsi"/>
        </w:rPr>
        <w:t xml:space="preserve"> to meet CEDAW commitments, as well as the advancements towards Gender Equality, </w:t>
      </w:r>
      <w:r w:rsidR="48410273" w:rsidRPr="00B7259A">
        <w:rPr>
          <w:rFonts w:asciiTheme="minorHAnsi" w:hAnsiTheme="minorHAnsi" w:cstheme="minorHAnsi"/>
        </w:rPr>
        <w:t xml:space="preserve">are being hampered by the predatory </w:t>
      </w:r>
      <w:r w:rsidR="00714C78" w:rsidRPr="00B7259A">
        <w:rPr>
          <w:rFonts w:asciiTheme="minorHAnsi" w:hAnsiTheme="minorHAnsi" w:cstheme="minorHAnsi"/>
        </w:rPr>
        <w:t xml:space="preserve">Malawi’s </w:t>
      </w:r>
      <w:r w:rsidR="48AA6382" w:rsidRPr="00B7259A">
        <w:rPr>
          <w:rFonts w:asciiTheme="minorHAnsi" w:hAnsiTheme="minorHAnsi" w:cstheme="minorHAnsi"/>
        </w:rPr>
        <w:t xml:space="preserve">neo-liberal macro-economic overarching policy framework. It is noted that the </w:t>
      </w:r>
      <w:r w:rsidR="00714C78" w:rsidRPr="00B7259A">
        <w:rPr>
          <w:rFonts w:asciiTheme="minorHAnsi" w:hAnsiTheme="minorHAnsi" w:cstheme="minorHAnsi"/>
        </w:rPr>
        <w:t>macroeconomic policy environment has played a transcendent</w:t>
      </w:r>
      <w:r w:rsidR="338A96F5" w:rsidRPr="00B7259A">
        <w:rPr>
          <w:rFonts w:asciiTheme="minorHAnsi" w:hAnsiTheme="minorHAnsi" w:cstheme="minorHAnsi"/>
        </w:rPr>
        <w:t>al</w:t>
      </w:r>
      <w:r w:rsidR="00714C78" w:rsidRPr="00B7259A">
        <w:rPr>
          <w:rFonts w:asciiTheme="minorHAnsi" w:hAnsiTheme="minorHAnsi" w:cstheme="minorHAnsi"/>
        </w:rPr>
        <w:t xml:space="preserve"> role as a challenge toward</w:t>
      </w:r>
      <w:r w:rsidR="062DDC20" w:rsidRPr="00B7259A">
        <w:rPr>
          <w:rFonts w:asciiTheme="minorHAnsi" w:hAnsiTheme="minorHAnsi" w:cstheme="minorHAnsi"/>
        </w:rPr>
        <w:t>s</w:t>
      </w:r>
      <w:r w:rsidR="00714C78" w:rsidRPr="00B7259A">
        <w:rPr>
          <w:rFonts w:asciiTheme="minorHAnsi" w:hAnsiTheme="minorHAnsi" w:cstheme="minorHAnsi"/>
        </w:rPr>
        <w:t xml:space="preserve"> meeting the country’s goals for sustainable development, equality and eliminating discrimination against women. Specifically, the current macroeconomic framework has greatly influenced governments decision-making in allocation of domestic revenue to </w:t>
      </w:r>
      <w:r w:rsidR="00714C78" w:rsidRPr="00B7259A">
        <w:rPr>
          <w:rFonts w:asciiTheme="minorHAnsi" w:hAnsiTheme="minorHAnsi" w:cstheme="minorHAnsi"/>
        </w:rPr>
        <w:lastRenderedPageBreak/>
        <w:t>finance, provide and maintain public services, including essential services such as healthcare, education, and decent work.</w:t>
      </w:r>
    </w:p>
    <w:p w14:paraId="2036847A" w14:textId="77777777"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While there have been efforts to improve the quality and delivery of public services, numerous rounds of austerity have infringed the State’s ability to provide these services. In the matter of healthcare services, Malawi’s public health system continues to remain underfunded, and is heavily characterized by a lack of medication, equipment, and human resources to provide the services.</w:t>
      </w:r>
    </w:p>
    <w:p w14:paraId="66850154" w14:textId="0E10DEBA"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Whereas, in the matter of </w:t>
      </w:r>
      <w:r w:rsidR="44529FEF" w:rsidRPr="00B7259A">
        <w:rPr>
          <w:rFonts w:asciiTheme="minorHAnsi" w:hAnsiTheme="minorHAnsi" w:cstheme="minorHAnsi"/>
        </w:rPr>
        <w:t>labor</w:t>
      </w:r>
      <w:r w:rsidRPr="00B7259A">
        <w:rPr>
          <w:rFonts w:asciiTheme="minorHAnsi" w:hAnsiTheme="minorHAnsi" w:cstheme="minorHAnsi"/>
        </w:rPr>
        <w:t xml:space="preserve"> rights, Malawi continues to record high rates of unemployment, and is yet to ratify progressive and gender forward mechanisms and conventions such as ILO C190, which would in turn introduce structures provisions for gender-responsive </w:t>
      </w:r>
      <w:r w:rsidR="74DBD803" w:rsidRPr="00B7259A">
        <w:rPr>
          <w:rFonts w:asciiTheme="minorHAnsi" w:hAnsiTheme="minorHAnsi" w:cstheme="minorHAnsi"/>
        </w:rPr>
        <w:t>labor</w:t>
      </w:r>
      <w:r w:rsidRPr="00B7259A">
        <w:rPr>
          <w:rFonts w:asciiTheme="minorHAnsi" w:hAnsiTheme="minorHAnsi" w:cstheme="minorHAnsi"/>
        </w:rPr>
        <w:t xml:space="preserve"> inspection.</w:t>
      </w:r>
    </w:p>
    <w:p w14:paraId="1790D886" w14:textId="77777777"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Furthermore, because of austerity measures, Malawi continues to fall behind in meeting its goals as aligned to the commitments within CEDAW, the Sustainable Development Goals, specifically, SDG 8, which aims to promote sustained, inclusive, and sustainable economic growth, full and productive employment, and decent work for all. </w:t>
      </w:r>
    </w:p>
    <w:p w14:paraId="685A98FF" w14:textId="6E840F56" w:rsidR="00714C78" w:rsidRPr="00B7259A" w:rsidRDefault="7D4EE469"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5.0 </w:t>
      </w:r>
      <w:r w:rsidR="00714C78" w:rsidRPr="00B7259A">
        <w:rPr>
          <w:rFonts w:asciiTheme="minorHAnsi" w:hAnsiTheme="minorHAnsi" w:cstheme="minorHAnsi"/>
          <w:sz w:val="22"/>
          <w:szCs w:val="22"/>
        </w:rPr>
        <w:t>Article 10: Education and training</w:t>
      </w:r>
    </w:p>
    <w:p w14:paraId="0FC3D1D6" w14:textId="3CB33A1D" w:rsidR="0FA37521" w:rsidRPr="00B7259A" w:rsidRDefault="0FA37521" w:rsidP="00B7259A">
      <w:pPr>
        <w:pStyle w:val="Heading3"/>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5.1 Observations</w:t>
      </w:r>
    </w:p>
    <w:p w14:paraId="3BB2FF98" w14:textId="49C5841E"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On the systematic collection of data on the number of school-going girls who become pregnant and/or get married and the number of those girls who return to school</w:t>
      </w:r>
      <w:r w:rsidR="7ECFB6A6" w:rsidRPr="00B7259A">
        <w:rPr>
          <w:rFonts w:asciiTheme="minorHAnsi" w:hAnsiTheme="minorHAnsi" w:cstheme="minorHAnsi"/>
        </w:rPr>
        <w:t>, it is noted that d</w:t>
      </w:r>
      <w:r w:rsidRPr="00B7259A">
        <w:rPr>
          <w:rFonts w:asciiTheme="minorHAnsi" w:hAnsiTheme="minorHAnsi" w:cstheme="minorHAnsi"/>
        </w:rPr>
        <w:t>espite government efforts in keeping girls in school, in the 2021/2022 academic year alone, 121,016 female students dropped out of school with 6.8 percent of them dropping out due to pregnancy and 6.3 per cent due to marriage</w:t>
      </w:r>
      <w:r w:rsidR="3F2E58FC" w:rsidRPr="00B7259A">
        <w:rPr>
          <w:rFonts w:asciiTheme="minorHAnsi" w:hAnsiTheme="minorHAnsi" w:cstheme="minorHAnsi"/>
        </w:rPr>
        <w:t>;</w:t>
      </w:r>
    </w:p>
    <w:p w14:paraId="2903F9FA" w14:textId="5387A52B" w:rsidR="46F18420"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Apart from child marriage</w:t>
      </w:r>
      <w:r w:rsidR="7FF9B91C" w:rsidRPr="00B7259A">
        <w:rPr>
          <w:rFonts w:asciiTheme="minorHAnsi" w:hAnsiTheme="minorHAnsi" w:cstheme="minorHAnsi"/>
        </w:rPr>
        <w:t>s</w:t>
      </w:r>
      <w:r w:rsidRPr="00B7259A">
        <w:rPr>
          <w:rFonts w:asciiTheme="minorHAnsi" w:hAnsiTheme="minorHAnsi" w:cstheme="minorHAnsi"/>
        </w:rPr>
        <w:t xml:space="preserve"> and early pregnancy being significant contributors to the high drop-out rates, limited coverage of services in remote areas and a lack of flexible and alternative learning modalities suppress re-admission and retention. </w:t>
      </w:r>
      <w:r w:rsidR="3CBE7390" w:rsidRPr="00B7259A">
        <w:rPr>
          <w:rFonts w:asciiTheme="minorHAnsi" w:hAnsiTheme="minorHAnsi" w:cstheme="minorHAnsi"/>
        </w:rPr>
        <w:t>This is also hampered by deep-rooted patriarchal norms which put the boy child ahead of the girl child in all social spheres of life.</w:t>
      </w:r>
    </w:p>
    <w:p w14:paraId="58CF11ED" w14:textId="638BBABF"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On measures to inform the teachers, parents, and adolescents across the State party of the Re-admission Policy, 2016 (para. 73) allowing all adolescent mothers to return to school without facing any bureaucracy and discrimination, and information on the existence of other measures to support girls who are pregnant and/or married in continuing their </w:t>
      </w:r>
      <w:r w:rsidR="00A9221F" w:rsidRPr="00B7259A">
        <w:rPr>
          <w:rFonts w:asciiTheme="minorHAnsi" w:hAnsiTheme="minorHAnsi" w:cstheme="minorHAnsi"/>
        </w:rPr>
        <w:t>schooling.</w:t>
      </w:r>
      <w:r w:rsidRPr="00B7259A">
        <w:rPr>
          <w:rFonts w:asciiTheme="minorHAnsi" w:hAnsiTheme="minorHAnsi" w:cstheme="minorHAnsi"/>
        </w:rPr>
        <w:t xml:space="preserve"> </w:t>
      </w:r>
    </w:p>
    <w:p w14:paraId="2E4B4294" w14:textId="51CB07C7"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Despite government introducing the Re-admission Policy in 1993 and its revision in 2016 removing any bureaucracy related to admission, the number of girls who drop out of school compared to the number of those re-admitted remains alarmingly high. According to the Ministry of Education statistics report for 2023, 103,670 girls dropped out of school with only 43,536 girls being re-admitted. Besides, most girls still dropped out of school even after their readmission due to lack of support services. </w:t>
      </w:r>
    </w:p>
    <w:p w14:paraId="72F12803" w14:textId="1C49689E"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The government’s failure to employ more teachers due to the wage bill capping has left a high pupil - teacher classroom ratio; 1:102 teacher pupil ratio in primary and 1:62 in secondary. This makes it challenging for teacher to provide the necessary support required to pupils and address diverse needs in </w:t>
      </w:r>
      <w:r w:rsidRPr="00B7259A">
        <w:rPr>
          <w:rFonts w:asciiTheme="minorHAnsi" w:hAnsiTheme="minorHAnsi" w:cstheme="minorHAnsi"/>
        </w:rPr>
        <w:lastRenderedPageBreak/>
        <w:t xml:space="preserve">an overcrowded classroom such as counselling and psych social support to prevent drop-out after re-admission. </w:t>
      </w:r>
    </w:p>
    <w:p w14:paraId="58DB1899" w14:textId="78259BA8"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This barrier coupled by negative attitudes towards teenage mothers, socio-economic constraints, </w:t>
      </w:r>
      <w:proofErr w:type="gramStart"/>
      <w:r w:rsidRPr="00B7259A">
        <w:rPr>
          <w:rFonts w:asciiTheme="minorHAnsi" w:hAnsiTheme="minorHAnsi" w:cstheme="minorHAnsi"/>
        </w:rPr>
        <w:t>poverty</w:t>
      </w:r>
      <w:proofErr w:type="gramEnd"/>
      <w:r w:rsidRPr="00B7259A">
        <w:rPr>
          <w:rFonts w:asciiTheme="minorHAnsi" w:hAnsiTheme="minorHAnsi" w:cstheme="minorHAnsi"/>
        </w:rPr>
        <w:t xml:space="preserve"> and unprofessional teacher conduct for example, create high levels of out-of-school girls and present barriers to effective re-admission. Adolescent pregnancy is also stigmatized in Malawi, and marriage is regarded as a means of protecting girls who become pregnant from undermining family honor. This therefore makes re-admission a challenge despite parents being aware of the option. </w:t>
      </w:r>
    </w:p>
    <w:p w14:paraId="248DC9CD" w14:textId="1750A99B"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On the access of </w:t>
      </w:r>
      <w:r w:rsidR="00A9221F" w:rsidRPr="00B7259A">
        <w:rPr>
          <w:rFonts w:asciiTheme="minorHAnsi" w:hAnsiTheme="minorHAnsi" w:cstheme="minorHAnsi"/>
        </w:rPr>
        <w:t>schoolgirl</w:t>
      </w:r>
      <w:r w:rsidRPr="00B7259A">
        <w:rPr>
          <w:rFonts w:asciiTheme="minorHAnsi" w:hAnsiTheme="minorHAnsi" w:cstheme="minorHAnsi"/>
        </w:rPr>
        <w:t xml:space="preserve"> to health-care services, and </w:t>
      </w:r>
      <w:r w:rsidR="00A9221F" w:rsidRPr="00B7259A">
        <w:rPr>
          <w:rFonts w:asciiTheme="minorHAnsi" w:hAnsiTheme="minorHAnsi" w:cstheme="minorHAnsi"/>
        </w:rPr>
        <w:t>to</w:t>
      </w:r>
      <w:r w:rsidRPr="00B7259A">
        <w:rPr>
          <w:rFonts w:asciiTheme="minorHAnsi" w:hAnsiTheme="minorHAnsi" w:cstheme="minorHAnsi"/>
        </w:rPr>
        <w:t xml:space="preserve"> sexual reproductive health services, including free contraception, as well as prenatal and postnatal care for those who become pregnant and young </w:t>
      </w:r>
      <w:r w:rsidR="00A9221F" w:rsidRPr="00B7259A">
        <w:rPr>
          <w:rFonts w:asciiTheme="minorHAnsi" w:hAnsiTheme="minorHAnsi" w:cstheme="minorHAnsi"/>
        </w:rPr>
        <w:t>mothers.</w:t>
      </w:r>
    </w:p>
    <w:p w14:paraId="6E837D63" w14:textId="083B92D9"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Reduced public spending on health and education lowers the quality-of-service delivery with limited resources and personnel available hence making it challenging for women, let alone schoolgirls to access healthcare services that are comprehensive, of good quality, non-judgmental and inclusive. UNFPA indicates that contraceptive prevalence rate among the adolescents in Malawi is as low as 37.5 percent. Further, the unmet need for family planning remains at 18 percent, with a higher unmet need for adolescents and young people at 23 percent. This is evident in the increase in the number of girls dropping out of school with a 50 per cent child marriage rate, a 29 per cent teenage pregnancy rate in secondary schools alone.</w:t>
      </w:r>
    </w:p>
    <w:p w14:paraId="0D352650" w14:textId="3E52FB01"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The allocation to the education sector has averaged 16% of the total government expenditure (TGE) since 2019/20. This marks four percentage points below the Dakar Commitment on Education for All by the African Union for African States to allocate 20% of their total budgets to education. Education spending remains a top priority for the Government, but its share is increasingly being dwarfed by swelling debt servicing. Allocations to public debt services account for 24.6% of national budget for 2023/24, exceeding the size of the education sector budget for the second consecutive fiscal year. </w:t>
      </w:r>
      <w:hyperlink r:id="rId8" w:history="1">
        <w:r w:rsidRPr="00B7259A">
          <w:rPr>
            <w:rStyle w:val="Hyperlink"/>
            <w:rFonts w:asciiTheme="minorHAnsi" w:hAnsiTheme="minorHAnsi" w:cstheme="minorHAnsi"/>
          </w:rPr>
          <w:t>Education Budget Brief 2023-24.pdf (unicef.org)</w:t>
        </w:r>
      </w:hyperlink>
      <w:r w:rsidRPr="00B7259A">
        <w:rPr>
          <w:rFonts w:asciiTheme="minorHAnsi" w:hAnsiTheme="minorHAnsi" w:cstheme="minorHAnsi"/>
        </w:rPr>
        <w:t xml:space="preserve"> Teachers with an overwhelming workload will therefore put more effort in what they consider ‘key’ subjects like English, </w:t>
      </w:r>
      <w:r w:rsidR="00BA0C32" w:rsidRPr="00B7259A">
        <w:rPr>
          <w:rFonts w:asciiTheme="minorHAnsi" w:hAnsiTheme="minorHAnsi" w:cstheme="minorHAnsi"/>
        </w:rPr>
        <w:t>Mathematics</w:t>
      </w:r>
      <w:r w:rsidRPr="00B7259A">
        <w:rPr>
          <w:rFonts w:asciiTheme="minorHAnsi" w:hAnsiTheme="minorHAnsi" w:cstheme="minorHAnsi"/>
        </w:rPr>
        <w:t xml:space="preserve"> and Science putting very little effort in Comprehensive Sexuality Education resulting in a rise in </w:t>
      </w:r>
      <w:r w:rsidR="00BA0C32" w:rsidRPr="00B7259A">
        <w:rPr>
          <w:rFonts w:asciiTheme="minorHAnsi" w:hAnsiTheme="minorHAnsi" w:cstheme="minorHAnsi"/>
        </w:rPr>
        <w:t>girls’</w:t>
      </w:r>
      <w:r w:rsidRPr="00B7259A">
        <w:rPr>
          <w:rFonts w:asciiTheme="minorHAnsi" w:hAnsiTheme="minorHAnsi" w:cstheme="minorHAnsi"/>
        </w:rPr>
        <w:t xml:space="preserve"> school drop-out due to teenage pregnancies and early marriages. A problem-based political economy analysis (PB-PEA) of adolescents’ access to sexual and reproductive health (SRH) information and services in Malawi highlights that, while the Malawian government remains supportive of comprehensive sexuality education (CSE), implementation is limited and is not a priority within schools. It also details how civil society </w:t>
      </w:r>
      <w:r w:rsidR="27F24058" w:rsidRPr="00B7259A">
        <w:rPr>
          <w:rFonts w:asciiTheme="minorHAnsi" w:hAnsiTheme="minorHAnsi" w:cstheme="minorHAnsi"/>
        </w:rPr>
        <w:t>organizations</w:t>
      </w:r>
      <w:r w:rsidRPr="00B7259A">
        <w:rPr>
          <w:rFonts w:asciiTheme="minorHAnsi" w:hAnsiTheme="minorHAnsi" w:cstheme="minorHAnsi"/>
        </w:rPr>
        <w:t xml:space="preserve"> are augmenting the provision of health services to adolescents and their critical role in influencing policy and implementation strategies. Cultural and social norms also stand as a barrier in teachers and parents addressing sexual and reproductive health issues.</w:t>
      </w:r>
    </w:p>
    <w:p w14:paraId="73EA0839" w14:textId="20836BC3" w:rsidR="5CE17F6F" w:rsidRPr="00B7259A" w:rsidRDefault="5CE17F6F" w:rsidP="00B7259A">
      <w:pPr>
        <w:pStyle w:val="Heading3"/>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5.2 Recommendations</w:t>
      </w:r>
    </w:p>
    <w:p w14:paraId="0A7700C5" w14:textId="61AFBAF1" w:rsidR="22E411DC" w:rsidRPr="00B7259A" w:rsidRDefault="22E411DC" w:rsidP="00B7259A">
      <w:pPr>
        <w:spacing w:line="276" w:lineRule="auto"/>
        <w:jc w:val="both"/>
        <w:rPr>
          <w:rFonts w:asciiTheme="minorHAnsi" w:hAnsiTheme="minorHAnsi" w:cstheme="minorHAnsi"/>
        </w:rPr>
      </w:pPr>
      <w:r w:rsidRPr="00B7259A">
        <w:rPr>
          <w:rFonts w:asciiTheme="minorHAnsi" w:hAnsiTheme="minorHAnsi" w:cstheme="minorHAnsi"/>
        </w:rPr>
        <w:t xml:space="preserve">It is noted that teachers, along with other civil servants have served at the same grades for longer periods of time, causing loss of morale and utter dissatisfaction with their employment. According to the Teachers’ </w:t>
      </w:r>
      <w:r w:rsidRPr="00B7259A">
        <w:rPr>
          <w:rFonts w:asciiTheme="minorHAnsi" w:hAnsiTheme="minorHAnsi" w:cstheme="minorHAnsi"/>
        </w:rPr>
        <w:lastRenderedPageBreak/>
        <w:t xml:space="preserve">Union, “… there is no motivation as some teachers have been on the same post/grade for 20 years”. In view of this, we call upon the Malawi government to review its reward system to avoid such </w:t>
      </w:r>
      <w:r w:rsidR="00BA0C32" w:rsidRPr="00B7259A">
        <w:rPr>
          <w:rFonts w:asciiTheme="minorHAnsi" w:hAnsiTheme="minorHAnsi" w:cstheme="minorHAnsi"/>
        </w:rPr>
        <w:t>scenarios.</w:t>
      </w:r>
    </w:p>
    <w:p w14:paraId="370B1B5C" w14:textId="480F8B89" w:rsidR="1E69FC1B" w:rsidRPr="00B7259A" w:rsidRDefault="1E69FC1B" w:rsidP="00B7259A">
      <w:pPr>
        <w:spacing w:line="276" w:lineRule="auto"/>
        <w:jc w:val="both"/>
        <w:rPr>
          <w:rFonts w:asciiTheme="minorHAnsi" w:hAnsiTheme="minorHAnsi" w:cstheme="minorHAnsi"/>
        </w:rPr>
      </w:pPr>
      <w:r w:rsidRPr="00B7259A">
        <w:rPr>
          <w:rFonts w:asciiTheme="minorHAnsi" w:hAnsiTheme="minorHAnsi" w:cstheme="minorHAnsi"/>
        </w:rPr>
        <w:t xml:space="preserve">The State Party should </w:t>
      </w:r>
      <w:r w:rsidR="00BA0C32" w:rsidRPr="00B7259A">
        <w:rPr>
          <w:rFonts w:asciiTheme="minorHAnsi" w:hAnsiTheme="minorHAnsi" w:cstheme="minorHAnsi"/>
        </w:rPr>
        <w:t>prioritize</w:t>
      </w:r>
      <w:r w:rsidRPr="00B7259A">
        <w:rPr>
          <w:rFonts w:asciiTheme="minorHAnsi" w:hAnsiTheme="minorHAnsi" w:cstheme="minorHAnsi"/>
        </w:rPr>
        <w:t xml:space="preserve"> funding to the Education sector to cater for the </w:t>
      </w:r>
      <w:r w:rsidR="00BA0C32" w:rsidRPr="00B7259A">
        <w:rPr>
          <w:rFonts w:asciiTheme="minorHAnsi" w:hAnsiTheme="minorHAnsi" w:cstheme="minorHAnsi"/>
        </w:rPr>
        <w:t>much-needed</w:t>
      </w:r>
      <w:r w:rsidRPr="00B7259A">
        <w:rPr>
          <w:rFonts w:asciiTheme="minorHAnsi" w:hAnsiTheme="minorHAnsi" w:cstheme="minorHAnsi"/>
        </w:rPr>
        <w:t xml:space="preserve"> </w:t>
      </w:r>
      <w:r w:rsidR="00BA0C32" w:rsidRPr="00B7259A">
        <w:rPr>
          <w:rFonts w:asciiTheme="minorHAnsi" w:hAnsiTheme="minorHAnsi" w:cstheme="minorHAnsi"/>
        </w:rPr>
        <w:t>resources like</w:t>
      </w:r>
      <w:r w:rsidRPr="00B7259A">
        <w:rPr>
          <w:rFonts w:asciiTheme="minorHAnsi" w:hAnsiTheme="minorHAnsi" w:cstheme="minorHAnsi"/>
        </w:rPr>
        <w:t xml:space="preserve"> infrastructure</w:t>
      </w:r>
      <w:r w:rsidR="00BA0C32" w:rsidRPr="00B7259A">
        <w:rPr>
          <w:rFonts w:asciiTheme="minorHAnsi" w:hAnsiTheme="minorHAnsi" w:cstheme="minorHAnsi"/>
        </w:rPr>
        <w:t>.</w:t>
      </w:r>
    </w:p>
    <w:p w14:paraId="1780D86E" w14:textId="3BA364D3" w:rsidR="1E69FC1B" w:rsidRPr="00B7259A" w:rsidRDefault="7C4F8C67" w:rsidP="00B7259A">
      <w:pPr>
        <w:spacing w:line="276" w:lineRule="auto"/>
        <w:jc w:val="both"/>
        <w:rPr>
          <w:rFonts w:asciiTheme="minorHAnsi" w:hAnsiTheme="minorHAnsi" w:cstheme="minorHAnsi"/>
        </w:rPr>
      </w:pPr>
      <w:r w:rsidRPr="00B7259A">
        <w:rPr>
          <w:rFonts w:asciiTheme="minorHAnsi" w:hAnsiTheme="minorHAnsi" w:cstheme="minorHAnsi"/>
        </w:rPr>
        <w:t xml:space="preserve">It is noted that there are severe geographical disparities in pupil-teacher ratios (PTR) across Malawi, with most teachers concentrated near commercial </w:t>
      </w:r>
      <w:r w:rsidR="00BA0C32" w:rsidRPr="00B7259A">
        <w:rPr>
          <w:rFonts w:asciiTheme="minorHAnsi" w:hAnsiTheme="minorHAnsi" w:cstheme="minorHAnsi"/>
        </w:rPr>
        <w:t>centers</w:t>
      </w:r>
      <w:r w:rsidRPr="00B7259A">
        <w:rPr>
          <w:rFonts w:asciiTheme="minorHAnsi" w:hAnsiTheme="minorHAnsi" w:cstheme="minorHAnsi"/>
        </w:rPr>
        <w:t xml:space="preserve"> and in rural communities that have better social services. With most pupils living in rural areas where 85 per cent of the population is confined, the implication of this pro-urban placement of teachers is that the ratio of pupils to qualified teacher (PQTR) is higher in rural areas as compared to their urban and peri-urban counterparts as shown in the table below. We therefore call upon the Malawi government to rethink its strategy of having enough teachers in the rural areas. </w:t>
      </w:r>
      <w:r w:rsidR="1E69FC1B" w:rsidRPr="00B7259A">
        <w:rPr>
          <w:rFonts w:asciiTheme="minorHAnsi" w:hAnsiTheme="minorHAnsi" w:cstheme="minorHAnsi"/>
        </w:rPr>
        <w:t xml:space="preserve">The State party should make sure that enough teachers are recruited to reduce the pupil teacher </w:t>
      </w:r>
      <w:r w:rsidR="00BA0C32" w:rsidRPr="00B7259A">
        <w:rPr>
          <w:rFonts w:asciiTheme="minorHAnsi" w:hAnsiTheme="minorHAnsi" w:cstheme="minorHAnsi"/>
        </w:rPr>
        <w:t>ratio.</w:t>
      </w:r>
    </w:p>
    <w:p w14:paraId="0A54D1FA" w14:textId="484FF82C" w:rsidR="46F18420" w:rsidRPr="00B7259A" w:rsidRDefault="3D466BAE" w:rsidP="00B7259A">
      <w:pPr>
        <w:spacing w:line="276" w:lineRule="auto"/>
        <w:jc w:val="both"/>
        <w:rPr>
          <w:rFonts w:asciiTheme="minorHAnsi" w:hAnsiTheme="minorHAnsi" w:cstheme="minorHAnsi"/>
        </w:rPr>
      </w:pPr>
      <w:r w:rsidRPr="00B7259A">
        <w:rPr>
          <w:rFonts w:asciiTheme="minorHAnsi" w:hAnsiTheme="minorHAnsi" w:cstheme="minorHAnsi"/>
        </w:rPr>
        <w:t xml:space="preserve">Raise consciousness/awareness amongst communities or specifically young women on the importance of the re-admission policy, and what key stakeholders must to do to retain the re-admitted young girls after giving </w:t>
      </w:r>
      <w:r w:rsidR="00BA0C32" w:rsidRPr="00B7259A">
        <w:rPr>
          <w:rFonts w:asciiTheme="minorHAnsi" w:hAnsiTheme="minorHAnsi" w:cstheme="minorHAnsi"/>
        </w:rPr>
        <w:t>birth.</w:t>
      </w:r>
    </w:p>
    <w:p w14:paraId="00D08B7F" w14:textId="3EF09882" w:rsidR="001F250A" w:rsidRPr="00B7259A" w:rsidRDefault="3070BD7D"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6.0 </w:t>
      </w:r>
      <w:r w:rsidR="26931ACD" w:rsidRPr="00B7259A">
        <w:rPr>
          <w:rFonts w:asciiTheme="minorHAnsi" w:hAnsiTheme="minorHAnsi" w:cstheme="minorHAnsi"/>
          <w:sz w:val="22"/>
          <w:szCs w:val="22"/>
        </w:rPr>
        <w:t>Article 11: Employment and the right to work</w:t>
      </w:r>
      <w:r w:rsidR="00BA0C32" w:rsidRPr="00B7259A">
        <w:rPr>
          <w:rFonts w:asciiTheme="minorHAnsi" w:hAnsiTheme="minorHAnsi" w:cstheme="minorHAnsi"/>
          <w:sz w:val="22"/>
          <w:szCs w:val="22"/>
        </w:rPr>
        <w:t>.</w:t>
      </w:r>
    </w:p>
    <w:p w14:paraId="2799F096" w14:textId="0358D2FB" w:rsidR="001F250A" w:rsidRPr="00B7259A" w:rsidRDefault="26931ACD" w:rsidP="00B7259A">
      <w:pPr>
        <w:pStyle w:val="Heading3"/>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6.1 Observations</w:t>
      </w:r>
    </w:p>
    <w:p w14:paraId="35CE64DC" w14:textId="77777777"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Where the State has reported that they are taking active measures to ensure that employers have developed and are implementing appropriate policies and procedures in ensuring gender equality in the workplace. The recent Malawi Report on Employment Statistics (November 2022), of 761 jobs lost, 427 belonged to women whereas 334 belonged to men. In terms of new jobs created by gender, 55 percent of the jobs created were occupied by men and 45 percent by women. In addition, this report also showed that 70% of new jobs created are still in the informal sector.</w:t>
      </w:r>
    </w:p>
    <w:p w14:paraId="1405D462" w14:textId="77777777"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The Malawi Decent Work Country Programme is also set to be renewed to its third generation. There is yet to be a thorough evaluation of its strengths and achievements. There is no accessible/reliable gender disaggregated data on employment statistics in the public and private sector, most recent national statistics (from the Malawi Labour Force Survey of 2013) show that men have a higher employment rate than women at 86 percent and 74 percent respectively.</w:t>
      </w:r>
    </w:p>
    <w:p w14:paraId="51B4C041" w14:textId="05F33E74"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 xml:space="preserve">Alternatively, the World Bank collection of development indicators, compiled from officially recognized sources show that in 2022, women made up 49.03% of the total </w:t>
      </w:r>
      <w:r w:rsidR="5DE8CA08" w:rsidRPr="00B7259A">
        <w:rPr>
          <w:rFonts w:asciiTheme="minorHAnsi" w:hAnsiTheme="minorHAnsi" w:cstheme="minorHAnsi"/>
        </w:rPr>
        <w:t>labor</w:t>
      </w:r>
      <w:r w:rsidRPr="00B7259A">
        <w:rPr>
          <w:rFonts w:asciiTheme="minorHAnsi" w:hAnsiTheme="minorHAnsi" w:cstheme="minorHAnsi"/>
        </w:rPr>
        <w:t xml:space="preserve"> force. Contractionary fiscal policies, inflation and other unfavorable economic conditions are making the job market severely competitive and inaccessible.</w:t>
      </w:r>
    </w:p>
    <w:p w14:paraId="282BE366" w14:textId="77777777"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 xml:space="preserve">Furthermore, where the State in their report says that Government through the Ministry of Labour, </w:t>
      </w:r>
      <w:proofErr w:type="gramStart"/>
      <w:r w:rsidRPr="00B7259A">
        <w:rPr>
          <w:rFonts w:asciiTheme="minorHAnsi" w:hAnsiTheme="minorHAnsi" w:cstheme="minorHAnsi"/>
        </w:rPr>
        <w:t>Skills</w:t>
      </w:r>
      <w:proofErr w:type="gramEnd"/>
      <w:r w:rsidRPr="00B7259A">
        <w:rPr>
          <w:rFonts w:asciiTheme="minorHAnsi" w:hAnsiTheme="minorHAnsi" w:cstheme="minorHAnsi"/>
        </w:rPr>
        <w:t xml:space="preserve"> and Innovation (</w:t>
      </w:r>
      <w:proofErr w:type="spellStart"/>
      <w:r w:rsidRPr="00B7259A">
        <w:rPr>
          <w:rFonts w:asciiTheme="minorHAnsi" w:hAnsiTheme="minorHAnsi" w:cstheme="minorHAnsi"/>
        </w:rPr>
        <w:t>MoLSI</w:t>
      </w:r>
      <w:proofErr w:type="spellEnd"/>
      <w:r w:rsidRPr="00B7259A">
        <w:rPr>
          <w:rFonts w:asciiTheme="minorHAnsi" w:hAnsiTheme="minorHAnsi" w:cstheme="minorHAnsi"/>
        </w:rPr>
        <w:t>) advises the private sector to employ females, the State fails to acknowledge the issues of deregulation, which is in alignment to the austerity measures and conditionalities as agreed upon with IFIs.</w:t>
      </w:r>
    </w:p>
    <w:p w14:paraId="478A76CB" w14:textId="77777777"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lastRenderedPageBreak/>
        <w:t>On encouraging the sharing of household and childcare responsibilities between men and women, including through the adoption of a paternity leave policy, declared as a Generation Equality commitment by the State party in 2021.</w:t>
      </w:r>
    </w:p>
    <w:p w14:paraId="0961E61E" w14:textId="4E418E19"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The amendment to the Employment Act (Cap 55:01) through Section 46A does indeed make provisions for flexible working hours and breastfeeding breaks without a reduction in pay or benefits. Currently, the minimum maternity leave is 90 days which roughly translates to 12.8 weeks, yet, “ILO standards mandate a minimum maternity leave period of 14 weeks and recommend increasing it to at least 18 weeks to ensure an adequate rest and recovery time for the mother</w:t>
      </w:r>
      <w:proofErr w:type="gramStart"/>
      <w:r w:rsidRPr="00B7259A">
        <w:rPr>
          <w:rFonts w:asciiTheme="minorHAnsi" w:hAnsiTheme="minorHAnsi" w:cstheme="minorHAnsi"/>
        </w:rPr>
        <w:t>. ”</w:t>
      </w:r>
      <w:proofErr w:type="gramEnd"/>
      <w:r w:rsidRPr="00B7259A">
        <w:rPr>
          <w:rFonts w:asciiTheme="minorHAnsi" w:hAnsiTheme="minorHAnsi" w:cstheme="minorHAnsi"/>
        </w:rPr>
        <w:t xml:space="preserve"> (ILO, [Unknown Year] -</w:t>
      </w:r>
      <w:hyperlink r:id="rId9">
        <w:r w:rsidRPr="00B7259A">
          <w:rPr>
            <w:rStyle w:val="Hyperlink"/>
            <w:rFonts w:asciiTheme="minorHAnsi" w:hAnsiTheme="minorHAnsi" w:cstheme="minorHAnsi"/>
          </w:rPr>
          <w:t xml:space="preserve"> </w:t>
        </w:r>
      </w:hyperlink>
      <w:hyperlink r:id="rId10">
        <w:r w:rsidRPr="00B7259A">
          <w:rPr>
            <w:rStyle w:val="Hyperlink"/>
            <w:rFonts w:asciiTheme="minorHAnsi" w:hAnsiTheme="minorHAnsi" w:cstheme="minorHAnsi"/>
          </w:rPr>
          <w:t>https://www.ilo.org/wcmsp5/groups/public/---</w:t>
        </w:r>
        <w:proofErr w:type="spellStart"/>
        <w:r w:rsidRPr="00B7259A">
          <w:rPr>
            <w:rStyle w:val="Hyperlink"/>
            <w:rFonts w:asciiTheme="minorHAnsi" w:hAnsiTheme="minorHAnsi" w:cstheme="minorHAnsi"/>
          </w:rPr>
          <w:t>dgreports</w:t>
        </w:r>
        <w:proofErr w:type="spellEnd"/>
        <w:r w:rsidRPr="00B7259A">
          <w:rPr>
            <w:rStyle w:val="Hyperlink"/>
            <w:rFonts w:asciiTheme="minorHAnsi" w:hAnsiTheme="minorHAnsi" w:cstheme="minorHAnsi"/>
          </w:rPr>
          <w:t>/---gender/documents/publication/wcms_838655.pdf</w:t>
        </w:r>
      </w:hyperlink>
      <w:r w:rsidRPr="00B7259A">
        <w:rPr>
          <w:rFonts w:asciiTheme="minorHAnsi" w:hAnsiTheme="minorHAnsi" w:cstheme="minorHAnsi"/>
        </w:rPr>
        <w:t xml:space="preserve"> </w:t>
      </w:r>
    </w:p>
    <w:p w14:paraId="67FBABD1" w14:textId="4BA1EBDB"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Malawi also recently launched the National Male Engagement Strategy (2023) although Strategic Outcome 2 calls for Increased male participation in transformative forms of masculinity, there is no explicit approach that targets the redistribution of household and childcare responsibilities. In addition to this, while the amended Employment Act does provide for a minimum of two weeks’ paternity leave, this is insufficient for adequate parent-to-child bonding and for fathers to render appropriate assistance to recovering mothers, especially in the context where they cannot afford to outsource childcare.</w:t>
      </w:r>
    </w:p>
    <w:p w14:paraId="75868B57" w14:textId="77777777"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On the enforcement of section 7 (1) of the Gender Equality Act, 2013, prohibiting and criminalizing sexual harassment in the workplace and requiring employers in both the public service and private sectors to establish policies combating sexual harassment and to ensure that they comply with clear mechanisms for reporting violations and protecting victims.</w:t>
      </w:r>
    </w:p>
    <w:p w14:paraId="02C0CA7B" w14:textId="75E24F3E"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 xml:space="preserve">Malawi is yet to ratify ILO C190, which would in turn introduce structures provisions for gender-responsive </w:t>
      </w:r>
      <w:r w:rsidR="29FA5ADB" w:rsidRPr="00B7259A">
        <w:rPr>
          <w:rFonts w:asciiTheme="minorHAnsi" w:hAnsiTheme="minorHAnsi" w:cstheme="minorHAnsi"/>
        </w:rPr>
        <w:t>labor inspection</w:t>
      </w:r>
      <w:r w:rsidRPr="00B7259A">
        <w:rPr>
          <w:rFonts w:asciiTheme="minorHAnsi" w:hAnsiTheme="minorHAnsi" w:cstheme="minorHAnsi"/>
        </w:rPr>
        <w:t xml:space="preserve">. In addition, the Ministry of Labour is poorly resourced, such that it cannot and does not conduct regular inspections to ensure that workplaces are compliant with </w:t>
      </w:r>
      <w:r w:rsidR="7DD4CD55" w:rsidRPr="00B7259A">
        <w:rPr>
          <w:rFonts w:asciiTheme="minorHAnsi" w:hAnsiTheme="minorHAnsi" w:cstheme="minorHAnsi"/>
        </w:rPr>
        <w:t>labor</w:t>
      </w:r>
      <w:r w:rsidRPr="00B7259A">
        <w:rPr>
          <w:rFonts w:asciiTheme="minorHAnsi" w:hAnsiTheme="minorHAnsi" w:cstheme="minorHAnsi"/>
        </w:rPr>
        <w:t xml:space="preserve"> law and have policies in place against sexual harassment. For example, as of July 2023, the Southern Region Labour Office had gone one year and three months since conducting a </w:t>
      </w:r>
      <w:r w:rsidR="5BF57681" w:rsidRPr="00B7259A">
        <w:rPr>
          <w:rFonts w:asciiTheme="minorHAnsi" w:hAnsiTheme="minorHAnsi" w:cstheme="minorHAnsi"/>
        </w:rPr>
        <w:t>labor</w:t>
      </w:r>
      <w:r w:rsidRPr="00B7259A">
        <w:rPr>
          <w:rFonts w:asciiTheme="minorHAnsi" w:hAnsiTheme="minorHAnsi" w:cstheme="minorHAnsi"/>
        </w:rPr>
        <w:t xml:space="preserve"> inspection which was confirmed by the Southern Region Labour Officer through this news report:</w:t>
      </w:r>
      <w:hyperlink r:id="rId11">
        <w:r w:rsidRPr="00B7259A">
          <w:rPr>
            <w:rStyle w:val="Hyperlink"/>
            <w:rFonts w:asciiTheme="minorHAnsi" w:hAnsiTheme="minorHAnsi" w:cstheme="minorHAnsi"/>
          </w:rPr>
          <w:t xml:space="preserve"> </w:t>
        </w:r>
      </w:hyperlink>
      <w:hyperlink r:id="rId12">
        <w:r w:rsidRPr="00B7259A">
          <w:rPr>
            <w:rStyle w:val="Hyperlink"/>
            <w:rFonts w:asciiTheme="minorHAnsi" w:hAnsiTheme="minorHAnsi" w:cstheme="minorHAnsi"/>
          </w:rPr>
          <w:t>https://times.mw/resource-constraints-disrupt-labour-inspections/</w:t>
        </w:r>
      </w:hyperlink>
      <w:r w:rsidRPr="00B7259A">
        <w:rPr>
          <w:rFonts w:asciiTheme="minorHAnsi" w:hAnsiTheme="minorHAnsi" w:cstheme="minorHAnsi"/>
        </w:rPr>
        <w:t>. In addition, according to Section 17 of the Employment Act, subsection (1): “(1) The Commissioner shall publish an annual general report on the work of the inspection service.”, if this report indeed exists, the state should be able to cite precise numbers of the “few” cases that have been reported and statistics of relevant investigations for at least in the past year.</w:t>
      </w:r>
    </w:p>
    <w:p w14:paraId="1C7902EC" w14:textId="1AF6AEDC"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The Government of Malawi has not ratified the Violence and Harassment Convention, 2019 (No. 190) of the ILO but, the Ministry of Labour is currently receiving support to begin the ratification process.</w:t>
      </w:r>
    </w:p>
    <w:p w14:paraId="27F6FF24" w14:textId="1F8CF770" w:rsidR="001F250A" w:rsidRPr="00B7259A" w:rsidRDefault="7807C9B6" w:rsidP="00B7259A">
      <w:pPr>
        <w:pStyle w:val="Heading3"/>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6.2 </w:t>
      </w:r>
      <w:r w:rsidR="26931ACD" w:rsidRPr="00B7259A">
        <w:rPr>
          <w:rFonts w:asciiTheme="minorHAnsi" w:hAnsiTheme="minorHAnsi" w:cstheme="minorHAnsi"/>
          <w:sz w:val="22"/>
          <w:szCs w:val="22"/>
        </w:rPr>
        <w:t>Recommendations:</w:t>
      </w:r>
    </w:p>
    <w:p w14:paraId="4B72D270" w14:textId="2F179BFA" w:rsidR="5DB2C3E7" w:rsidRPr="00B7259A" w:rsidRDefault="2DD4A49A" w:rsidP="00B7259A">
      <w:pPr>
        <w:spacing w:line="276" w:lineRule="auto"/>
        <w:jc w:val="both"/>
        <w:rPr>
          <w:rFonts w:asciiTheme="minorHAnsi" w:hAnsiTheme="minorHAnsi" w:cstheme="minorHAnsi"/>
        </w:rPr>
      </w:pPr>
      <w:r w:rsidRPr="00B7259A">
        <w:rPr>
          <w:rFonts w:asciiTheme="minorHAnsi" w:hAnsiTheme="minorHAnsi" w:cstheme="minorHAnsi"/>
        </w:rPr>
        <w:t>Harmonization</w:t>
      </w:r>
      <w:r w:rsidR="26931ACD" w:rsidRPr="00B7259A">
        <w:rPr>
          <w:rFonts w:asciiTheme="minorHAnsi" w:hAnsiTheme="minorHAnsi" w:cstheme="minorHAnsi"/>
        </w:rPr>
        <w:t xml:space="preserve"> of remuneration for people on equal grades across the sectors: The public sector is confounded with discrepancies in pay structures that have come about in part, due to the imposition of wage bill restraints. For example, health workers receive more than teachers at equivalent grades because donors provide top-up allowances to healthcare workers, thereby creating a parallel structure. Furthermore, some of the allowances </w:t>
      </w:r>
      <w:r w:rsidR="21670C52" w:rsidRPr="00B7259A">
        <w:rPr>
          <w:rFonts w:asciiTheme="minorHAnsi" w:hAnsiTheme="minorHAnsi" w:cstheme="minorHAnsi"/>
        </w:rPr>
        <w:t>were</w:t>
      </w:r>
      <w:r w:rsidR="26931ACD" w:rsidRPr="00B7259A">
        <w:rPr>
          <w:rFonts w:asciiTheme="minorHAnsi" w:hAnsiTheme="minorHAnsi" w:cstheme="minorHAnsi"/>
        </w:rPr>
        <w:t xml:space="preserve"> taken over by Government when donor projects ended. These </w:t>
      </w:r>
      <w:r w:rsidR="26931ACD" w:rsidRPr="00B7259A">
        <w:rPr>
          <w:rFonts w:asciiTheme="minorHAnsi" w:hAnsiTheme="minorHAnsi" w:cstheme="minorHAnsi"/>
        </w:rPr>
        <w:lastRenderedPageBreak/>
        <w:t>practices have had the effect of dampening morale for teachers and has huge implications on quality of teaching services in public schools.</w:t>
      </w:r>
    </w:p>
    <w:p w14:paraId="300EA3C3" w14:textId="204E9962"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 xml:space="preserve">We recommend the state to ensure that data collection, planning, </w:t>
      </w:r>
      <w:proofErr w:type="gramStart"/>
      <w:r w:rsidRPr="00B7259A">
        <w:rPr>
          <w:rFonts w:asciiTheme="minorHAnsi" w:hAnsiTheme="minorHAnsi" w:cstheme="minorHAnsi"/>
        </w:rPr>
        <w:t>monitoring</w:t>
      </w:r>
      <w:proofErr w:type="gramEnd"/>
      <w:r w:rsidRPr="00B7259A">
        <w:rPr>
          <w:rFonts w:asciiTheme="minorHAnsi" w:hAnsiTheme="minorHAnsi" w:cstheme="minorHAnsi"/>
        </w:rPr>
        <w:t xml:space="preserve"> and evaluation is gender-responsive, includes the generation and use of qualitative and sex-disaggregated quantitative data, and recognizes women’s positioning within diverse family forms and communities and the multiplicity of their roles across the life course, including as carers, workers and active decision makers.</w:t>
      </w:r>
    </w:p>
    <w:p w14:paraId="5FBF4410" w14:textId="77777777"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On the enforcement of section 7 (1) of the Gender Equality Act, 2013, prohibiting and criminalizing sexual harassment in the workplace and requiring employers in both the public service and private sectors to establish policies combating sexual harassment and to ensure that they comply with clear mechanisms for reporting violations and protecting victims.</w:t>
      </w:r>
    </w:p>
    <w:p w14:paraId="59DCFC77" w14:textId="7E9E2F2D"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 xml:space="preserve">State to robustly increase funding to Ministry of Labour to ensure it is well </w:t>
      </w:r>
      <w:r w:rsidR="5BA1FF00" w:rsidRPr="00B7259A">
        <w:rPr>
          <w:rFonts w:asciiTheme="minorHAnsi" w:hAnsiTheme="minorHAnsi" w:cstheme="minorHAnsi"/>
        </w:rPr>
        <w:t>resourced and</w:t>
      </w:r>
      <w:r w:rsidRPr="00B7259A">
        <w:rPr>
          <w:rFonts w:asciiTheme="minorHAnsi" w:hAnsiTheme="minorHAnsi" w:cstheme="minorHAnsi"/>
        </w:rPr>
        <w:t xml:space="preserve"> able to conduct regular inspections to ensure that workplaces are compliant with </w:t>
      </w:r>
      <w:r w:rsidR="062D6A76" w:rsidRPr="00B7259A">
        <w:rPr>
          <w:rFonts w:asciiTheme="minorHAnsi" w:hAnsiTheme="minorHAnsi" w:cstheme="minorHAnsi"/>
        </w:rPr>
        <w:t>labor</w:t>
      </w:r>
      <w:r w:rsidRPr="00B7259A">
        <w:rPr>
          <w:rFonts w:asciiTheme="minorHAnsi" w:hAnsiTheme="minorHAnsi" w:cstheme="minorHAnsi"/>
        </w:rPr>
        <w:t xml:space="preserve"> law and have policies in place against sexual harassment.</w:t>
      </w:r>
    </w:p>
    <w:p w14:paraId="32C94667" w14:textId="77777777"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 xml:space="preserve">Recognize and attach social protection rights to all care work, including unpaid care work, through both contributory and non-contributory benefits; provide the right to income support for carers; make pensions more equitable; provide access to quality public services, including health and care services, across the life course; and ensure portability of social protection for migrant workers. </w:t>
      </w:r>
    </w:p>
    <w:p w14:paraId="3C8CAFB3" w14:textId="0724C862"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 xml:space="preserve"> Recognize invisible and undervalued work for pay or profit performed by women in rural and urban areas (</w:t>
      </w:r>
      <w:r w:rsidR="759655CC" w:rsidRPr="00B7259A">
        <w:rPr>
          <w:rFonts w:asciiTheme="minorHAnsi" w:hAnsiTheme="minorHAnsi" w:cstheme="minorHAnsi"/>
        </w:rPr>
        <w:t>e.g.,</w:t>
      </w:r>
      <w:r w:rsidRPr="00B7259A">
        <w:rPr>
          <w:rFonts w:asciiTheme="minorHAnsi" w:hAnsiTheme="minorHAnsi" w:cstheme="minorHAnsi"/>
        </w:rPr>
        <w:t xml:space="preserve"> contributing family workers), provide contributory and non-contributory social protection mechanisms for them, and actively promote the visibility of these workers through their registration with formal social protection systems. </w:t>
      </w:r>
    </w:p>
    <w:p w14:paraId="21308D68" w14:textId="58FA67AF" w:rsidR="001F250A" w:rsidRPr="00B7259A" w:rsidRDefault="26931ACD" w:rsidP="00B7259A">
      <w:pPr>
        <w:spacing w:line="276" w:lineRule="auto"/>
        <w:jc w:val="both"/>
        <w:rPr>
          <w:rFonts w:asciiTheme="minorHAnsi" w:hAnsiTheme="minorHAnsi" w:cstheme="minorHAnsi"/>
        </w:rPr>
      </w:pPr>
      <w:r w:rsidRPr="00B7259A">
        <w:rPr>
          <w:rFonts w:asciiTheme="minorHAnsi" w:hAnsiTheme="minorHAnsi" w:cstheme="minorHAnsi"/>
        </w:rPr>
        <w:t xml:space="preserve">Extend social protection systems to adequately protect workers in all forms of employment, including informal employment, part-time employment, precarious employment, </w:t>
      </w:r>
      <w:r w:rsidR="6B2EBE4B" w:rsidRPr="00B7259A">
        <w:rPr>
          <w:rFonts w:asciiTheme="minorHAnsi" w:hAnsiTheme="minorHAnsi" w:cstheme="minorHAnsi"/>
        </w:rPr>
        <w:t>self-employment</w:t>
      </w:r>
      <w:r w:rsidRPr="00B7259A">
        <w:rPr>
          <w:rFonts w:asciiTheme="minorHAnsi" w:hAnsiTheme="minorHAnsi" w:cstheme="minorHAnsi"/>
        </w:rPr>
        <w:t xml:space="preserve">, rural and domestic work, and work in the “gig” </w:t>
      </w:r>
      <w:r w:rsidR="00BA0C32" w:rsidRPr="00B7259A">
        <w:rPr>
          <w:rFonts w:asciiTheme="minorHAnsi" w:hAnsiTheme="minorHAnsi" w:cstheme="minorHAnsi"/>
        </w:rPr>
        <w:t>economy.</w:t>
      </w:r>
    </w:p>
    <w:p w14:paraId="5282D84D" w14:textId="511E0BEF" w:rsidR="001F250A" w:rsidRPr="00B7259A" w:rsidRDefault="26931ACD"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7.0 </w:t>
      </w:r>
      <w:r w:rsidR="001F250A" w:rsidRPr="00B7259A">
        <w:rPr>
          <w:rFonts w:asciiTheme="minorHAnsi" w:hAnsiTheme="minorHAnsi" w:cstheme="minorHAnsi"/>
          <w:sz w:val="22"/>
          <w:szCs w:val="22"/>
        </w:rPr>
        <w:t>Article 12: The Right to Health</w:t>
      </w:r>
    </w:p>
    <w:p w14:paraId="3645B2A3" w14:textId="747236E8" w:rsidR="001F250A" w:rsidRPr="00B7259A" w:rsidRDefault="3E84A760" w:rsidP="00B7259A">
      <w:pPr>
        <w:pStyle w:val="Heading3"/>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7.</w:t>
      </w:r>
      <w:r w:rsidR="4110741F" w:rsidRPr="00B7259A">
        <w:rPr>
          <w:rFonts w:asciiTheme="minorHAnsi" w:hAnsiTheme="minorHAnsi" w:cstheme="minorHAnsi"/>
          <w:sz w:val="22"/>
          <w:szCs w:val="22"/>
        </w:rPr>
        <w:t>1 Observations</w:t>
      </w:r>
      <w:r w:rsidR="001F250A" w:rsidRPr="00B7259A">
        <w:rPr>
          <w:rFonts w:asciiTheme="minorHAnsi" w:hAnsiTheme="minorHAnsi" w:cstheme="minorHAnsi"/>
          <w:sz w:val="22"/>
          <w:szCs w:val="22"/>
        </w:rPr>
        <w:t xml:space="preserve"> </w:t>
      </w:r>
    </w:p>
    <w:p w14:paraId="71356D40" w14:textId="492D9D48"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 xml:space="preserve">The matter of affordability, availability, accessibility of health services, </w:t>
      </w:r>
      <w:r w:rsidR="00BA0C32" w:rsidRPr="00B7259A">
        <w:rPr>
          <w:rFonts w:asciiTheme="minorHAnsi" w:hAnsiTheme="minorHAnsi" w:cstheme="minorHAnsi"/>
        </w:rPr>
        <w:t>quality,</w:t>
      </w:r>
      <w:r w:rsidRPr="00B7259A">
        <w:rPr>
          <w:rFonts w:asciiTheme="minorHAnsi" w:hAnsiTheme="minorHAnsi" w:cstheme="minorHAnsi"/>
        </w:rPr>
        <w:t xml:space="preserve"> and consistency of quality of health services in the context of public debt and austerity, and the matter of regressing policy action on key rights and services including access to modern contraception and </w:t>
      </w:r>
      <w:sdt>
        <w:sdtPr>
          <w:rPr>
            <w:rFonts w:asciiTheme="minorHAnsi" w:hAnsiTheme="minorHAnsi" w:cstheme="minorHAnsi"/>
          </w:rPr>
          <w:tag w:val="goog_rdk_3"/>
          <w:id w:val="-329055119"/>
        </w:sdtPr>
        <w:sdtContent/>
      </w:sdt>
      <w:r w:rsidRPr="00B7259A">
        <w:rPr>
          <w:rFonts w:asciiTheme="minorHAnsi" w:hAnsiTheme="minorHAnsi" w:cstheme="minorHAnsi"/>
        </w:rPr>
        <w:t xml:space="preserve">safe </w:t>
      </w:r>
      <w:proofErr w:type="gramStart"/>
      <w:r w:rsidRPr="00B7259A">
        <w:rPr>
          <w:rFonts w:asciiTheme="minorHAnsi" w:hAnsiTheme="minorHAnsi" w:cstheme="minorHAnsi"/>
        </w:rPr>
        <w:t>abortion</w:t>
      </w:r>
      <w:r w:rsidR="42F39187" w:rsidRPr="00B7259A">
        <w:rPr>
          <w:rFonts w:asciiTheme="minorHAnsi" w:hAnsiTheme="minorHAnsi" w:cstheme="minorHAnsi"/>
        </w:rPr>
        <w:t>;</w:t>
      </w:r>
      <w:proofErr w:type="gramEnd"/>
    </w:p>
    <w:p w14:paraId="29AD3254" w14:textId="77777777"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Malawi recognizes and commits to fulfilling the right to health as outlined in the Universal Declaration of Human Rights, article 5 (e) of the International Convention on the Elimination of All Forms of Racial Discrimination in articles 11.1 and 12 of the Convention on the Elimination of All Forms of Discrimination against Women (CEDAW) and in article 24 of the Convention on the Rights of the Child (CRC). Furthermore, Malawi acknowledges and commits to fulfilling the requirements to ensure the affordability and accessibility of healthcare in the Abuja Declaration.</w:t>
      </w:r>
    </w:p>
    <w:p w14:paraId="74708094" w14:textId="5530B187"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lastRenderedPageBreak/>
        <w:t>In the report, the State outlines the key issues on healthcare to cover maternal mortality, the rate of teenage pregnancies, the legalization of abortion and HIV/Aids, however, fails to acknowledge how the</w:t>
      </w:r>
      <w:r w:rsidR="03CC42F7" w:rsidRPr="00B7259A">
        <w:rPr>
          <w:rFonts w:asciiTheme="minorHAnsi" w:hAnsiTheme="minorHAnsi" w:cstheme="minorHAnsi"/>
        </w:rPr>
        <w:t xml:space="preserve"> existing</w:t>
      </w:r>
      <w:r w:rsidRPr="00B7259A">
        <w:rPr>
          <w:rFonts w:asciiTheme="minorHAnsi" w:hAnsiTheme="minorHAnsi" w:cstheme="minorHAnsi"/>
        </w:rPr>
        <w:t xml:space="preserve"> macroeconomic decisions have influenced the reducing national budget allocation to the health sector, which hinders the provision of essential services as outlined.</w:t>
      </w:r>
    </w:p>
    <w:p w14:paraId="1B019339" w14:textId="2FAB7A54"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For context, the Malawian Public health system can be defined as underfunded. It is characterized by shortages of medicine and essential resources, which include syringes and latex gloves, a limited pool of experts, who are often underpaid, if paid at all, outdated crucial medical equipment, which includes ventilators and hospital beds. It is also heavily affected by limited access to electricity, fuel, and clean water.</w:t>
      </w:r>
    </w:p>
    <w:p w14:paraId="2679A316" w14:textId="6F031D35"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The quickest illustration of the dire state of the public health system in Malawi can be the devastating increase in the maternal mortality in 2021-2022, following shortages in resources and electricity in the maternity wings that led to the death of women in some of the Public Hospitals in Malawi (Chikoti, 2017)</w:t>
      </w:r>
      <w:r w:rsidR="3EB4AD21" w:rsidRPr="00B7259A">
        <w:rPr>
          <w:rFonts w:asciiTheme="minorHAnsi" w:hAnsiTheme="minorHAnsi" w:cstheme="minorHAnsi"/>
        </w:rPr>
        <w:t>.</w:t>
      </w:r>
    </w:p>
    <w:p w14:paraId="2372515F" w14:textId="0B0BE325"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Furthermore, Malawi has reasonably functional public health system. However, in practice, the healthcare system is faced with reduc</w:t>
      </w:r>
      <w:r w:rsidR="6EBC92C0" w:rsidRPr="00B7259A">
        <w:rPr>
          <w:rFonts w:asciiTheme="minorHAnsi" w:hAnsiTheme="minorHAnsi" w:cstheme="minorHAnsi"/>
        </w:rPr>
        <w:t>ed</w:t>
      </w:r>
      <w:r w:rsidRPr="00B7259A">
        <w:rPr>
          <w:rFonts w:asciiTheme="minorHAnsi" w:hAnsiTheme="minorHAnsi" w:cstheme="minorHAnsi"/>
        </w:rPr>
        <w:t xml:space="preserve"> State funding for maintenance and improvement, unbalanced ratio of healthcare service providers to the Malawian population, and a lack of resources. Additionally, because of the employment freezes, healthcare service providers are overworked and demotivated, and the Wage Bill Cap</w:t>
      </w:r>
      <w:r w:rsidR="34BB5F39" w:rsidRPr="00B7259A">
        <w:rPr>
          <w:rFonts w:asciiTheme="minorHAnsi" w:hAnsiTheme="minorHAnsi" w:cstheme="minorHAnsi"/>
        </w:rPr>
        <w:t>ping</w:t>
      </w:r>
      <w:r w:rsidRPr="00B7259A">
        <w:rPr>
          <w:rFonts w:asciiTheme="minorHAnsi" w:hAnsiTheme="minorHAnsi" w:cstheme="minorHAnsi"/>
        </w:rPr>
        <w:t xml:space="preserve"> has often led to staff strikes for delayed salaries or a </w:t>
      </w:r>
      <w:r w:rsidR="6C19AD3C" w:rsidRPr="00B7259A">
        <w:rPr>
          <w:rFonts w:asciiTheme="minorHAnsi" w:hAnsiTheme="minorHAnsi" w:cstheme="minorHAnsi"/>
        </w:rPr>
        <w:t>demand</w:t>
      </w:r>
      <w:r w:rsidRPr="00B7259A">
        <w:rPr>
          <w:rFonts w:asciiTheme="minorHAnsi" w:hAnsiTheme="minorHAnsi" w:cstheme="minorHAnsi"/>
        </w:rPr>
        <w:t xml:space="preserve"> for salary increments (</w:t>
      </w:r>
      <w:proofErr w:type="spellStart"/>
      <w:r w:rsidRPr="00B7259A">
        <w:rPr>
          <w:rFonts w:asciiTheme="minorHAnsi" w:hAnsiTheme="minorHAnsi" w:cstheme="minorHAnsi"/>
        </w:rPr>
        <w:t>Makwero</w:t>
      </w:r>
      <w:proofErr w:type="spellEnd"/>
      <w:r w:rsidRPr="00B7259A">
        <w:rPr>
          <w:rFonts w:asciiTheme="minorHAnsi" w:hAnsiTheme="minorHAnsi" w:cstheme="minorHAnsi"/>
        </w:rPr>
        <w:t>, 2018)</w:t>
      </w:r>
    </w:p>
    <w:p w14:paraId="1CFE67D8" w14:textId="4B2D0778"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The State also fails to acknowledge the challenges with meeting the requirements for health financing under the Abuja Declaration. One of the key targets set in the Abuja Declaration is for member states to allocate at least 15% of their annual budgets to the health sector. However,</w:t>
      </w:r>
      <w:r w:rsidR="540C3AAE" w:rsidRPr="00B7259A">
        <w:rPr>
          <w:rFonts w:asciiTheme="minorHAnsi" w:hAnsiTheme="minorHAnsi" w:cstheme="minorHAnsi"/>
        </w:rPr>
        <w:t xml:space="preserve"> o</w:t>
      </w:r>
      <w:r w:rsidRPr="00B7259A">
        <w:rPr>
          <w:rFonts w:asciiTheme="minorHAnsi" w:hAnsiTheme="minorHAnsi" w:cstheme="minorHAnsi"/>
        </w:rPr>
        <w:t xml:space="preserve">ver the past five financial years, 2019/20 to 2023/24, the combined allocation to social sectors (education, health, and social protection) has gradually declined from 35% of total government expenditure (TGE) to 29.3%. </w:t>
      </w:r>
    </w:p>
    <w:p w14:paraId="0AEC52BA" w14:textId="438703FF" w:rsidR="2061D5F3" w:rsidRPr="00B7259A" w:rsidRDefault="2061D5F3" w:rsidP="00B7259A">
      <w:pPr>
        <w:spacing w:line="276" w:lineRule="auto"/>
        <w:jc w:val="both"/>
        <w:rPr>
          <w:rFonts w:asciiTheme="minorHAnsi" w:hAnsiTheme="minorHAnsi" w:cstheme="minorHAnsi"/>
        </w:rPr>
      </w:pPr>
      <w:r w:rsidRPr="00B7259A">
        <w:rPr>
          <w:rFonts w:asciiTheme="minorHAnsi" w:hAnsiTheme="minorHAnsi" w:cstheme="minorHAnsi"/>
        </w:rPr>
        <w:t xml:space="preserve">In their report, the State argues that over the years, they have allocated funds to ensure the implementation of youth-friendly services and to encourage social acceptance of the access of girls to sexual and reproductive health services. However, annual budget analyses have revealed that there is no budget line for SRHR or youth friendly health services (YFHS) within district health budgets that would facilitate direct allocation of funds to SRHR/YFHS and related activities for easy management, accountability, transparency, and tracking of resources. In addition, under </w:t>
      </w:r>
      <w:r w:rsidR="3876C97B" w:rsidRPr="00B7259A">
        <w:rPr>
          <w:rFonts w:asciiTheme="minorHAnsi" w:hAnsiTheme="minorHAnsi" w:cstheme="minorHAnsi"/>
        </w:rPr>
        <w:t>the Ministry</w:t>
      </w:r>
      <w:r w:rsidRPr="00B7259A">
        <w:rPr>
          <w:rFonts w:asciiTheme="minorHAnsi" w:hAnsiTheme="minorHAnsi" w:cstheme="minorHAnsi"/>
        </w:rPr>
        <w:t xml:space="preserve"> of Health, despite having the FP budget line, there is no specific budget line for YFHS.</w:t>
      </w:r>
    </w:p>
    <w:p w14:paraId="3098F4C6" w14:textId="45A6ECF9" w:rsidR="2061D5F3" w:rsidRPr="00B7259A" w:rsidRDefault="2061D5F3" w:rsidP="00B7259A">
      <w:pPr>
        <w:spacing w:line="276" w:lineRule="auto"/>
        <w:jc w:val="both"/>
        <w:rPr>
          <w:rFonts w:asciiTheme="minorHAnsi" w:hAnsiTheme="minorHAnsi" w:cstheme="minorHAnsi"/>
        </w:rPr>
      </w:pPr>
      <w:r w:rsidRPr="00B7259A">
        <w:rPr>
          <w:rFonts w:asciiTheme="minorHAnsi" w:hAnsiTheme="minorHAnsi" w:cstheme="minorHAnsi"/>
        </w:rPr>
        <w:t xml:space="preserve">Numerous international and regional human rights treaties that the State has ratified require the government to uphold human rights standards for women's and girls' access to sexual and reproductive rights. For instance, Article 14 of the Maputo Protocol, which Malawi ratified in 2005 without any reservations, states that States are required to protect the reproductive rights of women.   This legal framework, due to its ambiguity and restrictive nature, has made it challenging for women to access safe and legal abortion services, and has often forced them to seek unsafe and clandestine procedures, putting their health and lives at risk. </w:t>
      </w:r>
    </w:p>
    <w:p w14:paraId="5835D409" w14:textId="616853CE" w:rsidR="001F250A" w:rsidRPr="00B7259A" w:rsidRDefault="54E83809" w:rsidP="00B7259A">
      <w:pPr>
        <w:pStyle w:val="Heading3"/>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lastRenderedPageBreak/>
        <w:t>7</w:t>
      </w:r>
      <w:r w:rsidR="7A786F4B" w:rsidRPr="00B7259A">
        <w:rPr>
          <w:rFonts w:asciiTheme="minorHAnsi" w:hAnsiTheme="minorHAnsi" w:cstheme="minorHAnsi"/>
          <w:sz w:val="22"/>
          <w:szCs w:val="22"/>
        </w:rPr>
        <w:t>.2 Challenges</w:t>
      </w:r>
    </w:p>
    <w:p w14:paraId="3A6F9816" w14:textId="04E34143"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 xml:space="preserve">The challenges faced by the health system are linked to structural and economic challenges and State decisions. </w:t>
      </w:r>
    </w:p>
    <w:p w14:paraId="33B61D9B" w14:textId="03A71C48"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 xml:space="preserve">First, through ensuring the health sector is well staffed, especially in the context of multiple public health crises in the last three years.  </w:t>
      </w:r>
      <w:r w:rsidR="7AB3E1C6" w:rsidRPr="00B7259A">
        <w:rPr>
          <w:rFonts w:asciiTheme="minorHAnsi" w:hAnsiTheme="minorHAnsi" w:cstheme="minorHAnsi"/>
        </w:rPr>
        <w:t>The understaffing of the health sector is heavily influenced by the public sector wage bill CAPs that limit the States ability to provide employment and placement for healthcare service providers in the public health system.</w:t>
      </w:r>
    </w:p>
    <w:p w14:paraId="40F68210" w14:textId="03BDE669"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 xml:space="preserve">Second, through ensuring a steady flow with the supply chain management, information systems, and infrastructure. However, due to the several shocks faced that have led to inflation and devaluation of the currency, the government is unable to maintain a steady supply of essential medicines and equipment, as well as maintenance of health infrastructure because they simply can no longer afford to meet the cost on the global market. </w:t>
      </w:r>
    </w:p>
    <w:p w14:paraId="1B0B1423" w14:textId="77281F85" w:rsidR="001F250A" w:rsidRPr="00B7259A" w:rsidRDefault="001F250A" w:rsidP="00B7259A">
      <w:pPr>
        <w:spacing w:line="276" w:lineRule="auto"/>
        <w:jc w:val="both"/>
        <w:rPr>
          <w:rFonts w:asciiTheme="minorHAnsi" w:hAnsiTheme="minorHAnsi" w:cstheme="minorHAnsi"/>
        </w:rPr>
      </w:pPr>
      <w:r w:rsidRPr="00B7259A">
        <w:rPr>
          <w:rFonts w:asciiTheme="minorHAnsi" w:hAnsiTheme="minorHAnsi" w:cstheme="minorHAnsi"/>
        </w:rPr>
        <w:t>Third, through ensuring the health sector is sufficiently funded within the national budget, which again, the Malawian government has been unable to manage. Economic stability and revenue generation are important factors in meeting the requirements for CEDAW, ICESCR, Abuja Declaration and ultimately, the SDGs, as increased healthcare funding must be sustainable over the long term.</w:t>
      </w:r>
    </w:p>
    <w:p w14:paraId="6D8641E6" w14:textId="53CBDD69" w:rsidR="00714C78" w:rsidRPr="00B7259A" w:rsidRDefault="0DDD6875" w:rsidP="00B7259A">
      <w:pPr>
        <w:pStyle w:val="Heading3"/>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7</w:t>
      </w:r>
      <w:r w:rsidR="2921841F" w:rsidRPr="00B7259A">
        <w:rPr>
          <w:rFonts w:asciiTheme="minorHAnsi" w:hAnsiTheme="minorHAnsi" w:cstheme="minorHAnsi"/>
          <w:sz w:val="22"/>
          <w:szCs w:val="22"/>
        </w:rPr>
        <w:t xml:space="preserve">.3 </w:t>
      </w:r>
      <w:r w:rsidR="00714C78" w:rsidRPr="00B7259A">
        <w:rPr>
          <w:rFonts w:asciiTheme="minorHAnsi" w:hAnsiTheme="minorHAnsi" w:cstheme="minorHAnsi"/>
          <w:sz w:val="22"/>
          <w:szCs w:val="22"/>
        </w:rPr>
        <w:t>Recommendations:</w:t>
      </w:r>
    </w:p>
    <w:p w14:paraId="528A9EFB" w14:textId="21E5B859" w:rsidR="63FE1521" w:rsidRPr="00B7259A" w:rsidRDefault="63FE1521" w:rsidP="00B7259A">
      <w:pPr>
        <w:spacing w:line="276" w:lineRule="auto"/>
        <w:jc w:val="both"/>
        <w:rPr>
          <w:rFonts w:asciiTheme="minorHAnsi" w:hAnsiTheme="minorHAnsi" w:cstheme="minorHAnsi"/>
        </w:rPr>
      </w:pPr>
      <w:r w:rsidRPr="00B7259A">
        <w:rPr>
          <w:rFonts w:asciiTheme="minorHAnsi" w:hAnsiTheme="minorHAnsi" w:cstheme="minorHAnsi"/>
        </w:rPr>
        <w:t>Health is a fundamental human right indispensable for the exercise of other human rights. State parties as per Article 12 of CEDAW, are required to take all appropriate measures to eliminate discrimination against women in the field of healthcare, to ensure access to health care services based on equality, including those related to family planning.</w:t>
      </w:r>
    </w:p>
    <w:p w14:paraId="79D3AF3D" w14:textId="0405FAC1" w:rsidR="00173555"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To ensure an enabling environment for gender responsive public services on health and education</w:t>
      </w:r>
      <w:r w:rsidR="00173555" w:rsidRPr="00B7259A">
        <w:rPr>
          <w:rFonts w:asciiTheme="minorHAnsi" w:hAnsiTheme="minorHAnsi" w:cstheme="minorHAnsi"/>
        </w:rPr>
        <w:t xml:space="preserve">, important prerequisites to improve financing in these sectors </w:t>
      </w:r>
      <w:proofErr w:type="gramStart"/>
      <w:r w:rsidR="598B23A5" w:rsidRPr="00B7259A">
        <w:rPr>
          <w:rFonts w:asciiTheme="minorHAnsi" w:hAnsiTheme="minorHAnsi" w:cstheme="minorHAnsi"/>
        </w:rPr>
        <w:t>include;</w:t>
      </w:r>
      <w:proofErr w:type="gramEnd"/>
      <w:r w:rsidR="598B23A5" w:rsidRPr="00B7259A">
        <w:rPr>
          <w:rFonts w:asciiTheme="minorHAnsi" w:hAnsiTheme="minorHAnsi" w:cstheme="minorHAnsi"/>
        </w:rPr>
        <w:t xml:space="preserve"> transparency</w:t>
      </w:r>
      <w:r w:rsidR="00173555" w:rsidRPr="00B7259A">
        <w:rPr>
          <w:rFonts w:asciiTheme="minorHAnsi" w:hAnsiTheme="minorHAnsi" w:cstheme="minorHAnsi"/>
        </w:rPr>
        <w:t xml:space="preserve"> </w:t>
      </w:r>
      <w:r w:rsidR="3E7ADB1E" w:rsidRPr="00B7259A">
        <w:rPr>
          <w:rFonts w:asciiTheme="minorHAnsi" w:hAnsiTheme="minorHAnsi" w:cstheme="minorHAnsi"/>
        </w:rPr>
        <w:t>and consistent</w:t>
      </w:r>
      <w:r w:rsidR="00173555" w:rsidRPr="00B7259A">
        <w:rPr>
          <w:rFonts w:asciiTheme="minorHAnsi" w:hAnsiTheme="minorHAnsi" w:cstheme="minorHAnsi"/>
        </w:rPr>
        <w:t xml:space="preserve"> standards in Malawi government’s dealings with International Financial institutions. To this end, key actions that Malawi needs to take include: </w:t>
      </w:r>
    </w:p>
    <w:p w14:paraId="6B1A2B71" w14:textId="2B1178DA" w:rsidR="7D5706E3" w:rsidRPr="00B7259A" w:rsidRDefault="384D2E74" w:rsidP="00B7259A">
      <w:pPr>
        <w:spacing w:line="276" w:lineRule="auto"/>
        <w:jc w:val="both"/>
        <w:rPr>
          <w:rFonts w:asciiTheme="minorHAnsi" w:hAnsiTheme="minorHAnsi" w:cstheme="minorHAnsi"/>
        </w:rPr>
      </w:pPr>
      <w:r w:rsidRPr="00B7259A">
        <w:rPr>
          <w:rFonts w:asciiTheme="minorHAnsi" w:hAnsiTheme="minorHAnsi" w:cstheme="minorHAnsi"/>
        </w:rPr>
        <w:t>The health sector allocations recently have stagnated and have fallen short of existing financial needs and the international benchmark as they have been below 10 per cent when compared with the 15% Abuja Declaration health f</w:t>
      </w:r>
      <w:r w:rsidR="7D0BE9D1" w:rsidRPr="00B7259A">
        <w:rPr>
          <w:rFonts w:asciiTheme="minorHAnsi" w:hAnsiTheme="minorHAnsi" w:cstheme="minorHAnsi"/>
        </w:rPr>
        <w:t>inanci</w:t>
      </w:r>
      <w:r w:rsidRPr="00B7259A">
        <w:rPr>
          <w:rFonts w:asciiTheme="minorHAnsi" w:hAnsiTheme="minorHAnsi" w:cstheme="minorHAnsi"/>
        </w:rPr>
        <w:t>ng commitments. It is recommended that the State Party must allocate funding based on the</w:t>
      </w:r>
      <w:r w:rsidR="4EA8ADBF" w:rsidRPr="00B7259A">
        <w:rPr>
          <w:rFonts w:asciiTheme="minorHAnsi" w:hAnsiTheme="minorHAnsi" w:cstheme="minorHAnsi"/>
        </w:rPr>
        <w:t xml:space="preserve"> prevailing need to address the challenges in the sector</w:t>
      </w:r>
      <w:r w:rsidR="1E7597C8" w:rsidRPr="00B7259A">
        <w:rPr>
          <w:rFonts w:asciiTheme="minorHAnsi" w:hAnsiTheme="minorHAnsi" w:cstheme="minorHAnsi"/>
        </w:rPr>
        <w:t xml:space="preserve">. </w:t>
      </w:r>
    </w:p>
    <w:p w14:paraId="63BBD4E1" w14:textId="19687A72" w:rsidR="7D5706E3" w:rsidRPr="00B7259A" w:rsidRDefault="09B3120A" w:rsidP="00B7259A">
      <w:pPr>
        <w:spacing w:line="276" w:lineRule="auto"/>
        <w:jc w:val="both"/>
        <w:rPr>
          <w:rFonts w:asciiTheme="minorHAnsi" w:hAnsiTheme="minorHAnsi" w:cstheme="minorHAnsi"/>
        </w:rPr>
      </w:pPr>
      <w:r w:rsidRPr="00B7259A">
        <w:rPr>
          <w:rFonts w:asciiTheme="minorHAnsi" w:hAnsiTheme="minorHAnsi" w:cstheme="minorHAnsi"/>
        </w:rPr>
        <w:t xml:space="preserve">It is further recommended that the State reject neoliberal tenets and regressive macroeconomic policy advice such as the implementation of the wage bill CAPS in the health sector to ensure </w:t>
      </w:r>
      <w:r w:rsidR="2143D370" w:rsidRPr="00B7259A">
        <w:rPr>
          <w:rFonts w:asciiTheme="minorHAnsi" w:hAnsiTheme="minorHAnsi" w:cstheme="minorHAnsi"/>
        </w:rPr>
        <w:t xml:space="preserve">the availability and accessibility of healthcare services. </w:t>
      </w:r>
    </w:p>
    <w:p w14:paraId="0C4B7AC6" w14:textId="1BFFE80C" w:rsidR="7D5706E3" w:rsidRPr="00B7259A" w:rsidRDefault="70671A00" w:rsidP="00B7259A">
      <w:pPr>
        <w:spacing w:line="276" w:lineRule="auto"/>
        <w:jc w:val="both"/>
        <w:rPr>
          <w:rFonts w:asciiTheme="minorHAnsi" w:hAnsiTheme="minorHAnsi" w:cstheme="minorHAnsi"/>
        </w:rPr>
      </w:pPr>
      <w:r w:rsidRPr="00B7259A">
        <w:rPr>
          <w:rFonts w:asciiTheme="minorHAnsi" w:hAnsiTheme="minorHAnsi" w:cstheme="minorHAnsi"/>
        </w:rPr>
        <w:t xml:space="preserve">The State is recommended to acknowledge, </w:t>
      </w:r>
      <w:proofErr w:type="gramStart"/>
      <w:r w:rsidRPr="00B7259A">
        <w:rPr>
          <w:rFonts w:asciiTheme="minorHAnsi" w:hAnsiTheme="minorHAnsi" w:cstheme="minorHAnsi"/>
        </w:rPr>
        <w:t>respect</w:t>
      </w:r>
      <w:proofErr w:type="gramEnd"/>
      <w:r w:rsidRPr="00B7259A">
        <w:rPr>
          <w:rFonts w:asciiTheme="minorHAnsi" w:hAnsiTheme="minorHAnsi" w:cstheme="minorHAnsi"/>
        </w:rPr>
        <w:t xml:space="preserve"> and implement all requirements as per the right to health</w:t>
      </w:r>
      <w:r w:rsidR="62691DA3" w:rsidRPr="00B7259A">
        <w:rPr>
          <w:rFonts w:asciiTheme="minorHAnsi" w:hAnsiTheme="minorHAnsi" w:cstheme="minorHAnsi"/>
        </w:rPr>
        <w:t xml:space="preserve"> for the provision of sexual and reproductive health and rights. This includes the adoption of the Termination of Pregnancy bill, implementation of Comprehensive Sex education and promotion of youth friendly services.</w:t>
      </w:r>
    </w:p>
    <w:p w14:paraId="2778D4A4" w14:textId="582E2108" w:rsidR="7D5706E3" w:rsidRPr="00B7259A" w:rsidRDefault="0CE5FAA5" w:rsidP="00B7259A">
      <w:pPr>
        <w:spacing w:line="276" w:lineRule="auto"/>
        <w:jc w:val="both"/>
        <w:rPr>
          <w:rFonts w:asciiTheme="minorHAnsi" w:hAnsiTheme="minorHAnsi" w:cstheme="minorHAnsi"/>
        </w:rPr>
      </w:pPr>
      <w:r w:rsidRPr="00B7259A">
        <w:rPr>
          <w:rFonts w:asciiTheme="minorHAnsi" w:hAnsiTheme="minorHAnsi" w:cstheme="minorHAnsi"/>
        </w:rPr>
        <w:lastRenderedPageBreak/>
        <w:t xml:space="preserve">The Global Strategy on Human Resources for Health (Workforce 2030) and the HRHSP (2018-2022) identified low investment in the health workforce as one of the major factors contributing to the shortage of health workers in Malawi. In this regard, it is recommended for the government to upgrade the training of the health cadres to meet the demands of the society </w:t>
      </w:r>
      <w:r w:rsidR="1B4D3D79" w:rsidRPr="00B7259A">
        <w:rPr>
          <w:rFonts w:asciiTheme="minorHAnsi" w:hAnsiTheme="minorHAnsi" w:cstheme="minorHAnsi"/>
        </w:rPr>
        <w:t>is</w:t>
      </w:r>
      <w:r w:rsidRPr="00B7259A">
        <w:rPr>
          <w:rFonts w:asciiTheme="minorHAnsi" w:hAnsiTheme="minorHAnsi" w:cstheme="minorHAnsi"/>
        </w:rPr>
        <w:t xml:space="preserve"> that they do not seek medical assistance from outside the country</w:t>
      </w:r>
      <w:r w:rsidR="01037ABA" w:rsidRPr="00B7259A">
        <w:rPr>
          <w:rFonts w:asciiTheme="minorHAnsi" w:hAnsiTheme="minorHAnsi" w:cstheme="minorHAnsi"/>
        </w:rPr>
        <w:t>. Further contributing to both the rights to health and education, it is recommended that the state prioritizes updating the education curriculum to take into consideration the current needs and contexts to alleviate the challenges faced in both the h</w:t>
      </w:r>
      <w:r w:rsidR="3941C987" w:rsidRPr="00B7259A">
        <w:rPr>
          <w:rFonts w:asciiTheme="minorHAnsi" w:hAnsiTheme="minorHAnsi" w:cstheme="minorHAnsi"/>
        </w:rPr>
        <w:t>ealth and education sectors.</w:t>
      </w:r>
    </w:p>
    <w:p w14:paraId="17F8E34F" w14:textId="071983AA" w:rsidR="004F0CE0" w:rsidRPr="00B7259A" w:rsidRDefault="39CA26BA" w:rsidP="00B7259A">
      <w:pPr>
        <w:pStyle w:val="Heading2"/>
        <w:spacing w:line="276" w:lineRule="auto"/>
        <w:jc w:val="both"/>
        <w:rPr>
          <w:rFonts w:asciiTheme="minorHAnsi" w:hAnsiTheme="minorHAnsi" w:cstheme="minorHAnsi"/>
          <w:sz w:val="22"/>
          <w:szCs w:val="22"/>
        </w:rPr>
      </w:pPr>
      <w:r w:rsidRPr="00B7259A">
        <w:rPr>
          <w:rFonts w:asciiTheme="minorHAnsi" w:hAnsiTheme="minorHAnsi" w:cstheme="minorHAnsi"/>
          <w:sz w:val="22"/>
          <w:szCs w:val="22"/>
        </w:rPr>
        <w:t xml:space="preserve">8.0 </w:t>
      </w:r>
      <w:r w:rsidR="001F250A" w:rsidRPr="00B7259A">
        <w:rPr>
          <w:rFonts w:asciiTheme="minorHAnsi" w:hAnsiTheme="minorHAnsi" w:cstheme="minorHAnsi"/>
          <w:sz w:val="22"/>
          <w:szCs w:val="22"/>
        </w:rPr>
        <w:t xml:space="preserve">Conclusion </w:t>
      </w:r>
    </w:p>
    <w:p w14:paraId="4594AEAB" w14:textId="05D7D73E" w:rsidR="00714C78" w:rsidRPr="00B7259A" w:rsidRDefault="00714C78" w:rsidP="00B7259A">
      <w:pPr>
        <w:spacing w:line="276" w:lineRule="auto"/>
        <w:jc w:val="both"/>
        <w:rPr>
          <w:rFonts w:asciiTheme="minorHAnsi" w:hAnsiTheme="minorHAnsi" w:cstheme="minorHAnsi"/>
        </w:rPr>
      </w:pPr>
      <w:r w:rsidRPr="00B7259A">
        <w:rPr>
          <w:rFonts w:asciiTheme="minorHAnsi" w:hAnsiTheme="minorHAnsi" w:cstheme="minorHAnsi"/>
        </w:rPr>
        <w:t xml:space="preserve">In closing, we urge </w:t>
      </w:r>
      <w:r w:rsidR="520684D2" w:rsidRPr="00B7259A">
        <w:rPr>
          <w:rFonts w:asciiTheme="minorHAnsi" w:hAnsiTheme="minorHAnsi" w:cstheme="minorHAnsi"/>
        </w:rPr>
        <w:t>the S</w:t>
      </w:r>
      <w:r w:rsidRPr="00B7259A">
        <w:rPr>
          <w:rFonts w:asciiTheme="minorHAnsi" w:hAnsiTheme="minorHAnsi" w:cstheme="minorHAnsi"/>
        </w:rPr>
        <w:t xml:space="preserve">tate to recognize that gender-responsive spending on public services </w:t>
      </w:r>
      <w:r w:rsidR="3F861A82" w:rsidRPr="00B7259A">
        <w:rPr>
          <w:rFonts w:asciiTheme="minorHAnsi" w:hAnsiTheme="minorHAnsi" w:cstheme="minorHAnsi"/>
        </w:rPr>
        <w:t>is</w:t>
      </w:r>
      <w:r w:rsidRPr="00B7259A">
        <w:rPr>
          <w:rFonts w:asciiTheme="minorHAnsi" w:hAnsiTheme="minorHAnsi" w:cstheme="minorHAnsi"/>
        </w:rPr>
        <w:t xml:space="preserve"> essential to achieving not only gender equality but also promoting</w:t>
      </w:r>
      <w:r w:rsidR="0C98B67E" w:rsidRPr="00B7259A">
        <w:rPr>
          <w:rFonts w:asciiTheme="minorHAnsi" w:hAnsiTheme="minorHAnsi" w:cstheme="minorHAnsi"/>
        </w:rPr>
        <w:t xml:space="preserve"> the</w:t>
      </w:r>
      <w:r w:rsidRPr="00B7259A">
        <w:rPr>
          <w:rFonts w:asciiTheme="minorHAnsi" w:hAnsiTheme="minorHAnsi" w:cstheme="minorHAnsi"/>
        </w:rPr>
        <w:t xml:space="preserve"> </w:t>
      </w:r>
      <w:r w:rsidR="00BA5668" w:rsidRPr="00B7259A">
        <w:rPr>
          <w:rFonts w:asciiTheme="minorHAnsi" w:hAnsiTheme="minorHAnsi" w:cstheme="minorHAnsi"/>
        </w:rPr>
        <w:t>wellbeing of its people</w:t>
      </w:r>
      <w:r w:rsidRPr="00B7259A">
        <w:rPr>
          <w:rFonts w:asciiTheme="minorHAnsi" w:hAnsiTheme="minorHAnsi" w:cstheme="minorHAnsi"/>
        </w:rPr>
        <w:t>. As such, we call on</w:t>
      </w:r>
      <w:r w:rsidR="25C0ED85" w:rsidRPr="00B7259A">
        <w:rPr>
          <w:rFonts w:asciiTheme="minorHAnsi" w:hAnsiTheme="minorHAnsi" w:cstheme="minorHAnsi"/>
        </w:rPr>
        <w:t xml:space="preserve"> the</w:t>
      </w:r>
      <w:r w:rsidRPr="00B7259A">
        <w:rPr>
          <w:rFonts w:asciiTheme="minorHAnsi" w:hAnsiTheme="minorHAnsi" w:cstheme="minorHAnsi"/>
        </w:rPr>
        <w:t xml:space="preserve"> Malawi government to protect and strengthen gender-responsive public service funding system</w:t>
      </w:r>
      <w:r w:rsidR="42EB1599" w:rsidRPr="00B7259A">
        <w:rPr>
          <w:rFonts w:asciiTheme="minorHAnsi" w:hAnsiTheme="minorHAnsi" w:cstheme="minorHAnsi"/>
        </w:rPr>
        <w:t>s</w:t>
      </w:r>
      <w:r w:rsidRPr="00B7259A">
        <w:rPr>
          <w:rFonts w:asciiTheme="minorHAnsi" w:hAnsiTheme="minorHAnsi" w:cstheme="minorHAnsi"/>
        </w:rPr>
        <w:t>, to invest adequality in quality public health and education services, and to move towards sustainable infrastructure – and to do so in a way that promotes the rights of women and girls.</w:t>
      </w:r>
      <w:r w:rsidR="0B86FB64" w:rsidRPr="00B7259A">
        <w:rPr>
          <w:rFonts w:asciiTheme="minorHAnsi" w:hAnsiTheme="minorHAnsi" w:cstheme="minorHAnsi"/>
        </w:rPr>
        <w:t xml:space="preserve"> </w:t>
      </w:r>
      <w:r w:rsidR="37A24F14" w:rsidRPr="00B7259A">
        <w:rPr>
          <w:rFonts w:asciiTheme="minorHAnsi" w:hAnsiTheme="minorHAnsi" w:cstheme="minorHAnsi"/>
        </w:rPr>
        <w:t>To</w:t>
      </w:r>
      <w:r w:rsidR="0B86FB64" w:rsidRPr="00B7259A">
        <w:rPr>
          <w:rFonts w:asciiTheme="minorHAnsi" w:hAnsiTheme="minorHAnsi" w:cstheme="minorHAnsi"/>
        </w:rPr>
        <w:t xml:space="preserve"> achieve this, the State Party must reclaim the space for macro-economic policy from multilateral institutions: Government of Malawi must reclaim the policy making space especially for macro-economic policy to ensure that it is relevant and sensible for the country’s long term development potentiality and needs.</w:t>
      </w:r>
    </w:p>
    <w:p w14:paraId="2D357F4D" w14:textId="78D1DB0A" w:rsidR="00714C78" w:rsidRPr="00B7259A" w:rsidRDefault="3AB8800D" w:rsidP="00B7259A">
      <w:pPr>
        <w:spacing w:line="276" w:lineRule="auto"/>
        <w:jc w:val="both"/>
        <w:rPr>
          <w:rFonts w:asciiTheme="minorHAnsi" w:hAnsiTheme="minorHAnsi" w:cstheme="minorHAnsi"/>
        </w:rPr>
      </w:pPr>
      <w:r w:rsidRPr="00B7259A">
        <w:rPr>
          <w:rFonts w:asciiTheme="minorHAnsi" w:hAnsiTheme="minorHAnsi" w:cstheme="minorHAnsi"/>
        </w:rPr>
        <w:t xml:space="preserve">It is also highly recommended in general the need for the creation of an Economic Management Team: Country interface with international </w:t>
      </w:r>
      <w:r w:rsidR="4ACABE61" w:rsidRPr="00B7259A">
        <w:rPr>
          <w:rFonts w:asciiTheme="minorHAnsi" w:hAnsiTheme="minorHAnsi" w:cstheme="minorHAnsi"/>
        </w:rPr>
        <w:t>financial</w:t>
      </w:r>
      <w:r w:rsidRPr="00B7259A">
        <w:rPr>
          <w:rFonts w:asciiTheme="minorHAnsi" w:hAnsiTheme="minorHAnsi" w:cstheme="minorHAnsi"/>
        </w:rPr>
        <w:t xml:space="preserve"> institutions such as IMF is mostly with Ministry of Finance and Reserve Bank of Malawi, often individually. This represents an exclusive way of economic policy making and the policies that get adopted through this arrangement are un-intermediated by interests and perspectives of other important sections of the Malawian society such as private sector and civil society. The current practice whereby IMF missions have </w:t>
      </w:r>
      <w:r w:rsidR="00BA0C32" w:rsidRPr="00B7259A">
        <w:rPr>
          <w:rFonts w:asciiTheme="minorHAnsi" w:hAnsiTheme="minorHAnsi" w:cstheme="minorHAnsi"/>
        </w:rPr>
        <w:t>one-hour</w:t>
      </w:r>
      <w:r w:rsidRPr="00B7259A">
        <w:rPr>
          <w:rFonts w:asciiTheme="minorHAnsi" w:hAnsiTheme="minorHAnsi" w:cstheme="minorHAnsi"/>
        </w:rPr>
        <w:t>, ad hoc sessions with civil society and private sector representatives is sub-optimal. This team should be tasked with preparing the case for IMF country Programs especially thinking through the memorandum of economic and financial policies and the quantitative conditions and structural benchmarks for the IMF program. The team will provide backroom support and serve as a sounding board for the Reserve Bank Governor and Minister of Finance and Secretary to Treasury.</w:t>
      </w:r>
    </w:p>
    <w:p w14:paraId="682E8B64" w14:textId="1DE73D72" w:rsidR="00714C78" w:rsidRPr="00B7259A" w:rsidRDefault="671EBBB8" w:rsidP="00B7259A">
      <w:pPr>
        <w:spacing w:line="276" w:lineRule="auto"/>
        <w:jc w:val="both"/>
        <w:rPr>
          <w:rFonts w:asciiTheme="minorHAnsi" w:hAnsiTheme="minorHAnsi" w:cstheme="minorHAnsi"/>
        </w:rPr>
      </w:pPr>
      <w:r w:rsidRPr="00B7259A">
        <w:rPr>
          <w:rFonts w:asciiTheme="minorHAnsi" w:hAnsiTheme="minorHAnsi" w:cstheme="minorHAnsi"/>
        </w:rPr>
        <w:t>Lastly, there is n</w:t>
      </w:r>
      <w:r w:rsidR="3AB8800D" w:rsidRPr="00B7259A">
        <w:rPr>
          <w:rFonts w:asciiTheme="minorHAnsi" w:hAnsiTheme="minorHAnsi" w:cstheme="minorHAnsi"/>
        </w:rPr>
        <w:t xml:space="preserve">eed to institutionalize a mechanism for parliamentary scrutiny of the country’s draft ECF program: IMF programs under the ECF have huge impacts on current resource allocations under the National Budget </w:t>
      </w:r>
      <w:r w:rsidR="00BA0C32" w:rsidRPr="00B7259A">
        <w:rPr>
          <w:rFonts w:asciiTheme="minorHAnsi" w:hAnsiTheme="minorHAnsi" w:cstheme="minorHAnsi"/>
        </w:rPr>
        <w:t>and</w:t>
      </w:r>
      <w:r w:rsidR="3AB8800D" w:rsidRPr="00B7259A">
        <w:rPr>
          <w:rFonts w:asciiTheme="minorHAnsi" w:hAnsiTheme="minorHAnsi" w:cstheme="minorHAnsi"/>
        </w:rPr>
        <w:t xml:space="preserve"> on future allocations as the loans become part of statutory expenditure when they mature. However, in the entire process, people’s representatives are left out or are only cosmetically informed. It is necessary that Members of Parliament, especially the Budget and Finance Committee should have a </w:t>
      </w:r>
      <w:r w:rsidR="00BA0C32" w:rsidRPr="00B7259A">
        <w:rPr>
          <w:rFonts w:asciiTheme="minorHAnsi" w:hAnsiTheme="minorHAnsi" w:cstheme="minorHAnsi"/>
        </w:rPr>
        <w:t>role to</w:t>
      </w:r>
      <w:r w:rsidR="3AB8800D" w:rsidRPr="00B7259A">
        <w:rPr>
          <w:rFonts w:asciiTheme="minorHAnsi" w:hAnsiTheme="minorHAnsi" w:cstheme="minorHAnsi"/>
        </w:rPr>
        <w:t xml:space="preserve"> consider and ventilate on </w:t>
      </w:r>
      <w:r w:rsidR="00BA0C32" w:rsidRPr="00B7259A">
        <w:rPr>
          <w:rFonts w:asciiTheme="minorHAnsi" w:hAnsiTheme="minorHAnsi" w:cstheme="minorHAnsi"/>
        </w:rPr>
        <w:t>the Letter</w:t>
      </w:r>
      <w:r w:rsidR="3AB8800D" w:rsidRPr="00B7259A">
        <w:rPr>
          <w:rFonts w:asciiTheme="minorHAnsi" w:hAnsiTheme="minorHAnsi" w:cstheme="minorHAnsi"/>
        </w:rPr>
        <w:t xml:space="preserve"> of Intent and Memorandum of Economic and Financial </w:t>
      </w:r>
      <w:r w:rsidR="00B7259A" w:rsidRPr="00B7259A">
        <w:rPr>
          <w:rFonts w:asciiTheme="minorHAnsi" w:hAnsiTheme="minorHAnsi" w:cstheme="minorHAnsi"/>
        </w:rPr>
        <w:t>Policies for</w:t>
      </w:r>
      <w:r w:rsidR="3AB8800D" w:rsidRPr="00B7259A">
        <w:rPr>
          <w:rFonts w:asciiTheme="minorHAnsi" w:hAnsiTheme="minorHAnsi" w:cstheme="minorHAnsi"/>
        </w:rPr>
        <w:t xml:space="preserve"> an ECF supported program. This practice will institutionalize a parliamentary accountability mechanism for the country’s authorities to account for their policy discretion that has seen the imposition of PSWB restraints.</w:t>
      </w:r>
    </w:p>
    <w:p w14:paraId="4AD15009" w14:textId="0DFB9B19" w:rsidR="00714C78" w:rsidRPr="00B7259A" w:rsidRDefault="00714C78" w:rsidP="00B7259A">
      <w:pPr>
        <w:spacing w:line="276" w:lineRule="auto"/>
        <w:jc w:val="both"/>
        <w:rPr>
          <w:rFonts w:asciiTheme="minorHAnsi" w:hAnsiTheme="minorHAnsi" w:cstheme="minorHAnsi"/>
        </w:rPr>
      </w:pPr>
    </w:p>
    <w:p w14:paraId="36C27177" w14:textId="77777777" w:rsidR="00714C78" w:rsidRPr="00B7259A" w:rsidRDefault="00714C78" w:rsidP="00B7259A">
      <w:pPr>
        <w:spacing w:line="276" w:lineRule="auto"/>
        <w:jc w:val="both"/>
        <w:rPr>
          <w:rFonts w:asciiTheme="minorHAnsi" w:hAnsiTheme="minorHAnsi" w:cstheme="minorHAnsi"/>
        </w:rPr>
      </w:pPr>
    </w:p>
    <w:sectPr w:rsidR="00714C78" w:rsidRPr="00B7259A" w:rsidSect="004F0CE0">
      <w:pgSz w:w="12240" w:h="15840"/>
      <w:pgMar w:top="1440" w:right="1440" w:bottom="1440" w:left="1440" w:header="720" w:footer="720" w:gutter="0"/>
      <w:pgBorders w:display="firstPage" w:offsetFrom="page">
        <w:top w:val="thinThickThinLargeGap" w:sz="24" w:space="24" w:color="auto"/>
        <w:left w:val="thinThickThinLargeGap" w:sz="24" w:space="24" w:color="auto"/>
        <w:bottom w:val="thinThickThinLargeGap" w:sz="24" w:space="24" w:color="auto"/>
        <w:right w:val="thinThickThinLargeGap" w:sz="2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r27dLAIdoDub/L" int2:id="Li75XTsZ">
      <int2:state int2:value="Rejected" int2:type="AugLoop_Text_Critique"/>
    </int2:textHash>
    <int2:textHash int2:hashCode="BC3EUS+j05HFFw" int2:id="2jFKuHwo">
      <int2:state int2:value="Rejected" int2:type="AugLoop_Text_Critique"/>
    </int2:textHash>
    <int2:textHash int2:hashCode="+wSPBgrOWyjWQ8" int2:id="tOSKUaM5">
      <int2:state int2:value="Rejected" int2:type="AugLoop_Text_Critique"/>
    </int2:textHash>
    <int2:textHash int2:hashCode="WHaxIYpnlD9Ed5" int2:id="XXH3Acap">
      <int2:state int2:value="Rejected" int2:type="AugLoop_Text_Critique"/>
    </int2:textHash>
    <int2:textHash int2:hashCode="ni8UUdXdlt6RIo" int2:id="Tm7G0W3X">
      <int2:state int2:value="Rejected" int2:type="AugLoop_Text_Critique"/>
    </int2:textHash>
    <int2:textHash int2:hashCode="NnH3KX+KVLhdpL" int2:id="Mt98rKQa">
      <int2:state int2:value="Rejected" int2:type="AugLoop_Text_Critique"/>
    </int2:textHash>
    <int2:textHash int2:hashCode="QakNFMcch5v2pR" int2:id="0qeliq0t">
      <int2:state int2:value="Rejected" int2:type="AugLoop_Text_Critique"/>
    </int2:textHash>
    <int2:bookmark int2:bookmarkName="_Int_RcmarCEH" int2:invalidationBookmarkName="" int2:hashCode="pyUCBnUYaE+d7u" int2:id="OeSt3Uf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134A"/>
    <w:multiLevelType w:val="hybridMultilevel"/>
    <w:tmpl w:val="4028C50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ECF346"/>
    <w:multiLevelType w:val="hybridMultilevel"/>
    <w:tmpl w:val="FFFFFFFF"/>
    <w:lvl w:ilvl="0" w:tplc="CCFED360">
      <w:start w:val="1"/>
      <w:numFmt w:val="bullet"/>
      <w:lvlText w:val=""/>
      <w:lvlJc w:val="left"/>
      <w:pPr>
        <w:ind w:left="720" w:hanging="360"/>
      </w:pPr>
      <w:rPr>
        <w:rFonts w:ascii="Symbol" w:hAnsi="Symbol" w:hint="default"/>
      </w:rPr>
    </w:lvl>
    <w:lvl w:ilvl="1" w:tplc="975AF56E">
      <w:start w:val="1"/>
      <w:numFmt w:val="bullet"/>
      <w:lvlText w:val="o"/>
      <w:lvlJc w:val="left"/>
      <w:pPr>
        <w:ind w:left="1440" w:hanging="360"/>
      </w:pPr>
      <w:rPr>
        <w:rFonts w:ascii="Courier New" w:hAnsi="Courier New" w:hint="default"/>
      </w:rPr>
    </w:lvl>
    <w:lvl w:ilvl="2" w:tplc="42E6BE9C">
      <w:start w:val="1"/>
      <w:numFmt w:val="bullet"/>
      <w:lvlText w:val=""/>
      <w:lvlJc w:val="left"/>
      <w:pPr>
        <w:ind w:left="2160" w:hanging="360"/>
      </w:pPr>
      <w:rPr>
        <w:rFonts w:ascii="Wingdings" w:hAnsi="Wingdings" w:hint="default"/>
      </w:rPr>
    </w:lvl>
    <w:lvl w:ilvl="3" w:tplc="1D049260">
      <w:start w:val="1"/>
      <w:numFmt w:val="bullet"/>
      <w:lvlText w:val=""/>
      <w:lvlJc w:val="left"/>
      <w:pPr>
        <w:ind w:left="2880" w:hanging="360"/>
      </w:pPr>
      <w:rPr>
        <w:rFonts w:ascii="Symbol" w:hAnsi="Symbol" w:hint="default"/>
      </w:rPr>
    </w:lvl>
    <w:lvl w:ilvl="4" w:tplc="DA847E76">
      <w:start w:val="1"/>
      <w:numFmt w:val="bullet"/>
      <w:lvlText w:val="o"/>
      <w:lvlJc w:val="left"/>
      <w:pPr>
        <w:ind w:left="3600" w:hanging="360"/>
      </w:pPr>
      <w:rPr>
        <w:rFonts w:ascii="Courier New" w:hAnsi="Courier New" w:hint="default"/>
      </w:rPr>
    </w:lvl>
    <w:lvl w:ilvl="5" w:tplc="01264B76">
      <w:start w:val="1"/>
      <w:numFmt w:val="bullet"/>
      <w:lvlText w:val=""/>
      <w:lvlJc w:val="left"/>
      <w:pPr>
        <w:ind w:left="4320" w:hanging="360"/>
      </w:pPr>
      <w:rPr>
        <w:rFonts w:ascii="Wingdings" w:hAnsi="Wingdings" w:hint="default"/>
      </w:rPr>
    </w:lvl>
    <w:lvl w:ilvl="6" w:tplc="7186C1E2">
      <w:start w:val="1"/>
      <w:numFmt w:val="bullet"/>
      <w:lvlText w:val=""/>
      <w:lvlJc w:val="left"/>
      <w:pPr>
        <w:ind w:left="5040" w:hanging="360"/>
      </w:pPr>
      <w:rPr>
        <w:rFonts w:ascii="Symbol" w:hAnsi="Symbol" w:hint="default"/>
      </w:rPr>
    </w:lvl>
    <w:lvl w:ilvl="7" w:tplc="82F09E74">
      <w:start w:val="1"/>
      <w:numFmt w:val="bullet"/>
      <w:lvlText w:val="o"/>
      <w:lvlJc w:val="left"/>
      <w:pPr>
        <w:ind w:left="5760" w:hanging="360"/>
      </w:pPr>
      <w:rPr>
        <w:rFonts w:ascii="Courier New" w:hAnsi="Courier New" w:hint="default"/>
      </w:rPr>
    </w:lvl>
    <w:lvl w:ilvl="8" w:tplc="553AFA46">
      <w:start w:val="1"/>
      <w:numFmt w:val="bullet"/>
      <w:lvlText w:val=""/>
      <w:lvlJc w:val="left"/>
      <w:pPr>
        <w:ind w:left="6480" w:hanging="360"/>
      </w:pPr>
      <w:rPr>
        <w:rFonts w:ascii="Wingdings" w:hAnsi="Wingdings" w:hint="default"/>
      </w:rPr>
    </w:lvl>
  </w:abstractNum>
  <w:abstractNum w:abstractNumId="2" w15:restartNumberingAfterBreak="0">
    <w:nsid w:val="6A9B0131"/>
    <w:multiLevelType w:val="multilevel"/>
    <w:tmpl w:val="300EF69E"/>
    <w:lvl w:ilvl="0">
      <w:start w:val="1"/>
      <w:numFmt w:val="upperRoman"/>
      <w:lvlText w:val="%1."/>
      <w:lvlJc w:val="left"/>
      <w:pPr>
        <w:ind w:left="1080" w:hanging="72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72C663EA"/>
    <w:multiLevelType w:val="hybridMultilevel"/>
    <w:tmpl w:val="4386E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3895458">
    <w:abstractNumId w:val="3"/>
  </w:num>
  <w:num w:numId="2" w16cid:durableId="60713820">
    <w:abstractNumId w:val="2"/>
  </w:num>
  <w:num w:numId="3" w16cid:durableId="849376073">
    <w:abstractNumId w:val="0"/>
  </w:num>
  <w:num w:numId="4" w16cid:durableId="414060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034"/>
    <w:rsid w:val="00012B91"/>
    <w:rsid w:val="000B5FEF"/>
    <w:rsid w:val="000D513A"/>
    <w:rsid w:val="00102C68"/>
    <w:rsid w:val="0014571A"/>
    <w:rsid w:val="001546C6"/>
    <w:rsid w:val="00173555"/>
    <w:rsid w:val="001A0034"/>
    <w:rsid w:val="001F250A"/>
    <w:rsid w:val="002111A8"/>
    <w:rsid w:val="00266B57"/>
    <w:rsid w:val="00297752"/>
    <w:rsid w:val="002B7410"/>
    <w:rsid w:val="002C0DD1"/>
    <w:rsid w:val="003108BD"/>
    <w:rsid w:val="00327F35"/>
    <w:rsid w:val="003B2730"/>
    <w:rsid w:val="00472ED7"/>
    <w:rsid w:val="0049505B"/>
    <w:rsid w:val="004F0CE0"/>
    <w:rsid w:val="005001F8"/>
    <w:rsid w:val="005317D5"/>
    <w:rsid w:val="005350E9"/>
    <w:rsid w:val="005437CE"/>
    <w:rsid w:val="00550BB5"/>
    <w:rsid w:val="0057284B"/>
    <w:rsid w:val="005D30C4"/>
    <w:rsid w:val="00615FB5"/>
    <w:rsid w:val="00633951"/>
    <w:rsid w:val="006364C5"/>
    <w:rsid w:val="006800DD"/>
    <w:rsid w:val="006864D6"/>
    <w:rsid w:val="00714C78"/>
    <w:rsid w:val="00727308"/>
    <w:rsid w:val="007A2C17"/>
    <w:rsid w:val="007F5B30"/>
    <w:rsid w:val="00805B65"/>
    <w:rsid w:val="00807B43"/>
    <w:rsid w:val="00854919"/>
    <w:rsid w:val="008B64CC"/>
    <w:rsid w:val="00904C0A"/>
    <w:rsid w:val="00A36795"/>
    <w:rsid w:val="00A51415"/>
    <w:rsid w:val="00A72EBA"/>
    <w:rsid w:val="00A9221F"/>
    <w:rsid w:val="00AA078B"/>
    <w:rsid w:val="00AE2BB5"/>
    <w:rsid w:val="00B05344"/>
    <w:rsid w:val="00B42607"/>
    <w:rsid w:val="00B7259A"/>
    <w:rsid w:val="00BA0C32"/>
    <w:rsid w:val="00BA5668"/>
    <w:rsid w:val="00BF6285"/>
    <w:rsid w:val="00C20A5D"/>
    <w:rsid w:val="00C30215"/>
    <w:rsid w:val="00C324A0"/>
    <w:rsid w:val="00C36A5F"/>
    <w:rsid w:val="00C85EB8"/>
    <w:rsid w:val="00CA30A7"/>
    <w:rsid w:val="00CE15B7"/>
    <w:rsid w:val="00D33BFF"/>
    <w:rsid w:val="00DE3B48"/>
    <w:rsid w:val="00EC0DD2"/>
    <w:rsid w:val="00EE4E89"/>
    <w:rsid w:val="00F130A8"/>
    <w:rsid w:val="00F84476"/>
    <w:rsid w:val="00FF3F56"/>
    <w:rsid w:val="01037ABA"/>
    <w:rsid w:val="01D63D1C"/>
    <w:rsid w:val="02433A06"/>
    <w:rsid w:val="02C32314"/>
    <w:rsid w:val="0303746E"/>
    <w:rsid w:val="0306216B"/>
    <w:rsid w:val="0327EBE0"/>
    <w:rsid w:val="0347BABE"/>
    <w:rsid w:val="039CA4E5"/>
    <w:rsid w:val="03CC42F7"/>
    <w:rsid w:val="03F43513"/>
    <w:rsid w:val="049532EF"/>
    <w:rsid w:val="04C478B7"/>
    <w:rsid w:val="04E14DDC"/>
    <w:rsid w:val="05B0E12F"/>
    <w:rsid w:val="06157FFE"/>
    <w:rsid w:val="062D6A76"/>
    <w:rsid w:val="062DDC20"/>
    <w:rsid w:val="062F2F6F"/>
    <w:rsid w:val="06A9AE3F"/>
    <w:rsid w:val="072BD5D5"/>
    <w:rsid w:val="0739AC38"/>
    <w:rsid w:val="0744D857"/>
    <w:rsid w:val="07969ECF"/>
    <w:rsid w:val="07BB2C1B"/>
    <w:rsid w:val="081FA5BE"/>
    <w:rsid w:val="08456AD3"/>
    <w:rsid w:val="087CCF66"/>
    <w:rsid w:val="08BEE205"/>
    <w:rsid w:val="08C7A636"/>
    <w:rsid w:val="08CCF873"/>
    <w:rsid w:val="0985875D"/>
    <w:rsid w:val="0991762C"/>
    <w:rsid w:val="09AEFF94"/>
    <w:rsid w:val="09B3120A"/>
    <w:rsid w:val="09B59677"/>
    <w:rsid w:val="0A3ABB66"/>
    <w:rsid w:val="0A55FF30"/>
    <w:rsid w:val="0B86FB64"/>
    <w:rsid w:val="0C1E0408"/>
    <w:rsid w:val="0C3BF7AC"/>
    <w:rsid w:val="0C47273D"/>
    <w:rsid w:val="0C817554"/>
    <w:rsid w:val="0C98B67E"/>
    <w:rsid w:val="0CCD6C5F"/>
    <w:rsid w:val="0CE5FAA5"/>
    <w:rsid w:val="0DCBCB47"/>
    <w:rsid w:val="0DDD6875"/>
    <w:rsid w:val="0DDF2AE3"/>
    <w:rsid w:val="0DE54BD4"/>
    <w:rsid w:val="0E22571C"/>
    <w:rsid w:val="0E374A1E"/>
    <w:rsid w:val="0ECE2DC8"/>
    <w:rsid w:val="0EE62DED"/>
    <w:rsid w:val="0F67C2E6"/>
    <w:rsid w:val="0F75904D"/>
    <w:rsid w:val="0FA37521"/>
    <w:rsid w:val="0FCF1BE1"/>
    <w:rsid w:val="0FE674D2"/>
    <w:rsid w:val="10779B6B"/>
    <w:rsid w:val="10EC2286"/>
    <w:rsid w:val="11041DC8"/>
    <w:rsid w:val="11147A33"/>
    <w:rsid w:val="11856C61"/>
    <w:rsid w:val="12143C42"/>
    <w:rsid w:val="12314408"/>
    <w:rsid w:val="129F3C6A"/>
    <w:rsid w:val="131E1594"/>
    <w:rsid w:val="13C39C81"/>
    <w:rsid w:val="146BE9B6"/>
    <w:rsid w:val="149198A0"/>
    <w:rsid w:val="14E87A0B"/>
    <w:rsid w:val="14EDBEB3"/>
    <w:rsid w:val="155F6CE2"/>
    <w:rsid w:val="159BED33"/>
    <w:rsid w:val="15AAEF9D"/>
    <w:rsid w:val="162D1C63"/>
    <w:rsid w:val="1658DD84"/>
    <w:rsid w:val="1659F903"/>
    <w:rsid w:val="166FDAD2"/>
    <w:rsid w:val="172C4A45"/>
    <w:rsid w:val="175BEC1B"/>
    <w:rsid w:val="1821E672"/>
    <w:rsid w:val="1876810C"/>
    <w:rsid w:val="19BDB6D3"/>
    <w:rsid w:val="19F9AFB0"/>
    <w:rsid w:val="1A8187E7"/>
    <w:rsid w:val="1B2C97A3"/>
    <w:rsid w:val="1B40648E"/>
    <w:rsid w:val="1B4D3D79"/>
    <w:rsid w:val="1C8A3109"/>
    <w:rsid w:val="1CBBE2DA"/>
    <w:rsid w:val="1D9A953B"/>
    <w:rsid w:val="1DBFF0D5"/>
    <w:rsid w:val="1DE60203"/>
    <w:rsid w:val="1E09AE23"/>
    <w:rsid w:val="1E5E0EE9"/>
    <w:rsid w:val="1E69FC1B"/>
    <w:rsid w:val="1E6A1112"/>
    <w:rsid w:val="1E7597C8"/>
    <w:rsid w:val="1ECA6D9E"/>
    <w:rsid w:val="1EF6941B"/>
    <w:rsid w:val="1EFDF325"/>
    <w:rsid w:val="1FA56AB7"/>
    <w:rsid w:val="204F0CAA"/>
    <w:rsid w:val="2061D5F3"/>
    <w:rsid w:val="2143D370"/>
    <w:rsid w:val="21670C52"/>
    <w:rsid w:val="21B225B2"/>
    <w:rsid w:val="22730393"/>
    <w:rsid w:val="22CA59B1"/>
    <w:rsid w:val="22CB425F"/>
    <w:rsid w:val="22D79C88"/>
    <w:rsid w:val="22DD1F46"/>
    <w:rsid w:val="22E411DC"/>
    <w:rsid w:val="23649919"/>
    <w:rsid w:val="240ED3F4"/>
    <w:rsid w:val="245FC74A"/>
    <w:rsid w:val="2478EFA7"/>
    <w:rsid w:val="24D25C0C"/>
    <w:rsid w:val="2500697A"/>
    <w:rsid w:val="25A6FD0A"/>
    <w:rsid w:val="25C0ED85"/>
    <w:rsid w:val="25E886E1"/>
    <w:rsid w:val="25FE8461"/>
    <w:rsid w:val="26931ACD"/>
    <w:rsid w:val="270941B1"/>
    <w:rsid w:val="27A6575E"/>
    <w:rsid w:val="27B09069"/>
    <w:rsid w:val="27F24058"/>
    <w:rsid w:val="2884C934"/>
    <w:rsid w:val="28F26F0D"/>
    <w:rsid w:val="2921841F"/>
    <w:rsid w:val="294C60CA"/>
    <w:rsid w:val="29DBC823"/>
    <w:rsid w:val="29FA5ADB"/>
    <w:rsid w:val="2B600F51"/>
    <w:rsid w:val="2B779884"/>
    <w:rsid w:val="2B77DA4D"/>
    <w:rsid w:val="2BC34C88"/>
    <w:rsid w:val="2BF445EC"/>
    <w:rsid w:val="2CFBDFB2"/>
    <w:rsid w:val="2D1BDD06"/>
    <w:rsid w:val="2D47752C"/>
    <w:rsid w:val="2D57BF27"/>
    <w:rsid w:val="2DD179EF"/>
    <w:rsid w:val="2DD4A49A"/>
    <w:rsid w:val="2E58D6BC"/>
    <w:rsid w:val="2E76B29C"/>
    <w:rsid w:val="2EA47D35"/>
    <w:rsid w:val="2EF38F88"/>
    <w:rsid w:val="2FBBA24E"/>
    <w:rsid w:val="30345589"/>
    <w:rsid w:val="3070BD7D"/>
    <w:rsid w:val="3088257E"/>
    <w:rsid w:val="308A52F2"/>
    <w:rsid w:val="312528D2"/>
    <w:rsid w:val="315772AF"/>
    <w:rsid w:val="3183C204"/>
    <w:rsid w:val="31DEFC75"/>
    <w:rsid w:val="31E6DA08"/>
    <w:rsid w:val="32ABD659"/>
    <w:rsid w:val="32B4367D"/>
    <w:rsid w:val="332C833B"/>
    <w:rsid w:val="338A96F5"/>
    <w:rsid w:val="33E82126"/>
    <w:rsid w:val="33F8750E"/>
    <w:rsid w:val="340A4AB9"/>
    <w:rsid w:val="34522810"/>
    <w:rsid w:val="34BB5F39"/>
    <w:rsid w:val="35DE09AF"/>
    <w:rsid w:val="3691940C"/>
    <w:rsid w:val="3713A92A"/>
    <w:rsid w:val="37587A59"/>
    <w:rsid w:val="375E8D26"/>
    <w:rsid w:val="37A24F14"/>
    <w:rsid w:val="37D43C47"/>
    <w:rsid w:val="384D2E74"/>
    <w:rsid w:val="3876C97B"/>
    <w:rsid w:val="388E3A9B"/>
    <w:rsid w:val="388E4550"/>
    <w:rsid w:val="38E523E8"/>
    <w:rsid w:val="3941C987"/>
    <w:rsid w:val="395746E3"/>
    <w:rsid w:val="39CA26BA"/>
    <w:rsid w:val="39F8B97B"/>
    <w:rsid w:val="3A0B93DC"/>
    <w:rsid w:val="3A2A15B1"/>
    <w:rsid w:val="3A70E11D"/>
    <w:rsid w:val="3A9616B3"/>
    <w:rsid w:val="3AB8800D"/>
    <w:rsid w:val="3AE81807"/>
    <w:rsid w:val="3AF04A25"/>
    <w:rsid w:val="3B2A0FBA"/>
    <w:rsid w:val="3B7462A3"/>
    <w:rsid w:val="3C69DDEF"/>
    <w:rsid w:val="3C7A3926"/>
    <w:rsid w:val="3CA1140E"/>
    <w:rsid w:val="3CBE7390"/>
    <w:rsid w:val="3CC1C568"/>
    <w:rsid w:val="3D37BE70"/>
    <w:rsid w:val="3D466BAE"/>
    <w:rsid w:val="3E6D7E3C"/>
    <w:rsid w:val="3E7ADB1E"/>
    <w:rsid w:val="3E84A760"/>
    <w:rsid w:val="3EB4AD21"/>
    <w:rsid w:val="3F0C7A28"/>
    <w:rsid w:val="3F10904D"/>
    <w:rsid w:val="3F2E58FC"/>
    <w:rsid w:val="3F3DDE1C"/>
    <w:rsid w:val="3F554279"/>
    <w:rsid w:val="3F6F97EB"/>
    <w:rsid w:val="3F861A82"/>
    <w:rsid w:val="3FF51980"/>
    <w:rsid w:val="4003F446"/>
    <w:rsid w:val="410E8F7A"/>
    <w:rsid w:val="4110741F"/>
    <w:rsid w:val="411088B5"/>
    <w:rsid w:val="415F3C32"/>
    <w:rsid w:val="4190E9E1"/>
    <w:rsid w:val="41ED4E61"/>
    <w:rsid w:val="42D60390"/>
    <w:rsid w:val="42EB1599"/>
    <w:rsid w:val="42F39187"/>
    <w:rsid w:val="4305070C"/>
    <w:rsid w:val="43AB2EC5"/>
    <w:rsid w:val="43E2E053"/>
    <w:rsid w:val="44529FEF"/>
    <w:rsid w:val="4452A5BF"/>
    <w:rsid w:val="445834E4"/>
    <w:rsid w:val="44C1EBA4"/>
    <w:rsid w:val="44C95BCA"/>
    <w:rsid w:val="44DFBD07"/>
    <w:rsid w:val="4531088F"/>
    <w:rsid w:val="458B3093"/>
    <w:rsid w:val="462FDEC7"/>
    <w:rsid w:val="463CB019"/>
    <w:rsid w:val="46491E9A"/>
    <w:rsid w:val="46AAE691"/>
    <w:rsid w:val="46E2CF87"/>
    <w:rsid w:val="46F18420"/>
    <w:rsid w:val="475D9931"/>
    <w:rsid w:val="48410273"/>
    <w:rsid w:val="489D75F0"/>
    <w:rsid w:val="48AA6382"/>
    <w:rsid w:val="48E3CB4C"/>
    <w:rsid w:val="49B9D60F"/>
    <w:rsid w:val="4A04EB38"/>
    <w:rsid w:val="4AC6757E"/>
    <w:rsid w:val="4ACABE61"/>
    <w:rsid w:val="4B8867CC"/>
    <w:rsid w:val="4BC8D1B9"/>
    <w:rsid w:val="4C176D95"/>
    <w:rsid w:val="4C310A54"/>
    <w:rsid w:val="4C7E7AAE"/>
    <w:rsid w:val="4CC6E9A5"/>
    <w:rsid w:val="4E0BAA86"/>
    <w:rsid w:val="4E1A4B0F"/>
    <w:rsid w:val="4E4921CC"/>
    <w:rsid w:val="4EA8ADBF"/>
    <w:rsid w:val="4EC0C84B"/>
    <w:rsid w:val="4F4CAAC8"/>
    <w:rsid w:val="4F715672"/>
    <w:rsid w:val="4FA77AE7"/>
    <w:rsid w:val="4FBBC1C2"/>
    <w:rsid w:val="50B149A1"/>
    <w:rsid w:val="519E3A31"/>
    <w:rsid w:val="520684D2"/>
    <w:rsid w:val="5257BE7C"/>
    <w:rsid w:val="52A6265B"/>
    <w:rsid w:val="5397F70D"/>
    <w:rsid w:val="539BAB85"/>
    <w:rsid w:val="54007830"/>
    <w:rsid w:val="540C3AAE"/>
    <w:rsid w:val="54B7D820"/>
    <w:rsid w:val="54D5DAF3"/>
    <w:rsid w:val="54D7AEF0"/>
    <w:rsid w:val="54E83809"/>
    <w:rsid w:val="5584BAC4"/>
    <w:rsid w:val="559F3A76"/>
    <w:rsid w:val="55FA3D8B"/>
    <w:rsid w:val="562E23BB"/>
    <w:rsid w:val="56E9BC4B"/>
    <w:rsid w:val="56FA77D7"/>
    <w:rsid w:val="5700E0D7"/>
    <w:rsid w:val="57191FE7"/>
    <w:rsid w:val="57537D54"/>
    <w:rsid w:val="58D583E3"/>
    <w:rsid w:val="593BC802"/>
    <w:rsid w:val="596D1B13"/>
    <w:rsid w:val="598B23A5"/>
    <w:rsid w:val="59A9417E"/>
    <w:rsid w:val="59C6CE16"/>
    <w:rsid w:val="5A388199"/>
    <w:rsid w:val="5A715444"/>
    <w:rsid w:val="5AADB15B"/>
    <w:rsid w:val="5B6DC3B6"/>
    <w:rsid w:val="5BA1FF00"/>
    <w:rsid w:val="5BF57681"/>
    <w:rsid w:val="5C288A87"/>
    <w:rsid w:val="5C7FA719"/>
    <w:rsid w:val="5CA567C1"/>
    <w:rsid w:val="5CE17F6F"/>
    <w:rsid w:val="5D1E3CDF"/>
    <w:rsid w:val="5DB2C3E7"/>
    <w:rsid w:val="5DE8CA08"/>
    <w:rsid w:val="5E7CBD39"/>
    <w:rsid w:val="60188D9A"/>
    <w:rsid w:val="6150BD99"/>
    <w:rsid w:val="6195AC9E"/>
    <w:rsid w:val="61BBEF14"/>
    <w:rsid w:val="6238D1C5"/>
    <w:rsid w:val="62589403"/>
    <w:rsid w:val="62691DA3"/>
    <w:rsid w:val="6286E833"/>
    <w:rsid w:val="629EA906"/>
    <w:rsid w:val="62BE5D28"/>
    <w:rsid w:val="62F660A7"/>
    <w:rsid w:val="636BE758"/>
    <w:rsid w:val="63A51F2F"/>
    <w:rsid w:val="63AF16F6"/>
    <w:rsid w:val="63FE1521"/>
    <w:rsid w:val="649C438C"/>
    <w:rsid w:val="64E2C69C"/>
    <w:rsid w:val="65009086"/>
    <w:rsid w:val="6656D3E4"/>
    <w:rsid w:val="66DD6C2E"/>
    <w:rsid w:val="670217D8"/>
    <w:rsid w:val="671EBBB8"/>
    <w:rsid w:val="679454CC"/>
    <w:rsid w:val="68177FEC"/>
    <w:rsid w:val="682B8D05"/>
    <w:rsid w:val="6840DCA5"/>
    <w:rsid w:val="684B81E5"/>
    <w:rsid w:val="684C2F6B"/>
    <w:rsid w:val="68D9CAC1"/>
    <w:rsid w:val="68F012DF"/>
    <w:rsid w:val="69B338CA"/>
    <w:rsid w:val="69B84D75"/>
    <w:rsid w:val="6A071748"/>
    <w:rsid w:val="6B2EBE4B"/>
    <w:rsid w:val="6BF514A6"/>
    <w:rsid w:val="6C0DBBF6"/>
    <w:rsid w:val="6C19AD3C"/>
    <w:rsid w:val="6C765F20"/>
    <w:rsid w:val="6CEAB7CE"/>
    <w:rsid w:val="6D07C6CF"/>
    <w:rsid w:val="6D60A848"/>
    <w:rsid w:val="6DA05AC3"/>
    <w:rsid w:val="6E2F97B3"/>
    <w:rsid w:val="6E8DB163"/>
    <w:rsid w:val="6EBC92C0"/>
    <w:rsid w:val="6EDB154B"/>
    <w:rsid w:val="6F1B540A"/>
    <w:rsid w:val="6F6D7101"/>
    <w:rsid w:val="70671A00"/>
    <w:rsid w:val="7073EEF1"/>
    <w:rsid w:val="71D26F4B"/>
    <w:rsid w:val="72187626"/>
    <w:rsid w:val="723A6D7B"/>
    <w:rsid w:val="7353FC2C"/>
    <w:rsid w:val="73CC71CA"/>
    <w:rsid w:val="74657A08"/>
    <w:rsid w:val="74DBD803"/>
    <w:rsid w:val="7536793D"/>
    <w:rsid w:val="75601772"/>
    <w:rsid w:val="7568422B"/>
    <w:rsid w:val="756E1B44"/>
    <w:rsid w:val="759655CC"/>
    <w:rsid w:val="75A5F1B1"/>
    <w:rsid w:val="762F049E"/>
    <w:rsid w:val="76CD5191"/>
    <w:rsid w:val="76E6BC4A"/>
    <w:rsid w:val="770463B8"/>
    <w:rsid w:val="777882E6"/>
    <w:rsid w:val="77DE75C0"/>
    <w:rsid w:val="7807C9B6"/>
    <w:rsid w:val="78828CAB"/>
    <w:rsid w:val="78C15C7C"/>
    <w:rsid w:val="792ECDAA"/>
    <w:rsid w:val="7A5D2CDD"/>
    <w:rsid w:val="7A786F4B"/>
    <w:rsid w:val="7AB3E1C6"/>
    <w:rsid w:val="7ACCA509"/>
    <w:rsid w:val="7B9868B5"/>
    <w:rsid w:val="7BC13CDD"/>
    <w:rsid w:val="7BD6EC37"/>
    <w:rsid w:val="7BF8B617"/>
    <w:rsid w:val="7C04C773"/>
    <w:rsid w:val="7C11E995"/>
    <w:rsid w:val="7C3EDFB4"/>
    <w:rsid w:val="7C3F4EDC"/>
    <w:rsid w:val="7C4F8C67"/>
    <w:rsid w:val="7C8D5B37"/>
    <w:rsid w:val="7D0BE9D1"/>
    <w:rsid w:val="7D327A58"/>
    <w:rsid w:val="7D3649AC"/>
    <w:rsid w:val="7D4EE469"/>
    <w:rsid w:val="7D5706E3"/>
    <w:rsid w:val="7D99B630"/>
    <w:rsid w:val="7DD4CD55"/>
    <w:rsid w:val="7E336B9F"/>
    <w:rsid w:val="7E46B79C"/>
    <w:rsid w:val="7E606BDE"/>
    <w:rsid w:val="7ECFB6A6"/>
    <w:rsid w:val="7F498A57"/>
    <w:rsid w:val="7FCC4A60"/>
    <w:rsid w:val="7FDEA51B"/>
    <w:rsid w:val="7FE287FD"/>
    <w:rsid w:val="7FF9B91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B885E"/>
  <w15:docId w15:val="{5280CF12-D975-44B1-813F-5E31EC566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164C58"/>
    <w:rPr>
      <w:sz w:val="16"/>
      <w:szCs w:val="16"/>
    </w:rPr>
  </w:style>
  <w:style w:type="paragraph" w:styleId="CommentText">
    <w:name w:val="annotation text"/>
    <w:basedOn w:val="Normal"/>
    <w:link w:val="CommentTextChar"/>
    <w:uiPriority w:val="99"/>
    <w:unhideWhenUsed/>
    <w:rsid w:val="00164C58"/>
    <w:pPr>
      <w:spacing w:line="240" w:lineRule="auto"/>
    </w:pPr>
    <w:rPr>
      <w:sz w:val="20"/>
      <w:szCs w:val="20"/>
    </w:rPr>
  </w:style>
  <w:style w:type="character" w:customStyle="1" w:styleId="CommentTextChar">
    <w:name w:val="Comment Text Char"/>
    <w:basedOn w:val="DefaultParagraphFont"/>
    <w:link w:val="CommentText"/>
    <w:uiPriority w:val="99"/>
    <w:rsid w:val="00164C58"/>
    <w:rPr>
      <w:sz w:val="20"/>
      <w:szCs w:val="20"/>
    </w:rPr>
  </w:style>
  <w:style w:type="paragraph" w:styleId="CommentSubject">
    <w:name w:val="annotation subject"/>
    <w:basedOn w:val="CommentText"/>
    <w:next w:val="CommentText"/>
    <w:link w:val="CommentSubjectChar"/>
    <w:uiPriority w:val="99"/>
    <w:semiHidden/>
    <w:unhideWhenUsed/>
    <w:rsid w:val="00164C58"/>
    <w:rPr>
      <w:b/>
      <w:bCs/>
    </w:rPr>
  </w:style>
  <w:style w:type="character" w:customStyle="1" w:styleId="CommentSubjectChar">
    <w:name w:val="Comment Subject Char"/>
    <w:basedOn w:val="CommentTextChar"/>
    <w:link w:val="CommentSubject"/>
    <w:uiPriority w:val="99"/>
    <w:semiHidden/>
    <w:rsid w:val="00164C58"/>
    <w:rPr>
      <w:b/>
      <w:bCs/>
      <w:sz w:val="20"/>
      <w:szCs w:val="20"/>
    </w:rPr>
  </w:style>
  <w:style w:type="paragraph" w:styleId="ListParagraph">
    <w:name w:val="List Paragraph"/>
    <w:basedOn w:val="Normal"/>
    <w:uiPriority w:val="34"/>
    <w:qFormat/>
    <w:rsid w:val="006071EB"/>
    <w:pPr>
      <w:ind w:left="720"/>
      <w:contextualSpacing/>
    </w:pPr>
  </w:style>
  <w:style w:type="paragraph" w:customStyle="1" w:styleId="Default">
    <w:name w:val="Default"/>
    <w:rsid w:val="00515128"/>
    <w:pPr>
      <w:autoSpaceDE w:val="0"/>
      <w:autoSpaceDN w:val="0"/>
      <w:adjustRightInd w:val="0"/>
      <w:spacing w:after="0" w:line="240" w:lineRule="auto"/>
    </w:pPr>
    <w:rPr>
      <w:rFonts w:ascii="Times New Roman" w:hAnsi="Times New Roman" w:cs="Times New Roman"/>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317D5"/>
    <w:rPr>
      <w:color w:val="0000FF"/>
      <w:u w:val="single"/>
    </w:rPr>
  </w:style>
  <w:style w:type="paragraph" w:styleId="FootnoteText">
    <w:name w:val="footnote text"/>
    <w:basedOn w:val="Normal"/>
    <w:link w:val="FootnoteTextChar"/>
    <w:uiPriority w:val="99"/>
    <w:unhideWhenUsed/>
    <w:rsid w:val="00714C78"/>
    <w:pPr>
      <w:spacing w:after="0" w:line="240" w:lineRule="auto"/>
      <w:jc w:val="both"/>
    </w:pPr>
    <w:rPr>
      <w:rFonts w:ascii="Maiandra GD" w:eastAsiaTheme="minorHAnsi" w:hAnsi="Maiandra GD" w:cstheme="minorBidi"/>
      <w:sz w:val="20"/>
      <w:szCs w:val="20"/>
    </w:rPr>
  </w:style>
  <w:style w:type="character" w:customStyle="1" w:styleId="FootnoteTextChar">
    <w:name w:val="Footnote Text Char"/>
    <w:basedOn w:val="DefaultParagraphFont"/>
    <w:link w:val="FootnoteText"/>
    <w:uiPriority w:val="99"/>
    <w:rsid w:val="00714C78"/>
    <w:rPr>
      <w:rFonts w:ascii="Maiandra GD" w:eastAsiaTheme="minorHAnsi" w:hAnsi="Maiandra GD" w:cstheme="min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unicef.org/malawi/media/10106/file/Education%20Budget%20Brief%202023-24.pdf" TargetMode="Externa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hyperlink" Target="https://times.mw/resource-constraints-disrupt-labour-inspectio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imes.mw/resource-constraints-disrupt-labour-inspections/" TargetMode="External"/><Relationship Id="rId5" Type="http://schemas.openxmlformats.org/officeDocument/2006/relationships/settings" Target="settings.xml"/><Relationship Id="rId15" Type="http://schemas.microsoft.com/office/2020/10/relationships/intelligence" Target="intelligence2.xml"/><Relationship Id="rId10" Type="http://schemas.openxmlformats.org/officeDocument/2006/relationships/hyperlink" Target="https://www.ilo.org/wcmsp5/groups/public/---dgreports/---gender/documents/publication/wcms_838655.pdf" TargetMode="External"/><Relationship Id="rId4" Type="http://schemas.openxmlformats.org/officeDocument/2006/relationships/styles" Target="styles.xml"/><Relationship Id="rId9" Type="http://schemas.openxmlformats.org/officeDocument/2006/relationships/hyperlink" Target="https://www.ilo.org/wcmsp5/groups/public/---dgreports/---gender/documents/publication/wcms_83865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Y6Chw2i7eTt+E01K8meqtXX4sA==">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</go:docsCustomData>
</go:gDocsCustomXmlDataStorage>
</file>

<file path=customXml/itemProps1.xml><?xml version="1.0" encoding="utf-8"?>
<ds:datastoreItem xmlns:ds="http://schemas.openxmlformats.org/officeDocument/2006/customXml" ds:itemID="{46CE57CE-A70D-4499-8823-B7B5A604D4F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Pages>
  <Words>6613</Words>
  <Characters>37698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Mandanda</dc:creator>
  <cp:keywords/>
  <cp:lastModifiedBy>Jessica Mandanda</cp:lastModifiedBy>
  <cp:revision>30</cp:revision>
  <dcterms:created xsi:type="dcterms:W3CDTF">2023-09-18T07:15:00Z</dcterms:created>
  <dcterms:modified xsi:type="dcterms:W3CDTF">2023-09-18T16:37:00Z</dcterms:modified>
</cp:coreProperties>
</file>