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7B79C" w14:textId="2B5FE133" w:rsidR="006A0514" w:rsidRDefault="005A1A1E" w:rsidP="006A0514">
      <w:pPr>
        <w:rPr>
          <w:rFonts w:ascii="Arial" w:hAnsi="Arial" w:cs="Arial"/>
          <w:b/>
          <w:bCs/>
        </w:rPr>
      </w:pPr>
      <w:r>
        <w:rPr>
          <w:rFonts w:ascii="Arial" w:hAnsi="Arial" w:cs="Arial"/>
          <w:b/>
          <w:bCs/>
          <w:noProof/>
          <w14:ligatures w14:val="standardContextual"/>
        </w:rPr>
        <w:drawing>
          <wp:anchor distT="0" distB="0" distL="114300" distR="114300" simplePos="0" relativeHeight="251658240" behindDoc="0" locked="0" layoutInCell="1" allowOverlap="1" wp14:anchorId="184F3034" wp14:editId="7A0F5056">
            <wp:simplePos x="0" y="0"/>
            <wp:positionH relativeFrom="column">
              <wp:posOffset>2621494</wp:posOffset>
            </wp:positionH>
            <wp:positionV relativeFrom="paragraph">
              <wp:posOffset>273</wp:posOffset>
            </wp:positionV>
            <wp:extent cx="692785" cy="664210"/>
            <wp:effectExtent l="0" t="0" r="0" b="0"/>
            <wp:wrapThrough wrapText="bothSides">
              <wp:wrapPolygon edited="0">
                <wp:start x="7523" y="1239"/>
                <wp:lineTo x="6335" y="2891"/>
                <wp:lineTo x="1188" y="8260"/>
                <wp:lineTo x="1188" y="11564"/>
                <wp:lineTo x="1980" y="15281"/>
                <wp:lineTo x="2772" y="17759"/>
                <wp:lineTo x="7127" y="19824"/>
                <wp:lineTo x="12275" y="20650"/>
                <wp:lineTo x="15047" y="20650"/>
                <wp:lineTo x="17819" y="18585"/>
                <wp:lineTo x="17819" y="17346"/>
                <wp:lineTo x="15047" y="15281"/>
                <wp:lineTo x="19402" y="14455"/>
                <wp:lineTo x="19006" y="9499"/>
                <wp:lineTo x="17027" y="7434"/>
                <wp:lineTo x="16235" y="4956"/>
                <wp:lineTo x="10691" y="1239"/>
                <wp:lineTo x="7523" y="1239"/>
              </wp:wrapPolygon>
            </wp:wrapThrough>
            <wp:docPr id="1831512933" name="Picture 1" descr="A rainbow colored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12933" name="Picture 1" descr="A rainbow colored circle with black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2785" cy="664210"/>
                    </a:xfrm>
                    <a:prstGeom prst="rect">
                      <a:avLst/>
                    </a:prstGeom>
                  </pic:spPr>
                </pic:pic>
              </a:graphicData>
            </a:graphic>
            <wp14:sizeRelH relativeFrom="page">
              <wp14:pctWidth>0</wp14:pctWidth>
            </wp14:sizeRelH>
            <wp14:sizeRelV relativeFrom="page">
              <wp14:pctHeight>0</wp14:pctHeight>
            </wp14:sizeRelV>
          </wp:anchor>
        </w:drawing>
      </w:r>
    </w:p>
    <w:p w14:paraId="603A21B7" w14:textId="77777777" w:rsidR="006B0E7C" w:rsidRDefault="006B0E7C" w:rsidP="006A0514">
      <w:pPr>
        <w:rPr>
          <w:rFonts w:ascii="Arial" w:hAnsi="Arial" w:cs="Arial"/>
          <w:b/>
          <w:bCs/>
        </w:rPr>
      </w:pPr>
    </w:p>
    <w:p w14:paraId="0D444E41" w14:textId="77777777" w:rsidR="006B0E7C" w:rsidRDefault="006B0E7C" w:rsidP="006A0514">
      <w:pPr>
        <w:rPr>
          <w:rFonts w:ascii="Arial" w:hAnsi="Arial" w:cs="Arial"/>
          <w:b/>
          <w:bCs/>
        </w:rPr>
      </w:pPr>
    </w:p>
    <w:p w14:paraId="74659528" w14:textId="77777777" w:rsidR="005A1A1E" w:rsidRDefault="005A1A1E" w:rsidP="006A0514">
      <w:pPr>
        <w:rPr>
          <w:rFonts w:ascii="Arial" w:hAnsi="Arial" w:cs="Arial"/>
          <w:b/>
          <w:bCs/>
        </w:rPr>
      </w:pPr>
    </w:p>
    <w:p w14:paraId="12C0E6D7" w14:textId="77777777" w:rsidR="005A1A1E" w:rsidRDefault="005A1A1E" w:rsidP="006A0514">
      <w:pPr>
        <w:rPr>
          <w:rFonts w:ascii="Arial" w:hAnsi="Arial" w:cs="Arial"/>
          <w:b/>
          <w:bCs/>
        </w:rPr>
      </w:pPr>
    </w:p>
    <w:p w14:paraId="6151FC00" w14:textId="6E5D4CC1" w:rsidR="00561CEC" w:rsidRDefault="00561CEC" w:rsidP="00561CEC">
      <w:pPr>
        <w:jc w:val="center"/>
        <w:rPr>
          <w:rFonts w:ascii="Arial" w:hAnsi="Arial" w:cs="Arial"/>
          <w:b/>
          <w:bCs/>
        </w:rPr>
      </w:pPr>
      <w:r>
        <w:rPr>
          <w:rFonts w:ascii="Arial" w:hAnsi="Arial" w:cs="Arial"/>
          <w:b/>
          <w:bCs/>
        </w:rPr>
        <w:t>Transforming Communities for Inclusion (TCI Global)</w:t>
      </w:r>
    </w:p>
    <w:p w14:paraId="0B8AF941" w14:textId="77777777" w:rsidR="00561CEC" w:rsidRDefault="00561CEC" w:rsidP="00561CEC">
      <w:pPr>
        <w:jc w:val="center"/>
        <w:rPr>
          <w:rFonts w:ascii="Arial" w:hAnsi="Arial" w:cs="Arial"/>
          <w:b/>
          <w:bCs/>
        </w:rPr>
      </w:pPr>
    </w:p>
    <w:p w14:paraId="4C35CEAE" w14:textId="6E9CEF83" w:rsidR="00561CEC" w:rsidRDefault="00561CEC" w:rsidP="00561CEC">
      <w:pPr>
        <w:jc w:val="center"/>
        <w:rPr>
          <w:rFonts w:ascii="Arial" w:hAnsi="Arial" w:cs="Arial"/>
          <w:b/>
          <w:bCs/>
        </w:rPr>
      </w:pPr>
      <w:r w:rsidRPr="00561CEC">
        <w:rPr>
          <w:rFonts w:ascii="Arial" w:hAnsi="Arial" w:cs="Arial"/>
          <w:b/>
          <w:bCs/>
        </w:rPr>
        <w:t xml:space="preserve">Response to the </w:t>
      </w:r>
      <w:r w:rsidR="009C7CFA">
        <w:rPr>
          <w:rFonts w:ascii="Arial" w:hAnsi="Arial" w:cs="Arial"/>
          <w:b/>
          <w:bCs/>
        </w:rPr>
        <w:t>f</w:t>
      </w:r>
      <w:r w:rsidRPr="00561CEC">
        <w:rPr>
          <w:rFonts w:ascii="Arial" w:hAnsi="Arial" w:cs="Arial"/>
          <w:b/>
          <w:bCs/>
        </w:rPr>
        <w:t xml:space="preserve">our </w:t>
      </w:r>
      <w:r w:rsidR="009C7CFA">
        <w:rPr>
          <w:rFonts w:ascii="Arial" w:hAnsi="Arial" w:cs="Arial"/>
          <w:b/>
          <w:bCs/>
        </w:rPr>
        <w:t>q</w:t>
      </w:r>
      <w:r w:rsidRPr="00561CEC">
        <w:rPr>
          <w:rFonts w:ascii="Arial" w:hAnsi="Arial" w:cs="Arial"/>
          <w:b/>
          <w:bCs/>
        </w:rPr>
        <w:t xml:space="preserve">uestions </w:t>
      </w:r>
      <w:r w:rsidR="009C7CFA">
        <w:rPr>
          <w:rFonts w:ascii="Arial" w:hAnsi="Arial" w:cs="Arial"/>
          <w:b/>
          <w:bCs/>
        </w:rPr>
        <w:t>r</w:t>
      </w:r>
      <w:r w:rsidRPr="00561CEC">
        <w:rPr>
          <w:rFonts w:ascii="Arial" w:hAnsi="Arial" w:cs="Arial"/>
          <w:b/>
          <w:bCs/>
        </w:rPr>
        <w:t xml:space="preserve">aised by the UN Secretary-General (OHCHR) in the </w:t>
      </w:r>
      <w:r w:rsidR="009C7CFA">
        <w:rPr>
          <w:rFonts w:ascii="Arial" w:hAnsi="Arial" w:cs="Arial"/>
          <w:b/>
          <w:bCs/>
        </w:rPr>
        <w:t>l</w:t>
      </w:r>
      <w:r w:rsidRPr="00561CEC">
        <w:rPr>
          <w:rFonts w:ascii="Arial" w:hAnsi="Arial" w:cs="Arial"/>
          <w:b/>
          <w:bCs/>
        </w:rPr>
        <w:t>etter to the UK Permanent Representative</w:t>
      </w:r>
      <w:r>
        <w:rPr>
          <w:rFonts w:ascii="Arial" w:hAnsi="Arial" w:cs="Arial"/>
          <w:b/>
          <w:bCs/>
        </w:rPr>
        <w:t xml:space="preserve"> in Geneva</w:t>
      </w:r>
      <w:r w:rsidRPr="00561CEC">
        <w:rPr>
          <w:rFonts w:ascii="Arial" w:hAnsi="Arial" w:cs="Arial"/>
          <w:b/>
          <w:bCs/>
        </w:rPr>
        <w:t xml:space="preserve">, </w:t>
      </w:r>
    </w:p>
    <w:p w14:paraId="656A2B1E" w14:textId="513DC808" w:rsidR="00561CEC" w:rsidRPr="00561CEC" w:rsidRDefault="009C7CFA" w:rsidP="00561CEC">
      <w:pPr>
        <w:jc w:val="center"/>
        <w:rPr>
          <w:rFonts w:ascii="Arial" w:hAnsi="Arial" w:cs="Arial"/>
          <w:b/>
          <w:bCs/>
        </w:rPr>
      </w:pPr>
      <w:r>
        <w:rPr>
          <w:rFonts w:ascii="Arial" w:hAnsi="Arial" w:cs="Arial"/>
          <w:b/>
          <w:bCs/>
        </w:rPr>
        <w:t>d</w:t>
      </w:r>
      <w:r w:rsidR="00561CEC" w:rsidRPr="00561CEC">
        <w:rPr>
          <w:rFonts w:ascii="Arial" w:hAnsi="Arial" w:cs="Arial"/>
          <w:b/>
          <w:bCs/>
        </w:rPr>
        <w:t>ated 23 June 2025</w:t>
      </w:r>
    </w:p>
    <w:p w14:paraId="003D102F" w14:textId="77777777" w:rsidR="00561CEC" w:rsidRDefault="00561CEC" w:rsidP="006A0514">
      <w:pPr>
        <w:rPr>
          <w:rFonts w:ascii="Arial" w:hAnsi="Arial" w:cs="Arial"/>
          <w:b/>
          <w:bCs/>
        </w:rPr>
      </w:pPr>
    </w:p>
    <w:p w14:paraId="147FE62F" w14:textId="77777777" w:rsidR="00561CEC" w:rsidRDefault="00561CEC" w:rsidP="006A0514">
      <w:pPr>
        <w:rPr>
          <w:rFonts w:ascii="Arial" w:hAnsi="Arial" w:cs="Arial"/>
          <w:b/>
          <w:bCs/>
        </w:rPr>
      </w:pPr>
    </w:p>
    <w:p w14:paraId="2FBDDCFC" w14:textId="213D6DEF" w:rsidR="006A0514" w:rsidRPr="006A0514" w:rsidRDefault="006A0514" w:rsidP="00F066BF">
      <w:pPr>
        <w:shd w:val="clear" w:color="auto" w:fill="D9F2D0" w:themeFill="accent6" w:themeFillTint="33"/>
        <w:rPr>
          <w:rFonts w:ascii="Arial" w:hAnsi="Arial" w:cs="Arial"/>
          <w:b/>
          <w:bCs/>
        </w:rPr>
      </w:pPr>
      <w:r w:rsidRPr="006A0514">
        <w:rPr>
          <w:rFonts w:ascii="Arial" w:hAnsi="Arial" w:cs="Arial"/>
          <w:b/>
          <w:bCs/>
        </w:rPr>
        <w:t>Introduction and Statement of Support</w:t>
      </w:r>
    </w:p>
    <w:p w14:paraId="4A6BDBBD" w14:textId="33E6FEAD" w:rsidR="006A0514" w:rsidRPr="00512787" w:rsidRDefault="00512787" w:rsidP="00512787">
      <w:pPr>
        <w:pStyle w:val="NormalWeb"/>
        <w:spacing w:line="276" w:lineRule="auto"/>
        <w:jc w:val="both"/>
        <w:rPr>
          <w:rFonts w:ascii="Arial" w:hAnsi="Arial" w:cs="Arial"/>
          <w:b/>
          <w:bCs/>
        </w:rPr>
      </w:pPr>
      <w:r w:rsidRPr="00512787">
        <w:rPr>
          <w:rFonts w:ascii="Arial" w:hAnsi="Arial" w:cs="Arial"/>
        </w:rPr>
        <w:t>Transforming Communities for Inclusion (TCI Global) is</w:t>
      </w:r>
      <w:r w:rsidR="006A0514" w:rsidRPr="006A0514">
        <w:rPr>
          <w:rFonts w:ascii="Arial" w:hAnsi="Arial" w:cs="Arial"/>
        </w:rPr>
        <w:t xml:space="preserve"> a post CRPD movement, and a membership based global organization of persons with psychosocial disabilities with members in 1</w:t>
      </w:r>
      <w:r w:rsidR="006A0514">
        <w:rPr>
          <w:rFonts w:ascii="Arial" w:hAnsi="Arial" w:cs="Arial"/>
        </w:rPr>
        <w:t>8</w:t>
      </w:r>
      <w:r w:rsidR="006A0514" w:rsidRPr="006A0514">
        <w:rPr>
          <w:rFonts w:ascii="Arial" w:hAnsi="Arial" w:cs="Arial"/>
        </w:rPr>
        <w:t xml:space="preserve"> countries.</w:t>
      </w:r>
      <w:r>
        <w:rPr>
          <w:rStyle w:val="FootnoteReference"/>
          <w:rFonts w:ascii="Arial" w:hAnsi="Arial" w:cs="Arial"/>
        </w:rPr>
        <w:footnoteReference w:id="1"/>
      </w:r>
      <w:r w:rsidR="006A0514" w:rsidRPr="006A0514">
        <w:rPr>
          <w:rFonts w:ascii="Arial" w:hAnsi="Arial" w:cs="Arial"/>
        </w:rPr>
        <w:t xml:space="preserve"> The identity of persons with psychosocial disabilities is derived from the Convention on the Rights of Persons with Disabilities (CRPD) description of disability and is inclusive of persons who identify as ‘users and survivors of psychiatry, ‘mad’ persons’, persons who have been targeted as ‘of unsound mind’, autistic persons, persons with intersectional and neurodiverse identities, including persons with psychosocial disabilities. Empowered by the extraordinary vision and guidance of the Convention</w:t>
      </w:r>
      <w:r w:rsidR="006A0514">
        <w:rPr>
          <w:rFonts w:ascii="Arial" w:hAnsi="Arial" w:cs="Arial"/>
        </w:rPr>
        <w:t xml:space="preserve">, </w:t>
      </w:r>
      <w:r w:rsidR="006A0514" w:rsidRPr="006A0514">
        <w:rPr>
          <w:rFonts w:ascii="Arial" w:hAnsi="Arial" w:cs="Arial"/>
        </w:rPr>
        <w:t>TCI’s purpose is to situate them at the centre of the cross-disability movements at the national, regional, and global levels, to reclaim their dignity and autonomy and experience independence to realize their right to live in the community.</w:t>
      </w:r>
    </w:p>
    <w:p w14:paraId="1E2E73B7" w14:textId="7162D82B" w:rsidR="006A0514" w:rsidRPr="00512787" w:rsidRDefault="006A0514" w:rsidP="00512787">
      <w:pPr>
        <w:spacing w:before="100" w:beforeAutospacing="1" w:after="100" w:afterAutospacing="1" w:line="276" w:lineRule="auto"/>
        <w:jc w:val="both"/>
        <w:rPr>
          <w:rFonts w:ascii="Arial" w:hAnsi="Arial" w:cs="Arial"/>
        </w:rPr>
      </w:pPr>
      <w:r w:rsidRPr="00512787">
        <w:rPr>
          <w:rFonts w:ascii="Arial" w:hAnsi="Arial" w:cs="Arial"/>
        </w:rPr>
        <w:t>This submission is made in full support of, and as a complement to, the detailed shadow report submitted by Liberation, which is a full member of TCI</w:t>
      </w:r>
      <w:r w:rsidR="00512787">
        <w:rPr>
          <w:rFonts w:ascii="Arial" w:hAnsi="Arial" w:cs="Arial"/>
        </w:rPr>
        <w:t xml:space="preserve"> from the UK</w:t>
      </w:r>
      <w:r w:rsidRPr="00512787">
        <w:rPr>
          <w:rFonts w:ascii="Arial" w:hAnsi="Arial" w:cs="Arial"/>
        </w:rPr>
        <w:t xml:space="preserve">. Through this submission, we aim to reinforce our member OPD’s concerns by contributing an international perspective grounded in the experiences and positions of the global movement. </w:t>
      </w:r>
      <w:r w:rsidR="00561CEC">
        <w:rPr>
          <w:rFonts w:ascii="Arial" w:hAnsi="Arial" w:cs="Arial"/>
        </w:rPr>
        <w:t>The submission</w:t>
      </w:r>
      <w:r w:rsidR="002F4B37" w:rsidRPr="002F4B37">
        <w:rPr>
          <w:rFonts w:ascii="Arial" w:hAnsi="Arial" w:cs="Arial"/>
        </w:rPr>
        <w:t xml:space="preserve"> highlights how the UK’s proposed Mental Health Bill reflects the same patterns we see across contexts</w:t>
      </w:r>
      <w:r w:rsidR="002F4B37">
        <w:rPr>
          <w:rFonts w:ascii="Arial" w:hAnsi="Arial" w:cs="Arial"/>
        </w:rPr>
        <w:t xml:space="preserve"> in terms of </w:t>
      </w:r>
      <w:r w:rsidR="002F4B37" w:rsidRPr="002F4B37">
        <w:rPr>
          <w:rFonts w:ascii="Arial" w:hAnsi="Arial" w:cs="Arial"/>
        </w:rPr>
        <w:t>coercion, institutional control, denial of legal capacity and the continued dominance of the medical model</w:t>
      </w:r>
      <w:r w:rsidR="002F4B37">
        <w:rPr>
          <w:rFonts w:ascii="Arial" w:hAnsi="Arial" w:cs="Arial"/>
        </w:rPr>
        <w:t xml:space="preserve"> undermining the legal obligations as set forth in the CRPD</w:t>
      </w:r>
      <w:r w:rsidR="002F4B37" w:rsidRPr="002F4B37">
        <w:rPr>
          <w:rFonts w:ascii="Arial" w:hAnsi="Arial" w:cs="Arial"/>
        </w:rPr>
        <w:t xml:space="preserve">. </w:t>
      </w:r>
    </w:p>
    <w:p w14:paraId="609C9599" w14:textId="77777777" w:rsidR="00BA1D26" w:rsidRDefault="00BA1D26" w:rsidP="00512787">
      <w:pPr>
        <w:pStyle w:val="NormalWeb"/>
        <w:spacing w:line="276" w:lineRule="auto"/>
        <w:jc w:val="both"/>
        <w:rPr>
          <w:rFonts w:ascii="Arial" w:hAnsi="Arial" w:cs="Arial"/>
          <w:b/>
          <w:bCs/>
        </w:rPr>
      </w:pPr>
    </w:p>
    <w:p w14:paraId="6955A959" w14:textId="77777777" w:rsidR="00BA1D26" w:rsidRDefault="00BA1D26" w:rsidP="00512787">
      <w:pPr>
        <w:pStyle w:val="NormalWeb"/>
        <w:spacing w:line="276" w:lineRule="auto"/>
        <w:jc w:val="both"/>
        <w:rPr>
          <w:rFonts w:ascii="Arial" w:hAnsi="Arial" w:cs="Arial"/>
          <w:b/>
          <w:bCs/>
        </w:rPr>
      </w:pPr>
    </w:p>
    <w:p w14:paraId="6435972F" w14:textId="77777777" w:rsidR="00BA1D26" w:rsidRDefault="00BA1D26" w:rsidP="00512787">
      <w:pPr>
        <w:pStyle w:val="NormalWeb"/>
        <w:spacing w:line="276" w:lineRule="auto"/>
        <w:jc w:val="both"/>
        <w:rPr>
          <w:rFonts w:ascii="Arial" w:hAnsi="Arial" w:cs="Arial"/>
          <w:b/>
          <w:bCs/>
        </w:rPr>
      </w:pPr>
    </w:p>
    <w:p w14:paraId="4E293629" w14:textId="77777777" w:rsidR="00BA1D26" w:rsidRDefault="00BA1D26" w:rsidP="00512787">
      <w:pPr>
        <w:pStyle w:val="NormalWeb"/>
        <w:spacing w:line="276" w:lineRule="auto"/>
        <w:jc w:val="both"/>
        <w:rPr>
          <w:rFonts w:ascii="Arial" w:hAnsi="Arial" w:cs="Arial"/>
          <w:b/>
          <w:bCs/>
        </w:rPr>
      </w:pPr>
    </w:p>
    <w:p w14:paraId="3C871621" w14:textId="76F5C8E7" w:rsidR="00F443EE" w:rsidRDefault="00512787" w:rsidP="00F066BF">
      <w:pPr>
        <w:pStyle w:val="NormalWeb"/>
        <w:shd w:val="clear" w:color="auto" w:fill="D9F2D0" w:themeFill="accent6" w:themeFillTint="33"/>
        <w:spacing w:line="276" w:lineRule="auto"/>
        <w:jc w:val="both"/>
        <w:rPr>
          <w:rFonts w:ascii="Arial" w:hAnsi="Arial" w:cs="Arial"/>
          <w:b/>
          <w:bCs/>
        </w:rPr>
      </w:pPr>
      <w:r>
        <w:rPr>
          <w:rFonts w:ascii="Arial" w:hAnsi="Arial" w:cs="Arial"/>
          <w:b/>
          <w:bCs/>
        </w:rPr>
        <w:lastRenderedPageBreak/>
        <w:t>TCI’s</w:t>
      </w:r>
      <w:r w:rsidRPr="00512787">
        <w:rPr>
          <w:rFonts w:ascii="Arial" w:hAnsi="Arial" w:cs="Arial"/>
          <w:b/>
          <w:bCs/>
        </w:rPr>
        <w:t xml:space="preserve"> responses to questions posed by the</w:t>
      </w:r>
      <w:r>
        <w:rPr>
          <w:rFonts w:ascii="Arial" w:hAnsi="Arial" w:cs="Arial"/>
          <w:b/>
          <w:bCs/>
        </w:rPr>
        <w:t xml:space="preserve"> </w:t>
      </w:r>
      <w:r w:rsidRPr="00512787">
        <w:rPr>
          <w:rFonts w:ascii="Arial" w:hAnsi="Arial" w:cs="Arial"/>
          <w:b/>
          <w:bCs/>
        </w:rPr>
        <w:t>Secretary-General (OHCHR)</w:t>
      </w:r>
    </w:p>
    <w:p w14:paraId="31645DF3" w14:textId="70DBD4FE" w:rsidR="004547C6" w:rsidRPr="00BA1D26" w:rsidRDefault="004547C6" w:rsidP="00972FF6">
      <w:pPr>
        <w:pStyle w:val="NormalWeb"/>
        <w:spacing w:line="276" w:lineRule="auto"/>
        <w:jc w:val="both"/>
        <w:rPr>
          <w:rFonts w:ascii="Arial" w:hAnsi="Arial" w:cs="Arial"/>
          <w:b/>
          <w:bCs/>
        </w:rPr>
      </w:pPr>
      <w:r w:rsidRPr="00BA1D26">
        <w:rPr>
          <w:rFonts w:ascii="Arial" w:hAnsi="Arial" w:cs="Arial"/>
          <w:b/>
          <w:bCs/>
        </w:rPr>
        <w:t>Question One: the measures adopted to ensure the removal from the text of the proposed “Mental Health Bill” (Bill 225) of provisions allowing for the deprivation of liberty of persons with disabilities on the basis of actual or perceived impairment, in conjunction with any other criteria, such as posing a danger to oneself or others.</w:t>
      </w:r>
    </w:p>
    <w:p w14:paraId="0E9B371A" w14:textId="3B8195A0" w:rsidR="00E336B2" w:rsidRPr="00284653" w:rsidRDefault="0039607A" w:rsidP="00284653">
      <w:pPr>
        <w:spacing w:line="276" w:lineRule="auto"/>
        <w:jc w:val="both"/>
        <w:rPr>
          <w:rFonts w:ascii="Arial" w:hAnsi="Arial" w:cs="Arial"/>
        </w:rPr>
      </w:pPr>
      <w:r w:rsidRPr="00284653">
        <w:rPr>
          <w:rFonts w:ascii="Arial" w:hAnsi="Arial" w:cs="Arial"/>
        </w:rPr>
        <w:t xml:space="preserve">In line with the concerns raised by Liberation, the Mental Health Bill seeks to redefine grounds for disability specific deprivation of liberty. From </w:t>
      </w:r>
      <w:r w:rsidR="005C4A8C">
        <w:rPr>
          <w:rFonts w:ascii="Arial" w:hAnsi="Arial" w:cs="Arial"/>
        </w:rPr>
        <w:t>the</w:t>
      </w:r>
      <w:r w:rsidRPr="00284653">
        <w:rPr>
          <w:rFonts w:ascii="Arial" w:hAnsi="Arial" w:cs="Arial"/>
        </w:rPr>
        <w:t xml:space="preserve"> CRPD and global movement of persons with psychosocial disabilities</w:t>
      </w:r>
      <w:r w:rsidR="00512787" w:rsidRPr="00284653">
        <w:rPr>
          <w:rFonts w:ascii="Arial" w:hAnsi="Arial" w:cs="Arial"/>
        </w:rPr>
        <w:t xml:space="preserve"> perspective</w:t>
      </w:r>
      <w:r w:rsidRPr="00284653">
        <w:rPr>
          <w:rFonts w:ascii="Arial" w:hAnsi="Arial" w:cs="Arial"/>
        </w:rPr>
        <w:t>, we confirm that these provisions that continue to allow detention based on disability combined with a risk assessment are in direct contravention to the Convention. Article 14 explicitly provides that “</w:t>
      </w:r>
      <w:r w:rsidRPr="00284653">
        <w:rPr>
          <w:rFonts w:ascii="Arial" w:hAnsi="Arial" w:cs="Arial"/>
          <w:i/>
          <w:iCs/>
        </w:rPr>
        <w:t>the existence of a disability shall in no case justify a deprivation of liberty</w:t>
      </w:r>
      <w:r w:rsidRPr="00284653">
        <w:rPr>
          <w:rFonts w:ascii="Arial" w:hAnsi="Arial" w:cs="Arial"/>
        </w:rPr>
        <w:t>,” meaning that any law allowing institutionalization or forced detention, linked to mental disorder whether for risk prevention or treatment, is inherently discriminatory. Adding criteria such as “risk to self or others” does not address the discrimination, because the threshold criterion remains the disability label, amounting to discriminatory profiling.</w:t>
      </w:r>
      <w:r w:rsidR="00E77217">
        <w:rPr>
          <w:rStyle w:val="FootnoteReference"/>
          <w:rFonts w:ascii="Arial" w:hAnsi="Arial" w:cs="Arial"/>
        </w:rPr>
        <w:footnoteReference w:id="2"/>
      </w:r>
    </w:p>
    <w:p w14:paraId="7E57C0E1" w14:textId="77777777" w:rsidR="00E336B2" w:rsidRPr="00972FF6" w:rsidRDefault="00E336B2" w:rsidP="00972FF6">
      <w:pPr>
        <w:spacing w:line="276" w:lineRule="auto"/>
        <w:jc w:val="both"/>
        <w:rPr>
          <w:rFonts w:ascii="Arial" w:hAnsi="Arial" w:cs="Arial"/>
        </w:rPr>
      </w:pPr>
    </w:p>
    <w:p w14:paraId="1EE5FA97" w14:textId="5D066FD1" w:rsidR="0039607A" w:rsidRPr="00075C23" w:rsidRDefault="00E336B2" w:rsidP="00075C23">
      <w:pPr>
        <w:spacing w:line="276" w:lineRule="auto"/>
        <w:jc w:val="both"/>
        <w:rPr>
          <w:rFonts w:ascii="Arial" w:hAnsi="Arial" w:cs="Arial"/>
        </w:rPr>
      </w:pPr>
      <w:r w:rsidRPr="00075C23">
        <w:rPr>
          <w:rFonts w:ascii="Arial" w:hAnsi="Arial" w:cs="Arial"/>
        </w:rPr>
        <w:t>Any grounds or reasoning justifying forced detention and deprivation of liberty based on disability is not aligned with the CRPD principles</w:t>
      </w:r>
      <w:r w:rsidR="005E551D" w:rsidRPr="00075C23">
        <w:rPr>
          <w:rFonts w:ascii="Arial" w:hAnsi="Arial" w:cs="Arial"/>
        </w:rPr>
        <w:t xml:space="preserve">. </w:t>
      </w:r>
      <w:r w:rsidRPr="00075C23">
        <w:rPr>
          <w:rFonts w:ascii="Arial" w:hAnsi="Arial" w:cs="Arial"/>
        </w:rPr>
        <w:t xml:space="preserve">We can affirm through our experience as persons with psychosocial disabilities that the moment we are ‘diagnosed’ or given a label of </w:t>
      </w:r>
      <w:r w:rsidR="005E551D" w:rsidRPr="00075C23">
        <w:rPr>
          <w:rFonts w:ascii="Arial" w:hAnsi="Arial" w:cs="Arial"/>
        </w:rPr>
        <w:t xml:space="preserve">being a </w:t>
      </w:r>
      <w:r w:rsidRPr="00075C23">
        <w:rPr>
          <w:rFonts w:ascii="Arial" w:hAnsi="Arial" w:cs="Arial"/>
        </w:rPr>
        <w:t>patient</w:t>
      </w:r>
      <w:r w:rsidR="005E551D" w:rsidRPr="00075C23">
        <w:rPr>
          <w:rFonts w:ascii="Arial" w:hAnsi="Arial" w:cs="Arial"/>
        </w:rPr>
        <w:t xml:space="preserve"> or a </w:t>
      </w:r>
      <w:r w:rsidRPr="00075C23">
        <w:rPr>
          <w:rFonts w:ascii="Arial" w:hAnsi="Arial" w:cs="Arial"/>
        </w:rPr>
        <w:t xml:space="preserve"> person with mental illness or mental disorder, we can be put away in an institution (</w:t>
      </w:r>
      <w:r w:rsidR="005A3BB6" w:rsidRPr="00075C23">
        <w:rPr>
          <w:rFonts w:ascii="Arial" w:hAnsi="Arial" w:cs="Arial"/>
        </w:rPr>
        <w:t xml:space="preserve">of </w:t>
      </w:r>
      <w:r w:rsidRPr="00075C23">
        <w:rPr>
          <w:rFonts w:ascii="Arial" w:hAnsi="Arial" w:cs="Arial"/>
        </w:rPr>
        <w:t xml:space="preserve">any form or shape), without our consent or choice, and more often, on the recommendation of a healthcare provider, family members or community persons. Historically, and unfortunately even today, this forced detention has been justified citing as ‘being done in our best interest’ and we </w:t>
      </w:r>
      <w:r w:rsidR="005C4A8C">
        <w:rPr>
          <w:rFonts w:ascii="Arial" w:hAnsi="Arial" w:cs="Arial"/>
        </w:rPr>
        <w:t xml:space="preserve">have </w:t>
      </w:r>
      <w:r w:rsidRPr="00075C23">
        <w:rPr>
          <w:rFonts w:ascii="Arial" w:hAnsi="Arial" w:cs="Arial"/>
        </w:rPr>
        <w:t xml:space="preserve">vehemently rejected this paternalistic </w:t>
      </w:r>
      <w:r w:rsidR="000C2528" w:rsidRPr="00075C23">
        <w:rPr>
          <w:rFonts w:ascii="Arial" w:hAnsi="Arial" w:cs="Arial"/>
        </w:rPr>
        <w:t>thinking and</w:t>
      </w:r>
      <w:r w:rsidRPr="00075C23">
        <w:rPr>
          <w:rFonts w:ascii="Arial" w:hAnsi="Arial" w:cs="Arial"/>
        </w:rPr>
        <w:t xml:space="preserve"> </w:t>
      </w:r>
      <w:r w:rsidR="005A3BB6" w:rsidRPr="00075C23">
        <w:rPr>
          <w:rFonts w:ascii="Arial" w:hAnsi="Arial" w:cs="Arial"/>
        </w:rPr>
        <w:t xml:space="preserve">emphasized that </w:t>
      </w:r>
      <w:r w:rsidRPr="00075C23">
        <w:rPr>
          <w:rFonts w:ascii="Arial" w:hAnsi="Arial" w:cs="Arial"/>
        </w:rPr>
        <w:t xml:space="preserve">coercion can never be care for us. </w:t>
      </w:r>
      <w:r w:rsidR="000C2528" w:rsidRPr="00075C23">
        <w:rPr>
          <w:rFonts w:ascii="Arial" w:hAnsi="Arial" w:cs="Arial"/>
        </w:rPr>
        <w:t xml:space="preserve">These </w:t>
      </w:r>
      <w:r w:rsidR="0039607A" w:rsidRPr="00075C23">
        <w:rPr>
          <w:rStyle w:val="Strong"/>
          <w:rFonts w:ascii="Arial" w:eastAsia="Arial" w:hAnsi="Arial" w:cs="Arial"/>
          <w:b w:val="0"/>
          <w:bCs w:val="0"/>
        </w:rPr>
        <w:t>paternalistic justifications or inadequate community services can</w:t>
      </w:r>
      <w:r w:rsidR="00017EEF">
        <w:rPr>
          <w:rStyle w:val="Strong"/>
          <w:rFonts w:ascii="Arial" w:eastAsia="Arial" w:hAnsi="Arial" w:cs="Arial"/>
          <w:b w:val="0"/>
          <w:bCs w:val="0"/>
        </w:rPr>
        <w:t xml:space="preserve">not </w:t>
      </w:r>
      <w:r w:rsidR="0039607A" w:rsidRPr="00075C23">
        <w:rPr>
          <w:rStyle w:val="Strong"/>
          <w:rFonts w:ascii="Arial" w:eastAsia="Arial" w:hAnsi="Arial" w:cs="Arial"/>
          <w:b w:val="0"/>
          <w:bCs w:val="0"/>
        </w:rPr>
        <w:t>legitimize such coercion</w:t>
      </w:r>
      <w:r w:rsidR="0039607A" w:rsidRPr="00075C23">
        <w:rPr>
          <w:rFonts w:ascii="Arial" w:hAnsi="Arial" w:cs="Arial"/>
          <w:b/>
          <w:bCs/>
        </w:rPr>
        <w:t>,</w:t>
      </w:r>
      <w:r w:rsidR="0039607A" w:rsidRPr="00075C23">
        <w:rPr>
          <w:rFonts w:ascii="Arial" w:hAnsi="Arial" w:cs="Arial"/>
        </w:rPr>
        <w:t xml:space="preserve"> which is inherently discriminatory and incompatible with the CRPD’s human rights model.</w:t>
      </w:r>
      <w:r w:rsidR="000C2528">
        <w:rPr>
          <w:rStyle w:val="FootnoteReference"/>
          <w:rFonts w:ascii="Arial" w:hAnsi="Arial" w:cs="Arial"/>
        </w:rPr>
        <w:footnoteReference w:id="3"/>
      </w:r>
    </w:p>
    <w:p w14:paraId="4A02C019" w14:textId="77777777" w:rsidR="0039607A" w:rsidRPr="00972FF6" w:rsidRDefault="0039607A" w:rsidP="00972FF6">
      <w:pPr>
        <w:spacing w:line="276" w:lineRule="auto"/>
        <w:jc w:val="both"/>
        <w:rPr>
          <w:rFonts w:ascii="Arial" w:hAnsi="Arial" w:cs="Arial"/>
        </w:rPr>
      </w:pPr>
    </w:p>
    <w:p w14:paraId="2432FEBC" w14:textId="3FE7AA6A" w:rsidR="00E336B2" w:rsidRPr="00017EEF" w:rsidRDefault="005A3BB6" w:rsidP="00017EEF">
      <w:pPr>
        <w:spacing w:line="276" w:lineRule="auto"/>
        <w:jc w:val="both"/>
        <w:rPr>
          <w:rFonts w:ascii="Arial" w:hAnsi="Arial" w:cs="Arial"/>
        </w:rPr>
      </w:pPr>
      <w:r w:rsidRPr="00017EEF">
        <w:rPr>
          <w:rFonts w:ascii="Arial" w:hAnsi="Arial" w:cs="Arial"/>
        </w:rPr>
        <w:t>Risk approach</w:t>
      </w:r>
      <w:r w:rsidR="00E336B2" w:rsidRPr="00017EEF">
        <w:rPr>
          <w:rFonts w:ascii="Arial" w:hAnsi="Arial" w:cs="Arial"/>
        </w:rPr>
        <w:t xml:space="preserve"> has always projected persons with psychosocial disabilities as violent, dangerous and </w:t>
      </w:r>
      <w:r w:rsidR="000C2528" w:rsidRPr="00017EEF">
        <w:rPr>
          <w:rFonts w:ascii="Arial" w:hAnsi="Arial" w:cs="Arial"/>
        </w:rPr>
        <w:t xml:space="preserve">a </w:t>
      </w:r>
      <w:r w:rsidR="00B96690" w:rsidRPr="00017EEF">
        <w:rPr>
          <w:rFonts w:ascii="Arial" w:hAnsi="Arial" w:cs="Arial"/>
        </w:rPr>
        <w:t xml:space="preserve">threat to themselves and society, and it is deeply rooted in negative stereotypes, historical </w:t>
      </w:r>
      <w:r w:rsidR="00B43600">
        <w:rPr>
          <w:rFonts w:ascii="Arial" w:hAnsi="Arial" w:cs="Arial"/>
        </w:rPr>
        <w:t>mis</w:t>
      </w:r>
      <w:r w:rsidR="00B96690" w:rsidRPr="00017EEF">
        <w:rPr>
          <w:rFonts w:ascii="Arial" w:hAnsi="Arial" w:cs="Arial"/>
        </w:rPr>
        <w:t xml:space="preserve">representation and ‘othering’ of any experience that </w:t>
      </w:r>
      <w:r w:rsidR="001860C9" w:rsidRPr="00017EEF">
        <w:rPr>
          <w:rFonts w:ascii="Arial" w:hAnsi="Arial" w:cs="Arial"/>
        </w:rPr>
        <w:t xml:space="preserve">deviates from the norm. </w:t>
      </w:r>
      <w:r w:rsidRPr="00017EEF">
        <w:rPr>
          <w:rFonts w:ascii="Arial" w:hAnsi="Arial" w:cs="Arial"/>
        </w:rPr>
        <w:t xml:space="preserve">Terms such as ‘persons with unsound mind’ ‘lunatics’ ‘persons with mental illness’ etc. are still present as legal identities in laws and policies across </w:t>
      </w:r>
      <w:r w:rsidRPr="00017EEF">
        <w:rPr>
          <w:rFonts w:ascii="Arial" w:hAnsi="Arial" w:cs="Arial"/>
        </w:rPr>
        <w:lastRenderedPageBreak/>
        <w:t>the globe.</w:t>
      </w:r>
      <w:r w:rsidR="000C2528">
        <w:rPr>
          <w:rStyle w:val="FootnoteReference"/>
          <w:rFonts w:ascii="Arial" w:hAnsi="Arial" w:cs="Arial"/>
        </w:rPr>
        <w:footnoteReference w:id="4"/>
      </w:r>
      <w:r w:rsidR="000C2528" w:rsidRPr="00017EEF">
        <w:rPr>
          <w:rFonts w:ascii="Arial" w:hAnsi="Arial" w:cs="Arial"/>
        </w:rPr>
        <w:t xml:space="preserve"> </w:t>
      </w:r>
      <w:r w:rsidR="001860C9" w:rsidRPr="00017EEF">
        <w:rPr>
          <w:rFonts w:ascii="Arial" w:hAnsi="Arial" w:cs="Arial"/>
        </w:rPr>
        <w:t>This stereotyp</w:t>
      </w:r>
      <w:r w:rsidRPr="00017EEF">
        <w:rPr>
          <w:rFonts w:ascii="Arial" w:hAnsi="Arial" w:cs="Arial"/>
        </w:rPr>
        <w:t>ing</w:t>
      </w:r>
      <w:r w:rsidR="001860C9" w:rsidRPr="00017EEF">
        <w:rPr>
          <w:rFonts w:ascii="Arial" w:hAnsi="Arial" w:cs="Arial"/>
        </w:rPr>
        <w:t xml:space="preserve"> translates into denial of autonomy and enforcement of substituted decision-making regimes, practiced informally within homes and institutions and formally through guardianship and conservatorship.</w:t>
      </w:r>
      <w:r w:rsidR="000C2528">
        <w:rPr>
          <w:rStyle w:val="FootnoteReference"/>
          <w:rFonts w:ascii="Arial" w:hAnsi="Arial" w:cs="Arial"/>
        </w:rPr>
        <w:footnoteReference w:id="5"/>
      </w:r>
      <w:r w:rsidR="001860C9" w:rsidRPr="00017EEF">
        <w:rPr>
          <w:rFonts w:ascii="Arial" w:hAnsi="Arial" w:cs="Arial"/>
        </w:rPr>
        <w:t xml:space="preserve"> This is as good as ‘legal shackling’, over and above the physical shackling that persons with psychosocial disabilities are subjected to’.</w:t>
      </w:r>
      <w:r w:rsidR="00A12F65">
        <w:rPr>
          <w:rStyle w:val="FootnoteReference"/>
          <w:rFonts w:ascii="Arial" w:hAnsi="Arial" w:cs="Arial"/>
        </w:rPr>
        <w:footnoteReference w:id="6"/>
      </w:r>
    </w:p>
    <w:p w14:paraId="1E7EC52A" w14:textId="77777777" w:rsidR="00E336B2" w:rsidRPr="00972FF6" w:rsidRDefault="00E336B2" w:rsidP="00972FF6">
      <w:pPr>
        <w:spacing w:line="276" w:lineRule="auto"/>
        <w:jc w:val="both"/>
        <w:rPr>
          <w:rFonts w:ascii="Arial" w:hAnsi="Arial" w:cs="Arial"/>
        </w:rPr>
      </w:pPr>
    </w:p>
    <w:p w14:paraId="4EDACBAE" w14:textId="393B35A8" w:rsidR="00A801C2" w:rsidRPr="00017EEF" w:rsidRDefault="00A54F32" w:rsidP="00017EEF">
      <w:pPr>
        <w:spacing w:line="276" w:lineRule="auto"/>
        <w:jc w:val="both"/>
        <w:rPr>
          <w:rFonts w:ascii="Arial" w:hAnsi="Arial" w:cs="Arial"/>
        </w:rPr>
      </w:pPr>
      <w:r w:rsidRPr="00017EEF">
        <w:rPr>
          <w:rFonts w:ascii="Arial" w:hAnsi="Arial" w:cs="Arial"/>
        </w:rPr>
        <w:t xml:space="preserve">Drawing from the evolving CRPD jurisprudence and a high level of participation by the </w:t>
      </w:r>
      <w:r w:rsidRPr="008978E1">
        <w:rPr>
          <w:rFonts w:ascii="Arial" w:hAnsi="Arial" w:cs="Arial"/>
        </w:rPr>
        <w:t xml:space="preserve">cross disability movement, </w:t>
      </w:r>
      <w:r w:rsidR="00022D0F">
        <w:rPr>
          <w:rFonts w:ascii="Arial" w:hAnsi="Arial" w:cs="Arial"/>
        </w:rPr>
        <w:t>some</w:t>
      </w:r>
      <w:r w:rsidRPr="008978E1">
        <w:rPr>
          <w:rFonts w:ascii="Arial" w:hAnsi="Arial" w:cs="Arial"/>
        </w:rPr>
        <w:t xml:space="preserve"> United Nations bodies through their offices have called disability based detention</w:t>
      </w:r>
      <w:r w:rsidR="00C42645" w:rsidRPr="008978E1">
        <w:rPr>
          <w:rFonts w:ascii="Arial" w:hAnsi="Arial" w:cs="Arial"/>
        </w:rPr>
        <w:t>/forced detention</w:t>
      </w:r>
      <w:r w:rsidRPr="008978E1">
        <w:rPr>
          <w:rFonts w:ascii="Arial" w:hAnsi="Arial" w:cs="Arial"/>
        </w:rPr>
        <w:t xml:space="preserve"> as deprivation of liberty</w:t>
      </w:r>
      <w:r w:rsidR="008978E1" w:rsidRPr="008978E1">
        <w:rPr>
          <w:rFonts w:ascii="Arial" w:hAnsi="Arial" w:cs="Arial"/>
        </w:rPr>
        <w:t>, unlawful and arbitrary</w:t>
      </w:r>
      <w:r w:rsidR="00C42645" w:rsidRPr="008978E1">
        <w:rPr>
          <w:rStyle w:val="FootnoteReference"/>
          <w:rFonts w:ascii="Arial" w:hAnsi="Arial" w:cs="Arial"/>
        </w:rPr>
        <w:footnoteReference w:id="7"/>
      </w:r>
      <w:r w:rsidR="008978E1" w:rsidRPr="008978E1">
        <w:rPr>
          <w:rFonts w:ascii="Arial" w:hAnsi="Arial" w:cs="Arial"/>
        </w:rPr>
        <w:t>;</w:t>
      </w:r>
      <w:r w:rsidRPr="008978E1">
        <w:rPr>
          <w:rFonts w:ascii="Arial" w:hAnsi="Arial" w:cs="Arial"/>
        </w:rPr>
        <w:t xml:space="preserve"> </w:t>
      </w:r>
      <w:r w:rsidR="00C42645" w:rsidRPr="008978E1">
        <w:rPr>
          <w:rFonts w:ascii="Arial" w:hAnsi="Arial" w:cs="Arial"/>
        </w:rPr>
        <w:t>form of violence</w:t>
      </w:r>
      <w:r w:rsidR="00C42645" w:rsidRPr="008978E1">
        <w:rPr>
          <w:rStyle w:val="FootnoteReference"/>
          <w:rFonts w:ascii="Arial" w:hAnsi="Arial" w:cs="Arial"/>
        </w:rPr>
        <w:footnoteReference w:id="8"/>
      </w:r>
      <w:r w:rsidR="00C42645" w:rsidRPr="008978E1">
        <w:rPr>
          <w:rFonts w:ascii="Arial" w:hAnsi="Arial" w:cs="Arial"/>
        </w:rPr>
        <w:t xml:space="preserve">; </w:t>
      </w:r>
      <w:r w:rsidRPr="008978E1">
        <w:rPr>
          <w:rFonts w:ascii="Arial" w:hAnsi="Arial" w:cs="Arial"/>
        </w:rPr>
        <w:t>de facto denial of capacity</w:t>
      </w:r>
      <w:r w:rsidR="00C42645" w:rsidRPr="008978E1">
        <w:rPr>
          <w:rStyle w:val="FootnoteReference"/>
          <w:rFonts w:ascii="Arial" w:hAnsi="Arial" w:cs="Arial"/>
        </w:rPr>
        <w:footnoteReference w:id="9"/>
      </w:r>
      <w:r w:rsidRPr="008978E1">
        <w:rPr>
          <w:rFonts w:ascii="Arial" w:hAnsi="Arial" w:cs="Arial"/>
        </w:rPr>
        <w:t>; and called for facilitating an immediate move towards ending all forced psychiatric treatments and confinements</w:t>
      </w:r>
      <w:r w:rsidR="00C42645" w:rsidRPr="008978E1">
        <w:rPr>
          <w:rFonts w:ascii="Arial" w:hAnsi="Arial" w:cs="Arial"/>
        </w:rPr>
        <w:t>.</w:t>
      </w:r>
      <w:r w:rsidR="008978E1" w:rsidRPr="008978E1">
        <w:rPr>
          <w:rStyle w:val="FootnoteReference"/>
          <w:rFonts w:ascii="Arial" w:hAnsi="Arial" w:cs="Arial"/>
        </w:rPr>
        <w:footnoteReference w:id="10"/>
      </w:r>
      <w:r w:rsidR="00C42645" w:rsidRPr="008978E1">
        <w:rPr>
          <w:rFonts w:ascii="Arial" w:hAnsi="Arial" w:cs="Arial"/>
        </w:rPr>
        <w:t xml:space="preserve"> </w:t>
      </w:r>
      <w:r w:rsidR="0039607A" w:rsidRPr="008978E1">
        <w:rPr>
          <w:rFonts w:ascii="Arial" w:hAnsi="Arial" w:cs="Arial"/>
        </w:rPr>
        <w:t>Activists and senior leaders of the movement have demonstrated and explained in nuanced details as to how forced institutionalization (and forced psychiatry) amounts to</w:t>
      </w:r>
      <w:r w:rsidR="0039607A" w:rsidRPr="00017EEF">
        <w:rPr>
          <w:rFonts w:ascii="Arial" w:hAnsi="Arial" w:cs="Arial"/>
        </w:rPr>
        <w:t xml:space="preserve"> torture. The four main elements (severe pain or suffering, intent, purpose and State involvement) defining torture fits the description of forced </w:t>
      </w:r>
      <w:r w:rsidR="00914D01" w:rsidRPr="00017EEF">
        <w:rPr>
          <w:rFonts w:ascii="Arial" w:hAnsi="Arial" w:cs="Arial"/>
        </w:rPr>
        <w:t>institutionalization.</w:t>
      </w:r>
      <w:r w:rsidR="00914D01" w:rsidRPr="00666E8F">
        <w:rPr>
          <w:rStyle w:val="FootnoteReference"/>
          <w:rFonts w:ascii="Arial" w:hAnsi="Arial" w:cs="Arial"/>
        </w:rPr>
        <w:footnoteReference w:id="11"/>
      </w:r>
      <w:r w:rsidR="00666E8F" w:rsidRPr="00017EEF">
        <w:rPr>
          <w:rFonts w:ascii="Arial" w:hAnsi="Arial" w:cs="Arial"/>
          <w:vertAlign w:val="superscript"/>
        </w:rPr>
        <w:t>,</w:t>
      </w:r>
      <w:r w:rsidR="00914D01" w:rsidRPr="00666E8F">
        <w:rPr>
          <w:rStyle w:val="FootnoteReference"/>
          <w:rFonts w:ascii="Arial" w:hAnsi="Arial" w:cs="Arial"/>
        </w:rPr>
        <w:footnoteReference w:id="12"/>
      </w:r>
      <w:r w:rsidR="00666E8F" w:rsidRPr="00017EEF">
        <w:rPr>
          <w:rFonts w:ascii="Arial" w:hAnsi="Arial" w:cs="Arial"/>
          <w:vertAlign w:val="superscript"/>
        </w:rPr>
        <w:t>,</w:t>
      </w:r>
      <w:r w:rsidR="00914D01">
        <w:rPr>
          <w:rStyle w:val="FootnoteReference"/>
          <w:rFonts w:ascii="Arial" w:hAnsi="Arial" w:cs="Arial"/>
        </w:rPr>
        <w:footnoteReference w:id="13"/>
      </w:r>
      <w:r w:rsidR="0039607A" w:rsidRPr="00017EEF">
        <w:rPr>
          <w:rFonts w:ascii="Arial" w:hAnsi="Arial" w:cs="Arial"/>
        </w:rPr>
        <w:t xml:space="preserve"> Forced institutionalization, seclusion, and non-consensual interventions deny</w:t>
      </w:r>
      <w:r w:rsidR="00C42645">
        <w:rPr>
          <w:rStyle w:val="Strong"/>
          <w:rFonts w:ascii="Arial" w:eastAsia="Arial" w:hAnsi="Arial" w:cs="Arial"/>
          <w:b w:val="0"/>
          <w:bCs w:val="0"/>
        </w:rPr>
        <w:t xml:space="preserve"> </w:t>
      </w:r>
      <w:r w:rsidR="0039607A" w:rsidRPr="00017EEF">
        <w:rPr>
          <w:rStyle w:val="Strong"/>
          <w:rFonts w:ascii="Arial" w:eastAsia="Arial" w:hAnsi="Arial" w:cs="Arial"/>
          <w:b w:val="0"/>
          <w:bCs w:val="0"/>
        </w:rPr>
        <w:t>bodily integrity, and freedom from torture or ill-treatment</w:t>
      </w:r>
      <w:r w:rsidR="0039607A" w:rsidRPr="00017EEF">
        <w:rPr>
          <w:rFonts w:ascii="Arial" w:hAnsi="Arial" w:cs="Arial"/>
        </w:rPr>
        <w:t xml:space="preserve"> and they re-traumatize rather than support recovery.</w:t>
      </w:r>
      <w:r w:rsidR="00A801C2">
        <w:rPr>
          <w:rStyle w:val="FootnoteReference"/>
          <w:rFonts w:ascii="Arial" w:hAnsi="Arial" w:cs="Arial"/>
        </w:rPr>
        <w:footnoteReference w:id="14"/>
      </w:r>
      <w:r w:rsidR="0039607A" w:rsidRPr="00017EEF">
        <w:rPr>
          <w:rFonts w:ascii="Arial" w:hAnsi="Arial" w:cs="Arial"/>
        </w:rPr>
        <w:t xml:space="preserve"> </w:t>
      </w:r>
    </w:p>
    <w:p w14:paraId="248531DB" w14:textId="77777777" w:rsidR="00A801C2" w:rsidRDefault="00A801C2" w:rsidP="00972FF6">
      <w:pPr>
        <w:spacing w:line="276" w:lineRule="auto"/>
        <w:jc w:val="both"/>
        <w:rPr>
          <w:rFonts w:ascii="Arial" w:hAnsi="Arial" w:cs="Arial"/>
        </w:rPr>
      </w:pPr>
    </w:p>
    <w:p w14:paraId="21EAEF3F" w14:textId="4556DE70" w:rsidR="009261EB" w:rsidRPr="00C42645" w:rsidRDefault="00E336B2" w:rsidP="00C42645">
      <w:pPr>
        <w:spacing w:line="276" w:lineRule="auto"/>
        <w:jc w:val="both"/>
        <w:rPr>
          <w:rFonts w:ascii="Arial" w:eastAsiaTheme="minorHAnsi" w:hAnsi="Arial" w:cs="Arial"/>
        </w:rPr>
      </w:pPr>
      <w:r w:rsidRPr="00C42645">
        <w:rPr>
          <w:rFonts w:ascii="Arial" w:hAnsi="Arial" w:cs="Arial"/>
        </w:rPr>
        <w:t xml:space="preserve">Our constituency has long documented how forced detention also leads to worst forms of abuse, violence and </w:t>
      </w:r>
      <w:r w:rsidR="00EE60D5" w:rsidRPr="00C42645">
        <w:rPr>
          <w:rFonts w:ascii="Arial" w:hAnsi="Arial" w:cs="Arial"/>
        </w:rPr>
        <w:t>violations</w:t>
      </w:r>
      <w:r w:rsidRPr="00C42645">
        <w:rPr>
          <w:rFonts w:ascii="Arial" w:hAnsi="Arial" w:cs="Arial"/>
        </w:rPr>
        <w:t xml:space="preserve"> within these settings.</w:t>
      </w:r>
      <w:r w:rsidR="00882541" w:rsidRPr="00486004">
        <w:rPr>
          <w:rStyle w:val="FootnoteReference"/>
          <w:rFonts w:ascii="Arial" w:hAnsi="Arial" w:cs="Arial"/>
        </w:rPr>
        <w:footnoteReference w:id="15"/>
      </w:r>
      <w:r w:rsidR="00486004" w:rsidRPr="00C42645">
        <w:rPr>
          <w:rFonts w:ascii="Arial" w:hAnsi="Arial" w:cs="Arial"/>
          <w:vertAlign w:val="superscript"/>
        </w:rPr>
        <w:t>,</w:t>
      </w:r>
      <w:r w:rsidR="00882541" w:rsidRPr="00486004">
        <w:rPr>
          <w:rStyle w:val="FootnoteReference"/>
          <w:rFonts w:ascii="Arial" w:hAnsi="Arial" w:cs="Arial"/>
        </w:rPr>
        <w:footnoteReference w:id="16"/>
      </w:r>
      <w:r w:rsidR="00486004" w:rsidRPr="00C42645">
        <w:rPr>
          <w:rFonts w:ascii="Arial" w:hAnsi="Arial" w:cs="Arial"/>
          <w:vertAlign w:val="superscript"/>
        </w:rPr>
        <w:t>,</w:t>
      </w:r>
      <w:r w:rsidR="00882541" w:rsidRPr="00486004">
        <w:rPr>
          <w:rStyle w:val="FootnoteReference"/>
          <w:rFonts w:ascii="Arial" w:hAnsi="Arial" w:cs="Arial"/>
        </w:rPr>
        <w:footnoteReference w:id="17"/>
      </w:r>
      <w:r w:rsidR="00486004" w:rsidRPr="00C42645">
        <w:rPr>
          <w:rFonts w:ascii="Arial" w:hAnsi="Arial" w:cs="Arial"/>
          <w:vertAlign w:val="superscript"/>
        </w:rPr>
        <w:t>,</w:t>
      </w:r>
      <w:r w:rsidR="00882541">
        <w:rPr>
          <w:rStyle w:val="FootnoteReference"/>
          <w:rFonts w:ascii="Arial" w:hAnsi="Arial" w:cs="Arial"/>
        </w:rPr>
        <w:footnoteReference w:id="18"/>
      </w:r>
      <w:r w:rsidRPr="00C42645">
        <w:rPr>
          <w:rFonts w:ascii="Arial" w:hAnsi="Arial" w:cs="Arial"/>
        </w:rPr>
        <w:t xml:space="preserve"> </w:t>
      </w:r>
      <w:r w:rsidR="009261EB" w:rsidRPr="00C42645">
        <w:rPr>
          <w:rFonts w:ascii="Arial" w:eastAsiaTheme="minorHAnsi" w:hAnsi="Arial" w:cs="Arial"/>
        </w:rPr>
        <w:t>The UK has</w:t>
      </w:r>
      <w:r w:rsidR="009261EB" w:rsidRPr="00C42645">
        <w:rPr>
          <w:rFonts w:ascii="Arial" w:hAnsi="Arial" w:cs="Arial"/>
        </w:rPr>
        <w:t xml:space="preserve"> also</w:t>
      </w:r>
      <w:r w:rsidR="009261EB" w:rsidRPr="00C42645">
        <w:rPr>
          <w:rFonts w:ascii="Arial" w:eastAsiaTheme="minorHAnsi" w:hAnsi="Arial" w:cs="Arial"/>
        </w:rPr>
        <w:t xml:space="preserve"> </w:t>
      </w:r>
      <w:r w:rsidR="009261EB" w:rsidRPr="00C42645">
        <w:rPr>
          <w:rFonts w:ascii="Arial" w:eastAsiaTheme="minorHAnsi" w:hAnsi="Arial" w:cs="Arial"/>
        </w:rPr>
        <w:lastRenderedPageBreak/>
        <w:t>witnessed repeated public exposures of abuse and violence in mental health settings, underscoring the systemic harm inherent in institutional models of care.</w:t>
      </w:r>
      <w:r w:rsidR="00F34848" w:rsidRPr="00F34848">
        <w:rPr>
          <w:rStyle w:val="FootnoteReference"/>
          <w:rFonts w:ascii="Arial" w:hAnsi="Arial" w:cs="Arial"/>
        </w:rPr>
        <w:footnoteReference w:id="19"/>
      </w:r>
      <w:r w:rsidR="00F34848" w:rsidRPr="00C42645">
        <w:rPr>
          <w:rFonts w:ascii="Arial" w:hAnsi="Arial" w:cs="Arial"/>
          <w:vertAlign w:val="superscript"/>
        </w:rPr>
        <w:t>,</w:t>
      </w:r>
      <w:r w:rsidR="00F34848" w:rsidRPr="00F34848">
        <w:rPr>
          <w:rStyle w:val="FootnoteReference"/>
          <w:rFonts w:ascii="Arial" w:hAnsi="Arial" w:cs="Arial"/>
        </w:rPr>
        <w:footnoteReference w:id="20"/>
      </w:r>
      <w:r w:rsidR="00F34848" w:rsidRPr="00C42645">
        <w:rPr>
          <w:rFonts w:ascii="Arial" w:hAnsi="Arial" w:cs="Arial"/>
          <w:vertAlign w:val="superscript"/>
        </w:rPr>
        <w:t>,</w:t>
      </w:r>
      <w:r w:rsidR="00F34848" w:rsidRPr="00F34848">
        <w:rPr>
          <w:rStyle w:val="FootnoteReference"/>
          <w:rFonts w:ascii="Arial" w:hAnsi="Arial" w:cs="Arial"/>
        </w:rPr>
        <w:footnoteReference w:id="21"/>
      </w:r>
    </w:p>
    <w:p w14:paraId="18527482" w14:textId="4CE91316" w:rsidR="00486004" w:rsidRDefault="00486004" w:rsidP="00972FF6">
      <w:pPr>
        <w:spacing w:line="276" w:lineRule="auto"/>
        <w:jc w:val="both"/>
        <w:rPr>
          <w:rFonts w:ascii="Arial" w:hAnsi="Arial" w:cs="Arial"/>
        </w:rPr>
      </w:pPr>
    </w:p>
    <w:p w14:paraId="4030C87A" w14:textId="153F7E7B" w:rsidR="00703757" w:rsidRPr="00C42645" w:rsidRDefault="00A54F32" w:rsidP="00C42645">
      <w:pPr>
        <w:spacing w:line="276" w:lineRule="auto"/>
        <w:jc w:val="both"/>
        <w:rPr>
          <w:rFonts w:ascii="Arial" w:hAnsi="Arial" w:cs="Arial"/>
        </w:rPr>
      </w:pPr>
      <w:r w:rsidRPr="00C42645">
        <w:rPr>
          <w:rFonts w:ascii="Arial" w:hAnsi="Arial" w:cs="Arial"/>
        </w:rPr>
        <w:t>While the movement is using the language of reparations and redress for a historically oppressed</w:t>
      </w:r>
      <w:r w:rsidR="00C42645">
        <w:rPr>
          <w:rFonts w:ascii="Arial" w:hAnsi="Arial" w:cs="Arial"/>
        </w:rPr>
        <w:t xml:space="preserve"> </w:t>
      </w:r>
      <w:r w:rsidRPr="00C42645">
        <w:rPr>
          <w:rFonts w:ascii="Arial" w:hAnsi="Arial" w:cs="Arial"/>
        </w:rPr>
        <w:t>and marginalized group, the UK Mental Health Bill cannot continue to recommend forced detention as a solution to issues related to mental health, treatment, or care.</w:t>
      </w:r>
      <w:r w:rsidRPr="0093658F">
        <w:rPr>
          <w:rStyle w:val="FootnoteReference"/>
          <w:rFonts w:ascii="Arial" w:hAnsi="Arial" w:cs="Arial"/>
        </w:rPr>
        <w:footnoteReference w:id="22"/>
      </w:r>
      <w:r w:rsidR="0093658F" w:rsidRPr="00C42645">
        <w:rPr>
          <w:rFonts w:ascii="Arial" w:hAnsi="Arial" w:cs="Arial"/>
          <w:vertAlign w:val="superscript"/>
        </w:rPr>
        <w:t>,</w:t>
      </w:r>
      <w:r w:rsidR="00C712F2">
        <w:rPr>
          <w:rStyle w:val="FootnoteReference"/>
          <w:rFonts w:ascii="Arial" w:hAnsi="Arial" w:cs="Arial"/>
        </w:rPr>
        <w:footnoteReference w:id="23"/>
      </w:r>
      <w:r w:rsidR="0093658F" w:rsidRPr="00C42645">
        <w:rPr>
          <w:rFonts w:ascii="Arial" w:hAnsi="Arial" w:cs="Arial"/>
        </w:rPr>
        <w:t xml:space="preserve"> </w:t>
      </w:r>
      <w:r w:rsidRPr="00C42645">
        <w:rPr>
          <w:rFonts w:ascii="Arial" w:hAnsi="Arial" w:cs="Arial"/>
        </w:rPr>
        <w:t>There are examples from countries such as Japan</w:t>
      </w:r>
      <w:r w:rsidR="0093658F" w:rsidRPr="00C42645">
        <w:rPr>
          <w:rFonts w:ascii="Arial" w:hAnsi="Arial" w:cs="Arial"/>
        </w:rPr>
        <w:t xml:space="preserve"> and </w:t>
      </w:r>
      <w:r w:rsidRPr="00C42645">
        <w:rPr>
          <w:rFonts w:ascii="Arial" w:hAnsi="Arial" w:cs="Arial"/>
        </w:rPr>
        <w:t xml:space="preserve">Guatemala, where </w:t>
      </w:r>
      <w:r w:rsidR="00703757" w:rsidRPr="00C42645">
        <w:rPr>
          <w:rFonts w:ascii="Arial" w:hAnsi="Arial" w:cs="Arial"/>
        </w:rPr>
        <w:t xml:space="preserve">discussions have started on reparations and acknowledging </w:t>
      </w:r>
      <w:r w:rsidR="008978E1">
        <w:rPr>
          <w:rFonts w:ascii="Arial" w:hAnsi="Arial" w:cs="Arial"/>
        </w:rPr>
        <w:t>centuries</w:t>
      </w:r>
      <w:r w:rsidR="00703757" w:rsidRPr="00C42645">
        <w:rPr>
          <w:rFonts w:ascii="Arial" w:hAnsi="Arial" w:cs="Arial"/>
        </w:rPr>
        <w:t xml:space="preserve"> of harms towards our constituency</w:t>
      </w:r>
      <w:r w:rsidRPr="00C42645">
        <w:rPr>
          <w:rFonts w:ascii="Arial" w:hAnsi="Arial" w:cs="Arial"/>
        </w:rPr>
        <w:t>.</w:t>
      </w:r>
      <w:r w:rsidR="00703757" w:rsidRPr="00BD45B8">
        <w:rPr>
          <w:rStyle w:val="FootnoteReference"/>
          <w:rFonts w:ascii="Arial" w:hAnsi="Arial" w:cs="Arial"/>
        </w:rPr>
        <w:footnoteReference w:id="24"/>
      </w:r>
      <w:r w:rsidR="00BD45B8" w:rsidRPr="00C42645">
        <w:rPr>
          <w:rFonts w:ascii="Arial" w:hAnsi="Arial" w:cs="Arial"/>
          <w:vertAlign w:val="superscript"/>
        </w:rPr>
        <w:t>,</w:t>
      </w:r>
      <w:r w:rsidR="00226C5E" w:rsidRPr="00BD45B8">
        <w:rPr>
          <w:rStyle w:val="FootnoteReference"/>
          <w:rFonts w:ascii="Arial" w:hAnsi="Arial" w:cs="Arial"/>
        </w:rPr>
        <w:footnoteReference w:id="25"/>
      </w:r>
    </w:p>
    <w:p w14:paraId="6B1B2CDE" w14:textId="77777777" w:rsidR="00703757" w:rsidRDefault="00703757" w:rsidP="00972FF6">
      <w:pPr>
        <w:spacing w:line="276" w:lineRule="auto"/>
        <w:jc w:val="both"/>
        <w:rPr>
          <w:rFonts w:ascii="Arial" w:hAnsi="Arial" w:cs="Arial"/>
        </w:rPr>
      </w:pPr>
    </w:p>
    <w:p w14:paraId="517BE2EA" w14:textId="72333005" w:rsidR="004F5907" w:rsidRPr="00C42645" w:rsidRDefault="00A54F32" w:rsidP="00C42645">
      <w:pPr>
        <w:spacing w:line="276" w:lineRule="auto"/>
        <w:jc w:val="both"/>
        <w:rPr>
          <w:rFonts w:ascii="Arial" w:hAnsi="Arial" w:cs="Arial"/>
        </w:rPr>
      </w:pPr>
      <w:r w:rsidRPr="00C42645">
        <w:rPr>
          <w:rFonts w:ascii="Arial" w:hAnsi="Arial" w:cs="Arial"/>
        </w:rPr>
        <w:t xml:space="preserve">The CRPD reinforces the human rights model of disability and encourages all stakeholders to imagine and implement a practical world where supports and solutions are located within communities, rather than hospitals or institutions. Deinstitutionalization and community inclusion have been taken up strongly in high-level policy spaces. In 2022, the CRPD Committee adopted the UN Guidelines on Deinstitutionalization, which provide State Parties with a clear, step-by-step framework to implement </w:t>
      </w:r>
      <w:r w:rsidR="005C4A8C">
        <w:rPr>
          <w:rFonts w:ascii="Arial" w:hAnsi="Arial" w:cs="Arial"/>
        </w:rPr>
        <w:t xml:space="preserve">deinstitutionalization and enable </w:t>
      </w:r>
      <w:r w:rsidRPr="00C42645">
        <w:rPr>
          <w:rFonts w:ascii="Arial" w:hAnsi="Arial" w:cs="Arial"/>
        </w:rPr>
        <w:t xml:space="preserve">community-based </w:t>
      </w:r>
      <w:r w:rsidR="005C4A8C">
        <w:rPr>
          <w:rFonts w:ascii="Arial" w:hAnsi="Arial" w:cs="Arial"/>
        </w:rPr>
        <w:t>support models</w:t>
      </w:r>
      <w:r w:rsidRPr="00C42645">
        <w:rPr>
          <w:rFonts w:ascii="Arial" w:hAnsi="Arial" w:cs="Arial"/>
        </w:rPr>
        <w:t>.</w:t>
      </w:r>
      <w:r w:rsidR="0093658F">
        <w:rPr>
          <w:rStyle w:val="FootnoteReference"/>
          <w:rFonts w:ascii="Arial" w:hAnsi="Arial" w:cs="Arial"/>
        </w:rPr>
        <w:footnoteReference w:id="26"/>
      </w:r>
      <w:r w:rsidRPr="00C42645">
        <w:rPr>
          <w:rFonts w:ascii="Arial" w:hAnsi="Arial" w:cs="Arial"/>
        </w:rPr>
        <w:t xml:space="preserve"> OPDs across the world are already leading the way by implementing community-based, rights-based, non-coercive, and CRPD-compliant models of support, including during crisis or high-risk situations.</w:t>
      </w:r>
      <w:r w:rsidR="0093658F">
        <w:rPr>
          <w:rStyle w:val="FootnoteReference"/>
          <w:rFonts w:ascii="Arial" w:hAnsi="Arial" w:cs="Arial"/>
        </w:rPr>
        <w:footnoteReference w:id="27"/>
      </w:r>
      <w:r w:rsidRPr="00C42645">
        <w:rPr>
          <w:rFonts w:ascii="Arial" w:hAnsi="Arial" w:cs="Arial"/>
        </w:rPr>
        <w:t xml:space="preserve"> </w:t>
      </w:r>
    </w:p>
    <w:p w14:paraId="18BD0D64" w14:textId="77777777" w:rsidR="004F5907" w:rsidRPr="004F5907" w:rsidRDefault="004F5907" w:rsidP="004F5907">
      <w:pPr>
        <w:pStyle w:val="ListParagraph"/>
        <w:rPr>
          <w:rFonts w:ascii="Arial" w:hAnsi="Arial" w:cs="Arial"/>
        </w:rPr>
      </w:pPr>
    </w:p>
    <w:p w14:paraId="40934D21" w14:textId="3FE3FDE4" w:rsidR="00E336B2" w:rsidRPr="006800AD" w:rsidRDefault="00A54F32" w:rsidP="006800AD">
      <w:pPr>
        <w:spacing w:line="276" w:lineRule="auto"/>
        <w:jc w:val="both"/>
        <w:rPr>
          <w:rFonts w:ascii="Arial" w:hAnsi="Arial" w:cs="Arial"/>
        </w:rPr>
      </w:pPr>
      <w:r w:rsidRPr="006800AD">
        <w:rPr>
          <w:rFonts w:ascii="Arial" w:hAnsi="Arial" w:cs="Arial"/>
        </w:rPr>
        <w:t>If passed, the current provisions of the Bill would reinforce the medical model of disability, which is highly incongruent with the CRPD and undermines this global movement toward dignity, autonomy, and community living.</w:t>
      </w:r>
      <w:r w:rsidR="00561CEC">
        <w:rPr>
          <w:rFonts w:ascii="Arial" w:hAnsi="Arial" w:cs="Arial"/>
        </w:rPr>
        <w:t xml:space="preserve"> </w:t>
      </w:r>
    </w:p>
    <w:p w14:paraId="160DF996" w14:textId="77777777" w:rsidR="00A54F32" w:rsidRPr="00972FF6" w:rsidRDefault="00A54F32" w:rsidP="00972FF6">
      <w:pPr>
        <w:spacing w:line="276" w:lineRule="auto"/>
        <w:jc w:val="both"/>
        <w:rPr>
          <w:rFonts w:ascii="Arial" w:hAnsi="Arial" w:cs="Arial"/>
        </w:rPr>
      </w:pPr>
    </w:p>
    <w:p w14:paraId="7D39F42E" w14:textId="328DC49A" w:rsidR="00E336B2" w:rsidRPr="00972FF6" w:rsidRDefault="00B34B33" w:rsidP="00972FF6">
      <w:pPr>
        <w:spacing w:line="276" w:lineRule="auto"/>
        <w:jc w:val="both"/>
        <w:rPr>
          <w:rFonts w:ascii="Arial" w:hAnsi="Arial" w:cs="Arial"/>
          <w:b/>
          <w:bCs/>
        </w:rPr>
      </w:pPr>
      <w:r w:rsidRPr="00972FF6">
        <w:rPr>
          <w:rFonts w:ascii="Arial" w:hAnsi="Arial" w:cs="Arial"/>
          <w:b/>
          <w:bCs/>
        </w:rPr>
        <w:t>Question Two: the measures adopted to ensure the removal from the text of the proposed “Mental Health Bill” references portraying persons with disabilities as “patients”, and measures to ensure that the “mental health bill’’ is consistent with the standards and principles of the Convention on the Rights of Persons with Disabilities.</w:t>
      </w:r>
    </w:p>
    <w:p w14:paraId="55C7B62A" w14:textId="77777777" w:rsidR="00B34B33" w:rsidRPr="00972FF6" w:rsidRDefault="00B34B33" w:rsidP="00972FF6">
      <w:pPr>
        <w:spacing w:line="276" w:lineRule="auto"/>
        <w:jc w:val="both"/>
        <w:rPr>
          <w:rFonts w:ascii="Arial" w:hAnsi="Arial" w:cs="Arial"/>
          <w:b/>
          <w:bCs/>
        </w:rPr>
      </w:pPr>
    </w:p>
    <w:p w14:paraId="7A1C2FFB" w14:textId="35E645B3" w:rsidR="006A1325" w:rsidRPr="00E708CC" w:rsidRDefault="006A1325" w:rsidP="00E708CC">
      <w:pPr>
        <w:spacing w:line="276" w:lineRule="auto"/>
        <w:jc w:val="both"/>
        <w:rPr>
          <w:rFonts w:ascii="Arial" w:hAnsi="Arial" w:cs="Arial"/>
        </w:rPr>
      </w:pPr>
      <w:r w:rsidRPr="00E708CC">
        <w:rPr>
          <w:rFonts w:ascii="Arial" w:hAnsi="Arial" w:cs="Arial"/>
        </w:rPr>
        <w:lastRenderedPageBreak/>
        <w:t xml:space="preserve">Identifying persons with psychosocial disabilities solely as “patients” is disempowering because it reduces </w:t>
      </w:r>
      <w:r w:rsidR="003D0355">
        <w:rPr>
          <w:rFonts w:ascii="Arial" w:hAnsi="Arial" w:cs="Arial"/>
        </w:rPr>
        <w:t>us</w:t>
      </w:r>
      <w:r w:rsidRPr="00E708CC">
        <w:rPr>
          <w:rFonts w:ascii="Arial" w:hAnsi="Arial" w:cs="Arial"/>
        </w:rPr>
        <w:t xml:space="preserve"> to passive clinical subjects whose lives are framed through treatment, compliance</w:t>
      </w:r>
      <w:r w:rsidR="0097604D" w:rsidRPr="00E708CC">
        <w:rPr>
          <w:rFonts w:ascii="Arial" w:hAnsi="Arial" w:cs="Arial"/>
        </w:rPr>
        <w:t xml:space="preserve"> </w:t>
      </w:r>
      <w:r w:rsidRPr="00E708CC">
        <w:rPr>
          <w:rFonts w:ascii="Arial" w:hAnsi="Arial" w:cs="Arial"/>
        </w:rPr>
        <w:t xml:space="preserve">and medical control. </w:t>
      </w:r>
      <w:r w:rsidR="00A603AD" w:rsidRPr="00E708CC">
        <w:rPr>
          <w:rFonts w:ascii="Arial" w:hAnsi="Arial" w:cs="Arial"/>
        </w:rPr>
        <w:t>This patient-only identity erases autonomy</w:t>
      </w:r>
      <w:r w:rsidR="003D0355">
        <w:rPr>
          <w:rFonts w:ascii="Arial" w:hAnsi="Arial" w:cs="Arial"/>
        </w:rPr>
        <w:t>,</w:t>
      </w:r>
      <w:r w:rsidRPr="00E708CC">
        <w:rPr>
          <w:rFonts w:ascii="Arial" w:hAnsi="Arial" w:cs="Arial"/>
        </w:rPr>
        <w:t xml:space="preserve"> makes dissent or emotional expression appear pathological, and often leads to legal and social disempowerment, including forced treatment and </w:t>
      </w:r>
      <w:r w:rsidR="00A603AD" w:rsidRPr="00E708CC">
        <w:rPr>
          <w:rFonts w:ascii="Arial" w:hAnsi="Arial" w:cs="Arial"/>
        </w:rPr>
        <w:t>institutionalization.</w:t>
      </w:r>
      <w:r w:rsidR="00A603AD">
        <w:rPr>
          <w:rStyle w:val="FootnoteReference"/>
          <w:rFonts w:ascii="Arial" w:hAnsi="Arial" w:cs="Arial"/>
        </w:rPr>
        <w:footnoteReference w:id="28"/>
      </w:r>
      <w:r w:rsidRPr="00E708CC">
        <w:rPr>
          <w:rFonts w:ascii="Arial" w:hAnsi="Arial" w:cs="Arial"/>
        </w:rPr>
        <w:t xml:space="preserve"> </w:t>
      </w:r>
    </w:p>
    <w:p w14:paraId="5497900F" w14:textId="77777777" w:rsidR="006A1325" w:rsidRPr="00972FF6" w:rsidRDefault="006A1325" w:rsidP="00972FF6">
      <w:pPr>
        <w:spacing w:line="276" w:lineRule="auto"/>
        <w:jc w:val="both"/>
        <w:rPr>
          <w:rFonts w:ascii="Arial" w:hAnsi="Arial" w:cs="Arial"/>
        </w:rPr>
      </w:pPr>
    </w:p>
    <w:p w14:paraId="112566FA" w14:textId="14B00E3E" w:rsidR="0097604D" w:rsidRPr="00E708CC" w:rsidRDefault="006008AC" w:rsidP="00E708CC">
      <w:pPr>
        <w:spacing w:line="276" w:lineRule="auto"/>
        <w:jc w:val="both"/>
        <w:rPr>
          <w:rFonts w:ascii="Arial" w:hAnsi="Arial" w:cs="Arial"/>
        </w:rPr>
      </w:pPr>
      <w:r w:rsidRPr="00E708CC">
        <w:rPr>
          <w:rFonts w:ascii="Arial" w:hAnsi="Arial" w:cs="Arial"/>
        </w:rPr>
        <w:t>OP</w:t>
      </w:r>
      <w:r w:rsidR="00B36C42" w:rsidRPr="00E708CC">
        <w:rPr>
          <w:rFonts w:ascii="Arial" w:hAnsi="Arial" w:cs="Arial"/>
        </w:rPr>
        <w:t>D</w:t>
      </w:r>
      <w:r w:rsidRPr="00E708CC">
        <w:rPr>
          <w:rFonts w:ascii="Arial" w:hAnsi="Arial" w:cs="Arial"/>
        </w:rPr>
        <w:t xml:space="preserve"> movements have long </w:t>
      </w:r>
      <w:r w:rsidR="007540A3" w:rsidRPr="00E708CC">
        <w:rPr>
          <w:rFonts w:ascii="Arial" w:hAnsi="Arial" w:cs="Arial"/>
        </w:rPr>
        <w:t>advocated</w:t>
      </w:r>
      <w:r w:rsidRPr="00E708CC">
        <w:rPr>
          <w:rFonts w:ascii="Arial" w:hAnsi="Arial" w:cs="Arial"/>
        </w:rPr>
        <w:t xml:space="preserve"> for a more empowering identity of being persons with psychosocial disabilities, introduced to us after </w:t>
      </w:r>
      <w:r w:rsidR="007540A3" w:rsidRPr="00E708CC">
        <w:rPr>
          <w:rFonts w:ascii="Arial" w:hAnsi="Arial" w:cs="Arial"/>
        </w:rPr>
        <w:t>the</w:t>
      </w:r>
      <w:r w:rsidRPr="00E708CC">
        <w:rPr>
          <w:rFonts w:ascii="Arial" w:hAnsi="Arial" w:cs="Arial"/>
        </w:rPr>
        <w:t xml:space="preserve"> adoption of the CRPD.</w:t>
      </w:r>
      <w:r w:rsidR="003D0355" w:rsidRPr="00AF54C5">
        <w:rPr>
          <w:rStyle w:val="FootnoteReference"/>
          <w:rFonts w:ascii="Arial" w:hAnsi="Arial" w:cs="Arial"/>
        </w:rPr>
        <w:footnoteReference w:id="29"/>
      </w:r>
      <w:r w:rsidR="003D0355" w:rsidRPr="00AF54C5">
        <w:rPr>
          <w:rFonts w:ascii="Arial" w:hAnsi="Arial" w:cs="Arial"/>
          <w:vertAlign w:val="superscript"/>
        </w:rPr>
        <w:t>,</w:t>
      </w:r>
      <w:r w:rsidR="003D0355" w:rsidRPr="00AF54C5">
        <w:rPr>
          <w:rStyle w:val="FootnoteReference"/>
          <w:rFonts w:ascii="Arial" w:hAnsi="Arial" w:cs="Arial"/>
        </w:rPr>
        <w:footnoteReference w:id="30"/>
      </w:r>
      <w:r w:rsidRPr="00E708CC">
        <w:rPr>
          <w:rFonts w:ascii="Arial" w:hAnsi="Arial" w:cs="Arial"/>
        </w:rPr>
        <w:t xml:space="preserve"> </w:t>
      </w:r>
      <w:r w:rsidR="00AF54C5" w:rsidRPr="00E708CC">
        <w:rPr>
          <w:rFonts w:ascii="Arial" w:hAnsi="Arial" w:cs="Arial"/>
        </w:rPr>
        <w:t>Being identified solely as patients inadvertently ties us to the medical model of disability, where our support needs are framed entirely within the discourse of medical solutions and institutions.</w:t>
      </w:r>
      <w:r w:rsidR="000C2DF6">
        <w:rPr>
          <w:rStyle w:val="FootnoteReference"/>
          <w:rFonts w:ascii="Arial" w:hAnsi="Arial" w:cs="Arial"/>
        </w:rPr>
        <w:footnoteReference w:id="31"/>
      </w:r>
      <w:r w:rsidRPr="00E708CC">
        <w:rPr>
          <w:rFonts w:ascii="Arial" w:hAnsi="Arial" w:cs="Arial"/>
        </w:rPr>
        <w:t xml:space="preserve"> </w:t>
      </w:r>
      <w:r w:rsidR="00AF54C5" w:rsidRPr="00E708CC">
        <w:rPr>
          <w:rFonts w:ascii="Arial" w:hAnsi="Arial" w:cs="Arial"/>
        </w:rPr>
        <w:t>When we are seen only as patients, one aspect of our life overshadows everything else. We cease to be full persons.</w:t>
      </w:r>
      <w:r w:rsidR="00E35FF8" w:rsidRPr="00E708CC">
        <w:rPr>
          <w:rFonts w:ascii="Arial" w:hAnsi="Arial" w:cs="Arial"/>
        </w:rPr>
        <w:t xml:space="preserve"> It is a peculiar characteristic of </w:t>
      </w:r>
      <w:r w:rsidR="00A603AD" w:rsidRPr="00E708CC">
        <w:rPr>
          <w:rFonts w:ascii="Arial" w:hAnsi="Arial" w:cs="Arial"/>
        </w:rPr>
        <w:t>these systems</w:t>
      </w:r>
      <w:r w:rsidR="00E35FF8" w:rsidRPr="00E708CC">
        <w:rPr>
          <w:rFonts w:ascii="Arial" w:hAnsi="Arial" w:cs="Arial"/>
        </w:rPr>
        <w:t xml:space="preserve"> that any </w:t>
      </w:r>
      <w:r w:rsidR="0097604D" w:rsidRPr="00E708CC">
        <w:rPr>
          <w:rFonts w:ascii="Arial" w:hAnsi="Arial" w:cs="Arial"/>
        </w:rPr>
        <w:t>diagnosis</w:t>
      </w:r>
      <w:r w:rsidR="00E35FF8" w:rsidRPr="00E708CC">
        <w:rPr>
          <w:rFonts w:ascii="Arial" w:hAnsi="Arial" w:cs="Arial"/>
        </w:rPr>
        <w:t xml:space="preserve"> o</w:t>
      </w:r>
      <w:r w:rsidR="0097604D" w:rsidRPr="00E708CC">
        <w:rPr>
          <w:rFonts w:ascii="Arial" w:hAnsi="Arial" w:cs="Arial"/>
        </w:rPr>
        <w:t>r label</w:t>
      </w:r>
      <w:r w:rsidR="00E35FF8" w:rsidRPr="00E708CC">
        <w:rPr>
          <w:rFonts w:ascii="Arial" w:hAnsi="Arial" w:cs="Arial"/>
        </w:rPr>
        <w:t xml:space="preserve"> of </w:t>
      </w:r>
      <w:r w:rsidR="0097604D" w:rsidRPr="00E708CC">
        <w:rPr>
          <w:rFonts w:ascii="Arial" w:hAnsi="Arial" w:cs="Arial"/>
        </w:rPr>
        <w:t>mental</w:t>
      </w:r>
      <w:r w:rsidR="00E35FF8" w:rsidRPr="00E708CC">
        <w:rPr>
          <w:rFonts w:ascii="Arial" w:hAnsi="Arial" w:cs="Arial"/>
        </w:rPr>
        <w:t xml:space="preserve"> disorder</w:t>
      </w:r>
      <w:r w:rsidR="0097604D" w:rsidRPr="00E708CC">
        <w:rPr>
          <w:rFonts w:ascii="Arial" w:hAnsi="Arial" w:cs="Arial"/>
        </w:rPr>
        <w:t>, mental</w:t>
      </w:r>
      <w:r w:rsidR="00E35FF8" w:rsidRPr="00E708CC">
        <w:rPr>
          <w:rFonts w:ascii="Arial" w:hAnsi="Arial" w:cs="Arial"/>
        </w:rPr>
        <w:t xml:space="preserve"> illness or </w:t>
      </w:r>
      <w:r w:rsidR="00AF54C5" w:rsidRPr="00E708CC">
        <w:rPr>
          <w:rFonts w:ascii="Arial" w:hAnsi="Arial" w:cs="Arial"/>
        </w:rPr>
        <w:t>identification as psychiatric patients</w:t>
      </w:r>
      <w:r w:rsidR="00E35FF8" w:rsidRPr="00E708CC">
        <w:rPr>
          <w:rFonts w:ascii="Arial" w:hAnsi="Arial" w:cs="Arial"/>
        </w:rPr>
        <w:t xml:space="preserve"> </w:t>
      </w:r>
      <w:r w:rsidR="00AF54C5" w:rsidRPr="00E708CC">
        <w:rPr>
          <w:rFonts w:ascii="Arial" w:hAnsi="Arial" w:cs="Arial"/>
        </w:rPr>
        <w:t>turns</w:t>
      </w:r>
      <w:r w:rsidR="00E35FF8" w:rsidRPr="00E708CC">
        <w:rPr>
          <w:rFonts w:ascii="Arial" w:hAnsi="Arial" w:cs="Arial"/>
        </w:rPr>
        <w:t xml:space="preserve"> us</w:t>
      </w:r>
      <w:r w:rsidR="00AF54C5" w:rsidRPr="00E708CC">
        <w:rPr>
          <w:rFonts w:ascii="Arial" w:hAnsi="Arial" w:cs="Arial"/>
        </w:rPr>
        <w:t xml:space="preserve"> into</w:t>
      </w:r>
      <w:r w:rsidR="00E35FF8" w:rsidRPr="00E708CC">
        <w:rPr>
          <w:rFonts w:ascii="Arial" w:hAnsi="Arial" w:cs="Arial"/>
        </w:rPr>
        <w:t xml:space="preserve"> medico legal subjects and </w:t>
      </w:r>
      <w:r w:rsidR="00AF54C5" w:rsidRPr="00E708CC">
        <w:rPr>
          <w:rFonts w:ascii="Arial" w:hAnsi="Arial" w:cs="Arial"/>
        </w:rPr>
        <w:t>strips us of</w:t>
      </w:r>
      <w:r w:rsidR="00E35FF8" w:rsidRPr="00E708CC">
        <w:rPr>
          <w:rFonts w:ascii="Arial" w:hAnsi="Arial" w:cs="Arial"/>
        </w:rPr>
        <w:t xml:space="preserve"> our legal capacity</w:t>
      </w:r>
      <w:r w:rsidR="00AF54C5" w:rsidRPr="00E708CC">
        <w:rPr>
          <w:rFonts w:ascii="Arial" w:hAnsi="Arial" w:cs="Arial"/>
        </w:rPr>
        <w:t xml:space="preserve"> and w</w:t>
      </w:r>
      <w:r w:rsidR="0097604D" w:rsidRPr="00E708CC">
        <w:rPr>
          <w:rFonts w:ascii="Arial" w:hAnsi="Arial" w:cs="Arial"/>
        </w:rPr>
        <w:t xml:space="preserve">e </w:t>
      </w:r>
      <w:r w:rsidR="00295748">
        <w:rPr>
          <w:rFonts w:ascii="Arial" w:hAnsi="Arial" w:cs="Arial"/>
        </w:rPr>
        <w:t>become</w:t>
      </w:r>
      <w:r w:rsidR="0097604D" w:rsidRPr="00E708CC">
        <w:rPr>
          <w:rFonts w:ascii="Arial" w:hAnsi="Arial" w:cs="Arial"/>
        </w:rPr>
        <w:t xml:space="preserve"> non-persons in the eyes of law</w:t>
      </w:r>
      <w:r w:rsidR="00A603AD" w:rsidRPr="00E708CC">
        <w:rPr>
          <w:rFonts w:ascii="Arial" w:hAnsi="Arial" w:cs="Arial"/>
        </w:rPr>
        <w:t>.</w:t>
      </w:r>
      <w:r w:rsidR="00A603AD">
        <w:rPr>
          <w:rStyle w:val="FootnoteReference"/>
          <w:rFonts w:ascii="Arial" w:hAnsi="Arial" w:cs="Arial"/>
        </w:rPr>
        <w:footnoteReference w:id="32"/>
      </w:r>
      <w:r w:rsidR="00AF54C5" w:rsidRPr="00E708CC">
        <w:rPr>
          <w:rFonts w:ascii="Arial" w:hAnsi="Arial" w:cs="Arial"/>
          <w:vertAlign w:val="superscript"/>
        </w:rPr>
        <w:t>,</w:t>
      </w:r>
      <w:r w:rsidR="00AF54C5" w:rsidRPr="00AF54C5">
        <w:rPr>
          <w:rStyle w:val="FootnoteReference"/>
          <w:rFonts w:ascii="Arial" w:hAnsi="Arial" w:cs="Arial"/>
        </w:rPr>
        <w:footnoteReference w:id="33"/>
      </w:r>
      <w:r w:rsidR="00AF54C5" w:rsidRPr="00E708CC">
        <w:rPr>
          <w:rStyle w:val="FootnoteReference"/>
          <w:rFonts w:ascii="Arial" w:hAnsi="Arial" w:cs="Arial"/>
        </w:rPr>
        <w:t>,</w:t>
      </w:r>
      <w:r w:rsidR="00AF54C5">
        <w:rPr>
          <w:rStyle w:val="FootnoteReference"/>
          <w:rFonts w:ascii="Arial" w:hAnsi="Arial" w:cs="Arial"/>
        </w:rPr>
        <w:footnoteReference w:id="34"/>
      </w:r>
      <w:r w:rsidR="0097604D" w:rsidRPr="00E708CC">
        <w:rPr>
          <w:rFonts w:ascii="Arial" w:hAnsi="Arial" w:cs="Arial"/>
        </w:rPr>
        <w:t xml:space="preserve"> W</w:t>
      </w:r>
      <w:r w:rsidR="00E35FF8" w:rsidRPr="00E708CC">
        <w:rPr>
          <w:rFonts w:ascii="Arial" w:hAnsi="Arial" w:cs="Arial"/>
        </w:rPr>
        <w:t>e can be detained or forcefully uprooted from our homes</w:t>
      </w:r>
      <w:r w:rsidR="00AF54C5" w:rsidRPr="00E708CC">
        <w:rPr>
          <w:rFonts w:ascii="Arial" w:hAnsi="Arial" w:cs="Arial"/>
        </w:rPr>
        <w:t xml:space="preserve"> because w</w:t>
      </w:r>
      <w:r w:rsidR="00977877" w:rsidRPr="00E708CC">
        <w:rPr>
          <w:rFonts w:ascii="Arial" w:hAnsi="Arial" w:cs="Arial"/>
        </w:rPr>
        <w:t xml:space="preserve">e become patients who need to be managed rather than right holders, with full rights on an equal basis with others. </w:t>
      </w:r>
    </w:p>
    <w:p w14:paraId="1E9126BF" w14:textId="77777777" w:rsidR="0097604D" w:rsidRPr="00972FF6" w:rsidRDefault="0097604D" w:rsidP="00972FF6">
      <w:pPr>
        <w:spacing w:line="276" w:lineRule="auto"/>
        <w:jc w:val="both"/>
        <w:rPr>
          <w:rFonts w:ascii="Arial" w:hAnsi="Arial" w:cs="Arial"/>
        </w:rPr>
      </w:pPr>
    </w:p>
    <w:p w14:paraId="6ED515DE" w14:textId="4EE1D98E" w:rsidR="0097604D" w:rsidRPr="00E708CC" w:rsidRDefault="0097604D" w:rsidP="00E708CC">
      <w:pPr>
        <w:spacing w:line="276" w:lineRule="auto"/>
        <w:jc w:val="both"/>
        <w:rPr>
          <w:rFonts w:ascii="Arial" w:hAnsi="Arial" w:cs="Arial"/>
        </w:rPr>
      </w:pPr>
      <w:r w:rsidRPr="00E708CC">
        <w:rPr>
          <w:rFonts w:ascii="Arial" w:hAnsi="Arial" w:cs="Arial"/>
        </w:rPr>
        <w:t xml:space="preserve">In line with the points noted by Liberation, </w:t>
      </w:r>
      <w:r w:rsidR="00B44F8E" w:rsidRPr="00E708CC">
        <w:rPr>
          <w:rFonts w:ascii="Arial" w:hAnsi="Arial" w:cs="Arial"/>
        </w:rPr>
        <w:t>being called a ‘patient’ also reinforces harmful stereotypes</w:t>
      </w:r>
      <w:r w:rsidRPr="00E708CC">
        <w:rPr>
          <w:rFonts w:ascii="Arial" w:hAnsi="Arial" w:cs="Arial"/>
        </w:rPr>
        <w:t xml:space="preserve">. </w:t>
      </w:r>
      <w:r w:rsidR="00B44F8E" w:rsidRPr="00E708CC">
        <w:rPr>
          <w:rFonts w:ascii="Arial" w:hAnsi="Arial" w:cs="Arial"/>
        </w:rPr>
        <w:t xml:space="preserve">We are assumed to be incapable of making decisions, in need of treatment to </w:t>
      </w:r>
      <w:r w:rsidR="003D0355">
        <w:rPr>
          <w:rFonts w:ascii="Arial" w:hAnsi="Arial" w:cs="Arial"/>
        </w:rPr>
        <w:t>‘</w:t>
      </w:r>
      <w:r w:rsidR="00B44F8E" w:rsidRPr="00E708CC">
        <w:rPr>
          <w:rFonts w:ascii="Arial" w:hAnsi="Arial" w:cs="Arial"/>
        </w:rPr>
        <w:t>get better,</w:t>
      </w:r>
      <w:r w:rsidR="003D0355">
        <w:rPr>
          <w:rFonts w:ascii="Arial" w:hAnsi="Arial" w:cs="Arial"/>
        </w:rPr>
        <w:t>’</w:t>
      </w:r>
      <w:r w:rsidR="00B44F8E" w:rsidRPr="00E708CC">
        <w:rPr>
          <w:rFonts w:ascii="Arial" w:hAnsi="Arial" w:cs="Arial"/>
        </w:rPr>
        <w:t xml:space="preserve"> and often medicated to the point of emotional suppression, often against our will and consent.</w:t>
      </w:r>
      <w:r w:rsidR="00977877" w:rsidRPr="00E708CC">
        <w:rPr>
          <w:rFonts w:ascii="Arial" w:hAnsi="Arial" w:cs="Arial"/>
        </w:rPr>
        <w:t xml:space="preserve"> </w:t>
      </w:r>
      <w:r w:rsidR="00B44F8E" w:rsidRPr="00E708CC">
        <w:rPr>
          <w:rFonts w:ascii="Arial" w:hAnsi="Arial" w:cs="Arial"/>
        </w:rPr>
        <w:t xml:space="preserve">Because the medical model only sees medical solutions, we are rendered as subjects of psychiatric systems where forced detention and treatment become default responses. </w:t>
      </w:r>
      <w:r w:rsidR="00253347" w:rsidRPr="00E708CC">
        <w:rPr>
          <w:rFonts w:ascii="Arial" w:hAnsi="Arial" w:cs="Arial"/>
        </w:rPr>
        <w:t>This patient-only identity underpins key powers in the Bill</w:t>
      </w:r>
      <w:r w:rsidR="00603E39" w:rsidRPr="00E708CC">
        <w:rPr>
          <w:rFonts w:ascii="Arial" w:hAnsi="Arial" w:cs="Arial"/>
        </w:rPr>
        <w:t xml:space="preserve"> </w:t>
      </w:r>
      <w:r w:rsidR="00253347" w:rsidRPr="00E708CC">
        <w:rPr>
          <w:rFonts w:ascii="Arial" w:hAnsi="Arial" w:cs="Arial"/>
        </w:rPr>
        <w:t xml:space="preserve">such as </w:t>
      </w:r>
      <w:r w:rsidR="0085359E">
        <w:rPr>
          <w:rFonts w:ascii="Arial" w:hAnsi="Arial" w:cs="Arial"/>
        </w:rPr>
        <w:t xml:space="preserve">forced </w:t>
      </w:r>
      <w:r w:rsidR="00253347" w:rsidRPr="00E708CC">
        <w:rPr>
          <w:rFonts w:ascii="Arial" w:hAnsi="Arial" w:cs="Arial"/>
        </w:rPr>
        <w:t>detention, involuntary treatment, and recall under Community Treatment Orders</w:t>
      </w:r>
      <w:r w:rsidR="003D0355">
        <w:rPr>
          <w:rFonts w:ascii="Arial" w:hAnsi="Arial" w:cs="Arial"/>
        </w:rPr>
        <w:t xml:space="preserve"> (CTO)</w:t>
      </w:r>
      <w:r w:rsidR="00603E39" w:rsidRPr="00E708CC">
        <w:rPr>
          <w:rFonts w:ascii="Arial" w:hAnsi="Arial" w:cs="Arial"/>
        </w:rPr>
        <w:t xml:space="preserve"> </w:t>
      </w:r>
      <w:r w:rsidR="00253347" w:rsidRPr="00E708CC">
        <w:rPr>
          <w:rFonts w:ascii="Arial" w:hAnsi="Arial" w:cs="Arial"/>
        </w:rPr>
        <w:t>and p</w:t>
      </w:r>
      <w:r w:rsidR="00603E39" w:rsidRPr="00E708CC">
        <w:rPr>
          <w:rFonts w:ascii="Arial" w:hAnsi="Arial" w:cs="Arial"/>
        </w:rPr>
        <w:t xml:space="preserve">laces </w:t>
      </w:r>
      <w:r w:rsidR="00253347" w:rsidRPr="00E708CC">
        <w:rPr>
          <w:rFonts w:ascii="Arial" w:hAnsi="Arial" w:cs="Arial"/>
        </w:rPr>
        <w:t>people within a framework of clinical management and risk control, rather than autonomy and legal capacity</w:t>
      </w:r>
      <w:r w:rsidR="0085359E">
        <w:rPr>
          <w:rFonts w:ascii="Arial" w:hAnsi="Arial" w:cs="Arial"/>
        </w:rPr>
        <w:t>.</w:t>
      </w:r>
    </w:p>
    <w:p w14:paraId="17DF74F1" w14:textId="4973D49B" w:rsidR="000C11A0" w:rsidRPr="000C11A0" w:rsidRDefault="0097604D" w:rsidP="00E708CC">
      <w:pPr>
        <w:pStyle w:val="NormalWeb"/>
        <w:spacing w:line="276" w:lineRule="auto"/>
        <w:jc w:val="both"/>
        <w:rPr>
          <w:rFonts w:ascii="Arial" w:hAnsi="Arial" w:cs="Arial"/>
        </w:rPr>
      </w:pPr>
      <w:r w:rsidRPr="000C11A0">
        <w:rPr>
          <w:rFonts w:ascii="Arial" w:hAnsi="Arial" w:cs="Arial"/>
        </w:rPr>
        <w:t xml:space="preserve">Identifying as a person with psychosocial disability or a user/survivor is empowering and </w:t>
      </w:r>
      <w:proofErr w:type="gramStart"/>
      <w:r w:rsidRPr="000C11A0">
        <w:rPr>
          <w:rFonts w:ascii="Arial" w:hAnsi="Arial" w:cs="Arial"/>
        </w:rPr>
        <w:t>rights-based</w:t>
      </w:r>
      <w:proofErr w:type="gramEnd"/>
      <w:r w:rsidR="003D0355">
        <w:rPr>
          <w:rFonts w:ascii="Arial" w:hAnsi="Arial" w:cs="Arial"/>
        </w:rPr>
        <w:t xml:space="preserve"> as it</w:t>
      </w:r>
      <w:r w:rsidRPr="000C11A0">
        <w:rPr>
          <w:rFonts w:ascii="Arial" w:hAnsi="Arial" w:cs="Arial"/>
        </w:rPr>
        <w:t xml:space="preserve"> recognizes lived experience as a source of knowledge, resilience, and political identity, aligns with the CRPD’s human rights model, and </w:t>
      </w:r>
      <w:r w:rsidRPr="000C11A0">
        <w:rPr>
          <w:rFonts w:ascii="Arial" w:hAnsi="Arial" w:cs="Arial"/>
        </w:rPr>
        <w:lastRenderedPageBreak/>
        <w:t>connects individuals to peer networks, advocacy movements, and collective empowerment.</w:t>
      </w:r>
      <w:r w:rsidR="00357F52">
        <w:rPr>
          <w:rStyle w:val="FootnoteReference"/>
          <w:rFonts w:ascii="Arial" w:hAnsi="Arial" w:cs="Arial"/>
        </w:rPr>
        <w:footnoteReference w:id="35"/>
      </w:r>
      <w:r w:rsidRPr="000C11A0">
        <w:rPr>
          <w:rFonts w:ascii="Arial" w:hAnsi="Arial" w:cs="Arial"/>
        </w:rPr>
        <w:t xml:space="preserve"> </w:t>
      </w:r>
    </w:p>
    <w:p w14:paraId="126EFEAB" w14:textId="7572DFC5" w:rsidR="00E708CC" w:rsidRPr="009D0CB1" w:rsidRDefault="000C11A0" w:rsidP="00E708CC">
      <w:pPr>
        <w:pStyle w:val="NormalWeb"/>
        <w:spacing w:line="276" w:lineRule="auto"/>
        <w:jc w:val="both"/>
        <w:rPr>
          <w:rFonts w:ascii="Arial" w:hAnsi="Arial" w:cs="Arial"/>
        </w:rPr>
      </w:pPr>
      <w:r w:rsidRPr="00AF54C5">
        <w:rPr>
          <w:rFonts w:ascii="Arial" w:hAnsi="Arial" w:cs="Arial"/>
        </w:rPr>
        <w:t xml:space="preserve">The Mental Health Bill must not </w:t>
      </w:r>
      <w:r w:rsidR="00075D64">
        <w:rPr>
          <w:rFonts w:ascii="Arial" w:hAnsi="Arial" w:cs="Arial"/>
        </w:rPr>
        <w:t xml:space="preserve">continue usage of forced measures </w:t>
      </w:r>
      <w:proofErr w:type="spellStart"/>
      <w:r w:rsidR="00075D64">
        <w:rPr>
          <w:rFonts w:ascii="Arial" w:hAnsi="Arial" w:cs="Arial"/>
        </w:rPr>
        <w:t>inspite</w:t>
      </w:r>
      <w:proofErr w:type="spellEnd"/>
      <w:r w:rsidR="00075D64">
        <w:rPr>
          <w:rFonts w:ascii="Arial" w:hAnsi="Arial" w:cs="Arial"/>
        </w:rPr>
        <w:t xml:space="preserve"> of</w:t>
      </w:r>
      <w:r w:rsidRPr="00AF54C5">
        <w:rPr>
          <w:rFonts w:ascii="Arial" w:hAnsi="Arial" w:cs="Arial"/>
        </w:rPr>
        <w:t xml:space="preserve"> decades of advocacy </w:t>
      </w:r>
      <w:r w:rsidR="00075D64">
        <w:rPr>
          <w:rFonts w:ascii="Arial" w:hAnsi="Arial" w:cs="Arial"/>
        </w:rPr>
        <w:t xml:space="preserve">and experience sharing </w:t>
      </w:r>
      <w:r w:rsidRPr="00AF54C5">
        <w:rPr>
          <w:rFonts w:ascii="Arial" w:hAnsi="Arial" w:cs="Arial"/>
        </w:rPr>
        <w:t>by leaders</w:t>
      </w:r>
      <w:r w:rsidR="003D0355">
        <w:rPr>
          <w:rFonts w:ascii="Arial" w:hAnsi="Arial" w:cs="Arial"/>
        </w:rPr>
        <w:t xml:space="preserve"> and peers</w:t>
      </w:r>
      <w:r w:rsidRPr="00AF54C5">
        <w:rPr>
          <w:rFonts w:ascii="Arial" w:hAnsi="Arial" w:cs="Arial"/>
        </w:rPr>
        <w:t xml:space="preserve"> of this movement, past and present. This approach of framing individuals solely as patients is incompatible with the CRPD’s human rights model, which recognises persons with psychosocial disabilities as full rights-holders entitled to liberty (Article 14), equal recognition before the law (Article 12), and community inclusion (Article 19). Reframing identity away from </w:t>
      </w:r>
      <w:r w:rsidR="003D0355">
        <w:rPr>
          <w:rFonts w:ascii="Arial" w:hAnsi="Arial" w:cs="Arial"/>
        </w:rPr>
        <w:t>‘</w:t>
      </w:r>
      <w:r w:rsidRPr="00AF54C5">
        <w:rPr>
          <w:rFonts w:ascii="Arial" w:hAnsi="Arial" w:cs="Arial"/>
        </w:rPr>
        <w:t>patient</w:t>
      </w:r>
      <w:r w:rsidR="003D0355">
        <w:rPr>
          <w:rFonts w:ascii="Arial" w:hAnsi="Arial" w:cs="Arial"/>
        </w:rPr>
        <w:t>’</w:t>
      </w:r>
      <w:r w:rsidRPr="00AF54C5">
        <w:rPr>
          <w:rFonts w:ascii="Arial" w:hAnsi="Arial" w:cs="Arial"/>
        </w:rPr>
        <w:t xml:space="preserve"> toward that of a person with psychosocial disability is critical to uphold dignity, agency, and CRPD-compliant law reform.</w:t>
      </w:r>
    </w:p>
    <w:p w14:paraId="4EA8E7FF" w14:textId="578B5D0A" w:rsidR="00597D6F" w:rsidRDefault="00597D6F" w:rsidP="00972FF6">
      <w:pPr>
        <w:pStyle w:val="NormalWeb"/>
        <w:spacing w:line="276" w:lineRule="auto"/>
        <w:jc w:val="both"/>
        <w:rPr>
          <w:rFonts w:ascii="Arial" w:hAnsi="Arial" w:cs="Arial"/>
          <w:b/>
          <w:bCs/>
          <w:color w:val="000000"/>
        </w:rPr>
      </w:pPr>
      <w:r w:rsidRPr="00972FF6">
        <w:rPr>
          <w:rFonts w:ascii="Arial" w:hAnsi="Arial" w:cs="Arial"/>
          <w:b/>
          <w:bCs/>
          <w:color w:val="000000"/>
        </w:rPr>
        <w:t>Question Three: The measures adopted to secure that the “</w:t>
      </w:r>
      <w:r w:rsidRPr="00972FF6">
        <w:rPr>
          <w:rFonts w:ascii="Arial" w:hAnsi="Arial" w:cs="Arial"/>
          <w:b/>
          <w:bCs/>
          <w:i/>
          <w:iCs/>
          <w:color w:val="000000"/>
        </w:rPr>
        <w:t>Mental Health Bill</w:t>
      </w:r>
      <w:r w:rsidRPr="00972FF6">
        <w:rPr>
          <w:rFonts w:ascii="Arial" w:hAnsi="Arial" w:cs="Arial"/>
          <w:b/>
          <w:bCs/>
          <w:color w:val="000000"/>
        </w:rPr>
        <w:t>” ensures that the provision of community-based mental healthcare services is available to everyone, including to persons with disabilities, and that the provision of health services, including mental health services, is based on the free and informed consent with the person with disability concerned, through supported decision-making and not by third party interventions.</w:t>
      </w:r>
    </w:p>
    <w:p w14:paraId="3F711AE9" w14:textId="27469840" w:rsidR="0093502D" w:rsidRPr="00E708CC" w:rsidRDefault="007763BB" w:rsidP="00E708CC">
      <w:pPr>
        <w:spacing w:line="276" w:lineRule="auto"/>
        <w:jc w:val="both"/>
        <w:rPr>
          <w:rFonts w:ascii="Arial" w:hAnsi="Arial" w:cs="Arial"/>
        </w:rPr>
      </w:pPr>
      <w:r w:rsidRPr="00E708CC">
        <w:rPr>
          <w:rFonts w:ascii="Arial" w:hAnsi="Arial" w:cs="Arial"/>
        </w:rPr>
        <w:t xml:space="preserve">TCI </w:t>
      </w:r>
      <w:r w:rsidR="003D0355">
        <w:rPr>
          <w:rFonts w:ascii="Arial" w:hAnsi="Arial" w:cs="Arial"/>
        </w:rPr>
        <w:t xml:space="preserve">also </w:t>
      </w:r>
      <w:r w:rsidRPr="00E708CC">
        <w:rPr>
          <w:rFonts w:ascii="Arial" w:hAnsi="Arial" w:cs="Arial"/>
        </w:rPr>
        <w:t xml:space="preserve">aligns with Liberation’s concern that the proposed Mental Health Bill does not ensure the scale or nature of community-based services required under Article 19 of the CRPD. Expanding services without removing the legal basis for </w:t>
      </w:r>
      <w:r w:rsidR="000C2535" w:rsidRPr="00E708CC">
        <w:rPr>
          <w:rFonts w:ascii="Arial" w:hAnsi="Arial" w:cs="Arial"/>
        </w:rPr>
        <w:t>disability-based</w:t>
      </w:r>
      <w:r w:rsidRPr="00E708CC">
        <w:rPr>
          <w:rFonts w:ascii="Arial" w:hAnsi="Arial" w:cs="Arial"/>
        </w:rPr>
        <w:t xml:space="preserve"> detention and forced treatment risks replicating institutional harms in the community. </w:t>
      </w:r>
    </w:p>
    <w:p w14:paraId="7FCB7710" w14:textId="77777777" w:rsidR="00866D1D" w:rsidRPr="00866D1D" w:rsidRDefault="00866D1D" w:rsidP="00866D1D">
      <w:pPr>
        <w:pStyle w:val="ListParagraph"/>
        <w:spacing w:line="276" w:lineRule="auto"/>
        <w:jc w:val="both"/>
        <w:rPr>
          <w:rFonts w:ascii="Arial" w:hAnsi="Arial" w:cs="Arial"/>
        </w:rPr>
      </w:pPr>
    </w:p>
    <w:p w14:paraId="3BFCEE19" w14:textId="0EEA5971" w:rsidR="00866D1D" w:rsidRPr="00E708CC" w:rsidRDefault="0093502D" w:rsidP="00E708CC">
      <w:pPr>
        <w:spacing w:line="276" w:lineRule="auto"/>
        <w:jc w:val="both"/>
        <w:rPr>
          <w:rFonts w:ascii="Arial" w:hAnsi="Arial" w:cs="Arial"/>
        </w:rPr>
      </w:pPr>
      <w:r w:rsidRPr="00E708CC">
        <w:rPr>
          <w:rFonts w:ascii="Arial" w:hAnsi="Arial" w:cs="Arial"/>
        </w:rPr>
        <w:t xml:space="preserve">The bill </w:t>
      </w:r>
      <w:r w:rsidR="009B55FC" w:rsidRPr="00E708CC">
        <w:rPr>
          <w:rFonts w:ascii="Arial" w:hAnsi="Arial" w:cs="Arial"/>
        </w:rPr>
        <w:t xml:space="preserve">seeks </w:t>
      </w:r>
      <w:r w:rsidRPr="00E708CC">
        <w:rPr>
          <w:rFonts w:ascii="Arial" w:hAnsi="Arial" w:cs="Arial"/>
        </w:rPr>
        <w:t>to maintain Community Treatment Orders (CTO)</w:t>
      </w:r>
      <w:r w:rsidR="009B55FC" w:rsidRPr="00E708CC">
        <w:rPr>
          <w:rFonts w:ascii="Arial" w:hAnsi="Arial" w:cs="Arial"/>
        </w:rPr>
        <w:t>,</w:t>
      </w:r>
      <w:r w:rsidRPr="00E708CC">
        <w:rPr>
          <w:rFonts w:ascii="Arial" w:hAnsi="Arial" w:cs="Arial"/>
        </w:rPr>
        <w:t xml:space="preserve"> </w:t>
      </w:r>
      <w:r w:rsidR="009B55FC" w:rsidRPr="00E708CC">
        <w:rPr>
          <w:rFonts w:ascii="Arial" w:hAnsi="Arial" w:cs="Arial"/>
        </w:rPr>
        <w:t xml:space="preserve">which are coercive mechanisms allowing people with psychosocial disabilities to live in the community under conditions of control and surveillance. They extend the clinical gaze into private and intimate spaces, transforming homes into sites of monitoring. </w:t>
      </w:r>
      <w:r w:rsidRPr="00E708CC">
        <w:rPr>
          <w:rFonts w:ascii="Arial" w:hAnsi="Arial" w:cs="Arial"/>
        </w:rPr>
        <w:t xml:space="preserve">CTOs </w:t>
      </w:r>
      <w:r w:rsidR="00043003" w:rsidRPr="00E708CC">
        <w:rPr>
          <w:rFonts w:ascii="Arial" w:hAnsi="Arial" w:cs="Arial"/>
        </w:rPr>
        <w:t xml:space="preserve">reinforce the medical model by treating the individual </w:t>
      </w:r>
      <w:r w:rsidR="009B55FC" w:rsidRPr="00E708CC">
        <w:rPr>
          <w:rFonts w:ascii="Arial" w:hAnsi="Arial" w:cs="Arial"/>
        </w:rPr>
        <w:t xml:space="preserve">as ‘community patient’ </w:t>
      </w:r>
      <w:r w:rsidR="00043003" w:rsidRPr="00E708CC">
        <w:rPr>
          <w:rFonts w:ascii="Arial" w:hAnsi="Arial" w:cs="Arial"/>
        </w:rPr>
        <w:t>on conditional release, rather than a rights-holder entitled to autonomy and support.</w:t>
      </w:r>
      <w:r w:rsidR="003D0355">
        <w:rPr>
          <w:rFonts w:ascii="Arial" w:hAnsi="Arial" w:cs="Arial"/>
        </w:rPr>
        <w:t xml:space="preserve"> Persons with psychosocial disabilities</w:t>
      </w:r>
      <w:r w:rsidR="00021649" w:rsidRPr="00E708CC">
        <w:rPr>
          <w:rFonts w:ascii="Arial" w:hAnsi="Arial" w:cs="Arial"/>
        </w:rPr>
        <w:t xml:space="preserve"> have described CTOs as a form of ‘chemical incarceration’</w:t>
      </w:r>
      <w:r w:rsidR="00021649">
        <w:rPr>
          <w:rStyle w:val="FootnoteReference"/>
          <w:rFonts w:ascii="Arial" w:hAnsi="Arial" w:cs="Arial"/>
        </w:rPr>
        <w:footnoteReference w:id="36"/>
      </w:r>
      <w:r w:rsidR="00021649" w:rsidRPr="00E708CC">
        <w:rPr>
          <w:rFonts w:ascii="Arial" w:hAnsi="Arial" w:cs="Arial"/>
        </w:rPr>
        <w:t xml:space="preserve"> often accompanied by threats of recall, routine check-ups, and conditional access to housing, employment, or services. This amounts to social control rather than support.</w:t>
      </w:r>
      <w:r w:rsidR="002A361E" w:rsidRPr="00E708CC">
        <w:rPr>
          <w:rFonts w:ascii="Arial" w:hAnsi="Arial" w:cs="Arial"/>
        </w:rPr>
        <w:t xml:space="preserve"> There have been numerous attempts to demonstrate the efficacy of CTOs but most of have been </w:t>
      </w:r>
      <w:r w:rsidR="00D96E22" w:rsidRPr="00E708CC">
        <w:rPr>
          <w:rFonts w:ascii="Arial" w:hAnsi="Arial" w:cs="Arial"/>
        </w:rPr>
        <w:t>unsuccessful and</w:t>
      </w:r>
      <w:r w:rsidR="002A361E" w:rsidRPr="00E708CC">
        <w:rPr>
          <w:rFonts w:ascii="Arial" w:hAnsi="Arial" w:cs="Arial"/>
        </w:rPr>
        <w:t xml:space="preserve"> </w:t>
      </w:r>
      <w:r w:rsidR="00075D64">
        <w:rPr>
          <w:rFonts w:ascii="Arial" w:hAnsi="Arial" w:cs="Arial"/>
        </w:rPr>
        <w:t xml:space="preserve">have also raised </w:t>
      </w:r>
      <w:r w:rsidR="002A361E" w:rsidRPr="00E708CC">
        <w:rPr>
          <w:rFonts w:ascii="Arial" w:hAnsi="Arial" w:cs="Arial"/>
        </w:rPr>
        <w:t>ethical and human rights concerns</w:t>
      </w:r>
      <w:r w:rsidR="00793562" w:rsidRPr="00E708CC">
        <w:rPr>
          <w:rFonts w:ascii="Arial" w:hAnsi="Arial" w:cs="Arial"/>
        </w:rPr>
        <w:t>.</w:t>
      </w:r>
      <w:r w:rsidR="00021649">
        <w:rPr>
          <w:rStyle w:val="FootnoteReference"/>
          <w:rFonts w:ascii="Arial" w:hAnsi="Arial" w:cs="Arial"/>
        </w:rPr>
        <w:footnoteReference w:id="37"/>
      </w:r>
      <w:r w:rsidR="00793562" w:rsidRPr="00E708CC">
        <w:rPr>
          <w:rFonts w:ascii="Arial" w:hAnsi="Arial" w:cs="Arial"/>
        </w:rPr>
        <w:t xml:space="preserve"> </w:t>
      </w:r>
      <w:r w:rsidR="00D34561" w:rsidRPr="00E708CC">
        <w:rPr>
          <w:rFonts w:ascii="Arial" w:hAnsi="Arial" w:cs="Arial"/>
        </w:rPr>
        <w:t xml:space="preserve">Persons with psychosocial disabilities have shared how </w:t>
      </w:r>
      <w:r w:rsidR="00D96E22" w:rsidRPr="00E708CC">
        <w:rPr>
          <w:rFonts w:ascii="Arial" w:hAnsi="Arial" w:cs="Arial"/>
        </w:rPr>
        <w:t>CTOs</w:t>
      </w:r>
      <w:r w:rsidR="00D34561" w:rsidRPr="00E708CC">
        <w:rPr>
          <w:rFonts w:ascii="Arial" w:hAnsi="Arial" w:cs="Arial"/>
        </w:rPr>
        <w:t xml:space="preserve"> identify them as risky, defective, in need of constant surveillance resulting them in feeling criminalized, disconnected, traumatized and gaslit.</w:t>
      </w:r>
      <w:r w:rsidR="00D055F7">
        <w:rPr>
          <w:rStyle w:val="FootnoteReference"/>
          <w:rFonts w:ascii="Arial" w:hAnsi="Arial" w:cs="Arial"/>
        </w:rPr>
        <w:footnoteReference w:id="38"/>
      </w:r>
    </w:p>
    <w:p w14:paraId="4C6238EF" w14:textId="77777777" w:rsidR="00866D1D" w:rsidRDefault="00866D1D" w:rsidP="00866D1D">
      <w:pPr>
        <w:pStyle w:val="ListParagraph"/>
        <w:spacing w:line="276" w:lineRule="auto"/>
        <w:jc w:val="both"/>
        <w:rPr>
          <w:rFonts w:ascii="Arial" w:hAnsi="Arial" w:cs="Arial"/>
        </w:rPr>
      </w:pPr>
    </w:p>
    <w:p w14:paraId="10AAEF1D" w14:textId="3F915C45" w:rsidR="00793562" w:rsidRPr="00E708CC" w:rsidRDefault="0093502D" w:rsidP="003D0355">
      <w:pPr>
        <w:pStyle w:val="p1"/>
        <w:spacing w:line="276" w:lineRule="auto"/>
        <w:jc w:val="both"/>
      </w:pPr>
      <w:r w:rsidRPr="003D0355">
        <w:rPr>
          <w:rFonts w:ascii="Arial" w:hAnsi="Arial" w:cs="Arial"/>
          <w:sz w:val="24"/>
          <w:szCs w:val="24"/>
        </w:rPr>
        <w:t xml:space="preserve">From </w:t>
      </w:r>
      <w:r w:rsidR="00D96E22">
        <w:rPr>
          <w:rFonts w:ascii="Arial" w:hAnsi="Arial" w:cs="Arial"/>
          <w:sz w:val="24"/>
          <w:szCs w:val="24"/>
        </w:rPr>
        <w:t>the</w:t>
      </w:r>
      <w:r w:rsidRPr="003D0355">
        <w:rPr>
          <w:rFonts w:ascii="Arial" w:hAnsi="Arial" w:cs="Arial"/>
          <w:sz w:val="24"/>
          <w:szCs w:val="24"/>
        </w:rPr>
        <w:t xml:space="preserve"> CRPD and global OPD perspective, CTOs constitute a form of </w:t>
      </w:r>
      <w:r w:rsidRPr="003D0355">
        <w:rPr>
          <w:rStyle w:val="Strong"/>
          <w:rFonts w:ascii="Arial" w:eastAsiaTheme="majorEastAsia" w:hAnsi="Arial" w:cs="Arial"/>
          <w:b w:val="0"/>
          <w:bCs w:val="0"/>
          <w:sz w:val="24"/>
          <w:szCs w:val="24"/>
        </w:rPr>
        <w:t>substitute decision-making</w:t>
      </w:r>
      <w:r w:rsidRPr="003D0355">
        <w:rPr>
          <w:rFonts w:ascii="Arial" w:hAnsi="Arial" w:cs="Arial"/>
          <w:sz w:val="24"/>
          <w:szCs w:val="24"/>
        </w:rPr>
        <w:t xml:space="preserve">, where the person’s autonomy and preferences are overridden by clinical authority, violating </w:t>
      </w:r>
      <w:r w:rsidRPr="003D0355">
        <w:rPr>
          <w:rStyle w:val="Strong"/>
          <w:rFonts w:ascii="Arial" w:eastAsiaTheme="majorEastAsia" w:hAnsi="Arial" w:cs="Arial"/>
          <w:b w:val="0"/>
          <w:bCs w:val="0"/>
          <w:sz w:val="24"/>
          <w:szCs w:val="24"/>
        </w:rPr>
        <w:t>Article 12</w:t>
      </w:r>
      <w:r w:rsidRPr="003D0355">
        <w:rPr>
          <w:rFonts w:ascii="Arial" w:hAnsi="Arial" w:cs="Arial"/>
          <w:sz w:val="24"/>
          <w:szCs w:val="24"/>
        </w:rPr>
        <w:t xml:space="preserve">. The community becomes an extension of the institution rather than a space of freedom, care, and choice, undermining the right to </w:t>
      </w:r>
      <w:r w:rsidRPr="003D0355">
        <w:rPr>
          <w:rStyle w:val="Strong"/>
          <w:rFonts w:ascii="Arial" w:eastAsiaTheme="majorEastAsia" w:hAnsi="Arial" w:cs="Arial"/>
          <w:b w:val="0"/>
          <w:bCs w:val="0"/>
          <w:sz w:val="24"/>
          <w:szCs w:val="24"/>
        </w:rPr>
        <w:t>live independently and be included in the community (Article 19)</w:t>
      </w:r>
      <w:r w:rsidRPr="003D0355">
        <w:rPr>
          <w:rFonts w:ascii="Arial" w:hAnsi="Arial" w:cs="Arial"/>
          <w:b/>
          <w:bCs/>
          <w:sz w:val="24"/>
          <w:szCs w:val="24"/>
        </w:rPr>
        <w:t>.</w:t>
      </w:r>
      <w:r w:rsidRPr="003D0355">
        <w:rPr>
          <w:rFonts w:ascii="Arial" w:hAnsi="Arial" w:cs="Arial"/>
          <w:sz w:val="24"/>
          <w:szCs w:val="24"/>
        </w:rPr>
        <w:t xml:space="preserve"> </w:t>
      </w:r>
      <w:r w:rsidR="00793562" w:rsidRPr="003D0355">
        <w:rPr>
          <w:rFonts w:ascii="Arial" w:hAnsi="Arial" w:cs="Arial"/>
          <w:sz w:val="24"/>
          <w:szCs w:val="24"/>
        </w:rPr>
        <w:t xml:space="preserve">The </w:t>
      </w:r>
      <w:r w:rsidR="003D0355">
        <w:rPr>
          <w:rFonts w:ascii="Arial" w:hAnsi="Arial" w:cs="Arial"/>
          <w:sz w:val="24"/>
          <w:szCs w:val="24"/>
        </w:rPr>
        <w:t>UN</w:t>
      </w:r>
      <w:r w:rsidR="00793562" w:rsidRPr="003D0355">
        <w:rPr>
          <w:rFonts w:ascii="Arial" w:hAnsi="Arial" w:cs="Arial"/>
          <w:sz w:val="24"/>
          <w:szCs w:val="24"/>
        </w:rPr>
        <w:t xml:space="preserve"> Guidelines on Deinstitutionalization clearly call for the prevention of coercive practices like CTOs and emphasise the creation of voluntary, rights-based, and peer-led support systems</w:t>
      </w:r>
      <w:r w:rsidR="003D0355">
        <w:rPr>
          <w:rFonts w:ascii="Arial" w:hAnsi="Arial" w:cs="Arial"/>
          <w:sz w:val="24"/>
          <w:szCs w:val="24"/>
        </w:rPr>
        <w:t>.</w:t>
      </w:r>
    </w:p>
    <w:p w14:paraId="08A3EE00" w14:textId="77777777" w:rsidR="00793562" w:rsidRPr="00793562" w:rsidRDefault="00793562" w:rsidP="00793562">
      <w:pPr>
        <w:pStyle w:val="ListParagraph"/>
        <w:rPr>
          <w:rFonts w:ascii="Arial" w:hAnsi="Arial" w:cs="Arial"/>
        </w:rPr>
      </w:pPr>
    </w:p>
    <w:p w14:paraId="7C783301" w14:textId="4F325A7B" w:rsidR="003751AC" w:rsidRPr="00E708CC" w:rsidRDefault="00793562" w:rsidP="00E708CC">
      <w:pPr>
        <w:spacing w:line="276" w:lineRule="auto"/>
        <w:jc w:val="both"/>
        <w:rPr>
          <w:rFonts w:ascii="Arial" w:hAnsi="Arial" w:cs="Arial"/>
        </w:rPr>
      </w:pPr>
      <w:r w:rsidRPr="00E708CC">
        <w:rPr>
          <w:rFonts w:ascii="Arial" w:hAnsi="Arial" w:cs="Arial"/>
        </w:rPr>
        <w:t xml:space="preserve">We are also deeply concerned by the absence of </w:t>
      </w:r>
      <w:r w:rsidR="00AB1A5E" w:rsidRPr="00E708CC">
        <w:rPr>
          <w:rFonts w:ascii="Arial" w:hAnsi="Arial" w:cs="Arial"/>
        </w:rPr>
        <w:t xml:space="preserve">adequate </w:t>
      </w:r>
      <w:r w:rsidRPr="00E708CC">
        <w:rPr>
          <w:rFonts w:ascii="Arial" w:hAnsi="Arial" w:cs="Arial"/>
        </w:rPr>
        <w:t xml:space="preserve">supported decision-making mechanisms in the Bill. These are essential to upholding autonomy and legal capacity under Article 12. Without rights-based and voluntary supports developed in collaboration with OPDs, the proposed reforms remain incompatible with the CRPD. Authority continues to rest with the </w:t>
      </w:r>
      <w:r w:rsidR="00646C4F">
        <w:rPr>
          <w:rFonts w:ascii="Arial" w:hAnsi="Arial" w:cs="Arial"/>
        </w:rPr>
        <w:t>‘</w:t>
      </w:r>
      <w:r w:rsidRPr="00E708CC">
        <w:rPr>
          <w:rFonts w:ascii="Arial" w:hAnsi="Arial" w:cs="Arial"/>
        </w:rPr>
        <w:t>responsible clinician</w:t>
      </w:r>
      <w:r w:rsidR="00646C4F">
        <w:rPr>
          <w:rFonts w:ascii="Arial" w:hAnsi="Arial" w:cs="Arial"/>
        </w:rPr>
        <w:t>’</w:t>
      </w:r>
      <w:r w:rsidRPr="00E708CC">
        <w:rPr>
          <w:rFonts w:ascii="Arial" w:hAnsi="Arial" w:cs="Arial"/>
        </w:rPr>
        <w:t xml:space="preserve"> perpetuating the same power hierarchies that have existed for decades. There are progressive examples from </w:t>
      </w:r>
      <w:r w:rsidR="00B43751" w:rsidRPr="00E708CC">
        <w:rPr>
          <w:rFonts w:ascii="Arial" w:hAnsi="Arial" w:cs="Arial"/>
        </w:rPr>
        <w:t>Ireland</w:t>
      </w:r>
      <w:r w:rsidR="00B43751">
        <w:rPr>
          <w:rStyle w:val="FootnoteReference"/>
          <w:rFonts w:ascii="Arial" w:hAnsi="Arial" w:cs="Arial"/>
        </w:rPr>
        <w:footnoteReference w:id="39"/>
      </w:r>
      <w:r w:rsidR="00646C4F">
        <w:rPr>
          <w:rFonts w:ascii="Arial" w:hAnsi="Arial" w:cs="Arial"/>
        </w:rPr>
        <w:t xml:space="preserve"> and</w:t>
      </w:r>
      <w:r w:rsidR="00B43751" w:rsidRPr="00E708CC">
        <w:rPr>
          <w:rFonts w:ascii="Arial" w:hAnsi="Arial" w:cs="Arial"/>
        </w:rPr>
        <w:t xml:space="preserve"> British Columbia</w:t>
      </w:r>
      <w:r w:rsidR="00B43751">
        <w:rPr>
          <w:rStyle w:val="FootnoteReference"/>
          <w:rFonts w:ascii="Arial" w:hAnsi="Arial" w:cs="Arial"/>
        </w:rPr>
        <w:footnoteReference w:id="40"/>
      </w:r>
      <w:r w:rsidR="00B43751" w:rsidRPr="00E708CC">
        <w:rPr>
          <w:rFonts w:ascii="Arial" w:hAnsi="Arial" w:cs="Arial"/>
        </w:rPr>
        <w:t xml:space="preserve"> on enabling supported decision making for persons with disabilities and legal reforms that uphold legal capacity of everyone above the age of 18 years and abolishing substituted </w:t>
      </w:r>
      <w:r w:rsidR="000E5B1D" w:rsidRPr="00E708CC">
        <w:rPr>
          <w:rFonts w:ascii="Arial" w:hAnsi="Arial" w:cs="Arial"/>
        </w:rPr>
        <w:t>decision-making</w:t>
      </w:r>
      <w:r w:rsidR="00B43751" w:rsidRPr="00E708CC">
        <w:rPr>
          <w:rFonts w:ascii="Arial" w:hAnsi="Arial" w:cs="Arial"/>
        </w:rPr>
        <w:t xml:space="preserve"> regimes from Spain,</w:t>
      </w:r>
      <w:r w:rsidR="00B43751">
        <w:rPr>
          <w:rStyle w:val="FootnoteReference"/>
          <w:rFonts w:ascii="Arial" w:hAnsi="Arial" w:cs="Arial"/>
        </w:rPr>
        <w:footnoteReference w:id="41"/>
      </w:r>
      <w:r w:rsidR="00B43751" w:rsidRPr="00E708CC">
        <w:rPr>
          <w:rFonts w:ascii="Arial" w:hAnsi="Arial" w:cs="Arial"/>
        </w:rPr>
        <w:t xml:space="preserve"> Mexico</w:t>
      </w:r>
      <w:r w:rsidR="00B43751">
        <w:rPr>
          <w:rStyle w:val="FootnoteReference"/>
          <w:rFonts w:ascii="Arial" w:hAnsi="Arial" w:cs="Arial"/>
        </w:rPr>
        <w:footnoteReference w:id="42"/>
      </w:r>
      <w:r w:rsidR="00F725AA">
        <w:rPr>
          <w:rFonts w:ascii="Arial" w:hAnsi="Arial" w:cs="Arial"/>
        </w:rPr>
        <w:t xml:space="preserve"> and</w:t>
      </w:r>
      <w:r w:rsidR="00B43751" w:rsidRPr="00E708CC">
        <w:rPr>
          <w:rFonts w:ascii="Arial" w:hAnsi="Arial" w:cs="Arial"/>
        </w:rPr>
        <w:t xml:space="preserve"> Colombia</w:t>
      </w:r>
      <w:r w:rsidR="00B43751">
        <w:rPr>
          <w:rStyle w:val="FootnoteReference"/>
          <w:rFonts w:ascii="Arial" w:hAnsi="Arial" w:cs="Arial"/>
        </w:rPr>
        <w:footnoteReference w:id="43"/>
      </w:r>
      <w:r w:rsidR="00B43751" w:rsidRPr="00E708CC">
        <w:rPr>
          <w:rFonts w:ascii="Arial" w:hAnsi="Arial" w:cs="Arial"/>
        </w:rPr>
        <w:t xml:space="preserve">. </w:t>
      </w:r>
      <w:r w:rsidR="00F725AA">
        <w:rPr>
          <w:rFonts w:ascii="Arial" w:hAnsi="Arial" w:cs="Arial"/>
        </w:rPr>
        <w:t xml:space="preserve">There are </w:t>
      </w:r>
      <w:r w:rsidR="00646C4F">
        <w:rPr>
          <w:rFonts w:ascii="Arial" w:hAnsi="Arial" w:cs="Arial"/>
        </w:rPr>
        <w:t xml:space="preserve">also </w:t>
      </w:r>
      <w:r w:rsidR="00F725AA">
        <w:rPr>
          <w:rFonts w:ascii="Arial" w:hAnsi="Arial" w:cs="Arial"/>
        </w:rPr>
        <w:t xml:space="preserve">examples from </w:t>
      </w:r>
      <w:r w:rsidR="00AB1A5E" w:rsidRPr="00E708CC">
        <w:rPr>
          <w:rFonts w:ascii="Arial" w:hAnsi="Arial" w:cs="Arial"/>
        </w:rPr>
        <w:t xml:space="preserve">OPDs </w:t>
      </w:r>
      <w:r w:rsidR="00F725AA">
        <w:rPr>
          <w:rFonts w:ascii="Arial" w:hAnsi="Arial" w:cs="Arial"/>
        </w:rPr>
        <w:t>that h</w:t>
      </w:r>
      <w:r w:rsidR="00AB1A5E" w:rsidRPr="00E708CC">
        <w:rPr>
          <w:rFonts w:ascii="Arial" w:hAnsi="Arial" w:cs="Arial"/>
        </w:rPr>
        <w:t xml:space="preserve">ave also demonstrated how peer support can be strengthened and utilized to enable </w:t>
      </w:r>
      <w:r w:rsidR="007F0F65">
        <w:rPr>
          <w:rFonts w:ascii="Arial" w:hAnsi="Arial" w:cs="Arial"/>
        </w:rPr>
        <w:t xml:space="preserve">supported </w:t>
      </w:r>
      <w:r w:rsidR="00AB1A5E" w:rsidRPr="00E708CC">
        <w:rPr>
          <w:rFonts w:ascii="Arial" w:hAnsi="Arial" w:cs="Arial"/>
        </w:rPr>
        <w:t>decision making among peers.</w:t>
      </w:r>
      <w:r w:rsidR="00AB1A5E" w:rsidRPr="00F725AA">
        <w:rPr>
          <w:rStyle w:val="FootnoteReference"/>
          <w:rFonts w:ascii="Arial" w:hAnsi="Arial" w:cs="Arial"/>
        </w:rPr>
        <w:footnoteReference w:id="44"/>
      </w:r>
      <w:r w:rsidR="00F725AA" w:rsidRPr="00F725AA">
        <w:rPr>
          <w:rFonts w:ascii="Arial" w:hAnsi="Arial" w:cs="Arial"/>
          <w:vertAlign w:val="superscript"/>
        </w:rPr>
        <w:t>,</w:t>
      </w:r>
      <w:r w:rsidR="00AB1A5E" w:rsidRPr="00F725AA">
        <w:rPr>
          <w:rStyle w:val="FootnoteReference"/>
          <w:rFonts w:ascii="Arial" w:hAnsi="Arial" w:cs="Arial"/>
        </w:rPr>
        <w:footnoteReference w:id="45"/>
      </w:r>
    </w:p>
    <w:p w14:paraId="79F69F3C" w14:textId="77777777" w:rsidR="00793562" w:rsidRPr="00663C02" w:rsidRDefault="00793562" w:rsidP="00663C02">
      <w:pPr>
        <w:spacing w:line="276" w:lineRule="auto"/>
        <w:jc w:val="both"/>
        <w:rPr>
          <w:rFonts w:ascii="Arial" w:hAnsi="Arial" w:cs="Arial"/>
        </w:rPr>
      </w:pPr>
    </w:p>
    <w:p w14:paraId="2C09DA21" w14:textId="00D3E7DD" w:rsidR="00DD20C2" w:rsidRPr="00E708CC" w:rsidRDefault="003751AC" w:rsidP="00E708CC">
      <w:pPr>
        <w:spacing w:line="276" w:lineRule="auto"/>
        <w:jc w:val="both"/>
        <w:rPr>
          <w:rFonts w:ascii="Arial" w:hAnsi="Arial" w:cs="Arial"/>
        </w:rPr>
      </w:pPr>
      <w:r w:rsidRPr="00E708CC">
        <w:rPr>
          <w:rFonts w:ascii="Arial" w:hAnsi="Arial" w:cs="Arial"/>
        </w:rPr>
        <w:t xml:space="preserve">Community mental health centres have often been cited as extension of the </w:t>
      </w:r>
      <w:r w:rsidR="00971D62">
        <w:rPr>
          <w:rFonts w:ascii="Arial" w:hAnsi="Arial" w:cs="Arial"/>
        </w:rPr>
        <w:t>‘</w:t>
      </w:r>
      <w:r w:rsidRPr="00971D62">
        <w:rPr>
          <w:rFonts w:ascii="Arial" w:hAnsi="Arial" w:cs="Arial"/>
          <w:i/>
          <w:iCs/>
        </w:rPr>
        <w:t xml:space="preserve">clinical gaze and have tended to colonize the home settings in a </w:t>
      </w:r>
      <w:r w:rsidR="00971D62" w:rsidRPr="00971D62">
        <w:rPr>
          <w:rFonts w:ascii="Arial" w:hAnsi="Arial" w:cs="Arial"/>
          <w:i/>
          <w:iCs/>
        </w:rPr>
        <w:t>‘p</w:t>
      </w:r>
      <w:r w:rsidRPr="00971D62">
        <w:rPr>
          <w:rFonts w:ascii="Arial" w:hAnsi="Arial" w:cs="Arial"/>
          <w:i/>
          <w:iCs/>
        </w:rPr>
        <w:t>anoptical</w:t>
      </w:r>
      <w:r w:rsidR="00971D62" w:rsidRPr="00971D62">
        <w:rPr>
          <w:rFonts w:ascii="Arial" w:hAnsi="Arial" w:cs="Arial"/>
          <w:i/>
          <w:iCs/>
        </w:rPr>
        <w:t>’</w:t>
      </w:r>
      <w:r w:rsidRPr="00971D62">
        <w:rPr>
          <w:rFonts w:ascii="Arial" w:hAnsi="Arial" w:cs="Arial"/>
          <w:i/>
          <w:iCs/>
        </w:rPr>
        <w:t xml:space="preserve"> way, since the person’s everyday social life, including the family and community become objects to be examined more closely for finer details</w:t>
      </w:r>
      <w:r w:rsidR="00971D62">
        <w:rPr>
          <w:rFonts w:ascii="Arial" w:hAnsi="Arial" w:cs="Arial"/>
          <w:i/>
          <w:iCs/>
        </w:rPr>
        <w:t>’</w:t>
      </w:r>
      <w:r w:rsidRPr="00E708CC">
        <w:rPr>
          <w:rFonts w:ascii="Arial" w:hAnsi="Arial" w:cs="Arial"/>
        </w:rPr>
        <w:t>.</w:t>
      </w:r>
      <w:r w:rsidR="000E5B1D">
        <w:rPr>
          <w:rStyle w:val="FootnoteReference"/>
          <w:rFonts w:ascii="Arial" w:hAnsi="Arial" w:cs="Arial"/>
        </w:rPr>
        <w:footnoteReference w:id="46"/>
      </w:r>
      <w:r w:rsidRPr="00E708CC">
        <w:rPr>
          <w:rFonts w:ascii="Arial" w:hAnsi="Arial" w:cs="Arial"/>
        </w:rPr>
        <w:t xml:space="preserve"> </w:t>
      </w:r>
      <w:r w:rsidR="00923BAC" w:rsidRPr="00E708CC">
        <w:rPr>
          <w:rFonts w:ascii="Arial" w:hAnsi="Arial" w:cs="Arial"/>
        </w:rPr>
        <w:t>They</w:t>
      </w:r>
      <w:r w:rsidRPr="00E708CC">
        <w:rPr>
          <w:rFonts w:ascii="Arial" w:hAnsi="Arial" w:cs="Arial"/>
        </w:rPr>
        <w:t xml:space="preserve"> broadly function under the umbrella of</w:t>
      </w:r>
      <w:r w:rsidR="00923BAC" w:rsidRPr="00E708CC">
        <w:rPr>
          <w:rFonts w:ascii="Arial" w:hAnsi="Arial" w:cs="Arial"/>
        </w:rPr>
        <w:t xml:space="preserve"> mental health systems and this</w:t>
      </w:r>
      <w:r w:rsidRPr="00E708CC">
        <w:rPr>
          <w:rFonts w:ascii="Arial" w:hAnsi="Arial" w:cs="Arial"/>
        </w:rPr>
        <w:t xml:space="preserve"> paradoxical position undermines their goal to provide non-coercive</w:t>
      </w:r>
      <w:r w:rsidR="00923BAC" w:rsidRPr="00E708CC">
        <w:rPr>
          <w:rFonts w:ascii="Arial" w:hAnsi="Arial" w:cs="Arial"/>
        </w:rPr>
        <w:t xml:space="preserve"> and</w:t>
      </w:r>
      <w:r w:rsidRPr="00E708CC">
        <w:rPr>
          <w:rFonts w:ascii="Arial" w:hAnsi="Arial" w:cs="Arial"/>
        </w:rPr>
        <w:t xml:space="preserve"> user led alternatives.</w:t>
      </w:r>
      <w:r w:rsidR="00923BAC">
        <w:rPr>
          <w:rStyle w:val="FootnoteReference"/>
          <w:rFonts w:ascii="Arial" w:hAnsi="Arial" w:cs="Arial"/>
        </w:rPr>
        <w:footnoteReference w:id="47"/>
      </w:r>
      <w:r w:rsidRPr="00E708CC">
        <w:rPr>
          <w:rFonts w:ascii="Arial" w:hAnsi="Arial" w:cs="Arial"/>
        </w:rPr>
        <w:t xml:space="preserve"> </w:t>
      </w:r>
      <w:r w:rsidR="00971D62">
        <w:rPr>
          <w:rFonts w:ascii="Arial" w:hAnsi="Arial" w:cs="Arial"/>
        </w:rPr>
        <w:t>We see r</w:t>
      </w:r>
      <w:r w:rsidR="00CE3AA1" w:rsidRPr="00E708CC">
        <w:rPr>
          <w:rFonts w:ascii="Arial" w:hAnsi="Arial" w:cs="Arial"/>
        </w:rPr>
        <w:t>eformist approaches that focus on better staff or improved infrastructure within institutions or community mental health centres</w:t>
      </w:r>
      <w:r w:rsidR="00971D62">
        <w:rPr>
          <w:rFonts w:ascii="Arial" w:hAnsi="Arial" w:cs="Arial"/>
        </w:rPr>
        <w:t xml:space="preserve"> </w:t>
      </w:r>
      <w:r w:rsidR="00CE3AA1" w:rsidRPr="00E708CC">
        <w:rPr>
          <w:rFonts w:ascii="Arial" w:hAnsi="Arial" w:cs="Arial"/>
        </w:rPr>
        <w:t xml:space="preserve">as attempts to build more humane </w:t>
      </w:r>
      <w:r w:rsidR="00CC5CAD">
        <w:rPr>
          <w:rFonts w:ascii="Arial" w:hAnsi="Arial" w:cs="Arial"/>
        </w:rPr>
        <w:t>‘</w:t>
      </w:r>
      <w:r w:rsidR="00CE3AA1" w:rsidRPr="00E708CC">
        <w:rPr>
          <w:rFonts w:ascii="Arial" w:hAnsi="Arial" w:cs="Arial"/>
        </w:rPr>
        <w:t xml:space="preserve">museums of </w:t>
      </w:r>
      <w:r w:rsidR="00CE3AA1" w:rsidRPr="00971D62">
        <w:rPr>
          <w:rFonts w:ascii="Arial" w:hAnsi="Arial" w:cs="Arial"/>
        </w:rPr>
        <w:t>madness</w:t>
      </w:r>
      <w:r w:rsidR="00CC5CAD" w:rsidRPr="00971D62">
        <w:rPr>
          <w:rFonts w:ascii="Arial" w:hAnsi="Arial" w:cs="Arial"/>
        </w:rPr>
        <w:t>’.</w:t>
      </w:r>
      <w:r w:rsidR="00CE3AA1" w:rsidRPr="00971D62">
        <w:rPr>
          <w:rFonts w:ascii="Arial" w:hAnsi="Arial" w:cs="Arial"/>
          <w:vertAlign w:val="superscript"/>
        </w:rPr>
        <w:footnoteReference w:id="48"/>
      </w:r>
      <w:r w:rsidR="00CE3AA1" w:rsidRPr="00E708CC">
        <w:rPr>
          <w:rFonts w:ascii="Arial" w:hAnsi="Arial" w:cs="Arial"/>
          <w:vertAlign w:val="superscript"/>
        </w:rPr>
        <w:t xml:space="preserve"> </w:t>
      </w:r>
      <w:r w:rsidR="00CE3AA1" w:rsidRPr="00E708CC">
        <w:rPr>
          <w:rFonts w:ascii="Arial" w:hAnsi="Arial" w:cs="Arial"/>
        </w:rPr>
        <w:t xml:space="preserve">These efforts fail to address the core problem which is a custodial system empowered by law </w:t>
      </w:r>
      <w:r w:rsidR="00CE3AA1" w:rsidRPr="00E708CC">
        <w:rPr>
          <w:rFonts w:ascii="Arial" w:hAnsi="Arial" w:cs="Arial"/>
        </w:rPr>
        <w:lastRenderedPageBreak/>
        <w:t>to strip individuals of dignity under the guise of ‘care’. The issue is not poor staffing, but it is the existence of a system that legitimizes coercion and confinement.</w:t>
      </w:r>
      <w:r w:rsidR="00DD20C2" w:rsidRPr="00E708CC">
        <w:rPr>
          <w:rFonts w:ascii="Arial" w:hAnsi="Arial" w:cs="Arial"/>
        </w:rPr>
        <w:t xml:space="preserve"> </w:t>
      </w:r>
      <w:r w:rsidR="0043567C">
        <w:rPr>
          <w:rFonts w:ascii="Arial" w:hAnsi="Arial" w:cs="Arial"/>
        </w:rPr>
        <w:t>Moreover, p</w:t>
      </w:r>
      <w:r w:rsidR="00DD20C2" w:rsidRPr="00E708CC">
        <w:rPr>
          <w:rFonts w:ascii="Arial" w:hAnsi="Arial" w:cs="Arial"/>
        </w:rPr>
        <w:t xml:space="preserve">ublic health expenditure on mental health services </w:t>
      </w:r>
      <w:r w:rsidR="00CC5CAD" w:rsidRPr="00E708CC">
        <w:rPr>
          <w:rFonts w:ascii="Arial" w:hAnsi="Arial" w:cs="Arial"/>
        </w:rPr>
        <w:t>is</w:t>
      </w:r>
      <w:r w:rsidR="00DD20C2" w:rsidRPr="00E708CC">
        <w:rPr>
          <w:rFonts w:ascii="Arial" w:hAnsi="Arial" w:cs="Arial"/>
        </w:rPr>
        <w:t xml:space="preserve"> routinely dedicated to in-patient care, while community based and non-coercive psychosocial services remain severely underfunded.</w:t>
      </w:r>
      <w:r w:rsidR="00DD20C2">
        <w:rPr>
          <w:rStyle w:val="FootnoteReference"/>
          <w:rFonts w:ascii="Arial" w:hAnsi="Arial" w:cs="Arial"/>
        </w:rPr>
        <w:footnoteReference w:id="49"/>
      </w:r>
      <w:r w:rsidR="007F45CF">
        <w:rPr>
          <w:rFonts w:ascii="Arial" w:hAnsi="Arial" w:cs="Arial"/>
        </w:rPr>
        <w:t xml:space="preserve"> </w:t>
      </w:r>
    </w:p>
    <w:p w14:paraId="7CF09E36" w14:textId="77777777" w:rsidR="00DD20C2" w:rsidRPr="00DD20C2" w:rsidRDefault="00DD20C2" w:rsidP="00DD20C2">
      <w:pPr>
        <w:pStyle w:val="ListParagraph"/>
        <w:rPr>
          <w:rFonts w:ascii="Arial" w:hAnsi="Arial" w:cs="Arial"/>
        </w:rPr>
      </w:pPr>
    </w:p>
    <w:p w14:paraId="4A50A950" w14:textId="79D7D572" w:rsidR="00866D1D" w:rsidRDefault="00CE3AA1" w:rsidP="002601A8">
      <w:pPr>
        <w:spacing w:line="276" w:lineRule="auto"/>
        <w:jc w:val="both"/>
        <w:rPr>
          <w:rFonts w:ascii="Arial" w:hAnsi="Arial" w:cs="Arial"/>
        </w:rPr>
      </w:pPr>
      <w:r w:rsidRPr="00E708CC">
        <w:rPr>
          <w:rFonts w:ascii="Arial" w:hAnsi="Arial" w:cs="Arial"/>
        </w:rPr>
        <w:t>We urge the State Pary to set up c</w:t>
      </w:r>
      <w:r w:rsidR="003751AC" w:rsidRPr="00E708CC">
        <w:rPr>
          <w:rFonts w:ascii="Arial" w:hAnsi="Arial" w:cs="Arial"/>
        </w:rPr>
        <w:t>ommunity health services that are CRPD compliant,</w:t>
      </w:r>
      <w:r w:rsidR="00CB260D" w:rsidRPr="00E708CC">
        <w:rPr>
          <w:rFonts w:ascii="Arial" w:hAnsi="Arial" w:cs="Arial"/>
        </w:rPr>
        <w:t xml:space="preserve"> voluntary, non-coercive,</w:t>
      </w:r>
      <w:r w:rsidR="003751AC" w:rsidRPr="00E708CC">
        <w:rPr>
          <w:rFonts w:ascii="Arial" w:hAnsi="Arial" w:cs="Arial"/>
        </w:rPr>
        <w:t xml:space="preserve"> rights based, centres the will and preferences of persons with psychosocial disabilities and offers them a range of choice regarding their healing and </w:t>
      </w:r>
      <w:r w:rsidR="00923BAC" w:rsidRPr="00E708CC">
        <w:rPr>
          <w:rFonts w:ascii="Arial" w:hAnsi="Arial" w:cs="Arial"/>
        </w:rPr>
        <w:t>well-being</w:t>
      </w:r>
      <w:r w:rsidR="003751AC" w:rsidRPr="00E708CC">
        <w:rPr>
          <w:rFonts w:ascii="Arial" w:hAnsi="Arial" w:cs="Arial"/>
        </w:rPr>
        <w:t xml:space="preserve"> options</w:t>
      </w:r>
      <w:r w:rsidRPr="00E708CC">
        <w:rPr>
          <w:rFonts w:ascii="Arial" w:hAnsi="Arial" w:cs="Arial"/>
        </w:rPr>
        <w:t>.</w:t>
      </w:r>
      <w:r w:rsidR="007F45CF">
        <w:rPr>
          <w:rFonts w:ascii="Arial" w:hAnsi="Arial" w:cs="Arial"/>
        </w:rPr>
        <w:t xml:space="preserve"> </w:t>
      </w:r>
      <w:r w:rsidR="00CB260D" w:rsidRPr="00E708CC">
        <w:rPr>
          <w:rFonts w:ascii="Arial" w:hAnsi="Arial" w:cs="Arial"/>
        </w:rPr>
        <w:t>These services must not replicate institutional practices in community settings or operate through surveillance, forced treatment, or conditional compliance. Instead, they should be holistic, culturally appropriate, user-led, and embedded within broader systems of community inclusion ensuring access to housing, education, and social protection.</w:t>
      </w:r>
      <w:r w:rsidR="00CB260D">
        <w:rPr>
          <w:rStyle w:val="FootnoteReference"/>
          <w:rFonts w:ascii="Arial" w:hAnsi="Arial" w:cs="Arial"/>
        </w:rPr>
        <w:footnoteReference w:id="50"/>
      </w:r>
      <w:r w:rsidR="002601A8">
        <w:rPr>
          <w:rFonts w:ascii="Arial" w:hAnsi="Arial" w:cs="Arial"/>
        </w:rPr>
        <w:t xml:space="preserve"> Additionally, State Party should also </w:t>
      </w:r>
      <w:r w:rsidR="002601A8" w:rsidRPr="002601A8">
        <w:rPr>
          <w:rFonts w:ascii="Arial" w:hAnsi="Arial" w:cs="Arial"/>
        </w:rPr>
        <w:t xml:space="preserve">focus on </w:t>
      </w:r>
      <w:r w:rsidR="002601A8">
        <w:rPr>
          <w:rFonts w:ascii="Arial" w:hAnsi="Arial" w:cs="Arial"/>
        </w:rPr>
        <w:t>‘</w:t>
      </w:r>
      <w:r w:rsidR="002601A8" w:rsidRPr="002601A8">
        <w:rPr>
          <w:rFonts w:ascii="Arial" w:hAnsi="Arial" w:cs="Arial"/>
          <w:i/>
          <w:iCs/>
        </w:rPr>
        <w:t>developing and strengthening existing movements for the non-violent, peer-led, trauma-informed, community-led programmes, healing and cultural practices preferred by local groups of persons with psychosocial disabilities, attentive to the movement of non-medical alternatives and progressive community support worldwide</w:t>
      </w:r>
      <w:r w:rsidR="002601A8">
        <w:rPr>
          <w:rFonts w:ascii="Arial" w:hAnsi="Arial" w:cs="Arial"/>
        </w:rPr>
        <w:t>.’</w:t>
      </w:r>
      <w:r w:rsidR="00F960B0" w:rsidRPr="000C2B53">
        <w:rPr>
          <w:rStyle w:val="FootnoteReference"/>
          <w:rFonts w:ascii="Arial" w:hAnsi="Arial" w:cs="Arial"/>
        </w:rPr>
        <w:footnoteReference w:id="51"/>
      </w:r>
      <w:r w:rsidR="000C2B53" w:rsidRPr="000C2B53">
        <w:rPr>
          <w:rFonts w:ascii="Arial" w:hAnsi="Arial" w:cs="Arial"/>
          <w:vertAlign w:val="superscript"/>
        </w:rPr>
        <w:t>,</w:t>
      </w:r>
      <w:r w:rsidR="007F45CF" w:rsidRPr="000C2B53">
        <w:rPr>
          <w:rStyle w:val="FootnoteReference"/>
          <w:rFonts w:ascii="Arial" w:hAnsi="Arial" w:cs="Arial"/>
        </w:rPr>
        <w:footnoteReference w:id="52"/>
      </w:r>
    </w:p>
    <w:p w14:paraId="3C3232FC" w14:textId="77777777" w:rsidR="00561CEC" w:rsidRPr="00E708CC" w:rsidRDefault="00561CEC" w:rsidP="00E708CC">
      <w:pPr>
        <w:spacing w:line="276" w:lineRule="auto"/>
        <w:jc w:val="both"/>
        <w:rPr>
          <w:rFonts w:ascii="Arial" w:hAnsi="Arial" w:cs="Arial"/>
        </w:rPr>
      </w:pPr>
    </w:p>
    <w:p w14:paraId="48C6AD31" w14:textId="30F21D83" w:rsidR="003751AC" w:rsidRPr="00476CC4" w:rsidRDefault="00476CC4" w:rsidP="00476CC4">
      <w:pPr>
        <w:spacing w:line="276" w:lineRule="auto"/>
        <w:rPr>
          <w:rFonts w:ascii="Arial" w:hAnsi="Arial" w:cs="Arial"/>
          <w:b/>
          <w:bCs/>
        </w:rPr>
      </w:pPr>
      <w:r w:rsidRPr="00476CC4">
        <w:rPr>
          <w:rFonts w:ascii="Arial" w:hAnsi="Arial" w:cs="Arial"/>
          <w:b/>
          <w:bCs/>
        </w:rPr>
        <w:t>Question Four: The measures adopted to ensure that persons with disabilities and their representative organizations are closely consulted and actively involved in the drafting process of this proposed legislation.</w:t>
      </w:r>
    </w:p>
    <w:p w14:paraId="4EF334F3" w14:textId="08EF12BC" w:rsidR="0093502D" w:rsidRPr="0091625C" w:rsidRDefault="0093502D" w:rsidP="0091625C">
      <w:pPr>
        <w:spacing w:line="276" w:lineRule="auto"/>
        <w:jc w:val="both"/>
        <w:rPr>
          <w:rFonts w:ascii="Arial" w:hAnsi="Arial" w:cs="Arial"/>
          <w:b/>
          <w:bCs/>
        </w:rPr>
      </w:pPr>
    </w:p>
    <w:p w14:paraId="57A5EEE3" w14:textId="76064E8E" w:rsidR="0091625C" w:rsidRPr="008C46CF" w:rsidRDefault="0091625C" w:rsidP="008C46CF">
      <w:pPr>
        <w:spacing w:line="276" w:lineRule="auto"/>
        <w:jc w:val="both"/>
        <w:rPr>
          <w:rFonts w:ascii="Arial" w:hAnsi="Arial" w:cs="Arial"/>
        </w:rPr>
      </w:pPr>
      <w:r w:rsidRPr="008C46CF">
        <w:rPr>
          <w:rFonts w:ascii="Arial" w:hAnsi="Arial" w:cs="Arial"/>
        </w:rPr>
        <w:t>TCI emphasizes that meaningful consultation and active involvement of persons with disabilities and their representative organizations is a core obligation under Article 4(3)</w:t>
      </w:r>
      <w:r w:rsidR="001627BE">
        <w:rPr>
          <w:rFonts w:ascii="Arial" w:hAnsi="Arial" w:cs="Arial"/>
        </w:rPr>
        <w:t xml:space="preserve"> and </w:t>
      </w:r>
      <w:r w:rsidR="007E6173" w:rsidRPr="008C46CF">
        <w:rPr>
          <w:rFonts w:ascii="Arial" w:hAnsi="Arial" w:cs="Arial"/>
        </w:rPr>
        <w:t>Article 33(3)</w:t>
      </w:r>
      <w:r w:rsidRPr="008C46CF">
        <w:rPr>
          <w:rFonts w:ascii="Arial" w:hAnsi="Arial" w:cs="Arial"/>
        </w:rPr>
        <w:t xml:space="preserve"> of the CRPD. This is not only a procedural requirement but essential to ensuring that laws reflect the lived </w:t>
      </w:r>
      <w:r w:rsidR="00B352AC" w:rsidRPr="008C46CF">
        <w:rPr>
          <w:rFonts w:ascii="Arial" w:hAnsi="Arial" w:cs="Arial"/>
        </w:rPr>
        <w:t>realities</w:t>
      </w:r>
      <w:r w:rsidRPr="008C46CF">
        <w:rPr>
          <w:rFonts w:ascii="Arial" w:hAnsi="Arial" w:cs="Arial"/>
        </w:rPr>
        <w:t xml:space="preserve">, priorities and rights of those most affected. We support Liberation’s detailed submission and the </w:t>
      </w:r>
      <w:r w:rsidR="001627BE">
        <w:rPr>
          <w:rFonts w:ascii="Arial" w:hAnsi="Arial" w:cs="Arial"/>
        </w:rPr>
        <w:t>rigorous</w:t>
      </w:r>
      <w:r w:rsidRPr="008C46CF">
        <w:rPr>
          <w:rFonts w:ascii="Arial" w:hAnsi="Arial" w:cs="Arial"/>
        </w:rPr>
        <w:t xml:space="preserve"> process they have followed</w:t>
      </w:r>
      <w:r w:rsidR="001627BE">
        <w:rPr>
          <w:rFonts w:ascii="Arial" w:hAnsi="Arial" w:cs="Arial"/>
        </w:rPr>
        <w:t xml:space="preserve"> to engage with relevant stakeholders</w:t>
      </w:r>
      <w:r w:rsidRPr="008C46CF">
        <w:rPr>
          <w:rFonts w:ascii="Arial" w:hAnsi="Arial" w:cs="Arial"/>
        </w:rPr>
        <w:t xml:space="preserve">, which </w:t>
      </w:r>
      <w:r w:rsidR="00B352AC" w:rsidRPr="008C46CF">
        <w:rPr>
          <w:rFonts w:ascii="Arial" w:hAnsi="Arial" w:cs="Arial"/>
        </w:rPr>
        <w:t>centres</w:t>
      </w:r>
      <w:r w:rsidRPr="008C46CF">
        <w:rPr>
          <w:rFonts w:ascii="Arial" w:hAnsi="Arial" w:cs="Arial"/>
        </w:rPr>
        <w:t xml:space="preserve"> the voices of persons with psychosocial disabilities in the UK. Their approach exemplifies the standard</w:t>
      </w:r>
      <w:r w:rsidR="001627BE">
        <w:rPr>
          <w:rFonts w:ascii="Arial" w:hAnsi="Arial" w:cs="Arial"/>
        </w:rPr>
        <w:t xml:space="preserve"> and methods</w:t>
      </w:r>
      <w:r w:rsidRPr="008C46CF">
        <w:rPr>
          <w:rFonts w:ascii="Arial" w:hAnsi="Arial" w:cs="Arial"/>
        </w:rPr>
        <w:t xml:space="preserve"> of engagement all States must uphold when drafting legislation that directly impacts our </w:t>
      </w:r>
      <w:r w:rsidR="00B249A5" w:rsidRPr="008C46CF">
        <w:rPr>
          <w:rFonts w:ascii="Arial" w:hAnsi="Arial" w:cs="Arial"/>
        </w:rPr>
        <w:t>constituency.</w:t>
      </w:r>
    </w:p>
    <w:p w14:paraId="583E55E6" w14:textId="77777777" w:rsidR="0091625C" w:rsidRPr="0091625C" w:rsidRDefault="0091625C" w:rsidP="0091625C">
      <w:pPr>
        <w:spacing w:line="276" w:lineRule="auto"/>
        <w:jc w:val="both"/>
        <w:rPr>
          <w:rFonts w:ascii="Arial" w:hAnsi="Arial" w:cs="Arial"/>
        </w:rPr>
      </w:pPr>
    </w:p>
    <w:p w14:paraId="15622577" w14:textId="77777777" w:rsidR="002601A8" w:rsidRDefault="007F0EEA" w:rsidP="008C46CF">
      <w:pPr>
        <w:spacing w:line="276" w:lineRule="auto"/>
        <w:jc w:val="both"/>
        <w:rPr>
          <w:rFonts w:ascii="Arial" w:hAnsi="Arial" w:cs="Arial"/>
          <w:color w:val="000000"/>
        </w:rPr>
      </w:pPr>
      <w:r w:rsidRPr="008C46CF">
        <w:rPr>
          <w:rFonts w:ascii="Arial" w:hAnsi="Arial" w:cs="Arial"/>
        </w:rPr>
        <w:t xml:space="preserve">Closely consulting and supporting active participation of OPDs in law making is </w:t>
      </w:r>
      <w:r w:rsidR="00521BFC" w:rsidRPr="008C46CF">
        <w:rPr>
          <w:rFonts w:ascii="Arial" w:hAnsi="Arial" w:cs="Arial"/>
        </w:rPr>
        <w:t xml:space="preserve">a mandatory step prior to the approval of laws and policies, as per General Comment 7 of CRPD. </w:t>
      </w:r>
      <w:r w:rsidR="00521BFC" w:rsidRPr="008C46CF">
        <w:rPr>
          <w:rFonts w:ascii="Arial" w:hAnsi="Arial" w:cs="Arial"/>
          <w:color w:val="000000"/>
        </w:rPr>
        <w:t>It is an ‘</w:t>
      </w:r>
      <w:r w:rsidR="00521BFC" w:rsidRPr="008C46CF">
        <w:rPr>
          <w:rFonts w:ascii="Arial" w:hAnsi="Arial" w:cs="Arial"/>
          <w:i/>
          <w:iCs/>
          <w:color w:val="000000"/>
        </w:rPr>
        <w:t>obligation under international human rights law that requires the recognition of every person’s legal capacity to take part in decision-making processes based on their personal autonomy and self-determination</w:t>
      </w:r>
      <w:r w:rsidR="00521BFC" w:rsidRPr="008C46CF">
        <w:rPr>
          <w:rFonts w:ascii="Arial" w:hAnsi="Arial" w:cs="Arial"/>
          <w:color w:val="000000"/>
        </w:rPr>
        <w:t xml:space="preserve">.’ </w:t>
      </w:r>
      <w:r w:rsidR="00B249A5" w:rsidRPr="008C46CF">
        <w:rPr>
          <w:rFonts w:ascii="Arial" w:hAnsi="Arial" w:cs="Arial"/>
          <w:color w:val="000000"/>
        </w:rPr>
        <w:t xml:space="preserve">When State Parties engage OPDs at the outset of developing laws and policies, they ensure the inclusion of the </w:t>
      </w:r>
      <w:r w:rsidR="00B249A5" w:rsidRPr="008C46CF">
        <w:rPr>
          <w:rFonts w:ascii="Arial" w:hAnsi="Arial" w:cs="Arial"/>
          <w:color w:val="000000"/>
        </w:rPr>
        <w:lastRenderedPageBreak/>
        <w:t xml:space="preserve">richness of lived experiences of persons with psychosocial disabilities into legislation. This helps ensure that those most affected by legal frameworks are the ones leading the way, with the support of policymakers. </w:t>
      </w:r>
    </w:p>
    <w:p w14:paraId="57AA081B" w14:textId="77777777" w:rsidR="002601A8" w:rsidRDefault="002601A8" w:rsidP="008C46CF">
      <w:pPr>
        <w:spacing w:line="276" w:lineRule="auto"/>
        <w:jc w:val="both"/>
        <w:rPr>
          <w:rFonts w:ascii="Arial" w:hAnsi="Arial" w:cs="Arial"/>
          <w:color w:val="000000"/>
        </w:rPr>
      </w:pPr>
    </w:p>
    <w:p w14:paraId="77BADCDF" w14:textId="6863CD02" w:rsidR="007763BB" w:rsidRPr="002601A8" w:rsidRDefault="00A03725" w:rsidP="008C46CF">
      <w:pPr>
        <w:spacing w:line="276" w:lineRule="auto"/>
        <w:jc w:val="both"/>
        <w:rPr>
          <w:rFonts w:ascii="Arial" w:hAnsi="Arial" w:cs="Arial"/>
        </w:rPr>
      </w:pPr>
      <w:r>
        <w:rPr>
          <w:rFonts w:ascii="Arial" w:hAnsi="Arial" w:cs="Arial"/>
          <w:color w:val="000000"/>
        </w:rPr>
        <w:t>C</w:t>
      </w:r>
      <w:r w:rsidR="00B249A5" w:rsidRPr="008C46CF">
        <w:rPr>
          <w:rFonts w:ascii="Arial" w:hAnsi="Arial" w:cs="Arial"/>
          <w:color w:val="000000"/>
        </w:rPr>
        <w:t>lose</w:t>
      </w:r>
      <w:r>
        <w:rPr>
          <w:rFonts w:ascii="Arial" w:hAnsi="Arial" w:cs="Arial"/>
          <w:color w:val="000000"/>
        </w:rPr>
        <w:t xml:space="preserve"> consultation</w:t>
      </w:r>
      <w:r w:rsidR="00B249A5" w:rsidRPr="008C46CF">
        <w:rPr>
          <w:rFonts w:ascii="Arial" w:hAnsi="Arial" w:cs="Arial"/>
          <w:color w:val="000000"/>
        </w:rPr>
        <w:t xml:space="preserve"> and active participation of OPDs can reduce the risk of needing to revise legislation later due to gaps, unintended consequences, or non-compliance with </w:t>
      </w:r>
      <w:r>
        <w:rPr>
          <w:rFonts w:ascii="Arial" w:hAnsi="Arial" w:cs="Arial"/>
          <w:color w:val="000000"/>
        </w:rPr>
        <w:t>CRPD making the laws effective,</w:t>
      </w:r>
      <w:r w:rsidR="002601A8">
        <w:rPr>
          <w:rFonts w:ascii="Arial" w:hAnsi="Arial" w:cs="Arial"/>
          <w:color w:val="000000"/>
        </w:rPr>
        <w:t xml:space="preserve"> legitimate</w:t>
      </w:r>
      <w:r>
        <w:rPr>
          <w:rFonts w:ascii="Arial" w:hAnsi="Arial" w:cs="Arial"/>
          <w:color w:val="000000"/>
        </w:rPr>
        <w:t xml:space="preserve"> </w:t>
      </w:r>
      <w:r w:rsidR="002601A8">
        <w:rPr>
          <w:rFonts w:ascii="Arial" w:hAnsi="Arial" w:cs="Arial"/>
          <w:color w:val="000000"/>
        </w:rPr>
        <w:t xml:space="preserve">and </w:t>
      </w:r>
      <w:r>
        <w:rPr>
          <w:rFonts w:ascii="Arial" w:hAnsi="Arial" w:cs="Arial"/>
          <w:color w:val="000000"/>
        </w:rPr>
        <w:t>sustainable</w:t>
      </w:r>
      <w:r w:rsidR="00B249A5" w:rsidRPr="008C46CF">
        <w:rPr>
          <w:rFonts w:ascii="Arial" w:hAnsi="Arial" w:cs="Arial"/>
          <w:color w:val="000000"/>
        </w:rPr>
        <w:t xml:space="preserve">. In this way, meaningful participation </w:t>
      </w:r>
      <w:r w:rsidR="002601A8">
        <w:rPr>
          <w:rFonts w:ascii="Arial" w:hAnsi="Arial" w:cs="Arial"/>
          <w:color w:val="000000"/>
        </w:rPr>
        <w:t xml:space="preserve">also </w:t>
      </w:r>
      <w:r w:rsidR="00B249A5" w:rsidRPr="008C46CF">
        <w:rPr>
          <w:rFonts w:ascii="Arial" w:hAnsi="Arial" w:cs="Arial"/>
          <w:color w:val="000000"/>
        </w:rPr>
        <w:t xml:space="preserve">supports legal clarity, strengthens accountability, and helps avoid the financial and administrative costs associated with ineffective policy rollout, </w:t>
      </w:r>
      <w:r w:rsidR="00B249A5" w:rsidRPr="002601A8">
        <w:rPr>
          <w:rFonts w:ascii="Arial" w:hAnsi="Arial" w:cs="Arial"/>
          <w:color w:val="000000"/>
        </w:rPr>
        <w:t>stakeholder resistance or legal challenges. By failing to consult with OPDs, the UK risks inefficient and ineffective reform, undermining both CRPD compliance and prudent public administration.</w:t>
      </w:r>
    </w:p>
    <w:p w14:paraId="147DD571" w14:textId="106813CB" w:rsidR="0029343A" w:rsidRPr="007E5A21" w:rsidRDefault="00561CEC" w:rsidP="00F066BF">
      <w:pPr>
        <w:pStyle w:val="NormalWeb"/>
        <w:shd w:val="clear" w:color="auto" w:fill="D9F2D0" w:themeFill="accent6" w:themeFillTint="33"/>
        <w:spacing w:line="276" w:lineRule="auto"/>
        <w:jc w:val="both"/>
        <w:rPr>
          <w:rFonts w:ascii="Arial" w:hAnsi="Arial" w:cs="Arial"/>
          <w:b/>
          <w:bCs/>
        </w:rPr>
      </w:pPr>
      <w:r w:rsidRPr="007E5A21">
        <w:rPr>
          <w:rFonts w:ascii="Arial" w:hAnsi="Arial" w:cs="Arial"/>
          <w:b/>
          <w:bCs/>
        </w:rPr>
        <w:t>To conclude,</w:t>
      </w:r>
    </w:p>
    <w:p w14:paraId="45CCA23B" w14:textId="3ED24792" w:rsidR="00561CEC" w:rsidRPr="00561CEC" w:rsidRDefault="00561CEC" w:rsidP="00561CEC">
      <w:pPr>
        <w:pStyle w:val="NormalWeb"/>
        <w:spacing w:line="276" w:lineRule="auto"/>
        <w:jc w:val="both"/>
        <w:rPr>
          <w:rFonts w:ascii="Arial" w:hAnsi="Arial" w:cs="Arial"/>
          <w:sz w:val="22"/>
          <w:szCs w:val="22"/>
        </w:rPr>
      </w:pPr>
      <w:r w:rsidRPr="002601A8">
        <w:rPr>
          <w:rFonts w:ascii="Arial" w:hAnsi="Arial" w:cs="Arial"/>
        </w:rPr>
        <w:t>We submit this letter</w:t>
      </w:r>
      <w:r w:rsidRPr="00561CEC">
        <w:rPr>
          <w:rFonts w:ascii="Arial" w:hAnsi="Arial" w:cs="Arial"/>
        </w:rPr>
        <w:t xml:space="preserve"> in full support of Liberation’s shadow submission</w:t>
      </w:r>
      <w:r>
        <w:rPr>
          <w:rFonts w:ascii="Arial" w:hAnsi="Arial" w:cs="Arial"/>
        </w:rPr>
        <w:t xml:space="preserve">. </w:t>
      </w:r>
      <w:r w:rsidRPr="00561CEC">
        <w:rPr>
          <w:rFonts w:ascii="Arial" w:hAnsi="Arial" w:cs="Arial"/>
        </w:rPr>
        <w:t xml:space="preserve">We urge the Committee to hold </w:t>
      </w:r>
      <w:r w:rsidR="007E5A21">
        <w:rPr>
          <w:rFonts w:ascii="Arial" w:hAnsi="Arial" w:cs="Arial"/>
        </w:rPr>
        <w:t>the State Party</w:t>
      </w:r>
      <w:r w:rsidRPr="00561CEC">
        <w:rPr>
          <w:rFonts w:ascii="Arial" w:hAnsi="Arial" w:cs="Arial"/>
        </w:rPr>
        <w:t xml:space="preserve"> accountable to its obligations under the CRPD and to ensure that any mental health reform upholds the rights, dignity</w:t>
      </w:r>
      <w:r w:rsidR="00F44FE9">
        <w:rPr>
          <w:rFonts w:ascii="Arial" w:hAnsi="Arial" w:cs="Arial"/>
        </w:rPr>
        <w:t xml:space="preserve"> </w:t>
      </w:r>
      <w:r w:rsidRPr="00561CEC">
        <w:rPr>
          <w:rFonts w:ascii="Arial" w:hAnsi="Arial" w:cs="Arial"/>
        </w:rPr>
        <w:t xml:space="preserve">and legal capacity of persons with psychosocial disabilities. </w:t>
      </w:r>
      <w:r w:rsidR="00012CCE">
        <w:rPr>
          <w:rFonts w:ascii="Arial" w:hAnsi="Arial" w:cs="Arial"/>
        </w:rPr>
        <w:t>The Committee has already published concluding observations in 20</w:t>
      </w:r>
      <w:r w:rsidR="00E80589">
        <w:rPr>
          <w:rFonts w:ascii="Arial" w:hAnsi="Arial" w:cs="Arial"/>
        </w:rPr>
        <w:t>17</w:t>
      </w:r>
      <w:r w:rsidR="00012CCE">
        <w:rPr>
          <w:rFonts w:ascii="Arial" w:hAnsi="Arial" w:cs="Arial"/>
        </w:rPr>
        <w:t xml:space="preserve"> and 2024 and makes multiple recommendations</w:t>
      </w:r>
      <w:r w:rsidR="007E5A21">
        <w:rPr>
          <w:rFonts w:ascii="Arial" w:hAnsi="Arial" w:cs="Arial"/>
        </w:rPr>
        <w:t>,</w:t>
      </w:r>
      <w:r w:rsidR="00012CCE">
        <w:rPr>
          <w:rFonts w:ascii="Arial" w:hAnsi="Arial" w:cs="Arial"/>
        </w:rPr>
        <w:t xml:space="preserve"> which if implemented by the State Party can truly realize the rights of persons with psychosocial disabilities, in line with the CRPD. </w:t>
      </w:r>
      <w:r w:rsidRPr="00561CEC">
        <w:rPr>
          <w:rFonts w:ascii="Arial" w:hAnsi="Arial" w:cs="Arial"/>
        </w:rPr>
        <w:t xml:space="preserve">As a global OPD, we remain committed to advancing rights-based, non-coercive reforms that reflect the leadership </w:t>
      </w:r>
      <w:r w:rsidR="007E5A21">
        <w:rPr>
          <w:rFonts w:ascii="Arial" w:hAnsi="Arial" w:cs="Arial"/>
        </w:rPr>
        <w:t xml:space="preserve">and strength of our movement. </w:t>
      </w:r>
    </w:p>
    <w:p w14:paraId="5E80BE50" w14:textId="662E9519" w:rsidR="00B34B33" w:rsidRPr="00244AA9" w:rsidRDefault="00B34B33" w:rsidP="00B34B33">
      <w:pPr>
        <w:spacing w:line="276" w:lineRule="auto"/>
        <w:jc w:val="both"/>
        <w:rPr>
          <w:rFonts w:ascii="Arial" w:hAnsi="Arial" w:cs="Arial"/>
        </w:rPr>
      </w:pPr>
    </w:p>
    <w:sectPr w:rsidR="00B34B33" w:rsidRPr="00244AA9">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148EB" w14:textId="77777777" w:rsidR="00B2637F" w:rsidRDefault="00B2637F" w:rsidP="003751AC">
      <w:r>
        <w:separator/>
      </w:r>
    </w:p>
  </w:endnote>
  <w:endnote w:type="continuationSeparator" w:id="0">
    <w:p w14:paraId="37C2E0CE" w14:textId="77777777" w:rsidR="00B2637F" w:rsidRDefault="00B2637F" w:rsidP="003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7003285"/>
      <w:docPartObj>
        <w:docPartGallery w:val="Page Numbers (Bottom of Page)"/>
        <w:docPartUnique/>
      </w:docPartObj>
    </w:sdtPr>
    <w:sdtEndPr>
      <w:rPr>
        <w:rStyle w:val="PageNumber"/>
      </w:rPr>
    </w:sdtEndPr>
    <w:sdtContent>
      <w:p w14:paraId="3BEE9328" w14:textId="192704D8" w:rsidR="00022D0F" w:rsidRDefault="00022D0F" w:rsidP="00EA21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026CF62" w14:textId="77777777" w:rsidR="00022D0F" w:rsidRDefault="00022D0F" w:rsidP="00022D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6739070"/>
      <w:docPartObj>
        <w:docPartGallery w:val="Page Numbers (Bottom of Page)"/>
        <w:docPartUnique/>
      </w:docPartObj>
    </w:sdtPr>
    <w:sdtEndPr>
      <w:rPr>
        <w:rStyle w:val="PageNumber"/>
      </w:rPr>
    </w:sdtEndPr>
    <w:sdtContent>
      <w:p w14:paraId="1C6CE8A2" w14:textId="3ABC6766" w:rsidR="00022D0F" w:rsidRDefault="00022D0F" w:rsidP="00EA21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CEDFCE" w14:textId="77777777" w:rsidR="00022D0F" w:rsidRDefault="00022D0F" w:rsidP="00022D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2E7DA" w14:textId="77777777" w:rsidR="00B2637F" w:rsidRDefault="00B2637F" w:rsidP="003751AC">
      <w:r>
        <w:separator/>
      </w:r>
    </w:p>
  </w:footnote>
  <w:footnote w:type="continuationSeparator" w:id="0">
    <w:p w14:paraId="02CC0ED8" w14:textId="77777777" w:rsidR="00B2637F" w:rsidRDefault="00B2637F" w:rsidP="003751AC">
      <w:r>
        <w:continuationSeparator/>
      </w:r>
    </w:p>
  </w:footnote>
  <w:footnote w:id="1">
    <w:p w14:paraId="3FC50FFC" w14:textId="61267284" w:rsidR="00512787" w:rsidRPr="00075C23" w:rsidRDefault="00512787">
      <w:pPr>
        <w:pStyle w:val="FootnoteText"/>
        <w:rPr>
          <w:rFonts w:ascii="Arial" w:hAnsi="Arial" w:cs="Arial"/>
          <w:sz w:val="16"/>
          <w:szCs w:val="16"/>
        </w:rPr>
      </w:pPr>
      <w:r w:rsidRPr="00075C23">
        <w:rPr>
          <w:rStyle w:val="FootnoteReference"/>
          <w:rFonts w:ascii="Arial" w:hAnsi="Arial" w:cs="Arial"/>
          <w:sz w:val="18"/>
          <w:szCs w:val="18"/>
        </w:rPr>
        <w:footnoteRef/>
      </w:r>
      <w:r w:rsidRPr="00075C23">
        <w:rPr>
          <w:rFonts w:ascii="Arial" w:hAnsi="Arial" w:cs="Arial"/>
          <w:sz w:val="18"/>
          <w:szCs w:val="18"/>
        </w:rPr>
        <w:t xml:space="preserve"> </w:t>
      </w:r>
      <w:hyperlink r:id="rId1" w:history="1">
        <w:r w:rsidRPr="00075C23">
          <w:rPr>
            <w:rStyle w:val="Hyperlink"/>
            <w:rFonts w:ascii="Arial" w:hAnsi="Arial" w:cs="Arial"/>
            <w:sz w:val="18"/>
            <w:szCs w:val="18"/>
          </w:rPr>
          <w:t>https://tci-global.org/</w:t>
        </w:r>
      </w:hyperlink>
      <w:r w:rsidRPr="00075C23">
        <w:rPr>
          <w:rFonts w:ascii="Arial" w:hAnsi="Arial" w:cs="Arial"/>
          <w:sz w:val="18"/>
          <w:szCs w:val="18"/>
        </w:rPr>
        <w:t xml:space="preserve"> </w:t>
      </w:r>
    </w:p>
  </w:footnote>
  <w:footnote w:id="2">
    <w:p w14:paraId="32EBE7A3" w14:textId="48923444" w:rsidR="00E77217" w:rsidRPr="005C4A8C" w:rsidRDefault="00E77217">
      <w:pPr>
        <w:pStyle w:val="FootnoteText"/>
        <w:rPr>
          <w:rFonts w:ascii="Arial" w:hAnsi="Arial" w:cs="Arial"/>
          <w:sz w:val="16"/>
          <w:szCs w:val="16"/>
        </w:rPr>
      </w:pPr>
      <w:r w:rsidRPr="005C4A8C">
        <w:rPr>
          <w:rStyle w:val="FootnoteReference"/>
          <w:rFonts w:ascii="Arial" w:hAnsi="Arial" w:cs="Arial"/>
          <w:sz w:val="16"/>
          <w:szCs w:val="16"/>
        </w:rPr>
        <w:footnoteRef/>
      </w:r>
      <w:r w:rsidRPr="005C4A8C">
        <w:rPr>
          <w:rFonts w:ascii="Arial" w:hAnsi="Arial" w:cs="Arial"/>
          <w:sz w:val="16"/>
          <w:szCs w:val="16"/>
        </w:rPr>
        <w:t xml:space="preserve"> Minkowitz, T. (2011). </w:t>
      </w:r>
      <w:r w:rsidRPr="005C4A8C">
        <w:rPr>
          <w:rFonts w:ascii="Arial" w:hAnsi="Arial" w:cs="Arial"/>
          <w:i/>
          <w:iCs/>
          <w:sz w:val="16"/>
          <w:szCs w:val="16"/>
        </w:rPr>
        <w:t>Prohibition of Compulsory Mental Health Treatment and Detention Under the CRPD</w:t>
      </w:r>
      <w:r w:rsidRPr="005C4A8C">
        <w:rPr>
          <w:rFonts w:ascii="Arial" w:hAnsi="Arial" w:cs="Arial"/>
          <w:sz w:val="16"/>
          <w:szCs w:val="16"/>
        </w:rPr>
        <w:t xml:space="preserve"> (SSRN Scholarly Paper 1876132). Social Science Research Network. </w:t>
      </w:r>
      <w:hyperlink r:id="rId2" w:history="1">
        <w:r w:rsidRPr="005C4A8C">
          <w:rPr>
            <w:rStyle w:val="Hyperlink"/>
            <w:rFonts w:ascii="Arial" w:eastAsia="Arial" w:hAnsi="Arial" w:cs="Arial"/>
            <w:sz w:val="16"/>
            <w:szCs w:val="16"/>
          </w:rPr>
          <w:t>https://doi.org/10.2139/ssrn.1876132</w:t>
        </w:r>
      </w:hyperlink>
    </w:p>
  </w:footnote>
  <w:footnote w:id="3">
    <w:p w14:paraId="14744AC7" w14:textId="037FD247" w:rsidR="000C2528" w:rsidRPr="00017EEF" w:rsidRDefault="000C2528">
      <w:pPr>
        <w:pStyle w:val="FootnoteText"/>
        <w:rPr>
          <w:rFonts w:ascii="Arial" w:hAnsi="Arial" w:cs="Arial"/>
          <w:sz w:val="16"/>
          <w:szCs w:val="16"/>
        </w:rPr>
      </w:pPr>
      <w:r w:rsidRPr="005C4A8C">
        <w:rPr>
          <w:rStyle w:val="FootnoteReference"/>
          <w:rFonts w:ascii="Arial" w:hAnsi="Arial" w:cs="Arial"/>
          <w:sz w:val="16"/>
          <w:szCs w:val="16"/>
        </w:rPr>
        <w:footnoteRef/>
      </w:r>
      <w:r w:rsidRPr="005C4A8C">
        <w:rPr>
          <w:rFonts w:ascii="Arial" w:hAnsi="Arial" w:cs="Arial"/>
          <w:sz w:val="16"/>
          <w:szCs w:val="16"/>
        </w:rPr>
        <w:t xml:space="preserve"> Report of the Special Rapporteur on torture and other cruel, inhuman or degrading treatment or punishment (A/HRC/22/53). Geneva: United Nations Office of the High Commissioner for Human Rights. </w:t>
      </w:r>
      <w:hyperlink r:id="rId3" w:history="1">
        <w:r w:rsidRPr="005C4A8C">
          <w:rPr>
            <w:rStyle w:val="Hyperlink"/>
            <w:rFonts w:ascii="Arial" w:hAnsi="Arial" w:cs="Arial"/>
            <w:sz w:val="16"/>
            <w:szCs w:val="16"/>
          </w:rPr>
          <w:t>https://www.ohchr.org/sites/default/files/Documents/HRBodies/HRCouncil/RegularSession/Session22/A.HRC.22. 53_English.pdf</w:t>
        </w:r>
      </w:hyperlink>
    </w:p>
  </w:footnote>
  <w:footnote w:id="4">
    <w:p w14:paraId="282FB5FC" w14:textId="37C4E55E" w:rsidR="000C2528" w:rsidRPr="008978E1" w:rsidRDefault="000C2528">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TCI. (2025). </w:t>
      </w:r>
      <w:r w:rsidRPr="008978E1">
        <w:rPr>
          <w:rFonts w:ascii="Arial" w:hAnsi="Arial" w:cs="Arial"/>
          <w:i/>
          <w:iCs/>
          <w:sz w:val="16"/>
          <w:szCs w:val="16"/>
        </w:rPr>
        <w:t>Submission to the Committee on the Rights of Persons with Disabilities on the Day of General Discussion (DGD) on Article 29 of CRPD</w:t>
      </w:r>
      <w:r w:rsidRPr="008978E1">
        <w:rPr>
          <w:rFonts w:ascii="Arial" w:hAnsi="Arial" w:cs="Arial"/>
          <w:sz w:val="16"/>
          <w:szCs w:val="16"/>
        </w:rPr>
        <w:t xml:space="preserve">. </w:t>
      </w:r>
      <w:hyperlink r:id="rId4" w:history="1">
        <w:r w:rsidRPr="008978E1">
          <w:rPr>
            <w:rStyle w:val="Hyperlink"/>
            <w:rFonts w:ascii="Arial" w:eastAsia="Arial" w:hAnsi="Arial" w:cs="Arial"/>
            <w:sz w:val="16"/>
            <w:szCs w:val="16"/>
          </w:rPr>
          <w:t>https://tci-global.org/wp-content/uploads/2025/02/TCI-Global-Submission-for-General-Comment-on-Article-29-CRPD.pdf</w:t>
        </w:r>
      </w:hyperlink>
    </w:p>
  </w:footnote>
  <w:footnote w:id="5">
    <w:p w14:paraId="56E1D403" w14:textId="556DF4BF" w:rsidR="000C2528" w:rsidRPr="008978E1" w:rsidRDefault="000C2528">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TCI. (2025). </w:t>
      </w:r>
      <w:r w:rsidRPr="008978E1">
        <w:rPr>
          <w:rFonts w:ascii="Arial" w:hAnsi="Arial" w:cs="Arial"/>
          <w:i/>
          <w:iCs/>
          <w:sz w:val="16"/>
          <w:szCs w:val="16"/>
        </w:rPr>
        <w:t>Submission for the Half-day of general discussion on gender stereotypes to CEDAW Committee</w:t>
      </w:r>
      <w:r w:rsidRPr="008978E1">
        <w:rPr>
          <w:rFonts w:ascii="Arial" w:hAnsi="Arial" w:cs="Arial"/>
          <w:sz w:val="16"/>
          <w:szCs w:val="16"/>
        </w:rPr>
        <w:t xml:space="preserve">. </w:t>
      </w:r>
      <w:hyperlink r:id="rId5" w:history="1">
        <w:r w:rsidRPr="008978E1">
          <w:rPr>
            <w:rStyle w:val="Hyperlink"/>
            <w:rFonts w:ascii="Arial" w:eastAsia="Arial" w:hAnsi="Arial" w:cs="Arial"/>
            <w:sz w:val="16"/>
            <w:szCs w:val="16"/>
          </w:rPr>
          <w:t>https://tci-global.org/wp-content/uploads/2025/02/Submission-for-Half-Day-Discussion-on-Gender-Stereotpyes-by-TCI-WEI-and-II.pdf</w:t>
        </w:r>
      </w:hyperlink>
    </w:p>
  </w:footnote>
  <w:footnote w:id="6">
    <w:p w14:paraId="31145075" w14:textId="067B8C87" w:rsidR="00A12F65" w:rsidRPr="008978E1" w:rsidRDefault="00A12F65">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w:t>
      </w:r>
      <w:r w:rsidRPr="008978E1">
        <w:rPr>
          <w:rFonts w:ascii="Arial" w:hAnsi="Arial" w:cs="Arial"/>
          <w:i/>
          <w:iCs/>
          <w:sz w:val="16"/>
          <w:szCs w:val="16"/>
        </w:rPr>
        <w:t>Statement of Expert Testimony on the topic of Legal Capacity and Guardianship of persons with disabilities, before the Hon. Constitutional Court of Indonesia.</w:t>
      </w:r>
      <w:r w:rsidRPr="008978E1">
        <w:rPr>
          <w:rFonts w:ascii="Arial" w:hAnsi="Arial" w:cs="Arial"/>
          <w:sz w:val="16"/>
          <w:szCs w:val="16"/>
        </w:rPr>
        <w:t xml:space="preserve">, Hon. Constitutional Court of Indonesia (2023). </w:t>
      </w:r>
      <w:hyperlink r:id="rId6" w:history="1">
        <w:r w:rsidRPr="008978E1">
          <w:rPr>
            <w:rStyle w:val="Hyperlink"/>
            <w:rFonts w:ascii="Arial" w:eastAsia="Arial" w:hAnsi="Arial" w:cs="Arial"/>
            <w:sz w:val="16"/>
            <w:szCs w:val="16"/>
          </w:rPr>
          <w:t>https://tci-global.org/wp-content/uploads/2024/02/Submission-Indonesia-Constitutional-Court-Expert-Testimony-TCI.pdf</w:t>
        </w:r>
      </w:hyperlink>
    </w:p>
  </w:footnote>
  <w:footnote w:id="7">
    <w:p w14:paraId="707E2F8C" w14:textId="270BA304" w:rsidR="00C42645" w:rsidRPr="008978E1" w:rsidRDefault="00C42645">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A/HRC/40/54</w:t>
      </w:r>
    </w:p>
  </w:footnote>
  <w:footnote w:id="8">
    <w:p w14:paraId="059922E6" w14:textId="45E0C675" w:rsidR="00C42645" w:rsidRPr="008978E1" w:rsidRDefault="00C42645">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Accelerating efforts to eliminate all forms of violence against women and girls: preventing and responding to all forms of violence against women and girls with disabilities. (A/HRC/47/L.18/Rev.1). United Nations. Available: </w:t>
      </w:r>
      <w:hyperlink r:id="rId7" w:history="1">
        <w:r w:rsidRPr="008978E1">
          <w:rPr>
            <w:rStyle w:val="Hyperlink"/>
            <w:rFonts w:ascii="Arial" w:hAnsi="Arial" w:cs="Arial"/>
            <w:sz w:val="16"/>
            <w:szCs w:val="16"/>
          </w:rPr>
          <w:t>https://documents.un.org/doc/undoc/ltd/g21/176/46/pdf/g2117646.pdf</w:t>
        </w:r>
      </w:hyperlink>
    </w:p>
  </w:footnote>
  <w:footnote w:id="9">
    <w:p w14:paraId="172820D6" w14:textId="550CC1FE" w:rsidR="00C42645" w:rsidRPr="008978E1" w:rsidRDefault="00C42645">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CRPD/C/5</w:t>
      </w:r>
    </w:p>
  </w:footnote>
  <w:footnote w:id="10">
    <w:p w14:paraId="6154A75E" w14:textId="6368AE1B" w:rsidR="008978E1" w:rsidRPr="008978E1" w:rsidRDefault="008978E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A/HRC/35/21</w:t>
      </w:r>
    </w:p>
  </w:footnote>
  <w:footnote w:id="11">
    <w:p w14:paraId="5AB33671" w14:textId="6BB78833" w:rsidR="00914D01" w:rsidRPr="008978E1" w:rsidRDefault="00914D0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w:t>
      </w:r>
      <w:r w:rsidRPr="008978E1">
        <w:rPr>
          <w:rFonts w:ascii="Arial" w:hAnsi="Arial" w:cs="Arial"/>
          <w:i/>
          <w:iCs/>
          <w:sz w:val="16"/>
          <w:szCs w:val="16"/>
        </w:rPr>
        <w:t>Concept note: International Seminar Commemorating the Day of Support for Victims of Torture ‘Hidden Torture: Institutionalization of Persons with Disabilities in Indonesia’</w:t>
      </w:r>
      <w:r w:rsidRPr="008978E1">
        <w:rPr>
          <w:rFonts w:ascii="Arial" w:hAnsi="Arial" w:cs="Arial"/>
          <w:sz w:val="16"/>
          <w:szCs w:val="16"/>
        </w:rPr>
        <w:t xml:space="preserve">. (2023). </w:t>
      </w:r>
      <w:hyperlink r:id="rId8" w:history="1">
        <w:r w:rsidRPr="008978E1">
          <w:rPr>
            <w:rStyle w:val="Hyperlink"/>
            <w:rFonts w:ascii="Arial" w:eastAsia="Arial" w:hAnsi="Arial" w:cs="Arial"/>
            <w:sz w:val="16"/>
            <w:szCs w:val="16"/>
          </w:rPr>
          <w:t>https://tci-global.org/wp-content/uploads/2023/08/Hidden-Torture-Concept-Note-Updated.pdf</w:t>
        </w:r>
      </w:hyperlink>
    </w:p>
  </w:footnote>
  <w:footnote w:id="12">
    <w:p w14:paraId="784C841E" w14:textId="38A46A06" w:rsidR="00914D01" w:rsidRPr="008978E1" w:rsidRDefault="00914D0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Esq, T. M. (2015, April 30). Forced Psychiatry is Torture. </w:t>
      </w:r>
      <w:r w:rsidRPr="008978E1">
        <w:rPr>
          <w:rFonts w:ascii="Arial" w:hAnsi="Arial" w:cs="Arial"/>
          <w:i/>
          <w:iCs/>
          <w:sz w:val="16"/>
          <w:szCs w:val="16"/>
        </w:rPr>
        <w:t>Mad In America</w:t>
      </w:r>
      <w:r w:rsidRPr="008978E1">
        <w:rPr>
          <w:rFonts w:ascii="Arial" w:hAnsi="Arial" w:cs="Arial"/>
          <w:sz w:val="16"/>
          <w:szCs w:val="16"/>
        </w:rPr>
        <w:t xml:space="preserve">. </w:t>
      </w:r>
      <w:hyperlink r:id="rId9" w:history="1">
        <w:r w:rsidRPr="008978E1">
          <w:rPr>
            <w:rStyle w:val="Hyperlink"/>
            <w:rFonts w:ascii="Arial" w:eastAsia="Arial" w:hAnsi="Arial" w:cs="Arial"/>
            <w:sz w:val="16"/>
            <w:szCs w:val="16"/>
          </w:rPr>
          <w:t>https://www.madinamerica.com/2015/04/forced-psychiatry-torture/</w:t>
        </w:r>
      </w:hyperlink>
    </w:p>
  </w:footnote>
  <w:footnote w:id="13">
    <w:p w14:paraId="07483C1C" w14:textId="3B253324" w:rsidR="00914D01" w:rsidRPr="008978E1" w:rsidRDefault="00914D0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Halmi, A. (2004). </w:t>
      </w:r>
      <w:r w:rsidRPr="008978E1">
        <w:rPr>
          <w:rFonts w:ascii="Arial" w:hAnsi="Arial" w:cs="Arial"/>
          <w:i/>
          <w:iCs/>
          <w:sz w:val="16"/>
          <w:szCs w:val="16"/>
        </w:rPr>
        <w:t>COERCIVE PSYCHIATRY A TORTURE SYSTEM</w:t>
      </w:r>
      <w:r w:rsidRPr="008978E1">
        <w:rPr>
          <w:rFonts w:ascii="Arial" w:hAnsi="Arial" w:cs="Arial"/>
          <w:sz w:val="16"/>
          <w:szCs w:val="16"/>
        </w:rPr>
        <w:t xml:space="preserve">. </w:t>
      </w:r>
      <w:r w:rsidRPr="008978E1">
        <w:rPr>
          <w:rFonts w:ascii="Arial" w:hAnsi="Arial" w:cs="Arial"/>
          <w:i/>
          <w:iCs/>
          <w:sz w:val="16"/>
          <w:szCs w:val="16"/>
        </w:rPr>
        <w:t>2</w:t>
      </w:r>
      <w:r w:rsidRPr="008978E1">
        <w:rPr>
          <w:rFonts w:ascii="Arial" w:hAnsi="Arial" w:cs="Arial"/>
          <w:sz w:val="16"/>
          <w:szCs w:val="16"/>
        </w:rPr>
        <w:t xml:space="preserve">. </w:t>
      </w:r>
      <w:hyperlink r:id="rId10" w:history="1">
        <w:r w:rsidRPr="008978E1">
          <w:rPr>
            <w:rStyle w:val="Hyperlink"/>
            <w:rFonts w:ascii="Arial" w:eastAsia="Arial" w:hAnsi="Arial" w:cs="Arial"/>
            <w:sz w:val="16"/>
            <w:szCs w:val="16"/>
          </w:rPr>
          <w:t>https://www.iaapa.de/zwang/zwang2/halmi_english/</w:t>
        </w:r>
      </w:hyperlink>
    </w:p>
  </w:footnote>
  <w:footnote w:id="14">
    <w:p w14:paraId="7F6B66C3" w14:textId="481EE626" w:rsidR="00A801C2" w:rsidRPr="008978E1" w:rsidRDefault="00A801C2">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TCI Global. (2025). Restoring dignity and autonomy: Global best practices as alternatives to involuntary hospitalization and treatment and pathways for reform in Armenia. Prepared for the Helsinki Citizens' Assembly Vanadzor Office (HCAV). Available: </w:t>
      </w:r>
      <w:hyperlink r:id="rId11" w:history="1">
        <w:r w:rsidRPr="008978E1">
          <w:rPr>
            <w:rStyle w:val="Hyperlink"/>
            <w:rFonts w:ascii="Arial" w:hAnsi="Arial" w:cs="Arial"/>
            <w:sz w:val="16"/>
            <w:szCs w:val="16"/>
          </w:rPr>
          <w:t>https://tci-global.org/wp-content/uploads/2025/08/Global-Best-Practices-for-Reform-in-Mental-Health-Landscape-in-Armenia.pdf</w:t>
        </w:r>
      </w:hyperlink>
      <w:r w:rsidRPr="008978E1">
        <w:rPr>
          <w:rFonts w:ascii="Arial" w:hAnsi="Arial" w:cs="Arial"/>
          <w:sz w:val="16"/>
          <w:szCs w:val="16"/>
        </w:rPr>
        <w:t xml:space="preserve"> </w:t>
      </w:r>
    </w:p>
  </w:footnote>
  <w:footnote w:id="15">
    <w:p w14:paraId="32B99CF8" w14:textId="3A908CAD" w:rsidR="00882541" w:rsidRPr="008978E1" w:rsidRDefault="0088254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Lewis, J. (2019, November 8). On Admission </w:t>
      </w:r>
      <w:proofErr w:type="gramStart"/>
      <w:r w:rsidRPr="008978E1">
        <w:rPr>
          <w:rFonts w:ascii="Arial" w:hAnsi="Arial" w:cs="Arial"/>
          <w:sz w:val="16"/>
          <w:szCs w:val="16"/>
        </w:rPr>
        <w:t>To</w:t>
      </w:r>
      <w:proofErr w:type="gramEnd"/>
      <w:r w:rsidRPr="008978E1">
        <w:rPr>
          <w:rFonts w:ascii="Arial" w:hAnsi="Arial" w:cs="Arial"/>
          <w:sz w:val="16"/>
          <w:szCs w:val="16"/>
        </w:rPr>
        <w:t xml:space="preserve"> Wrekin. Recovery in the Bin. Available:  </w:t>
      </w:r>
      <w:hyperlink r:id="rId12" w:history="1">
        <w:r w:rsidRPr="008978E1">
          <w:rPr>
            <w:rStyle w:val="Hyperlink"/>
            <w:rFonts w:ascii="Arial" w:hAnsi="Arial" w:cs="Arial"/>
            <w:sz w:val="16"/>
            <w:szCs w:val="16"/>
          </w:rPr>
          <w:t>https://recoveryinthebin.org/2019/11/08/on-admission-to-wrekin/</w:t>
        </w:r>
      </w:hyperlink>
      <w:r w:rsidRPr="008978E1">
        <w:rPr>
          <w:rFonts w:ascii="Arial" w:hAnsi="Arial" w:cs="Arial"/>
          <w:sz w:val="16"/>
          <w:szCs w:val="16"/>
        </w:rPr>
        <w:t xml:space="preserve"> </w:t>
      </w:r>
    </w:p>
  </w:footnote>
  <w:footnote w:id="16">
    <w:p w14:paraId="6211B5E3" w14:textId="081A3F32" w:rsidR="00882541" w:rsidRPr="008978E1" w:rsidRDefault="0088254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Reygan, J. (2022). Personal experiences of the psychiatric treatments in hospitals and community mental health services. </w:t>
      </w:r>
      <w:r w:rsidRPr="008978E1">
        <w:rPr>
          <w:rFonts w:ascii="Arial" w:hAnsi="Arial" w:cs="Arial"/>
          <w:i/>
          <w:iCs/>
          <w:sz w:val="16"/>
          <w:szCs w:val="16"/>
        </w:rPr>
        <w:t>#WhatWENeed</w:t>
      </w:r>
      <w:r w:rsidRPr="008978E1">
        <w:rPr>
          <w:rFonts w:ascii="Arial" w:hAnsi="Arial" w:cs="Arial"/>
          <w:sz w:val="16"/>
          <w:szCs w:val="16"/>
        </w:rPr>
        <w:t xml:space="preserve">. </w:t>
      </w:r>
      <w:hyperlink r:id="rId13" w:history="1">
        <w:r w:rsidRPr="008978E1">
          <w:rPr>
            <w:rStyle w:val="Hyperlink"/>
            <w:rFonts w:ascii="Arial" w:eastAsia="Arial" w:hAnsi="Arial" w:cs="Arial"/>
            <w:sz w:val="16"/>
            <w:szCs w:val="16"/>
          </w:rPr>
          <w:t>https://whatweneed.tci-global.org/wp-content/uploads/2023/02/Personal-Experiences-of-Psychiatric-Treatments-in-Hospitals-Community-Mental-Health-Services.pdf</w:t>
        </w:r>
      </w:hyperlink>
    </w:p>
  </w:footnote>
  <w:footnote w:id="17">
    <w:p w14:paraId="4420468A" w14:textId="65DF3179" w:rsidR="00882541" w:rsidRPr="008978E1" w:rsidRDefault="0088254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w:t>
      </w:r>
      <w:r w:rsidR="00E80589" w:rsidRPr="008978E1">
        <w:rPr>
          <w:rFonts w:ascii="Arial" w:hAnsi="Arial" w:cs="Arial"/>
          <w:sz w:val="16"/>
          <w:szCs w:val="16"/>
        </w:rPr>
        <w:t>Wield</w:t>
      </w:r>
      <w:r w:rsidRPr="008978E1">
        <w:rPr>
          <w:rFonts w:ascii="Arial" w:hAnsi="Arial" w:cs="Arial"/>
          <w:sz w:val="16"/>
          <w:szCs w:val="16"/>
        </w:rPr>
        <w:t xml:space="preserve">, C. (2022). Extract from: ‘Change of Mind; escaping the shackles of the psychiatric system’. </w:t>
      </w:r>
      <w:r w:rsidRPr="008978E1">
        <w:rPr>
          <w:rFonts w:ascii="Arial" w:hAnsi="Arial" w:cs="Arial"/>
          <w:i/>
          <w:iCs/>
          <w:sz w:val="16"/>
          <w:szCs w:val="16"/>
        </w:rPr>
        <w:t>#WhatWENeed</w:t>
      </w:r>
      <w:r w:rsidRPr="008978E1">
        <w:rPr>
          <w:rFonts w:ascii="Arial" w:hAnsi="Arial" w:cs="Arial"/>
          <w:sz w:val="16"/>
          <w:szCs w:val="16"/>
        </w:rPr>
        <w:t xml:space="preserve">. </w:t>
      </w:r>
      <w:hyperlink r:id="rId14" w:history="1">
        <w:r w:rsidRPr="008978E1">
          <w:rPr>
            <w:rStyle w:val="Hyperlink"/>
            <w:rFonts w:ascii="Arial" w:eastAsia="Arial" w:hAnsi="Arial" w:cs="Arial"/>
            <w:sz w:val="16"/>
            <w:szCs w:val="16"/>
          </w:rPr>
          <w:t>https://whatweneed.tci-global.org/wp-content/uploads/2023/01/Cathy-Wield-December-2022.pdf</w:t>
        </w:r>
      </w:hyperlink>
    </w:p>
  </w:footnote>
  <w:footnote w:id="18">
    <w:p w14:paraId="2413A33B" w14:textId="75F002B5" w:rsidR="00882541" w:rsidRPr="00561CEC" w:rsidRDefault="00882541">
      <w:pPr>
        <w:pStyle w:val="FootnoteText"/>
        <w:rPr>
          <w:rFonts w:ascii="Arial" w:hAnsi="Arial" w:cs="Arial"/>
          <w:sz w:val="16"/>
          <w:szCs w:val="16"/>
        </w:rPr>
      </w:pPr>
      <w:r w:rsidRPr="008978E1">
        <w:rPr>
          <w:rStyle w:val="FootnoteReference"/>
          <w:rFonts w:ascii="Arial" w:hAnsi="Arial" w:cs="Arial"/>
          <w:sz w:val="16"/>
          <w:szCs w:val="16"/>
        </w:rPr>
        <w:footnoteRef/>
      </w:r>
      <w:r w:rsidRPr="008978E1">
        <w:rPr>
          <w:rFonts w:ascii="Arial" w:hAnsi="Arial" w:cs="Arial"/>
          <w:sz w:val="16"/>
          <w:szCs w:val="16"/>
        </w:rPr>
        <w:t xml:space="preserve"> Prax, C. (2025). Ending institutionalization (including involuntary detention in psychiatric hospitals and forced treatment). </w:t>
      </w:r>
      <w:r w:rsidRPr="008978E1">
        <w:rPr>
          <w:rFonts w:ascii="Arial" w:hAnsi="Arial" w:cs="Arial"/>
          <w:i/>
          <w:iCs/>
          <w:sz w:val="16"/>
          <w:szCs w:val="16"/>
        </w:rPr>
        <w:t>#WhatWENeed</w:t>
      </w:r>
      <w:r w:rsidRPr="008978E1">
        <w:rPr>
          <w:rFonts w:ascii="Arial" w:hAnsi="Arial" w:cs="Arial"/>
          <w:sz w:val="16"/>
          <w:szCs w:val="16"/>
        </w:rPr>
        <w:t xml:space="preserve">. </w:t>
      </w:r>
      <w:hyperlink r:id="rId15" w:history="1">
        <w:r w:rsidRPr="008978E1">
          <w:rPr>
            <w:rStyle w:val="Hyperlink"/>
            <w:rFonts w:ascii="Arial" w:eastAsia="Arial" w:hAnsi="Arial" w:cs="Arial"/>
            <w:sz w:val="16"/>
            <w:szCs w:val="16"/>
          </w:rPr>
          <w:t>https://whatweneed.in/wp-content/uploads/2025/01/Blog-from-Cheryl-Prax.pdf</w:t>
        </w:r>
      </w:hyperlink>
    </w:p>
  </w:footnote>
  <w:footnote w:id="19">
    <w:p w14:paraId="09DCC931" w14:textId="54A02D1C" w:rsidR="00F34848" w:rsidRPr="00561CEC" w:rsidRDefault="00F34848">
      <w:pPr>
        <w:pStyle w:val="FootnoteText"/>
        <w:rPr>
          <w:rFonts w:ascii="Arial" w:hAnsi="Arial" w:cs="Arial"/>
          <w:sz w:val="16"/>
          <w:szCs w:val="16"/>
        </w:rPr>
      </w:pPr>
      <w:r w:rsidRPr="00561CEC">
        <w:rPr>
          <w:rStyle w:val="FootnoteReference"/>
          <w:rFonts w:ascii="Arial" w:hAnsi="Arial" w:cs="Arial"/>
          <w:sz w:val="16"/>
          <w:szCs w:val="16"/>
        </w:rPr>
        <w:footnoteRef/>
      </w:r>
      <w:r w:rsidRPr="00561CEC">
        <w:rPr>
          <w:rFonts w:ascii="Arial" w:hAnsi="Arial" w:cs="Arial"/>
          <w:sz w:val="16"/>
          <w:szCs w:val="16"/>
        </w:rPr>
        <w:t xml:space="preserve"> TCI. (2023). </w:t>
      </w:r>
      <w:r w:rsidRPr="00561CEC">
        <w:rPr>
          <w:rFonts w:ascii="Arial" w:hAnsi="Arial" w:cs="Arial"/>
          <w:i/>
          <w:iCs/>
          <w:sz w:val="16"/>
          <w:szCs w:val="16"/>
        </w:rPr>
        <w:t xml:space="preserve">House of Horrors, Tale of terror: Sadly, nothing new here </w:t>
      </w:r>
      <w:proofErr w:type="gramStart"/>
      <w:r w:rsidRPr="00561CEC">
        <w:rPr>
          <w:rFonts w:ascii="Arial" w:hAnsi="Arial" w:cs="Arial"/>
          <w:i/>
          <w:iCs/>
          <w:sz w:val="16"/>
          <w:szCs w:val="16"/>
        </w:rPr>
        <w:t>An</w:t>
      </w:r>
      <w:proofErr w:type="gramEnd"/>
      <w:r w:rsidRPr="00561CEC">
        <w:rPr>
          <w:rFonts w:ascii="Arial" w:hAnsi="Arial" w:cs="Arial"/>
          <w:i/>
          <w:iCs/>
          <w:sz w:val="16"/>
          <w:szCs w:val="16"/>
        </w:rPr>
        <w:t xml:space="preserve"> opinion piece on the BBC Panorama undercover investigation of the Edenfield Mental Health Care unit, UK</w:t>
      </w:r>
      <w:r w:rsidRPr="00561CEC">
        <w:rPr>
          <w:rFonts w:ascii="Arial" w:hAnsi="Arial" w:cs="Arial"/>
          <w:sz w:val="16"/>
          <w:szCs w:val="16"/>
        </w:rPr>
        <w:t xml:space="preserve">. </w:t>
      </w:r>
      <w:hyperlink r:id="rId16" w:history="1">
        <w:r w:rsidRPr="00561CEC">
          <w:rPr>
            <w:rStyle w:val="Hyperlink"/>
            <w:rFonts w:ascii="Arial" w:eastAsia="Arial" w:hAnsi="Arial" w:cs="Arial"/>
            <w:sz w:val="16"/>
            <w:szCs w:val="16"/>
          </w:rPr>
          <w:t>https://whatweneed.tci-global.org/wp-content/uploads/2023/01/WhatWENeed-submission_TCI_Final.pdf</w:t>
        </w:r>
      </w:hyperlink>
    </w:p>
  </w:footnote>
  <w:footnote w:id="20">
    <w:p w14:paraId="65C41CF5" w14:textId="4F92D468" w:rsidR="00F34848" w:rsidRPr="00561CEC" w:rsidRDefault="00F34848">
      <w:pPr>
        <w:pStyle w:val="FootnoteText"/>
        <w:rPr>
          <w:rFonts w:ascii="Arial" w:hAnsi="Arial" w:cs="Arial"/>
          <w:sz w:val="16"/>
          <w:szCs w:val="16"/>
        </w:rPr>
      </w:pPr>
      <w:r w:rsidRPr="00561CEC">
        <w:rPr>
          <w:rStyle w:val="FootnoteReference"/>
          <w:rFonts w:ascii="Arial" w:hAnsi="Arial" w:cs="Arial"/>
          <w:sz w:val="16"/>
          <w:szCs w:val="16"/>
        </w:rPr>
        <w:footnoteRef/>
      </w:r>
      <w:r w:rsidRPr="00561CEC">
        <w:rPr>
          <w:rFonts w:ascii="Arial" w:hAnsi="Arial" w:cs="Arial"/>
          <w:sz w:val="16"/>
          <w:szCs w:val="16"/>
        </w:rPr>
        <w:t xml:space="preserve"> Care firm’s leadership criticised by Care Quality Commission. (2020, January 14). </w:t>
      </w:r>
      <w:r w:rsidRPr="00561CEC">
        <w:rPr>
          <w:rFonts w:ascii="Arial" w:hAnsi="Arial" w:cs="Arial"/>
          <w:i/>
          <w:iCs/>
          <w:sz w:val="16"/>
          <w:szCs w:val="16"/>
        </w:rPr>
        <w:t>BBC News</w:t>
      </w:r>
      <w:r w:rsidRPr="00561CEC">
        <w:rPr>
          <w:rFonts w:ascii="Arial" w:hAnsi="Arial" w:cs="Arial"/>
          <w:sz w:val="16"/>
          <w:szCs w:val="16"/>
        </w:rPr>
        <w:t xml:space="preserve">. </w:t>
      </w:r>
      <w:hyperlink r:id="rId17" w:history="1">
        <w:r w:rsidRPr="00561CEC">
          <w:rPr>
            <w:rStyle w:val="Hyperlink"/>
            <w:rFonts w:ascii="Arial" w:eastAsia="Arial" w:hAnsi="Arial" w:cs="Arial"/>
            <w:sz w:val="16"/>
            <w:szCs w:val="16"/>
          </w:rPr>
          <w:t>https://www.bbc.com/news/health-51092495</w:t>
        </w:r>
      </w:hyperlink>
    </w:p>
  </w:footnote>
  <w:footnote w:id="21">
    <w:p w14:paraId="4A25AE32" w14:textId="211C23B7" w:rsidR="00F34848" w:rsidRPr="00561CEC" w:rsidRDefault="00F34848">
      <w:pPr>
        <w:pStyle w:val="FootnoteText"/>
        <w:rPr>
          <w:rFonts w:ascii="Arial" w:hAnsi="Arial" w:cs="Arial"/>
          <w:sz w:val="16"/>
          <w:szCs w:val="16"/>
        </w:rPr>
      </w:pPr>
      <w:r w:rsidRPr="00561CEC">
        <w:rPr>
          <w:rStyle w:val="FootnoteReference"/>
          <w:rFonts w:ascii="Arial" w:hAnsi="Arial" w:cs="Arial"/>
          <w:sz w:val="16"/>
          <w:szCs w:val="16"/>
        </w:rPr>
        <w:footnoteRef/>
      </w:r>
      <w:r w:rsidRPr="00561CEC">
        <w:rPr>
          <w:rFonts w:ascii="Arial" w:hAnsi="Arial" w:cs="Arial"/>
          <w:sz w:val="16"/>
          <w:szCs w:val="16"/>
        </w:rPr>
        <w:t xml:space="preserve"> West Lane Hospital: Mental health care ‘chaotic and unsafe’. (2023, March 21). </w:t>
      </w:r>
      <w:r w:rsidRPr="00561CEC">
        <w:rPr>
          <w:rFonts w:ascii="Arial" w:hAnsi="Arial" w:cs="Arial"/>
          <w:i/>
          <w:iCs/>
          <w:sz w:val="16"/>
          <w:szCs w:val="16"/>
        </w:rPr>
        <w:t>BBC News</w:t>
      </w:r>
      <w:r w:rsidRPr="00561CEC">
        <w:rPr>
          <w:rFonts w:ascii="Arial" w:hAnsi="Arial" w:cs="Arial"/>
          <w:sz w:val="16"/>
          <w:szCs w:val="16"/>
        </w:rPr>
        <w:t xml:space="preserve">. </w:t>
      </w:r>
      <w:hyperlink r:id="rId18" w:history="1">
        <w:r w:rsidRPr="00561CEC">
          <w:rPr>
            <w:rStyle w:val="Hyperlink"/>
            <w:rFonts w:ascii="Arial" w:eastAsia="Arial" w:hAnsi="Arial" w:cs="Arial"/>
            <w:sz w:val="16"/>
            <w:szCs w:val="16"/>
          </w:rPr>
          <w:t>https://www.bbc.com/news/uk-england-tees-65013550</w:t>
        </w:r>
      </w:hyperlink>
    </w:p>
  </w:footnote>
  <w:footnote w:id="22">
    <w:p w14:paraId="0DE54665" w14:textId="06AFCB6F" w:rsidR="00A54F32" w:rsidRPr="00561CEC" w:rsidRDefault="00A54F32">
      <w:pPr>
        <w:pStyle w:val="FootnoteText"/>
        <w:rPr>
          <w:rFonts w:ascii="Arial" w:hAnsi="Arial" w:cs="Arial"/>
          <w:sz w:val="16"/>
          <w:szCs w:val="16"/>
        </w:rPr>
      </w:pPr>
      <w:r w:rsidRPr="00561CEC">
        <w:rPr>
          <w:rStyle w:val="FootnoteReference"/>
          <w:rFonts w:ascii="Arial" w:hAnsi="Arial" w:cs="Arial"/>
          <w:sz w:val="16"/>
          <w:szCs w:val="16"/>
        </w:rPr>
        <w:footnoteRef/>
      </w:r>
      <w:r w:rsidRPr="00561CEC">
        <w:rPr>
          <w:rFonts w:ascii="Arial" w:hAnsi="Arial" w:cs="Arial"/>
          <w:sz w:val="16"/>
          <w:szCs w:val="16"/>
        </w:rPr>
        <w:t xml:space="preserve"> </w:t>
      </w:r>
      <w:r w:rsidRPr="00561CEC">
        <w:rPr>
          <w:rFonts w:ascii="Arial" w:hAnsi="Arial" w:cs="Arial"/>
          <w:i/>
          <w:iCs/>
          <w:sz w:val="16"/>
          <w:szCs w:val="16"/>
        </w:rPr>
        <w:t>COSP15 Side Event on Remedy and Reparation for Institutionalization</w:t>
      </w:r>
      <w:r w:rsidRPr="00561CEC">
        <w:rPr>
          <w:rFonts w:ascii="Arial" w:hAnsi="Arial" w:cs="Arial"/>
          <w:sz w:val="16"/>
          <w:szCs w:val="16"/>
        </w:rPr>
        <w:t xml:space="preserve">. (2022). [Video recording]. </w:t>
      </w:r>
      <w:hyperlink r:id="rId19" w:history="1">
        <w:r w:rsidRPr="00561CEC">
          <w:rPr>
            <w:rStyle w:val="Hyperlink"/>
            <w:rFonts w:ascii="Arial" w:eastAsia="Arial" w:hAnsi="Arial" w:cs="Arial"/>
            <w:sz w:val="16"/>
            <w:szCs w:val="16"/>
          </w:rPr>
          <w:t>https://www.youtube.com/watch?v=UOSp7I9z0Nk</w:t>
        </w:r>
      </w:hyperlink>
    </w:p>
  </w:footnote>
  <w:footnote w:id="23">
    <w:p w14:paraId="00206838" w14:textId="46AD7008" w:rsidR="00C712F2" w:rsidRDefault="00C712F2">
      <w:pPr>
        <w:pStyle w:val="FootnoteText"/>
      </w:pPr>
      <w:r w:rsidRPr="00561CEC">
        <w:rPr>
          <w:rStyle w:val="FootnoteReference"/>
          <w:rFonts w:ascii="Arial" w:hAnsi="Arial" w:cs="Arial"/>
          <w:sz w:val="16"/>
          <w:szCs w:val="16"/>
        </w:rPr>
        <w:footnoteRef/>
      </w:r>
      <w:r w:rsidRPr="00561CEC">
        <w:rPr>
          <w:rFonts w:ascii="Arial" w:hAnsi="Arial" w:cs="Arial"/>
          <w:sz w:val="16"/>
          <w:szCs w:val="16"/>
        </w:rPr>
        <w:t xml:space="preserve"> Minkowitz, T. (2024). Deinstitutionalization as Reparative Justice: A Commentary on the Guidelines on Deinstitutionalization, including in Emergencies. </w:t>
      </w:r>
      <w:r w:rsidRPr="00561CEC">
        <w:rPr>
          <w:rFonts w:ascii="Arial" w:hAnsi="Arial" w:cs="Arial"/>
          <w:i/>
          <w:iCs/>
          <w:sz w:val="16"/>
          <w:szCs w:val="16"/>
        </w:rPr>
        <w:t>Laws</w:t>
      </w:r>
      <w:r w:rsidRPr="00561CEC">
        <w:rPr>
          <w:rFonts w:ascii="Arial" w:hAnsi="Arial" w:cs="Arial"/>
          <w:sz w:val="16"/>
          <w:szCs w:val="16"/>
        </w:rPr>
        <w:t xml:space="preserve">, </w:t>
      </w:r>
      <w:r w:rsidRPr="00561CEC">
        <w:rPr>
          <w:rFonts w:ascii="Arial" w:hAnsi="Arial" w:cs="Arial"/>
          <w:i/>
          <w:iCs/>
          <w:sz w:val="16"/>
          <w:szCs w:val="16"/>
        </w:rPr>
        <w:t>13</w:t>
      </w:r>
      <w:r w:rsidRPr="00561CEC">
        <w:rPr>
          <w:rFonts w:ascii="Arial" w:hAnsi="Arial" w:cs="Arial"/>
          <w:sz w:val="16"/>
          <w:szCs w:val="16"/>
        </w:rPr>
        <w:t xml:space="preserve">(2), Article 2. </w:t>
      </w:r>
      <w:hyperlink r:id="rId20" w:history="1">
        <w:r w:rsidRPr="00561CEC">
          <w:rPr>
            <w:rStyle w:val="Hyperlink"/>
            <w:rFonts w:ascii="Arial" w:eastAsia="Arial" w:hAnsi="Arial" w:cs="Arial"/>
            <w:sz w:val="16"/>
            <w:szCs w:val="16"/>
          </w:rPr>
          <w:t>https://doi.org/10.3390/laws13020014</w:t>
        </w:r>
      </w:hyperlink>
    </w:p>
  </w:footnote>
  <w:footnote w:id="24">
    <w:p w14:paraId="053694C4" w14:textId="3030A4BC" w:rsidR="00703757" w:rsidRPr="00E708CC" w:rsidRDefault="00703757">
      <w:pPr>
        <w:pStyle w:val="FootnoteText"/>
        <w:rPr>
          <w:rFonts w:ascii="Arial" w:hAnsi="Arial" w:cs="Arial"/>
          <w:sz w:val="16"/>
          <w:szCs w:val="16"/>
        </w:rPr>
      </w:pPr>
      <w:r w:rsidRPr="00E708CC">
        <w:rPr>
          <w:rStyle w:val="FootnoteReference"/>
          <w:rFonts w:ascii="Arial" w:hAnsi="Arial" w:cs="Arial"/>
          <w:sz w:val="16"/>
          <w:szCs w:val="16"/>
        </w:rPr>
        <w:footnoteRef/>
      </w:r>
      <w:r w:rsidRPr="00E708CC">
        <w:rPr>
          <w:rFonts w:ascii="Arial" w:hAnsi="Arial" w:cs="Arial"/>
          <w:sz w:val="16"/>
          <w:szCs w:val="16"/>
        </w:rPr>
        <w:t xml:space="preserve"> </w:t>
      </w:r>
      <w:r w:rsidRPr="00E708CC">
        <w:rPr>
          <w:rFonts w:ascii="Arial" w:hAnsi="Arial" w:cs="Arial"/>
          <w:i/>
          <w:iCs/>
          <w:sz w:val="16"/>
          <w:szCs w:val="16"/>
        </w:rPr>
        <w:t>IACHR files application before Inter-American Court in case concerning violations of the human rights of patients at Federico Mora Hospital in Guatemala</w:t>
      </w:r>
      <w:r w:rsidRPr="00E708CC">
        <w:rPr>
          <w:rFonts w:ascii="Arial" w:hAnsi="Arial" w:cs="Arial"/>
          <w:sz w:val="16"/>
          <w:szCs w:val="16"/>
        </w:rPr>
        <w:t xml:space="preserve">. (2025). </w:t>
      </w:r>
      <w:hyperlink r:id="rId21" w:history="1">
        <w:r w:rsidRPr="00E708CC">
          <w:rPr>
            <w:rStyle w:val="Hyperlink"/>
            <w:rFonts w:ascii="Arial" w:eastAsia="Arial" w:hAnsi="Arial" w:cs="Arial"/>
            <w:sz w:val="16"/>
            <w:szCs w:val="16"/>
          </w:rPr>
          <w:t>https://www.oas.org/en/iachr/jsForm/?File=/en/iachr/media_center/preleases/2025/119.asp&amp;utm_content=country-gtm&amp;utm_term=class-corteidh</w:t>
        </w:r>
      </w:hyperlink>
    </w:p>
  </w:footnote>
  <w:footnote w:id="25">
    <w:p w14:paraId="2CC3C7DA" w14:textId="2B61169E" w:rsidR="00226C5E" w:rsidRPr="00E708CC" w:rsidRDefault="00226C5E">
      <w:pPr>
        <w:pStyle w:val="FootnoteText"/>
        <w:rPr>
          <w:rFonts w:ascii="Arial" w:hAnsi="Arial" w:cs="Arial"/>
          <w:sz w:val="16"/>
          <w:szCs w:val="16"/>
        </w:rPr>
      </w:pPr>
      <w:r w:rsidRPr="00E708CC">
        <w:rPr>
          <w:rStyle w:val="FootnoteReference"/>
          <w:rFonts w:ascii="Arial" w:hAnsi="Arial" w:cs="Arial"/>
          <w:sz w:val="16"/>
          <w:szCs w:val="16"/>
        </w:rPr>
        <w:footnoteRef/>
      </w:r>
      <w:r w:rsidRPr="00E708CC">
        <w:rPr>
          <w:rFonts w:ascii="Arial" w:hAnsi="Arial" w:cs="Arial"/>
          <w:sz w:val="16"/>
          <w:szCs w:val="16"/>
        </w:rPr>
        <w:t xml:space="preserve"> Japan top court says forced sterilisation unconstitutional. (n.d.). </w:t>
      </w:r>
      <w:r w:rsidRPr="00E708CC">
        <w:rPr>
          <w:rFonts w:ascii="Arial" w:hAnsi="Arial" w:cs="Arial"/>
          <w:i/>
          <w:iCs/>
          <w:sz w:val="16"/>
          <w:szCs w:val="16"/>
        </w:rPr>
        <w:t>BBC UK</w:t>
      </w:r>
      <w:r w:rsidRPr="00E708CC">
        <w:rPr>
          <w:rFonts w:ascii="Arial" w:hAnsi="Arial" w:cs="Arial"/>
          <w:sz w:val="16"/>
          <w:szCs w:val="16"/>
        </w:rPr>
        <w:t xml:space="preserve">. </w:t>
      </w:r>
      <w:hyperlink r:id="rId22" w:history="1">
        <w:r w:rsidRPr="00E708CC">
          <w:rPr>
            <w:rStyle w:val="Hyperlink"/>
            <w:rFonts w:ascii="Arial" w:eastAsia="Arial" w:hAnsi="Arial" w:cs="Arial"/>
            <w:sz w:val="16"/>
            <w:szCs w:val="16"/>
          </w:rPr>
          <w:t>https://www.bbc.co.uk/news/articles/c0krnjy72j0o</w:t>
        </w:r>
      </w:hyperlink>
    </w:p>
  </w:footnote>
  <w:footnote w:id="26">
    <w:p w14:paraId="4B3D3F42" w14:textId="6CAB8634" w:rsidR="0093658F" w:rsidRPr="00E708CC" w:rsidRDefault="0093658F">
      <w:pPr>
        <w:pStyle w:val="FootnoteText"/>
        <w:rPr>
          <w:rFonts w:ascii="Arial" w:hAnsi="Arial" w:cs="Arial"/>
          <w:sz w:val="16"/>
          <w:szCs w:val="16"/>
        </w:rPr>
      </w:pPr>
      <w:r w:rsidRPr="00E708CC">
        <w:rPr>
          <w:rStyle w:val="FootnoteReference"/>
          <w:rFonts w:ascii="Arial" w:hAnsi="Arial" w:cs="Arial"/>
          <w:sz w:val="16"/>
          <w:szCs w:val="16"/>
        </w:rPr>
        <w:footnoteRef/>
      </w:r>
      <w:r w:rsidRPr="00E708CC">
        <w:rPr>
          <w:rFonts w:ascii="Arial" w:hAnsi="Arial" w:cs="Arial"/>
          <w:sz w:val="16"/>
          <w:szCs w:val="16"/>
        </w:rPr>
        <w:t xml:space="preserve"> CRPD/C/5</w:t>
      </w:r>
    </w:p>
  </w:footnote>
  <w:footnote w:id="27">
    <w:p w14:paraId="739CFF05" w14:textId="3F9C43BB" w:rsidR="0093658F" w:rsidRPr="00E708CC" w:rsidRDefault="0093658F">
      <w:pPr>
        <w:pStyle w:val="FootnoteText"/>
        <w:rPr>
          <w:rFonts w:ascii="Arial" w:hAnsi="Arial" w:cs="Arial"/>
          <w:sz w:val="16"/>
          <w:szCs w:val="16"/>
        </w:rPr>
      </w:pPr>
      <w:r w:rsidRPr="00E708CC">
        <w:rPr>
          <w:rStyle w:val="FootnoteReference"/>
          <w:rFonts w:ascii="Arial" w:hAnsi="Arial" w:cs="Arial"/>
          <w:sz w:val="16"/>
          <w:szCs w:val="16"/>
        </w:rPr>
        <w:footnoteRef/>
      </w:r>
      <w:r w:rsidRPr="00E708CC">
        <w:rPr>
          <w:rFonts w:ascii="Arial" w:hAnsi="Arial" w:cs="Arial"/>
          <w:sz w:val="16"/>
          <w:szCs w:val="16"/>
        </w:rPr>
        <w:t xml:space="preserve"> TCI Global. (2025). Restoring dignity and autonomy: Global best practices as alternatives to involuntary hospitalization and treatment and pathways for reform in Armenia. Prepared for the Helsinki Citizens' Assembly Vanadzor Office (HCAV). Available: </w:t>
      </w:r>
      <w:hyperlink r:id="rId23" w:history="1">
        <w:r w:rsidRPr="00E708CC">
          <w:rPr>
            <w:rStyle w:val="Hyperlink"/>
            <w:rFonts w:ascii="Arial" w:hAnsi="Arial" w:cs="Arial"/>
            <w:sz w:val="16"/>
            <w:szCs w:val="16"/>
          </w:rPr>
          <w:t>https://tci-global.org/wp-content/uploads/2025/08/Global-Best-Practices-for-Reform-in-Mental-Health-Landscape-in-Armenia.pdf</w:t>
        </w:r>
      </w:hyperlink>
      <w:r w:rsidRPr="00E708CC">
        <w:rPr>
          <w:rFonts w:ascii="Arial" w:hAnsi="Arial" w:cs="Arial"/>
          <w:sz w:val="16"/>
          <w:szCs w:val="16"/>
        </w:rPr>
        <w:t xml:space="preserve"> </w:t>
      </w:r>
    </w:p>
  </w:footnote>
  <w:footnote w:id="28">
    <w:p w14:paraId="6FECD741" w14:textId="6975BA58" w:rsidR="00A603AD" w:rsidRPr="000C2DF6" w:rsidRDefault="00A603AD">
      <w:pPr>
        <w:pStyle w:val="FootnoteText"/>
        <w:rPr>
          <w:rFonts w:ascii="Arial" w:hAnsi="Arial" w:cs="Arial"/>
          <w:sz w:val="16"/>
          <w:szCs w:val="16"/>
        </w:rPr>
      </w:pPr>
      <w:r w:rsidRPr="000C2DF6">
        <w:rPr>
          <w:rStyle w:val="FootnoteReference"/>
          <w:rFonts w:ascii="Arial" w:hAnsi="Arial" w:cs="Arial"/>
          <w:sz w:val="16"/>
          <w:szCs w:val="16"/>
        </w:rPr>
        <w:footnoteRef/>
      </w:r>
      <w:r w:rsidRPr="000C2DF6">
        <w:rPr>
          <w:rFonts w:ascii="Arial" w:hAnsi="Arial" w:cs="Arial"/>
          <w:sz w:val="16"/>
          <w:szCs w:val="16"/>
        </w:rPr>
        <w:t xml:space="preserve"> </w:t>
      </w:r>
      <w:r w:rsidRPr="000C2DF6">
        <w:rPr>
          <w:rFonts w:ascii="Arial" w:eastAsiaTheme="minorHAnsi" w:hAnsi="Arial" w:cs="Arial"/>
          <w:kern w:val="2"/>
          <w:sz w:val="16"/>
          <w:szCs w:val="16"/>
          <w:lang w:eastAsia="en-US"/>
          <w14:ligatures w14:val="standardContextual"/>
        </w:rPr>
        <w:t xml:space="preserve">Davar, B. V. (2008). From Mental Illness to Disability: Choices for Women Users/ Survivors of Psychiatry in Self and Identity Constructions. </w:t>
      </w:r>
      <w:r w:rsidRPr="000C2DF6">
        <w:rPr>
          <w:rFonts w:ascii="Arial" w:eastAsiaTheme="minorHAnsi" w:hAnsi="Arial" w:cs="Arial"/>
          <w:i/>
          <w:iCs/>
          <w:kern w:val="2"/>
          <w:sz w:val="16"/>
          <w:szCs w:val="16"/>
          <w:lang w:eastAsia="en-US"/>
          <w14:ligatures w14:val="standardContextual"/>
        </w:rPr>
        <w:t>Indian Journal of Gender Studies</w:t>
      </w:r>
      <w:r w:rsidRPr="000C2DF6">
        <w:rPr>
          <w:rFonts w:ascii="Arial" w:eastAsiaTheme="minorHAnsi" w:hAnsi="Arial" w:cs="Arial"/>
          <w:kern w:val="2"/>
          <w:sz w:val="16"/>
          <w:szCs w:val="16"/>
          <w:lang w:eastAsia="en-US"/>
          <w14:ligatures w14:val="standardContextual"/>
        </w:rPr>
        <w:t xml:space="preserve">, </w:t>
      </w:r>
      <w:r w:rsidRPr="000C2DF6">
        <w:rPr>
          <w:rFonts w:ascii="Arial" w:eastAsiaTheme="minorHAnsi" w:hAnsi="Arial" w:cs="Arial"/>
          <w:i/>
          <w:iCs/>
          <w:kern w:val="2"/>
          <w:sz w:val="16"/>
          <w:szCs w:val="16"/>
          <w:lang w:eastAsia="en-US"/>
          <w14:ligatures w14:val="standardContextual"/>
        </w:rPr>
        <w:t>15</w:t>
      </w:r>
      <w:r w:rsidRPr="000C2DF6">
        <w:rPr>
          <w:rFonts w:ascii="Arial" w:eastAsiaTheme="minorHAnsi" w:hAnsi="Arial" w:cs="Arial"/>
          <w:kern w:val="2"/>
          <w:sz w:val="16"/>
          <w:szCs w:val="16"/>
          <w:lang w:eastAsia="en-US"/>
          <w14:ligatures w14:val="standardContextual"/>
        </w:rPr>
        <w:t xml:space="preserve">(2), 261–290. </w:t>
      </w:r>
      <w:hyperlink r:id="rId24" w:history="1">
        <w:r w:rsidRPr="000C2DF6">
          <w:rPr>
            <w:rStyle w:val="Hyperlink"/>
            <w:rFonts w:ascii="Arial" w:eastAsia="Arial" w:hAnsi="Arial" w:cs="Arial"/>
            <w:sz w:val="16"/>
            <w:szCs w:val="16"/>
            <w:lang w:eastAsia="en-US"/>
          </w:rPr>
          <w:t>https://doi.org/10.1177/097152150801500204</w:t>
        </w:r>
      </w:hyperlink>
    </w:p>
  </w:footnote>
  <w:footnote w:id="29">
    <w:p w14:paraId="5D5010D1" w14:textId="77777777" w:rsidR="003D0355" w:rsidRPr="000C2DF6" w:rsidRDefault="003D0355" w:rsidP="003D0355">
      <w:pPr>
        <w:pStyle w:val="FootnoteText"/>
        <w:rPr>
          <w:rFonts w:ascii="Arial" w:hAnsi="Arial" w:cs="Arial"/>
          <w:sz w:val="16"/>
          <w:szCs w:val="16"/>
        </w:rPr>
      </w:pPr>
      <w:r w:rsidRPr="000C2DF6">
        <w:rPr>
          <w:rStyle w:val="FootnoteReference"/>
          <w:rFonts w:ascii="Arial" w:hAnsi="Arial" w:cs="Arial"/>
          <w:sz w:val="16"/>
          <w:szCs w:val="16"/>
        </w:rPr>
        <w:footnoteRef/>
      </w:r>
      <w:r w:rsidRPr="000C2DF6">
        <w:rPr>
          <w:rFonts w:ascii="Arial" w:hAnsi="Arial" w:cs="Arial"/>
          <w:sz w:val="16"/>
          <w:szCs w:val="16"/>
        </w:rPr>
        <w:t xml:space="preserve"> TCI Global. (2018). Bali Declaration 2018. Available: </w:t>
      </w:r>
      <w:hyperlink r:id="rId25" w:history="1">
        <w:r w:rsidRPr="000C2DF6">
          <w:rPr>
            <w:rStyle w:val="Hyperlink"/>
            <w:rFonts w:ascii="Arial" w:hAnsi="Arial" w:cs="Arial"/>
            <w:sz w:val="16"/>
            <w:szCs w:val="16"/>
          </w:rPr>
          <w:t>https://whatweneed.tci-global.org/bali-declaration-2018/</w:t>
        </w:r>
      </w:hyperlink>
      <w:r w:rsidRPr="000C2DF6">
        <w:rPr>
          <w:rFonts w:ascii="Arial" w:hAnsi="Arial" w:cs="Arial"/>
          <w:sz w:val="16"/>
          <w:szCs w:val="16"/>
        </w:rPr>
        <w:t xml:space="preserve"> </w:t>
      </w:r>
    </w:p>
  </w:footnote>
  <w:footnote w:id="30">
    <w:p w14:paraId="63A1F877" w14:textId="77777777" w:rsidR="003D0355" w:rsidRPr="000C2DF6" w:rsidRDefault="003D0355" w:rsidP="003D0355">
      <w:pPr>
        <w:pStyle w:val="FootnoteText"/>
        <w:rPr>
          <w:rFonts w:ascii="Arial" w:hAnsi="Arial" w:cs="Arial"/>
          <w:sz w:val="16"/>
          <w:szCs w:val="16"/>
        </w:rPr>
      </w:pPr>
      <w:r w:rsidRPr="000C2DF6">
        <w:rPr>
          <w:rStyle w:val="FootnoteReference"/>
          <w:rFonts w:ascii="Arial" w:hAnsi="Arial" w:cs="Arial"/>
          <w:sz w:val="16"/>
          <w:szCs w:val="16"/>
        </w:rPr>
        <w:footnoteRef/>
      </w:r>
      <w:r w:rsidRPr="000C2DF6">
        <w:rPr>
          <w:rFonts w:ascii="Arial" w:hAnsi="Arial" w:cs="Arial"/>
          <w:sz w:val="16"/>
          <w:szCs w:val="16"/>
        </w:rPr>
        <w:t xml:space="preserve"> Transforming Communities for Inclusion – Global. (2022). Addis Declaration. Available: </w:t>
      </w:r>
      <w:hyperlink r:id="rId26" w:history="1">
        <w:r w:rsidRPr="000C2DF6">
          <w:rPr>
            <w:rStyle w:val="Hyperlink"/>
            <w:rFonts w:ascii="Arial" w:hAnsi="Arial" w:cs="Arial"/>
            <w:sz w:val="16"/>
            <w:szCs w:val="16"/>
          </w:rPr>
          <w:t>https://tciglobal.org/wp-content/uploads/2023/11/Addis-Declaration-2023.pdf</w:t>
        </w:r>
      </w:hyperlink>
      <w:r w:rsidRPr="000C2DF6">
        <w:rPr>
          <w:rFonts w:ascii="Arial" w:hAnsi="Arial" w:cs="Arial"/>
          <w:sz w:val="16"/>
          <w:szCs w:val="16"/>
        </w:rPr>
        <w:t xml:space="preserve"> </w:t>
      </w:r>
    </w:p>
  </w:footnote>
  <w:footnote w:id="31">
    <w:p w14:paraId="7826CCB4" w14:textId="3F37998C" w:rsidR="000C2DF6" w:rsidRPr="000C2DF6" w:rsidRDefault="000C2DF6">
      <w:pPr>
        <w:pStyle w:val="FootnoteText"/>
        <w:rPr>
          <w:rFonts w:ascii="Arial" w:hAnsi="Arial" w:cs="Arial"/>
          <w:sz w:val="16"/>
          <w:szCs w:val="16"/>
        </w:rPr>
      </w:pPr>
      <w:r w:rsidRPr="000C2DF6">
        <w:rPr>
          <w:rStyle w:val="FootnoteReference"/>
          <w:rFonts w:ascii="Arial" w:hAnsi="Arial" w:cs="Arial"/>
          <w:sz w:val="16"/>
          <w:szCs w:val="16"/>
        </w:rPr>
        <w:footnoteRef/>
      </w:r>
      <w:r w:rsidRPr="000C2DF6">
        <w:rPr>
          <w:rFonts w:ascii="Arial" w:hAnsi="Arial" w:cs="Arial"/>
          <w:sz w:val="16"/>
          <w:szCs w:val="16"/>
        </w:rPr>
        <w:t xml:space="preserve"> TCI Asia Pacific (2020). ‘Reframing the momentum: From “mental health” to “inclusion” of persons with psychosocial </w:t>
      </w:r>
      <w:proofErr w:type="gramStart"/>
      <w:r w:rsidRPr="000C2DF6">
        <w:rPr>
          <w:rFonts w:ascii="Arial" w:hAnsi="Arial" w:cs="Arial"/>
          <w:sz w:val="16"/>
          <w:szCs w:val="16"/>
        </w:rPr>
        <w:t>disabilities’</w:t>
      </w:r>
      <w:proofErr w:type="gramEnd"/>
      <w:r w:rsidRPr="000C2DF6">
        <w:rPr>
          <w:rFonts w:ascii="Arial" w:hAnsi="Arial" w:cs="Arial"/>
          <w:sz w:val="16"/>
          <w:szCs w:val="16"/>
        </w:rPr>
        <w:t xml:space="preserve">. Report of the Classic Edition Plenary of Transforming Communities for Inclusion (TCI) Asia Pacific, Pune. [Plenary report]. Available: </w:t>
      </w:r>
      <w:hyperlink r:id="rId27" w:history="1">
        <w:r w:rsidRPr="000C2DF6">
          <w:rPr>
            <w:rStyle w:val="Hyperlink"/>
            <w:rFonts w:ascii="Arial" w:hAnsi="Arial" w:cs="Arial"/>
            <w:sz w:val="16"/>
            <w:szCs w:val="16"/>
          </w:rPr>
          <w:t>https://tci-global.org/wp-content/uploads/2022/05/TCI-Asia-pacific-classic-edition-plenarya-report.pdf</w:t>
        </w:r>
      </w:hyperlink>
      <w:r w:rsidRPr="000C2DF6">
        <w:rPr>
          <w:rFonts w:ascii="Arial" w:hAnsi="Arial" w:cs="Arial"/>
          <w:sz w:val="16"/>
          <w:szCs w:val="16"/>
        </w:rPr>
        <w:t xml:space="preserve"> </w:t>
      </w:r>
    </w:p>
  </w:footnote>
  <w:footnote w:id="32">
    <w:p w14:paraId="021318AB" w14:textId="6CA98B3F" w:rsidR="00A603AD" w:rsidRPr="000C2DF6" w:rsidRDefault="00A603AD">
      <w:pPr>
        <w:pStyle w:val="FootnoteText"/>
        <w:rPr>
          <w:rFonts w:ascii="Arial" w:hAnsi="Arial" w:cs="Arial"/>
          <w:sz w:val="16"/>
          <w:szCs w:val="16"/>
        </w:rPr>
      </w:pPr>
      <w:r w:rsidRPr="000C2DF6">
        <w:rPr>
          <w:rStyle w:val="FootnoteReference"/>
          <w:rFonts w:ascii="Arial" w:hAnsi="Arial" w:cs="Arial"/>
          <w:sz w:val="16"/>
          <w:szCs w:val="16"/>
        </w:rPr>
        <w:footnoteRef/>
      </w:r>
      <w:r w:rsidRPr="000C2DF6">
        <w:rPr>
          <w:rFonts w:ascii="Arial" w:hAnsi="Arial" w:cs="Arial"/>
          <w:sz w:val="16"/>
          <w:szCs w:val="16"/>
        </w:rPr>
        <w:t xml:space="preserve"> </w:t>
      </w:r>
      <w:r w:rsidRPr="000C2DF6">
        <w:rPr>
          <w:rFonts w:ascii="Arial" w:eastAsiaTheme="minorHAnsi" w:hAnsi="Arial" w:cs="Arial"/>
          <w:kern w:val="2"/>
          <w:sz w:val="16"/>
          <w:szCs w:val="16"/>
          <w:lang w:eastAsia="en-US"/>
          <w14:ligatures w14:val="standardContextual"/>
        </w:rPr>
        <w:t xml:space="preserve">TCI. (2023). </w:t>
      </w:r>
      <w:r w:rsidRPr="000C2DF6">
        <w:rPr>
          <w:rFonts w:ascii="Arial" w:eastAsiaTheme="minorHAnsi" w:hAnsi="Arial" w:cs="Arial"/>
          <w:i/>
          <w:iCs/>
          <w:kern w:val="2"/>
          <w:sz w:val="16"/>
          <w:szCs w:val="16"/>
          <w:lang w:eastAsia="en-US"/>
          <w14:ligatures w14:val="standardContextual"/>
        </w:rPr>
        <w:t>Legal Capacity Laws, Policies and Practices, and Women with Intellectual and Psychosocial Disabilities</w:t>
      </w:r>
      <w:r w:rsidRPr="000C2DF6">
        <w:rPr>
          <w:rFonts w:ascii="Arial" w:eastAsiaTheme="minorHAnsi" w:hAnsi="Arial" w:cs="Arial"/>
          <w:kern w:val="2"/>
          <w:sz w:val="16"/>
          <w:szCs w:val="16"/>
          <w:lang w:eastAsia="en-US"/>
          <w14:ligatures w14:val="standardContextual"/>
        </w:rPr>
        <w:t xml:space="preserve">. </w:t>
      </w:r>
      <w:hyperlink r:id="rId28" w:history="1">
        <w:r w:rsidRPr="000C2DF6">
          <w:rPr>
            <w:rStyle w:val="Hyperlink"/>
            <w:rFonts w:ascii="Arial" w:eastAsia="Arial" w:hAnsi="Arial" w:cs="Arial"/>
            <w:sz w:val="16"/>
            <w:szCs w:val="16"/>
            <w:lang w:eastAsia="en-US"/>
          </w:rPr>
          <w:t>https://tci-global.org/wp-content/uploads/2023/02/Background-Reading-Legal-Capacity-Round-Table.pdf</w:t>
        </w:r>
      </w:hyperlink>
    </w:p>
  </w:footnote>
  <w:footnote w:id="33">
    <w:p w14:paraId="11FE0807" w14:textId="72B8ABE2" w:rsidR="00AF54C5" w:rsidRPr="000C2DF6" w:rsidRDefault="00AF54C5">
      <w:pPr>
        <w:pStyle w:val="FootnoteText"/>
        <w:rPr>
          <w:rFonts w:ascii="Arial" w:eastAsiaTheme="minorHAnsi" w:hAnsi="Arial" w:cs="Arial"/>
          <w:kern w:val="2"/>
          <w:sz w:val="16"/>
          <w:szCs w:val="16"/>
          <w:lang w:eastAsia="en-US"/>
          <w14:ligatures w14:val="standardContextual"/>
        </w:rPr>
      </w:pPr>
      <w:r w:rsidRPr="000C2DF6">
        <w:rPr>
          <w:rStyle w:val="FootnoteReference"/>
          <w:rFonts w:ascii="Arial" w:hAnsi="Arial" w:cs="Arial"/>
          <w:sz w:val="16"/>
          <w:szCs w:val="16"/>
        </w:rPr>
        <w:footnoteRef/>
      </w:r>
      <w:r w:rsidRPr="000C2DF6">
        <w:rPr>
          <w:rFonts w:ascii="Arial" w:hAnsi="Arial" w:cs="Arial"/>
          <w:sz w:val="16"/>
          <w:szCs w:val="16"/>
        </w:rPr>
        <w:t xml:space="preserve"> </w:t>
      </w:r>
      <w:r w:rsidR="00357F52" w:rsidRPr="000C2DF6">
        <w:rPr>
          <w:rFonts w:ascii="Arial" w:eastAsiaTheme="minorHAnsi" w:hAnsi="Arial" w:cs="Arial"/>
          <w:kern w:val="2"/>
          <w:sz w:val="16"/>
          <w:szCs w:val="16"/>
          <w:lang w:eastAsia="en-US"/>
          <w14:ligatures w14:val="standardContextual"/>
        </w:rPr>
        <w:t xml:space="preserve">Davar, B. (2012). </w:t>
      </w:r>
      <w:r w:rsidR="00357F52" w:rsidRPr="000C2DF6">
        <w:rPr>
          <w:rFonts w:ascii="Arial" w:eastAsiaTheme="minorHAnsi" w:hAnsi="Arial" w:cs="Arial"/>
          <w:i/>
          <w:iCs/>
          <w:kern w:val="2"/>
          <w:sz w:val="16"/>
          <w:szCs w:val="16"/>
          <w:lang w:eastAsia="en-US"/>
          <w14:ligatures w14:val="standardContextual"/>
        </w:rPr>
        <w:t>Legal Frameworks for and against People with Psychosocial Disabilities</w:t>
      </w:r>
      <w:r w:rsidR="00357F52" w:rsidRPr="000C2DF6">
        <w:rPr>
          <w:rFonts w:ascii="Arial" w:eastAsiaTheme="minorHAnsi" w:hAnsi="Arial" w:cs="Arial"/>
          <w:kern w:val="2"/>
          <w:sz w:val="16"/>
          <w:szCs w:val="16"/>
          <w:lang w:eastAsia="en-US"/>
          <w14:ligatures w14:val="standardContextual"/>
        </w:rPr>
        <w:t xml:space="preserve">. </w:t>
      </w:r>
      <w:r w:rsidR="00357F52" w:rsidRPr="000C2DF6">
        <w:rPr>
          <w:rFonts w:ascii="Arial" w:eastAsiaTheme="minorHAnsi" w:hAnsi="Arial" w:cs="Arial"/>
          <w:i/>
          <w:iCs/>
          <w:kern w:val="2"/>
          <w:sz w:val="16"/>
          <w:szCs w:val="16"/>
          <w:lang w:eastAsia="en-US"/>
          <w14:ligatures w14:val="standardContextual"/>
        </w:rPr>
        <w:t>47</w:t>
      </w:r>
      <w:r w:rsidR="00357F52" w:rsidRPr="000C2DF6">
        <w:rPr>
          <w:rFonts w:ascii="Arial" w:eastAsiaTheme="minorHAnsi" w:hAnsi="Arial" w:cs="Arial"/>
          <w:kern w:val="2"/>
          <w:sz w:val="16"/>
          <w:szCs w:val="16"/>
          <w:lang w:eastAsia="en-US"/>
          <w14:ligatures w14:val="standardContextual"/>
        </w:rPr>
        <w:t xml:space="preserve">(52). </w:t>
      </w:r>
      <w:hyperlink r:id="rId29" w:history="1">
        <w:r w:rsidR="00357F52" w:rsidRPr="000C2DF6">
          <w:rPr>
            <w:rStyle w:val="Hyperlink"/>
            <w:rFonts w:ascii="Arial" w:eastAsia="Arial" w:hAnsi="Arial" w:cs="Arial"/>
            <w:sz w:val="16"/>
            <w:szCs w:val="16"/>
            <w:lang w:eastAsia="en-US"/>
          </w:rPr>
          <w:t>https://www.epw.in/journal/2012/52/special-articles/legal-frameworks-and-against-people-psychosocial-disabilities.html</w:t>
        </w:r>
      </w:hyperlink>
    </w:p>
  </w:footnote>
  <w:footnote w:id="34">
    <w:p w14:paraId="5A4562D3" w14:textId="77777777" w:rsidR="00357F52" w:rsidRPr="000C2DF6" w:rsidRDefault="00AF54C5" w:rsidP="00357F52">
      <w:pPr>
        <w:pStyle w:val="FootnoteText"/>
        <w:rPr>
          <w:rFonts w:ascii="Arial" w:eastAsiaTheme="minorHAnsi" w:hAnsi="Arial" w:cs="Arial"/>
          <w:kern w:val="2"/>
          <w:sz w:val="16"/>
          <w:szCs w:val="16"/>
          <w:lang w:eastAsia="en-US"/>
          <w14:ligatures w14:val="standardContextual"/>
        </w:rPr>
      </w:pPr>
      <w:r w:rsidRPr="000C2DF6">
        <w:rPr>
          <w:rStyle w:val="FootnoteReference"/>
          <w:rFonts w:ascii="Arial" w:hAnsi="Arial" w:cs="Arial"/>
          <w:sz w:val="16"/>
          <w:szCs w:val="16"/>
        </w:rPr>
        <w:footnoteRef/>
      </w:r>
      <w:r w:rsidRPr="000C2DF6">
        <w:rPr>
          <w:rFonts w:ascii="Arial" w:hAnsi="Arial" w:cs="Arial"/>
          <w:sz w:val="16"/>
          <w:szCs w:val="16"/>
        </w:rPr>
        <w:t xml:space="preserve"> </w:t>
      </w:r>
      <w:r w:rsidR="00357F52" w:rsidRPr="000C2DF6">
        <w:rPr>
          <w:rFonts w:ascii="Arial" w:eastAsiaTheme="minorHAnsi" w:hAnsi="Arial" w:cs="Arial"/>
          <w:kern w:val="2"/>
          <w:sz w:val="16"/>
          <w:szCs w:val="16"/>
          <w:lang w:eastAsia="en-US"/>
          <w14:ligatures w14:val="standardContextual"/>
        </w:rPr>
        <w:t>Davar, B. (2022). The Discriminatory Standards of Constructing ‘</w:t>
      </w:r>
      <w:proofErr w:type="spellStart"/>
      <w:r w:rsidR="00357F52" w:rsidRPr="000C2DF6">
        <w:rPr>
          <w:rFonts w:ascii="Arial" w:eastAsiaTheme="minorHAnsi" w:hAnsi="Arial" w:cs="Arial"/>
          <w:kern w:val="2"/>
          <w:sz w:val="16"/>
          <w:szCs w:val="16"/>
          <w:lang w:eastAsia="en-US"/>
          <w14:ligatures w14:val="standardContextual"/>
        </w:rPr>
        <w:t>Patienthood</w:t>
      </w:r>
      <w:proofErr w:type="spellEnd"/>
      <w:r w:rsidR="00357F52" w:rsidRPr="000C2DF6">
        <w:rPr>
          <w:rFonts w:ascii="Arial" w:eastAsiaTheme="minorHAnsi" w:hAnsi="Arial" w:cs="Arial"/>
          <w:kern w:val="2"/>
          <w:sz w:val="16"/>
          <w:szCs w:val="16"/>
          <w:lang w:eastAsia="en-US"/>
          <w14:ligatures w14:val="standardContextual"/>
        </w:rPr>
        <w:t xml:space="preserve">’ of the ‘Mentally Ill’ within Public Health. </w:t>
      </w:r>
      <w:r w:rsidR="00357F52" w:rsidRPr="000C2DF6">
        <w:rPr>
          <w:rFonts w:ascii="Arial" w:eastAsiaTheme="minorHAnsi" w:hAnsi="Arial" w:cs="Arial"/>
          <w:i/>
          <w:iCs/>
          <w:kern w:val="2"/>
          <w:sz w:val="16"/>
          <w:szCs w:val="16"/>
          <w:lang w:eastAsia="en-US"/>
          <w14:ligatures w14:val="standardContextual"/>
        </w:rPr>
        <w:t>#WhatWENeed</w:t>
      </w:r>
      <w:r w:rsidR="00357F52" w:rsidRPr="000C2DF6">
        <w:rPr>
          <w:rFonts w:ascii="Arial" w:eastAsiaTheme="minorHAnsi" w:hAnsi="Arial" w:cs="Arial"/>
          <w:kern w:val="2"/>
          <w:sz w:val="16"/>
          <w:szCs w:val="16"/>
          <w:lang w:eastAsia="en-US"/>
          <w14:ligatures w14:val="standardContextual"/>
        </w:rPr>
        <w:t xml:space="preserve">. </w:t>
      </w:r>
      <w:hyperlink r:id="rId30" w:history="1">
        <w:r w:rsidR="00357F52" w:rsidRPr="000C2DF6">
          <w:rPr>
            <w:rStyle w:val="Hyperlink"/>
            <w:rFonts w:ascii="Arial" w:eastAsiaTheme="minorHAnsi" w:hAnsi="Arial" w:cs="Arial"/>
            <w:kern w:val="2"/>
            <w:sz w:val="16"/>
            <w:szCs w:val="16"/>
            <w:lang w:eastAsia="en-US"/>
            <w14:ligatures w14:val="standardContextual"/>
          </w:rPr>
          <w:t>https://whatweneed.tci-global.org/wp-content/uploads/2022/11/The-Discriminatory-Standards-of-Constructing-%E2%80%98Patienthood-of-the-%E2%80%98Mentally-Ill-within-Public-Health_for-WhatWENeed.pdf</w:t>
        </w:r>
      </w:hyperlink>
    </w:p>
    <w:p w14:paraId="00DA063C" w14:textId="32ED296C" w:rsidR="00AF54C5" w:rsidRPr="00357F52" w:rsidRDefault="00AF54C5" w:rsidP="00AF54C5">
      <w:pPr>
        <w:pStyle w:val="FootnoteText"/>
        <w:rPr>
          <w:rFonts w:ascii="Arial" w:eastAsiaTheme="minorHAnsi" w:hAnsi="Arial" w:cs="Arial"/>
          <w:kern w:val="2"/>
          <w:sz w:val="16"/>
          <w:szCs w:val="16"/>
          <w:lang w:eastAsia="en-US"/>
          <w14:ligatures w14:val="standardContextual"/>
        </w:rPr>
      </w:pPr>
    </w:p>
  </w:footnote>
  <w:footnote w:id="35">
    <w:p w14:paraId="7BB00975" w14:textId="096A6B67" w:rsidR="00357F52" w:rsidRDefault="00357F52">
      <w:pPr>
        <w:pStyle w:val="FootnoteText"/>
      </w:pPr>
      <w:r w:rsidRPr="00357F52">
        <w:rPr>
          <w:rStyle w:val="FootnoteReference"/>
          <w:rFonts w:ascii="Arial" w:hAnsi="Arial" w:cs="Arial"/>
          <w:sz w:val="16"/>
          <w:szCs w:val="16"/>
        </w:rPr>
        <w:footnoteRef/>
      </w:r>
      <w:r w:rsidRPr="00357F52">
        <w:rPr>
          <w:rFonts w:ascii="Arial" w:hAnsi="Arial" w:cs="Arial"/>
          <w:sz w:val="16"/>
          <w:szCs w:val="16"/>
        </w:rPr>
        <w:t xml:space="preserve"> </w:t>
      </w:r>
      <w:r w:rsidRPr="00357F52">
        <w:rPr>
          <w:rFonts w:ascii="Arial" w:eastAsiaTheme="minorHAnsi" w:hAnsi="Arial" w:cs="Arial"/>
          <w:kern w:val="2"/>
          <w:sz w:val="16"/>
          <w:szCs w:val="16"/>
          <w:lang w:eastAsia="en-US"/>
          <w14:ligatures w14:val="standardContextual"/>
        </w:rPr>
        <w:t xml:space="preserve">Davar, B. V. (2008). From Mental Illness to Disability: Choices for Women Users/ Survivors of Psychiatry in Self and Identity Constructions. </w:t>
      </w:r>
      <w:r w:rsidRPr="00357F52">
        <w:rPr>
          <w:rFonts w:ascii="Arial" w:eastAsiaTheme="minorHAnsi" w:hAnsi="Arial" w:cs="Arial"/>
          <w:i/>
          <w:iCs/>
          <w:kern w:val="2"/>
          <w:sz w:val="16"/>
          <w:szCs w:val="16"/>
          <w:lang w:eastAsia="en-US"/>
          <w14:ligatures w14:val="standardContextual"/>
        </w:rPr>
        <w:t>Indian Journal of Gender Studies</w:t>
      </w:r>
      <w:r w:rsidRPr="00357F52">
        <w:rPr>
          <w:rFonts w:ascii="Arial" w:eastAsiaTheme="minorHAnsi" w:hAnsi="Arial" w:cs="Arial"/>
          <w:kern w:val="2"/>
          <w:sz w:val="16"/>
          <w:szCs w:val="16"/>
          <w:lang w:eastAsia="en-US"/>
          <w14:ligatures w14:val="standardContextual"/>
        </w:rPr>
        <w:t xml:space="preserve">, </w:t>
      </w:r>
      <w:r w:rsidRPr="00357F52">
        <w:rPr>
          <w:rFonts w:ascii="Arial" w:eastAsiaTheme="minorHAnsi" w:hAnsi="Arial" w:cs="Arial"/>
          <w:i/>
          <w:iCs/>
          <w:kern w:val="2"/>
          <w:sz w:val="16"/>
          <w:szCs w:val="16"/>
          <w:lang w:eastAsia="en-US"/>
          <w14:ligatures w14:val="standardContextual"/>
        </w:rPr>
        <w:t>15</w:t>
      </w:r>
      <w:r w:rsidRPr="00357F52">
        <w:rPr>
          <w:rFonts w:ascii="Arial" w:eastAsiaTheme="minorHAnsi" w:hAnsi="Arial" w:cs="Arial"/>
          <w:kern w:val="2"/>
          <w:sz w:val="16"/>
          <w:szCs w:val="16"/>
          <w:lang w:eastAsia="en-US"/>
          <w14:ligatures w14:val="standardContextual"/>
        </w:rPr>
        <w:t xml:space="preserve">(2), 261–290. </w:t>
      </w:r>
      <w:hyperlink r:id="rId31" w:history="1">
        <w:r w:rsidRPr="00357F52">
          <w:rPr>
            <w:rStyle w:val="Hyperlink"/>
            <w:rFonts w:ascii="Arial" w:eastAsia="Arial" w:hAnsi="Arial" w:cs="Arial"/>
            <w:sz w:val="16"/>
            <w:szCs w:val="16"/>
            <w:lang w:eastAsia="en-US"/>
          </w:rPr>
          <w:t>https://doi.org/10.1177/097152150801500204</w:t>
        </w:r>
      </w:hyperlink>
    </w:p>
  </w:footnote>
  <w:footnote w:id="36">
    <w:p w14:paraId="585DE19C" w14:textId="58DC2E85" w:rsidR="00021649" w:rsidRPr="00E708CC" w:rsidRDefault="00021649">
      <w:pPr>
        <w:pStyle w:val="FootnoteText"/>
        <w:rPr>
          <w:rFonts w:ascii="Arial" w:hAnsi="Arial" w:cs="Arial"/>
          <w:sz w:val="16"/>
          <w:szCs w:val="16"/>
        </w:rPr>
      </w:pPr>
      <w:r w:rsidRPr="00E708CC">
        <w:rPr>
          <w:rStyle w:val="FootnoteReference"/>
          <w:rFonts w:ascii="Arial" w:hAnsi="Arial" w:cs="Arial"/>
          <w:sz w:val="16"/>
          <w:szCs w:val="16"/>
        </w:rPr>
        <w:footnoteRef/>
      </w:r>
      <w:r w:rsidRPr="00E708CC">
        <w:rPr>
          <w:rFonts w:ascii="Arial" w:hAnsi="Arial" w:cs="Arial"/>
          <w:sz w:val="16"/>
          <w:szCs w:val="16"/>
        </w:rPr>
        <w:t xml:space="preserve"> Brosnan, L. (2018). Who’s Talking About Us Without Us? A Survivor Research Interjection into an Academic Psychiatry Debate on Compulsory Community Treatment Orders in Ireland. </w:t>
      </w:r>
      <w:r w:rsidRPr="00E708CC">
        <w:rPr>
          <w:rFonts w:ascii="Arial" w:hAnsi="Arial" w:cs="Arial"/>
          <w:i/>
          <w:iCs/>
          <w:sz w:val="16"/>
          <w:szCs w:val="16"/>
        </w:rPr>
        <w:t>Laws</w:t>
      </w:r>
      <w:r w:rsidRPr="00E708CC">
        <w:rPr>
          <w:rFonts w:ascii="Arial" w:hAnsi="Arial" w:cs="Arial"/>
          <w:sz w:val="16"/>
          <w:szCs w:val="16"/>
        </w:rPr>
        <w:t xml:space="preserve">, </w:t>
      </w:r>
      <w:r w:rsidRPr="00E708CC">
        <w:rPr>
          <w:rFonts w:ascii="Arial" w:hAnsi="Arial" w:cs="Arial"/>
          <w:i/>
          <w:iCs/>
          <w:sz w:val="16"/>
          <w:szCs w:val="16"/>
        </w:rPr>
        <w:t>7</w:t>
      </w:r>
      <w:r w:rsidRPr="00E708CC">
        <w:rPr>
          <w:rFonts w:ascii="Arial" w:hAnsi="Arial" w:cs="Arial"/>
          <w:sz w:val="16"/>
          <w:szCs w:val="16"/>
        </w:rPr>
        <w:t xml:space="preserve">(4), Article 4. </w:t>
      </w:r>
      <w:hyperlink r:id="rId32" w:history="1">
        <w:r w:rsidRPr="00E708CC">
          <w:rPr>
            <w:rStyle w:val="Hyperlink"/>
            <w:rFonts w:ascii="Arial" w:hAnsi="Arial" w:cs="Arial"/>
            <w:sz w:val="16"/>
            <w:szCs w:val="16"/>
          </w:rPr>
          <w:t>https://doi.org/10.3390/laws7040033</w:t>
        </w:r>
      </w:hyperlink>
    </w:p>
  </w:footnote>
  <w:footnote w:id="37">
    <w:p w14:paraId="2C57B55D" w14:textId="5F37D33C" w:rsidR="00021649" w:rsidRPr="00E708CC" w:rsidRDefault="00021649">
      <w:pPr>
        <w:pStyle w:val="FootnoteText"/>
        <w:rPr>
          <w:rFonts w:ascii="Arial" w:hAnsi="Arial" w:cs="Arial"/>
          <w:sz w:val="16"/>
          <w:szCs w:val="16"/>
        </w:rPr>
      </w:pPr>
      <w:r w:rsidRPr="00E708CC">
        <w:rPr>
          <w:rStyle w:val="FootnoteReference"/>
          <w:rFonts w:ascii="Arial" w:hAnsi="Arial" w:cs="Arial"/>
          <w:sz w:val="16"/>
          <w:szCs w:val="16"/>
        </w:rPr>
        <w:footnoteRef/>
      </w:r>
      <w:r w:rsidRPr="00E708CC">
        <w:rPr>
          <w:rFonts w:ascii="Arial" w:hAnsi="Arial" w:cs="Arial"/>
          <w:sz w:val="16"/>
          <w:szCs w:val="16"/>
        </w:rPr>
        <w:t xml:space="preserve"> </w:t>
      </w:r>
      <w:r w:rsidR="00D055F7" w:rsidRPr="00E708CC">
        <w:rPr>
          <w:rFonts w:ascii="Arial" w:hAnsi="Arial" w:cs="Arial"/>
          <w:sz w:val="16"/>
          <w:szCs w:val="16"/>
        </w:rPr>
        <w:t xml:space="preserve">Maylea, C., </w:t>
      </w:r>
      <w:proofErr w:type="spellStart"/>
      <w:r w:rsidR="00D055F7" w:rsidRPr="00E708CC">
        <w:rPr>
          <w:rFonts w:ascii="Arial" w:hAnsi="Arial" w:cs="Arial"/>
          <w:sz w:val="16"/>
          <w:szCs w:val="16"/>
        </w:rPr>
        <w:t>Zirnsak</w:t>
      </w:r>
      <w:proofErr w:type="spellEnd"/>
      <w:r w:rsidR="00D055F7" w:rsidRPr="00E708CC">
        <w:rPr>
          <w:rFonts w:ascii="Arial" w:hAnsi="Arial" w:cs="Arial"/>
          <w:sz w:val="16"/>
          <w:szCs w:val="16"/>
        </w:rPr>
        <w:t xml:space="preserve">, T.-M., Edan, V., Armitage, P., Robert, H., &amp; Brophy, L. (2025). Ensuring compulsory treatment is used as a last resort: A narrative review of the knowledge about Community Treatment Orders. </w:t>
      </w:r>
      <w:r w:rsidR="00D055F7" w:rsidRPr="00E708CC">
        <w:rPr>
          <w:rFonts w:ascii="Arial" w:hAnsi="Arial" w:cs="Arial"/>
          <w:i/>
          <w:iCs/>
          <w:sz w:val="16"/>
          <w:szCs w:val="16"/>
        </w:rPr>
        <w:t>Psychiatry, Psychology and Law</w:t>
      </w:r>
      <w:r w:rsidR="00D055F7" w:rsidRPr="00E708CC">
        <w:rPr>
          <w:rFonts w:ascii="Arial" w:hAnsi="Arial" w:cs="Arial"/>
          <w:sz w:val="16"/>
          <w:szCs w:val="16"/>
        </w:rPr>
        <w:t xml:space="preserve">, </w:t>
      </w:r>
      <w:r w:rsidR="00D055F7" w:rsidRPr="00E708CC">
        <w:rPr>
          <w:rFonts w:ascii="Arial" w:hAnsi="Arial" w:cs="Arial"/>
          <w:i/>
          <w:iCs/>
          <w:sz w:val="16"/>
          <w:szCs w:val="16"/>
        </w:rPr>
        <w:t>ahead-of-print</w:t>
      </w:r>
      <w:r w:rsidR="00D055F7" w:rsidRPr="00E708CC">
        <w:rPr>
          <w:rFonts w:ascii="Arial" w:hAnsi="Arial" w:cs="Arial"/>
          <w:sz w:val="16"/>
          <w:szCs w:val="16"/>
        </w:rPr>
        <w:t xml:space="preserve">. </w:t>
      </w:r>
      <w:hyperlink r:id="rId33" w:history="1">
        <w:r w:rsidR="00D055F7" w:rsidRPr="00E708CC">
          <w:rPr>
            <w:rStyle w:val="Hyperlink"/>
            <w:rFonts w:ascii="Arial" w:hAnsi="Arial" w:cs="Arial"/>
            <w:sz w:val="16"/>
            <w:szCs w:val="16"/>
          </w:rPr>
          <w:t>https://doi.org/10.1080/13218719.2024.2421168</w:t>
        </w:r>
      </w:hyperlink>
    </w:p>
  </w:footnote>
  <w:footnote w:id="38">
    <w:p w14:paraId="6A953448" w14:textId="28FE5DE4" w:rsidR="00D055F7" w:rsidRDefault="00D055F7">
      <w:pPr>
        <w:pStyle w:val="FootnoteText"/>
      </w:pPr>
      <w:r w:rsidRPr="00E708CC">
        <w:rPr>
          <w:rStyle w:val="FootnoteReference"/>
          <w:rFonts w:ascii="Arial" w:hAnsi="Arial" w:cs="Arial"/>
          <w:sz w:val="16"/>
          <w:szCs w:val="16"/>
        </w:rPr>
        <w:footnoteRef/>
      </w:r>
      <w:r w:rsidRPr="00E708CC">
        <w:rPr>
          <w:rFonts w:ascii="Arial" w:hAnsi="Arial" w:cs="Arial"/>
          <w:sz w:val="16"/>
          <w:szCs w:val="16"/>
        </w:rPr>
        <w:t xml:space="preserve"> Jager, F. (2021). </w:t>
      </w:r>
      <w:r w:rsidRPr="00E708CC">
        <w:rPr>
          <w:rFonts w:ascii="Arial" w:hAnsi="Arial" w:cs="Arial"/>
          <w:i/>
          <w:iCs/>
          <w:sz w:val="16"/>
          <w:szCs w:val="16"/>
        </w:rPr>
        <w:t>The Effect of Community Treatment Orders on Identity</w:t>
      </w:r>
      <w:r w:rsidRPr="00E708CC">
        <w:rPr>
          <w:rFonts w:ascii="Arial" w:hAnsi="Arial" w:cs="Arial"/>
          <w:sz w:val="16"/>
          <w:szCs w:val="16"/>
        </w:rPr>
        <w:t xml:space="preserve"> [University of Ottawa]. </w:t>
      </w:r>
      <w:hyperlink r:id="rId34" w:history="1">
        <w:r w:rsidRPr="00E708CC">
          <w:rPr>
            <w:rStyle w:val="Hyperlink"/>
            <w:rFonts w:ascii="Arial" w:hAnsi="Arial" w:cs="Arial"/>
            <w:sz w:val="16"/>
            <w:szCs w:val="16"/>
          </w:rPr>
          <w:t>https://ruor.uottawa.ca/server/api/core/bitstreams/4bcc3ea4-02f5-4880-9472-5d28a1d01aba/content</w:t>
        </w:r>
      </w:hyperlink>
    </w:p>
  </w:footnote>
  <w:footnote w:id="39">
    <w:p w14:paraId="71FF9262" w14:textId="24E7E875" w:rsidR="00B43751" w:rsidRPr="00CC5CAD" w:rsidRDefault="00B43751">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Assisted Decision-Making (Capacity) Act 2015 (2015). </w:t>
      </w:r>
      <w:hyperlink r:id="rId35" w:history="1">
        <w:r w:rsidRPr="00CC5CAD">
          <w:rPr>
            <w:rStyle w:val="Hyperlink"/>
            <w:rFonts w:ascii="Arial" w:hAnsi="Arial" w:cs="Arial"/>
            <w:sz w:val="16"/>
            <w:szCs w:val="16"/>
          </w:rPr>
          <w:t>https://www.irishstatutebook.ie/eli/2015/act/64/enacted/en/html</w:t>
        </w:r>
      </w:hyperlink>
      <w:r w:rsidRPr="00CC5CAD">
        <w:rPr>
          <w:rFonts w:ascii="Arial" w:hAnsi="Arial" w:cs="Arial"/>
          <w:sz w:val="16"/>
          <w:szCs w:val="16"/>
        </w:rPr>
        <w:t xml:space="preserve"> </w:t>
      </w:r>
    </w:p>
  </w:footnote>
  <w:footnote w:id="40">
    <w:p w14:paraId="2273CCDD" w14:textId="1B4CD8D7" w:rsidR="00B43751" w:rsidRPr="00CC5CAD" w:rsidRDefault="00B43751">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Representation Agreement Act [RSBC 1996] CHAPTER 405 (2001). Available at: </w:t>
      </w:r>
      <w:hyperlink r:id="rId36" w:anchor="section2" w:history="1">
        <w:r w:rsidRPr="00CC5CAD">
          <w:rPr>
            <w:rStyle w:val="Hyperlink"/>
            <w:rFonts w:ascii="Arial" w:hAnsi="Arial" w:cs="Arial"/>
            <w:sz w:val="16"/>
            <w:szCs w:val="16"/>
          </w:rPr>
          <w:t>https://www.bclaws.gov.bc.ca/civix/document/id/complete/statreg/96405_01#section2</w:t>
        </w:r>
      </w:hyperlink>
      <w:r w:rsidRPr="00CC5CAD">
        <w:rPr>
          <w:rFonts w:ascii="Arial" w:hAnsi="Arial" w:cs="Arial"/>
          <w:sz w:val="16"/>
          <w:szCs w:val="16"/>
        </w:rPr>
        <w:t xml:space="preserve"> </w:t>
      </w:r>
    </w:p>
  </w:footnote>
  <w:footnote w:id="41">
    <w:p w14:paraId="1DFED10F" w14:textId="670FDFF9" w:rsidR="00B43751" w:rsidRPr="00CC5CAD" w:rsidRDefault="00B43751">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Rodríguez, S. D. (2022, November 25). People with disabilities. Spanish legal reform 8/2021: Decision-making rights and assistance | Susana Rodriguez Puente Abogados. </w:t>
      </w:r>
      <w:hyperlink r:id="rId37" w:history="1">
        <w:r w:rsidRPr="00CC5CAD">
          <w:rPr>
            <w:rStyle w:val="Hyperlink"/>
            <w:rFonts w:ascii="Arial" w:hAnsi="Arial" w:cs="Arial"/>
            <w:sz w:val="16"/>
            <w:szCs w:val="16"/>
          </w:rPr>
          <w:t>https://srpuenteabogados.com/en/2022/11/25/support-people-with-disabilities/</w:t>
        </w:r>
      </w:hyperlink>
      <w:r w:rsidRPr="00CC5CAD">
        <w:rPr>
          <w:rFonts w:ascii="Arial" w:hAnsi="Arial" w:cs="Arial"/>
          <w:sz w:val="16"/>
          <w:szCs w:val="16"/>
        </w:rPr>
        <w:t xml:space="preserve"> </w:t>
      </w:r>
    </w:p>
  </w:footnote>
  <w:footnote w:id="42">
    <w:p w14:paraId="79B79C38" w14:textId="4B4E60DB" w:rsidR="00B43751" w:rsidRPr="00CC5CAD" w:rsidRDefault="00B43751">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LEGISLATIVE ORDER Amending, Adding and Abrogating Various Provisions of the General Health Act on Mental Health and Addictions. (2022). </w:t>
      </w:r>
      <w:hyperlink r:id="rId38" w:history="1">
        <w:r w:rsidRPr="00CC5CAD">
          <w:rPr>
            <w:rStyle w:val="Hyperlink"/>
            <w:rFonts w:ascii="Arial" w:hAnsi="Arial" w:cs="Arial"/>
            <w:sz w:val="16"/>
            <w:szCs w:val="16"/>
          </w:rPr>
          <w:t>https://www.ohchr.org/sites/default/files/documents/issues/health/draftguidance/submissions/2022-09- 02/Mexico_general_health_act_16may2022EN.pdf</w:t>
        </w:r>
      </w:hyperlink>
      <w:r w:rsidRPr="00CC5CAD">
        <w:rPr>
          <w:rFonts w:ascii="Arial" w:hAnsi="Arial" w:cs="Arial"/>
          <w:sz w:val="16"/>
          <w:szCs w:val="16"/>
        </w:rPr>
        <w:t xml:space="preserve"> </w:t>
      </w:r>
    </w:p>
  </w:footnote>
  <w:footnote w:id="43">
    <w:p w14:paraId="4B35376B" w14:textId="02DB9BDF" w:rsidR="00B43751" w:rsidRPr="00CC5CAD" w:rsidRDefault="00B43751">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UN expert welcomes legal capacity reform in Colombia to end guardianship regime. (2019). </w:t>
      </w:r>
      <w:hyperlink r:id="rId39" w:history="1">
        <w:r w:rsidRPr="00CC5CAD">
          <w:rPr>
            <w:rStyle w:val="Hyperlink"/>
            <w:rFonts w:ascii="Arial" w:hAnsi="Arial" w:cs="Arial"/>
            <w:sz w:val="16"/>
            <w:szCs w:val="16"/>
          </w:rPr>
          <w:t>https://www.ohchr.org/en/press-releases/2019/08/un-expert-welcomes-legal-capacity-reform-colombia-endguardianship-regime?LangID=E&amp;NewsID=24926</w:t>
        </w:r>
      </w:hyperlink>
      <w:r w:rsidRPr="00CC5CAD">
        <w:rPr>
          <w:rFonts w:ascii="Arial" w:hAnsi="Arial" w:cs="Arial"/>
          <w:sz w:val="16"/>
          <w:szCs w:val="16"/>
        </w:rPr>
        <w:t xml:space="preserve"> </w:t>
      </w:r>
    </w:p>
  </w:footnote>
  <w:footnote w:id="44">
    <w:p w14:paraId="217542A5" w14:textId="15CC92A9" w:rsidR="00AB1A5E" w:rsidRPr="00CC5CAD" w:rsidRDefault="00AB1A5E">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Davar, B. V., Pillai, K., &amp; LaCroix, K. (2021). Seher’s “Circle of Care” Model in Advancing Supported Decision Making in India. In C. Sunkel, F. Mahomed, M. A. Stein, &amp; V. Patel (Eds.), Mental Health, Legal Capacity, and Human Rights (pp. 213–229). Cambridge University Press. </w:t>
      </w:r>
      <w:hyperlink r:id="rId40" w:history="1">
        <w:r w:rsidRPr="00CC5CAD">
          <w:rPr>
            <w:rStyle w:val="Hyperlink"/>
            <w:rFonts w:ascii="Arial" w:hAnsi="Arial" w:cs="Arial"/>
            <w:sz w:val="16"/>
            <w:szCs w:val="16"/>
          </w:rPr>
          <w:t>https://doi.org/10.1017/9781108979016.017</w:t>
        </w:r>
      </w:hyperlink>
      <w:r w:rsidRPr="00CC5CAD">
        <w:rPr>
          <w:rFonts w:ascii="Arial" w:hAnsi="Arial" w:cs="Arial"/>
          <w:sz w:val="16"/>
          <w:szCs w:val="16"/>
        </w:rPr>
        <w:t xml:space="preserve"> </w:t>
      </w:r>
    </w:p>
  </w:footnote>
  <w:footnote w:id="45">
    <w:p w14:paraId="58227C33" w14:textId="5551CF7A" w:rsidR="00AB1A5E" w:rsidRPr="00CC5CAD" w:rsidRDefault="00AB1A5E">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USP-K. (n.d.). THE ROLE OF PEER SUPPORT IN EXERCISING LEGAL CAPACITY. </w:t>
      </w:r>
      <w:hyperlink r:id="rId41" w:history="1">
        <w:r w:rsidRPr="00CC5CAD">
          <w:rPr>
            <w:rStyle w:val="Hyperlink"/>
            <w:rFonts w:ascii="Arial" w:hAnsi="Arial" w:cs="Arial"/>
            <w:sz w:val="16"/>
            <w:szCs w:val="16"/>
          </w:rPr>
          <w:t>https://rodra.co.za/images/countries/kenya/research/Role-of-Peer-Support-in-Exercising-Legal-Capacity.pdf</w:t>
        </w:r>
      </w:hyperlink>
      <w:r w:rsidRPr="00CC5CAD">
        <w:rPr>
          <w:rFonts w:ascii="Arial" w:hAnsi="Arial" w:cs="Arial"/>
          <w:sz w:val="16"/>
          <w:szCs w:val="16"/>
        </w:rPr>
        <w:t xml:space="preserve"> </w:t>
      </w:r>
    </w:p>
  </w:footnote>
  <w:footnote w:id="46">
    <w:p w14:paraId="16469AE2" w14:textId="28BDF1FC" w:rsidR="000E5B1D" w:rsidRPr="00CC5CAD" w:rsidRDefault="000E5B1D">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w:t>
      </w:r>
      <w:proofErr w:type="spellStart"/>
      <w:r w:rsidRPr="00CC5CAD">
        <w:rPr>
          <w:rFonts w:ascii="Arial" w:hAnsi="Arial" w:cs="Arial"/>
          <w:sz w:val="16"/>
          <w:szCs w:val="16"/>
        </w:rPr>
        <w:t>Alevanti</w:t>
      </w:r>
      <w:proofErr w:type="spellEnd"/>
      <w:r w:rsidRPr="00CC5CAD">
        <w:rPr>
          <w:rFonts w:ascii="Arial" w:hAnsi="Arial" w:cs="Arial"/>
          <w:sz w:val="16"/>
          <w:szCs w:val="16"/>
        </w:rPr>
        <w:t xml:space="preserve">, E. (2020). Mental Healthcare Reform in Belgium: A qualitative study with mobile teams [Doctoral, Birmingham City University]. </w:t>
      </w:r>
      <w:hyperlink r:id="rId42" w:history="1">
        <w:r w:rsidRPr="00CC5CAD">
          <w:rPr>
            <w:rStyle w:val="Hyperlink"/>
            <w:rFonts w:ascii="Arial" w:hAnsi="Arial" w:cs="Arial"/>
            <w:sz w:val="16"/>
            <w:szCs w:val="16"/>
          </w:rPr>
          <w:t>https://www.open-access.bcu.ac.uk/12383/</w:t>
        </w:r>
      </w:hyperlink>
    </w:p>
  </w:footnote>
  <w:footnote w:id="47">
    <w:p w14:paraId="268F41A1" w14:textId="6E14E811" w:rsidR="00923BAC" w:rsidRPr="00CC5CAD" w:rsidRDefault="00923BAC">
      <w:pPr>
        <w:pStyle w:val="FootnoteText"/>
        <w:rPr>
          <w:rFonts w:ascii="Arial" w:hAnsi="Arial" w:cs="Arial"/>
          <w:sz w:val="16"/>
          <w:szCs w:val="16"/>
        </w:rPr>
      </w:pPr>
      <w:r w:rsidRPr="00CC5CAD">
        <w:rPr>
          <w:rStyle w:val="FootnoteReference"/>
          <w:rFonts w:ascii="Arial" w:hAnsi="Arial" w:cs="Arial"/>
          <w:sz w:val="16"/>
          <w:szCs w:val="16"/>
        </w:rPr>
        <w:footnoteRef/>
      </w:r>
      <w:r w:rsidRPr="00CC5CAD">
        <w:rPr>
          <w:rFonts w:ascii="Arial" w:hAnsi="Arial" w:cs="Arial"/>
          <w:sz w:val="16"/>
          <w:szCs w:val="16"/>
        </w:rPr>
        <w:t xml:space="preserve"> Ibid</w:t>
      </w:r>
    </w:p>
  </w:footnote>
  <w:footnote w:id="48">
    <w:p w14:paraId="0BCE6B46" w14:textId="77777777" w:rsidR="00CE3AA1" w:rsidRPr="007F45CF" w:rsidRDefault="00CE3AA1" w:rsidP="00CE3AA1">
      <w:pPr>
        <w:pStyle w:val="FootnoteText"/>
        <w:rPr>
          <w:rFonts w:ascii="Arial" w:hAnsi="Arial" w:cs="Arial"/>
          <w:sz w:val="16"/>
          <w:szCs w:val="16"/>
        </w:rPr>
      </w:pPr>
      <w:r w:rsidRPr="007F45CF">
        <w:rPr>
          <w:rStyle w:val="FootnoteReference"/>
          <w:rFonts w:ascii="Arial" w:hAnsi="Arial" w:cs="Arial"/>
          <w:sz w:val="16"/>
          <w:szCs w:val="16"/>
        </w:rPr>
        <w:footnoteRef/>
      </w:r>
      <w:r w:rsidRPr="007F45CF">
        <w:rPr>
          <w:rFonts w:ascii="Arial" w:hAnsi="Arial" w:cs="Arial"/>
          <w:sz w:val="16"/>
          <w:szCs w:val="16"/>
        </w:rPr>
        <w:t xml:space="preserve"> Scull, A (1979). Museums of Madness: Social Organization of Insanity in 19th Century England.</w:t>
      </w:r>
    </w:p>
  </w:footnote>
  <w:footnote w:id="49">
    <w:p w14:paraId="58C803AE" w14:textId="6635FAA1" w:rsidR="00DD20C2" w:rsidRPr="007F45CF" w:rsidRDefault="00DD20C2">
      <w:pPr>
        <w:pStyle w:val="FootnoteText"/>
        <w:rPr>
          <w:rFonts w:ascii="Arial" w:hAnsi="Arial" w:cs="Arial"/>
          <w:sz w:val="16"/>
          <w:szCs w:val="16"/>
        </w:rPr>
      </w:pPr>
      <w:r w:rsidRPr="007F45CF">
        <w:rPr>
          <w:rStyle w:val="FootnoteReference"/>
          <w:rFonts w:ascii="Arial" w:hAnsi="Arial" w:cs="Arial"/>
          <w:sz w:val="16"/>
          <w:szCs w:val="16"/>
        </w:rPr>
        <w:footnoteRef/>
      </w:r>
      <w:r w:rsidRPr="007F45CF">
        <w:rPr>
          <w:rFonts w:ascii="Arial" w:hAnsi="Arial" w:cs="Arial"/>
          <w:sz w:val="16"/>
          <w:szCs w:val="16"/>
        </w:rPr>
        <w:t xml:space="preserve"> A/73/161</w:t>
      </w:r>
    </w:p>
  </w:footnote>
  <w:footnote w:id="50">
    <w:p w14:paraId="058BD060" w14:textId="3C42DEB0" w:rsidR="00CB260D" w:rsidRPr="007F45CF" w:rsidRDefault="00CB260D">
      <w:pPr>
        <w:pStyle w:val="FootnoteText"/>
        <w:rPr>
          <w:rFonts w:ascii="Arial" w:hAnsi="Arial" w:cs="Arial"/>
          <w:sz w:val="16"/>
          <w:szCs w:val="16"/>
        </w:rPr>
      </w:pPr>
      <w:r w:rsidRPr="007F45CF">
        <w:rPr>
          <w:rStyle w:val="FootnoteReference"/>
          <w:rFonts w:ascii="Arial" w:hAnsi="Arial" w:cs="Arial"/>
          <w:sz w:val="16"/>
          <w:szCs w:val="16"/>
        </w:rPr>
        <w:footnoteRef/>
      </w:r>
      <w:r w:rsidRPr="007F45CF">
        <w:rPr>
          <w:rFonts w:ascii="Arial" w:hAnsi="Arial" w:cs="Arial"/>
          <w:sz w:val="16"/>
          <w:szCs w:val="16"/>
        </w:rPr>
        <w:t xml:space="preserve"> A/HRC/35/21</w:t>
      </w:r>
    </w:p>
  </w:footnote>
  <w:footnote w:id="51">
    <w:p w14:paraId="17A07577" w14:textId="3EE4A1BF" w:rsidR="00F960B0" w:rsidRPr="007F45CF" w:rsidRDefault="00F960B0">
      <w:pPr>
        <w:pStyle w:val="FootnoteText"/>
        <w:rPr>
          <w:rFonts w:ascii="Arial" w:hAnsi="Arial" w:cs="Arial"/>
          <w:sz w:val="16"/>
          <w:szCs w:val="16"/>
        </w:rPr>
      </w:pPr>
      <w:r w:rsidRPr="007F45CF">
        <w:rPr>
          <w:rStyle w:val="FootnoteReference"/>
          <w:rFonts w:ascii="Arial" w:hAnsi="Arial" w:cs="Arial"/>
          <w:sz w:val="16"/>
          <w:szCs w:val="16"/>
        </w:rPr>
        <w:footnoteRef/>
      </w:r>
      <w:r w:rsidRPr="007F45CF">
        <w:rPr>
          <w:rFonts w:ascii="Arial" w:hAnsi="Arial" w:cs="Arial"/>
          <w:sz w:val="16"/>
          <w:szCs w:val="16"/>
        </w:rPr>
        <w:t xml:space="preserve"> A/HRC/44/48</w:t>
      </w:r>
    </w:p>
  </w:footnote>
  <w:footnote w:id="52">
    <w:p w14:paraId="699C287A" w14:textId="740991A7" w:rsidR="007F45CF" w:rsidRDefault="007F45CF">
      <w:pPr>
        <w:pStyle w:val="FootnoteText"/>
      </w:pPr>
      <w:r w:rsidRPr="007F45CF">
        <w:rPr>
          <w:rStyle w:val="FootnoteReference"/>
          <w:rFonts w:ascii="Arial" w:hAnsi="Arial" w:cs="Arial"/>
          <w:sz w:val="16"/>
          <w:szCs w:val="16"/>
        </w:rPr>
        <w:footnoteRef/>
      </w:r>
      <w:r w:rsidRPr="007F45CF">
        <w:rPr>
          <w:rFonts w:ascii="Arial" w:hAnsi="Arial" w:cs="Arial"/>
          <w:sz w:val="16"/>
          <w:szCs w:val="16"/>
        </w:rPr>
        <w:t xml:space="preserve"> TCI (2022). TCI positionality on Community Inclusion. TCI Global, Geneva. Available at: </w:t>
      </w:r>
      <w:hyperlink r:id="rId43" w:history="1">
        <w:r w:rsidRPr="007F45CF">
          <w:rPr>
            <w:rStyle w:val="Hyperlink"/>
            <w:rFonts w:ascii="Arial" w:hAnsi="Arial" w:cs="Arial"/>
            <w:sz w:val="16"/>
            <w:szCs w:val="16"/>
          </w:rPr>
          <w:t>https://tci-global.org/wp-content/uploads/2024/07/TCI-Positionality-on-Community-Inclusion-2022.pdf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1353"/>
    <w:multiLevelType w:val="hybridMultilevel"/>
    <w:tmpl w:val="14D8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A835F4"/>
    <w:multiLevelType w:val="hybridMultilevel"/>
    <w:tmpl w:val="62BE870C"/>
    <w:lvl w:ilvl="0" w:tplc="2ECCA8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DC7BEB"/>
    <w:multiLevelType w:val="hybridMultilevel"/>
    <w:tmpl w:val="0EE23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021949"/>
    <w:multiLevelType w:val="multilevel"/>
    <w:tmpl w:val="852458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5902380">
    <w:abstractNumId w:val="0"/>
  </w:num>
  <w:num w:numId="2" w16cid:durableId="1605452250">
    <w:abstractNumId w:val="1"/>
  </w:num>
  <w:num w:numId="3" w16cid:durableId="1005590138">
    <w:abstractNumId w:val="2"/>
  </w:num>
  <w:num w:numId="4" w16cid:durableId="1556309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6B2"/>
    <w:rsid w:val="00012CCE"/>
    <w:rsid w:val="00017EEF"/>
    <w:rsid w:val="00021649"/>
    <w:rsid w:val="00022D0F"/>
    <w:rsid w:val="00043003"/>
    <w:rsid w:val="00061F53"/>
    <w:rsid w:val="00062947"/>
    <w:rsid w:val="00075C23"/>
    <w:rsid w:val="00075D64"/>
    <w:rsid w:val="0008403B"/>
    <w:rsid w:val="00087A48"/>
    <w:rsid w:val="00090D41"/>
    <w:rsid w:val="000A2977"/>
    <w:rsid w:val="000B3AE5"/>
    <w:rsid w:val="000C11A0"/>
    <w:rsid w:val="000C2257"/>
    <w:rsid w:val="000C2528"/>
    <w:rsid w:val="000C2535"/>
    <w:rsid w:val="000C2B53"/>
    <w:rsid w:val="000C2DF6"/>
    <w:rsid w:val="000E5B1D"/>
    <w:rsid w:val="000F39C4"/>
    <w:rsid w:val="001627BE"/>
    <w:rsid w:val="001860C9"/>
    <w:rsid w:val="001A1ABD"/>
    <w:rsid w:val="001D4247"/>
    <w:rsid w:val="001E72D0"/>
    <w:rsid w:val="00226C5E"/>
    <w:rsid w:val="00244AA9"/>
    <w:rsid w:val="0025063C"/>
    <w:rsid w:val="00253347"/>
    <w:rsid w:val="002601A8"/>
    <w:rsid w:val="00261934"/>
    <w:rsid w:val="00284653"/>
    <w:rsid w:val="00290D66"/>
    <w:rsid w:val="0029343A"/>
    <w:rsid w:val="00295748"/>
    <w:rsid w:val="002A361E"/>
    <w:rsid w:val="002C67EF"/>
    <w:rsid w:val="002F4B37"/>
    <w:rsid w:val="00326557"/>
    <w:rsid w:val="00342EFC"/>
    <w:rsid w:val="00357F52"/>
    <w:rsid w:val="003751AC"/>
    <w:rsid w:val="0039607A"/>
    <w:rsid w:val="003C26BF"/>
    <w:rsid w:val="003C421E"/>
    <w:rsid w:val="003D0355"/>
    <w:rsid w:val="003E6F26"/>
    <w:rsid w:val="003F5870"/>
    <w:rsid w:val="0043567C"/>
    <w:rsid w:val="004547C6"/>
    <w:rsid w:val="00476CC4"/>
    <w:rsid w:val="00486004"/>
    <w:rsid w:val="004A4850"/>
    <w:rsid w:val="004F5907"/>
    <w:rsid w:val="00512787"/>
    <w:rsid w:val="00521BFC"/>
    <w:rsid w:val="00561CEC"/>
    <w:rsid w:val="00597D6F"/>
    <w:rsid w:val="005A1A1E"/>
    <w:rsid w:val="005A2AF5"/>
    <w:rsid w:val="005A3BB6"/>
    <w:rsid w:val="005B3A76"/>
    <w:rsid w:val="005C4A8C"/>
    <w:rsid w:val="005D72D3"/>
    <w:rsid w:val="005E0D17"/>
    <w:rsid w:val="005E551D"/>
    <w:rsid w:val="006008AC"/>
    <w:rsid w:val="00603E39"/>
    <w:rsid w:val="00646C4F"/>
    <w:rsid w:val="00663C02"/>
    <w:rsid w:val="00666E8F"/>
    <w:rsid w:val="006800AD"/>
    <w:rsid w:val="006A0514"/>
    <w:rsid w:val="006A1325"/>
    <w:rsid w:val="006A482E"/>
    <w:rsid w:val="006B0E7C"/>
    <w:rsid w:val="00703757"/>
    <w:rsid w:val="0070552B"/>
    <w:rsid w:val="00727534"/>
    <w:rsid w:val="007526F7"/>
    <w:rsid w:val="007540A3"/>
    <w:rsid w:val="007763BB"/>
    <w:rsid w:val="00793562"/>
    <w:rsid w:val="007E0731"/>
    <w:rsid w:val="007E5A21"/>
    <w:rsid w:val="007E6173"/>
    <w:rsid w:val="007F0EEA"/>
    <w:rsid w:val="007F0F65"/>
    <w:rsid w:val="007F45CF"/>
    <w:rsid w:val="0080551D"/>
    <w:rsid w:val="0085359E"/>
    <w:rsid w:val="00866D1D"/>
    <w:rsid w:val="00882541"/>
    <w:rsid w:val="008978E1"/>
    <w:rsid w:val="008C46CF"/>
    <w:rsid w:val="00906FDD"/>
    <w:rsid w:val="00914D01"/>
    <w:rsid w:val="0091625C"/>
    <w:rsid w:val="00923BAC"/>
    <w:rsid w:val="009261EB"/>
    <w:rsid w:val="0093502D"/>
    <w:rsid w:val="0093658F"/>
    <w:rsid w:val="00956B31"/>
    <w:rsid w:val="00971D62"/>
    <w:rsid w:val="00972FF6"/>
    <w:rsid w:val="0097604D"/>
    <w:rsid w:val="00977877"/>
    <w:rsid w:val="009A6D94"/>
    <w:rsid w:val="009B55FC"/>
    <w:rsid w:val="009C7CFA"/>
    <w:rsid w:val="009D0CB1"/>
    <w:rsid w:val="00A014BA"/>
    <w:rsid w:val="00A03725"/>
    <w:rsid w:val="00A12F65"/>
    <w:rsid w:val="00A50117"/>
    <w:rsid w:val="00A54F32"/>
    <w:rsid w:val="00A603AD"/>
    <w:rsid w:val="00A751D9"/>
    <w:rsid w:val="00A758E8"/>
    <w:rsid w:val="00A75D86"/>
    <w:rsid w:val="00A76B5D"/>
    <w:rsid w:val="00A801C2"/>
    <w:rsid w:val="00AB1A5E"/>
    <w:rsid w:val="00AB7B62"/>
    <w:rsid w:val="00AD3228"/>
    <w:rsid w:val="00AE2445"/>
    <w:rsid w:val="00AF54C5"/>
    <w:rsid w:val="00AF6C64"/>
    <w:rsid w:val="00B11862"/>
    <w:rsid w:val="00B119D1"/>
    <w:rsid w:val="00B249A5"/>
    <w:rsid w:val="00B2637F"/>
    <w:rsid w:val="00B34B33"/>
    <w:rsid w:val="00B352AC"/>
    <w:rsid w:val="00B36C42"/>
    <w:rsid w:val="00B43600"/>
    <w:rsid w:val="00B43751"/>
    <w:rsid w:val="00B443F3"/>
    <w:rsid w:val="00B44F8E"/>
    <w:rsid w:val="00B45EE9"/>
    <w:rsid w:val="00B96690"/>
    <w:rsid w:val="00BA1D26"/>
    <w:rsid w:val="00BC3B27"/>
    <w:rsid w:val="00BD45B8"/>
    <w:rsid w:val="00BE4B67"/>
    <w:rsid w:val="00C27CC1"/>
    <w:rsid w:val="00C42645"/>
    <w:rsid w:val="00C712F2"/>
    <w:rsid w:val="00C97684"/>
    <w:rsid w:val="00CA6A7D"/>
    <w:rsid w:val="00CB260D"/>
    <w:rsid w:val="00CC5CAD"/>
    <w:rsid w:val="00CE3AA1"/>
    <w:rsid w:val="00CE5A22"/>
    <w:rsid w:val="00D055F7"/>
    <w:rsid w:val="00D16930"/>
    <w:rsid w:val="00D242BF"/>
    <w:rsid w:val="00D34561"/>
    <w:rsid w:val="00D34EA8"/>
    <w:rsid w:val="00D374ED"/>
    <w:rsid w:val="00D96E22"/>
    <w:rsid w:val="00DD20C2"/>
    <w:rsid w:val="00E04840"/>
    <w:rsid w:val="00E336B2"/>
    <w:rsid w:val="00E35FF8"/>
    <w:rsid w:val="00E708CC"/>
    <w:rsid w:val="00E77217"/>
    <w:rsid w:val="00E80589"/>
    <w:rsid w:val="00EC08A6"/>
    <w:rsid w:val="00EC627A"/>
    <w:rsid w:val="00ED48D3"/>
    <w:rsid w:val="00EE60D5"/>
    <w:rsid w:val="00F066BF"/>
    <w:rsid w:val="00F34848"/>
    <w:rsid w:val="00F443EE"/>
    <w:rsid w:val="00F44FE9"/>
    <w:rsid w:val="00F463D1"/>
    <w:rsid w:val="00F53427"/>
    <w:rsid w:val="00F725AA"/>
    <w:rsid w:val="00F735EA"/>
    <w:rsid w:val="00F960B0"/>
    <w:rsid w:val="00FB5612"/>
    <w:rsid w:val="00FD362D"/>
    <w:rsid w:val="00FD5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7E9F4"/>
  <w15:chartTrackingRefBased/>
  <w15:docId w15:val="{9310418E-5923-5D4D-A4AB-55ED33B4C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3A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CE5A22"/>
    <w:pPr>
      <w:keepNext/>
      <w:keepLines/>
      <w:spacing w:before="400" w:after="120" w:line="276" w:lineRule="auto"/>
      <w:outlineLvl w:val="0"/>
    </w:pPr>
    <w:rPr>
      <w:rFonts w:eastAsia="Arial" w:cs="Arial"/>
      <w:b/>
      <w:szCs w:val="40"/>
      <w:lang w:val="en"/>
    </w:rPr>
  </w:style>
  <w:style w:type="paragraph" w:styleId="Heading2">
    <w:name w:val="heading 2"/>
    <w:basedOn w:val="Normal"/>
    <w:next w:val="Normal"/>
    <w:link w:val="Heading2Char"/>
    <w:uiPriority w:val="9"/>
    <w:unhideWhenUsed/>
    <w:qFormat/>
    <w:rsid w:val="00906FDD"/>
    <w:pPr>
      <w:keepNext/>
      <w:keepLines/>
      <w:spacing w:before="360" w:after="120" w:line="276" w:lineRule="auto"/>
      <w:outlineLvl w:val="1"/>
    </w:pPr>
    <w:rPr>
      <w:rFonts w:asciiTheme="majorHAnsi" w:eastAsia="Arial" w:hAnsiTheme="majorHAnsi" w:cs="Arial"/>
      <w:b/>
      <w:sz w:val="28"/>
      <w:szCs w:val="32"/>
      <w:lang w:val="en"/>
    </w:rPr>
  </w:style>
  <w:style w:type="paragraph" w:styleId="Heading3">
    <w:name w:val="heading 3"/>
    <w:basedOn w:val="Normal"/>
    <w:next w:val="Normal"/>
    <w:link w:val="Heading3Char"/>
    <w:autoRedefine/>
    <w:uiPriority w:val="9"/>
    <w:unhideWhenUsed/>
    <w:qFormat/>
    <w:rsid w:val="009A6D94"/>
    <w:pPr>
      <w:keepNext/>
      <w:keepLines/>
      <w:spacing w:before="40"/>
      <w:outlineLvl w:val="2"/>
    </w:pPr>
    <w:rPr>
      <w:rFonts w:asciiTheme="majorHAnsi" w:eastAsiaTheme="majorEastAsia" w:hAnsiTheme="majorHAnsi" w:cstheme="majorBidi"/>
      <w:color w:val="0A2F40" w:themeColor="accent1" w:themeShade="7F"/>
      <w:lang w:val="en-US"/>
    </w:rPr>
  </w:style>
  <w:style w:type="paragraph" w:styleId="Heading4">
    <w:name w:val="heading 4"/>
    <w:basedOn w:val="Normal"/>
    <w:next w:val="Normal"/>
    <w:link w:val="Heading4Char"/>
    <w:uiPriority w:val="9"/>
    <w:semiHidden/>
    <w:unhideWhenUsed/>
    <w:qFormat/>
    <w:rsid w:val="00E336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6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6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6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6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6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A22"/>
    <w:rPr>
      <w:rFonts w:eastAsia="Arial" w:cs="Arial"/>
      <w:b/>
      <w:kern w:val="0"/>
      <w:szCs w:val="40"/>
      <w:lang w:val="en" w:eastAsia="en-GB"/>
      <w14:ligatures w14:val="none"/>
    </w:rPr>
  </w:style>
  <w:style w:type="character" w:customStyle="1" w:styleId="Heading2Char">
    <w:name w:val="Heading 2 Char"/>
    <w:basedOn w:val="DefaultParagraphFont"/>
    <w:link w:val="Heading2"/>
    <w:uiPriority w:val="9"/>
    <w:rsid w:val="00906FDD"/>
    <w:rPr>
      <w:rFonts w:asciiTheme="majorHAnsi" w:eastAsia="Arial" w:hAnsiTheme="majorHAnsi" w:cs="Arial"/>
      <w:b/>
      <w:kern w:val="0"/>
      <w:sz w:val="28"/>
      <w:szCs w:val="32"/>
      <w:lang w:val="en" w:eastAsia="en-GB"/>
      <w14:ligatures w14:val="none"/>
    </w:rPr>
  </w:style>
  <w:style w:type="character" w:customStyle="1" w:styleId="Heading3Char">
    <w:name w:val="Heading 3 Char"/>
    <w:basedOn w:val="DefaultParagraphFont"/>
    <w:link w:val="Heading3"/>
    <w:uiPriority w:val="9"/>
    <w:rsid w:val="009A6D94"/>
    <w:rPr>
      <w:rFonts w:asciiTheme="majorHAnsi" w:eastAsiaTheme="majorEastAsia" w:hAnsiTheme="majorHAnsi" w:cstheme="majorBidi"/>
      <w:color w:val="0A2F40" w:themeColor="accent1" w:themeShade="7F"/>
      <w:lang w:val="en-US"/>
    </w:rPr>
  </w:style>
  <w:style w:type="character" w:customStyle="1" w:styleId="Heading4Char">
    <w:name w:val="Heading 4 Char"/>
    <w:basedOn w:val="DefaultParagraphFont"/>
    <w:link w:val="Heading4"/>
    <w:uiPriority w:val="9"/>
    <w:semiHidden/>
    <w:rsid w:val="00E336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6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6B2"/>
    <w:rPr>
      <w:rFonts w:eastAsiaTheme="majorEastAsia" w:cstheme="majorBidi"/>
      <w:color w:val="272727" w:themeColor="text1" w:themeTint="D8"/>
    </w:rPr>
  </w:style>
  <w:style w:type="paragraph" w:styleId="Title">
    <w:name w:val="Title"/>
    <w:basedOn w:val="Normal"/>
    <w:next w:val="Normal"/>
    <w:link w:val="TitleChar"/>
    <w:uiPriority w:val="10"/>
    <w:qFormat/>
    <w:rsid w:val="00E336B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6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6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36B2"/>
    <w:rPr>
      <w:i/>
      <w:iCs/>
      <w:color w:val="404040" w:themeColor="text1" w:themeTint="BF"/>
    </w:rPr>
  </w:style>
  <w:style w:type="paragraph" w:styleId="ListParagraph">
    <w:name w:val="List Paragraph"/>
    <w:basedOn w:val="Normal"/>
    <w:uiPriority w:val="34"/>
    <w:qFormat/>
    <w:rsid w:val="00E336B2"/>
    <w:pPr>
      <w:ind w:left="720"/>
      <w:contextualSpacing/>
    </w:pPr>
  </w:style>
  <w:style w:type="character" w:styleId="IntenseEmphasis">
    <w:name w:val="Intense Emphasis"/>
    <w:basedOn w:val="DefaultParagraphFont"/>
    <w:uiPriority w:val="21"/>
    <w:qFormat/>
    <w:rsid w:val="00E336B2"/>
    <w:rPr>
      <w:i/>
      <w:iCs/>
      <w:color w:val="0F4761" w:themeColor="accent1" w:themeShade="BF"/>
    </w:rPr>
  </w:style>
  <w:style w:type="paragraph" w:styleId="IntenseQuote">
    <w:name w:val="Intense Quote"/>
    <w:basedOn w:val="Normal"/>
    <w:next w:val="Normal"/>
    <w:link w:val="IntenseQuoteChar"/>
    <w:uiPriority w:val="30"/>
    <w:qFormat/>
    <w:rsid w:val="00E336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6B2"/>
    <w:rPr>
      <w:i/>
      <w:iCs/>
      <w:color w:val="0F4761" w:themeColor="accent1" w:themeShade="BF"/>
    </w:rPr>
  </w:style>
  <w:style w:type="character" w:styleId="IntenseReference">
    <w:name w:val="Intense Reference"/>
    <w:basedOn w:val="DefaultParagraphFont"/>
    <w:uiPriority w:val="32"/>
    <w:qFormat/>
    <w:rsid w:val="00E336B2"/>
    <w:rPr>
      <w:b/>
      <w:bCs/>
      <w:smallCaps/>
      <w:color w:val="0F4761" w:themeColor="accent1" w:themeShade="BF"/>
      <w:spacing w:val="5"/>
    </w:rPr>
  </w:style>
  <w:style w:type="character" w:styleId="Strong">
    <w:name w:val="Strong"/>
    <w:basedOn w:val="DefaultParagraphFont"/>
    <w:uiPriority w:val="22"/>
    <w:qFormat/>
    <w:rsid w:val="0039607A"/>
    <w:rPr>
      <w:b/>
      <w:bCs/>
    </w:rPr>
  </w:style>
  <w:style w:type="paragraph" w:styleId="NormalWeb">
    <w:name w:val="Normal (Web)"/>
    <w:basedOn w:val="Normal"/>
    <w:uiPriority w:val="99"/>
    <w:unhideWhenUsed/>
    <w:rsid w:val="004547C6"/>
    <w:pPr>
      <w:spacing w:before="100" w:beforeAutospacing="1" w:after="100" w:afterAutospacing="1"/>
    </w:pPr>
  </w:style>
  <w:style w:type="character" w:styleId="Hyperlink">
    <w:name w:val="Hyperlink"/>
    <w:basedOn w:val="DefaultParagraphFont"/>
    <w:uiPriority w:val="99"/>
    <w:unhideWhenUsed/>
    <w:rsid w:val="00D34561"/>
    <w:rPr>
      <w:color w:val="467886" w:themeColor="hyperlink"/>
      <w:u w:val="single"/>
    </w:rPr>
  </w:style>
  <w:style w:type="paragraph" w:customStyle="1" w:styleId="p1">
    <w:name w:val="p1"/>
    <w:basedOn w:val="Normal"/>
    <w:rsid w:val="00D34561"/>
    <w:rPr>
      <w:rFonts w:ascii="Helvetica" w:hAnsi="Helvetica"/>
      <w:color w:val="000000"/>
      <w:sz w:val="15"/>
      <w:szCs w:val="15"/>
    </w:rPr>
  </w:style>
  <w:style w:type="character" w:customStyle="1" w:styleId="s1">
    <w:name w:val="s1"/>
    <w:basedOn w:val="DefaultParagraphFont"/>
    <w:rsid w:val="00D34561"/>
    <w:rPr>
      <w:color w:val="00006D"/>
    </w:rPr>
  </w:style>
  <w:style w:type="character" w:customStyle="1" w:styleId="apple-converted-space">
    <w:name w:val="apple-converted-space"/>
    <w:basedOn w:val="DefaultParagraphFont"/>
    <w:rsid w:val="00D34561"/>
  </w:style>
  <w:style w:type="paragraph" w:styleId="FootnoteText">
    <w:name w:val="footnote text"/>
    <w:basedOn w:val="Normal"/>
    <w:link w:val="FootnoteTextChar"/>
    <w:uiPriority w:val="99"/>
    <w:semiHidden/>
    <w:unhideWhenUsed/>
    <w:rsid w:val="003751AC"/>
    <w:rPr>
      <w:sz w:val="20"/>
      <w:szCs w:val="20"/>
    </w:rPr>
  </w:style>
  <w:style w:type="character" w:customStyle="1" w:styleId="FootnoteTextChar">
    <w:name w:val="Footnote Text Char"/>
    <w:basedOn w:val="DefaultParagraphFont"/>
    <w:link w:val="FootnoteText"/>
    <w:uiPriority w:val="99"/>
    <w:semiHidden/>
    <w:rsid w:val="003751AC"/>
    <w:rPr>
      <w:sz w:val="20"/>
      <w:szCs w:val="20"/>
    </w:rPr>
  </w:style>
  <w:style w:type="character" w:styleId="FootnoteReference">
    <w:name w:val="footnote reference"/>
    <w:basedOn w:val="DefaultParagraphFont"/>
    <w:uiPriority w:val="99"/>
    <w:semiHidden/>
    <w:unhideWhenUsed/>
    <w:rsid w:val="003751AC"/>
    <w:rPr>
      <w:vertAlign w:val="superscript"/>
    </w:rPr>
  </w:style>
  <w:style w:type="character" w:customStyle="1" w:styleId="whitespace-nowrap">
    <w:name w:val="whitespace-nowrap!"/>
    <w:basedOn w:val="DefaultParagraphFont"/>
    <w:rsid w:val="006A0514"/>
  </w:style>
  <w:style w:type="character" w:styleId="UnresolvedMention">
    <w:name w:val="Unresolved Mention"/>
    <w:basedOn w:val="DefaultParagraphFont"/>
    <w:uiPriority w:val="99"/>
    <w:semiHidden/>
    <w:unhideWhenUsed/>
    <w:rsid w:val="00512787"/>
    <w:rPr>
      <w:color w:val="605E5C"/>
      <w:shd w:val="clear" w:color="auto" w:fill="E1DFDD"/>
    </w:rPr>
  </w:style>
  <w:style w:type="character" w:styleId="FollowedHyperlink">
    <w:name w:val="FollowedHyperlink"/>
    <w:basedOn w:val="DefaultParagraphFont"/>
    <w:uiPriority w:val="99"/>
    <w:semiHidden/>
    <w:unhideWhenUsed/>
    <w:rsid w:val="00B443F3"/>
    <w:rPr>
      <w:color w:val="96607D" w:themeColor="followedHyperlink"/>
      <w:u w:val="single"/>
    </w:rPr>
  </w:style>
  <w:style w:type="paragraph" w:styleId="Header">
    <w:name w:val="header"/>
    <w:basedOn w:val="Normal"/>
    <w:link w:val="HeaderChar"/>
    <w:uiPriority w:val="99"/>
    <w:unhideWhenUsed/>
    <w:rsid w:val="00F066BF"/>
    <w:pPr>
      <w:tabs>
        <w:tab w:val="center" w:pos="4513"/>
        <w:tab w:val="right" w:pos="9026"/>
      </w:tabs>
    </w:pPr>
  </w:style>
  <w:style w:type="character" w:customStyle="1" w:styleId="HeaderChar">
    <w:name w:val="Header Char"/>
    <w:basedOn w:val="DefaultParagraphFont"/>
    <w:link w:val="Header"/>
    <w:uiPriority w:val="99"/>
    <w:rsid w:val="00F066B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066BF"/>
    <w:pPr>
      <w:tabs>
        <w:tab w:val="center" w:pos="4513"/>
        <w:tab w:val="right" w:pos="9026"/>
      </w:tabs>
    </w:pPr>
  </w:style>
  <w:style w:type="character" w:customStyle="1" w:styleId="FooterChar">
    <w:name w:val="Footer Char"/>
    <w:basedOn w:val="DefaultParagraphFont"/>
    <w:link w:val="Footer"/>
    <w:uiPriority w:val="99"/>
    <w:rsid w:val="00F066B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022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hatweneed.tci-global.org/wp-content/uploads/2023/02/Personal-Experiences-of-Psychiatric-Treatments-in-Hospitals-Community-Mental-Health-Services.pdf" TargetMode="External"/><Relationship Id="rId18" Type="http://schemas.openxmlformats.org/officeDocument/2006/relationships/hyperlink" Target="https://www.bbc.com/news/uk-england-tees-65013550" TargetMode="External"/><Relationship Id="rId26" Type="http://schemas.openxmlformats.org/officeDocument/2006/relationships/hyperlink" Target="https://tciglobal.org/wp-content/uploads/2023/11/Addis-Declaration-2023.pdf" TargetMode="External"/><Relationship Id="rId39" Type="http://schemas.openxmlformats.org/officeDocument/2006/relationships/hyperlink" Target="https://www.ohchr.org/en/press-releases/2019/08/un-expert-welcomes-legal-capacity-reform-colombia-endguardianship-regime?LangID=E&amp;NewsID=24926" TargetMode="External"/><Relationship Id="rId21" Type="http://schemas.openxmlformats.org/officeDocument/2006/relationships/hyperlink" Target="https://www.oas.org/en/iachr/jsForm/?File=/en/iachr/media_center/preleases/2025/119.asp&amp;utm_content=country-gtm&amp;utm_term=class-corteidh" TargetMode="External"/><Relationship Id="rId34" Type="http://schemas.openxmlformats.org/officeDocument/2006/relationships/hyperlink" Target="https://ruor.uottawa.ca/server/api/core/bitstreams/4bcc3ea4-02f5-4880-9472-5d28a1d01aba/content" TargetMode="External"/><Relationship Id="rId42" Type="http://schemas.openxmlformats.org/officeDocument/2006/relationships/hyperlink" Target="https://www.open-access.bcu.ac.uk/12383/" TargetMode="External"/><Relationship Id="rId7" Type="http://schemas.openxmlformats.org/officeDocument/2006/relationships/hyperlink" Target="https://documents.un.org/doc/undoc/ltd/g21/176/46/pdf/g2117646.pdf" TargetMode="External"/><Relationship Id="rId2" Type="http://schemas.openxmlformats.org/officeDocument/2006/relationships/hyperlink" Target="https://doi.org/10.2139/ssrn.1876132" TargetMode="External"/><Relationship Id="rId16" Type="http://schemas.openxmlformats.org/officeDocument/2006/relationships/hyperlink" Target="https://whatweneed.tci-global.org/wp-content/uploads/2023/01/WhatWENeed-submission_TCI_Final.pdf" TargetMode="External"/><Relationship Id="rId20" Type="http://schemas.openxmlformats.org/officeDocument/2006/relationships/hyperlink" Target="https://doi.org/10.3390/laws13020014" TargetMode="External"/><Relationship Id="rId29" Type="http://schemas.openxmlformats.org/officeDocument/2006/relationships/hyperlink" Target="https://www.epw.in/journal/2012/52/special-articles/legal-frameworks-and-against-people-psychosocial-disabilities.html" TargetMode="External"/><Relationship Id="rId41" Type="http://schemas.openxmlformats.org/officeDocument/2006/relationships/hyperlink" Target="https://rodra.co.za/images/countries/kenya/research/Role-of-Peer-Support-in-Exercising-Legal-Capacity.pdf" TargetMode="External"/><Relationship Id="rId1" Type="http://schemas.openxmlformats.org/officeDocument/2006/relationships/hyperlink" Target="https://tci-global.org/" TargetMode="External"/><Relationship Id="rId6" Type="http://schemas.openxmlformats.org/officeDocument/2006/relationships/hyperlink" Target="https://tci-global.org/wp-content/uploads/2024/02/Submission-Indonesia-Constitutional-Court-Expert-Testimony-TCI.pdf" TargetMode="External"/><Relationship Id="rId11" Type="http://schemas.openxmlformats.org/officeDocument/2006/relationships/hyperlink" Target="https://tci-global.org/wp-content/uploads/2025/08/Global-Best-Practices-for-Reform-in-Mental-Health-Landscape-in-Armenia.pdf" TargetMode="External"/><Relationship Id="rId24" Type="http://schemas.openxmlformats.org/officeDocument/2006/relationships/hyperlink" Target="https://doi.org/10.1177/097152150801500204" TargetMode="External"/><Relationship Id="rId32" Type="http://schemas.openxmlformats.org/officeDocument/2006/relationships/hyperlink" Target="https://doi.org/10.3390/laws7040033" TargetMode="External"/><Relationship Id="rId37" Type="http://schemas.openxmlformats.org/officeDocument/2006/relationships/hyperlink" Target="https://srpuenteabogados.com/en/2022/11/25/support-people-with-disabilities/" TargetMode="External"/><Relationship Id="rId40" Type="http://schemas.openxmlformats.org/officeDocument/2006/relationships/hyperlink" Target="https://doi.org/10.1017/9781108979016.017" TargetMode="External"/><Relationship Id="rId5" Type="http://schemas.openxmlformats.org/officeDocument/2006/relationships/hyperlink" Target="https://tci-global.org/wp-content/uploads/2025/02/Submission-for-Half-Day-Discussion-on-Gender-Stereotpyes-by-TCI-WEI-and-II.pdf" TargetMode="External"/><Relationship Id="rId15" Type="http://schemas.openxmlformats.org/officeDocument/2006/relationships/hyperlink" Target="https://whatweneed.in/wp-content/uploads/2025/01/Blog-from-Cheryl-Prax.pdf" TargetMode="External"/><Relationship Id="rId23" Type="http://schemas.openxmlformats.org/officeDocument/2006/relationships/hyperlink" Target="https://tci-global.org/wp-content/uploads/2025/08/Global-Best-Practices-for-Reform-in-Mental-Health-Landscape-in-Armenia.pdf" TargetMode="External"/><Relationship Id="rId28" Type="http://schemas.openxmlformats.org/officeDocument/2006/relationships/hyperlink" Target="https://tci-global.org/wp-content/uploads/2023/02/Background-Reading-Legal-Capacity-Round-Table.pdf" TargetMode="External"/><Relationship Id="rId36" Type="http://schemas.openxmlformats.org/officeDocument/2006/relationships/hyperlink" Target="https://www.bclaws.gov.bc.ca/civix/document/id/complete/statreg/96405_01" TargetMode="External"/><Relationship Id="rId10" Type="http://schemas.openxmlformats.org/officeDocument/2006/relationships/hyperlink" Target="https://www.iaapa.de/zwang/zwang2/halmi_english/" TargetMode="External"/><Relationship Id="rId19" Type="http://schemas.openxmlformats.org/officeDocument/2006/relationships/hyperlink" Target="https://www.youtube.com/watch?v=UOSp7I9z0Nk" TargetMode="External"/><Relationship Id="rId31" Type="http://schemas.openxmlformats.org/officeDocument/2006/relationships/hyperlink" Target="https://doi.org/10.1177/097152150801500204" TargetMode="External"/><Relationship Id="rId4" Type="http://schemas.openxmlformats.org/officeDocument/2006/relationships/hyperlink" Target="https://tci-global.org/wp-content/uploads/2025/02/TCI-Global-Submission-for-General-Comment-on-Article-29-CRPD.pdf" TargetMode="External"/><Relationship Id="rId9" Type="http://schemas.openxmlformats.org/officeDocument/2006/relationships/hyperlink" Target="https://www.madinamerica.com/2015/04/forced-psychiatry-torture/" TargetMode="External"/><Relationship Id="rId14" Type="http://schemas.openxmlformats.org/officeDocument/2006/relationships/hyperlink" Target="https://whatweneed.tci-global.org/wp-content/uploads/2023/01/Cathy-Wield-December-2022.pdf" TargetMode="External"/><Relationship Id="rId22" Type="http://schemas.openxmlformats.org/officeDocument/2006/relationships/hyperlink" Target="https://www.bbc.co.uk/news/articles/c0krnjy72j0o" TargetMode="External"/><Relationship Id="rId27" Type="http://schemas.openxmlformats.org/officeDocument/2006/relationships/hyperlink" Target="https://tci-global.org/wp-content/uploads/2022/05/TCI-Asia-pacific-classic-edition-plenarya-report.pdf" TargetMode="External"/><Relationship Id="rId30" Type="http://schemas.openxmlformats.org/officeDocument/2006/relationships/hyperlink" Target="https://whatweneed.tci-global.org/wp-content/uploads/2022/11/The-Discriminatory-Standards-of-Constructing-%E2%80%98Patienthood-of-the-%E2%80%98Mentally-Ill-within-Public-Health_for-WhatWENeed.pdf" TargetMode="External"/><Relationship Id="rId35" Type="http://schemas.openxmlformats.org/officeDocument/2006/relationships/hyperlink" Target="https://www.irishstatutebook.ie/eli/2015/act/64/enacted/en/html" TargetMode="External"/><Relationship Id="rId43" Type="http://schemas.openxmlformats.org/officeDocument/2006/relationships/hyperlink" Target="https://tci-global.org/wp-content/uploads/2024/07/TCI-Positionality-on-Community-Inclusion-2022.pdf" TargetMode="External"/><Relationship Id="rId8" Type="http://schemas.openxmlformats.org/officeDocument/2006/relationships/hyperlink" Target="https://tci-global.org/wp-content/uploads/2023/08/Hidden-Torture-Concept-Note-Updated.pdf" TargetMode="External"/><Relationship Id="rId3" Type="http://schemas.openxmlformats.org/officeDocument/2006/relationships/hyperlink" Target="https://www.ohchr.org/sites/default/files/Documents/HRBodies/HRCouncil/RegularSession/Session22/A.HRC.22.%2053_English.pdf" TargetMode="External"/><Relationship Id="rId12" Type="http://schemas.openxmlformats.org/officeDocument/2006/relationships/hyperlink" Target="https://recoveryinthebin.org/2019/11/08/on-admission-to-wrekin/" TargetMode="External"/><Relationship Id="rId17" Type="http://schemas.openxmlformats.org/officeDocument/2006/relationships/hyperlink" Target="https://www.bbc.com/news/health-51092495" TargetMode="External"/><Relationship Id="rId25" Type="http://schemas.openxmlformats.org/officeDocument/2006/relationships/hyperlink" Target="https://whatweneed.tci-global.org/bali-declaration-2018/" TargetMode="External"/><Relationship Id="rId33" Type="http://schemas.openxmlformats.org/officeDocument/2006/relationships/hyperlink" Target="https://doi.org/10.1080/13218719.2024.2421168" TargetMode="External"/><Relationship Id="rId38" Type="http://schemas.openxmlformats.org/officeDocument/2006/relationships/hyperlink" Target="https://www.ohchr.org/sites/default/files/documents/issues/health/draftguidance/submissions/2022-09-%2002/Mexico_general_health_act_16may2022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2025-08-11T08:52:00+00:00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841E33A-7602-D243-AE07-02F00535EEE9}">
  <ds:schemaRefs>
    <ds:schemaRef ds:uri="http://schemas.openxmlformats.org/officeDocument/2006/bibliography"/>
  </ds:schemaRefs>
</ds:datastoreItem>
</file>

<file path=customXml/itemProps2.xml><?xml version="1.0" encoding="utf-8"?>
<ds:datastoreItem xmlns:ds="http://schemas.openxmlformats.org/officeDocument/2006/customXml" ds:itemID="{2CA94E24-2ADB-4AC1-BF0A-6A7C469DB1E5}"/>
</file>

<file path=customXml/itemProps3.xml><?xml version="1.0" encoding="utf-8"?>
<ds:datastoreItem xmlns:ds="http://schemas.openxmlformats.org/officeDocument/2006/customXml" ds:itemID="{379EE421-8571-4DD8-9D31-0CD5C528D422}"/>
</file>

<file path=customXml/itemProps4.xml><?xml version="1.0" encoding="utf-8"?>
<ds:datastoreItem xmlns:ds="http://schemas.openxmlformats.org/officeDocument/2006/customXml" ds:itemID="{B3715BB1-4BAD-4BBE-82F5-0F5AC8E19A3D}"/>
</file>

<file path=docProps/app.xml><?xml version="1.0" encoding="utf-8"?>
<Properties xmlns="http://schemas.openxmlformats.org/officeDocument/2006/extended-properties" xmlns:vt="http://schemas.openxmlformats.org/officeDocument/2006/docPropsVTypes">
  <Template>Normal</Template>
  <TotalTime>0</TotalTime>
  <Pages>9</Pages>
  <Words>2922</Words>
  <Characters>16659</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 sharma</dc:creator>
  <cp:keywords/>
  <dc:description/>
  <cp:lastModifiedBy>Jorge Araya</cp:lastModifiedBy>
  <cp:revision>2</cp:revision>
  <dcterms:created xsi:type="dcterms:W3CDTF">2025-08-11T08:51:00Z</dcterms:created>
  <dcterms:modified xsi:type="dcterms:W3CDTF">2025-08-11T08:51:00Z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