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B68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BF15DC" w:rsidRDefault="00BF15DC">
      <w:pPr>
        <w:rPr>
          <w:rFonts w:ascii="Times New Roman" w:hAnsi="Times New Roman" w:cs="Times New Roman"/>
          <w:b/>
          <w:sz w:val="20"/>
          <w:szCs w:val="20"/>
          <w:lang w:val="es-ES"/>
        </w:rPr>
      </w:pPr>
      <w:r>
        <w:rPr>
          <w:rFonts w:ascii="Times New Roman" w:hAnsi="Times New Roman" w:cs="Times New Roman"/>
          <w:b/>
          <w:sz w:val="20"/>
          <w:szCs w:val="20"/>
          <w:lang w:val="es-ES"/>
        </w:rPr>
        <w:br w:type="page"/>
      </w:r>
    </w:p>
    <w:p w:rsidR="00804B68" w:rsidRPr="00AD259F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bookmarkStart w:id="0" w:name="_GoBack"/>
      <w:bookmarkEnd w:id="0"/>
    </w:p>
    <w:p w:rsidR="00804B68" w:rsidRPr="00AD259F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AD259F">
        <w:rPr>
          <w:rFonts w:ascii="Times New Roman" w:hAnsi="Times New Roman" w:cs="Times New Roman"/>
          <w:b/>
          <w:sz w:val="20"/>
          <w:szCs w:val="20"/>
          <w:lang w:val="es-ES"/>
        </w:rPr>
        <w:t xml:space="preserve">Tipo de Violencia Doméstica reportada por usuarias extranjeras. </w:t>
      </w:r>
    </w:p>
    <w:p w:rsidR="00804B68" w:rsidRPr="00AD259F" w:rsidRDefault="00804B68" w:rsidP="00804B6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AD259F">
        <w:rPr>
          <w:rFonts w:ascii="Times New Roman" w:hAnsi="Times New Roman" w:cs="Times New Roman"/>
          <w:b/>
          <w:sz w:val="20"/>
          <w:szCs w:val="20"/>
          <w:lang w:val="es-ES"/>
        </w:rPr>
        <w:t>INAMU.  Años 2011 - 2016.</w:t>
      </w:r>
    </w:p>
    <w:tbl>
      <w:tblPr>
        <w:tblStyle w:val="Tabladecuadrcula1clara-nfasis1"/>
        <w:tblpPr w:leftFromText="141" w:rightFromText="141" w:vertAnchor="page" w:horzAnchor="margin" w:tblpXSpec="center" w:tblpY="2493"/>
        <w:tblW w:w="6626" w:type="dxa"/>
        <w:tblLook w:val="04A0" w:firstRow="1" w:lastRow="0" w:firstColumn="1" w:lastColumn="0" w:noHBand="0" w:noVBand="1"/>
      </w:tblPr>
      <w:tblGrid>
        <w:gridCol w:w="1396"/>
        <w:gridCol w:w="718"/>
        <w:gridCol w:w="719"/>
        <w:gridCol w:w="719"/>
        <w:gridCol w:w="719"/>
        <w:gridCol w:w="719"/>
        <w:gridCol w:w="719"/>
        <w:gridCol w:w="917"/>
      </w:tblGrid>
      <w:tr w:rsidR="00804B68" w:rsidRPr="00AD259F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vMerge w:val="restart"/>
            <w:shd w:val="clear" w:color="auto" w:fill="00B0F0"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 w:val="0"/>
                <w:color w:val="FFFFFF" w:themeColor="background1"/>
                <w:sz w:val="20"/>
                <w:szCs w:val="20"/>
                <w:lang w:eastAsia="es-PA"/>
              </w:rPr>
              <w:t>Tipo de Violencia</w:t>
            </w:r>
            <w:r w:rsidRPr="00AD259F">
              <w:rPr>
                <w:rFonts w:ascii="Times New Roman" w:eastAsia="Times New Roman" w:hAnsi="Times New Roman" w:cs="Times New Roman"/>
                <w:bCs w:val="0"/>
                <w:color w:val="FFFFFF" w:themeColor="background1"/>
                <w:sz w:val="20"/>
                <w:szCs w:val="20"/>
                <w:vertAlign w:val="superscript"/>
                <w:lang w:eastAsia="es-PA"/>
              </w:rPr>
              <w:footnoteReference w:id="1"/>
            </w:r>
          </w:p>
        </w:tc>
        <w:tc>
          <w:tcPr>
            <w:tcW w:w="5230" w:type="dxa"/>
            <w:gridSpan w:val="7"/>
            <w:shd w:val="clear" w:color="auto" w:fill="00B0F0"/>
            <w:noWrap/>
          </w:tcPr>
          <w:p w:rsidR="00804B68" w:rsidRPr="00AD259F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FFFFFF" w:themeColor="background1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Cs w:val="0"/>
                <w:color w:val="FFFFFF" w:themeColor="background1"/>
                <w:sz w:val="20"/>
                <w:szCs w:val="20"/>
                <w:lang w:eastAsia="es-PA"/>
              </w:rPr>
              <w:t>Años</w:t>
            </w:r>
          </w:p>
        </w:tc>
      </w:tr>
      <w:tr w:rsidR="00804B68" w:rsidRPr="00AD259F" w:rsidTr="00AD4715">
        <w:trPr>
          <w:trHeight w:val="5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vMerge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2011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2012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2013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2014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2016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TOTAL</w:t>
            </w:r>
          </w:p>
        </w:tc>
      </w:tr>
      <w:tr w:rsidR="00804B68" w:rsidRPr="00AD259F" w:rsidTr="00AD4715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Física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27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30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23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35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169</w:t>
            </w:r>
          </w:p>
        </w:tc>
      </w:tr>
      <w:tr w:rsidR="00804B68" w:rsidRPr="00AD259F" w:rsidTr="00AD4715">
        <w:trPr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Psicológica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28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40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38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45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45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221</w:t>
            </w:r>
          </w:p>
        </w:tc>
      </w:tr>
      <w:tr w:rsidR="00804B68" w:rsidRPr="00AD259F" w:rsidTr="00AD4715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Económica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19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21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16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29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31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145</w:t>
            </w:r>
          </w:p>
        </w:tc>
      </w:tr>
      <w:tr w:rsidR="00804B68" w:rsidRPr="00AD259F" w:rsidTr="00AD4715">
        <w:trPr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Sexual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7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12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12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57</w:t>
            </w:r>
          </w:p>
        </w:tc>
      </w:tr>
      <w:tr w:rsidR="00804B68" w:rsidRPr="00AD259F" w:rsidTr="00AD4715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Otra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14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18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26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6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79</w:t>
            </w:r>
          </w:p>
        </w:tc>
      </w:tr>
      <w:tr w:rsidR="00804B68" w:rsidRPr="00AD259F" w:rsidTr="00AD471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  <w:hideMark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S/D</w:t>
            </w:r>
          </w:p>
        </w:tc>
        <w:tc>
          <w:tcPr>
            <w:tcW w:w="718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0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5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2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sz w:val="20"/>
                <w:szCs w:val="20"/>
                <w:lang w:eastAsia="es-PA"/>
              </w:rPr>
              <w:t>8</w:t>
            </w:r>
          </w:p>
        </w:tc>
        <w:tc>
          <w:tcPr>
            <w:tcW w:w="719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PA"/>
              </w:rPr>
              <w:t>0</w:t>
            </w:r>
          </w:p>
        </w:tc>
        <w:tc>
          <w:tcPr>
            <w:tcW w:w="917" w:type="dxa"/>
            <w:noWrap/>
            <w:hideMark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s-PA"/>
              </w:rPr>
              <w:t>20</w:t>
            </w:r>
          </w:p>
        </w:tc>
      </w:tr>
      <w:tr w:rsidR="00804B68" w:rsidRPr="00AD259F" w:rsidTr="00AD4715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noWrap/>
          </w:tcPr>
          <w:p w:rsidR="00804B68" w:rsidRPr="00AD259F" w:rsidRDefault="00804B68" w:rsidP="00AD471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es-PA"/>
              </w:rPr>
              <w:t>TOTAL</w:t>
            </w:r>
          </w:p>
        </w:tc>
        <w:tc>
          <w:tcPr>
            <w:tcW w:w="718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89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124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94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106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s-PA"/>
              </w:rPr>
              <w:t>155</w:t>
            </w:r>
          </w:p>
        </w:tc>
        <w:tc>
          <w:tcPr>
            <w:tcW w:w="719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eastAsia="es-PA"/>
              </w:rPr>
              <w:t>123</w:t>
            </w:r>
          </w:p>
        </w:tc>
        <w:tc>
          <w:tcPr>
            <w:tcW w:w="917" w:type="dxa"/>
            <w:noWrap/>
          </w:tcPr>
          <w:p w:rsidR="00804B68" w:rsidRPr="00AD259F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</w:pPr>
            <w:r w:rsidRPr="00AD25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PA"/>
              </w:rPr>
              <w:t>691</w:t>
            </w:r>
          </w:p>
        </w:tc>
      </w:tr>
    </w:tbl>
    <w:p w:rsidR="00804B68" w:rsidRPr="00AD259F" w:rsidRDefault="00804B68" w:rsidP="00804B6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  <w:r w:rsidRPr="00AD259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  <w:t xml:space="preserve">               </w:t>
      </w: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s-PA"/>
        </w:rPr>
      </w:pPr>
    </w:p>
    <w:p w:rsidR="00804B68" w:rsidRPr="00AD259F" w:rsidRDefault="00804B68" w:rsidP="00804B68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804B68" w:rsidRPr="00AD259F" w:rsidRDefault="00804B68" w:rsidP="00804B68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804B68" w:rsidRPr="00AD259F" w:rsidRDefault="00804B68" w:rsidP="00804B68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804B68" w:rsidRPr="00AD259F" w:rsidRDefault="00804B68" w:rsidP="00804B68">
      <w:pPr>
        <w:spacing w:after="0"/>
        <w:rPr>
          <w:rFonts w:ascii="Times New Roman" w:hAnsi="Times New Roman" w:cs="Times New Roman"/>
          <w:sz w:val="20"/>
          <w:szCs w:val="20"/>
          <w:lang w:val="es-ES"/>
        </w:rPr>
      </w:pPr>
    </w:p>
    <w:p w:rsidR="00BF15DC" w:rsidRDefault="00804B68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  <w:r>
        <w:rPr>
          <w:rFonts w:ascii="Times New Roman" w:hAnsi="Times New Roman" w:cs="Times New Roman"/>
          <w:sz w:val="18"/>
          <w:szCs w:val="20"/>
          <w:lang w:val="es-ES"/>
        </w:rPr>
        <w:t xml:space="preserve">                        </w:t>
      </w:r>
      <w:r w:rsidRPr="00AD259F">
        <w:rPr>
          <w:rFonts w:ascii="Times New Roman" w:hAnsi="Times New Roman" w:cs="Times New Roman"/>
          <w:sz w:val="18"/>
          <w:szCs w:val="20"/>
          <w:lang w:val="es-ES"/>
        </w:rPr>
        <w:t>Fuente: Dirección de Derechos Humanos, INAMU.</w:t>
      </w:r>
    </w:p>
    <w:p w:rsidR="00BF15DC" w:rsidRDefault="00BF15DC">
      <w:pPr>
        <w:rPr>
          <w:rFonts w:ascii="Times New Roman" w:hAnsi="Times New Roman" w:cs="Times New Roman"/>
          <w:sz w:val="18"/>
          <w:szCs w:val="20"/>
          <w:lang w:val="es-ES"/>
        </w:rPr>
      </w:pPr>
      <w:r>
        <w:rPr>
          <w:rFonts w:ascii="Times New Roman" w:hAnsi="Times New Roman" w:cs="Times New Roman"/>
          <w:sz w:val="18"/>
          <w:szCs w:val="20"/>
          <w:lang w:val="es-ES"/>
        </w:rPr>
        <w:br w:type="page"/>
      </w:r>
    </w:p>
    <w:p w:rsidR="00804B68" w:rsidRDefault="00804B68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</w:p>
    <w:p w:rsidR="00804B68" w:rsidRDefault="00804B68" w:rsidP="00804B68">
      <w:pPr>
        <w:spacing w:after="0"/>
        <w:rPr>
          <w:rFonts w:ascii="Times New Roman" w:hAnsi="Times New Roman" w:cs="Times New Roman"/>
          <w:sz w:val="18"/>
          <w:szCs w:val="20"/>
          <w:lang w:val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E46E5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21E9AE80" wp14:editId="1CD83427">
            <wp:extent cx="4362450" cy="41624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Pr="00AD259F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val="es-ES" w:eastAsia="es-ES"/>
        </w:rPr>
      </w:pPr>
      <w:r w:rsidRPr="00AD259F"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val="es-ES" w:eastAsia="es-ES"/>
        </w:rPr>
        <w:t>Fuente: Policía Nacional</w:t>
      </w:r>
    </w:p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4"/>
          <w:lang w:val="es-ES"/>
        </w:rPr>
      </w:pPr>
    </w:p>
    <w:p w:rsidR="00804B68" w:rsidRPr="004D198A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4"/>
          <w:lang w:val="es-ES"/>
        </w:rPr>
      </w:pPr>
      <w:r>
        <w:rPr>
          <w:rFonts w:ascii="Times New Roman" w:hAnsi="Times New Roman" w:cs="Times New Roman"/>
          <w:bCs/>
          <w:color w:val="000000" w:themeColor="text1"/>
          <w:sz w:val="20"/>
          <w:szCs w:val="24"/>
          <w:lang w:val="es-ES"/>
        </w:rPr>
        <w:t>Por otra parte, p</w:t>
      </w:r>
      <w:r w:rsidRPr="004D198A">
        <w:rPr>
          <w:rFonts w:ascii="Times New Roman" w:hAnsi="Times New Roman" w:cs="Times New Roman"/>
          <w:bCs/>
          <w:color w:val="000000" w:themeColor="text1"/>
          <w:sz w:val="20"/>
          <w:szCs w:val="24"/>
          <w:lang w:val="es-ES"/>
        </w:rPr>
        <w:t xml:space="preserve">ese a que no existen mecanismos formales.  La Secretaría Ejecutiva de la CONAPREDES lleva un registro estadístico proporcionado por las Fiscalías del Ministerio Público y recogidas en el Centro Estadístico de la misma entidad   </w:t>
      </w:r>
    </w:p>
    <w:p w:rsidR="00804B68" w:rsidRPr="004D198A" w:rsidRDefault="00804B68" w:rsidP="00804B6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:rsidR="00804B68" w:rsidRPr="004D198A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s-ES"/>
        </w:rPr>
      </w:pPr>
      <w:r w:rsidRPr="004D198A">
        <w:rPr>
          <w:rFonts w:ascii="Times New Roman" w:hAnsi="Times New Roman" w:cs="Times New Roman"/>
          <w:b/>
          <w:sz w:val="20"/>
          <w:szCs w:val="20"/>
          <w:lang w:val="es-ES"/>
        </w:rPr>
        <w:t>Explotación Sexual Comercial de niños, niñas y adolescentes</w:t>
      </w:r>
    </w:p>
    <w:p w:rsidR="00804B68" w:rsidRPr="004D198A" w:rsidRDefault="00804B68" w:rsidP="00804B68">
      <w:pPr>
        <w:spacing w:after="0" w:line="240" w:lineRule="auto"/>
        <w:ind w:left="284"/>
        <w:jc w:val="center"/>
        <w:rPr>
          <w:rFonts w:ascii="Times New Roman" w:hAnsi="Times New Roman" w:cs="Times New Roman"/>
          <w:sz w:val="20"/>
          <w:szCs w:val="20"/>
          <w:lang w:val="es-ES"/>
        </w:rPr>
      </w:pPr>
      <w:r w:rsidRPr="004D198A">
        <w:rPr>
          <w:rFonts w:ascii="Times New Roman" w:hAnsi="Times New Roman" w:cs="Times New Roman"/>
          <w:sz w:val="20"/>
          <w:szCs w:val="20"/>
          <w:lang w:val="es-ES"/>
        </w:rPr>
        <w:t>2004 a junio 2012</w:t>
      </w:r>
    </w:p>
    <w:p w:rsidR="00804B68" w:rsidRPr="004D198A" w:rsidRDefault="00804B68" w:rsidP="00804B68">
      <w:pPr>
        <w:spacing w:after="0" w:line="240" w:lineRule="auto"/>
        <w:ind w:left="284"/>
        <w:jc w:val="center"/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Tabladecuadrcula1clara-nfasis1"/>
        <w:tblW w:w="0" w:type="auto"/>
        <w:tblLook w:val="04A0" w:firstRow="1" w:lastRow="0" w:firstColumn="1" w:lastColumn="0" w:noHBand="0" w:noVBand="1"/>
      </w:tblPr>
      <w:tblGrid>
        <w:gridCol w:w="2648"/>
        <w:gridCol w:w="616"/>
        <w:gridCol w:w="616"/>
        <w:gridCol w:w="616"/>
        <w:gridCol w:w="616"/>
        <w:gridCol w:w="683"/>
        <w:gridCol w:w="683"/>
        <w:gridCol w:w="702"/>
        <w:gridCol w:w="725"/>
        <w:gridCol w:w="739"/>
      </w:tblGrid>
      <w:tr w:rsidR="00804B68" w:rsidRPr="004D198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  <w:shd w:val="clear" w:color="auto" w:fill="00B0F0"/>
          </w:tcPr>
          <w:p w:rsidR="00804B68" w:rsidRPr="00654E79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Modalidades delictuales</w:t>
            </w:r>
          </w:p>
        </w:tc>
        <w:tc>
          <w:tcPr>
            <w:tcW w:w="581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2004</w:t>
            </w:r>
          </w:p>
        </w:tc>
        <w:tc>
          <w:tcPr>
            <w:tcW w:w="581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2005</w:t>
            </w:r>
          </w:p>
        </w:tc>
        <w:tc>
          <w:tcPr>
            <w:tcW w:w="581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2006</w:t>
            </w:r>
          </w:p>
        </w:tc>
        <w:tc>
          <w:tcPr>
            <w:tcW w:w="581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2007</w:t>
            </w:r>
          </w:p>
        </w:tc>
        <w:tc>
          <w:tcPr>
            <w:tcW w:w="637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2008-2009</w:t>
            </w:r>
          </w:p>
        </w:tc>
        <w:tc>
          <w:tcPr>
            <w:tcW w:w="682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2010-</w:t>
            </w:r>
          </w:p>
        </w:tc>
        <w:tc>
          <w:tcPr>
            <w:tcW w:w="702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2011</w:t>
            </w:r>
          </w:p>
        </w:tc>
        <w:tc>
          <w:tcPr>
            <w:tcW w:w="725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2012</w:t>
            </w:r>
          </w:p>
        </w:tc>
        <w:tc>
          <w:tcPr>
            <w:tcW w:w="734" w:type="dxa"/>
            <w:shd w:val="clear" w:color="auto" w:fill="00B0F0"/>
          </w:tcPr>
          <w:p w:rsidR="00804B68" w:rsidRPr="00654E79" w:rsidRDefault="00804B6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</w:pPr>
            <w:r w:rsidRPr="00654E79">
              <w:rPr>
                <w:rFonts w:ascii="Times New Roman" w:hAnsi="Times New Roman" w:cs="Times New Roman"/>
                <w:b w:val="0"/>
                <w:color w:val="FFFFFF" w:themeColor="background1"/>
                <w:sz w:val="20"/>
                <w:szCs w:val="20"/>
                <w:lang w:val="es-ES"/>
              </w:rPr>
              <w:t>totales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Pornografía Infantil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12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26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10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19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*20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*23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123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Rufianismo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6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Relaciones Sexuales Remuneradas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19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11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18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18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85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Turismo Sexual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7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Proxenetismo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19</w:t>
            </w:r>
          </w:p>
        </w:tc>
      </w:tr>
      <w:tr w:rsidR="00804B68" w:rsidRPr="004D19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Trata sexual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9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4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---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38</w:t>
            </w:r>
          </w:p>
        </w:tc>
      </w:tr>
      <w:tr w:rsidR="00804B68" w:rsidRPr="004D198A" w:rsidTr="00AD4715">
        <w:trPr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8" w:type="dxa"/>
          </w:tcPr>
          <w:p w:rsidR="00804B68" w:rsidRPr="004D198A" w:rsidRDefault="00804B68" w:rsidP="00AD4715">
            <w:pPr>
              <w:ind w:left="284"/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 w:val="0"/>
                <w:sz w:val="20"/>
                <w:szCs w:val="20"/>
                <w:lang w:val="es-ES"/>
              </w:rPr>
              <w:t>Total por año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18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34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63</w:t>
            </w:r>
          </w:p>
        </w:tc>
        <w:tc>
          <w:tcPr>
            <w:tcW w:w="581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30</w:t>
            </w:r>
          </w:p>
        </w:tc>
        <w:tc>
          <w:tcPr>
            <w:tcW w:w="637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49</w:t>
            </w:r>
          </w:p>
        </w:tc>
        <w:tc>
          <w:tcPr>
            <w:tcW w:w="68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44</w:t>
            </w:r>
          </w:p>
        </w:tc>
        <w:tc>
          <w:tcPr>
            <w:tcW w:w="702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27</w:t>
            </w:r>
          </w:p>
        </w:tc>
        <w:tc>
          <w:tcPr>
            <w:tcW w:w="725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13</w:t>
            </w:r>
          </w:p>
        </w:tc>
        <w:tc>
          <w:tcPr>
            <w:tcW w:w="734" w:type="dxa"/>
          </w:tcPr>
          <w:p w:rsidR="00804B68" w:rsidRPr="004D198A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4D198A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278</w:t>
            </w:r>
          </w:p>
        </w:tc>
      </w:tr>
    </w:tbl>
    <w:p w:rsidR="00804B68" w:rsidRPr="004D198A" w:rsidRDefault="00804B68" w:rsidP="00804B6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s-ES"/>
        </w:rPr>
      </w:pPr>
      <w:r w:rsidRPr="004D198A">
        <w:rPr>
          <w:rFonts w:ascii="Times New Roman" w:hAnsi="Times New Roman" w:cs="Times New Roman"/>
          <w:sz w:val="20"/>
          <w:szCs w:val="20"/>
          <w:lang w:val="es-ES"/>
        </w:rPr>
        <w:t>Fuente: DIJ (período 2004 al 2007)</w:t>
      </w:r>
    </w:p>
    <w:p w:rsidR="00804B68" w:rsidRPr="004D198A" w:rsidRDefault="00804B68" w:rsidP="00804B6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s-ES"/>
        </w:rPr>
      </w:pPr>
      <w:r w:rsidRPr="004D198A">
        <w:rPr>
          <w:rFonts w:ascii="Times New Roman" w:hAnsi="Times New Roman" w:cs="Times New Roman"/>
          <w:sz w:val="20"/>
          <w:szCs w:val="20"/>
          <w:lang w:val="es-ES"/>
        </w:rPr>
        <w:t>Ministerio Público-Fiscalías a nivel nacional (período 2008 a junio 2012)</w:t>
      </w: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Explotación Sexual Comercial de niños, niñas y adolescentes</w:t>
      </w: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 xml:space="preserve">2014 </w:t>
      </w:r>
    </w:p>
    <w:p w:rsidR="00804B68" w:rsidRPr="0068288A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  <w:lang w:val="es-ES"/>
        </w:rPr>
      </w:pPr>
    </w:p>
    <w:tbl>
      <w:tblPr>
        <w:tblStyle w:val="Tabladecuadrcula1clara-nfasis1"/>
        <w:tblW w:w="9634" w:type="dxa"/>
        <w:tblLayout w:type="fixed"/>
        <w:tblLook w:val="04A0" w:firstRow="1" w:lastRow="0" w:firstColumn="1" w:lastColumn="0" w:noHBand="0" w:noVBand="1"/>
      </w:tblPr>
      <w:tblGrid>
        <w:gridCol w:w="1129"/>
        <w:gridCol w:w="851"/>
        <w:gridCol w:w="425"/>
        <w:gridCol w:w="992"/>
        <w:gridCol w:w="686"/>
        <w:gridCol w:w="786"/>
        <w:gridCol w:w="629"/>
        <w:gridCol w:w="734"/>
        <w:gridCol w:w="993"/>
        <w:gridCol w:w="850"/>
        <w:gridCol w:w="709"/>
        <w:gridCol w:w="850"/>
      </w:tblGrid>
      <w:tr w:rsidR="00804B68" w:rsidRPr="0068288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00B0F0"/>
          </w:tcPr>
          <w:p w:rsidR="00804B68" w:rsidRPr="000A6018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Delitos de</w:t>
            </w:r>
          </w:p>
          <w:p w:rsidR="00804B68" w:rsidRPr="000A6018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Explotación Sexual</w:t>
            </w:r>
          </w:p>
        </w:tc>
        <w:tc>
          <w:tcPr>
            <w:tcW w:w="851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Panamá</w:t>
            </w:r>
          </w:p>
        </w:tc>
        <w:tc>
          <w:tcPr>
            <w:tcW w:w="425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SM</w:t>
            </w:r>
          </w:p>
        </w:tc>
        <w:tc>
          <w:tcPr>
            <w:tcW w:w="992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Chorrera</w:t>
            </w:r>
          </w:p>
        </w:tc>
        <w:tc>
          <w:tcPr>
            <w:tcW w:w="686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Colón</w:t>
            </w:r>
          </w:p>
        </w:tc>
        <w:tc>
          <w:tcPr>
            <w:tcW w:w="786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Darién</w:t>
            </w:r>
          </w:p>
        </w:tc>
        <w:tc>
          <w:tcPr>
            <w:tcW w:w="629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proofErr w:type="spellStart"/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B</w:t>
            </w:r>
            <w:r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ocasdel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 xml:space="preserve"> </w:t>
            </w: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T</w:t>
            </w:r>
            <w:r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oro</w:t>
            </w:r>
          </w:p>
        </w:tc>
        <w:tc>
          <w:tcPr>
            <w:tcW w:w="734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Coclé</w:t>
            </w:r>
          </w:p>
        </w:tc>
        <w:tc>
          <w:tcPr>
            <w:tcW w:w="993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Veraguas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Herrera</w:t>
            </w:r>
          </w:p>
        </w:tc>
        <w:tc>
          <w:tcPr>
            <w:tcW w:w="709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Los Santos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Chiriquí</w:t>
            </w:r>
          </w:p>
        </w:tc>
      </w:tr>
      <w:tr w:rsidR="00804B68" w:rsidRPr="0068288A" w:rsidTr="00AD4715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Corrupción de Menores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14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8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5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29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3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7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7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19</w:t>
            </w:r>
          </w:p>
        </w:tc>
      </w:tr>
      <w:tr w:rsidR="00804B68" w:rsidRPr="0068288A" w:rsidTr="00AD4715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Pornografía Infantil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497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3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3</w:t>
            </w:r>
          </w:p>
        </w:tc>
      </w:tr>
      <w:tr w:rsidR="00804B68" w:rsidRPr="0068288A" w:rsidTr="00AD4715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Posesión de material pornográfico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Relaciones Sexuales Remuneradas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7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Rufianismo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Exhibición en espectáculos públicos y privados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804B68" w:rsidRPr="0068288A" w:rsidRDefault="00804B68" w:rsidP="00AD471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Turismo Sexual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2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86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62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34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</w:tbl>
    <w:p w:rsidR="00804B68" w:rsidRPr="000A6018" w:rsidRDefault="00804B68" w:rsidP="00804B68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val="es-ES"/>
        </w:rPr>
      </w:pPr>
      <w:r>
        <w:rPr>
          <w:rFonts w:ascii="Times New Roman" w:hAnsi="Times New Roman" w:cs="Times New Roman"/>
          <w:sz w:val="20"/>
          <w:szCs w:val="20"/>
          <w:lang w:val="es-ES"/>
        </w:rPr>
        <w:t xml:space="preserve">Fuente: </w:t>
      </w:r>
      <w:r w:rsidRPr="000A6018">
        <w:rPr>
          <w:rFonts w:ascii="Times New Roman" w:hAnsi="Times New Roman" w:cs="Times New Roman"/>
          <w:sz w:val="20"/>
          <w:szCs w:val="20"/>
          <w:lang w:val="es-ES"/>
        </w:rPr>
        <w:t>Estadística Fiscalías de Panamá. Año 2014</w:t>
      </w:r>
    </w:p>
    <w:p w:rsidR="00804B68" w:rsidRPr="00B02BBE" w:rsidRDefault="00804B68" w:rsidP="00804B68">
      <w:pPr>
        <w:spacing w:after="0" w:line="240" w:lineRule="auto"/>
        <w:jc w:val="center"/>
        <w:rPr>
          <w:lang w:val="es-ES"/>
        </w:rPr>
      </w:pP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Explotación Sexual Comercial de niños, niñas y adolescentes</w:t>
      </w: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2015</w:t>
      </w:r>
    </w:p>
    <w:p w:rsidR="00804B68" w:rsidRPr="00B02BBE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  <w:lang w:val="es-ES"/>
        </w:rPr>
      </w:pPr>
    </w:p>
    <w:tbl>
      <w:tblPr>
        <w:tblStyle w:val="Tabladecuadrcula1clara-nfasis1"/>
        <w:tblW w:w="9634" w:type="dxa"/>
        <w:tblLayout w:type="fixed"/>
        <w:tblLook w:val="04A0" w:firstRow="1" w:lastRow="0" w:firstColumn="1" w:lastColumn="0" w:noHBand="0" w:noVBand="1"/>
      </w:tblPr>
      <w:tblGrid>
        <w:gridCol w:w="1271"/>
        <w:gridCol w:w="709"/>
        <w:gridCol w:w="425"/>
        <w:gridCol w:w="851"/>
        <w:gridCol w:w="708"/>
        <w:gridCol w:w="851"/>
        <w:gridCol w:w="567"/>
        <w:gridCol w:w="850"/>
        <w:gridCol w:w="993"/>
        <w:gridCol w:w="850"/>
        <w:gridCol w:w="709"/>
        <w:gridCol w:w="850"/>
      </w:tblGrid>
      <w:tr w:rsidR="00804B68" w:rsidRPr="0068288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00B0F0"/>
          </w:tcPr>
          <w:p w:rsidR="00804B68" w:rsidRPr="000A6018" w:rsidRDefault="00804B68" w:rsidP="00AD4715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 xml:space="preserve">Delitos de </w:t>
            </w:r>
          </w:p>
          <w:p w:rsidR="00804B68" w:rsidRPr="000A6018" w:rsidRDefault="00804B68" w:rsidP="00AD4715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 xml:space="preserve">Explotación Sexual </w:t>
            </w:r>
          </w:p>
        </w:tc>
        <w:tc>
          <w:tcPr>
            <w:tcW w:w="709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4"/>
                <w:szCs w:val="16"/>
                <w:lang w:val="es-ES"/>
              </w:rPr>
              <w:t>Panamá</w:t>
            </w:r>
          </w:p>
        </w:tc>
        <w:tc>
          <w:tcPr>
            <w:tcW w:w="425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SM</w:t>
            </w:r>
          </w:p>
        </w:tc>
        <w:tc>
          <w:tcPr>
            <w:tcW w:w="851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4"/>
                <w:szCs w:val="16"/>
                <w:lang w:val="es-ES"/>
              </w:rPr>
              <w:t>Chorrera</w:t>
            </w:r>
          </w:p>
        </w:tc>
        <w:tc>
          <w:tcPr>
            <w:tcW w:w="708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Colón</w:t>
            </w:r>
          </w:p>
        </w:tc>
        <w:tc>
          <w:tcPr>
            <w:tcW w:w="851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Darién</w:t>
            </w:r>
          </w:p>
        </w:tc>
        <w:tc>
          <w:tcPr>
            <w:tcW w:w="567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BT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Coclé</w:t>
            </w:r>
          </w:p>
        </w:tc>
        <w:tc>
          <w:tcPr>
            <w:tcW w:w="993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Veraguas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Herrera</w:t>
            </w:r>
          </w:p>
        </w:tc>
        <w:tc>
          <w:tcPr>
            <w:tcW w:w="709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LS</w:t>
            </w:r>
          </w:p>
        </w:tc>
        <w:tc>
          <w:tcPr>
            <w:tcW w:w="850" w:type="dxa"/>
            <w:shd w:val="clear" w:color="auto" w:fill="00B0F0"/>
          </w:tcPr>
          <w:p w:rsidR="00804B68" w:rsidRPr="000A6018" w:rsidRDefault="00804B68" w:rsidP="00AD4715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</w:pPr>
            <w:r w:rsidRPr="000A6018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  <w:lang w:val="es-ES"/>
              </w:rPr>
              <w:t>Chiriquí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Corrupción de Menores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27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6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8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14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4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14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Pornografía Infantil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983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7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6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Posesión de material pornográfico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2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Relaciones Sexuales Remuneradas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9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3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 w:rsidRPr="0068288A"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Rufianismo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1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Exhibición en espectáculos públicos y privados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  <w:tr w:rsidR="00804B68" w:rsidRPr="0068288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804B68" w:rsidRPr="0068288A" w:rsidRDefault="00804B68" w:rsidP="00AD4715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Turismo Sexual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425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8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1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567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993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709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  <w:tc>
          <w:tcPr>
            <w:tcW w:w="850" w:type="dxa"/>
          </w:tcPr>
          <w:p w:rsidR="00804B68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</w:p>
          <w:p w:rsidR="00804B68" w:rsidRPr="0068288A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  <w:lang w:val="es-E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s-ES"/>
              </w:rPr>
              <w:t>0</w:t>
            </w:r>
          </w:p>
        </w:tc>
      </w:tr>
    </w:tbl>
    <w:p w:rsidR="00804B68" w:rsidRPr="000A6018" w:rsidRDefault="00804B68" w:rsidP="00804B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>
        <w:rPr>
          <w:rFonts w:ascii="Times New Roman" w:hAnsi="Times New Roman" w:cs="Times New Roman"/>
          <w:sz w:val="20"/>
          <w:szCs w:val="20"/>
          <w:lang w:val="es-ES"/>
        </w:rPr>
        <w:t xml:space="preserve">Fuente: </w:t>
      </w:r>
      <w:r w:rsidRPr="000A6018">
        <w:rPr>
          <w:rFonts w:ascii="Times New Roman" w:hAnsi="Times New Roman" w:cs="Times New Roman"/>
          <w:sz w:val="20"/>
          <w:szCs w:val="20"/>
          <w:lang w:val="es-ES"/>
        </w:rPr>
        <w:t>Estadística Fiscalías de Panamá. Año 2015</w:t>
      </w:r>
    </w:p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es-ES"/>
        </w:rPr>
      </w:pPr>
    </w:p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es-ES"/>
        </w:rPr>
      </w:pPr>
    </w:p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es-ES"/>
        </w:rPr>
      </w:pPr>
    </w:p>
    <w:p w:rsidR="00804B68" w:rsidRPr="00804B68" w:rsidRDefault="00804B68" w:rsidP="00804B68"/>
    <w:p w:rsidR="00804B68" w:rsidRDefault="00804B68" w:rsidP="00804B68">
      <w:pPr>
        <w:spacing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es-ES"/>
        </w:rPr>
      </w:pPr>
    </w:p>
    <w:p w:rsidR="00804B68" w:rsidRPr="006B5DF2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lang w:val="es-ES"/>
        </w:rPr>
      </w:pPr>
      <w:r w:rsidRPr="006B5DF2">
        <w:rPr>
          <w:rFonts w:ascii="Times New Roman" w:hAnsi="Times New Roman" w:cs="Times New Roman"/>
          <w:b/>
          <w:lang w:val="es-ES"/>
        </w:rPr>
        <w:t>Sentencias Condenatorias y Absolutorias dictadas por los tribunales jurisdiccionales</w:t>
      </w:r>
    </w:p>
    <w:p w:rsidR="00804B68" w:rsidRPr="006B5DF2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lang w:val="es-ES"/>
        </w:rPr>
      </w:pPr>
      <w:r w:rsidRPr="006B5DF2">
        <w:rPr>
          <w:rFonts w:ascii="Times New Roman" w:hAnsi="Times New Roman" w:cs="Times New Roman"/>
          <w:b/>
          <w:lang w:val="es-ES"/>
        </w:rPr>
        <w:t>Período 2009 a 2016</w:t>
      </w:r>
    </w:p>
    <w:p w:rsidR="00804B68" w:rsidRDefault="00804B68" w:rsidP="00804B68">
      <w:pPr>
        <w:spacing w:after="0" w:line="240" w:lineRule="auto"/>
        <w:jc w:val="center"/>
        <w:rPr>
          <w:b/>
          <w:i/>
          <w:lang w:val="es-ES"/>
        </w:rPr>
      </w:pPr>
    </w:p>
    <w:tbl>
      <w:tblPr>
        <w:tblStyle w:val="Tabladecuadrcula1clara-nfasis1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2410"/>
        <w:gridCol w:w="1842"/>
      </w:tblGrid>
      <w:tr w:rsidR="00804B68" w:rsidRPr="006B5DF2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shd w:val="clear" w:color="auto" w:fill="00B0F0"/>
          </w:tcPr>
          <w:p w:rsidR="00804B68" w:rsidRPr="006B5DF2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No. de Sentencia</w:t>
            </w:r>
          </w:p>
        </w:tc>
        <w:tc>
          <w:tcPr>
            <w:tcW w:w="1134" w:type="dxa"/>
            <w:shd w:val="clear" w:color="auto" w:fill="00B0F0"/>
          </w:tcPr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Fecha de la</w:t>
            </w:r>
          </w:p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Sentencia</w:t>
            </w:r>
          </w:p>
        </w:tc>
        <w:tc>
          <w:tcPr>
            <w:tcW w:w="2410" w:type="dxa"/>
            <w:shd w:val="clear" w:color="auto" w:fill="00B0F0"/>
          </w:tcPr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 xml:space="preserve">Penas </w:t>
            </w:r>
          </w:p>
        </w:tc>
        <w:tc>
          <w:tcPr>
            <w:tcW w:w="1842" w:type="dxa"/>
            <w:shd w:val="clear" w:color="auto" w:fill="00B0F0"/>
          </w:tcPr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lang w:val="es-ES"/>
              </w:rPr>
              <w:t>Modalidad Delictual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255 Juez Primero de Circuito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8 de junio de 2009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72 meses de prisión a dos victimarias y </w:t>
            </w:r>
          </w:p>
          <w:p w:rsidR="00804B68" w:rsidRPr="006B5DF2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9 años a 2 victimarios.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Proxenetismo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Condenatoria  No. 70 Juez 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b w:val="0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Séptimo de Circuito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3 de julio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 2006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32 meses y 150 </w:t>
            </w:r>
            <w:proofErr w:type="spell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dias</w:t>
            </w:r>
            <w:proofErr w:type="spell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multa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Reemplazo de pena x 350 </w:t>
            </w:r>
            <w:proofErr w:type="spell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dias</w:t>
            </w:r>
            <w:proofErr w:type="spell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multas a razón de $10.00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Pornografía Infantil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10 Juzgado Décimo Cuarto de Circuito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21 de enero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 2009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60 meses de prisión a 2 victimarios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Trata Sexual de adulta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Recurso de </w:t>
            </w:r>
            <w:proofErr w:type="spell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Casasión</w:t>
            </w:r>
            <w:proofErr w:type="spell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solicitado por la Fiscal Quinta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29 de abril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de 2009 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Condena a 4 años de prisión y días multas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Pornografía Infantil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57 por el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5 de mayo de 2009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80 meses de prisión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Pornografía Infantil</w:t>
            </w:r>
          </w:p>
        </w:tc>
      </w:tr>
      <w:tr w:rsidR="00804B68" w:rsidRPr="006B5DF2" w:rsidTr="00AD4715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de Segunda Instancia No. 267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Segundo Tribunal Superior de Justicia, Confirma Sentencia No. 151 de 15 de octubre de 2008 del Juez Séptimo de Circuito Penal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23 de diciembre de 2008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40 meses de prisión a la victimaria y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60 meses de prisión al victimario- días multas y al pago solidario de Cincuenta Mil dólares que compartirán ambos victimarios en concepto de daño moral y material a favor de la víctima.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Actos Libidinosos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proofErr w:type="gram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y</w:t>
            </w:r>
            <w:proofErr w:type="gram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Corrupción de Menores.</w:t>
            </w:r>
          </w:p>
        </w:tc>
      </w:tr>
      <w:tr w:rsidR="00804B68" w:rsidRPr="006B5DF2" w:rsidTr="00AD4715">
        <w:trPr>
          <w:trHeight w:val="9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142 Juzgado Primero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6 de junio de 2011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72 meses e inhabilitación para funciones públicas por el mismo período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Violación en grado de Tentativa y Corrupción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Julio 2011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48 meses de prisión y 300 días multa.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Exhibicionismo de material pornográfico a menores de edad</w:t>
            </w:r>
          </w:p>
        </w:tc>
      </w:tr>
      <w:tr w:rsidR="00804B68" w:rsidRPr="006B5DF2" w:rsidTr="00AD4715">
        <w:trPr>
          <w:trHeight w:val="8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Condenatoria de 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Segunda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Instancia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Agosto 2011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6 años de prisión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Corrupción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11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de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Segunda Instancia del Tribunal Superior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Febrero 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2012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32 meses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 prisión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9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127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proofErr w:type="gramStart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</w:t>
            </w:r>
            <w:proofErr w:type="gramEnd"/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Segunda Instancia. Juzgado Segundo de Circuito de Chiriquí  </w:t>
            </w:r>
          </w:p>
          <w:p w:rsidR="00804B68" w:rsidRPr="006B5DF2" w:rsidRDefault="00804B68" w:rsidP="00804B68">
            <w:pPr>
              <w:rPr>
                <w:lang w:val="es-ES"/>
              </w:rPr>
            </w:pPr>
            <w:r w:rsidRPr="00804B68">
              <w:t>Pendiente</w:t>
            </w:r>
            <w:r w:rsidRPr="006B5DF2">
              <w:rPr>
                <w:lang w:val="es-ES"/>
              </w:rPr>
              <w:t xml:space="preserve"> Recurso de Casación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Julio 2012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Corrupción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de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Menores </w:t>
            </w:r>
          </w:p>
        </w:tc>
      </w:tr>
      <w:tr w:rsidR="00804B68" w:rsidRPr="006B5DF2" w:rsidTr="00AD4715">
        <w:trPr>
          <w:trHeight w:val="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 No. 211</w:t>
            </w:r>
          </w:p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Pendiente Casación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Noviembre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2012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Pornografía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con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Personas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 de Edad</w:t>
            </w:r>
          </w:p>
        </w:tc>
      </w:tr>
      <w:tr w:rsidR="00804B68" w:rsidRPr="006B5DF2" w:rsidTr="00AD4715">
        <w:trPr>
          <w:trHeight w:val="1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lastRenderedPageBreak/>
              <w:t xml:space="preserve">Sentencia Condenatoria No. 20 Juzgado Primero de Chiriquí 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1ro de febrero 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36 meses de prisión. Inhabilitación para funciones pública por el mismo período. Reemplazo de pena por días multas.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Pornografía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con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Personas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 de Edad</w:t>
            </w:r>
          </w:p>
        </w:tc>
      </w:tr>
      <w:tr w:rsidR="00804B68" w:rsidRPr="006B5DF2" w:rsidTr="00AD4715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Juzgado Tercero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100 meses de prisión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Condenatoria No. 12 Segundo Tribunal Superior de Justicia 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Febrero 21 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6 años de prisión e inhabilitación para funciones públicas por el mismo tiempo.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Exhibición de material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pornográfico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7 Juzgado Primero de Circuito Penal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Marzo 18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Juzgado Décimo Segundo del Circuito Penal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40 meses de prisión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Relaciones Sexuales Remuneradas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54 Juzgado Segundo de Circuito Judicial de Chiriquí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30 de abril 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de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Menores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Juzgado No. 17 del Primer Circuito Judicial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Septiembre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7 de 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 de Menores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Absolutoria Juzgado Décimo Tercero del Primer Circuito Judicial de Panamá 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Junio 18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2013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Relaciones Sexuales Remuneradas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4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Enero 31 de 2014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Relaciones Sexuales Remuneradas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Juzgado Undécimo de Panamá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Febrero 17 de 2014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10 años de prisión e Inhabilitación para el ejercicio  de funciones públicas por 5 años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Relaciones Sexuales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Remuneradas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69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Julio 10 de 2014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Pornografía Infantil y 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Explotación Sexual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Absolutoria No. 69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Julio 10 de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2014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Explotación Sexual</w:t>
            </w: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Sentencia Condenatoria No. 170 Juzgado Décimo Segundo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Diciembre 18 de </w:t>
            </w: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2014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40 meses de prisión e inhabilitación para ejercer funciones públicas mismo tiempo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Pornografía Infantil</w:t>
            </w: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</w:tr>
      <w:tr w:rsidR="00804B68" w:rsidRPr="006B5DF2" w:rsidTr="00AD4715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:rsidR="00804B68" w:rsidRPr="006B5DF2" w:rsidRDefault="00804B68" w:rsidP="00AD4715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Sentencia Condenatoria de Segunda Instancia del Tribunal Superior de Chiriquí </w:t>
            </w:r>
          </w:p>
        </w:tc>
        <w:tc>
          <w:tcPr>
            <w:tcW w:w="1134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23 de agosto de 2016</w:t>
            </w:r>
          </w:p>
        </w:tc>
        <w:tc>
          <w:tcPr>
            <w:tcW w:w="2410" w:type="dxa"/>
          </w:tcPr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6 años de prisión </w:t>
            </w:r>
          </w:p>
        </w:tc>
        <w:tc>
          <w:tcPr>
            <w:tcW w:w="1842" w:type="dxa"/>
          </w:tcPr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804B68" w:rsidRPr="006B5DF2" w:rsidRDefault="00804B68" w:rsidP="00AD471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B5DF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Corrupción de Menores</w:t>
            </w:r>
          </w:p>
        </w:tc>
      </w:tr>
    </w:tbl>
    <w:p w:rsidR="00804B68" w:rsidRPr="006B5DF2" w:rsidRDefault="00804B68" w:rsidP="00804B68">
      <w:pPr>
        <w:spacing w:after="0" w:line="240" w:lineRule="auto"/>
        <w:jc w:val="both"/>
        <w:rPr>
          <w:rFonts w:ascii="Times New Roman" w:hAnsi="Times New Roman" w:cs="Times New Roman"/>
          <w:sz w:val="16"/>
          <w:szCs w:val="18"/>
          <w:lang w:val="es-ES"/>
        </w:rPr>
      </w:pPr>
      <w:r w:rsidRPr="006B5DF2">
        <w:rPr>
          <w:rFonts w:ascii="Times New Roman" w:hAnsi="Times New Roman" w:cs="Times New Roman"/>
          <w:sz w:val="16"/>
          <w:szCs w:val="18"/>
          <w:lang w:val="es-ES"/>
        </w:rPr>
        <w:t>Fuente: Fiscalías de Delitos Sexuales -Chiriquí y Panamá. 17 Sentencias Condenatorias y 10 Sentencias Absolutorias</w:t>
      </w:r>
    </w:p>
    <w:p w:rsidR="00804B68" w:rsidRPr="006B5DF2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804B6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lastRenderedPageBreak/>
        <w:t xml:space="preserve">Números de víctimas registradas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s-ES"/>
        </w:rPr>
        <w:t>femicidio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s-ES"/>
        </w:rPr>
        <w:t xml:space="preserve"> a nivel nacional </w:t>
      </w:r>
    </w:p>
    <w:p w:rsidR="00804B68" w:rsidRPr="000A6018" w:rsidRDefault="00804B68" w:rsidP="00804B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>De 2014 a agosto de 2016</w:t>
      </w:r>
    </w:p>
    <w:p w:rsidR="00804B68" w:rsidRPr="006B5DF2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E46E5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2D5572DE" wp14:editId="4224790D">
            <wp:extent cx="5019675" cy="67437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Pr="00E46E5B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val="es-ES" w:eastAsia="es-ES"/>
        </w:rPr>
      </w:pPr>
      <w:r w:rsidRPr="00E46E5B">
        <w:rPr>
          <w:rFonts w:ascii="Times New Roman" w:eastAsia="Times New Roman" w:hAnsi="Times New Roman" w:cs="Times New Roman"/>
          <w:color w:val="000000" w:themeColor="text1"/>
          <w:sz w:val="18"/>
          <w:szCs w:val="20"/>
          <w:lang w:val="es-ES" w:eastAsia="es-ES"/>
        </w:rPr>
        <w:t xml:space="preserve">Fuente: Procuraduría General de la Nación </w:t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E46E5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lastRenderedPageBreak/>
        <w:t xml:space="preserve">                        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0C44CFBA" wp14:editId="46E1CA8B">
            <wp:extent cx="4063117" cy="3704404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499" cy="371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right="49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E46E5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5F240445" wp14:editId="03C4B9BD">
            <wp:extent cx="3879200" cy="3635516"/>
            <wp:effectExtent l="0" t="0" r="762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016" cy="364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  <w:r w:rsidRPr="00B6201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lastRenderedPageBreak/>
        <w:t xml:space="preserve">      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2D164601" wp14:editId="4A884CA2">
            <wp:extent cx="4142629" cy="3783929"/>
            <wp:effectExtent l="0" t="0" r="0" b="762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509" cy="37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left="708"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B6201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 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  <w:t xml:space="preserve">      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inline distT="0" distB="0" distL="0" distR="0" wp14:anchorId="69F0CC80" wp14:editId="55E228AF">
            <wp:extent cx="4077036" cy="3689406"/>
            <wp:effectExtent l="0" t="0" r="0" b="635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940" cy="3701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lastRenderedPageBreak/>
        <w:drawing>
          <wp:inline distT="0" distB="0" distL="0" distR="0" wp14:anchorId="603FA7C6" wp14:editId="05144DD8">
            <wp:extent cx="5255895" cy="6344920"/>
            <wp:effectExtent l="0" t="0" r="190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634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Pr="0056066F" w:rsidRDefault="00804B68" w:rsidP="00804B68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Cs w:val="20"/>
          <w:highlight w:val="yellow"/>
          <w:lang w:val="es-ES" w:eastAsia="es-ES"/>
        </w:rPr>
      </w:pPr>
      <w:r>
        <w:rPr>
          <w:rFonts w:ascii="Times New Roman" w:eastAsia="Times New Roman" w:hAnsi="Times New Roman" w:cs="Times New Roman"/>
          <w:b/>
          <w:color w:val="000000" w:themeColor="text1"/>
          <w:szCs w:val="20"/>
          <w:lang w:val="es-ES" w:eastAsia="es-ES"/>
        </w:rPr>
        <w:t>Tabla No.31</w:t>
      </w:r>
    </w:p>
    <w:p w:rsidR="00804B68" w:rsidRDefault="00804B68" w:rsidP="00804B68">
      <w:pPr>
        <w:spacing w:after="120" w:line="240" w:lineRule="atLeast"/>
        <w:ind w:right="-518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>
        <w:rPr>
          <w:noProof/>
          <w:lang w:eastAsia="es-PA"/>
        </w:rPr>
        <w:drawing>
          <wp:anchor distT="0" distB="0" distL="114300" distR="114300" simplePos="0" relativeHeight="251659264" behindDoc="0" locked="0" layoutInCell="1" allowOverlap="1" wp14:anchorId="76FB150F" wp14:editId="1963C621">
            <wp:simplePos x="0" y="0"/>
            <wp:positionH relativeFrom="column">
              <wp:posOffset>1272540</wp:posOffset>
            </wp:positionH>
            <wp:positionV relativeFrom="paragraph">
              <wp:posOffset>5715</wp:posOffset>
            </wp:positionV>
            <wp:extent cx="2609850" cy="2447290"/>
            <wp:effectExtent l="0" t="0" r="0" b="0"/>
            <wp:wrapSquare wrapText="bothSides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44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Tabla No.</w:t>
      </w:r>
      <w:r>
        <w:rPr>
          <w:rFonts w:ascii="Times New Roman" w:hAnsi="Times New Roman" w:cs="Times New Roman"/>
          <w:b/>
          <w:sz w:val="24"/>
          <w:szCs w:val="24"/>
          <w:lang w:val="es-ES"/>
        </w:rPr>
        <w:t>32</w:t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  <w:highlight w:val="yellow"/>
          <w:lang w:eastAsia="es-PA"/>
        </w:rPr>
        <w:drawing>
          <wp:anchor distT="0" distB="0" distL="114300" distR="114300" simplePos="0" relativeHeight="251661312" behindDoc="1" locked="0" layoutInCell="1" allowOverlap="1" wp14:anchorId="23B4A633" wp14:editId="6458AD92">
            <wp:simplePos x="0" y="0"/>
            <wp:positionH relativeFrom="margin">
              <wp:posOffset>1196340</wp:posOffset>
            </wp:positionH>
            <wp:positionV relativeFrom="paragraph">
              <wp:posOffset>11430</wp:posOffset>
            </wp:positionV>
            <wp:extent cx="2847975" cy="2131695"/>
            <wp:effectExtent l="0" t="0" r="9525" b="1905"/>
            <wp:wrapTight wrapText="bothSides">
              <wp:wrapPolygon edited="0">
                <wp:start x="0" y="0"/>
                <wp:lineTo x="0" y="21426"/>
                <wp:lineTo x="21528" y="21426"/>
                <wp:lineTo x="21528" y="0"/>
                <wp:lineTo x="0" y="0"/>
              </wp:wrapPolygon>
            </wp:wrapTight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  <w:r>
        <w:rPr>
          <w:rFonts w:ascii="Arial Narrow" w:eastAsia="Arial Narrow" w:hAnsi="Arial Narrow" w:cs="Arial Narrow"/>
          <w:noProof/>
          <w:lang w:eastAsia="es-PA"/>
        </w:rPr>
        <w:drawing>
          <wp:anchor distT="0" distB="0" distL="114300" distR="114300" simplePos="0" relativeHeight="251660288" behindDoc="0" locked="0" layoutInCell="1" allowOverlap="1" wp14:anchorId="390798F9" wp14:editId="7384679D">
            <wp:simplePos x="0" y="0"/>
            <wp:positionH relativeFrom="margin">
              <wp:posOffset>1519555</wp:posOffset>
            </wp:positionH>
            <wp:positionV relativeFrom="paragraph">
              <wp:posOffset>220980</wp:posOffset>
            </wp:positionV>
            <wp:extent cx="2461260" cy="1906905"/>
            <wp:effectExtent l="0" t="0" r="0" b="0"/>
            <wp:wrapSquare wrapText="bothSides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90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6018">
        <w:rPr>
          <w:rFonts w:ascii="Times New Roman" w:hAnsi="Times New Roman" w:cs="Times New Roman"/>
          <w:b/>
          <w:sz w:val="24"/>
          <w:szCs w:val="24"/>
          <w:lang w:val="es-ES"/>
        </w:rPr>
        <w:t>Tabla No.</w:t>
      </w:r>
      <w:r>
        <w:rPr>
          <w:rFonts w:ascii="Times New Roman" w:hAnsi="Times New Roman" w:cs="Times New Roman"/>
          <w:b/>
          <w:sz w:val="24"/>
          <w:szCs w:val="24"/>
          <w:lang w:val="es-ES"/>
        </w:rPr>
        <w:t>33</w:t>
      </w: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804B68" w:rsidRDefault="00804B68" w:rsidP="00804B68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highlight w:val="yellow"/>
          <w:lang w:val="es-ES" w:eastAsia="es-ES"/>
        </w:rPr>
      </w:pPr>
    </w:p>
    <w:p w:rsidR="0055603D" w:rsidRDefault="0055603D"/>
    <w:sectPr w:rsidR="00556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DA9" w:rsidRDefault="00D23DA9" w:rsidP="00804B68">
      <w:pPr>
        <w:spacing w:after="0" w:line="240" w:lineRule="auto"/>
      </w:pPr>
      <w:r>
        <w:separator/>
      </w:r>
    </w:p>
  </w:endnote>
  <w:endnote w:type="continuationSeparator" w:id="0">
    <w:p w:rsidR="00D23DA9" w:rsidRDefault="00D23DA9" w:rsidP="00804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DA9" w:rsidRDefault="00D23DA9" w:rsidP="00804B68">
      <w:pPr>
        <w:spacing w:after="0" w:line="240" w:lineRule="auto"/>
      </w:pPr>
      <w:r>
        <w:separator/>
      </w:r>
    </w:p>
  </w:footnote>
  <w:footnote w:type="continuationSeparator" w:id="0">
    <w:p w:rsidR="00D23DA9" w:rsidRDefault="00D23DA9" w:rsidP="00804B68">
      <w:pPr>
        <w:spacing w:after="0" w:line="240" w:lineRule="auto"/>
      </w:pPr>
      <w:r>
        <w:continuationSeparator/>
      </w:r>
    </w:p>
  </w:footnote>
  <w:footnote w:id="1">
    <w:p w:rsidR="00804B68" w:rsidRPr="009572AE" w:rsidRDefault="00804B68" w:rsidP="00804B6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D259F">
        <w:rPr>
          <w:rFonts w:ascii="Times New Roman" w:hAnsi="Times New Roman" w:cs="Times New Roman"/>
          <w:sz w:val="18"/>
          <w:lang w:val="es-ES"/>
        </w:rPr>
        <w:t>Generalmente la víctima de violencia reporta ser víctima de más de un tipo de violencia, por lo que las cifras tienden a diferir del total de extranjeras.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F3C56"/>
    <w:multiLevelType w:val="hybridMultilevel"/>
    <w:tmpl w:val="C5F27750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1D0AA6"/>
    <w:multiLevelType w:val="hybridMultilevel"/>
    <w:tmpl w:val="E99C9702"/>
    <w:lvl w:ilvl="0" w:tplc="D1869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B68"/>
    <w:rsid w:val="002736E5"/>
    <w:rsid w:val="0055603D"/>
    <w:rsid w:val="00804B68"/>
    <w:rsid w:val="008729E5"/>
    <w:rsid w:val="00BF15DC"/>
    <w:rsid w:val="00D23DA9"/>
    <w:rsid w:val="00E4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D4DC2-9996-48B5-B17A-B2A9ED04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B68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804B6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4B68"/>
    <w:rPr>
      <w:sz w:val="20"/>
      <w:szCs w:val="20"/>
      <w:lang w:val="es-PA"/>
    </w:rPr>
  </w:style>
  <w:style w:type="character" w:styleId="Refdenotaalpie">
    <w:name w:val="footnote reference"/>
    <w:basedOn w:val="Fuentedeprrafopredeter"/>
    <w:uiPriority w:val="99"/>
    <w:semiHidden/>
    <w:unhideWhenUsed/>
    <w:rsid w:val="00804B68"/>
    <w:rPr>
      <w:vertAlign w:val="superscript"/>
    </w:rPr>
  </w:style>
  <w:style w:type="paragraph" w:styleId="Prrafodelista">
    <w:name w:val="List Paragraph"/>
    <w:basedOn w:val="Normal"/>
    <w:uiPriority w:val="34"/>
    <w:qFormat/>
    <w:rsid w:val="00804B68"/>
    <w:pPr>
      <w:ind w:left="720"/>
      <w:contextualSpacing/>
    </w:pPr>
  </w:style>
  <w:style w:type="table" w:styleId="Tabladecuadrcula1clara-nfasis1">
    <w:name w:val="Grid Table 1 Light Accent 1"/>
    <w:basedOn w:val="Tablanormal"/>
    <w:uiPriority w:val="46"/>
    <w:rsid w:val="00804B68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D69A00-CAB9-4EC4-93DC-5D419F67E8F2}"/>
</file>

<file path=customXml/itemProps2.xml><?xml version="1.0" encoding="utf-8"?>
<ds:datastoreItem xmlns:ds="http://schemas.openxmlformats.org/officeDocument/2006/customXml" ds:itemID="{30F94F8A-22F1-4A1F-B2DE-03F46156FF04}"/>
</file>

<file path=customXml/itemProps3.xml><?xml version="1.0" encoding="utf-8"?>
<ds:datastoreItem xmlns:ds="http://schemas.openxmlformats.org/officeDocument/2006/customXml" ds:itemID="{4F511053-4E52-4760-83EF-75D7B397C7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1131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3</cp:revision>
  <dcterms:created xsi:type="dcterms:W3CDTF">2016-09-26T21:56:00Z</dcterms:created>
  <dcterms:modified xsi:type="dcterms:W3CDTF">2016-09-27T00:25:00Z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