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B6087" w14:textId="77777777" w:rsidR="00810F44" w:rsidRDefault="00810F44">
      <w:pPr>
        <w:jc w:val="both"/>
        <w:rPr>
          <w:sz w:val="24"/>
          <w:szCs w:val="24"/>
        </w:rPr>
      </w:pPr>
    </w:p>
    <w:p w14:paraId="5692DD6E" w14:textId="77777777" w:rsidR="00810F44" w:rsidRDefault="00810F44">
      <w:pPr>
        <w:jc w:val="both"/>
        <w:rPr>
          <w:sz w:val="24"/>
          <w:szCs w:val="24"/>
        </w:rPr>
      </w:pPr>
    </w:p>
    <w:p w14:paraId="5B459C40" w14:textId="77777777" w:rsidR="00810F44" w:rsidRDefault="00810F44">
      <w:pPr>
        <w:jc w:val="both"/>
        <w:rPr>
          <w:sz w:val="24"/>
          <w:szCs w:val="24"/>
        </w:rPr>
      </w:pPr>
    </w:p>
    <w:p w14:paraId="1888348B" w14:textId="77777777" w:rsidR="00810F44" w:rsidRDefault="00810F44">
      <w:pPr>
        <w:jc w:val="both"/>
        <w:rPr>
          <w:sz w:val="28"/>
          <w:szCs w:val="28"/>
        </w:rPr>
      </w:pPr>
    </w:p>
    <w:p w14:paraId="3C54848D" w14:textId="77777777" w:rsidR="00810F44" w:rsidRDefault="004F3F02">
      <w:pPr>
        <w:jc w:val="center"/>
        <w:rPr>
          <w:sz w:val="28"/>
          <w:szCs w:val="28"/>
        </w:rPr>
      </w:pPr>
      <w:r>
        <w:rPr>
          <w:b/>
          <w:sz w:val="28"/>
          <w:szCs w:val="28"/>
        </w:rPr>
        <w:t xml:space="preserve">Situación de los derechos humanos de mujeres LBTI en Bolivia respecto a la Convención sobre la eliminación de todas las formas de discriminación contra la mujer </w:t>
      </w:r>
    </w:p>
    <w:p w14:paraId="116DD6B7" w14:textId="77777777" w:rsidR="00810F44" w:rsidRDefault="00810F44">
      <w:pPr>
        <w:jc w:val="center"/>
        <w:rPr>
          <w:sz w:val="24"/>
          <w:szCs w:val="24"/>
        </w:rPr>
      </w:pPr>
    </w:p>
    <w:p w14:paraId="3DD2D484" w14:textId="77777777" w:rsidR="00810F44" w:rsidRDefault="00810F44">
      <w:pPr>
        <w:jc w:val="center"/>
        <w:rPr>
          <w:sz w:val="24"/>
          <w:szCs w:val="24"/>
        </w:rPr>
      </w:pPr>
    </w:p>
    <w:p w14:paraId="5C2FA1F8" w14:textId="77777777" w:rsidR="00810F44" w:rsidRDefault="004F3F02">
      <w:pPr>
        <w:jc w:val="center"/>
        <w:rPr>
          <w:b/>
          <w:sz w:val="28"/>
          <w:szCs w:val="28"/>
        </w:rPr>
      </w:pPr>
      <w:r>
        <w:rPr>
          <w:b/>
          <w:sz w:val="28"/>
          <w:szCs w:val="28"/>
        </w:rPr>
        <w:t xml:space="preserve">Informe Alternativo </w:t>
      </w:r>
    </w:p>
    <w:p w14:paraId="2A659504" w14:textId="77777777" w:rsidR="00810F44" w:rsidRDefault="00810F44">
      <w:pPr>
        <w:jc w:val="center"/>
        <w:rPr>
          <w:sz w:val="24"/>
          <w:szCs w:val="24"/>
        </w:rPr>
      </w:pPr>
    </w:p>
    <w:p w14:paraId="16127FD7" w14:textId="77777777" w:rsidR="00810F44" w:rsidRDefault="004F3F02">
      <w:pPr>
        <w:jc w:val="center"/>
        <w:rPr>
          <w:b/>
          <w:sz w:val="24"/>
          <w:szCs w:val="24"/>
        </w:rPr>
      </w:pPr>
      <w:r>
        <w:rPr>
          <w:b/>
          <w:sz w:val="24"/>
          <w:szCs w:val="24"/>
        </w:rPr>
        <w:t>Comité para la eliminación de la discriminación contra la mujer - CEDAW</w:t>
      </w:r>
    </w:p>
    <w:p w14:paraId="5EBF1639" w14:textId="77777777" w:rsidR="00810F44" w:rsidRDefault="00810F44">
      <w:pPr>
        <w:spacing w:after="0" w:line="240" w:lineRule="auto"/>
        <w:jc w:val="center"/>
        <w:rPr>
          <w:sz w:val="26"/>
          <w:szCs w:val="26"/>
        </w:rPr>
      </w:pPr>
    </w:p>
    <w:p w14:paraId="63C46E9C" w14:textId="77777777" w:rsidR="00810F44" w:rsidRDefault="004F3F02">
      <w:pPr>
        <w:spacing w:after="0" w:line="240" w:lineRule="auto"/>
        <w:jc w:val="center"/>
        <w:rPr>
          <w:b/>
          <w:sz w:val="26"/>
          <w:szCs w:val="26"/>
        </w:rPr>
      </w:pPr>
      <w:r>
        <w:rPr>
          <w:b/>
          <w:sz w:val="26"/>
          <w:szCs w:val="26"/>
        </w:rPr>
        <w:t>Séptimo Examen Periódico del Estado Plurinacional de Bolivia.</w:t>
      </w:r>
    </w:p>
    <w:p w14:paraId="01D431B7" w14:textId="77777777" w:rsidR="00810F44" w:rsidRDefault="00810F44">
      <w:pPr>
        <w:spacing w:after="0" w:line="240" w:lineRule="auto"/>
        <w:jc w:val="center"/>
        <w:rPr>
          <w:sz w:val="26"/>
          <w:szCs w:val="26"/>
        </w:rPr>
      </w:pPr>
    </w:p>
    <w:p w14:paraId="4483E131" w14:textId="77777777" w:rsidR="00810F44" w:rsidRDefault="004F3F02">
      <w:pPr>
        <w:spacing w:after="0" w:line="240" w:lineRule="auto"/>
        <w:jc w:val="center"/>
        <w:rPr>
          <w:b/>
          <w:sz w:val="26"/>
          <w:szCs w:val="26"/>
        </w:rPr>
      </w:pPr>
      <w:r>
        <w:rPr>
          <w:b/>
          <w:sz w:val="26"/>
          <w:szCs w:val="26"/>
        </w:rPr>
        <w:t>82° Periodo de Sesiones</w:t>
      </w:r>
    </w:p>
    <w:p w14:paraId="1262F8FC" w14:textId="77777777" w:rsidR="00810F44" w:rsidRDefault="00810F44">
      <w:pPr>
        <w:jc w:val="both"/>
        <w:rPr>
          <w:sz w:val="24"/>
          <w:szCs w:val="24"/>
        </w:rPr>
      </w:pPr>
    </w:p>
    <w:p w14:paraId="79F6A067" w14:textId="77777777" w:rsidR="00810F44" w:rsidRDefault="00810F44">
      <w:pPr>
        <w:jc w:val="both"/>
        <w:rPr>
          <w:sz w:val="24"/>
          <w:szCs w:val="24"/>
        </w:rPr>
      </w:pPr>
    </w:p>
    <w:p w14:paraId="05748CDA" w14:textId="77777777" w:rsidR="00810F44" w:rsidRDefault="00810F44">
      <w:pPr>
        <w:jc w:val="both"/>
        <w:rPr>
          <w:sz w:val="24"/>
          <w:szCs w:val="24"/>
        </w:rPr>
      </w:pPr>
    </w:p>
    <w:p w14:paraId="634C3D5E" w14:textId="77777777" w:rsidR="00810F44" w:rsidRDefault="004F3F02">
      <w:pPr>
        <w:jc w:val="both"/>
        <w:rPr>
          <w:b/>
          <w:sz w:val="24"/>
          <w:szCs w:val="24"/>
        </w:rPr>
      </w:pPr>
      <w:r>
        <w:rPr>
          <w:b/>
          <w:sz w:val="24"/>
          <w:szCs w:val="24"/>
        </w:rPr>
        <w:t>El presente informe alternativo es presentado por:</w:t>
      </w:r>
    </w:p>
    <w:p w14:paraId="7EDB257F" w14:textId="77777777" w:rsidR="00810F44" w:rsidRDefault="004F3F02">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ONG IGUAL Bolivia</w:t>
      </w:r>
    </w:p>
    <w:p w14:paraId="383A7DFC" w14:textId="77777777" w:rsidR="00810F44" w:rsidRDefault="004F3F02">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Red de Litigantes LGBTI de las Américas</w:t>
      </w:r>
    </w:p>
    <w:p w14:paraId="37000856" w14:textId="77777777" w:rsidR="00810F44" w:rsidRDefault="004F3F02">
      <w:pPr>
        <w:numPr>
          <w:ilvl w:val="0"/>
          <w:numId w:val="4"/>
        </w:numPr>
        <w:pBdr>
          <w:top w:val="nil"/>
          <w:left w:val="nil"/>
          <w:bottom w:val="nil"/>
          <w:right w:val="nil"/>
          <w:between w:val="nil"/>
        </w:pBdr>
        <w:spacing w:after="0" w:line="240" w:lineRule="auto"/>
        <w:jc w:val="both"/>
        <w:rPr>
          <w:color w:val="000000"/>
          <w:sz w:val="24"/>
          <w:szCs w:val="24"/>
        </w:rPr>
      </w:pPr>
      <w:proofErr w:type="spellStart"/>
      <w:r>
        <w:rPr>
          <w:color w:val="000000"/>
          <w:sz w:val="24"/>
          <w:szCs w:val="24"/>
        </w:rPr>
        <w:t>Akahatá</w:t>
      </w:r>
      <w:proofErr w:type="spellEnd"/>
      <w:r>
        <w:rPr>
          <w:color w:val="000000"/>
          <w:sz w:val="24"/>
          <w:szCs w:val="24"/>
        </w:rPr>
        <w:t xml:space="preserve"> – Equipo de Trabajo en Sexualidades y Géneros</w:t>
      </w:r>
    </w:p>
    <w:p w14:paraId="174C9247" w14:textId="77777777" w:rsidR="00810F44" w:rsidRDefault="004F3F02">
      <w:pPr>
        <w:numPr>
          <w:ilvl w:val="0"/>
          <w:numId w:val="4"/>
        </w:numPr>
        <w:pBdr>
          <w:top w:val="nil"/>
          <w:left w:val="nil"/>
          <w:bottom w:val="nil"/>
          <w:right w:val="nil"/>
          <w:between w:val="nil"/>
        </w:pBdr>
        <w:spacing w:after="0" w:line="240" w:lineRule="auto"/>
        <w:jc w:val="both"/>
        <w:rPr>
          <w:color w:val="000000"/>
          <w:sz w:val="24"/>
          <w:szCs w:val="24"/>
        </w:rPr>
      </w:pPr>
      <w:proofErr w:type="spellStart"/>
      <w:r>
        <w:rPr>
          <w:color w:val="000000"/>
          <w:sz w:val="24"/>
          <w:szCs w:val="24"/>
        </w:rPr>
        <w:t>Synergía</w:t>
      </w:r>
      <w:proofErr w:type="spellEnd"/>
      <w:r>
        <w:rPr>
          <w:color w:val="000000"/>
          <w:sz w:val="24"/>
          <w:szCs w:val="24"/>
        </w:rPr>
        <w:t xml:space="preserve"> ‐ </w:t>
      </w:r>
      <w:proofErr w:type="spellStart"/>
      <w:r>
        <w:rPr>
          <w:color w:val="000000"/>
          <w:sz w:val="24"/>
          <w:szCs w:val="24"/>
        </w:rPr>
        <w:t>Initiatives</w:t>
      </w:r>
      <w:proofErr w:type="spellEnd"/>
      <w:r>
        <w:rPr>
          <w:color w:val="000000"/>
          <w:sz w:val="24"/>
          <w:szCs w:val="24"/>
        </w:rPr>
        <w:t xml:space="preserve"> </w:t>
      </w:r>
      <w:proofErr w:type="spellStart"/>
      <w:r>
        <w:rPr>
          <w:color w:val="000000"/>
          <w:sz w:val="24"/>
          <w:szCs w:val="24"/>
        </w:rPr>
        <w:t>for</w:t>
      </w:r>
      <w:proofErr w:type="spellEnd"/>
      <w:r>
        <w:rPr>
          <w:color w:val="000000"/>
          <w:sz w:val="24"/>
          <w:szCs w:val="24"/>
        </w:rPr>
        <w:t xml:space="preserve"> Human </w:t>
      </w:r>
      <w:proofErr w:type="spellStart"/>
      <w:r>
        <w:rPr>
          <w:color w:val="000000"/>
          <w:sz w:val="24"/>
          <w:szCs w:val="24"/>
        </w:rPr>
        <w:t>Rights</w:t>
      </w:r>
      <w:proofErr w:type="spellEnd"/>
      <w:r>
        <w:rPr>
          <w:color w:val="000000"/>
          <w:sz w:val="24"/>
          <w:szCs w:val="24"/>
        </w:rPr>
        <w:t xml:space="preserve"> </w:t>
      </w:r>
    </w:p>
    <w:p w14:paraId="6F9468C2" w14:textId="77777777" w:rsidR="00810F44" w:rsidRDefault="004F3F02">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SRI – Sexual </w:t>
      </w:r>
      <w:proofErr w:type="spellStart"/>
      <w:r>
        <w:rPr>
          <w:color w:val="000000"/>
          <w:sz w:val="24"/>
          <w:szCs w:val="24"/>
        </w:rPr>
        <w:t>Rights</w:t>
      </w:r>
      <w:proofErr w:type="spellEnd"/>
      <w:r>
        <w:rPr>
          <w:color w:val="000000"/>
          <w:sz w:val="24"/>
          <w:szCs w:val="24"/>
        </w:rPr>
        <w:t xml:space="preserve"> </w:t>
      </w:r>
      <w:proofErr w:type="spellStart"/>
      <w:r>
        <w:rPr>
          <w:color w:val="000000"/>
          <w:sz w:val="24"/>
          <w:szCs w:val="24"/>
        </w:rPr>
        <w:t>Initiative</w:t>
      </w:r>
      <w:proofErr w:type="spellEnd"/>
      <w:r>
        <w:rPr>
          <w:color w:val="000000"/>
          <w:sz w:val="24"/>
          <w:szCs w:val="24"/>
        </w:rPr>
        <w:t xml:space="preserve"> </w:t>
      </w:r>
    </w:p>
    <w:p w14:paraId="2B83D8CF" w14:textId="77777777" w:rsidR="00810F44" w:rsidRDefault="00810F44"/>
    <w:p w14:paraId="7C213A43" w14:textId="77777777" w:rsidR="00810F44" w:rsidRDefault="00810F44"/>
    <w:p w14:paraId="21C51DF8" w14:textId="77777777" w:rsidR="00810F44" w:rsidRDefault="00810F44"/>
    <w:p w14:paraId="221B6FDD" w14:textId="77777777" w:rsidR="00810F44" w:rsidRDefault="00810F44"/>
    <w:p w14:paraId="119F30AD" w14:textId="77777777" w:rsidR="00810F44" w:rsidRDefault="004F3F02">
      <w:pPr>
        <w:jc w:val="center"/>
        <w:rPr>
          <w:b/>
        </w:rPr>
      </w:pPr>
      <w:r>
        <w:rPr>
          <w:b/>
        </w:rPr>
        <w:t>MAYO, 2022</w:t>
      </w:r>
    </w:p>
    <w:p w14:paraId="231B29F3" w14:textId="77777777" w:rsidR="00810F44" w:rsidRDefault="00810F44"/>
    <w:p w14:paraId="64252598" w14:textId="77777777" w:rsidR="00810F44" w:rsidRDefault="004F3F02">
      <w:pPr>
        <w:jc w:val="both"/>
        <w:rPr>
          <w:b/>
          <w:sz w:val="28"/>
          <w:szCs w:val="28"/>
        </w:rPr>
      </w:pPr>
      <w:r>
        <w:rPr>
          <w:b/>
          <w:sz w:val="28"/>
          <w:szCs w:val="28"/>
        </w:rPr>
        <w:lastRenderedPageBreak/>
        <w:t xml:space="preserve">Presentación. </w:t>
      </w:r>
    </w:p>
    <w:p w14:paraId="00201BA7" w14:textId="44BD39F7" w:rsidR="00810F44" w:rsidRPr="00456E78"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La Organización No Gubernamental (ONG) IGUAL Bolivia, la Red de Litigantes LGBT de las Américas, </w:t>
      </w:r>
      <w:proofErr w:type="spellStart"/>
      <w:r>
        <w:rPr>
          <w:color w:val="000000"/>
          <w:sz w:val="24"/>
          <w:szCs w:val="24"/>
        </w:rPr>
        <w:t>Akahatá</w:t>
      </w:r>
      <w:proofErr w:type="spellEnd"/>
      <w:r>
        <w:rPr>
          <w:color w:val="000000"/>
          <w:sz w:val="24"/>
          <w:szCs w:val="24"/>
        </w:rPr>
        <w:t xml:space="preserve">, SRI – Sexual </w:t>
      </w:r>
      <w:proofErr w:type="spellStart"/>
      <w:r>
        <w:rPr>
          <w:color w:val="000000"/>
          <w:sz w:val="24"/>
          <w:szCs w:val="24"/>
        </w:rPr>
        <w:t>Rights</w:t>
      </w:r>
      <w:proofErr w:type="spellEnd"/>
      <w:r>
        <w:rPr>
          <w:color w:val="000000"/>
          <w:sz w:val="24"/>
          <w:szCs w:val="24"/>
        </w:rPr>
        <w:t xml:space="preserve"> </w:t>
      </w:r>
      <w:proofErr w:type="spellStart"/>
      <w:r>
        <w:rPr>
          <w:color w:val="000000"/>
          <w:sz w:val="24"/>
          <w:szCs w:val="24"/>
        </w:rPr>
        <w:t>Initiative</w:t>
      </w:r>
      <w:proofErr w:type="spellEnd"/>
      <w:r>
        <w:rPr>
          <w:color w:val="000000"/>
          <w:sz w:val="24"/>
          <w:szCs w:val="24"/>
        </w:rPr>
        <w:t xml:space="preserve"> y </w:t>
      </w:r>
      <w:proofErr w:type="spellStart"/>
      <w:r>
        <w:rPr>
          <w:color w:val="000000"/>
          <w:sz w:val="24"/>
          <w:szCs w:val="24"/>
        </w:rPr>
        <w:t>Synergía</w:t>
      </w:r>
      <w:proofErr w:type="spellEnd"/>
      <w:r>
        <w:rPr>
          <w:color w:val="000000"/>
          <w:sz w:val="24"/>
          <w:szCs w:val="24"/>
        </w:rPr>
        <w:t xml:space="preserve"> – </w:t>
      </w:r>
      <w:proofErr w:type="spellStart"/>
      <w:r>
        <w:rPr>
          <w:color w:val="000000"/>
          <w:sz w:val="24"/>
          <w:szCs w:val="24"/>
        </w:rPr>
        <w:t>Initiatives</w:t>
      </w:r>
      <w:proofErr w:type="spellEnd"/>
      <w:r>
        <w:rPr>
          <w:color w:val="000000"/>
          <w:sz w:val="24"/>
          <w:szCs w:val="24"/>
        </w:rPr>
        <w:t xml:space="preserve"> </w:t>
      </w:r>
      <w:proofErr w:type="spellStart"/>
      <w:r>
        <w:rPr>
          <w:color w:val="000000"/>
          <w:sz w:val="24"/>
          <w:szCs w:val="24"/>
        </w:rPr>
        <w:t>for</w:t>
      </w:r>
      <w:proofErr w:type="spellEnd"/>
      <w:r>
        <w:rPr>
          <w:color w:val="000000"/>
          <w:sz w:val="24"/>
          <w:szCs w:val="24"/>
        </w:rPr>
        <w:t xml:space="preserve"> Human </w:t>
      </w:r>
      <w:proofErr w:type="spellStart"/>
      <w:r>
        <w:rPr>
          <w:color w:val="000000"/>
          <w:sz w:val="24"/>
          <w:szCs w:val="24"/>
        </w:rPr>
        <w:t>Rights</w:t>
      </w:r>
      <w:proofErr w:type="spellEnd"/>
      <w:r>
        <w:rPr>
          <w:color w:val="000000"/>
          <w:sz w:val="24"/>
          <w:szCs w:val="24"/>
        </w:rPr>
        <w:t xml:space="preserve">, han realizado el presente informe alternativo con el objeto de brindar información relacionada con la situación de los derechos humanos de las mujeres LBTI en el Estado Plurinacional de Bolivia para dar seguimiento al cumplimiento de la Convención sobre la eliminación de todas las formas de discriminación contra la mujer. </w:t>
      </w:r>
    </w:p>
    <w:p w14:paraId="2A658E3A" w14:textId="77777777" w:rsidR="00456E78" w:rsidRDefault="00456E78" w:rsidP="00456E78">
      <w:pPr>
        <w:pBdr>
          <w:top w:val="nil"/>
          <w:left w:val="nil"/>
          <w:bottom w:val="nil"/>
          <w:right w:val="nil"/>
          <w:between w:val="nil"/>
        </w:pBdr>
        <w:spacing w:after="0" w:line="240" w:lineRule="auto"/>
        <w:ind w:left="720"/>
        <w:jc w:val="both"/>
        <w:rPr>
          <w:color w:val="000000"/>
        </w:rPr>
      </w:pPr>
    </w:p>
    <w:p w14:paraId="6AD18A91" w14:textId="77777777"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La referida Convención ha sido ratificada por el Estado Plurinacional de Bolivia el 8 de junio de 1990. A su vez, Bolivia ha ratificado el Protocolo Facultativo de dicha Convención el 27 de septiembre del año 2000, otorgando así al Comité la facultad de recibir comunicaciones.</w:t>
      </w:r>
    </w:p>
    <w:p w14:paraId="03BDBFA9" w14:textId="77777777" w:rsidR="00810F44" w:rsidRDefault="00810F44">
      <w:pPr>
        <w:jc w:val="both"/>
        <w:rPr>
          <w:b/>
          <w:sz w:val="28"/>
          <w:szCs w:val="28"/>
        </w:rPr>
      </w:pPr>
    </w:p>
    <w:p w14:paraId="216E7650" w14:textId="77777777" w:rsidR="00810F44" w:rsidRDefault="004F3F02">
      <w:pPr>
        <w:jc w:val="both"/>
        <w:rPr>
          <w:b/>
          <w:sz w:val="28"/>
          <w:szCs w:val="28"/>
        </w:rPr>
      </w:pPr>
      <w:r>
        <w:rPr>
          <w:b/>
          <w:sz w:val="28"/>
          <w:szCs w:val="28"/>
        </w:rPr>
        <w:t xml:space="preserve">Contexto Nacional y Derechos Humanos </w:t>
      </w:r>
    </w:p>
    <w:p w14:paraId="25BD8C38" w14:textId="5CE598A9"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El Estado Plurinacional de Bolivia ha incluido en la Constitución Política del Estado de 2009, la prohibición de discriminación basada en orientación sexual e identidad de género</w:t>
      </w:r>
      <w:r>
        <w:rPr>
          <w:color w:val="000000"/>
          <w:sz w:val="24"/>
          <w:szCs w:val="24"/>
          <w:vertAlign w:val="superscript"/>
        </w:rPr>
        <w:footnoteReference w:id="1"/>
      </w:r>
      <w:r>
        <w:rPr>
          <w:color w:val="000000"/>
          <w:sz w:val="24"/>
          <w:szCs w:val="24"/>
        </w:rPr>
        <w:t xml:space="preserve">.   </w:t>
      </w:r>
    </w:p>
    <w:p w14:paraId="73B8F9D0" w14:textId="77777777" w:rsidR="00810F44" w:rsidRDefault="00810F44">
      <w:pPr>
        <w:pBdr>
          <w:top w:val="nil"/>
          <w:left w:val="nil"/>
          <w:bottom w:val="nil"/>
          <w:right w:val="nil"/>
          <w:between w:val="nil"/>
        </w:pBdr>
        <w:spacing w:after="0" w:line="240" w:lineRule="auto"/>
        <w:ind w:left="720"/>
        <w:jc w:val="both"/>
        <w:rPr>
          <w:color w:val="000000"/>
          <w:sz w:val="24"/>
          <w:szCs w:val="24"/>
        </w:rPr>
      </w:pPr>
    </w:p>
    <w:p w14:paraId="37BD1E29" w14:textId="5F5B6C32" w:rsidR="00810F44" w:rsidRPr="00BB147E" w:rsidRDefault="004F3F02" w:rsidP="00BB147E">
      <w:pPr>
        <w:numPr>
          <w:ilvl w:val="0"/>
          <w:numId w:val="1"/>
        </w:numPr>
        <w:pBdr>
          <w:top w:val="nil"/>
          <w:left w:val="nil"/>
          <w:bottom w:val="nil"/>
          <w:right w:val="nil"/>
          <w:between w:val="nil"/>
        </w:pBdr>
        <w:spacing w:after="0" w:line="240" w:lineRule="auto"/>
        <w:jc w:val="both"/>
        <w:rPr>
          <w:color w:val="000000"/>
          <w:sz w:val="24"/>
          <w:szCs w:val="24"/>
        </w:rPr>
      </w:pPr>
      <w:r w:rsidRPr="00BB147E">
        <w:rPr>
          <w:color w:val="000000"/>
          <w:sz w:val="24"/>
          <w:szCs w:val="24"/>
        </w:rPr>
        <w:t xml:space="preserve">Asimismo, se ha incluido el principio de no discriminación por orientación sexual e identidad de género en al menos 30 normas nacionales y municipales, incluida la Ley </w:t>
      </w:r>
      <w:proofErr w:type="spellStart"/>
      <w:r w:rsidRPr="00BB147E">
        <w:rPr>
          <w:color w:val="000000"/>
          <w:sz w:val="24"/>
          <w:szCs w:val="24"/>
        </w:rPr>
        <w:t>N°</w:t>
      </w:r>
      <w:proofErr w:type="spellEnd"/>
      <w:r w:rsidRPr="00BB147E">
        <w:rPr>
          <w:color w:val="000000"/>
          <w:sz w:val="24"/>
          <w:szCs w:val="24"/>
        </w:rPr>
        <w:t xml:space="preserve"> 045 Contra el Racismo y Toda Forma de Discriminación, así como los conceptos de homofobia y transfobia. Sin embargo, en la práctica, no se advierte ninguna sentencia judicial por discriminación cometida contra mujeres LBTI, a pesar de las denuncias realizadas desde la promulgación de la norma. Además, las medidas afirmativas impulsadas por el Estado, en torno a la situación de las mujeres, no toman en cuenta a las mujeres lesbianas, bisexuales y trans.</w:t>
      </w:r>
    </w:p>
    <w:p w14:paraId="515297F9" w14:textId="77777777" w:rsidR="00BB147E" w:rsidRPr="00BB147E" w:rsidRDefault="00BB147E" w:rsidP="00BB147E">
      <w:pPr>
        <w:pBdr>
          <w:top w:val="nil"/>
          <w:left w:val="nil"/>
          <w:bottom w:val="nil"/>
          <w:right w:val="nil"/>
          <w:between w:val="nil"/>
        </w:pBdr>
        <w:spacing w:after="0" w:line="240" w:lineRule="auto"/>
        <w:jc w:val="both"/>
        <w:rPr>
          <w:color w:val="000000"/>
          <w:sz w:val="24"/>
          <w:szCs w:val="24"/>
        </w:rPr>
      </w:pPr>
    </w:p>
    <w:p w14:paraId="6D3ADEA9" w14:textId="4DF9A131"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A pesar de la existencia de normas favorables, las mujeres LBT (lesbianas, bisexuales y trans) en Bolivia continúan siendo víctimas de discriminación y violencia, de restricciones a sus derechos humanos vacíos normativos; por lo que, los principios de igualdad ante la ley, equidad, igualdad, pluralidad y no discriminación que se establecen en el sistema jurídico boliviano, son solo una declaración de intenciones y no una realidad. </w:t>
      </w:r>
    </w:p>
    <w:p w14:paraId="067CFC73" w14:textId="77777777" w:rsidR="00810F44" w:rsidRDefault="00810F44">
      <w:pPr>
        <w:ind w:left="360"/>
      </w:pPr>
    </w:p>
    <w:p w14:paraId="03ED6F6B" w14:textId="77777777" w:rsidR="00810F44" w:rsidRDefault="004F3F02">
      <w:pPr>
        <w:jc w:val="both"/>
        <w:rPr>
          <w:b/>
          <w:sz w:val="28"/>
          <w:szCs w:val="28"/>
        </w:rPr>
      </w:pPr>
      <w:r>
        <w:rPr>
          <w:b/>
          <w:sz w:val="28"/>
          <w:szCs w:val="28"/>
        </w:rPr>
        <w:lastRenderedPageBreak/>
        <w:t xml:space="preserve">Artículo 7. Participación política </w:t>
      </w:r>
    </w:p>
    <w:p w14:paraId="46D812B8" w14:textId="77777777"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Según la jurisprudencia emitida por el Tribunal Constitucional Plurinacional de Bolivia (Sentencia Constitucional 0076/2017 y el Auto Constitucional 0028/2017) a la fecha las mujeres trans no pueden ser elegibles en procesos electorales pues su identidad de género afectaría, según este Tribunal, los derechos políticos de mujeres cisgénero, restringiendo su representatividad. </w:t>
      </w:r>
    </w:p>
    <w:p w14:paraId="6A52F52F" w14:textId="77777777" w:rsidR="00810F44" w:rsidRDefault="00810F44">
      <w:pPr>
        <w:pBdr>
          <w:top w:val="nil"/>
          <w:left w:val="nil"/>
          <w:bottom w:val="nil"/>
          <w:right w:val="nil"/>
          <w:between w:val="nil"/>
        </w:pBdr>
        <w:spacing w:after="0" w:line="240" w:lineRule="auto"/>
        <w:ind w:left="720"/>
        <w:jc w:val="both"/>
        <w:rPr>
          <w:color w:val="000000"/>
          <w:sz w:val="24"/>
          <w:szCs w:val="24"/>
        </w:rPr>
      </w:pPr>
    </w:p>
    <w:p w14:paraId="0B94EBD6" w14:textId="77777777" w:rsidR="00810F44" w:rsidRDefault="004F3F02">
      <w:pPr>
        <w:jc w:val="both"/>
        <w:rPr>
          <w:b/>
          <w:sz w:val="24"/>
          <w:szCs w:val="24"/>
        </w:rPr>
      </w:pPr>
      <w:r>
        <w:rPr>
          <w:b/>
          <w:sz w:val="26"/>
          <w:szCs w:val="26"/>
        </w:rPr>
        <w:t>Recomendaciones:</w:t>
      </w:r>
    </w:p>
    <w:p w14:paraId="6B282976" w14:textId="76CD4B7C" w:rsidR="00810F44" w:rsidRPr="007F43D6" w:rsidRDefault="004F3F02" w:rsidP="007F43D6">
      <w:pPr>
        <w:pStyle w:val="Prrafodelista"/>
        <w:numPr>
          <w:ilvl w:val="0"/>
          <w:numId w:val="1"/>
        </w:numPr>
        <w:pBdr>
          <w:top w:val="nil"/>
          <w:left w:val="nil"/>
          <w:bottom w:val="nil"/>
          <w:right w:val="nil"/>
          <w:between w:val="nil"/>
        </w:pBdr>
        <w:spacing w:after="0" w:line="240" w:lineRule="auto"/>
        <w:jc w:val="both"/>
        <w:rPr>
          <w:color w:val="000000"/>
          <w:sz w:val="24"/>
          <w:szCs w:val="24"/>
          <w:highlight w:val="white"/>
        </w:rPr>
      </w:pPr>
      <w:r w:rsidRPr="007F43D6">
        <w:rPr>
          <w:color w:val="000000"/>
          <w:sz w:val="24"/>
          <w:szCs w:val="24"/>
          <w:highlight w:val="white"/>
        </w:rPr>
        <w:t>Incluir en las normas electorales, modificaciones o aclaraciones que garanticen la participación política de mujeres trans como elegibles en procesos electorales.</w:t>
      </w:r>
    </w:p>
    <w:p w14:paraId="601F4930" w14:textId="4A676F8A" w:rsidR="00810F44" w:rsidRPr="00AB3731" w:rsidRDefault="004F3F02" w:rsidP="00AB3731">
      <w:pPr>
        <w:numPr>
          <w:ilvl w:val="0"/>
          <w:numId w:val="1"/>
        </w:numPr>
        <w:pBdr>
          <w:top w:val="nil"/>
          <w:left w:val="nil"/>
          <w:bottom w:val="nil"/>
          <w:right w:val="nil"/>
          <w:between w:val="nil"/>
        </w:pBdr>
        <w:spacing w:after="0" w:line="240" w:lineRule="auto"/>
        <w:jc w:val="both"/>
        <w:rPr>
          <w:b/>
          <w:sz w:val="28"/>
          <w:szCs w:val="28"/>
        </w:rPr>
      </w:pPr>
      <w:r w:rsidRPr="00AB3731">
        <w:rPr>
          <w:color w:val="000000"/>
          <w:sz w:val="24"/>
          <w:szCs w:val="24"/>
          <w:highlight w:val="white"/>
        </w:rPr>
        <w:t xml:space="preserve">Que el Ministerio de Defensa de cumplimiento a la Ley </w:t>
      </w:r>
      <w:proofErr w:type="spellStart"/>
      <w:r w:rsidRPr="00AB3731">
        <w:rPr>
          <w:color w:val="000000"/>
          <w:sz w:val="24"/>
          <w:szCs w:val="24"/>
          <w:highlight w:val="white"/>
        </w:rPr>
        <w:t>N°</w:t>
      </w:r>
      <w:proofErr w:type="spellEnd"/>
      <w:r w:rsidRPr="00AB3731">
        <w:rPr>
          <w:color w:val="000000"/>
          <w:sz w:val="24"/>
          <w:szCs w:val="24"/>
          <w:highlight w:val="white"/>
        </w:rPr>
        <w:t xml:space="preserve"> 807</w:t>
      </w:r>
      <w:r w:rsidR="007F6CD4" w:rsidRPr="00AB3731">
        <w:rPr>
          <w:color w:val="000000"/>
          <w:sz w:val="24"/>
          <w:szCs w:val="24"/>
          <w:highlight w:val="white"/>
        </w:rPr>
        <w:t>, Ley de Identidad de Género,</w:t>
      </w:r>
      <w:r w:rsidR="00AB3731">
        <w:rPr>
          <w:color w:val="000000"/>
          <w:sz w:val="24"/>
          <w:szCs w:val="24"/>
          <w:highlight w:val="white"/>
        </w:rPr>
        <w:t xml:space="preserve"> y</w:t>
      </w:r>
      <w:r w:rsidRPr="00AB3731">
        <w:rPr>
          <w:color w:val="000000"/>
          <w:sz w:val="24"/>
          <w:szCs w:val="24"/>
          <w:highlight w:val="white"/>
        </w:rPr>
        <w:t xml:space="preserve"> prevea un reglamento para que mujeres </w:t>
      </w:r>
      <w:r w:rsidR="00AB3731">
        <w:rPr>
          <w:color w:val="000000"/>
          <w:sz w:val="24"/>
          <w:szCs w:val="24"/>
          <w:highlight w:val="white"/>
        </w:rPr>
        <w:t>y</w:t>
      </w:r>
      <w:r w:rsidRPr="00AB3731">
        <w:rPr>
          <w:color w:val="000000"/>
          <w:sz w:val="24"/>
          <w:szCs w:val="24"/>
          <w:highlight w:val="white"/>
        </w:rPr>
        <w:t xml:space="preserve"> hombres trans puedan tramitar o modificar sus libretas de servicio militar</w:t>
      </w:r>
      <w:r w:rsidR="00AB3731">
        <w:rPr>
          <w:color w:val="000000"/>
          <w:sz w:val="24"/>
          <w:szCs w:val="24"/>
          <w:highlight w:val="white"/>
        </w:rPr>
        <w:t>;</w:t>
      </w:r>
      <w:r w:rsidR="007F6CD4" w:rsidRPr="00AB3731">
        <w:rPr>
          <w:color w:val="000000"/>
          <w:sz w:val="24"/>
          <w:szCs w:val="24"/>
          <w:highlight w:val="white"/>
        </w:rPr>
        <w:t xml:space="preserve"> </w:t>
      </w:r>
      <w:r w:rsidR="00AB3731">
        <w:rPr>
          <w:color w:val="000000"/>
          <w:sz w:val="24"/>
          <w:szCs w:val="24"/>
          <w:highlight w:val="white"/>
        </w:rPr>
        <w:t>debido a</w:t>
      </w:r>
      <w:r w:rsidR="00194F5C" w:rsidRPr="00AB3731">
        <w:rPr>
          <w:color w:val="000000"/>
          <w:sz w:val="24"/>
          <w:szCs w:val="24"/>
          <w:highlight w:val="white"/>
        </w:rPr>
        <w:t xml:space="preserve"> que es un documento que permite </w:t>
      </w:r>
      <w:r w:rsidR="00AB3731">
        <w:rPr>
          <w:color w:val="000000"/>
          <w:sz w:val="24"/>
          <w:szCs w:val="24"/>
          <w:highlight w:val="white"/>
        </w:rPr>
        <w:t>desempeñar</w:t>
      </w:r>
      <w:r w:rsidR="00194F5C" w:rsidRPr="00AB3731">
        <w:rPr>
          <w:color w:val="000000"/>
          <w:sz w:val="24"/>
          <w:szCs w:val="24"/>
          <w:highlight w:val="white"/>
        </w:rPr>
        <w:t xml:space="preserve"> funciones públicas</w:t>
      </w:r>
      <w:r w:rsidR="00AB3731">
        <w:rPr>
          <w:color w:val="000000"/>
          <w:sz w:val="24"/>
          <w:szCs w:val="24"/>
          <w:highlight w:val="white"/>
        </w:rPr>
        <w:t>,</w:t>
      </w:r>
      <w:r w:rsidR="00194F5C" w:rsidRPr="00AB3731">
        <w:rPr>
          <w:color w:val="000000"/>
          <w:sz w:val="24"/>
          <w:szCs w:val="24"/>
          <w:highlight w:val="white"/>
        </w:rPr>
        <w:t xml:space="preserve"> </w:t>
      </w:r>
      <w:r w:rsidR="00AB3731" w:rsidRPr="00AB3731">
        <w:rPr>
          <w:color w:val="000000"/>
          <w:sz w:val="24"/>
          <w:szCs w:val="24"/>
          <w:highlight w:val="white"/>
        </w:rPr>
        <w:t>pues</w:t>
      </w:r>
      <w:r w:rsidR="00AB3731">
        <w:rPr>
          <w:color w:val="000000"/>
          <w:sz w:val="24"/>
          <w:szCs w:val="24"/>
          <w:highlight w:val="white"/>
        </w:rPr>
        <w:t xml:space="preserve"> </w:t>
      </w:r>
      <w:r w:rsidR="00AB3731" w:rsidRPr="00AB3731">
        <w:rPr>
          <w:color w:val="000000"/>
          <w:sz w:val="24"/>
          <w:szCs w:val="24"/>
          <w:highlight w:val="white"/>
        </w:rPr>
        <w:t xml:space="preserve">el artículo 234 de la Constitución Política exige a las personas </w:t>
      </w:r>
      <w:r w:rsidR="00194F5C" w:rsidRPr="00AB3731">
        <w:rPr>
          <w:color w:val="000000"/>
          <w:sz w:val="24"/>
          <w:szCs w:val="24"/>
          <w:highlight w:val="white"/>
        </w:rPr>
        <w:t>"haber cumplido con los deberes militares”</w:t>
      </w:r>
      <w:r w:rsidR="00AB3731" w:rsidRPr="00AB3731">
        <w:rPr>
          <w:color w:val="000000"/>
          <w:sz w:val="24"/>
          <w:szCs w:val="24"/>
          <w:highlight w:val="white"/>
        </w:rPr>
        <w:t xml:space="preserve"> y estar inscritas</w:t>
      </w:r>
      <w:r w:rsidR="007F6CD4" w:rsidRPr="00AB3731">
        <w:rPr>
          <w:color w:val="000000"/>
          <w:sz w:val="24"/>
          <w:szCs w:val="24"/>
          <w:highlight w:val="white"/>
        </w:rPr>
        <w:t xml:space="preserve"> en</w:t>
      </w:r>
      <w:r w:rsidR="007F6CD4" w:rsidRPr="00AB3731">
        <w:rPr>
          <w:color w:val="000000"/>
          <w:sz w:val="24"/>
          <w:szCs w:val="24"/>
          <w:highlight w:val="white"/>
        </w:rPr>
        <w:t xml:space="preserve"> </w:t>
      </w:r>
      <w:r w:rsidR="007F6CD4" w:rsidRPr="00AB3731">
        <w:rPr>
          <w:color w:val="000000"/>
          <w:sz w:val="24"/>
          <w:szCs w:val="24"/>
          <w:highlight w:val="white"/>
        </w:rPr>
        <w:t>e</w:t>
      </w:r>
      <w:r w:rsidR="007F6CD4" w:rsidRPr="00AB3731">
        <w:rPr>
          <w:color w:val="000000"/>
          <w:sz w:val="24"/>
          <w:szCs w:val="24"/>
          <w:highlight w:val="white"/>
        </w:rPr>
        <w:t>l padrón electoral</w:t>
      </w:r>
      <w:r w:rsidR="00AB3731">
        <w:rPr>
          <w:color w:val="000000"/>
          <w:sz w:val="24"/>
          <w:szCs w:val="24"/>
        </w:rPr>
        <w:t>.</w:t>
      </w:r>
    </w:p>
    <w:p w14:paraId="17B265CB" w14:textId="77777777" w:rsidR="00AB3731" w:rsidRPr="00AB3731" w:rsidRDefault="00AB3731" w:rsidP="00AB3731">
      <w:pPr>
        <w:pBdr>
          <w:top w:val="nil"/>
          <w:left w:val="nil"/>
          <w:bottom w:val="nil"/>
          <w:right w:val="nil"/>
          <w:between w:val="nil"/>
        </w:pBdr>
        <w:spacing w:after="0" w:line="240" w:lineRule="auto"/>
        <w:ind w:left="720"/>
        <w:jc w:val="both"/>
        <w:rPr>
          <w:b/>
          <w:sz w:val="28"/>
          <w:szCs w:val="28"/>
        </w:rPr>
      </w:pPr>
    </w:p>
    <w:p w14:paraId="2B479EF7" w14:textId="77777777" w:rsidR="00810F44" w:rsidRDefault="004F3F02">
      <w:pPr>
        <w:jc w:val="both"/>
        <w:rPr>
          <w:b/>
          <w:sz w:val="28"/>
          <w:szCs w:val="28"/>
        </w:rPr>
      </w:pPr>
      <w:r>
        <w:rPr>
          <w:b/>
          <w:sz w:val="28"/>
          <w:szCs w:val="28"/>
        </w:rPr>
        <w:t xml:space="preserve">Artículo 10. Derecho a la educación </w:t>
      </w:r>
    </w:p>
    <w:p w14:paraId="75AA2C1D" w14:textId="77777777"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Pese a los compromisos y reformas legislativas impulsadas por el Estado boliviano, no existen avances efectivos en la reforma educativa en cuanto a sus contenidos y a la réplica de estereotipos vinculados a los roles de género tradicionalmente asignados a mujeres y hombres. Esto incluye la inexistencia de un enfoque de educación integral en sexualidad que aborde temáticas referidas a discriminación contra mujeres LBT y sus derechos fundamentales. </w:t>
      </w:r>
    </w:p>
    <w:p w14:paraId="1C6B5231" w14:textId="77777777" w:rsidR="00810F44" w:rsidRDefault="00810F44">
      <w:pPr>
        <w:pBdr>
          <w:top w:val="nil"/>
          <w:left w:val="nil"/>
          <w:bottom w:val="nil"/>
          <w:right w:val="nil"/>
          <w:between w:val="nil"/>
        </w:pBdr>
        <w:spacing w:after="0" w:line="240" w:lineRule="auto"/>
        <w:ind w:left="720"/>
        <w:jc w:val="both"/>
        <w:rPr>
          <w:b/>
          <w:color w:val="000000"/>
          <w:sz w:val="24"/>
          <w:szCs w:val="24"/>
        </w:rPr>
      </w:pPr>
    </w:p>
    <w:p w14:paraId="5C3CECCD" w14:textId="77777777"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Asimismo, debido a lo establecido en la Sentencia Constitucional 0076/2017 y el Auto Constitucional 0028/2017, se ha restringido la posibilidad de que mujeres trans participen en competiciones deportivas, sobre todo las de carácter profesional, imponiendo la obligación de que las mismas informen su condición en cuanto a eventos deportivos y otros que tengan como base la diferencia de sexo anatómico. No existe lineamiento alguno o iniciativa de parte de las instancias correspondientes para fijar los parámetros adecuados y garantizar a las mujeres trans su participación en competiciones deportivas. </w:t>
      </w:r>
    </w:p>
    <w:p w14:paraId="28556DDC" w14:textId="77777777" w:rsidR="00810F44" w:rsidRDefault="00810F44">
      <w:pPr>
        <w:jc w:val="both"/>
        <w:rPr>
          <w:b/>
        </w:rPr>
      </w:pPr>
    </w:p>
    <w:p w14:paraId="70644E49" w14:textId="77777777" w:rsidR="00810F44" w:rsidRDefault="004F3F02">
      <w:pPr>
        <w:ind w:left="709" w:hanging="425"/>
        <w:jc w:val="both"/>
        <w:rPr>
          <w:b/>
          <w:sz w:val="26"/>
          <w:szCs w:val="26"/>
        </w:rPr>
      </w:pPr>
      <w:r>
        <w:rPr>
          <w:b/>
          <w:sz w:val="26"/>
          <w:szCs w:val="26"/>
        </w:rPr>
        <w:t>Recomendación:</w:t>
      </w:r>
    </w:p>
    <w:p w14:paraId="7BB640EB" w14:textId="150E0437" w:rsidR="00F43B4D" w:rsidRDefault="00F43B4D" w:rsidP="007F43D6">
      <w:pPr>
        <w:pStyle w:val="Prrafodelista"/>
        <w:numPr>
          <w:ilvl w:val="0"/>
          <w:numId w:val="1"/>
        </w:numPr>
        <w:pBdr>
          <w:top w:val="nil"/>
          <w:left w:val="nil"/>
          <w:bottom w:val="nil"/>
          <w:right w:val="nil"/>
          <w:between w:val="nil"/>
        </w:pBdr>
        <w:spacing w:after="0" w:line="240" w:lineRule="auto"/>
        <w:jc w:val="both"/>
        <w:rPr>
          <w:bCs/>
          <w:color w:val="000000"/>
          <w:sz w:val="24"/>
          <w:szCs w:val="24"/>
        </w:rPr>
      </w:pPr>
      <w:r w:rsidRPr="00F43B4D">
        <w:rPr>
          <w:bCs/>
          <w:color w:val="000000"/>
          <w:sz w:val="24"/>
          <w:szCs w:val="24"/>
        </w:rPr>
        <w:t xml:space="preserve">El Estado deberá adoptar la normativa y políticas públicas necesarias para garantizar una educación libre de estereotipos de género, </w:t>
      </w:r>
      <w:r w:rsidR="00FC2ABD">
        <w:rPr>
          <w:bCs/>
          <w:color w:val="000000"/>
          <w:sz w:val="24"/>
          <w:szCs w:val="24"/>
        </w:rPr>
        <w:t xml:space="preserve">así como diseñar e implementar estrategias para </w:t>
      </w:r>
      <w:r w:rsidRPr="00F43B4D">
        <w:rPr>
          <w:bCs/>
          <w:color w:val="000000"/>
          <w:sz w:val="24"/>
          <w:szCs w:val="24"/>
        </w:rPr>
        <w:t xml:space="preserve">el acceso a la educación sexual integral </w:t>
      </w:r>
      <w:r w:rsidR="00FC2ABD">
        <w:rPr>
          <w:bCs/>
          <w:color w:val="000000"/>
          <w:sz w:val="24"/>
          <w:szCs w:val="24"/>
        </w:rPr>
        <w:t>en las escuelas, desde una perspectiva</w:t>
      </w:r>
      <w:r w:rsidRPr="00F43B4D">
        <w:rPr>
          <w:bCs/>
          <w:color w:val="000000"/>
          <w:sz w:val="24"/>
          <w:szCs w:val="24"/>
        </w:rPr>
        <w:t xml:space="preserve"> de género e interculturalidad</w:t>
      </w:r>
      <w:r w:rsidR="00FC2ABD">
        <w:rPr>
          <w:bCs/>
          <w:color w:val="000000"/>
          <w:sz w:val="24"/>
          <w:szCs w:val="24"/>
        </w:rPr>
        <w:t>.</w:t>
      </w:r>
    </w:p>
    <w:p w14:paraId="55C46DD9" w14:textId="77777777" w:rsidR="00456E78" w:rsidRPr="00F43B4D" w:rsidRDefault="00456E78" w:rsidP="00456E78">
      <w:pPr>
        <w:pStyle w:val="Prrafodelista"/>
        <w:pBdr>
          <w:top w:val="nil"/>
          <w:left w:val="nil"/>
          <w:bottom w:val="nil"/>
          <w:right w:val="nil"/>
          <w:between w:val="nil"/>
        </w:pBdr>
        <w:spacing w:after="0" w:line="240" w:lineRule="auto"/>
        <w:jc w:val="both"/>
        <w:rPr>
          <w:bCs/>
          <w:color w:val="000000"/>
          <w:sz w:val="24"/>
          <w:szCs w:val="24"/>
        </w:rPr>
      </w:pPr>
    </w:p>
    <w:p w14:paraId="531C3DA8" w14:textId="4B75A7E1" w:rsidR="00810F44" w:rsidRPr="007F43D6" w:rsidRDefault="004F3F02" w:rsidP="007F43D6">
      <w:pPr>
        <w:pStyle w:val="Prrafodelista"/>
        <w:numPr>
          <w:ilvl w:val="0"/>
          <w:numId w:val="1"/>
        </w:numPr>
        <w:pBdr>
          <w:top w:val="nil"/>
          <w:left w:val="nil"/>
          <w:bottom w:val="nil"/>
          <w:right w:val="nil"/>
          <w:between w:val="nil"/>
        </w:pBdr>
        <w:spacing w:after="0" w:line="240" w:lineRule="auto"/>
        <w:jc w:val="both"/>
        <w:rPr>
          <w:b/>
          <w:color w:val="000000"/>
          <w:sz w:val="26"/>
          <w:szCs w:val="26"/>
        </w:rPr>
      </w:pPr>
      <w:r w:rsidRPr="00F43B4D">
        <w:rPr>
          <w:color w:val="000000"/>
          <w:sz w:val="24"/>
          <w:szCs w:val="24"/>
          <w:highlight w:val="white"/>
        </w:rPr>
        <w:lastRenderedPageBreak/>
        <w:t>Anular la SCP 0076/2017</w:t>
      </w:r>
      <w:r w:rsidRPr="007F43D6">
        <w:rPr>
          <w:color w:val="000000"/>
          <w:sz w:val="24"/>
          <w:szCs w:val="24"/>
          <w:highlight w:val="white"/>
        </w:rPr>
        <w:t xml:space="preserve"> y Auto Constitucional 0028/2017 con base en los pactos y tratados internacionales de Derechos Humanos por ser contrarios a estos, o en su defecto, promulgar a la brevedad posible, normas que garanticen la participación de personas trans en actividades deportivas</w:t>
      </w:r>
      <w:r w:rsidR="007F43D6">
        <w:rPr>
          <w:color w:val="000000"/>
          <w:sz w:val="24"/>
          <w:szCs w:val="24"/>
        </w:rPr>
        <w:t>.</w:t>
      </w:r>
    </w:p>
    <w:p w14:paraId="7D7628AC" w14:textId="77777777" w:rsidR="00810F44" w:rsidRDefault="00810F44">
      <w:pPr>
        <w:jc w:val="both"/>
        <w:rPr>
          <w:b/>
          <w:sz w:val="26"/>
          <w:szCs w:val="26"/>
        </w:rPr>
      </w:pPr>
    </w:p>
    <w:p w14:paraId="39035C19" w14:textId="77777777" w:rsidR="00810F44" w:rsidRDefault="004F3F02">
      <w:pPr>
        <w:jc w:val="both"/>
        <w:rPr>
          <w:b/>
          <w:sz w:val="28"/>
          <w:szCs w:val="28"/>
        </w:rPr>
      </w:pPr>
      <w:r>
        <w:rPr>
          <w:b/>
          <w:sz w:val="28"/>
          <w:szCs w:val="28"/>
        </w:rPr>
        <w:t>Artículo 11. Derecho al trabajo</w:t>
      </w:r>
    </w:p>
    <w:p w14:paraId="50F1109C" w14:textId="77777777"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Pese al reconocimiento del trabajo como un derecho fundamental en la normativa nacional, la situación de mujeres trans es absolutamente precaria. La mayoría de mujeres trans aún se dedican al trabajo sexual como única forma de subsistencia, aspecto que durante la fase crítica de la pandemia por COVID-19 significó que muchas queden en aún mayor desprotección de parte del Estado. Sin embargo, los planes y acciones gubernamentales de respuesta a la pandemia no consideran a mujeres trans, lesbianas o bisexuales; sobre todo aquellas expuestas a mayor riesgo como son adultas mayores o con discapacidad. </w:t>
      </w:r>
    </w:p>
    <w:p w14:paraId="4B170F3B" w14:textId="77777777" w:rsidR="00810F44" w:rsidRDefault="00810F44">
      <w:pPr>
        <w:pBdr>
          <w:top w:val="nil"/>
          <w:left w:val="nil"/>
          <w:bottom w:val="nil"/>
          <w:right w:val="nil"/>
          <w:between w:val="nil"/>
        </w:pBdr>
        <w:spacing w:after="0" w:line="240" w:lineRule="auto"/>
        <w:ind w:left="720"/>
        <w:jc w:val="both"/>
        <w:rPr>
          <w:b/>
          <w:color w:val="000000"/>
          <w:sz w:val="24"/>
          <w:szCs w:val="24"/>
        </w:rPr>
      </w:pPr>
    </w:p>
    <w:p w14:paraId="4EB02D1D" w14:textId="31CF88F4" w:rsidR="00810F44" w:rsidRDefault="004F3F02">
      <w:pPr>
        <w:numPr>
          <w:ilvl w:val="0"/>
          <w:numId w:val="1"/>
        </w:numPr>
        <w:pBdr>
          <w:top w:val="nil"/>
          <w:left w:val="nil"/>
          <w:bottom w:val="nil"/>
          <w:right w:val="nil"/>
          <w:between w:val="nil"/>
        </w:pBdr>
        <w:spacing w:after="0" w:line="240" w:lineRule="auto"/>
        <w:jc w:val="both"/>
        <w:rPr>
          <w:color w:val="000000"/>
        </w:rPr>
      </w:pPr>
      <w:r>
        <w:rPr>
          <w:color w:val="000000"/>
          <w:sz w:val="24"/>
          <w:szCs w:val="24"/>
        </w:rPr>
        <w:t xml:space="preserve">Asimismo, según datos del Gobierno Autónomo Municipal de La Paz, se evidencia que el derecho al trabajo y las oportunidades laborales es uno de los derechos más restringidos para mujeres LBT. El índice de restricción a este derecho es de los </w:t>
      </w:r>
      <w:r w:rsidR="00D24729">
        <w:rPr>
          <w:color w:val="000000"/>
          <w:sz w:val="24"/>
          <w:szCs w:val="24"/>
        </w:rPr>
        <w:t>más</w:t>
      </w:r>
      <w:r>
        <w:rPr>
          <w:color w:val="000000"/>
          <w:sz w:val="24"/>
          <w:szCs w:val="24"/>
        </w:rPr>
        <w:t xml:space="preserve"> altos en los estudios realizados por la sociedad civil, y existen escasas iniciativas de parte del Estado para dar atención integral a dicha problemática</w:t>
      </w:r>
      <w:r>
        <w:rPr>
          <w:color w:val="000000"/>
          <w:sz w:val="24"/>
          <w:szCs w:val="24"/>
          <w:vertAlign w:val="superscript"/>
        </w:rPr>
        <w:footnoteReference w:id="2"/>
      </w:r>
      <w:r>
        <w:rPr>
          <w:color w:val="000000"/>
          <w:sz w:val="24"/>
          <w:szCs w:val="24"/>
        </w:rPr>
        <w:t>.</w:t>
      </w:r>
    </w:p>
    <w:p w14:paraId="57BF93D7" w14:textId="77777777" w:rsidR="00810F44" w:rsidRDefault="00810F44">
      <w:pPr>
        <w:pBdr>
          <w:top w:val="nil"/>
          <w:left w:val="nil"/>
          <w:bottom w:val="nil"/>
          <w:right w:val="nil"/>
          <w:between w:val="nil"/>
        </w:pBdr>
        <w:spacing w:after="0" w:line="240" w:lineRule="auto"/>
        <w:ind w:left="720"/>
        <w:rPr>
          <w:b/>
          <w:color w:val="000000"/>
          <w:sz w:val="24"/>
          <w:szCs w:val="24"/>
        </w:rPr>
      </w:pPr>
    </w:p>
    <w:p w14:paraId="44BB22DD" w14:textId="77777777" w:rsidR="00B15C35" w:rsidRDefault="004F3F02" w:rsidP="00B15C35">
      <w:pPr>
        <w:ind w:left="851" w:hanging="567"/>
        <w:jc w:val="both"/>
        <w:rPr>
          <w:b/>
          <w:sz w:val="26"/>
          <w:szCs w:val="26"/>
        </w:rPr>
      </w:pPr>
      <w:r>
        <w:rPr>
          <w:b/>
          <w:sz w:val="26"/>
          <w:szCs w:val="26"/>
        </w:rPr>
        <w:t>Recomendación:</w:t>
      </w:r>
    </w:p>
    <w:p w14:paraId="6B9784EE" w14:textId="264D4F90" w:rsidR="00810F44" w:rsidRPr="00FC2ABD" w:rsidRDefault="00FC2ABD" w:rsidP="00B15C35">
      <w:pPr>
        <w:ind w:left="851" w:hanging="567"/>
        <w:jc w:val="both"/>
        <w:rPr>
          <w:b/>
          <w:sz w:val="24"/>
          <w:szCs w:val="24"/>
        </w:rPr>
      </w:pPr>
      <w:r w:rsidRPr="00FC2ABD">
        <w:rPr>
          <w:b/>
          <w:sz w:val="24"/>
          <w:szCs w:val="24"/>
        </w:rPr>
        <w:t>15</w:t>
      </w:r>
      <w:r w:rsidR="007F43D6" w:rsidRPr="00FC2ABD">
        <w:rPr>
          <w:b/>
          <w:sz w:val="24"/>
          <w:szCs w:val="24"/>
        </w:rPr>
        <w:t xml:space="preserve">. </w:t>
      </w:r>
      <w:r w:rsidR="00B15C35">
        <w:rPr>
          <w:b/>
          <w:sz w:val="24"/>
          <w:szCs w:val="24"/>
        </w:rPr>
        <w:t xml:space="preserve">   </w:t>
      </w:r>
      <w:r w:rsidR="004F3F02" w:rsidRPr="00FC2ABD">
        <w:rPr>
          <w:bCs/>
          <w:sz w:val="24"/>
          <w:szCs w:val="24"/>
        </w:rPr>
        <w:t>Promover una política pública de acción afirmativa integral a nivel nacional que promueva espacios de empleabilidad para mujeres trans, lesbianas y bisexuales, sin discriminación</w:t>
      </w:r>
      <w:r w:rsidR="004F3F02" w:rsidRPr="00FC2ABD">
        <w:rPr>
          <w:b/>
          <w:sz w:val="24"/>
          <w:szCs w:val="24"/>
        </w:rPr>
        <w:t xml:space="preserve">. </w:t>
      </w:r>
    </w:p>
    <w:p w14:paraId="2ED398E5" w14:textId="06826965" w:rsidR="00810F44" w:rsidRPr="00FC2ABD" w:rsidRDefault="00FC2ABD" w:rsidP="00B15C35">
      <w:pPr>
        <w:pStyle w:val="Prrafodelista"/>
        <w:numPr>
          <w:ilvl w:val="0"/>
          <w:numId w:val="7"/>
        </w:numPr>
        <w:pBdr>
          <w:top w:val="nil"/>
          <w:left w:val="nil"/>
          <w:bottom w:val="nil"/>
          <w:right w:val="nil"/>
          <w:between w:val="nil"/>
        </w:pBdr>
        <w:spacing w:after="0" w:line="240" w:lineRule="auto"/>
        <w:ind w:left="851" w:hanging="567"/>
        <w:jc w:val="both"/>
        <w:rPr>
          <w:bCs/>
          <w:color w:val="000000"/>
          <w:sz w:val="24"/>
          <w:szCs w:val="24"/>
        </w:rPr>
      </w:pPr>
      <w:r w:rsidRPr="00FC2ABD">
        <w:rPr>
          <w:bCs/>
          <w:color w:val="000000"/>
          <w:sz w:val="24"/>
          <w:szCs w:val="24"/>
        </w:rPr>
        <w:t xml:space="preserve"> </w:t>
      </w:r>
      <w:r w:rsidR="004F3F02" w:rsidRPr="00FC2ABD">
        <w:rPr>
          <w:bCs/>
          <w:color w:val="000000"/>
          <w:sz w:val="24"/>
          <w:szCs w:val="24"/>
        </w:rPr>
        <w:t xml:space="preserve">Implementar programas de inclusión laboral en los gobiernos </w:t>
      </w:r>
      <w:proofErr w:type="gramStart"/>
      <w:r w:rsidR="004F3F02" w:rsidRPr="00FC2ABD">
        <w:rPr>
          <w:bCs/>
          <w:color w:val="000000"/>
          <w:sz w:val="24"/>
          <w:szCs w:val="24"/>
        </w:rPr>
        <w:t>sub nacionales</w:t>
      </w:r>
      <w:proofErr w:type="gramEnd"/>
      <w:r w:rsidR="004F3F02" w:rsidRPr="00FC2ABD">
        <w:rPr>
          <w:bCs/>
          <w:color w:val="000000"/>
          <w:sz w:val="24"/>
          <w:szCs w:val="24"/>
        </w:rPr>
        <w:t xml:space="preserve"> que promuevan mecanismos de inclusión en favor de mujeres lesbianas, bisexuales y trans. </w:t>
      </w:r>
    </w:p>
    <w:p w14:paraId="069D5B8B" w14:textId="77777777" w:rsidR="00810F44" w:rsidRDefault="00810F44">
      <w:pPr>
        <w:jc w:val="both"/>
        <w:rPr>
          <w:b/>
          <w:sz w:val="28"/>
          <w:szCs w:val="28"/>
        </w:rPr>
      </w:pPr>
    </w:p>
    <w:p w14:paraId="5DCD8882" w14:textId="77777777" w:rsidR="00810F44" w:rsidRDefault="004F3F02">
      <w:pPr>
        <w:jc w:val="both"/>
        <w:rPr>
          <w:b/>
          <w:sz w:val="28"/>
          <w:szCs w:val="28"/>
        </w:rPr>
      </w:pPr>
      <w:r>
        <w:rPr>
          <w:b/>
          <w:sz w:val="28"/>
          <w:szCs w:val="28"/>
        </w:rPr>
        <w:t xml:space="preserve">Artículo 12.  Derecho a la salud </w:t>
      </w:r>
    </w:p>
    <w:p w14:paraId="30FAD917" w14:textId="77777777" w:rsidR="00810F44" w:rsidRDefault="004F3F02" w:rsidP="00FC2ABD">
      <w:pPr>
        <w:numPr>
          <w:ilvl w:val="0"/>
          <w:numId w:val="7"/>
        </w:numPr>
        <w:pBdr>
          <w:top w:val="nil"/>
          <w:left w:val="nil"/>
          <w:bottom w:val="nil"/>
          <w:right w:val="nil"/>
          <w:between w:val="nil"/>
        </w:pBdr>
        <w:spacing w:after="0" w:line="240" w:lineRule="auto"/>
        <w:jc w:val="both"/>
        <w:rPr>
          <w:color w:val="000000"/>
        </w:rPr>
      </w:pPr>
      <w:r>
        <w:rPr>
          <w:color w:val="000000"/>
          <w:sz w:val="24"/>
          <w:szCs w:val="24"/>
        </w:rPr>
        <w:t xml:space="preserve">En lo que se refiere al derecho a la salud, se debe mencionar la reiterada y urgente información sobre la ausencia de protocolos médicos que garanticen a las mujeres LBT el acceso a servicios integrales y sin discriminación, sobre todo en salud sexual y reproductiva, así como endocrinología para las terapias de reemplazo hormonal. Hay una serie de factores que han limitado a mujeres trans </w:t>
      </w:r>
      <w:r>
        <w:rPr>
          <w:color w:val="000000"/>
          <w:sz w:val="24"/>
          <w:szCs w:val="24"/>
        </w:rPr>
        <w:lastRenderedPageBreak/>
        <w:t>el acceso a servicios esenciales de controles clínicos. Esta situación se agudiza cuando se trata de mujeres trans trabajadoras sexuales y/o que viven con VIH</w:t>
      </w:r>
      <w:r>
        <w:rPr>
          <w:color w:val="000000"/>
          <w:sz w:val="24"/>
          <w:szCs w:val="24"/>
          <w:vertAlign w:val="superscript"/>
        </w:rPr>
        <w:footnoteReference w:id="3"/>
      </w:r>
      <w:r>
        <w:rPr>
          <w:color w:val="000000"/>
          <w:sz w:val="24"/>
          <w:szCs w:val="24"/>
        </w:rPr>
        <w:t xml:space="preserve">.   </w:t>
      </w:r>
    </w:p>
    <w:p w14:paraId="2267167B" w14:textId="77777777" w:rsidR="00810F44" w:rsidRDefault="00810F44">
      <w:pPr>
        <w:pBdr>
          <w:top w:val="nil"/>
          <w:left w:val="nil"/>
          <w:bottom w:val="nil"/>
          <w:right w:val="nil"/>
          <w:between w:val="nil"/>
        </w:pBdr>
        <w:spacing w:after="0" w:line="240" w:lineRule="auto"/>
        <w:ind w:left="720"/>
        <w:jc w:val="both"/>
        <w:rPr>
          <w:b/>
          <w:color w:val="000000"/>
          <w:sz w:val="24"/>
          <w:szCs w:val="24"/>
        </w:rPr>
      </w:pPr>
    </w:p>
    <w:p w14:paraId="67D63F54" w14:textId="1695BCF0" w:rsidR="00810F44" w:rsidRDefault="004F3F02" w:rsidP="00FC2ABD">
      <w:pPr>
        <w:numPr>
          <w:ilvl w:val="0"/>
          <w:numId w:val="7"/>
        </w:numPr>
        <w:pBdr>
          <w:top w:val="nil"/>
          <w:left w:val="nil"/>
          <w:bottom w:val="nil"/>
          <w:right w:val="nil"/>
          <w:between w:val="nil"/>
        </w:pBdr>
        <w:spacing w:after="0" w:line="240" w:lineRule="auto"/>
        <w:jc w:val="both"/>
        <w:rPr>
          <w:color w:val="000000"/>
        </w:rPr>
      </w:pPr>
      <w:r>
        <w:rPr>
          <w:color w:val="000000"/>
          <w:sz w:val="24"/>
          <w:szCs w:val="24"/>
        </w:rPr>
        <w:t xml:space="preserve">A ello se suma la situación de mujeres lesbianas y bisexuales que desean acceder a procedimientos de reproducción asistida, los cuales son escasos y de limitado acceso. Y en el caso de que se opte por uno de estos servicios, </w:t>
      </w:r>
      <w:bookmarkStart w:id="0" w:name="_Hlk103331579"/>
      <w:r>
        <w:rPr>
          <w:color w:val="000000"/>
          <w:sz w:val="24"/>
          <w:szCs w:val="24"/>
        </w:rPr>
        <w:t xml:space="preserve">el reconocimiento jurídico de sus descendientes sólo estará garantizado </w:t>
      </w:r>
      <w:r w:rsidR="00B15C35">
        <w:rPr>
          <w:color w:val="000000"/>
          <w:sz w:val="24"/>
          <w:szCs w:val="24"/>
        </w:rPr>
        <w:t>como hijos de</w:t>
      </w:r>
      <w:r>
        <w:rPr>
          <w:color w:val="000000"/>
          <w:sz w:val="24"/>
          <w:szCs w:val="24"/>
        </w:rPr>
        <w:t xml:space="preserve"> la mujer gestante</w:t>
      </w:r>
      <w:r w:rsidR="00B15C35">
        <w:rPr>
          <w:color w:val="000000"/>
          <w:sz w:val="24"/>
          <w:szCs w:val="24"/>
        </w:rPr>
        <w:t>,</w:t>
      </w:r>
      <w:r>
        <w:rPr>
          <w:color w:val="000000"/>
          <w:sz w:val="24"/>
          <w:szCs w:val="24"/>
        </w:rPr>
        <w:t xml:space="preserve"> </w:t>
      </w:r>
      <w:r w:rsidR="00B15C35">
        <w:rPr>
          <w:color w:val="000000"/>
          <w:sz w:val="24"/>
          <w:szCs w:val="24"/>
        </w:rPr>
        <w:t>pero no</w:t>
      </w:r>
      <w:r>
        <w:rPr>
          <w:color w:val="000000"/>
          <w:sz w:val="24"/>
          <w:szCs w:val="24"/>
        </w:rPr>
        <w:t xml:space="preserve"> </w:t>
      </w:r>
      <w:r w:rsidR="00B15C35">
        <w:rPr>
          <w:color w:val="000000"/>
          <w:sz w:val="24"/>
          <w:szCs w:val="24"/>
        </w:rPr>
        <w:t xml:space="preserve">como hijos de </w:t>
      </w:r>
      <w:r>
        <w:rPr>
          <w:color w:val="000000"/>
          <w:sz w:val="24"/>
          <w:szCs w:val="24"/>
        </w:rPr>
        <w:t xml:space="preserve">su pareja. </w:t>
      </w:r>
      <w:bookmarkEnd w:id="0"/>
    </w:p>
    <w:p w14:paraId="214860C5" w14:textId="77777777" w:rsidR="00810F44" w:rsidRDefault="00810F44"/>
    <w:p w14:paraId="70B52494" w14:textId="1CFD563C" w:rsidR="00810F44" w:rsidRDefault="004F3F02">
      <w:pPr>
        <w:jc w:val="both"/>
        <w:rPr>
          <w:sz w:val="24"/>
          <w:szCs w:val="24"/>
        </w:rPr>
      </w:pPr>
      <w:bookmarkStart w:id="1" w:name="_gjdgxs" w:colFirst="0" w:colLast="0"/>
      <w:bookmarkEnd w:id="1"/>
      <w:r>
        <w:rPr>
          <w:b/>
          <w:sz w:val="26"/>
          <w:szCs w:val="26"/>
        </w:rPr>
        <w:t>Recomendaciones:</w:t>
      </w:r>
      <w:r>
        <w:rPr>
          <w:b/>
          <w:sz w:val="26"/>
          <w:szCs w:val="26"/>
        </w:rPr>
        <w:br/>
      </w:r>
      <w:r w:rsidR="00863809" w:rsidRPr="00456E78">
        <w:rPr>
          <w:b/>
          <w:bCs/>
          <w:sz w:val="24"/>
          <w:szCs w:val="24"/>
        </w:rPr>
        <w:t>19</w:t>
      </w:r>
      <w:r w:rsidR="007F43D6" w:rsidRPr="00456E78">
        <w:rPr>
          <w:b/>
          <w:bCs/>
          <w:sz w:val="24"/>
          <w:szCs w:val="24"/>
        </w:rPr>
        <w:t>.</w:t>
      </w:r>
      <w:r>
        <w:rPr>
          <w:sz w:val="24"/>
          <w:szCs w:val="24"/>
        </w:rPr>
        <w:t xml:space="preserve"> El Ministerio de Salud debe generar e implementar protocolos de atención a personas LGBTI, tomando en cuenta sus necesidades y características médicas; con especial atención a la situación de mujeres lesbianas, bisexuales y trans. </w:t>
      </w:r>
    </w:p>
    <w:p w14:paraId="704938C0" w14:textId="7028FE0C" w:rsidR="00810F44" w:rsidRDefault="00863809">
      <w:pPr>
        <w:jc w:val="both"/>
        <w:rPr>
          <w:sz w:val="24"/>
          <w:szCs w:val="24"/>
        </w:rPr>
      </w:pPr>
      <w:r w:rsidRPr="00456E78">
        <w:rPr>
          <w:b/>
          <w:bCs/>
          <w:sz w:val="24"/>
          <w:szCs w:val="24"/>
        </w:rPr>
        <w:t>20</w:t>
      </w:r>
      <w:r w:rsidR="007F43D6" w:rsidRPr="00456E78">
        <w:rPr>
          <w:b/>
          <w:bCs/>
          <w:sz w:val="24"/>
          <w:szCs w:val="24"/>
        </w:rPr>
        <w:t>.</w:t>
      </w:r>
      <w:r w:rsidR="007F43D6">
        <w:rPr>
          <w:sz w:val="24"/>
          <w:szCs w:val="24"/>
        </w:rPr>
        <w:t xml:space="preserve"> </w:t>
      </w:r>
      <w:r w:rsidR="004F3F02">
        <w:rPr>
          <w:sz w:val="24"/>
          <w:szCs w:val="24"/>
        </w:rPr>
        <w:t xml:space="preserve">Garantizar que el Seguro Universal de Salud cubra a mujeres LBT sin discriminación, e implemente programas progresivos de salud sexual y reproductiva. </w:t>
      </w:r>
    </w:p>
    <w:p w14:paraId="441308AC" w14:textId="6BB6FCB0" w:rsidR="00810F44" w:rsidRDefault="00863809">
      <w:pPr>
        <w:jc w:val="both"/>
        <w:rPr>
          <w:sz w:val="24"/>
          <w:szCs w:val="24"/>
        </w:rPr>
      </w:pPr>
      <w:r w:rsidRPr="00456E78">
        <w:rPr>
          <w:b/>
          <w:bCs/>
          <w:sz w:val="24"/>
          <w:szCs w:val="24"/>
        </w:rPr>
        <w:t>21</w:t>
      </w:r>
      <w:r w:rsidR="007F43D6" w:rsidRPr="00456E78">
        <w:rPr>
          <w:b/>
          <w:bCs/>
          <w:sz w:val="24"/>
          <w:szCs w:val="24"/>
        </w:rPr>
        <w:t>.</w:t>
      </w:r>
      <w:r w:rsidR="007F43D6">
        <w:rPr>
          <w:sz w:val="24"/>
          <w:szCs w:val="24"/>
        </w:rPr>
        <w:t xml:space="preserve"> </w:t>
      </w:r>
      <w:r w:rsidR="004F3F02">
        <w:rPr>
          <w:sz w:val="24"/>
          <w:szCs w:val="24"/>
        </w:rPr>
        <w:t>Generar políticas públicas que regulen el acceso a procesos de reproducción asistida para mujeres lesbianas y bisexuales, permitiéndoles el acceso al reconocimiento jurídico de sus descendientes por las dos madres.</w:t>
      </w:r>
    </w:p>
    <w:p w14:paraId="6608EA7D" w14:textId="77777777" w:rsidR="00456E78" w:rsidRDefault="00456E78">
      <w:pPr>
        <w:jc w:val="both"/>
        <w:rPr>
          <w:sz w:val="24"/>
          <w:szCs w:val="24"/>
        </w:rPr>
      </w:pPr>
    </w:p>
    <w:p w14:paraId="2940901E" w14:textId="77777777" w:rsidR="00810F44" w:rsidRDefault="004F3F02">
      <w:pPr>
        <w:jc w:val="both"/>
        <w:rPr>
          <w:b/>
          <w:sz w:val="28"/>
          <w:szCs w:val="28"/>
        </w:rPr>
      </w:pPr>
      <w:r>
        <w:rPr>
          <w:b/>
          <w:sz w:val="28"/>
          <w:szCs w:val="28"/>
        </w:rPr>
        <w:t xml:space="preserve">Artículos. 5 y 14. Discriminación contra mujeres de la diversidad sexual y de género en Bolivia. </w:t>
      </w:r>
    </w:p>
    <w:p w14:paraId="2CE59C60" w14:textId="30F1D7FF" w:rsidR="00810F44" w:rsidRPr="00863809" w:rsidRDefault="004F3F02" w:rsidP="00863809">
      <w:pPr>
        <w:pStyle w:val="Prrafodelista"/>
        <w:numPr>
          <w:ilvl w:val="0"/>
          <w:numId w:val="9"/>
        </w:numPr>
        <w:pBdr>
          <w:top w:val="nil"/>
          <w:left w:val="nil"/>
          <w:bottom w:val="nil"/>
          <w:right w:val="nil"/>
          <w:between w:val="nil"/>
        </w:pBdr>
        <w:spacing w:after="0" w:line="240" w:lineRule="auto"/>
        <w:jc w:val="both"/>
        <w:rPr>
          <w:color w:val="000000"/>
        </w:rPr>
      </w:pPr>
      <w:r w:rsidRPr="00863809">
        <w:rPr>
          <w:color w:val="000000"/>
          <w:sz w:val="24"/>
          <w:szCs w:val="24"/>
        </w:rPr>
        <w:t>En Bolivia existe una alta restricción de derechos para las mujeres trans, debido</w:t>
      </w:r>
      <w:r w:rsidR="007F43D6" w:rsidRPr="00863809">
        <w:rPr>
          <w:color w:val="000000"/>
          <w:sz w:val="24"/>
          <w:szCs w:val="24"/>
        </w:rPr>
        <w:t xml:space="preserve"> </w:t>
      </w:r>
      <w:r w:rsidRPr="00863809">
        <w:rPr>
          <w:color w:val="000000"/>
          <w:sz w:val="24"/>
          <w:szCs w:val="24"/>
        </w:rPr>
        <w:t>a su identidad y expresión de género. La Sentencia Constitucional Plurinacional 0076/2017 y el Auto Constitucional 0028/2017 han limitado el ejercicio de determinados derechos a mujeres trans por un argumento “biologicista” que rechaza la identidad de género mujeres trans cuando estas desean casarse, adoptar, participar en procesos electorales como candidatas; así como en cualquier otra actividad o competencia deportiva que tenga como base la distinción de género binario femenino-masculino.</w:t>
      </w:r>
    </w:p>
    <w:p w14:paraId="48F8269B" w14:textId="77777777" w:rsidR="00863809" w:rsidRPr="00863809" w:rsidRDefault="00863809" w:rsidP="00863809">
      <w:pPr>
        <w:pStyle w:val="Prrafodelista"/>
        <w:pBdr>
          <w:top w:val="nil"/>
          <w:left w:val="nil"/>
          <w:bottom w:val="nil"/>
          <w:right w:val="nil"/>
          <w:between w:val="nil"/>
        </w:pBdr>
        <w:spacing w:after="0" w:line="240" w:lineRule="auto"/>
        <w:jc w:val="both"/>
        <w:rPr>
          <w:color w:val="000000"/>
        </w:rPr>
      </w:pPr>
    </w:p>
    <w:p w14:paraId="129F3A46" w14:textId="77777777" w:rsidR="00863809" w:rsidRPr="00863809" w:rsidRDefault="004F3F02" w:rsidP="00863809">
      <w:pPr>
        <w:pStyle w:val="Prrafodelista"/>
        <w:numPr>
          <w:ilvl w:val="0"/>
          <w:numId w:val="9"/>
        </w:numPr>
        <w:pBdr>
          <w:top w:val="nil"/>
          <w:left w:val="nil"/>
          <w:bottom w:val="nil"/>
          <w:right w:val="nil"/>
          <w:between w:val="nil"/>
        </w:pBdr>
        <w:spacing w:after="0" w:line="240" w:lineRule="auto"/>
        <w:jc w:val="both"/>
        <w:rPr>
          <w:color w:val="000000"/>
        </w:rPr>
      </w:pPr>
      <w:r w:rsidRPr="00863809">
        <w:rPr>
          <w:color w:val="000000"/>
          <w:sz w:val="24"/>
          <w:szCs w:val="24"/>
        </w:rPr>
        <w:t xml:space="preserve">Desde el año 2013, Bolivia cuenta con la Ley N°348 Ley Integral para garantizar a las mujeres una vida libre de violencia, como consecuencia de las altas tasas de violencia de todo tipo que se cometen contra mujeres en el país. Esta norma, reconoce la protección a todas las mujeres, independientemente de cualquier condición, incluida su orientación sexual. Dicha norma, sin embargo, no hace referencia a la protección por identidad de género como categoría protegida. </w:t>
      </w:r>
      <w:r w:rsidRPr="00863809">
        <w:rPr>
          <w:color w:val="000000"/>
          <w:sz w:val="24"/>
          <w:szCs w:val="24"/>
        </w:rPr>
        <w:lastRenderedPageBreak/>
        <w:t xml:space="preserve">Cuando las mujeres trans son víctimas de violencia o feminicidio, las autoridades judiciales se rehúsan a llevar los procesos al amparo de la Ley </w:t>
      </w:r>
      <w:proofErr w:type="spellStart"/>
      <w:r w:rsidRPr="00863809">
        <w:rPr>
          <w:color w:val="000000"/>
          <w:sz w:val="24"/>
          <w:szCs w:val="24"/>
        </w:rPr>
        <w:t>N°</w:t>
      </w:r>
      <w:proofErr w:type="spellEnd"/>
      <w:r w:rsidRPr="00863809">
        <w:rPr>
          <w:color w:val="000000"/>
          <w:sz w:val="24"/>
          <w:szCs w:val="24"/>
        </w:rPr>
        <w:t xml:space="preserve"> 348 no reconocen como mujeres a las mujeres trans y no dan cuenta la violencia contra ellas, vulnerando el debido proceso, impunidad y la falta de voluntad por parte del sistema de justicia de investigar y sancionar estos delitos.</w:t>
      </w:r>
    </w:p>
    <w:p w14:paraId="018B5BB6" w14:textId="77777777" w:rsidR="00863809" w:rsidRPr="00863809" w:rsidRDefault="00863809" w:rsidP="00863809">
      <w:pPr>
        <w:pStyle w:val="Prrafodelista"/>
        <w:rPr>
          <w:color w:val="000000"/>
          <w:sz w:val="24"/>
          <w:szCs w:val="24"/>
        </w:rPr>
      </w:pPr>
    </w:p>
    <w:p w14:paraId="719A006A" w14:textId="77777777" w:rsidR="00863809" w:rsidRDefault="004F3F02" w:rsidP="00863809">
      <w:pPr>
        <w:pStyle w:val="Prrafodelista"/>
        <w:numPr>
          <w:ilvl w:val="0"/>
          <w:numId w:val="9"/>
        </w:numPr>
        <w:pBdr>
          <w:top w:val="nil"/>
          <w:left w:val="nil"/>
          <w:bottom w:val="nil"/>
          <w:right w:val="nil"/>
          <w:between w:val="nil"/>
        </w:pBdr>
        <w:spacing w:after="0" w:line="240" w:lineRule="auto"/>
        <w:jc w:val="both"/>
        <w:rPr>
          <w:color w:val="000000"/>
        </w:rPr>
      </w:pPr>
      <w:r w:rsidRPr="00863809">
        <w:rPr>
          <w:color w:val="000000"/>
          <w:sz w:val="24"/>
          <w:szCs w:val="24"/>
        </w:rPr>
        <w:t xml:space="preserve">De otro lado, uno de los avances, </w:t>
      </w:r>
      <w:proofErr w:type="gramStart"/>
      <w:r w:rsidRPr="00863809">
        <w:rPr>
          <w:color w:val="000000"/>
          <w:sz w:val="24"/>
          <w:szCs w:val="24"/>
        </w:rPr>
        <w:t>en relación a</w:t>
      </w:r>
      <w:proofErr w:type="gramEnd"/>
      <w:r w:rsidRPr="00863809">
        <w:rPr>
          <w:color w:val="000000"/>
          <w:sz w:val="24"/>
          <w:szCs w:val="24"/>
        </w:rPr>
        <w:t xml:space="preserve"> la Ley N°348, Ley Integral para garantizar a las mujeres una vida libre de violencia, es la incorporación en el sistema penal boliviano el tipo penal de feminicidio, que sanciona con 30 años de cárcel a quien asesine a una mujer bajo determinadas circunstancias</w:t>
      </w:r>
      <w:r>
        <w:rPr>
          <w:vertAlign w:val="superscript"/>
        </w:rPr>
        <w:footnoteReference w:id="4"/>
      </w:r>
      <w:r w:rsidRPr="00863809">
        <w:rPr>
          <w:color w:val="000000"/>
          <w:sz w:val="24"/>
          <w:szCs w:val="24"/>
        </w:rPr>
        <w:t xml:space="preserve">. Sin embargo, en la aplicación de estas disposiciones, no se considera a mujeres lesbianas, bisexuales o trans como víctimas, ya sea porque no se reconoce el vínculo de pareja entre dos mujeres, o porque no se considera como “mujer” a las mujeres </w:t>
      </w:r>
      <w:proofErr w:type="gramStart"/>
      <w:r w:rsidRPr="00863809">
        <w:rPr>
          <w:color w:val="000000"/>
          <w:sz w:val="24"/>
          <w:szCs w:val="24"/>
        </w:rPr>
        <w:t>trans víctimas</w:t>
      </w:r>
      <w:proofErr w:type="gramEnd"/>
      <w:r w:rsidRPr="00863809">
        <w:rPr>
          <w:color w:val="000000"/>
          <w:sz w:val="24"/>
          <w:szCs w:val="24"/>
        </w:rPr>
        <w:t xml:space="preserve"> de violencia y/o feminicidio.</w:t>
      </w:r>
      <w:r w:rsidRPr="00863809">
        <w:rPr>
          <w:color w:val="000000"/>
        </w:rPr>
        <w:t xml:space="preserve"> </w:t>
      </w:r>
    </w:p>
    <w:p w14:paraId="3C0EDD17" w14:textId="77777777" w:rsidR="00863809" w:rsidRPr="00863809" w:rsidRDefault="00863809" w:rsidP="00863809">
      <w:pPr>
        <w:pStyle w:val="Prrafodelista"/>
        <w:rPr>
          <w:color w:val="000000"/>
          <w:sz w:val="24"/>
          <w:szCs w:val="24"/>
        </w:rPr>
      </w:pPr>
    </w:p>
    <w:p w14:paraId="3E26CEB1" w14:textId="77777777" w:rsidR="00863809" w:rsidRPr="00863809" w:rsidRDefault="004F3F02" w:rsidP="00863809">
      <w:pPr>
        <w:pStyle w:val="Prrafodelista"/>
        <w:numPr>
          <w:ilvl w:val="0"/>
          <w:numId w:val="9"/>
        </w:numPr>
        <w:pBdr>
          <w:top w:val="nil"/>
          <w:left w:val="nil"/>
          <w:bottom w:val="nil"/>
          <w:right w:val="nil"/>
          <w:between w:val="nil"/>
        </w:pBdr>
        <w:spacing w:after="0" w:line="240" w:lineRule="auto"/>
        <w:jc w:val="both"/>
        <w:rPr>
          <w:color w:val="000000"/>
        </w:rPr>
      </w:pPr>
      <w:r w:rsidRPr="00863809">
        <w:rPr>
          <w:color w:val="000000"/>
          <w:sz w:val="24"/>
          <w:szCs w:val="24"/>
        </w:rPr>
        <w:t>En ese sentido, los hechos de violencia cometidos contra ellas, especialmente feminicidios, no son tipificados como tales por las fiscalías ni obtienen la máxima sentencia de 30 años sin derecho a indulto. En su lugar, operadores de justicia suelen tipificar sus muertes como homicidio o asesinato.</w:t>
      </w:r>
    </w:p>
    <w:p w14:paraId="71D4352A" w14:textId="77777777" w:rsidR="00863809" w:rsidRPr="00863809" w:rsidRDefault="00863809" w:rsidP="00863809">
      <w:pPr>
        <w:pStyle w:val="Prrafodelista"/>
        <w:rPr>
          <w:color w:val="000000"/>
          <w:sz w:val="24"/>
          <w:szCs w:val="24"/>
        </w:rPr>
      </w:pPr>
    </w:p>
    <w:p w14:paraId="49E7D542" w14:textId="0FC23AC3" w:rsidR="00810F44" w:rsidRPr="002715B5" w:rsidRDefault="004F3F02" w:rsidP="00863809">
      <w:pPr>
        <w:pStyle w:val="Prrafodelista"/>
        <w:numPr>
          <w:ilvl w:val="0"/>
          <w:numId w:val="9"/>
        </w:numPr>
        <w:pBdr>
          <w:top w:val="nil"/>
          <w:left w:val="nil"/>
          <w:bottom w:val="nil"/>
          <w:right w:val="nil"/>
          <w:between w:val="nil"/>
        </w:pBdr>
        <w:spacing w:after="0" w:line="240" w:lineRule="auto"/>
        <w:jc w:val="both"/>
        <w:rPr>
          <w:color w:val="000000"/>
        </w:rPr>
      </w:pPr>
      <w:r w:rsidRPr="00863809">
        <w:rPr>
          <w:color w:val="000000"/>
          <w:sz w:val="24"/>
          <w:szCs w:val="24"/>
        </w:rPr>
        <w:t>De ese modo, los estándares en cuanto a las garantías judiciales y el debido proceso se dificultan cuando las mujeres LBT denuncian ser víctimas de violencia, puesto que el Estado tampoco garantiza un proceso adecuado que no revictimice; sino que más bien refuerza comportamientos contra su integridad de parte de funcionarios públicos de la Policía Boliviana, la Dirección General de Régimen Penitenciario</w:t>
      </w:r>
      <w:r w:rsidR="00863809">
        <w:rPr>
          <w:vertAlign w:val="superscript"/>
        </w:rPr>
        <w:footnoteReference w:id="5"/>
      </w:r>
      <w:r w:rsidRPr="00863809">
        <w:rPr>
          <w:color w:val="000000"/>
          <w:sz w:val="24"/>
          <w:szCs w:val="24"/>
        </w:rPr>
        <w:t xml:space="preserve">, el Ministerio Público, el Instituto de Investigaciones Forenses, entre otros. </w:t>
      </w:r>
    </w:p>
    <w:p w14:paraId="3E062B94" w14:textId="77777777" w:rsidR="002715B5" w:rsidRPr="002715B5" w:rsidRDefault="002715B5" w:rsidP="002715B5">
      <w:pPr>
        <w:pStyle w:val="Prrafodelista"/>
        <w:rPr>
          <w:color w:val="000000"/>
        </w:rPr>
      </w:pPr>
    </w:p>
    <w:p w14:paraId="6FC617D8" w14:textId="77777777" w:rsidR="002715B5" w:rsidRPr="002715B5" w:rsidRDefault="004F3F02" w:rsidP="002715B5">
      <w:pPr>
        <w:pStyle w:val="Prrafodelista"/>
        <w:numPr>
          <w:ilvl w:val="0"/>
          <w:numId w:val="9"/>
        </w:numPr>
        <w:pBdr>
          <w:top w:val="nil"/>
          <w:left w:val="nil"/>
          <w:bottom w:val="nil"/>
          <w:right w:val="nil"/>
          <w:between w:val="nil"/>
        </w:pBdr>
        <w:spacing w:after="0" w:line="240" w:lineRule="auto"/>
        <w:jc w:val="both"/>
        <w:rPr>
          <w:color w:val="000000"/>
        </w:rPr>
      </w:pPr>
      <w:r w:rsidRPr="002715B5">
        <w:rPr>
          <w:color w:val="000000"/>
          <w:sz w:val="24"/>
          <w:szCs w:val="24"/>
        </w:rPr>
        <w:t>En ese mismo sentido, preocupa la situación del sistema de justicia. Este mantiene prácticas prejuiciosas y que no contemplan los estándares más altos en materia de derechos humanos, lo cual afecta la independencia e idoneidad de operadores de justicia, a lo cual se suma su falta de sensibilización en temáticas de diversidades sexuales y de género. Esto finalmente desencadena en una serie de vacíos y omisiones que dan lugar a la impunidad en casos de crímenes basados en el prejuicio hacia la orientación sexual, identidad y expresión de género de la víctima. A la fecha, sólo existen dos casos sobre violencia contra mujeres LBT que cuentan con resolución y sentencia</w:t>
      </w:r>
      <w:r>
        <w:rPr>
          <w:vertAlign w:val="superscript"/>
        </w:rPr>
        <w:footnoteReference w:id="6"/>
      </w:r>
      <w:r w:rsidRPr="002715B5">
        <w:rPr>
          <w:color w:val="000000"/>
          <w:sz w:val="24"/>
          <w:szCs w:val="24"/>
          <w:vertAlign w:val="superscript"/>
        </w:rPr>
        <w:t xml:space="preserve">.  </w:t>
      </w:r>
    </w:p>
    <w:p w14:paraId="1D8DAB5D" w14:textId="77777777" w:rsidR="002715B5" w:rsidRPr="002715B5" w:rsidRDefault="002715B5" w:rsidP="002715B5">
      <w:pPr>
        <w:pStyle w:val="Prrafodelista"/>
        <w:rPr>
          <w:color w:val="000000"/>
          <w:sz w:val="24"/>
          <w:szCs w:val="24"/>
        </w:rPr>
      </w:pPr>
    </w:p>
    <w:p w14:paraId="6CD7A34D" w14:textId="45E1ABED" w:rsidR="00810F44" w:rsidRPr="002715B5" w:rsidRDefault="004F3F02" w:rsidP="002715B5">
      <w:pPr>
        <w:pStyle w:val="Prrafodelista"/>
        <w:numPr>
          <w:ilvl w:val="0"/>
          <w:numId w:val="9"/>
        </w:numPr>
        <w:pBdr>
          <w:top w:val="nil"/>
          <w:left w:val="nil"/>
          <w:bottom w:val="nil"/>
          <w:right w:val="nil"/>
          <w:between w:val="nil"/>
        </w:pBdr>
        <w:spacing w:after="0" w:line="240" w:lineRule="auto"/>
        <w:jc w:val="both"/>
        <w:rPr>
          <w:color w:val="000000"/>
        </w:rPr>
      </w:pPr>
      <w:r w:rsidRPr="002715B5">
        <w:rPr>
          <w:color w:val="000000"/>
          <w:sz w:val="24"/>
          <w:szCs w:val="24"/>
        </w:rPr>
        <w:t xml:space="preserve">En el año 2017 </w:t>
      </w:r>
      <w:r w:rsidR="002715B5">
        <w:rPr>
          <w:color w:val="000000"/>
          <w:sz w:val="24"/>
          <w:szCs w:val="24"/>
        </w:rPr>
        <w:t xml:space="preserve">se incluyeron </w:t>
      </w:r>
      <w:r w:rsidRPr="002715B5">
        <w:rPr>
          <w:color w:val="000000"/>
          <w:sz w:val="24"/>
          <w:szCs w:val="24"/>
        </w:rPr>
        <w:t>en el nuevo Código del Sistema Penal</w:t>
      </w:r>
      <w:r>
        <w:rPr>
          <w:vertAlign w:val="superscript"/>
        </w:rPr>
        <w:footnoteReference w:id="7"/>
      </w:r>
      <w:r w:rsidRPr="002715B5">
        <w:rPr>
          <w:color w:val="000000"/>
          <w:sz w:val="24"/>
          <w:szCs w:val="24"/>
        </w:rPr>
        <w:t xml:space="preserve"> </w:t>
      </w:r>
      <w:r w:rsidR="002715B5">
        <w:rPr>
          <w:color w:val="000000"/>
          <w:sz w:val="24"/>
          <w:szCs w:val="24"/>
        </w:rPr>
        <w:t>09</w:t>
      </w:r>
      <w:r w:rsidRPr="002715B5">
        <w:rPr>
          <w:color w:val="000000"/>
          <w:sz w:val="24"/>
          <w:szCs w:val="24"/>
        </w:rPr>
        <w:t xml:space="preserve"> </w:t>
      </w:r>
      <w:r w:rsidR="002715B5">
        <w:rPr>
          <w:color w:val="000000"/>
          <w:sz w:val="24"/>
          <w:szCs w:val="24"/>
        </w:rPr>
        <w:t xml:space="preserve">(nueve) </w:t>
      </w:r>
      <w:r w:rsidRPr="002715B5">
        <w:rPr>
          <w:color w:val="000000"/>
          <w:sz w:val="24"/>
          <w:szCs w:val="24"/>
        </w:rPr>
        <w:t xml:space="preserve">artículos para sancionar los crímenes basados en el prejuicio contra personas LGBTI. Sin embargo, luego de que se derogara el mencionado Código, no se cuenta con una norma que sancione específicamente los delitos motivados por prejuicio hacia la orientación sexual, identidad y expresión de género. </w:t>
      </w:r>
    </w:p>
    <w:p w14:paraId="37975984" w14:textId="77777777" w:rsidR="002715B5" w:rsidRPr="002715B5" w:rsidRDefault="002715B5" w:rsidP="002715B5">
      <w:pPr>
        <w:pStyle w:val="Prrafodelista"/>
        <w:rPr>
          <w:color w:val="000000"/>
        </w:rPr>
      </w:pPr>
    </w:p>
    <w:p w14:paraId="5C145932" w14:textId="77777777" w:rsidR="00810F44" w:rsidRPr="002715B5" w:rsidRDefault="004F3F02" w:rsidP="002715B5">
      <w:pPr>
        <w:pStyle w:val="Prrafodelista"/>
        <w:numPr>
          <w:ilvl w:val="0"/>
          <w:numId w:val="9"/>
        </w:numPr>
        <w:pBdr>
          <w:top w:val="nil"/>
          <w:left w:val="nil"/>
          <w:bottom w:val="nil"/>
          <w:right w:val="nil"/>
          <w:between w:val="nil"/>
        </w:pBdr>
        <w:spacing w:after="0" w:line="240" w:lineRule="auto"/>
        <w:jc w:val="both"/>
        <w:rPr>
          <w:color w:val="000000"/>
        </w:rPr>
      </w:pPr>
      <w:r w:rsidRPr="002715B5">
        <w:rPr>
          <w:color w:val="000000"/>
          <w:sz w:val="24"/>
          <w:szCs w:val="24"/>
        </w:rPr>
        <w:t>Finalmente, cabe señalar que tampoco existen políticas públicas para prevenir y atender la discriminación de las mujeres LBT privadas de libertad. Si bien en diciembre del año 2021, a partir de la iniciativa de organizaciones de la sociedad civil, la Dirección de Régimen Penitenciario emitió una norma específica para personas LGBTI+ en Centros Penitenciarios</w:t>
      </w:r>
      <w:r>
        <w:rPr>
          <w:vertAlign w:val="superscript"/>
        </w:rPr>
        <w:footnoteReference w:id="8"/>
      </w:r>
      <w:r w:rsidRPr="002715B5">
        <w:rPr>
          <w:color w:val="000000"/>
          <w:sz w:val="24"/>
          <w:szCs w:val="24"/>
        </w:rPr>
        <w:t xml:space="preserve">, no existen datos concretos de su aplicación efectiva en los 46 centros a nivel nacional. </w:t>
      </w:r>
    </w:p>
    <w:p w14:paraId="13AEBA1E" w14:textId="77777777" w:rsidR="00810F44" w:rsidRDefault="00810F44">
      <w:pPr>
        <w:jc w:val="both"/>
      </w:pPr>
    </w:p>
    <w:p w14:paraId="3126DA68" w14:textId="2E941639" w:rsidR="00810F44" w:rsidRDefault="007F43D6" w:rsidP="007F43D6">
      <w:pPr>
        <w:pBdr>
          <w:top w:val="nil"/>
          <w:left w:val="nil"/>
          <w:bottom w:val="nil"/>
          <w:right w:val="nil"/>
          <w:between w:val="nil"/>
        </w:pBdr>
        <w:spacing w:after="0" w:line="240" w:lineRule="auto"/>
        <w:jc w:val="both"/>
        <w:rPr>
          <w:color w:val="000000"/>
        </w:rPr>
      </w:pPr>
      <w:r>
        <w:rPr>
          <w:b/>
          <w:color w:val="000000"/>
          <w:sz w:val="26"/>
          <w:szCs w:val="26"/>
        </w:rPr>
        <w:t xml:space="preserve">      </w:t>
      </w:r>
      <w:r w:rsidR="004F3F02">
        <w:rPr>
          <w:b/>
          <w:color w:val="000000"/>
          <w:sz w:val="26"/>
          <w:szCs w:val="26"/>
        </w:rPr>
        <w:t>Recomendaciones:</w:t>
      </w:r>
    </w:p>
    <w:p w14:paraId="3A958287" w14:textId="5D5183C1" w:rsidR="00810F44" w:rsidRDefault="004F3F02">
      <w:pPr>
        <w:pBdr>
          <w:top w:val="nil"/>
          <w:left w:val="nil"/>
          <w:bottom w:val="nil"/>
          <w:right w:val="nil"/>
          <w:between w:val="nil"/>
        </w:pBdr>
        <w:spacing w:after="0" w:line="240" w:lineRule="auto"/>
        <w:ind w:left="720"/>
        <w:jc w:val="both"/>
        <w:rPr>
          <w:color w:val="000000"/>
          <w:sz w:val="24"/>
          <w:szCs w:val="24"/>
          <w:highlight w:val="white"/>
        </w:rPr>
      </w:pPr>
      <w:r>
        <w:rPr>
          <w:b/>
          <w:color w:val="000000"/>
          <w:sz w:val="26"/>
          <w:szCs w:val="26"/>
        </w:rPr>
        <w:br/>
      </w:r>
      <w:r w:rsidR="00E40903">
        <w:rPr>
          <w:b/>
          <w:color w:val="000000"/>
          <w:sz w:val="26"/>
          <w:szCs w:val="26"/>
        </w:rPr>
        <w:t>30</w:t>
      </w:r>
      <w:r w:rsidR="007F43D6">
        <w:rPr>
          <w:b/>
          <w:color w:val="000000"/>
          <w:sz w:val="26"/>
          <w:szCs w:val="26"/>
        </w:rPr>
        <w:t>.</w:t>
      </w:r>
      <w:r>
        <w:rPr>
          <w:b/>
          <w:color w:val="000000"/>
          <w:sz w:val="26"/>
          <w:szCs w:val="26"/>
        </w:rPr>
        <w:t xml:space="preserve"> </w:t>
      </w:r>
      <w:r>
        <w:rPr>
          <w:color w:val="000000"/>
          <w:sz w:val="24"/>
          <w:szCs w:val="24"/>
          <w:highlight w:val="white"/>
        </w:rPr>
        <w:t xml:space="preserve">La promulgación de una ley nacional que prohíba y sancione los Crímenes motivados por el prejuicio hacia la orientación sexual e identidad de </w:t>
      </w:r>
      <w:r w:rsidR="004A4B7D">
        <w:rPr>
          <w:color w:val="000000"/>
          <w:sz w:val="24"/>
          <w:szCs w:val="24"/>
          <w:highlight w:val="white"/>
        </w:rPr>
        <w:t>género,</w:t>
      </w:r>
      <w:r>
        <w:rPr>
          <w:color w:val="000000"/>
          <w:sz w:val="24"/>
          <w:szCs w:val="24"/>
          <w:highlight w:val="white"/>
        </w:rPr>
        <w:t xml:space="preserve"> así como mejorar el proceso de investigación de </w:t>
      </w:r>
      <w:proofErr w:type="gramStart"/>
      <w:r>
        <w:rPr>
          <w:color w:val="000000"/>
          <w:sz w:val="24"/>
          <w:szCs w:val="24"/>
          <w:highlight w:val="white"/>
        </w:rPr>
        <w:t>los mismos</w:t>
      </w:r>
      <w:proofErr w:type="gramEnd"/>
      <w:r>
        <w:rPr>
          <w:color w:val="000000"/>
          <w:sz w:val="24"/>
          <w:szCs w:val="24"/>
          <w:highlight w:val="white"/>
        </w:rPr>
        <w:t xml:space="preserve"> hasta concluir con la condena de los responsables y la reparación de las víctimas.</w:t>
      </w:r>
    </w:p>
    <w:p w14:paraId="14BD381B" w14:textId="77777777" w:rsidR="00810F44" w:rsidRDefault="00810F44">
      <w:pPr>
        <w:pBdr>
          <w:top w:val="nil"/>
          <w:left w:val="nil"/>
          <w:bottom w:val="nil"/>
          <w:right w:val="nil"/>
          <w:between w:val="nil"/>
        </w:pBdr>
        <w:spacing w:after="0" w:line="240" w:lineRule="auto"/>
        <w:ind w:left="720"/>
        <w:jc w:val="both"/>
        <w:rPr>
          <w:color w:val="000000"/>
          <w:sz w:val="24"/>
          <w:szCs w:val="24"/>
          <w:highlight w:val="white"/>
        </w:rPr>
      </w:pPr>
    </w:p>
    <w:p w14:paraId="3A1E2D17" w14:textId="46EA80AE" w:rsidR="00810F44" w:rsidRDefault="00E40903">
      <w:pPr>
        <w:ind w:left="720"/>
        <w:jc w:val="both"/>
        <w:rPr>
          <w:color w:val="000000"/>
          <w:highlight w:val="white"/>
        </w:rPr>
      </w:pPr>
      <w:r>
        <w:rPr>
          <w:b/>
          <w:color w:val="000000"/>
          <w:sz w:val="24"/>
          <w:szCs w:val="24"/>
          <w:highlight w:val="white"/>
        </w:rPr>
        <w:t>31</w:t>
      </w:r>
      <w:r w:rsidR="007F43D6">
        <w:rPr>
          <w:b/>
          <w:color w:val="000000"/>
          <w:sz w:val="24"/>
          <w:szCs w:val="24"/>
          <w:highlight w:val="white"/>
        </w:rPr>
        <w:t>.</w:t>
      </w:r>
      <w:r w:rsidR="004F3F02">
        <w:rPr>
          <w:color w:val="000000"/>
          <w:highlight w:val="white"/>
        </w:rPr>
        <w:t xml:space="preserve"> Capacitar y sensibilizar a operadores del sistema de justicia para el tratamiento de procesos judiciales relacionados con crímenes motivados por el prejuicio hacia mujeres LBT, adoptando protocolos especializados para la investigación y juzgamiento.</w:t>
      </w:r>
    </w:p>
    <w:p w14:paraId="32B4978F" w14:textId="77777777" w:rsidR="00810F44" w:rsidRDefault="00810F44">
      <w:pPr>
        <w:jc w:val="both"/>
        <w:rPr>
          <w:b/>
          <w:color w:val="000000"/>
          <w:sz w:val="28"/>
          <w:szCs w:val="28"/>
          <w:highlight w:val="white"/>
        </w:rPr>
      </w:pPr>
    </w:p>
    <w:p w14:paraId="5527185F" w14:textId="77777777" w:rsidR="00810F44" w:rsidRDefault="004F3F02">
      <w:pPr>
        <w:rPr>
          <w:b/>
          <w:sz w:val="28"/>
          <w:szCs w:val="28"/>
        </w:rPr>
      </w:pPr>
      <w:r>
        <w:rPr>
          <w:b/>
          <w:sz w:val="28"/>
          <w:szCs w:val="28"/>
        </w:rPr>
        <w:t xml:space="preserve">Artículo 16. Discriminación en el matrimonio y las relaciones familiares </w:t>
      </w:r>
    </w:p>
    <w:p w14:paraId="57DEE308" w14:textId="6CECEFDC" w:rsidR="00810F44"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r w:rsidRPr="00E40903">
        <w:rPr>
          <w:color w:val="000000"/>
          <w:sz w:val="24"/>
          <w:szCs w:val="24"/>
        </w:rPr>
        <w:t xml:space="preserve">Bolivia no cuenta con una norma nacional específica que permita el registro de matrimonios y/o uniones civiles de parejas del mismo sexo cuando la pareja está constituida por dos mujeres. </w:t>
      </w:r>
      <w:bookmarkStart w:id="4" w:name="_Hlk103342873"/>
      <w:r w:rsidRPr="00E40903">
        <w:rPr>
          <w:color w:val="000000"/>
          <w:sz w:val="24"/>
          <w:szCs w:val="24"/>
        </w:rPr>
        <w:t>Incluso</w:t>
      </w:r>
      <w:r w:rsidR="00E40903">
        <w:rPr>
          <w:color w:val="000000"/>
          <w:sz w:val="24"/>
          <w:szCs w:val="24"/>
        </w:rPr>
        <w:t xml:space="preserve"> </w:t>
      </w:r>
      <w:r w:rsidR="00E40903" w:rsidRPr="00E40903">
        <w:rPr>
          <w:color w:val="000000"/>
          <w:sz w:val="24"/>
          <w:szCs w:val="24"/>
        </w:rPr>
        <w:t>los matrimonios y uniones civiles de personas tran</w:t>
      </w:r>
      <w:r w:rsidR="00E40903">
        <w:rPr>
          <w:color w:val="000000"/>
          <w:sz w:val="24"/>
          <w:szCs w:val="24"/>
        </w:rPr>
        <w:t>s que</w:t>
      </w:r>
      <w:r w:rsidRPr="00E40903">
        <w:rPr>
          <w:color w:val="000000"/>
          <w:sz w:val="24"/>
          <w:szCs w:val="24"/>
        </w:rPr>
        <w:t xml:space="preserve"> la Ley </w:t>
      </w:r>
      <w:proofErr w:type="spellStart"/>
      <w:r w:rsidRPr="00E40903">
        <w:rPr>
          <w:color w:val="000000"/>
          <w:sz w:val="24"/>
          <w:szCs w:val="24"/>
        </w:rPr>
        <w:t>N°</w:t>
      </w:r>
      <w:proofErr w:type="spellEnd"/>
      <w:r w:rsidRPr="00E40903">
        <w:rPr>
          <w:color w:val="000000"/>
          <w:sz w:val="24"/>
          <w:szCs w:val="24"/>
        </w:rPr>
        <w:t xml:space="preserve"> 807</w:t>
      </w:r>
      <w:r w:rsidR="00E40903">
        <w:rPr>
          <w:color w:val="000000"/>
          <w:sz w:val="24"/>
          <w:szCs w:val="24"/>
        </w:rPr>
        <w:t>, Ley</w:t>
      </w:r>
      <w:r w:rsidRPr="00E40903">
        <w:rPr>
          <w:color w:val="000000"/>
          <w:sz w:val="24"/>
          <w:szCs w:val="24"/>
        </w:rPr>
        <w:t xml:space="preserve"> de Identidad de Género</w:t>
      </w:r>
      <w:r>
        <w:rPr>
          <w:vertAlign w:val="superscript"/>
        </w:rPr>
        <w:footnoteReference w:id="9"/>
      </w:r>
      <w:r w:rsidR="00E40903">
        <w:rPr>
          <w:color w:val="000000"/>
          <w:sz w:val="24"/>
          <w:szCs w:val="24"/>
        </w:rPr>
        <w:t>,</w:t>
      </w:r>
      <w:r w:rsidRPr="00E40903">
        <w:rPr>
          <w:color w:val="000000"/>
          <w:sz w:val="24"/>
          <w:szCs w:val="24"/>
          <w:vertAlign w:val="superscript"/>
        </w:rPr>
        <w:t xml:space="preserve"> </w:t>
      </w:r>
      <w:r w:rsidRPr="00E40903">
        <w:rPr>
          <w:color w:val="000000"/>
          <w:sz w:val="24"/>
          <w:szCs w:val="24"/>
        </w:rPr>
        <w:t>promulgada en 2016</w:t>
      </w:r>
      <w:r w:rsidR="00E40903">
        <w:rPr>
          <w:color w:val="000000"/>
          <w:sz w:val="24"/>
          <w:szCs w:val="24"/>
        </w:rPr>
        <w:t xml:space="preserve"> permitía</w:t>
      </w:r>
      <w:r w:rsidRPr="00E40903">
        <w:rPr>
          <w:color w:val="000000"/>
          <w:sz w:val="24"/>
          <w:szCs w:val="24"/>
        </w:rPr>
        <w:t xml:space="preserve">, en la actualidad se encuentran restringidos a partir de la Sentencia Constitucional Plurinacional </w:t>
      </w:r>
      <w:proofErr w:type="spellStart"/>
      <w:r w:rsidRPr="00E40903">
        <w:rPr>
          <w:color w:val="000000"/>
          <w:sz w:val="24"/>
          <w:szCs w:val="24"/>
        </w:rPr>
        <w:t>N°</w:t>
      </w:r>
      <w:proofErr w:type="spellEnd"/>
      <w:r w:rsidRPr="00E40903">
        <w:rPr>
          <w:color w:val="000000"/>
          <w:sz w:val="24"/>
          <w:szCs w:val="24"/>
        </w:rPr>
        <w:t xml:space="preserve"> 0076/2017</w:t>
      </w:r>
      <w:bookmarkEnd w:id="4"/>
      <w:r>
        <w:rPr>
          <w:vertAlign w:val="superscript"/>
        </w:rPr>
        <w:footnoteReference w:id="10"/>
      </w:r>
      <w:r w:rsidRPr="00E40903">
        <w:rPr>
          <w:color w:val="000000"/>
          <w:sz w:val="24"/>
          <w:szCs w:val="24"/>
        </w:rPr>
        <w:t xml:space="preserve"> de 9 de noviembre de 2017, impidiendo que mujeres trans y sus parejas </w:t>
      </w:r>
      <w:r w:rsidR="00E40903">
        <w:rPr>
          <w:color w:val="000000"/>
          <w:sz w:val="24"/>
          <w:szCs w:val="24"/>
        </w:rPr>
        <w:t>(</w:t>
      </w:r>
      <w:r w:rsidRPr="00E40903">
        <w:rPr>
          <w:color w:val="000000"/>
          <w:sz w:val="24"/>
          <w:szCs w:val="24"/>
        </w:rPr>
        <w:t>que pueden o no ser LGBTI</w:t>
      </w:r>
      <w:r w:rsidR="00E40903">
        <w:rPr>
          <w:color w:val="000000"/>
          <w:sz w:val="24"/>
          <w:szCs w:val="24"/>
        </w:rPr>
        <w:t>)</w:t>
      </w:r>
      <w:r w:rsidRPr="00E40903">
        <w:rPr>
          <w:color w:val="000000"/>
          <w:sz w:val="24"/>
          <w:szCs w:val="24"/>
        </w:rPr>
        <w:t xml:space="preserve"> no ejerzan su derecho a la familia.</w:t>
      </w:r>
    </w:p>
    <w:p w14:paraId="79F77567" w14:textId="77777777" w:rsidR="00E40903" w:rsidRPr="00E40903" w:rsidRDefault="00E40903" w:rsidP="00E40903">
      <w:pPr>
        <w:pStyle w:val="Prrafodelista"/>
        <w:pBdr>
          <w:top w:val="nil"/>
          <w:left w:val="nil"/>
          <w:bottom w:val="nil"/>
          <w:right w:val="nil"/>
          <w:between w:val="nil"/>
        </w:pBdr>
        <w:spacing w:after="0" w:line="240" w:lineRule="auto"/>
        <w:ind w:left="1080"/>
        <w:jc w:val="both"/>
        <w:rPr>
          <w:color w:val="000000"/>
        </w:rPr>
      </w:pPr>
    </w:p>
    <w:p w14:paraId="6D2D2D5C" w14:textId="6918514C" w:rsidR="00810F44"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r w:rsidRPr="00E40903">
        <w:rPr>
          <w:color w:val="000000"/>
          <w:sz w:val="24"/>
          <w:szCs w:val="24"/>
        </w:rPr>
        <w:t xml:space="preserve">Conforme al procedimiento establecido, mediante Vicepresidencia del Estado, se solicitó la aclaración y enmienda de la mencionada Sentencia Constitucional puesto que discriminaba con base en la identidad de género de las mujeres trans. El Tribunal Constitucional Plurinacional pronunció entonces el Auto Constitucional </w:t>
      </w:r>
      <w:proofErr w:type="spellStart"/>
      <w:r w:rsidRPr="00E40903">
        <w:rPr>
          <w:color w:val="000000"/>
          <w:sz w:val="24"/>
          <w:szCs w:val="24"/>
        </w:rPr>
        <w:t>N°</w:t>
      </w:r>
      <w:proofErr w:type="spellEnd"/>
      <w:r w:rsidRPr="00E40903">
        <w:rPr>
          <w:color w:val="000000"/>
          <w:sz w:val="24"/>
          <w:szCs w:val="24"/>
        </w:rPr>
        <w:t xml:space="preserve"> 0028/2017-ECA,</w:t>
      </w:r>
      <w:r>
        <w:rPr>
          <w:vertAlign w:val="superscript"/>
        </w:rPr>
        <w:footnoteReference w:id="11"/>
      </w:r>
      <w:r w:rsidRPr="00E40903">
        <w:rPr>
          <w:color w:val="000000"/>
          <w:sz w:val="24"/>
          <w:szCs w:val="24"/>
        </w:rPr>
        <w:t xml:space="preserve"> “aclarando” que no se habían restringido todos los derechos fundamentales, sino únicamente aquellos en los que puede afectar el ejercicio de derechos de terceros, coartando así el matrimonio, adopción, confidencialidad y participación política de personas trans. </w:t>
      </w:r>
    </w:p>
    <w:p w14:paraId="06BEC6B0" w14:textId="77777777" w:rsidR="00E40903" w:rsidRPr="00E40903" w:rsidRDefault="00E40903" w:rsidP="00E40903">
      <w:pPr>
        <w:pStyle w:val="Prrafodelista"/>
        <w:rPr>
          <w:color w:val="000000"/>
        </w:rPr>
      </w:pPr>
    </w:p>
    <w:p w14:paraId="0FE92E05" w14:textId="2311090D" w:rsidR="00810F44"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r w:rsidRPr="00E40903">
        <w:rPr>
          <w:color w:val="000000"/>
          <w:sz w:val="24"/>
          <w:szCs w:val="24"/>
        </w:rPr>
        <w:t>A las mujeres lesbianas y bisexuales bolivianas tampoco se les reconoce el derecho al matrimonio o unión civil hasta la fecha, coartando además los derechos patrimoniales y de la seguridad social que emergen de dichas relaciones. Tampoco pueden ejercer actos de la vida familiar como adopciones, reconocer a hijos e hijas de sus parejas del mismo sexo, tener hijos e hijas mediante procedimientos de fertilización en los que se reconozca a ambas madres y con obligaciones sobre los hijos e hijas de ambas cónyuges</w:t>
      </w:r>
      <w:r>
        <w:rPr>
          <w:vertAlign w:val="superscript"/>
        </w:rPr>
        <w:footnoteReference w:id="12"/>
      </w:r>
      <w:r w:rsidRPr="00E40903">
        <w:rPr>
          <w:color w:val="000000"/>
          <w:sz w:val="24"/>
          <w:szCs w:val="24"/>
        </w:rPr>
        <w:t xml:space="preserve">. </w:t>
      </w:r>
    </w:p>
    <w:p w14:paraId="703AC7BF" w14:textId="77777777" w:rsidR="00E40903" w:rsidRPr="00E40903" w:rsidRDefault="00E40903" w:rsidP="00E40903">
      <w:pPr>
        <w:pStyle w:val="Prrafodelista"/>
        <w:rPr>
          <w:color w:val="000000"/>
        </w:rPr>
      </w:pPr>
    </w:p>
    <w:p w14:paraId="67625989" w14:textId="3BAEF5AB" w:rsidR="00810F44"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r w:rsidRPr="00E40903">
        <w:rPr>
          <w:color w:val="000000"/>
          <w:sz w:val="24"/>
          <w:szCs w:val="24"/>
        </w:rPr>
        <w:t xml:space="preserve">En esa misma línea, cabe señalar que existen casos de mujeres trans que han concebido una hija o hijo previamente a la realización del trámite administrativo para la modificación de sus documentos personales, pero en la actualidad no hay un mecanismo para rectificar dicho dato en las partidas </w:t>
      </w:r>
      <w:r w:rsidRPr="00E40903">
        <w:rPr>
          <w:color w:val="000000"/>
          <w:sz w:val="24"/>
          <w:szCs w:val="24"/>
        </w:rPr>
        <w:lastRenderedPageBreak/>
        <w:t xml:space="preserve">de nacimiento de estos menores, consignándose los datos anteriores de la mujer trans vulnerando el derecho a su personalidad jurídica, así como la identidad y el interés superior de los menores.  </w:t>
      </w:r>
    </w:p>
    <w:p w14:paraId="00BCFCE8" w14:textId="77777777" w:rsidR="00E40903" w:rsidRPr="00E40903" w:rsidRDefault="00E40903" w:rsidP="00E40903">
      <w:pPr>
        <w:pStyle w:val="Prrafodelista"/>
        <w:rPr>
          <w:color w:val="000000"/>
        </w:rPr>
      </w:pPr>
    </w:p>
    <w:p w14:paraId="7E09ED87" w14:textId="77777777" w:rsidR="00E40903"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r w:rsidRPr="00E40903">
        <w:rPr>
          <w:color w:val="000000"/>
          <w:sz w:val="24"/>
          <w:szCs w:val="24"/>
        </w:rPr>
        <w:t xml:space="preserve">Después de varias iniciativas impulsadas desde las organizaciones de la sociedad civil, el año 2015 estas organizaciones trabajaron junto a la Defensoría del Pueblo un proyecto de ley de denominado Acuerdo de Vida en Familia (AVF), con el objetivo de crear una tercera institución social distinta al matrimonio y la unión libre </w:t>
      </w:r>
      <w:proofErr w:type="gramStart"/>
      <w:r w:rsidRPr="00E40903">
        <w:rPr>
          <w:color w:val="000000"/>
          <w:sz w:val="24"/>
          <w:szCs w:val="24"/>
        </w:rPr>
        <w:t>o</w:t>
      </w:r>
      <w:proofErr w:type="gramEnd"/>
      <w:r w:rsidRPr="00E40903">
        <w:rPr>
          <w:color w:val="000000"/>
          <w:sz w:val="24"/>
          <w:szCs w:val="24"/>
        </w:rPr>
        <w:t xml:space="preserve"> de hecho, debido a que constitucionalmente dichas figuras jurídicas solamente son válidas para parejas heterosexuales. El proyecto nunca fue debatido en la Asamblea Legislativa. Por ello, durante el año 2021, organizaciones de la sociedad civil trabajaron una nueva propuesta junto al Ministerio de Justicia, pero el proyecto aún no fue remitido a la Asamblea Legislativa Plurinacional, pese al constante seguimiento y control social de parte de la sociedad civil e instituciones de derechos humanos.</w:t>
      </w:r>
    </w:p>
    <w:p w14:paraId="5DEA615B" w14:textId="77777777" w:rsidR="00E40903" w:rsidRPr="00E40903" w:rsidRDefault="00E40903" w:rsidP="00E40903">
      <w:pPr>
        <w:pStyle w:val="Prrafodelista"/>
        <w:rPr>
          <w:color w:val="000000"/>
          <w:sz w:val="24"/>
          <w:szCs w:val="24"/>
        </w:rPr>
      </w:pPr>
    </w:p>
    <w:p w14:paraId="52B034C2" w14:textId="6A4BEE82" w:rsidR="00810F44" w:rsidRPr="00E40903" w:rsidRDefault="004F3F02" w:rsidP="00E40903">
      <w:pPr>
        <w:pStyle w:val="Prrafodelista"/>
        <w:numPr>
          <w:ilvl w:val="0"/>
          <w:numId w:val="10"/>
        </w:numPr>
        <w:pBdr>
          <w:top w:val="nil"/>
          <w:left w:val="nil"/>
          <w:bottom w:val="nil"/>
          <w:right w:val="nil"/>
          <w:between w:val="nil"/>
        </w:pBdr>
        <w:spacing w:after="0" w:line="240" w:lineRule="auto"/>
        <w:jc w:val="both"/>
        <w:rPr>
          <w:color w:val="000000"/>
        </w:rPr>
      </w:pPr>
      <w:proofErr w:type="spellStart"/>
      <w:r w:rsidRPr="00E40903">
        <w:rPr>
          <w:color w:val="000000"/>
          <w:sz w:val="24"/>
          <w:szCs w:val="24"/>
        </w:rPr>
        <w:t>Por</w:t>
      </w:r>
      <w:proofErr w:type="spellEnd"/>
      <w:r w:rsidRPr="00E40903">
        <w:rPr>
          <w:color w:val="000000"/>
          <w:sz w:val="24"/>
          <w:szCs w:val="24"/>
        </w:rPr>
        <w:t xml:space="preserve"> ello, urge contar con una norma específica que legalice el matrimonio y/o uniones civiles de parejas del mismo sexo, en resguardo los derechos que devienen del reconocimiento legal de estas uniones, y que en el caso de las mujeres les debería permitir ejercer derechos para la seguridad social, el patrimonio, la salud, entre otros.</w:t>
      </w:r>
    </w:p>
    <w:p w14:paraId="4CE4CED1" w14:textId="77777777" w:rsidR="00810F44" w:rsidRDefault="00810F44">
      <w:pPr>
        <w:pBdr>
          <w:top w:val="nil"/>
          <w:left w:val="nil"/>
          <w:bottom w:val="nil"/>
          <w:right w:val="nil"/>
          <w:between w:val="nil"/>
        </w:pBdr>
        <w:spacing w:after="0" w:line="240" w:lineRule="auto"/>
        <w:ind w:left="720"/>
        <w:rPr>
          <w:color w:val="000000"/>
          <w:sz w:val="24"/>
          <w:szCs w:val="24"/>
        </w:rPr>
      </w:pPr>
    </w:p>
    <w:p w14:paraId="00DF07B0" w14:textId="77777777" w:rsidR="00810F44" w:rsidRDefault="004F3F02" w:rsidP="00E40903">
      <w:pPr>
        <w:pBdr>
          <w:top w:val="nil"/>
          <w:left w:val="nil"/>
          <w:bottom w:val="nil"/>
          <w:right w:val="nil"/>
          <w:between w:val="nil"/>
        </w:pBdr>
        <w:spacing w:after="0" w:line="240" w:lineRule="auto"/>
        <w:ind w:left="426"/>
        <w:jc w:val="both"/>
        <w:rPr>
          <w:color w:val="000000"/>
        </w:rPr>
      </w:pPr>
      <w:r>
        <w:rPr>
          <w:b/>
          <w:color w:val="000000"/>
          <w:sz w:val="26"/>
          <w:szCs w:val="26"/>
        </w:rPr>
        <w:t>Recomendaciones:</w:t>
      </w:r>
    </w:p>
    <w:p w14:paraId="0736A3A9" w14:textId="77777777" w:rsidR="00810F44" w:rsidRDefault="00810F44" w:rsidP="00E40903">
      <w:pPr>
        <w:ind w:left="426"/>
        <w:jc w:val="both"/>
        <w:rPr>
          <w:color w:val="000000"/>
          <w:sz w:val="19"/>
          <w:szCs w:val="19"/>
          <w:highlight w:val="white"/>
        </w:rPr>
      </w:pPr>
    </w:p>
    <w:p w14:paraId="56315121" w14:textId="6506F8C1" w:rsidR="00810F44" w:rsidRDefault="007F43D6" w:rsidP="00E40903">
      <w:pPr>
        <w:ind w:left="426"/>
        <w:jc w:val="both"/>
        <w:rPr>
          <w:color w:val="000000"/>
          <w:sz w:val="24"/>
          <w:szCs w:val="24"/>
          <w:highlight w:val="white"/>
        </w:rPr>
      </w:pPr>
      <w:r>
        <w:rPr>
          <w:b/>
          <w:color w:val="000000"/>
          <w:sz w:val="24"/>
          <w:szCs w:val="24"/>
          <w:highlight w:val="white"/>
        </w:rPr>
        <w:t>3</w:t>
      </w:r>
      <w:r w:rsidR="00E40903">
        <w:rPr>
          <w:b/>
          <w:color w:val="000000"/>
          <w:sz w:val="24"/>
          <w:szCs w:val="24"/>
          <w:highlight w:val="white"/>
        </w:rPr>
        <w:t>8</w:t>
      </w:r>
      <w:r>
        <w:rPr>
          <w:b/>
          <w:color w:val="000000"/>
          <w:sz w:val="24"/>
          <w:szCs w:val="24"/>
          <w:highlight w:val="white"/>
        </w:rPr>
        <w:t>.</w:t>
      </w:r>
      <w:r w:rsidR="004F3F02">
        <w:rPr>
          <w:color w:val="000000"/>
          <w:sz w:val="24"/>
          <w:szCs w:val="24"/>
          <w:highlight w:val="white"/>
        </w:rPr>
        <w:t xml:space="preserve"> </w:t>
      </w:r>
      <w:r w:rsidR="00E40903">
        <w:rPr>
          <w:color w:val="000000"/>
          <w:sz w:val="24"/>
          <w:szCs w:val="24"/>
          <w:highlight w:val="white"/>
        </w:rPr>
        <w:t>Derogar</w:t>
      </w:r>
      <w:r w:rsidR="004F3F02">
        <w:rPr>
          <w:color w:val="000000"/>
          <w:sz w:val="24"/>
          <w:szCs w:val="24"/>
          <w:highlight w:val="white"/>
        </w:rPr>
        <w:t xml:space="preserve"> la SCP 0076/2017 y Auto Constitucional 0028/2017 </w:t>
      </w:r>
      <w:r w:rsidR="00456E78">
        <w:rPr>
          <w:color w:val="000000"/>
          <w:sz w:val="24"/>
          <w:szCs w:val="24"/>
          <w:highlight w:val="white"/>
        </w:rPr>
        <w:t>por ser contrarios a</w:t>
      </w:r>
      <w:r w:rsidR="004F3F02">
        <w:rPr>
          <w:color w:val="000000"/>
          <w:sz w:val="24"/>
          <w:szCs w:val="24"/>
          <w:highlight w:val="white"/>
        </w:rPr>
        <w:t xml:space="preserve"> los pactos y tratados internacionales de Derechos Humanos, o en su defecto, promulgar a la brevedad posible, normas que garanticen el derecho a la familia (matrimonio, uniones libres </w:t>
      </w:r>
      <w:proofErr w:type="gramStart"/>
      <w:r w:rsidR="004F3F02">
        <w:rPr>
          <w:color w:val="000000"/>
          <w:sz w:val="24"/>
          <w:szCs w:val="24"/>
          <w:highlight w:val="white"/>
        </w:rPr>
        <w:t>o</w:t>
      </w:r>
      <w:proofErr w:type="gramEnd"/>
      <w:r w:rsidR="004F3F02">
        <w:rPr>
          <w:color w:val="000000"/>
          <w:sz w:val="24"/>
          <w:szCs w:val="24"/>
          <w:highlight w:val="white"/>
        </w:rPr>
        <w:t xml:space="preserve"> de hecho, adopción y registro de hijos e hijas por parte de todas las personas LGBTI).</w:t>
      </w:r>
    </w:p>
    <w:p w14:paraId="3D022FF3" w14:textId="205E923A" w:rsidR="00810F44" w:rsidRDefault="007F43D6" w:rsidP="00E40903">
      <w:pPr>
        <w:ind w:left="426"/>
        <w:jc w:val="both"/>
        <w:rPr>
          <w:color w:val="000000"/>
          <w:sz w:val="24"/>
          <w:szCs w:val="24"/>
          <w:highlight w:val="white"/>
        </w:rPr>
      </w:pPr>
      <w:r>
        <w:rPr>
          <w:b/>
          <w:color w:val="000000"/>
          <w:sz w:val="24"/>
          <w:szCs w:val="24"/>
          <w:highlight w:val="white"/>
        </w:rPr>
        <w:t>3</w:t>
      </w:r>
      <w:r w:rsidR="00E40903">
        <w:rPr>
          <w:b/>
          <w:color w:val="000000"/>
          <w:sz w:val="24"/>
          <w:szCs w:val="24"/>
          <w:highlight w:val="white"/>
        </w:rPr>
        <w:t>9</w:t>
      </w:r>
      <w:r>
        <w:rPr>
          <w:b/>
          <w:color w:val="000000"/>
          <w:sz w:val="24"/>
          <w:szCs w:val="24"/>
          <w:highlight w:val="white"/>
        </w:rPr>
        <w:t>.</w:t>
      </w:r>
      <w:r w:rsidR="004F3F02">
        <w:rPr>
          <w:color w:val="000000"/>
          <w:sz w:val="24"/>
          <w:szCs w:val="24"/>
          <w:highlight w:val="white"/>
        </w:rPr>
        <w:t xml:space="preserve"> Derogar el Art. 168, parágrafo I, inciso b) de la Ley </w:t>
      </w:r>
      <w:proofErr w:type="spellStart"/>
      <w:r w:rsidR="004F3F02">
        <w:rPr>
          <w:color w:val="000000"/>
          <w:sz w:val="24"/>
          <w:szCs w:val="24"/>
          <w:highlight w:val="white"/>
        </w:rPr>
        <w:t>N°</w:t>
      </w:r>
      <w:proofErr w:type="spellEnd"/>
      <w:r w:rsidR="004F3F02">
        <w:rPr>
          <w:color w:val="000000"/>
          <w:sz w:val="24"/>
          <w:szCs w:val="24"/>
          <w:highlight w:val="white"/>
        </w:rPr>
        <w:t xml:space="preserve"> 603 Código de las Familias y del Proceso Familiar, mismo que declara que el matrimonio es nulo cuando no se ha realizado entre un hombre y una mujer.</w:t>
      </w:r>
    </w:p>
    <w:p w14:paraId="17F64E0E" w14:textId="442186D4" w:rsidR="00810F44" w:rsidRDefault="00E40903" w:rsidP="00E40903">
      <w:pPr>
        <w:ind w:left="426"/>
        <w:jc w:val="both"/>
        <w:rPr>
          <w:color w:val="000000"/>
          <w:sz w:val="24"/>
          <w:szCs w:val="24"/>
          <w:highlight w:val="white"/>
        </w:rPr>
      </w:pPr>
      <w:r>
        <w:rPr>
          <w:b/>
          <w:color w:val="000000"/>
          <w:sz w:val="24"/>
          <w:szCs w:val="24"/>
          <w:highlight w:val="white"/>
        </w:rPr>
        <w:t>40</w:t>
      </w:r>
      <w:r w:rsidR="007F43D6">
        <w:rPr>
          <w:b/>
          <w:color w:val="000000"/>
          <w:sz w:val="24"/>
          <w:szCs w:val="24"/>
          <w:highlight w:val="white"/>
        </w:rPr>
        <w:t>.</w:t>
      </w:r>
      <w:r w:rsidR="004F3F02">
        <w:rPr>
          <w:color w:val="000000"/>
          <w:sz w:val="24"/>
          <w:szCs w:val="24"/>
          <w:highlight w:val="white"/>
        </w:rPr>
        <w:t xml:space="preserve"> El Servicio de Registro Cívico (SERECÍ), dependiente del Órgano Electoral Plurinacional (OEP), deberán </w:t>
      </w:r>
      <w:r w:rsidR="00456E78">
        <w:rPr>
          <w:color w:val="000000"/>
          <w:sz w:val="24"/>
          <w:szCs w:val="24"/>
          <w:highlight w:val="white"/>
        </w:rPr>
        <w:t>adoptar</w:t>
      </w:r>
      <w:r w:rsidR="004F3F02">
        <w:rPr>
          <w:color w:val="000000"/>
          <w:sz w:val="24"/>
          <w:szCs w:val="24"/>
          <w:highlight w:val="white"/>
        </w:rPr>
        <w:t xml:space="preserve"> instructivos y/o reglamentos que garanticen el ejercicio del derecho a la familia, el derecho al nombre y el derecho a la nacionalidad de hijos de mujeres LBT, modificando el certificado de nacimiento, permitiendo la inclusión de parejas del mismo sexo y de personas trans como autoridades parentales y no como “padre y madre” únicamente.</w:t>
      </w:r>
    </w:p>
    <w:p w14:paraId="5F1D1B38" w14:textId="77777777" w:rsidR="00810F44" w:rsidRDefault="00810F44">
      <w:pPr>
        <w:jc w:val="both"/>
        <w:rPr>
          <w:color w:val="000000"/>
          <w:sz w:val="19"/>
          <w:szCs w:val="19"/>
          <w:highlight w:val="white"/>
        </w:rPr>
      </w:pPr>
    </w:p>
    <w:p w14:paraId="68B476A6" w14:textId="77777777" w:rsidR="00810F44" w:rsidRDefault="004F3F02">
      <w:pPr>
        <w:jc w:val="both"/>
        <w:rPr>
          <w:b/>
        </w:rPr>
      </w:pPr>
      <w:r>
        <w:rPr>
          <w:color w:val="000000"/>
          <w:sz w:val="19"/>
          <w:szCs w:val="19"/>
          <w:highlight w:val="white"/>
        </w:rPr>
        <w:t xml:space="preserve"> </w:t>
      </w:r>
    </w:p>
    <w:sectPr w:rsidR="00810F44">
      <w:headerReference w:type="default" r:id="rId8"/>
      <w:pgSz w:w="11906" w:h="16838"/>
      <w:pgMar w:top="2552" w:right="1701"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42E13" w14:textId="77777777" w:rsidR="001A3B5E" w:rsidRDefault="001A3B5E">
      <w:pPr>
        <w:spacing w:after="0" w:line="240" w:lineRule="auto"/>
      </w:pPr>
      <w:r>
        <w:separator/>
      </w:r>
    </w:p>
  </w:endnote>
  <w:endnote w:type="continuationSeparator" w:id="0">
    <w:p w14:paraId="4504012A" w14:textId="77777777" w:rsidR="001A3B5E" w:rsidRDefault="001A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8AE90" w14:textId="77777777" w:rsidR="001A3B5E" w:rsidRDefault="001A3B5E">
      <w:pPr>
        <w:spacing w:after="0" w:line="240" w:lineRule="auto"/>
      </w:pPr>
      <w:r>
        <w:separator/>
      </w:r>
    </w:p>
  </w:footnote>
  <w:footnote w:type="continuationSeparator" w:id="0">
    <w:p w14:paraId="75898EA6" w14:textId="77777777" w:rsidR="001A3B5E" w:rsidRDefault="001A3B5E">
      <w:pPr>
        <w:spacing w:after="0" w:line="240" w:lineRule="auto"/>
      </w:pPr>
      <w:r>
        <w:continuationSeparator/>
      </w:r>
    </w:p>
  </w:footnote>
  <w:footnote w:id="1">
    <w:p w14:paraId="266C4544" w14:textId="4B7F7971"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w:t>
      </w:r>
      <w:r w:rsidR="00BB147E" w:rsidRPr="00863809">
        <w:rPr>
          <w:rFonts w:asciiTheme="majorHAnsi" w:hAnsiTheme="majorHAnsi" w:cstheme="majorHAnsi"/>
          <w:sz w:val="20"/>
          <w:szCs w:val="20"/>
        </w:rPr>
        <w:t>Constitución Política del Estado de 2009 Artículo 14 Párrafo II</w:t>
      </w:r>
      <w:r w:rsidR="00BB147E" w:rsidRPr="00863809">
        <w:rPr>
          <w:rFonts w:asciiTheme="majorHAnsi" w:hAnsiTheme="majorHAnsi" w:cstheme="majorHAnsi"/>
          <w:sz w:val="20"/>
          <w:szCs w:val="20"/>
        </w:rPr>
        <w:t>:</w:t>
      </w:r>
      <w:r w:rsidR="00BB147E" w:rsidRPr="00863809" w:rsidDel="00BB147E">
        <w:rPr>
          <w:rFonts w:asciiTheme="majorHAnsi" w:hAnsiTheme="majorHAnsi" w:cstheme="majorHAnsi"/>
          <w:color w:val="000000"/>
          <w:sz w:val="20"/>
          <w:szCs w:val="20"/>
        </w:rPr>
        <w:t xml:space="preserve"> </w:t>
      </w:r>
      <w:r w:rsidRPr="00863809">
        <w:rPr>
          <w:rFonts w:asciiTheme="majorHAnsi" w:hAnsiTheme="majorHAnsi" w:cstheme="majorHAnsi"/>
          <w:color w:val="000000"/>
          <w:sz w:val="20"/>
          <w:szCs w:val="20"/>
        </w:rPr>
        <w:t>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p>
  </w:footnote>
  <w:footnote w:id="2">
    <w:p w14:paraId="6F2F605C"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Diagnóstico del estado de situación de población con diversa orientación sexual e identidad de género en el municipio de La Paz (2020) Obtenido en </w:t>
      </w:r>
      <w:hyperlink r:id="rId1">
        <w:r w:rsidRPr="00863809">
          <w:rPr>
            <w:rFonts w:asciiTheme="majorHAnsi" w:hAnsiTheme="majorHAnsi" w:cstheme="majorHAnsi"/>
            <w:color w:val="0563C1"/>
            <w:sz w:val="20"/>
            <w:szCs w:val="20"/>
            <w:u w:val="single"/>
          </w:rPr>
          <w:t>https://drive.google.com/drive/folders/1Abkm-Th01XNveR7GoBDIggpIvC3jT8Ai?fbclid=IwAR1xuppEFmUDWjrmOz-sZ9QtCTK5Ct59DY6NgZlNHw2dvlxkjcIpOnXhfWs</w:t>
        </w:r>
      </w:hyperlink>
      <w:r w:rsidRPr="00863809">
        <w:rPr>
          <w:rFonts w:asciiTheme="majorHAnsi" w:hAnsiTheme="majorHAnsi" w:cstheme="majorHAnsi"/>
          <w:color w:val="000000"/>
          <w:sz w:val="20"/>
          <w:szCs w:val="20"/>
        </w:rPr>
        <w:t xml:space="preserve"> </w:t>
      </w:r>
    </w:p>
  </w:footnote>
  <w:footnote w:id="3">
    <w:p w14:paraId="0790A488"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Génesis, mujer trans, murió tras ser rechazada en dos hospitales Obtenido en: </w:t>
      </w:r>
      <w:hyperlink r:id="rId2">
        <w:r w:rsidRPr="00863809">
          <w:rPr>
            <w:rFonts w:asciiTheme="majorHAnsi" w:hAnsiTheme="majorHAnsi" w:cstheme="majorHAnsi"/>
            <w:color w:val="0563C1"/>
            <w:sz w:val="20"/>
            <w:szCs w:val="20"/>
            <w:u w:val="single"/>
          </w:rPr>
          <w:t>https://www.paginasiete.bo/sociedad/2022/3/28/genesis-mujer-trans-murio-tras-ser-rechazada-en-dos-hospitales-327035.html</w:t>
        </w:r>
      </w:hyperlink>
      <w:r w:rsidRPr="00863809">
        <w:rPr>
          <w:rFonts w:asciiTheme="majorHAnsi" w:hAnsiTheme="majorHAnsi" w:cstheme="majorHAnsi"/>
          <w:color w:val="000000"/>
          <w:sz w:val="20"/>
          <w:szCs w:val="20"/>
        </w:rPr>
        <w:t xml:space="preserve"> </w:t>
      </w:r>
    </w:p>
  </w:footnote>
  <w:footnote w:id="4">
    <w:p w14:paraId="5304B9AA"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w:t>
      </w:r>
      <w:bookmarkStart w:id="2" w:name="_Hlk103343248"/>
      <w:r w:rsidRPr="00863809">
        <w:rPr>
          <w:rFonts w:asciiTheme="majorHAnsi" w:hAnsiTheme="majorHAnsi" w:cstheme="majorHAnsi"/>
          <w:color w:val="000000"/>
          <w:sz w:val="20"/>
          <w:szCs w:val="20"/>
        </w:rPr>
        <w:t>Ley N°348 Ley Integral para garantizar a las mujeres una vida libre de violencia</w:t>
      </w:r>
      <w:bookmarkEnd w:id="2"/>
      <w:r w:rsidRPr="00863809">
        <w:rPr>
          <w:rFonts w:asciiTheme="majorHAnsi" w:hAnsiTheme="majorHAnsi" w:cstheme="majorHAnsi"/>
          <w:color w:val="000000"/>
          <w:sz w:val="20"/>
          <w:szCs w:val="20"/>
        </w:rPr>
        <w:t xml:space="preserve">. Art. 252 bis. (FEMINICIDIO). Se sancionará con la pena de presidio de treinta (30) años sin derecho a indulto, a quien mate a una mujer, en cualquiera de las siguientes circunstancias: 1. El autor sea o haya sido cónyuge o conviviente de la víctima, esté o haya estado ligada a esta por una análoga relación de afectividad o intimidad, aún sin convivencia; 2. Por haberse negado la víctima a establecer con el autor, una relación de pareja, enamoramiento, afectividad o intimidad; 3. Por estar la víctima en situación de embarazo; 4. La víctima que se encuentre en una situación o relación de subordinación o dependencia respecto del autor, o tenga con éste una relación de amistad, laboral o de compañerismo; 5. La víctima se encuentre en una situación de vulnerabilidad; 6. Cuando con anterioridad al hecho de la muerte, la mujer haya sido víctima de violencia física, psicológica, sexual o económica, cometida por el mismo agresor; 7. Cuando el delito haya sido precedido por un delito contra la libertad individual o la libertad sexual; 8. Cuando la muerte sea conexa al delito de trata o tráfico de personas; 9. Cuando la muerte sea resultado de ritos, desafíos grupales o prácticas culturales. </w:t>
      </w:r>
    </w:p>
  </w:footnote>
  <w:footnote w:id="5">
    <w:p w14:paraId="3F548287" w14:textId="77777777" w:rsidR="00863809" w:rsidRPr="00863809" w:rsidRDefault="00863809" w:rsidP="00863809">
      <w:pPr>
        <w:spacing w:after="0" w:line="240" w:lineRule="auto"/>
        <w:jc w:val="both"/>
        <w:rPr>
          <w:rFonts w:asciiTheme="majorHAnsi" w:eastAsia="Libre Franklin" w:hAnsiTheme="majorHAnsi" w:cstheme="majorHAnsi"/>
          <w:sz w:val="20"/>
          <w:szCs w:val="20"/>
        </w:rPr>
      </w:pPr>
      <w:r w:rsidRPr="00863809">
        <w:rPr>
          <w:rFonts w:asciiTheme="majorHAnsi" w:hAnsiTheme="majorHAnsi" w:cstheme="majorHAnsi"/>
          <w:sz w:val="20"/>
          <w:szCs w:val="20"/>
          <w:vertAlign w:val="superscript"/>
        </w:rPr>
        <w:footnoteRef/>
      </w:r>
      <w:r w:rsidRPr="00863809">
        <w:rPr>
          <w:rFonts w:asciiTheme="majorHAnsi" w:eastAsia="Libre Franklin" w:hAnsiTheme="majorHAnsi" w:cstheme="majorHAnsi"/>
          <w:sz w:val="20"/>
          <w:szCs w:val="20"/>
        </w:rPr>
        <w:t xml:space="preserve">En 2017 la Asociación un Nuevo Camino (ASUNCAMI) publicó un reporte sobre las condiciones de la población GLTB en cárceles, en el que a partir del relevo testimonial identificó serias vulneraciones a la población trans, entre ellas la obligación de cortarse el pelo y vestirse como varones para asistir a las audiencias, humillaciones de parte de autoridades, internas e internos, entre otras. El documento, asimismo, observa la falta de uniformidad en los recintos penitenciarios </w:t>
      </w:r>
      <w:proofErr w:type="gramStart"/>
      <w:r w:rsidRPr="00863809">
        <w:rPr>
          <w:rFonts w:asciiTheme="majorHAnsi" w:eastAsia="Libre Franklin" w:hAnsiTheme="majorHAnsi" w:cstheme="majorHAnsi"/>
          <w:sz w:val="20"/>
          <w:szCs w:val="20"/>
        </w:rPr>
        <w:t>en relación a</w:t>
      </w:r>
      <w:proofErr w:type="gramEnd"/>
      <w:r w:rsidRPr="00863809">
        <w:rPr>
          <w:rFonts w:asciiTheme="majorHAnsi" w:eastAsia="Libre Franklin" w:hAnsiTheme="majorHAnsi" w:cstheme="majorHAnsi"/>
          <w:sz w:val="20"/>
          <w:szCs w:val="20"/>
        </w:rPr>
        <w:t xml:space="preserve"> la adopción de medidas integrales para el abordaje a la población trans, debido a que gran parte de grupos pertenecientes a colectivos GLBTI se “invisibiliza” al interior de las prisiones por temor al estigma, la discriminación y la violencia</w:t>
      </w:r>
      <w:r>
        <w:rPr>
          <w:rFonts w:asciiTheme="majorHAnsi" w:eastAsia="Libre Franklin" w:hAnsiTheme="majorHAnsi" w:cstheme="majorHAnsi"/>
          <w:sz w:val="20"/>
          <w:szCs w:val="20"/>
        </w:rPr>
        <w:t xml:space="preserve">. </w:t>
      </w:r>
      <w:r w:rsidRPr="00863809">
        <w:rPr>
          <w:rFonts w:asciiTheme="majorHAnsi" w:hAnsiTheme="majorHAnsi" w:cstheme="majorHAnsi"/>
          <w:sz w:val="20"/>
          <w:szCs w:val="20"/>
        </w:rPr>
        <w:t xml:space="preserve">Puede verse más en: Informe sobre el estado de la justicia en Bolivia 2020 (2021) Pág. 180 Obtenido en: </w:t>
      </w:r>
      <w:hyperlink r:id="rId3">
        <w:r w:rsidRPr="00863809">
          <w:rPr>
            <w:rFonts w:asciiTheme="majorHAnsi" w:hAnsiTheme="majorHAnsi" w:cstheme="majorHAnsi"/>
            <w:color w:val="0563C1"/>
            <w:sz w:val="20"/>
            <w:szCs w:val="20"/>
            <w:u w:val="single"/>
          </w:rPr>
          <w:t>https://www.fundacionconstruir.org/contenido/informesobreelestadodelajusticiaenbolivia2020/</w:t>
        </w:r>
      </w:hyperlink>
      <w:r w:rsidRPr="00863809">
        <w:rPr>
          <w:rFonts w:asciiTheme="majorHAnsi" w:hAnsiTheme="majorHAnsi" w:cstheme="majorHAnsi"/>
          <w:sz w:val="20"/>
          <w:szCs w:val="20"/>
        </w:rPr>
        <w:t xml:space="preserve"> </w:t>
      </w:r>
    </w:p>
  </w:footnote>
  <w:footnote w:id="6">
    <w:p w14:paraId="46414582"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“Se muere antes y después del feminicidio. En más de 15 años y con al menos 20 asesinatos conocidos de mujeres trans en Bolivia, entre 70 crímenes de odio, sólo hay dos casos con sentencias judiciales.” (2021) Obtenido en </w:t>
      </w:r>
      <w:hyperlink r:id="rId4">
        <w:r w:rsidRPr="00863809">
          <w:rPr>
            <w:rFonts w:asciiTheme="majorHAnsi" w:hAnsiTheme="majorHAnsi" w:cstheme="majorHAnsi"/>
            <w:color w:val="0563C1"/>
            <w:sz w:val="20"/>
            <w:szCs w:val="20"/>
            <w:u w:val="single"/>
          </w:rPr>
          <w:t>https://www.opinion.com.bo/articulo/revista-asi/muere-antes-despues-transfeminicidio/20210917172511835406.html</w:t>
        </w:r>
      </w:hyperlink>
      <w:r w:rsidRPr="00863809">
        <w:rPr>
          <w:rFonts w:asciiTheme="majorHAnsi" w:hAnsiTheme="majorHAnsi" w:cstheme="majorHAnsi"/>
          <w:color w:val="000000"/>
          <w:sz w:val="20"/>
          <w:szCs w:val="20"/>
        </w:rPr>
        <w:t xml:space="preserve"> </w:t>
      </w:r>
    </w:p>
  </w:footnote>
  <w:footnote w:id="7">
    <w:p w14:paraId="51146FBB"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w:t>
      </w:r>
      <w:bookmarkStart w:id="3" w:name="_Hlk103343347"/>
      <w:r w:rsidR="00784CBC" w:rsidRPr="00863809">
        <w:rPr>
          <w:rFonts w:asciiTheme="majorHAnsi" w:hAnsiTheme="majorHAnsi" w:cstheme="majorHAnsi"/>
          <w:sz w:val="20"/>
          <w:szCs w:val="20"/>
        </w:rPr>
        <w:fldChar w:fldCharType="begin"/>
      </w:r>
      <w:r w:rsidR="00784CBC" w:rsidRPr="00863809">
        <w:rPr>
          <w:rFonts w:asciiTheme="majorHAnsi" w:hAnsiTheme="majorHAnsi" w:cstheme="majorHAnsi"/>
          <w:sz w:val="20"/>
          <w:szCs w:val="20"/>
        </w:rPr>
        <w:instrText xml:space="preserve"> HYPERLINK "https://bolivia.infoleyes.com/norma/6618/c%C3%B3digo-del-sistema-penal-1005" \h </w:instrText>
      </w:r>
      <w:r w:rsidR="00784CBC" w:rsidRPr="00863809">
        <w:rPr>
          <w:rFonts w:asciiTheme="majorHAnsi" w:hAnsiTheme="majorHAnsi" w:cstheme="majorHAnsi"/>
          <w:sz w:val="20"/>
          <w:szCs w:val="20"/>
        </w:rPr>
        <w:fldChar w:fldCharType="separate"/>
      </w:r>
      <w:r w:rsidRPr="00863809">
        <w:rPr>
          <w:rFonts w:asciiTheme="majorHAnsi" w:hAnsiTheme="majorHAnsi" w:cstheme="majorHAnsi"/>
          <w:color w:val="0563C1"/>
          <w:sz w:val="20"/>
          <w:szCs w:val="20"/>
          <w:u w:val="single"/>
        </w:rPr>
        <w:t>https://bolivia.infoleyes.com/norma/6618/c%C3%B3digo-del-sistema-penal-1005</w:t>
      </w:r>
      <w:r w:rsidR="00784CBC" w:rsidRPr="00863809">
        <w:rPr>
          <w:rFonts w:asciiTheme="majorHAnsi" w:hAnsiTheme="majorHAnsi" w:cstheme="majorHAnsi"/>
          <w:color w:val="0563C1"/>
          <w:sz w:val="20"/>
          <w:szCs w:val="20"/>
          <w:u w:val="single"/>
        </w:rPr>
        <w:fldChar w:fldCharType="end"/>
      </w:r>
      <w:r w:rsidRPr="00863809">
        <w:rPr>
          <w:rFonts w:asciiTheme="majorHAnsi" w:hAnsiTheme="majorHAnsi" w:cstheme="majorHAnsi"/>
          <w:color w:val="000000"/>
          <w:sz w:val="20"/>
          <w:szCs w:val="20"/>
        </w:rPr>
        <w:t xml:space="preserve"> </w:t>
      </w:r>
      <w:bookmarkEnd w:id="3"/>
    </w:p>
  </w:footnote>
  <w:footnote w:id="8">
    <w:p w14:paraId="180F3B2B"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Protocolo de Atención Integral de Personas LGBTIQ+ Privadas de Libertad (2021) </w:t>
      </w:r>
    </w:p>
  </w:footnote>
  <w:footnote w:id="9">
    <w:p w14:paraId="1B5D991F"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w:t>
      </w:r>
      <w:bookmarkStart w:id="5" w:name="_Hlk103343412"/>
      <w:r w:rsidR="00784CBC" w:rsidRPr="00863809">
        <w:rPr>
          <w:rFonts w:asciiTheme="majorHAnsi" w:hAnsiTheme="majorHAnsi" w:cstheme="majorHAnsi"/>
          <w:sz w:val="20"/>
          <w:szCs w:val="20"/>
        </w:rPr>
        <w:fldChar w:fldCharType="begin"/>
      </w:r>
      <w:r w:rsidR="00784CBC" w:rsidRPr="00863809">
        <w:rPr>
          <w:rFonts w:asciiTheme="majorHAnsi" w:hAnsiTheme="majorHAnsi" w:cstheme="majorHAnsi"/>
          <w:sz w:val="20"/>
          <w:szCs w:val="20"/>
        </w:rPr>
        <w:instrText xml:space="preserve"> HYPERLINK "https://web.senado.gob.bo/sites/default/files/LEY%20N%C2%B0%20807-2016.pdf" \h </w:instrText>
      </w:r>
      <w:r w:rsidR="00784CBC" w:rsidRPr="00863809">
        <w:rPr>
          <w:rFonts w:asciiTheme="majorHAnsi" w:hAnsiTheme="majorHAnsi" w:cstheme="majorHAnsi"/>
          <w:sz w:val="20"/>
          <w:szCs w:val="20"/>
        </w:rPr>
        <w:fldChar w:fldCharType="separate"/>
      </w:r>
      <w:r w:rsidRPr="00863809">
        <w:rPr>
          <w:rFonts w:asciiTheme="majorHAnsi" w:hAnsiTheme="majorHAnsi" w:cstheme="majorHAnsi"/>
          <w:color w:val="0563C1"/>
          <w:sz w:val="20"/>
          <w:szCs w:val="20"/>
          <w:u w:val="single"/>
        </w:rPr>
        <w:t>https://web.senado.gob.bo/sites/default/files/LEY%20N%C2%B0%20807-2016.pdf</w:t>
      </w:r>
      <w:r w:rsidR="00784CBC" w:rsidRPr="00863809">
        <w:rPr>
          <w:rFonts w:asciiTheme="majorHAnsi" w:hAnsiTheme="majorHAnsi" w:cstheme="majorHAnsi"/>
          <w:color w:val="0563C1"/>
          <w:sz w:val="20"/>
          <w:szCs w:val="20"/>
          <w:u w:val="single"/>
        </w:rPr>
        <w:fldChar w:fldCharType="end"/>
      </w:r>
      <w:r w:rsidRPr="00863809">
        <w:rPr>
          <w:rFonts w:asciiTheme="majorHAnsi" w:hAnsiTheme="majorHAnsi" w:cstheme="majorHAnsi"/>
          <w:color w:val="000000"/>
          <w:sz w:val="20"/>
          <w:szCs w:val="20"/>
        </w:rPr>
        <w:t xml:space="preserve"> </w:t>
      </w:r>
      <w:bookmarkEnd w:id="5"/>
    </w:p>
  </w:footnote>
  <w:footnote w:id="10">
    <w:p w14:paraId="70C7EC16"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w:t>
      </w:r>
      <w:hyperlink r:id="rId5">
        <w:r w:rsidRPr="00863809">
          <w:rPr>
            <w:rFonts w:asciiTheme="majorHAnsi" w:hAnsiTheme="majorHAnsi" w:cstheme="majorHAnsi"/>
            <w:color w:val="0563C1"/>
            <w:sz w:val="20"/>
            <w:szCs w:val="20"/>
            <w:u w:val="single"/>
          </w:rPr>
          <w:t>https://buscador.tcpbolivia.bo/servicios/(S(amrueffrbhwicxmrl4ot21a4))/WfrMostrarResolucion.aspx?b=149536</w:t>
        </w:r>
      </w:hyperlink>
      <w:r w:rsidRPr="00863809">
        <w:rPr>
          <w:rFonts w:asciiTheme="majorHAnsi" w:hAnsiTheme="majorHAnsi" w:cstheme="majorHAnsi"/>
          <w:color w:val="000000"/>
          <w:sz w:val="20"/>
          <w:szCs w:val="20"/>
        </w:rPr>
        <w:t xml:space="preserve"> </w:t>
      </w:r>
    </w:p>
  </w:footnote>
  <w:footnote w:id="11">
    <w:p w14:paraId="40B9002D"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Auto Constitucional Plurinacional 0028/2017 </w:t>
      </w:r>
      <w:hyperlink r:id="rId6">
        <w:r w:rsidRPr="00863809">
          <w:rPr>
            <w:rFonts w:asciiTheme="majorHAnsi" w:hAnsiTheme="majorHAnsi" w:cstheme="majorHAnsi"/>
            <w:color w:val="0563C1"/>
            <w:sz w:val="20"/>
            <w:szCs w:val="20"/>
            <w:u w:val="single"/>
          </w:rPr>
          <w:t>https://drive.google.com/file/d/1XhF_OexFVCOquF_08sy_LveDRu-gseEo/view?usp=sharing</w:t>
        </w:r>
      </w:hyperlink>
      <w:r w:rsidRPr="00863809">
        <w:rPr>
          <w:rFonts w:asciiTheme="majorHAnsi" w:hAnsiTheme="majorHAnsi" w:cstheme="majorHAnsi"/>
          <w:color w:val="000000"/>
          <w:sz w:val="20"/>
          <w:szCs w:val="20"/>
        </w:rPr>
        <w:t xml:space="preserve"> </w:t>
      </w:r>
    </w:p>
  </w:footnote>
  <w:footnote w:id="12">
    <w:p w14:paraId="1448A5AD" w14:textId="77777777" w:rsidR="00810F44" w:rsidRPr="00863809" w:rsidRDefault="004F3F02" w:rsidP="00863809">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863809">
        <w:rPr>
          <w:rFonts w:asciiTheme="majorHAnsi" w:hAnsiTheme="majorHAnsi" w:cstheme="majorHAnsi"/>
          <w:sz w:val="20"/>
          <w:szCs w:val="20"/>
          <w:vertAlign w:val="superscript"/>
        </w:rPr>
        <w:footnoteRef/>
      </w:r>
      <w:r w:rsidRPr="00863809">
        <w:rPr>
          <w:rFonts w:asciiTheme="majorHAnsi" w:hAnsiTheme="majorHAnsi" w:cstheme="majorHAnsi"/>
          <w:color w:val="000000"/>
          <w:sz w:val="20"/>
          <w:szCs w:val="20"/>
        </w:rPr>
        <w:t xml:space="preserve"> El certificado de nacimiento en Bolivia contiene un apartado específicamente para el nombre del padre y otro para el de la madre, sin que parejas del mismo sexo puedan incluir ambos nombres, ya que es condición que una de las personas sea varón (padre) y la otra mujer (madre).</w:t>
      </w:r>
    </w:p>
    <w:p w14:paraId="4208A3D5" w14:textId="77777777" w:rsidR="00810F44" w:rsidRPr="00863809" w:rsidRDefault="00810F44" w:rsidP="00863809">
      <w:pPr>
        <w:widowControl w:val="0"/>
        <w:pBdr>
          <w:top w:val="nil"/>
          <w:left w:val="nil"/>
          <w:bottom w:val="nil"/>
          <w:right w:val="nil"/>
          <w:between w:val="nil"/>
        </w:pBdr>
        <w:spacing w:after="0" w:line="276" w:lineRule="auto"/>
        <w:jc w:val="both"/>
        <w:rPr>
          <w:rFonts w:asciiTheme="majorHAnsi" w:hAnsiTheme="majorHAnsi" w:cstheme="majorHAnsi"/>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D472D" w14:textId="77777777" w:rsidR="00810F44" w:rsidRDefault="004F3F02">
    <w:pPr>
      <w:pBdr>
        <w:top w:val="nil"/>
        <w:left w:val="nil"/>
        <w:bottom w:val="nil"/>
        <w:right w:val="nil"/>
        <w:between w:val="nil"/>
      </w:pBdr>
      <w:tabs>
        <w:tab w:val="center" w:pos="4252"/>
        <w:tab w:val="right" w:pos="8504"/>
        <w:tab w:val="left" w:pos="795"/>
      </w:tabs>
      <w:spacing w:after="0" w:line="240" w:lineRule="auto"/>
      <w:rPr>
        <w:color w:val="000000"/>
      </w:rPr>
    </w:pPr>
    <w:r>
      <w:rPr>
        <w:color w:val="000000"/>
      </w:rPr>
      <w:tab/>
      <w:t xml:space="preserve"> </w:t>
    </w:r>
    <w:r>
      <w:rPr>
        <w:noProof/>
      </w:rPr>
      <w:drawing>
        <wp:anchor distT="0" distB="0" distL="114300" distR="114300" simplePos="0" relativeHeight="251658240" behindDoc="0" locked="0" layoutInCell="1" hidden="0" allowOverlap="1" wp14:anchorId="3FC68D36" wp14:editId="3F242C8E">
          <wp:simplePos x="0" y="0"/>
          <wp:positionH relativeFrom="column">
            <wp:posOffset>529590</wp:posOffset>
          </wp:positionH>
          <wp:positionV relativeFrom="paragraph">
            <wp:posOffset>146050</wp:posOffset>
          </wp:positionV>
          <wp:extent cx="1504950" cy="715645"/>
          <wp:effectExtent l="0" t="0" r="0" b="0"/>
          <wp:wrapSquare wrapText="bothSides" distT="0" distB="0" distL="114300" distR="114300"/>
          <wp:docPr id="3" name="image3.png" descr="LOGO_Red_litigantes_LGBT"/>
          <wp:cNvGraphicFramePr/>
          <a:graphic xmlns:a="http://schemas.openxmlformats.org/drawingml/2006/main">
            <a:graphicData uri="http://schemas.openxmlformats.org/drawingml/2006/picture">
              <pic:pic xmlns:pic="http://schemas.openxmlformats.org/drawingml/2006/picture">
                <pic:nvPicPr>
                  <pic:cNvPr id="0" name="image3.png" descr="LOGO_Red_litigantes_LGBT"/>
                  <pic:cNvPicPr preferRelativeResize="0"/>
                </pic:nvPicPr>
                <pic:blipFill>
                  <a:blip r:embed="rId1"/>
                  <a:srcRect/>
                  <a:stretch>
                    <a:fillRect/>
                  </a:stretch>
                </pic:blipFill>
                <pic:spPr>
                  <a:xfrm>
                    <a:off x="0" y="0"/>
                    <a:ext cx="1504950" cy="71564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CE188D" wp14:editId="2290D8AE">
          <wp:simplePos x="0" y="0"/>
          <wp:positionH relativeFrom="column">
            <wp:posOffset>-685799</wp:posOffset>
          </wp:positionH>
          <wp:positionV relativeFrom="paragraph">
            <wp:posOffset>169545</wp:posOffset>
          </wp:positionV>
          <wp:extent cx="1148080" cy="628650"/>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1148080" cy="62865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9D53D90" wp14:editId="74A7998C">
          <wp:simplePos x="0" y="0"/>
          <wp:positionH relativeFrom="column">
            <wp:posOffset>3701415</wp:posOffset>
          </wp:positionH>
          <wp:positionV relativeFrom="paragraph">
            <wp:posOffset>45720</wp:posOffset>
          </wp:positionV>
          <wp:extent cx="1028700" cy="762000"/>
          <wp:effectExtent l="0" t="0" r="0" b="0"/>
          <wp:wrapSquare wrapText="bothSides" distT="0" distB="0" distL="114300" distR="114300"/>
          <wp:docPr id="4" name="image4.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4.png" descr="C:\Users\user\Pictures\SRI LOGO (2).png"/>
                  <pic:cNvPicPr preferRelativeResize="0"/>
                </pic:nvPicPr>
                <pic:blipFill>
                  <a:blip r:embed="rId3"/>
                  <a:srcRect/>
                  <a:stretch>
                    <a:fillRect/>
                  </a:stretch>
                </pic:blipFill>
                <pic:spPr>
                  <a:xfrm>
                    <a:off x="0" y="0"/>
                    <a:ext cx="1028700" cy="76200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5CBA80B3" wp14:editId="79E84225">
          <wp:simplePos x="0" y="0"/>
          <wp:positionH relativeFrom="column">
            <wp:posOffset>2101215</wp:posOffset>
          </wp:positionH>
          <wp:positionV relativeFrom="paragraph">
            <wp:posOffset>207645</wp:posOffset>
          </wp:positionV>
          <wp:extent cx="1457325" cy="5238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457325" cy="523875"/>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5E3E6D97" wp14:editId="1BFF2647">
          <wp:simplePos x="0" y="0"/>
          <wp:positionH relativeFrom="column">
            <wp:posOffset>4882515</wp:posOffset>
          </wp:positionH>
          <wp:positionV relativeFrom="paragraph">
            <wp:posOffset>45720</wp:posOffset>
          </wp:positionV>
          <wp:extent cx="1343025" cy="791845"/>
          <wp:effectExtent l="0" t="0" r="0" b="0"/>
          <wp:wrapSquare wrapText="bothSides" distT="0" distB="0" distL="114300" distR="114300"/>
          <wp:docPr id="2" name="image2.pn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png" descr="F:\Marcelo y la Aerolinea\Synergia Logo II (2).jpg"/>
                  <pic:cNvPicPr preferRelativeResize="0"/>
                </pic:nvPicPr>
                <pic:blipFill>
                  <a:blip r:embed="rId5"/>
                  <a:srcRect/>
                  <a:stretch>
                    <a:fillRect/>
                  </a:stretch>
                </pic:blipFill>
                <pic:spPr>
                  <a:xfrm>
                    <a:off x="0" y="0"/>
                    <a:ext cx="1343025" cy="7918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30D6"/>
    <w:multiLevelType w:val="hybridMultilevel"/>
    <w:tmpl w:val="F0D24AB6"/>
    <w:lvl w:ilvl="0" w:tplc="296C8B20">
      <w:start w:val="16"/>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54418AB"/>
    <w:multiLevelType w:val="multilevel"/>
    <w:tmpl w:val="06EAA458"/>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3192609C"/>
    <w:multiLevelType w:val="multilevel"/>
    <w:tmpl w:val="11D460A4"/>
    <w:lvl w:ilvl="0">
      <w:start w:val="1"/>
      <w:numFmt w:val="decimal"/>
      <w:lvlText w:val="%1."/>
      <w:lvlJc w:val="left"/>
      <w:pPr>
        <w:ind w:left="720" w:hanging="360"/>
      </w:pPr>
      <w:rPr>
        <w:rFonts w:ascii="Calibri" w:eastAsia="Calibri" w:hAnsi="Calibri" w:cs="Calibr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CE6D16"/>
    <w:multiLevelType w:val="multilevel"/>
    <w:tmpl w:val="8076B8B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7C30C1"/>
    <w:multiLevelType w:val="hybridMultilevel"/>
    <w:tmpl w:val="F8FEEAFC"/>
    <w:lvl w:ilvl="0" w:tplc="A7FCD744">
      <w:start w:val="20"/>
      <w:numFmt w:val="decimal"/>
      <w:lvlText w:val="%1."/>
      <w:lvlJc w:val="left"/>
      <w:pPr>
        <w:ind w:left="1080" w:hanging="360"/>
      </w:pPr>
      <w:rPr>
        <w:rFonts w:hint="default"/>
        <w:sz w:val="24"/>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5C1848E9"/>
    <w:multiLevelType w:val="hybridMultilevel"/>
    <w:tmpl w:val="5FF019C0"/>
    <w:lvl w:ilvl="0" w:tplc="31248F78">
      <w:start w:val="32"/>
      <w:numFmt w:val="decimal"/>
      <w:lvlText w:val="%1."/>
      <w:lvlJc w:val="left"/>
      <w:pPr>
        <w:ind w:left="1080" w:hanging="360"/>
      </w:pPr>
      <w:rPr>
        <w:rFonts w:hint="default"/>
        <w:sz w:val="24"/>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5F2E2E7C"/>
    <w:multiLevelType w:val="hybridMultilevel"/>
    <w:tmpl w:val="E55EDECA"/>
    <w:lvl w:ilvl="0" w:tplc="32543462">
      <w:start w:val="22"/>
      <w:numFmt w:val="decimal"/>
      <w:lvlText w:val="%1."/>
      <w:lvlJc w:val="left"/>
      <w:pPr>
        <w:ind w:left="720" w:hanging="360"/>
      </w:pPr>
      <w:rPr>
        <w:rFonts w:hint="default"/>
        <w:sz w:val="24"/>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F62401E"/>
    <w:multiLevelType w:val="hybridMultilevel"/>
    <w:tmpl w:val="CFCA0B56"/>
    <w:lvl w:ilvl="0" w:tplc="65A6FA58">
      <w:start w:val="22"/>
      <w:numFmt w:val="decimal"/>
      <w:lvlText w:val="%1."/>
      <w:lvlJc w:val="left"/>
      <w:pPr>
        <w:ind w:left="1440" w:hanging="360"/>
      </w:pPr>
      <w:rPr>
        <w:rFonts w:hint="default"/>
        <w:sz w:val="24"/>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7394540B"/>
    <w:multiLevelType w:val="multilevel"/>
    <w:tmpl w:val="D1E6185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E43F13"/>
    <w:multiLevelType w:val="hybridMultilevel"/>
    <w:tmpl w:val="BD840426"/>
    <w:lvl w:ilvl="0" w:tplc="B2E0D2A6">
      <w:start w:val="30"/>
      <w:numFmt w:val="decimal"/>
      <w:lvlText w:val="%1."/>
      <w:lvlJc w:val="left"/>
      <w:pPr>
        <w:ind w:left="1080" w:hanging="360"/>
      </w:pPr>
      <w:rPr>
        <w:rFonts w:hint="default"/>
        <w:sz w:val="24"/>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num w:numId="1" w16cid:durableId="1832674695">
    <w:abstractNumId w:val="2"/>
  </w:num>
  <w:num w:numId="2" w16cid:durableId="1292400073">
    <w:abstractNumId w:val="8"/>
  </w:num>
  <w:num w:numId="3" w16cid:durableId="947349703">
    <w:abstractNumId w:val="1"/>
  </w:num>
  <w:num w:numId="4" w16cid:durableId="1171919055">
    <w:abstractNumId w:val="3"/>
  </w:num>
  <w:num w:numId="5" w16cid:durableId="1121537120">
    <w:abstractNumId w:val="4"/>
  </w:num>
  <w:num w:numId="6" w16cid:durableId="361248666">
    <w:abstractNumId w:val="9"/>
  </w:num>
  <w:num w:numId="7" w16cid:durableId="482351912">
    <w:abstractNumId w:val="0"/>
  </w:num>
  <w:num w:numId="8" w16cid:durableId="1190145354">
    <w:abstractNumId w:val="7"/>
  </w:num>
  <w:num w:numId="9" w16cid:durableId="1787038403">
    <w:abstractNumId w:val="6"/>
  </w:num>
  <w:num w:numId="10" w16cid:durableId="17930143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F44"/>
    <w:rsid w:val="000D116A"/>
    <w:rsid w:val="000D5D91"/>
    <w:rsid w:val="0011725F"/>
    <w:rsid w:val="00124C31"/>
    <w:rsid w:val="00194F5C"/>
    <w:rsid w:val="001A3B5E"/>
    <w:rsid w:val="002715B5"/>
    <w:rsid w:val="00302928"/>
    <w:rsid w:val="00456E78"/>
    <w:rsid w:val="004A4B7D"/>
    <w:rsid w:val="004F3F02"/>
    <w:rsid w:val="0055322A"/>
    <w:rsid w:val="005A5B02"/>
    <w:rsid w:val="00784CBC"/>
    <w:rsid w:val="007F43D6"/>
    <w:rsid w:val="007F6CD4"/>
    <w:rsid w:val="0080299E"/>
    <w:rsid w:val="00803056"/>
    <w:rsid w:val="00810F44"/>
    <w:rsid w:val="00823E39"/>
    <w:rsid w:val="008506E6"/>
    <w:rsid w:val="00863809"/>
    <w:rsid w:val="009901AB"/>
    <w:rsid w:val="00996C96"/>
    <w:rsid w:val="00AB2695"/>
    <w:rsid w:val="00AB3731"/>
    <w:rsid w:val="00AD7F3F"/>
    <w:rsid w:val="00B15C35"/>
    <w:rsid w:val="00BB0727"/>
    <w:rsid w:val="00BB147E"/>
    <w:rsid w:val="00C354A2"/>
    <w:rsid w:val="00CF5C5A"/>
    <w:rsid w:val="00D24729"/>
    <w:rsid w:val="00E40903"/>
    <w:rsid w:val="00F41ED9"/>
    <w:rsid w:val="00F43B4D"/>
    <w:rsid w:val="00FC2AB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B4C4E"/>
  <w15:docId w15:val="{765710EF-D715-4B45-9FE1-755E27350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BO"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F41ED9"/>
    <w:rPr>
      <w:sz w:val="16"/>
      <w:szCs w:val="16"/>
    </w:rPr>
  </w:style>
  <w:style w:type="paragraph" w:styleId="Textocomentario">
    <w:name w:val="annotation text"/>
    <w:basedOn w:val="Normal"/>
    <w:link w:val="TextocomentarioCar"/>
    <w:uiPriority w:val="99"/>
    <w:semiHidden/>
    <w:unhideWhenUsed/>
    <w:rsid w:val="00F41ED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41ED9"/>
    <w:rPr>
      <w:sz w:val="20"/>
      <w:szCs w:val="20"/>
    </w:rPr>
  </w:style>
  <w:style w:type="paragraph" w:styleId="Asuntodelcomentario">
    <w:name w:val="annotation subject"/>
    <w:basedOn w:val="Textocomentario"/>
    <w:next w:val="Textocomentario"/>
    <w:link w:val="AsuntodelcomentarioCar"/>
    <w:uiPriority w:val="99"/>
    <w:semiHidden/>
    <w:unhideWhenUsed/>
    <w:rsid w:val="00F41ED9"/>
    <w:rPr>
      <w:b/>
      <w:bCs/>
    </w:rPr>
  </w:style>
  <w:style w:type="character" w:customStyle="1" w:styleId="AsuntodelcomentarioCar">
    <w:name w:val="Asunto del comentario Car"/>
    <w:basedOn w:val="TextocomentarioCar"/>
    <w:link w:val="Asuntodelcomentario"/>
    <w:uiPriority w:val="99"/>
    <w:semiHidden/>
    <w:rsid w:val="00F41ED9"/>
    <w:rPr>
      <w:b/>
      <w:bCs/>
      <w:sz w:val="20"/>
      <w:szCs w:val="20"/>
    </w:rPr>
  </w:style>
  <w:style w:type="paragraph" w:styleId="Revisin">
    <w:name w:val="Revision"/>
    <w:hidden/>
    <w:uiPriority w:val="99"/>
    <w:semiHidden/>
    <w:rsid w:val="00BB147E"/>
    <w:pPr>
      <w:spacing w:after="0" w:line="240" w:lineRule="auto"/>
    </w:pPr>
  </w:style>
  <w:style w:type="paragraph" w:styleId="Prrafodelista">
    <w:name w:val="List Paragraph"/>
    <w:basedOn w:val="Normal"/>
    <w:uiPriority w:val="34"/>
    <w:qFormat/>
    <w:rsid w:val="00BB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undacionconstruir.org/contenido/informesobreelestadodelajusticiaenbolivia2020/" TargetMode="External"/><Relationship Id="rId2" Type="http://schemas.openxmlformats.org/officeDocument/2006/relationships/hyperlink" Target="https://www.paginasiete.bo/sociedad/2022/3/28/genesis-mujer-trans-murio-tras-ser-rechazada-en-dos-hospitales-327035.html" TargetMode="External"/><Relationship Id="rId1" Type="http://schemas.openxmlformats.org/officeDocument/2006/relationships/hyperlink" Target="https://drive.google.com/drive/folders/1Abkm-Th01XNveR7GoBDIggpIvC3jT8Ai?fbclid=IwAR1xuppEFmUDWjrmOz-sZ9QtCTK5Ct59DY6NgZlNHw2dvlxkjcIpOnXhfWs" TargetMode="External"/><Relationship Id="rId6" Type="http://schemas.openxmlformats.org/officeDocument/2006/relationships/hyperlink" Target="https://drive.google.com/file/d/1XhF_OexFVCOquF_08sy_LveDRu-gseEo/view?usp=sharing" TargetMode="External"/><Relationship Id="rId5" Type="http://schemas.openxmlformats.org/officeDocument/2006/relationships/hyperlink" Target="https://buscador.tcpbolivia.bo/servicios/(S(amrueffrbhwicxmrl4ot21a4))/WfrMostrarResolucion.aspx?b=149536" TargetMode="External"/><Relationship Id="rId4" Type="http://schemas.openxmlformats.org/officeDocument/2006/relationships/hyperlink" Target="https://www.opinion.com.bo/articulo/revista-asi/muere-antes-despues-transfeminicidio/20210917172511835406.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EA4C65-42B9-4C18-A9F0-D411CF0E73D4}">
  <ds:schemaRefs>
    <ds:schemaRef ds:uri="http://schemas.openxmlformats.org/officeDocument/2006/bibliography"/>
  </ds:schemaRefs>
</ds:datastoreItem>
</file>

<file path=customXml/itemProps2.xml><?xml version="1.0" encoding="utf-8"?>
<ds:datastoreItem xmlns:ds="http://schemas.openxmlformats.org/officeDocument/2006/customXml" ds:itemID="{E1AAAF78-D65B-4419-8F4B-2D3F5AD2E45A}"/>
</file>

<file path=customXml/itemProps3.xml><?xml version="1.0" encoding="utf-8"?>
<ds:datastoreItem xmlns:ds="http://schemas.openxmlformats.org/officeDocument/2006/customXml" ds:itemID="{CF22B10E-9A93-4339-B38A-4EBDD742F3AA}"/>
</file>

<file path=customXml/itemProps4.xml><?xml version="1.0" encoding="utf-8"?>
<ds:datastoreItem xmlns:ds="http://schemas.openxmlformats.org/officeDocument/2006/customXml" ds:itemID="{B5ADD88F-F805-4E34-B20C-FEA173FCBBA0}"/>
</file>

<file path=docProps/app.xml><?xml version="1.0" encoding="utf-8"?>
<Properties xmlns="http://schemas.openxmlformats.org/officeDocument/2006/extended-properties" xmlns:vt="http://schemas.openxmlformats.org/officeDocument/2006/docPropsVTypes">
  <Template>Normal</Template>
  <TotalTime>3</TotalTime>
  <Pages>9</Pages>
  <Words>2752</Words>
  <Characters>15141</Characters>
  <Application>Microsoft Office Word</Application>
  <DocSecurity>0</DocSecurity>
  <Lines>126</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Anaya</dc:creator>
  <cp:lastModifiedBy>Karen Anaya</cp:lastModifiedBy>
  <cp:revision>2</cp:revision>
  <dcterms:created xsi:type="dcterms:W3CDTF">2022-05-16T12:41:00Z</dcterms:created>
  <dcterms:modified xsi:type="dcterms:W3CDTF">2022-05-16T12:41:00Z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