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5A2CFF" w14:textId="77777777" w:rsidR="00BB1530" w:rsidRPr="00B76EC8" w:rsidRDefault="00BB1530" w:rsidP="001D6815">
      <w:pPr>
        <w:jc w:val="center"/>
        <w:rPr>
          <w:rFonts w:asciiTheme="majorBidi" w:hAnsiTheme="majorBidi" w:cstheme="majorBidi"/>
          <w:b/>
          <w:bCs/>
          <w:sz w:val="24"/>
          <w:szCs w:val="24"/>
          <w:u w:val="single"/>
        </w:rPr>
      </w:pPr>
    </w:p>
    <w:p w14:paraId="7DC9A437" w14:textId="4170C677" w:rsidR="001D6815" w:rsidRPr="00B76EC8" w:rsidRDefault="001D6815" w:rsidP="00B86706">
      <w:pPr>
        <w:jc w:val="center"/>
        <w:rPr>
          <w:rFonts w:asciiTheme="majorBidi" w:hAnsiTheme="majorBidi" w:cstheme="majorBidi"/>
          <w:b/>
          <w:bCs/>
          <w:color w:val="0070C0"/>
          <w:sz w:val="24"/>
          <w:szCs w:val="24"/>
          <w:u w:val="single"/>
        </w:rPr>
      </w:pPr>
      <w:r w:rsidRPr="00B76EC8">
        <w:rPr>
          <w:rFonts w:asciiTheme="majorBidi" w:hAnsiTheme="majorBidi" w:cstheme="majorBidi"/>
          <w:b/>
          <w:bCs/>
          <w:color w:val="0070C0"/>
          <w:sz w:val="24"/>
          <w:szCs w:val="24"/>
          <w:u w:val="single"/>
        </w:rPr>
        <w:t xml:space="preserve">Report to the </w:t>
      </w:r>
      <w:r w:rsidR="003F31E6" w:rsidRPr="00B76EC8">
        <w:rPr>
          <w:rFonts w:asciiTheme="majorBidi" w:hAnsiTheme="majorBidi" w:cstheme="majorBidi"/>
          <w:b/>
          <w:bCs/>
          <w:color w:val="0070C0"/>
          <w:sz w:val="24"/>
          <w:szCs w:val="24"/>
          <w:u w:val="single"/>
        </w:rPr>
        <w:t xml:space="preserve">Committee on the Protection of the Rights of All Migrant Workers and Members of their Families </w:t>
      </w:r>
      <w:r w:rsidRPr="00B76EC8">
        <w:rPr>
          <w:rFonts w:asciiTheme="majorBidi" w:hAnsiTheme="majorBidi" w:cstheme="majorBidi"/>
          <w:b/>
          <w:bCs/>
          <w:color w:val="0070C0"/>
          <w:sz w:val="24"/>
          <w:szCs w:val="24"/>
          <w:u w:val="single"/>
        </w:rPr>
        <w:t xml:space="preserve">on </w:t>
      </w:r>
      <w:r w:rsidR="003F31E6" w:rsidRPr="00B76EC8">
        <w:rPr>
          <w:rFonts w:asciiTheme="majorBidi" w:hAnsiTheme="majorBidi" w:cstheme="majorBidi"/>
          <w:b/>
          <w:bCs/>
          <w:color w:val="0070C0"/>
          <w:sz w:val="24"/>
          <w:szCs w:val="24"/>
          <w:u w:val="single"/>
        </w:rPr>
        <w:t>Egypt</w:t>
      </w:r>
      <w:r w:rsidR="00B86706">
        <w:rPr>
          <w:rFonts w:asciiTheme="majorBidi" w:hAnsiTheme="majorBidi" w:cstheme="majorBidi"/>
          <w:b/>
          <w:bCs/>
          <w:color w:val="0070C0"/>
          <w:sz w:val="24"/>
          <w:szCs w:val="24"/>
          <w:u w:val="single"/>
        </w:rPr>
        <w:t>’s Review</w:t>
      </w:r>
    </w:p>
    <w:p w14:paraId="26D99E4B" w14:textId="5FFF306E" w:rsidR="00CC76D7" w:rsidRPr="00B76EC8" w:rsidRDefault="005F7482" w:rsidP="003F31E6">
      <w:pPr>
        <w:jc w:val="both"/>
        <w:rPr>
          <w:rFonts w:asciiTheme="majorBidi" w:hAnsiTheme="majorBidi" w:cstheme="majorBidi"/>
          <w:sz w:val="24"/>
          <w:szCs w:val="24"/>
        </w:rPr>
      </w:pPr>
      <w:r w:rsidRPr="00B76EC8">
        <w:rPr>
          <w:rFonts w:asciiTheme="majorBidi" w:hAnsiTheme="majorBidi" w:cstheme="majorBidi"/>
          <w:b/>
          <w:bCs/>
          <w:sz w:val="24"/>
          <w:szCs w:val="24"/>
        </w:rPr>
        <w:t xml:space="preserve">Submitted to: </w:t>
      </w:r>
      <w:r w:rsidR="003F31E6" w:rsidRPr="00B76EC8">
        <w:rPr>
          <w:rFonts w:asciiTheme="majorBidi" w:hAnsiTheme="majorBidi" w:cstheme="majorBidi"/>
          <w:sz w:val="24"/>
          <w:szCs w:val="24"/>
        </w:rPr>
        <w:t>Committee on the Protection of the Rights of All Migrant Workers and Members of their Families</w:t>
      </w:r>
    </w:p>
    <w:p w14:paraId="467B9A74" w14:textId="18D060C2" w:rsidR="005F7482" w:rsidRPr="00B76EC8" w:rsidRDefault="005F7482" w:rsidP="003F31E6">
      <w:pPr>
        <w:jc w:val="both"/>
        <w:rPr>
          <w:rFonts w:asciiTheme="majorBidi" w:hAnsiTheme="majorBidi" w:cstheme="majorBidi"/>
          <w:sz w:val="24"/>
          <w:szCs w:val="24"/>
        </w:rPr>
      </w:pPr>
      <w:r w:rsidRPr="00B76EC8">
        <w:rPr>
          <w:rFonts w:asciiTheme="majorBidi" w:hAnsiTheme="majorBidi" w:cstheme="majorBidi"/>
          <w:b/>
          <w:bCs/>
          <w:sz w:val="24"/>
          <w:szCs w:val="24"/>
        </w:rPr>
        <w:t>Submitted by:</w:t>
      </w:r>
      <w:r w:rsidRPr="00B76EC8">
        <w:rPr>
          <w:rFonts w:asciiTheme="majorBidi" w:hAnsiTheme="majorBidi" w:cstheme="majorBidi"/>
          <w:sz w:val="24"/>
          <w:szCs w:val="24"/>
        </w:rPr>
        <w:t xml:space="preserve"> Partners for Transparency (granted consultative status with the ECOSOC)</w:t>
      </w:r>
    </w:p>
    <w:p w14:paraId="045238DF" w14:textId="14C74CE2" w:rsidR="00CC76D7" w:rsidRPr="00B76EC8" w:rsidRDefault="00CC76D7" w:rsidP="00CC76D7">
      <w:pPr>
        <w:shd w:val="clear" w:color="auto" w:fill="002060"/>
        <w:rPr>
          <w:rFonts w:asciiTheme="majorBidi" w:hAnsiTheme="majorBidi" w:cstheme="majorBidi"/>
          <w:b/>
          <w:bCs/>
          <w:sz w:val="24"/>
          <w:szCs w:val="24"/>
        </w:rPr>
      </w:pPr>
      <w:r w:rsidRPr="00B76EC8">
        <w:rPr>
          <w:rFonts w:asciiTheme="majorBidi" w:hAnsiTheme="majorBidi" w:cstheme="majorBidi"/>
          <w:b/>
          <w:bCs/>
          <w:sz w:val="24"/>
          <w:szCs w:val="24"/>
        </w:rPr>
        <w:t>Introduction</w:t>
      </w:r>
    </w:p>
    <w:p w14:paraId="2305CC4F" w14:textId="2CC8A7E4" w:rsidR="006F182C" w:rsidRPr="00B76EC8" w:rsidRDefault="003F31E6" w:rsidP="003F31E6">
      <w:pPr>
        <w:shd w:val="clear" w:color="auto" w:fill="FFFFFF" w:themeFill="background1"/>
        <w:jc w:val="both"/>
        <w:rPr>
          <w:rFonts w:asciiTheme="majorBidi" w:hAnsiTheme="majorBidi" w:cstheme="majorBidi"/>
          <w:sz w:val="24"/>
          <w:szCs w:val="24"/>
        </w:rPr>
      </w:pPr>
      <w:r w:rsidRPr="00B76EC8">
        <w:rPr>
          <w:rFonts w:asciiTheme="majorBidi" w:hAnsiTheme="majorBidi" w:cstheme="majorBidi"/>
          <w:sz w:val="24"/>
          <w:szCs w:val="24"/>
        </w:rPr>
        <w:t>The Arab Republic of Egypt was the first State Member of the UN to ratify the International Convention on the Protection of the Rights of All Migrant Workers and Members of Their Families in February 1993. This imposes on it a legal and moral obligation to deliver their national reports in a timely manner and to comply with the provisions of the Convention, to adapt their national legislation and laws to make them highly consistent with the provisions of the Convention and to take all legislative and policy measures to enforce the Convention's texts within their territories.</w:t>
      </w:r>
      <w:r w:rsidRPr="00B76EC8">
        <w:rPr>
          <w:sz w:val="24"/>
          <w:szCs w:val="24"/>
        </w:rPr>
        <w:t xml:space="preserve"> </w:t>
      </w:r>
      <w:r w:rsidRPr="00B76EC8">
        <w:rPr>
          <w:rFonts w:asciiTheme="majorBidi" w:hAnsiTheme="majorBidi" w:cstheme="majorBidi"/>
          <w:sz w:val="24"/>
          <w:szCs w:val="24"/>
        </w:rPr>
        <w:t>However, Partners Foundation noticed that Egypt's combined second to fourth periodic report to the Committee in January 2024, which was due in May 2018, had been delayed for several years.</w:t>
      </w:r>
      <w:r w:rsidRPr="00B76EC8">
        <w:rPr>
          <w:sz w:val="24"/>
          <w:szCs w:val="24"/>
        </w:rPr>
        <w:t xml:space="preserve"> </w:t>
      </w:r>
      <w:r w:rsidRPr="00B76EC8">
        <w:rPr>
          <w:rFonts w:asciiTheme="majorBidi" w:hAnsiTheme="majorBidi" w:cstheme="majorBidi"/>
          <w:sz w:val="24"/>
          <w:szCs w:val="24"/>
        </w:rPr>
        <w:t>Partners Foundation hopes that Egypt will speed up the delivery of reports to the UN Treaty Bodies.</w:t>
      </w:r>
    </w:p>
    <w:p w14:paraId="28DD9D77" w14:textId="16F09B17" w:rsidR="003F31E6" w:rsidRPr="00B76EC8" w:rsidRDefault="003F31E6" w:rsidP="0076512D">
      <w:pPr>
        <w:shd w:val="clear" w:color="auto" w:fill="FFFFFF" w:themeFill="background1"/>
        <w:jc w:val="both"/>
        <w:rPr>
          <w:rFonts w:asciiTheme="majorBidi" w:hAnsiTheme="majorBidi" w:cstheme="majorBidi"/>
          <w:sz w:val="24"/>
          <w:szCs w:val="24"/>
          <w:rtl/>
        </w:rPr>
      </w:pPr>
      <w:r w:rsidRPr="00B76EC8">
        <w:rPr>
          <w:rFonts w:asciiTheme="majorBidi" w:hAnsiTheme="majorBidi" w:cstheme="majorBidi"/>
          <w:sz w:val="24"/>
          <w:szCs w:val="24"/>
        </w:rPr>
        <w:t>According to IOM estimates, Egypt has about 9 million migrants, equivalent to 8.7% of the country's total population, which is a very large number compared to the number of migrants in the countries of the region.</w:t>
      </w:r>
      <w:r w:rsidRPr="00B76EC8">
        <w:rPr>
          <w:sz w:val="24"/>
          <w:szCs w:val="24"/>
        </w:rPr>
        <w:t xml:space="preserve"> </w:t>
      </w:r>
      <w:r w:rsidRPr="00B76EC8">
        <w:rPr>
          <w:rFonts w:asciiTheme="majorBidi" w:hAnsiTheme="majorBidi" w:cstheme="majorBidi"/>
          <w:sz w:val="24"/>
          <w:szCs w:val="24"/>
        </w:rPr>
        <w:t xml:space="preserve">This statistic imposes additional obligations on the Egyptian Government to increase </w:t>
      </w:r>
      <w:proofErr w:type="spellStart"/>
      <w:r w:rsidRPr="00B76EC8">
        <w:rPr>
          <w:rFonts w:asciiTheme="majorBidi" w:hAnsiTheme="majorBidi" w:cstheme="majorBidi"/>
          <w:sz w:val="24"/>
          <w:szCs w:val="24"/>
        </w:rPr>
        <w:t>programmes</w:t>
      </w:r>
      <w:proofErr w:type="spellEnd"/>
      <w:r w:rsidRPr="00B76EC8">
        <w:rPr>
          <w:rFonts w:asciiTheme="majorBidi" w:hAnsiTheme="majorBidi" w:cstheme="majorBidi"/>
          <w:sz w:val="24"/>
          <w:szCs w:val="24"/>
        </w:rPr>
        <w:t xml:space="preserve"> for the protection of migrant workers and members of their families and to guarantee their rights under the </w:t>
      </w:r>
      <w:r w:rsidR="0076512D" w:rsidRPr="00B76EC8">
        <w:rPr>
          <w:rFonts w:asciiTheme="majorBidi" w:hAnsiTheme="majorBidi" w:cstheme="majorBidi"/>
          <w:sz w:val="24"/>
          <w:szCs w:val="24"/>
        </w:rPr>
        <w:t>UN</w:t>
      </w:r>
      <w:r w:rsidRPr="00B76EC8">
        <w:rPr>
          <w:rFonts w:asciiTheme="majorBidi" w:hAnsiTheme="majorBidi" w:cstheme="majorBidi"/>
          <w:sz w:val="24"/>
          <w:szCs w:val="24"/>
        </w:rPr>
        <w:t xml:space="preserve"> Convention on the Protection of the Rights of All Migrant Workers and Members of Their Families.</w:t>
      </w:r>
    </w:p>
    <w:p w14:paraId="277A7F19" w14:textId="619EF23B" w:rsidR="006805B1" w:rsidRPr="00B76EC8" w:rsidRDefault="006805B1" w:rsidP="0035634A">
      <w:pPr>
        <w:shd w:val="clear" w:color="auto" w:fill="FFFFFF" w:themeFill="background1"/>
        <w:jc w:val="both"/>
        <w:rPr>
          <w:rFonts w:asciiTheme="majorBidi" w:hAnsiTheme="majorBidi" w:cstheme="majorBidi"/>
          <w:sz w:val="24"/>
          <w:szCs w:val="24"/>
          <w:rtl/>
          <w:lang w:bidi="ar-EG"/>
        </w:rPr>
      </w:pPr>
      <w:r w:rsidRPr="00B76EC8">
        <w:rPr>
          <w:rFonts w:asciiTheme="majorBidi" w:hAnsiTheme="majorBidi" w:cstheme="majorBidi"/>
          <w:sz w:val="24"/>
          <w:szCs w:val="24"/>
          <w:lang w:bidi="ar-EG"/>
        </w:rPr>
        <w:t xml:space="preserve">Indeed, </w:t>
      </w:r>
      <w:r w:rsidRPr="00B76EC8">
        <w:rPr>
          <w:rFonts w:asciiTheme="majorBidi" w:hAnsiTheme="majorBidi" w:cstheme="majorBidi"/>
          <w:sz w:val="24"/>
          <w:szCs w:val="24"/>
        </w:rPr>
        <w:t>Partners Foundation noticed</w:t>
      </w:r>
      <w:r w:rsidRPr="00B76EC8">
        <w:rPr>
          <w:rFonts w:asciiTheme="majorBidi" w:hAnsiTheme="majorBidi" w:cstheme="majorBidi"/>
          <w:sz w:val="24"/>
          <w:szCs w:val="24"/>
          <w:lang w:bidi="ar-EG"/>
        </w:rPr>
        <w:t xml:space="preserve"> that over the past years, the Egyptian Government has taken a series of legislative and executive measures, policies and </w:t>
      </w:r>
      <w:proofErr w:type="spellStart"/>
      <w:r w:rsidRPr="00B76EC8">
        <w:rPr>
          <w:rFonts w:asciiTheme="majorBidi" w:hAnsiTheme="majorBidi" w:cstheme="majorBidi"/>
          <w:sz w:val="24"/>
          <w:szCs w:val="24"/>
          <w:lang w:bidi="ar-EG"/>
        </w:rPr>
        <w:t>programmes</w:t>
      </w:r>
      <w:proofErr w:type="spellEnd"/>
      <w:r w:rsidRPr="00B76EC8">
        <w:rPr>
          <w:rFonts w:asciiTheme="majorBidi" w:hAnsiTheme="majorBidi" w:cstheme="majorBidi"/>
          <w:sz w:val="24"/>
          <w:szCs w:val="24"/>
          <w:lang w:bidi="ar-EG"/>
        </w:rPr>
        <w:t xml:space="preserve"> aimed at ensuring that migrant workers and members of their families in Egypt enjoy the rights enshrined in the Convention, including the right to urgent medical care, right to education and right to social security.</w:t>
      </w:r>
      <w:r w:rsidRPr="00B76EC8">
        <w:rPr>
          <w:sz w:val="24"/>
          <w:szCs w:val="24"/>
        </w:rPr>
        <w:t xml:space="preserve"> </w:t>
      </w:r>
      <w:r w:rsidRPr="00B76EC8">
        <w:rPr>
          <w:rFonts w:asciiTheme="majorBidi" w:hAnsiTheme="majorBidi" w:cstheme="majorBidi"/>
          <w:sz w:val="24"/>
          <w:szCs w:val="24"/>
          <w:lang w:bidi="ar-EG"/>
        </w:rPr>
        <w:t>The Egyptian Government has yet to make further efforts to address the fundamental challenges and phenomena that threaten the enjoyment by a wide range of migrant workers in Egypt of their human rights under the Convention, in particular, challenges related to the growing racial hate crimes and speech of against migrants of African descent in Egypt, including migrants from Sudan of some 4 million.</w:t>
      </w:r>
    </w:p>
    <w:p w14:paraId="29BFBA25" w14:textId="0CC34DF4" w:rsidR="0035634A" w:rsidRPr="00B76EC8" w:rsidRDefault="0035634A" w:rsidP="0035634A">
      <w:pPr>
        <w:shd w:val="clear" w:color="auto" w:fill="FFFFFF" w:themeFill="background1"/>
        <w:jc w:val="both"/>
        <w:rPr>
          <w:rFonts w:asciiTheme="majorBidi" w:hAnsiTheme="majorBidi" w:cstheme="majorBidi"/>
          <w:sz w:val="24"/>
          <w:szCs w:val="24"/>
          <w:lang w:bidi="ar-EG"/>
        </w:rPr>
      </w:pPr>
      <w:r w:rsidRPr="00B76EC8">
        <w:rPr>
          <w:rFonts w:asciiTheme="majorBidi" w:hAnsiTheme="majorBidi" w:cstheme="majorBidi"/>
          <w:sz w:val="24"/>
          <w:szCs w:val="24"/>
          <w:lang w:bidi="ar-EG"/>
        </w:rPr>
        <w:t xml:space="preserve">In the light of the foregoing, Partners for Transparency submits this report to the Committee on the Protection of the Rights of All Migrant Workers and Members of Their Families regarding the Arab </w:t>
      </w:r>
      <w:r w:rsidRPr="00B76EC8">
        <w:rPr>
          <w:rFonts w:asciiTheme="majorBidi" w:hAnsiTheme="majorBidi" w:cstheme="majorBidi"/>
          <w:sz w:val="24"/>
          <w:szCs w:val="24"/>
          <w:lang w:bidi="ar-EG"/>
        </w:rPr>
        <w:lastRenderedPageBreak/>
        <w:t xml:space="preserve">Republic of Egypt's review before the Committee at its </w:t>
      </w:r>
      <w:r w:rsidRPr="00B76EC8">
        <w:rPr>
          <w:rFonts w:asciiTheme="majorBidi" w:hAnsiTheme="majorBidi" w:cstheme="majorBidi" w:hint="cs"/>
          <w:sz w:val="24"/>
          <w:szCs w:val="24"/>
          <w:rtl/>
          <w:lang w:bidi="ar-EG"/>
        </w:rPr>
        <w:t>3</w:t>
      </w:r>
      <w:r w:rsidRPr="00B76EC8">
        <w:rPr>
          <w:rFonts w:asciiTheme="majorBidi" w:hAnsiTheme="majorBidi" w:cstheme="majorBidi"/>
          <w:sz w:val="24"/>
          <w:szCs w:val="24"/>
          <w:lang w:bidi="ar-EG"/>
        </w:rPr>
        <w:t>9</w:t>
      </w:r>
      <w:r w:rsidRPr="00B76EC8">
        <w:rPr>
          <w:rFonts w:asciiTheme="majorBidi" w:hAnsiTheme="majorBidi" w:cstheme="majorBidi"/>
          <w:sz w:val="24"/>
          <w:szCs w:val="24"/>
          <w:vertAlign w:val="superscript"/>
          <w:lang w:bidi="ar-EG"/>
        </w:rPr>
        <w:t>th</w:t>
      </w:r>
      <w:r w:rsidRPr="00B76EC8">
        <w:rPr>
          <w:rFonts w:asciiTheme="majorBidi" w:hAnsiTheme="majorBidi" w:cstheme="majorBidi"/>
          <w:sz w:val="24"/>
          <w:szCs w:val="24"/>
          <w:lang w:bidi="ar-EG"/>
        </w:rPr>
        <w:t xml:space="preserve"> session,</w:t>
      </w:r>
      <w:r w:rsidRPr="00B76EC8">
        <w:rPr>
          <w:sz w:val="24"/>
          <w:szCs w:val="24"/>
        </w:rPr>
        <w:t xml:space="preserve"> </w:t>
      </w:r>
      <w:r w:rsidRPr="00B76EC8">
        <w:rPr>
          <w:rFonts w:asciiTheme="majorBidi" w:hAnsiTheme="majorBidi" w:cstheme="majorBidi"/>
          <w:sz w:val="24"/>
          <w:szCs w:val="24"/>
          <w:lang w:bidi="ar-EG"/>
        </w:rPr>
        <w:t>to consider the State party's progress in implementing the provisions of the Convention since its last review in 2007, which will be addressed in some detail as follows:</w:t>
      </w:r>
    </w:p>
    <w:p w14:paraId="3B92310E" w14:textId="689F6886" w:rsidR="0035634A" w:rsidRPr="00B76EC8" w:rsidRDefault="0035634A" w:rsidP="0035634A">
      <w:pPr>
        <w:shd w:val="clear" w:color="auto" w:fill="002060"/>
        <w:jc w:val="both"/>
        <w:rPr>
          <w:rFonts w:asciiTheme="majorBidi" w:hAnsiTheme="majorBidi" w:cstheme="majorBidi"/>
          <w:b/>
          <w:bCs/>
          <w:sz w:val="24"/>
          <w:szCs w:val="24"/>
          <w:lang w:bidi="ar-EG"/>
        </w:rPr>
      </w:pPr>
      <w:r w:rsidRPr="00B76EC8">
        <w:rPr>
          <w:rFonts w:asciiTheme="majorBidi" w:hAnsiTheme="majorBidi" w:cstheme="majorBidi"/>
          <w:b/>
          <w:bCs/>
          <w:sz w:val="24"/>
          <w:szCs w:val="24"/>
          <w:lang w:bidi="ar-EG"/>
        </w:rPr>
        <w:t>Ensuring freedom of movement, mobility and protection against discrimination, violence and abuse</w:t>
      </w:r>
    </w:p>
    <w:p w14:paraId="47943956" w14:textId="3CA8724E" w:rsidR="0035634A" w:rsidRPr="00B76EC8" w:rsidRDefault="00C9040A" w:rsidP="00D355DB">
      <w:pPr>
        <w:shd w:val="clear" w:color="auto" w:fill="FFFFFF" w:themeFill="background1"/>
        <w:jc w:val="both"/>
        <w:rPr>
          <w:rFonts w:asciiTheme="majorBidi" w:hAnsiTheme="majorBidi" w:cstheme="majorBidi"/>
          <w:sz w:val="24"/>
          <w:szCs w:val="24"/>
          <w:lang w:bidi="ar-EG"/>
        </w:rPr>
      </w:pPr>
      <w:r w:rsidRPr="00B76EC8">
        <w:rPr>
          <w:rFonts w:asciiTheme="majorBidi" w:hAnsiTheme="majorBidi" w:cstheme="majorBidi"/>
          <w:sz w:val="24"/>
          <w:szCs w:val="24"/>
          <w:lang w:bidi="ar-EG"/>
        </w:rPr>
        <w:t xml:space="preserve">The Arab Republic of Egypt is bound by articles 1, 7, 10, 16 and 39 of the International Convention on the Protection of the Rights of All Migrant Workers and Members of Their Families to guarantee migrant workers' right to freedom of movement and </w:t>
      </w:r>
      <w:r w:rsidR="00D355DB" w:rsidRPr="00B76EC8">
        <w:rPr>
          <w:rFonts w:asciiTheme="majorBidi" w:hAnsiTheme="majorBidi" w:cstheme="majorBidi"/>
          <w:sz w:val="24"/>
          <w:szCs w:val="24"/>
          <w:lang w:bidi="ar-EG"/>
        </w:rPr>
        <w:t>mobility</w:t>
      </w:r>
      <w:r w:rsidRPr="00B76EC8">
        <w:rPr>
          <w:rFonts w:asciiTheme="majorBidi" w:hAnsiTheme="majorBidi" w:cstheme="majorBidi"/>
          <w:sz w:val="24"/>
          <w:szCs w:val="24"/>
          <w:lang w:bidi="ar-EG"/>
        </w:rPr>
        <w:t xml:space="preserve"> within its territory</w:t>
      </w:r>
      <w:r w:rsidR="00D355DB" w:rsidRPr="00B76EC8">
        <w:rPr>
          <w:rFonts w:asciiTheme="majorBidi" w:hAnsiTheme="majorBidi" w:cstheme="majorBidi"/>
          <w:sz w:val="24"/>
          <w:szCs w:val="24"/>
          <w:lang w:bidi="ar-EG"/>
        </w:rPr>
        <w:t>,</w:t>
      </w:r>
      <w:r w:rsidR="00D355DB" w:rsidRPr="00B76EC8">
        <w:rPr>
          <w:sz w:val="24"/>
          <w:szCs w:val="24"/>
        </w:rPr>
        <w:t xml:space="preserve"> </w:t>
      </w:r>
      <w:r w:rsidR="00D355DB" w:rsidRPr="00B76EC8">
        <w:rPr>
          <w:rFonts w:asciiTheme="majorBidi" w:hAnsiTheme="majorBidi" w:cstheme="majorBidi"/>
          <w:sz w:val="24"/>
          <w:szCs w:val="24"/>
          <w:lang w:bidi="ar-EG"/>
        </w:rPr>
        <w:t>and to protect them from discrimination, violence, inhuman and degrading treatment, threats and intimidation by both public officials and ordinary persons, groups or institutions.</w:t>
      </w:r>
    </w:p>
    <w:p w14:paraId="2535FA9F" w14:textId="195BCEE2" w:rsidR="00D355DB" w:rsidRPr="00B76EC8" w:rsidRDefault="00D355DB" w:rsidP="00C17D4A">
      <w:pPr>
        <w:shd w:val="clear" w:color="auto" w:fill="FFFFFF" w:themeFill="background1"/>
        <w:jc w:val="both"/>
        <w:rPr>
          <w:rFonts w:asciiTheme="majorBidi" w:hAnsiTheme="majorBidi" w:cstheme="majorBidi"/>
          <w:sz w:val="24"/>
          <w:szCs w:val="24"/>
          <w:lang w:bidi="ar-EG"/>
        </w:rPr>
      </w:pPr>
      <w:r w:rsidRPr="00B76EC8">
        <w:rPr>
          <w:rFonts w:asciiTheme="majorBidi" w:hAnsiTheme="majorBidi" w:cstheme="majorBidi"/>
          <w:sz w:val="24"/>
          <w:szCs w:val="24"/>
          <w:lang w:bidi="ar-EG"/>
        </w:rPr>
        <w:t>Partners Foundation noticed that the Egyptian Government has granted all migrants residing on its territory freedom of movement and mobility within the Egyptian borders through the adoption of a "policy outside the camps", which allows for the integration of migrants into the Egyptian society, enabling them to move around and work freely within the Egyptian State on an equal basis with Egyptian citizens.</w:t>
      </w:r>
      <w:r w:rsidRPr="00B76EC8">
        <w:rPr>
          <w:rStyle w:val="FootnoteReference"/>
          <w:rFonts w:asciiTheme="majorBidi" w:hAnsiTheme="majorBidi" w:cstheme="majorBidi"/>
          <w:sz w:val="24"/>
          <w:szCs w:val="24"/>
          <w:lang w:bidi="ar-EG"/>
        </w:rPr>
        <w:footnoteReference w:id="1"/>
      </w:r>
      <w:r w:rsidRPr="00B76EC8">
        <w:rPr>
          <w:rFonts w:asciiTheme="majorBidi" w:hAnsiTheme="majorBidi" w:cstheme="majorBidi"/>
          <w:sz w:val="24"/>
          <w:szCs w:val="24"/>
          <w:lang w:bidi="ar-EG"/>
        </w:rPr>
        <w:t xml:space="preserve"> The law and constitution in the Arab republic of Egypt </w:t>
      </w:r>
      <w:r w:rsidR="00C17D4A" w:rsidRPr="00B76EC8">
        <w:rPr>
          <w:rFonts w:asciiTheme="majorBidi" w:hAnsiTheme="majorBidi" w:cstheme="majorBidi"/>
          <w:sz w:val="24"/>
          <w:szCs w:val="24"/>
          <w:lang w:bidi="ar-EG"/>
        </w:rPr>
        <w:t>prohibit racial discrimination, violence, inhuman and degrading treatment, threats and intimidation against migrant workers and members of their families, whether by public officials or by ordinary persons.</w:t>
      </w:r>
    </w:p>
    <w:p w14:paraId="721C6C72" w14:textId="0554DD54" w:rsidR="00A73785" w:rsidRPr="00B76EC8" w:rsidRDefault="00A73785" w:rsidP="004B750E">
      <w:pPr>
        <w:shd w:val="clear" w:color="auto" w:fill="FFFFFF" w:themeFill="background1"/>
        <w:jc w:val="both"/>
        <w:rPr>
          <w:rFonts w:asciiTheme="majorBidi" w:hAnsiTheme="majorBidi" w:cstheme="majorBidi"/>
          <w:sz w:val="24"/>
          <w:szCs w:val="24"/>
          <w:lang w:bidi="ar-EG"/>
        </w:rPr>
      </w:pPr>
      <w:r w:rsidRPr="00B76EC8">
        <w:rPr>
          <w:rFonts w:asciiTheme="majorBidi" w:hAnsiTheme="majorBidi" w:cstheme="majorBidi"/>
          <w:sz w:val="24"/>
          <w:szCs w:val="24"/>
          <w:lang w:bidi="ar-EG"/>
        </w:rPr>
        <w:t>However, over the past years, some individual racist practices and other acts of discrimination against afro-descendants have been spread by some members of the Egyptian society</w:t>
      </w:r>
      <w:r w:rsidR="00FC57DD" w:rsidRPr="00B76EC8">
        <w:rPr>
          <w:rFonts w:asciiTheme="majorBidi" w:hAnsiTheme="majorBidi" w:cstheme="majorBidi"/>
          <w:sz w:val="24"/>
          <w:szCs w:val="24"/>
          <w:lang w:bidi="ar-EG"/>
        </w:rPr>
        <w:t xml:space="preserve">, which urged the Egyptian authorities to acknowledge and combat this phenomenon by bringing perpetrators to justice. In April 2024, the Egyptian security forces arrested a person, in kilo 4.5 </w:t>
      </w:r>
      <w:r w:rsidR="004B750E" w:rsidRPr="00B76EC8">
        <w:rPr>
          <w:rFonts w:asciiTheme="majorBidi" w:hAnsiTheme="majorBidi" w:cstheme="majorBidi"/>
          <w:sz w:val="24"/>
          <w:szCs w:val="24"/>
          <w:lang w:bidi="ar-EG"/>
        </w:rPr>
        <w:t>in Nasr city, who has abducted a child to a Sudanese migrant family from her home, and he was referred for criminal prosecution by the Egyptian public prosecutor’s office.</w:t>
      </w:r>
      <w:r w:rsidR="004B750E" w:rsidRPr="00B76EC8">
        <w:rPr>
          <w:rStyle w:val="FootnoteReference"/>
          <w:rFonts w:asciiTheme="majorBidi" w:hAnsiTheme="majorBidi" w:cstheme="majorBidi"/>
          <w:sz w:val="24"/>
          <w:szCs w:val="24"/>
          <w:lang w:bidi="ar-EG"/>
        </w:rPr>
        <w:footnoteReference w:id="2"/>
      </w:r>
    </w:p>
    <w:p w14:paraId="48811075" w14:textId="6E0B3AC1" w:rsidR="004B750E" w:rsidRPr="00B76EC8" w:rsidRDefault="004B750E" w:rsidP="004B750E">
      <w:pPr>
        <w:shd w:val="clear" w:color="auto" w:fill="002060"/>
        <w:jc w:val="both"/>
        <w:rPr>
          <w:rFonts w:asciiTheme="majorBidi" w:hAnsiTheme="majorBidi" w:cstheme="majorBidi"/>
          <w:b/>
          <w:bCs/>
          <w:sz w:val="24"/>
          <w:szCs w:val="24"/>
          <w:lang w:bidi="ar-EG"/>
        </w:rPr>
      </w:pPr>
      <w:r w:rsidRPr="00B76EC8">
        <w:rPr>
          <w:rFonts w:asciiTheme="majorBidi" w:hAnsiTheme="majorBidi" w:cstheme="majorBidi"/>
          <w:b/>
          <w:bCs/>
          <w:sz w:val="24"/>
          <w:szCs w:val="24"/>
          <w:lang w:bidi="ar-EG"/>
        </w:rPr>
        <w:t>Equal treatment in access to wage and social security</w:t>
      </w:r>
    </w:p>
    <w:p w14:paraId="37F891A7" w14:textId="3AA34843" w:rsidR="004B750E" w:rsidRPr="00B76EC8" w:rsidRDefault="004B750E" w:rsidP="00991FFA">
      <w:pPr>
        <w:shd w:val="clear" w:color="auto" w:fill="FFFFFF" w:themeFill="background1"/>
        <w:jc w:val="both"/>
        <w:rPr>
          <w:rFonts w:asciiTheme="majorBidi" w:hAnsiTheme="majorBidi" w:cstheme="majorBidi"/>
          <w:sz w:val="24"/>
          <w:szCs w:val="24"/>
          <w:lang w:bidi="ar-EG"/>
        </w:rPr>
      </w:pPr>
      <w:r w:rsidRPr="00B76EC8">
        <w:rPr>
          <w:rFonts w:asciiTheme="majorBidi" w:hAnsiTheme="majorBidi" w:cstheme="majorBidi"/>
          <w:sz w:val="24"/>
          <w:szCs w:val="24"/>
          <w:lang w:bidi="ar-EG"/>
        </w:rPr>
        <w:t xml:space="preserve">The Egyptian </w:t>
      </w:r>
      <w:r w:rsidR="00991FFA" w:rsidRPr="00B76EC8">
        <w:rPr>
          <w:rFonts w:asciiTheme="majorBidi" w:hAnsiTheme="majorBidi" w:cstheme="majorBidi"/>
          <w:sz w:val="24"/>
          <w:szCs w:val="24"/>
          <w:lang w:bidi="ar-EG"/>
        </w:rPr>
        <w:t>Arab</w:t>
      </w:r>
      <w:r w:rsidRPr="00B76EC8">
        <w:rPr>
          <w:rFonts w:asciiTheme="majorBidi" w:hAnsiTheme="majorBidi" w:cstheme="majorBidi"/>
          <w:sz w:val="24"/>
          <w:szCs w:val="24"/>
          <w:lang w:bidi="ar-EG"/>
        </w:rPr>
        <w:t xml:space="preserve"> republic is obliged under articles 25 and 27 of the International Convention on the Protection of the Rights of All Migrant Workers and Members of Their Families to ensure the right of migrant workers in equal treatment as its citizens </w:t>
      </w:r>
      <w:r w:rsidR="00991FFA" w:rsidRPr="00B76EC8">
        <w:rPr>
          <w:rFonts w:asciiTheme="majorBidi" w:hAnsiTheme="majorBidi" w:cstheme="majorBidi"/>
          <w:sz w:val="24"/>
          <w:szCs w:val="24"/>
          <w:lang w:bidi="ar-EG"/>
        </w:rPr>
        <w:t>in regards to wages and social security.</w:t>
      </w:r>
    </w:p>
    <w:p w14:paraId="25181087" w14:textId="340F69DF" w:rsidR="00991FFA" w:rsidRPr="00B76EC8" w:rsidRDefault="00991FFA" w:rsidP="00965F6F">
      <w:pPr>
        <w:shd w:val="clear" w:color="auto" w:fill="FFFFFF" w:themeFill="background1"/>
        <w:jc w:val="both"/>
        <w:rPr>
          <w:rFonts w:asciiTheme="majorBidi" w:hAnsiTheme="majorBidi" w:cstheme="majorBidi"/>
          <w:sz w:val="24"/>
          <w:szCs w:val="24"/>
          <w:lang w:bidi="ar-EG"/>
        </w:rPr>
      </w:pPr>
      <w:r w:rsidRPr="00B76EC8">
        <w:rPr>
          <w:rFonts w:asciiTheme="majorBidi" w:hAnsiTheme="majorBidi" w:cstheme="majorBidi"/>
          <w:sz w:val="24"/>
          <w:szCs w:val="24"/>
          <w:lang w:bidi="ar-EG"/>
        </w:rPr>
        <w:t xml:space="preserve">Indeed, Partners Foundation noticed that the Egyptian law guarantees all workers, including migrant workers, irrespective of their nationality, equal treatment with regard to </w:t>
      </w:r>
      <w:r w:rsidR="00965F6F" w:rsidRPr="00B76EC8">
        <w:rPr>
          <w:rFonts w:asciiTheme="majorBidi" w:hAnsiTheme="majorBidi" w:cstheme="majorBidi"/>
          <w:sz w:val="24"/>
          <w:szCs w:val="24"/>
          <w:lang w:bidi="ar-EG"/>
        </w:rPr>
        <w:t>wages</w:t>
      </w:r>
      <w:r w:rsidRPr="00B76EC8">
        <w:rPr>
          <w:rFonts w:asciiTheme="majorBidi" w:hAnsiTheme="majorBidi" w:cstheme="majorBidi"/>
          <w:sz w:val="24"/>
          <w:szCs w:val="24"/>
          <w:lang w:bidi="ar-EG"/>
        </w:rPr>
        <w:t xml:space="preserve"> and other conditions of employment, </w:t>
      </w:r>
      <w:r w:rsidR="00965F6F" w:rsidRPr="00B76EC8">
        <w:rPr>
          <w:rFonts w:asciiTheme="majorBidi" w:hAnsiTheme="majorBidi" w:cstheme="majorBidi"/>
          <w:sz w:val="24"/>
          <w:szCs w:val="24"/>
          <w:lang w:bidi="ar-EG"/>
        </w:rPr>
        <w:t>use</w:t>
      </w:r>
      <w:r w:rsidRPr="00B76EC8">
        <w:rPr>
          <w:rFonts w:asciiTheme="majorBidi" w:hAnsiTheme="majorBidi" w:cstheme="majorBidi"/>
          <w:sz w:val="24"/>
          <w:szCs w:val="24"/>
          <w:lang w:bidi="ar-EG"/>
        </w:rPr>
        <w:t xml:space="preserve"> and access to social insurance and pensions.</w:t>
      </w:r>
    </w:p>
    <w:p w14:paraId="4E5D6A86" w14:textId="0EDFBA9E" w:rsidR="00965F6F" w:rsidRPr="00B76EC8" w:rsidRDefault="00965F6F" w:rsidP="00721A9C">
      <w:pPr>
        <w:shd w:val="clear" w:color="auto" w:fill="FFFFFF" w:themeFill="background1"/>
        <w:jc w:val="both"/>
        <w:rPr>
          <w:rFonts w:asciiTheme="majorBidi" w:hAnsiTheme="majorBidi" w:cstheme="majorBidi"/>
          <w:sz w:val="24"/>
          <w:szCs w:val="24"/>
          <w:lang w:bidi="ar-EG"/>
        </w:rPr>
      </w:pPr>
      <w:r w:rsidRPr="00B76EC8">
        <w:rPr>
          <w:rFonts w:asciiTheme="majorBidi" w:hAnsiTheme="majorBidi" w:cstheme="majorBidi"/>
          <w:sz w:val="24"/>
          <w:szCs w:val="24"/>
          <w:lang w:bidi="ar-EG"/>
        </w:rPr>
        <w:t>In this regard, the Civil Service Act No. 81 of 2016 and the Labor Code No. 12 of 2003 ensures the limitation of working and rest hours, paid vacations and the rules for maintaining the occupational health and safety of all workers in Egypt regardless of their nationality, including migrant workers.</w:t>
      </w:r>
      <w:r w:rsidR="00721A9C" w:rsidRPr="00B76EC8">
        <w:rPr>
          <w:rFonts w:asciiTheme="majorBidi" w:hAnsiTheme="majorBidi" w:cstheme="majorBidi"/>
          <w:sz w:val="24"/>
          <w:szCs w:val="24"/>
          <w:lang w:bidi="ar-EG"/>
        </w:rPr>
        <w:t xml:space="preserve"> Also Act No. 148 of 2019 on insurance and pensions allows migrant workers to participate in the social insurance and pension system.</w:t>
      </w:r>
    </w:p>
    <w:p w14:paraId="380707B4" w14:textId="2CCF501D" w:rsidR="00721A9C" w:rsidRPr="00B76EC8" w:rsidRDefault="00721A9C" w:rsidP="00721A9C">
      <w:pPr>
        <w:shd w:val="clear" w:color="auto" w:fill="FFFFFF" w:themeFill="background1"/>
        <w:jc w:val="both"/>
        <w:rPr>
          <w:rFonts w:asciiTheme="majorBidi" w:hAnsiTheme="majorBidi" w:cstheme="majorBidi"/>
          <w:sz w:val="24"/>
          <w:szCs w:val="24"/>
          <w:lang w:bidi="ar-EG"/>
        </w:rPr>
      </w:pPr>
      <w:r w:rsidRPr="00B76EC8">
        <w:rPr>
          <w:rFonts w:asciiTheme="majorBidi" w:hAnsiTheme="majorBidi" w:cstheme="majorBidi"/>
          <w:sz w:val="24"/>
          <w:szCs w:val="24"/>
          <w:lang w:bidi="ar-EG"/>
        </w:rPr>
        <w:lastRenderedPageBreak/>
        <w:t>However, Partners Foundation noticed that migrant workers of African descent, especially Sudanese and other sub-Saharan Africans, occupy low-paid jobs in the informal market, particularly in domestic service jobs.</w:t>
      </w:r>
      <w:r w:rsidRPr="00B76EC8">
        <w:rPr>
          <w:rStyle w:val="FootnoteReference"/>
          <w:rFonts w:asciiTheme="majorBidi" w:hAnsiTheme="majorBidi" w:cstheme="majorBidi"/>
          <w:sz w:val="24"/>
          <w:szCs w:val="24"/>
          <w:lang w:bidi="ar-EG"/>
        </w:rPr>
        <w:footnoteReference w:id="3"/>
      </w:r>
    </w:p>
    <w:p w14:paraId="28413F27" w14:textId="3DED4E2D" w:rsidR="00721A9C" w:rsidRPr="00B76EC8" w:rsidRDefault="00721A9C" w:rsidP="00795FAE">
      <w:pPr>
        <w:shd w:val="clear" w:color="auto" w:fill="FFFFFF" w:themeFill="background1"/>
        <w:jc w:val="both"/>
        <w:rPr>
          <w:rFonts w:asciiTheme="majorBidi" w:hAnsiTheme="majorBidi" w:cstheme="majorBidi"/>
          <w:sz w:val="24"/>
          <w:szCs w:val="24"/>
          <w:lang w:bidi="ar-EG"/>
        </w:rPr>
      </w:pPr>
      <w:r w:rsidRPr="00B76EC8">
        <w:rPr>
          <w:rFonts w:asciiTheme="majorBidi" w:hAnsiTheme="majorBidi" w:cstheme="majorBidi"/>
          <w:sz w:val="24"/>
          <w:szCs w:val="24"/>
          <w:lang w:bidi="ar-EG"/>
        </w:rPr>
        <w:t xml:space="preserve">Partners Foundation also found that migrant domestic workers were excluded from the Egyptian </w:t>
      </w:r>
      <w:r w:rsidR="00795FAE" w:rsidRPr="00B76EC8">
        <w:rPr>
          <w:rFonts w:asciiTheme="majorBidi" w:hAnsiTheme="majorBidi" w:cstheme="majorBidi"/>
          <w:sz w:val="24"/>
          <w:szCs w:val="24"/>
          <w:lang w:bidi="ar-EG"/>
        </w:rPr>
        <w:t>Labor</w:t>
      </w:r>
      <w:r w:rsidRPr="00B76EC8">
        <w:rPr>
          <w:rFonts w:asciiTheme="majorBidi" w:hAnsiTheme="majorBidi" w:cstheme="majorBidi"/>
          <w:sz w:val="24"/>
          <w:szCs w:val="24"/>
          <w:lang w:bidi="ar-EG"/>
        </w:rPr>
        <w:t xml:space="preserve"> Code, precisely No. 12 of 2003, in article 4, paragraph (b), stipulates that "The provisions of this Code shall not apply to domestic wo</w:t>
      </w:r>
      <w:r w:rsidR="00795FAE" w:rsidRPr="00B76EC8">
        <w:rPr>
          <w:rFonts w:asciiTheme="majorBidi" w:hAnsiTheme="majorBidi" w:cstheme="majorBidi"/>
          <w:sz w:val="24"/>
          <w:szCs w:val="24"/>
          <w:lang w:bidi="ar-EG"/>
        </w:rPr>
        <w:t>rkers and the like”.</w:t>
      </w:r>
    </w:p>
    <w:p w14:paraId="53DCE006" w14:textId="3F225A20" w:rsidR="00795FAE" w:rsidRPr="00B76EC8" w:rsidRDefault="00D7709D" w:rsidP="00D7709D">
      <w:pPr>
        <w:shd w:val="clear" w:color="auto" w:fill="002060"/>
        <w:jc w:val="both"/>
        <w:rPr>
          <w:rFonts w:asciiTheme="majorBidi" w:hAnsiTheme="majorBidi" w:cstheme="majorBidi"/>
          <w:b/>
          <w:bCs/>
          <w:sz w:val="24"/>
          <w:szCs w:val="24"/>
          <w:lang w:bidi="ar-EG"/>
        </w:rPr>
      </w:pPr>
      <w:r w:rsidRPr="00B76EC8">
        <w:rPr>
          <w:rFonts w:asciiTheme="majorBidi" w:hAnsiTheme="majorBidi" w:cstheme="majorBidi"/>
          <w:b/>
          <w:bCs/>
          <w:sz w:val="24"/>
          <w:szCs w:val="24"/>
          <w:lang w:bidi="ar-EG"/>
        </w:rPr>
        <w:t>Equal treatment in access to medical care and educational services</w:t>
      </w:r>
    </w:p>
    <w:p w14:paraId="78B7B86F" w14:textId="313D8671" w:rsidR="00795FAE" w:rsidRPr="00B76EC8" w:rsidRDefault="00D7709D" w:rsidP="0082145C">
      <w:pPr>
        <w:shd w:val="clear" w:color="auto" w:fill="FFFFFF" w:themeFill="background1"/>
        <w:jc w:val="both"/>
        <w:rPr>
          <w:rFonts w:asciiTheme="majorBidi" w:hAnsiTheme="majorBidi" w:cstheme="majorBidi"/>
          <w:sz w:val="24"/>
          <w:szCs w:val="24"/>
          <w:lang w:bidi="ar-EG"/>
        </w:rPr>
      </w:pPr>
      <w:r w:rsidRPr="00B76EC8">
        <w:rPr>
          <w:rFonts w:asciiTheme="majorBidi" w:hAnsiTheme="majorBidi" w:cstheme="majorBidi"/>
          <w:sz w:val="24"/>
          <w:szCs w:val="24"/>
          <w:lang w:bidi="ar-EG"/>
        </w:rPr>
        <w:t>Articles 28, 30 and 45 of the International Convention on the Protection of the Rights of All Migrant Workers and Members of Their Families oblige States parties to ensure that migrant workers and members of their families in the State of employment enjoy equal treatment with their nationals</w:t>
      </w:r>
      <w:r w:rsidR="0082145C" w:rsidRPr="00B76EC8">
        <w:rPr>
          <w:rFonts w:asciiTheme="majorBidi" w:hAnsiTheme="majorBidi" w:cstheme="majorBidi"/>
          <w:sz w:val="24"/>
          <w:szCs w:val="24"/>
          <w:lang w:bidi="ar-EG"/>
        </w:rPr>
        <w:t xml:space="preserve"> regarding access to educational institutions and services, social and health services and urgent medical care services.</w:t>
      </w:r>
    </w:p>
    <w:p w14:paraId="205B6223" w14:textId="6C076AD3" w:rsidR="00F12249" w:rsidRPr="00B76EC8" w:rsidRDefault="00F12249" w:rsidP="00F12249">
      <w:pPr>
        <w:shd w:val="clear" w:color="auto" w:fill="FFFFFF" w:themeFill="background1"/>
        <w:jc w:val="both"/>
        <w:rPr>
          <w:rFonts w:asciiTheme="majorBidi" w:hAnsiTheme="majorBidi" w:cstheme="majorBidi"/>
          <w:sz w:val="24"/>
          <w:szCs w:val="24"/>
          <w:lang w:bidi="ar-EG"/>
        </w:rPr>
      </w:pPr>
      <w:r w:rsidRPr="00B76EC8">
        <w:rPr>
          <w:rFonts w:asciiTheme="majorBidi" w:hAnsiTheme="majorBidi" w:cstheme="majorBidi"/>
          <w:sz w:val="24"/>
          <w:szCs w:val="24"/>
          <w:lang w:bidi="ar-EG"/>
        </w:rPr>
        <w:t>Indeed, Partners Foundation noticed that a wide spectrum of migrant workers and members of their families in the Arab Republic of Egypt have the right to access health care, medical care and educational services on an equal basis with Egyptian citizens.</w:t>
      </w:r>
      <w:r w:rsidRPr="00B76EC8">
        <w:rPr>
          <w:sz w:val="24"/>
          <w:szCs w:val="24"/>
        </w:rPr>
        <w:t xml:space="preserve"> </w:t>
      </w:r>
      <w:r w:rsidRPr="00B76EC8">
        <w:rPr>
          <w:rFonts w:asciiTheme="majorBidi" w:hAnsiTheme="majorBidi" w:cstheme="majorBidi"/>
          <w:sz w:val="24"/>
          <w:szCs w:val="24"/>
          <w:lang w:bidi="ar-EG"/>
        </w:rPr>
        <w:t>In this regard, the Egyptian Government has granted migrant workers' children in Egypt from Sudan, South Sudan, Syria, Yemen and other Arabic-speaking countries the right to access free and government education services on an equal basis with Egyptians until pre-university education.</w:t>
      </w:r>
      <w:r w:rsidR="00401B3D" w:rsidRPr="00B76EC8">
        <w:rPr>
          <w:sz w:val="24"/>
          <w:szCs w:val="24"/>
        </w:rPr>
        <w:t xml:space="preserve"> </w:t>
      </w:r>
      <w:r w:rsidR="00401B3D" w:rsidRPr="00B76EC8">
        <w:rPr>
          <w:rFonts w:asciiTheme="majorBidi" w:hAnsiTheme="majorBidi" w:cstheme="majorBidi"/>
          <w:sz w:val="24"/>
          <w:szCs w:val="24"/>
          <w:lang w:bidi="ar-EG"/>
        </w:rPr>
        <w:t>According to UN statistics released in this context, the number of migrant students enrolled in government schools in all Egyptian governorates in the academic year 2022/2023 was about 60,482.</w:t>
      </w:r>
      <w:r w:rsidR="005A217A" w:rsidRPr="00B76EC8">
        <w:rPr>
          <w:rStyle w:val="FootnoteReference"/>
          <w:rFonts w:asciiTheme="majorBidi" w:hAnsiTheme="majorBidi" w:cstheme="majorBidi"/>
          <w:sz w:val="24"/>
          <w:szCs w:val="24"/>
          <w:lang w:bidi="ar-EG"/>
        </w:rPr>
        <w:footnoteReference w:id="4"/>
      </w:r>
    </w:p>
    <w:p w14:paraId="739A1E4E" w14:textId="7215B270" w:rsidR="005A217A" w:rsidRPr="00B76EC8" w:rsidRDefault="005A217A" w:rsidP="00F12249">
      <w:pPr>
        <w:shd w:val="clear" w:color="auto" w:fill="FFFFFF" w:themeFill="background1"/>
        <w:jc w:val="both"/>
        <w:rPr>
          <w:rFonts w:asciiTheme="majorBidi" w:hAnsiTheme="majorBidi" w:cstheme="majorBidi"/>
          <w:sz w:val="24"/>
          <w:szCs w:val="24"/>
          <w:lang w:bidi="ar-EG"/>
        </w:rPr>
      </w:pPr>
      <w:r w:rsidRPr="00B76EC8">
        <w:rPr>
          <w:rFonts w:asciiTheme="majorBidi" w:hAnsiTheme="majorBidi" w:cstheme="majorBidi"/>
          <w:sz w:val="24"/>
          <w:szCs w:val="24"/>
          <w:lang w:bidi="ar-EG"/>
        </w:rPr>
        <w:t>Furthermore, migrant workers and members of their families in Egypt have access to primary health and medical care services on an equal basis with Egyptian nationals under article 18 of the Egyptian Constitution, which requires State health institutions to provide urgent medical care to everyone in cases of emergency or danger to life regardless of their nationality or legal status and makes it an offence under the law to refrain from providing such care.</w:t>
      </w:r>
      <w:r w:rsidRPr="00B76EC8">
        <w:rPr>
          <w:rStyle w:val="FootnoteReference"/>
          <w:rFonts w:asciiTheme="majorBidi" w:hAnsiTheme="majorBidi" w:cstheme="majorBidi"/>
          <w:sz w:val="24"/>
          <w:szCs w:val="24"/>
          <w:lang w:bidi="ar-EG"/>
        </w:rPr>
        <w:footnoteReference w:id="5"/>
      </w:r>
      <w:r w:rsidRPr="00B76EC8">
        <w:rPr>
          <w:sz w:val="24"/>
          <w:szCs w:val="24"/>
        </w:rPr>
        <w:t xml:space="preserve"> </w:t>
      </w:r>
      <w:r w:rsidRPr="00B76EC8">
        <w:rPr>
          <w:rFonts w:asciiTheme="majorBidi" w:hAnsiTheme="majorBidi" w:cstheme="majorBidi"/>
          <w:sz w:val="24"/>
          <w:szCs w:val="24"/>
          <w:lang w:bidi="ar-EG"/>
        </w:rPr>
        <w:t>In addition to Prime Minister's Decree No. 1063 of 2014, which provides for free emergency and accident treatment services for all persons, including migrant workers, in all public and government hospitals within the first 48 hours.</w:t>
      </w:r>
      <w:r w:rsidRPr="00B76EC8">
        <w:rPr>
          <w:rStyle w:val="FootnoteReference"/>
          <w:rFonts w:asciiTheme="majorBidi" w:hAnsiTheme="majorBidi" w:cstheme="majorBidi"/>
          <w:sz w:val="24"/>
          <w:szCs w:val="24"/>
          <w:lang w:bidi="ar-EG"/>
        </w:rPr>
        <w:footnoteReference w:id="6"/>
      </w:r>
    </w:p>
    <w:p w14:paraId="456B6002" w14:textId="2865C96F" w:rsidR="005A217A" w:rsidRPr="00B76EC8" w:rsidRDefault="005A217A" w:rsidP="005A217A">
      <w:pPr>
        <w:shd w:val="clear" w:color="auto" w:fill="FFFFFF" w:themeFill="background1"/>
        <w:jc w:val="both"/>
        <w:rPr>
          <w:rFonts w:asciiTheme="majorBidi" w:hAnsiTheme="majorBidi" w:cstheme="majorBidi"/>
          <w:sz w:val="24"/>
          <w:szCs w:val="24"/>
          <w:lang w:bidi="ar-EG"/>
        </w:rPr>
      </w:pPr>
      <w:r w:rsidRPr="00B76EC8">
        <w:rPr>
          <w:rFonts w:asciiTheme="majorBidi" w:hAnsiTheme="majorBidi" w:cstheme="majorBidi"/>
          <w:sz w:val="24"/>
          <w:szCs w:val="24"/>
          <w:lang w:bidi="ar-EG"/>
        </w:rPr>
        <w:t>In addition to primary medical care services, the Egyptian Government granted migrants from Sudan, South Sudan, Ethiopia, Yemen, Eritrea and Syria access to secondary and tertiary health care services pursuant to Ministry of Health and Population Decree No. 217, 337 and 601 of 2012,</w:t>
      </w:r>
      <w:r w:rsidRPr="00B76EC8">
        <w:rPr>
          <w:sz w:val="24"/>
          <w:szCs w:val="24"/>
        </w:rPr>
        <w:t xml:space="preserve"> </w:t>
      </w:r>
      <w:r w:rsidRPr="00B76EC8">
        <w:rPr>
          <w:rFonts w:asciiTheme="majorBidi" w:hAnsiTheme="majorBidi" w:cstheme="majorBidi"/>
          <w:sz w:val="24"/>
          <w:szCs w:val="24"/>
          <w:lang w:bidi="ar-EG"/>
        </w:rPr>
        <w:t>which provides for the treatment of migrants from Sudan, South Sudan, Ethiopia, Yemen, Eritrea and Syria, who currently constitute approximately 85% of the number of registered migrants, on an equal basis with Egyptians within hospitals providing secondary and tertiary health care services.</w:t>
      </w:r>
      <w:r w:rsidRPr="00B76EC8">
        <w:rPr>
          <w:rStyle w:val="FootnoteReference"/>
          <w:rFonts w:asciiTheme="majorBidi" w:hAnsiTheme="majorBidi" w:cstheme="majorBidi"/>
          <w:sz w:val="24"/>
          <w:szCs w:val="24"/>
          <w:lang w:bidi="ar-EG"/>
        </w:rPr>
        <w:footnoteReference w:id="7"/>
      </w:r>
    </w:p>
    <w:p w14:paraId="63ED783F" w14:textId="07F2458B" w:rsidR="005A217A" w:rsidRPr="00B76EC8" w:rsidRDefault="005A217A" w:rsidP="005A217A">
      <w:pPr>
        <w:shd w:val="clear" w:color="auto" w:fill="002060"/>
        <w:jc w:val="both"/>
        <w:rPr>
          <w:rFonts w:asciiTheme="majorBidi" w:hAnsiTheme="majorBidi" w:cstheme="majorBidi"/>
          <w:b/>
          <w:bCs/>
          <w:sz w:val="24"/>
          <w:szCs w:val="24"/>
          <w:lang w:bidi="ar-EG"/>
        </w:rPr>
      </w:pPr>
      <w:r w:rsidRPr="00B76EC8">
        <w:rPr>
          <w:rFonts w:asciiTheme="majorBidi" w:hAnsiTheme="majorBidi" w:cstheme="majorBidi"/>
          <w:b/>
          <w:bCs/>
          <w:sz w:val="24"/>
          <w:szCs w:val="24"/>
          <w:lang w:bidi="ar-EG"/>
        </w:rPr>
        <w:t>Recommendations</w:t>
      </w:r>
    </w:p>
    <w:p w14:paraId="48B9C355" w14:textId="7F3F0A06" w:rsidR="005A217A" w:rsidRPr="00B76EC8" w:rsidRDefault="005A217A" w:rsidP="005A217A">
      <w:pPr>
        <w:shd w:val="clear" w:color="auto" w:fill="FFFFFF" w:themeFill="background1"/>
        <w:jc w:val="both"/>
        <w:rPr>
          <w:rFonts w:asciiTheme="majorBidi" w:hAnsiTheme="majorBidi" w:cstheme="majorBidi"/>
          <w:sz w:val="24"/>
          <w:szCs w:val="24"/>
          <w:lang w:bidi="ar-EG"/>
        </w:rPr>
      </w:pPr>
      <w:r w:rsidRPr="00B76EC8">
        <w:rPr>
          <w:rFonts w:asciiTheme="majorBidi" w:hAnsiTheme="majorBidi" w:cstheme="majorBidi"/>
          <w:sz w:val="24"/>
          <w:szCs w:val="24"/>
          <w:lang w:bidi="ar-EG"/>
        </w:rPr>
        <w:lastRenderedPageBreak/>
        <w:t>In the light of the above, Partners for Transparency makes the following recommendations to the Egyptian Government:</w:t>
      </w:r>
    </w:p>
    <w:p w14:paraId="3070761A" w14:textId="74CBD38D" w:rsidR="005A217A" w:rsidRPr="00B76EC8" w:rsidRDefault="005A217A" w:rsidP="005A217A">
      <w:pPr>
        <w:pStyle w:val="ListParagraph"/>
        <w:numPr>
          <w:ilvl w:val="0"/>
          <w:numId w:val="17"/>
        </w:numPr>
        <w:shd w:val="clear" w:color="auto" w:fill="FFFFFF" w:themeFill="background1"/>
        <w:bidi w:val="0"/>
        <w:jc w:val="both"/>
        <w:rPr>
          <w:rFonts w:asciiTheme="majorBidi" w:hAnsiTheme="majorBidi" w:cstheme="majorBidi"/>
          <w:sz w:val="24"/>
          <w:szCs w:val="24"/>
          <w:lang w:bidi="ar-EG"/>
        </w:rPr>
      </w:pPr>
      <w:r w:rsidRPr="00B76EC8">
        <w:rPr>
          <w:rFonts w:asciiTheme="majorBidi" w:hAnsiTheme="majorBidi" w:cstheme="majorBidi"/>
          <w:sz w:val="24"/>
          <w:szCs w:val="24"/>
          <w:lang w:bidi="ar-EG"/>
        </w:rPr>
        <w:t>Commit to submit periodic reports to the Committee on the Protection of the Rights of All Migrant Workers and Members of Their Families on time to ensure a more up-to-date and effective review.</w:t>
      </w:r>
    </w:p>
    <w:p w14:paraId="4A7FC6C7" w14:textId="3A226C88" w:rsidR="005A217A" w:rsidRPr="00B76EC8" w:rsidRDefault="005A217A" w:rsidP="005A217A">
      <w:pPr>
        <w:pStyle w:val="ListParagraph"/>
        <w:numPr>
          <w:ilvl w:val="0"/>
          <w:numId w:val="17"/>
        </w:numPr>
        <w:shd w:val="clear" w:color="auto" w:fill="FFFFFF" w:themeFill="background1"/>
        <w:bidi w:val="0"/>
        <w:jc w:val="both"/>
        <w:rPr>
          <w:rFonts w:asciiTheme="majorBidi" w:hAnsiTheme="majorBidi" w:cstheme="majorBidi"/>
          <w:sz w:val="24"/>
          <w:szCs w:val="24"/>
          <w:lang w:bidi="ar-EG"/>
        </w:rPr>
      </w:pPr>
      <w:r w:rsidRPr="00B76EC8">
        <w:rPr>
          <w:rFonts w:asciiTheme="majorBidi" w:hAnsiTheme="majorBidi" w:cstheme="majorBidi"/>
          <w:sz w:val="24"/>
          <w:szCs w:val="24"/>
          <w:lang w:bidi="ar-EG"/>
        </w:rPr>
        <w:t>Enforce laws explicitly prohibiting discrimination, violence and abuse against migrant workers on the basis of their nationality, ethnic origin or immigration status.</w:t>
      </w:r>
    </w:p>
    <w:p w14:paraId="55AA6F60" w14:textId="58FDD9AB" w:rsidR="00AE5CA9" w:rsidRPr="00B76EC8" w:rsidRDefault="00AE5CA9" w:rsidP="00AE5CA9">
      <w:pPr>
        <w:pStyle w:val="ListParagraph"/>
        <w:numPr>
          <w:ilvl w:val="0"/>
          <w:numId w:val="17"/>
        </w:numPr>
        <w:shd w:val="clear" w:color="auto" w:fill="FFFFFF" w:themeFill="background1"/>
        <w:bidi w:val="0"/>
        <w:jc w:val="both"/>
        <w:rPr>
          <w:rFonts w:asciiTheme="majorBidi" w:hAnsiTheme="majorBidi" w:cstheme="majorBidi"/>
          <w:sz w:val="24"/>
          <w:szCs w:val="24"/>
          <w:lang w:bidi="ar-EG"/>
        </w:rPr>
      </w:pPr>
      <w:r w:rsidRPr="00B76EC8">
        <w:rPr>
          <w:rFonts w:asciiTheme="majorBidi" w:hAnsiTheme="majorBidi" w:cstheme="majorBidi"/>
          <w:sz w:val="24"/>
          <w:szCs w:val="24"/>
          <w:lang w:bidi="ar-EG"/>
        </w:rPr>
        <w:t>Launch awareness-raising campaigns to combat stereotypes and prejudices against migrants and promote positive discourse about migrants to counter stereotypes and xenophobia.</w:t>
      </w:r>
    </w:p>
    <w:p w14:paraId="1D946A50" w14:textId="006D7EEC" w:rsidR="00AE5CA9" w:rsidRPr="00B76EC8" w:rsidRDefault="00AE5CA9" w:rsidP="00AE5CA9">
      <w:pPr>
        <w:pStyle w:val="ListParagraph"/>
        <w:numPr>
          <w:ilvl w:val="0"/>
          <w:numId w:val="17"/>
        </w:numPr>
        <w:shd w:val="clear" w:color="auto" w:fill="FFFFFF" w:themeFill="background1"/>
        <w:bidi w:val="0"/>
        <w:jc w:val="both"/>
        <w:rPr>
          <w:rFonts w:asciiTheme="majorBidi" w:hAnsiTheme="majorBidi" w:cstheme="majorBidi"/>
          <w:sz w:val="24"/>
          <w:szCs w:val="24"/>
          <w:lang w:bidi="ar-EG"/>
        </w:rPr>
      </w:pPr>
      <w:r w:rsidRPr="00B76EC8">
        <w:rPr>
          <w:rFonts w:asciiTheme="majorBidi" w:hAnsiTheme="majorBidi" w:cstheme="majorBidi"/>
          <w:sz w:val="24"/>
          <w:szCs w:val="24"/>
          <w:lang w:bidi="ar-EG"/>
        </w:rPr>
        <w:t>Amend Egypt's Labor Code to extend legal protection to domestic workers, including migrant domestic workers</w:t>
      </w:r>
    </w:p>
    <w:p w14:paraId="03AAC981" w14:textId="4210BE09" w:rsidR="00AE5CA9" w:rsidRPr="00B76EC8" w:rsidRDefault="00AE5CA9" w:rsidP="00AE5CA9">
      <w:pPr>
        <w:pStyle w:val="ListParagraph"/>
        <w:numPr>
          <w:ilvl w:val="0"/>
          <w:numId w:val="17"/>
        </w:numPr>
        <w:shd w:val="clear" w:color="auto" w:fill="FFFFFF" w:themeFill="background1"/>
        <w:bidi w:val="0"/>
        <w:jc w:val="both"/>
        <w:rPr>
          <w:rFonts w:asciiTheme="majorBidi" w:hAnsiTheme="majorBidi" w:cstheme="majorBidi"/>
          <w:sz w:val="24"/>
          <w:szCs w:val="24"/>
          <w:lang w:bidi="ar-EG"/>
        </w:rPr>
      </w:pPr>
      <w:r w:rsidRPr="00B76EC8">
        <w:rPr>
          <w:rFonts w:asciiTheme="majorBidi" w:hAnsiTheme="majorBidi" w:cstheme="majorBidi"/>
          <w:sz w:val="24"/>
          <w:szCs w:val="24"/>
          <w:lang w:bidi="ar-EG"/>
        </w:rPr>
        <w:t>Intensify inspection campaigns against employers to monitor compliance with equal treatment provisions and reduce inequalities and exploitation of migrant workers, especially domestic workers.</w:t>
      </w:r>
    </w:p>
    <w:p w14:paraId="17574A32" w14:textId="11D8103A" w:rsidR="00AE5CA9" w:rsidRPr="00B76EC8" w:rsidRDefault="00AE5CA9" w:rsidP="00AE5CA9">
      <w:pPr>
        <w:pStyle w:val="ListParagraph"/>
        <w:numPr>
          <w:ilvl w:val="0"/>
          <w:numId w:val="17"/>
        </w:numPr>
        <w:shd w:val="clear" w:color="auto" w:fill="FFFFFF" w:themeFill="background1"/>
        <w:bidi w:val="0"/>
        <w:jc w:val="both"/>
        <w:rPr>
          <w:rFonts w:asciiTheme="majorBidi" w:hAnsiTheme="majorBidi" w:cstheme="majorBidi"/>
          <w:sz w:val="24"/>
          <w:szCs w:val="24"/>
          <w:lang w:bidi="ar-EG"/>
        </w:rPr>
      </w:pPr>
      <w:r w:rsidRPr="00B76EC8">
        <w:rPr>
          <w:rFonts w:asciiTheme="majorBidi" w:hAnsiTheme="majorBidi" w:cstheme="majorBidi"/>
          <w:sz w:val="24"/>
          <w:szCs w:val="24"/>
          <w:lang w:bidi="ar-EG"/>
        </w:rPr>
        <w:t>Ensure that all migrant children of different nationalities receive the same treatment as Egyptian children and migrant children from Sudan, South Sudan, Syria and Yemen with regard to access to free public education.</w:t>
      </w:r>
      <w:permStart w:id="1472292495" w:edGrp="everyone"/>
      <w:permEnd w:id="1472292495"/>
    </w:p>
    <w:sectPr w:rsidR="00AE5CA9" w:rsidRPr="00B76EC8" w:rsidSect="00D869E9">
      <w:headerReference w:type="even" r:id="rId11"/>
      <w:headerReference w:type="default" r:id="rId12"/>
      <w:footerReference w:type="even" r:id="rId13"/>
      <w:footerReference w:type="default" r:id="rId14"/>
      <w:headerReference w:type="first" r:id="rId15"/>
      <w:footerReference w:type="first" r:id="rId16"/>
      <w:pgSz w:w="12240" w:h="15840"/>
      <w:pgMar w:top="1134" w:right="1134" w:bottom="1134"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E5ECF9" w14:textId="77777777" w:rsidR="00CB3511" w:rsidRDefault="00CB3511" w:rsidP="0076180A">
      <w:pPr>
        <w:spacing w:after="0" w:line="240" w:lineRule="auto"/>
      </w:pPr>
      <w:r>
        <w:separator/>
      </w:r>
    </w:p>
  </w:endnote>
  <w:endnote w:type="continuationSeparator" w:id="0">
    <w:p w14:paraId="01A6566D" w14:textId="77777777" w:rsidR="00CB3511" w:rsidRDefault="00CB3511" w:rsidP="007618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7A4FA0" w14:textId="77777777" w:rsidR="000C25E3" w:rsidRDefault="000C25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301F8F" w14:textId="5A6FBC8B" w:rsidR="004B750E" w:rsidRPr="00D869E9" w:rsidRDefault="004B750E" w:rsidP="00D869E9">
    <w:pPr>
      <w:pStyle w:val="a0"/>
      <w:tabs>
        <w:tab w:val="clear" w:pos="4680"/>
        <w:tab w:val="clear" w:pos="9360"/>
        <w:tab w:val="center" w:pos="4153"/>
        <w:tab w:val="right" w:pos="8306"/>
      </w:tabs>
      <w:rPr>
        <w:b/>
        <w:bCs/>
        <w:sz w:val="24"/>
        <w:szCs w:val="24"/>
      </w:rPr>
    </w:pPr>
    <w:r w:rsidRPr="00D87309">
      <w:rPr>
        <w:b/>
        <w:bCs/>
        <w:sz w:val="24"/>
        <w:szCs w:val="24"/>
      </w:rPr>
      <w:t xml:space="preserve">P. </w:t>
    </w:r>
    <w:r w:rsidRPr="00D87309">
      <w:rPr>
        <w:b/>
        <w:bCs/>
        <w:sz w:val="24"/>
        <w:szCs w:val="24"/>
      </w:rPr>
      <w:fldChar w:fldCharType="begin"/>
    </w:r>
    <w:r w:rsidRPr="00D87309">
      <w:rPr>
        <w:b/>
        <w:bCs/>
        <w:sz w:val="24"/>
        <w:szCs w:val="24"/>
      </w:rPr>
      <w:instrText>PAGE   \* MERGEFORMAT</w:instrText>
    </w:r>
    <w:r w:rsidRPr="00D87309">
      <w:rPr>
        <w:b/>
        <w:bCs/>
        <w:sz w:val="24"/>
        <w:szCs w:val="24"/>
      </w:rPr>
      <w:fldChar w:fldCharType="separate"/>
    </w:r>
    <w:r w:rsidR="00B86706" w:rsidRPr="00B86706">
      <w:rPr>
        <w:rFonts w:cs="Calibri"/>
        <w:b/>
        <w:bCs/>
        <w:noProof/>
        <w:sz w:val="24"/>
        <w:szCs w:val="24"/>
        <w:rtl/>
        <w:lang w:val="ar-SA"/>
      </w:rPr>
      <w:t>4</w:t>
    </w:r>
    <w:r w:rsidRPr="00D87309">
      <w:rPr>
        <w:b/>
        <w:bCs/>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9974" w:type="dxa"/>
      <w:tblInd w:w="106" w:type="dxa"/>
      <w:tblBorders>
        <w:insideV w:val="single" w:sz="12" w:space="0" w:color="000000"/>
      </w:tblBorders>
      <w:tblLook w:val="04A0" w:firstRow="1" w:lastRow="0" w:firstColumn="1" w:lastColumn="0" w:noHBand="0" w:noVBand="1"/>
    </w:tblPr>
    <w:tblGrid>
      <w:gridCol w:w="1842"/>
      <w:gridCol w:w="1843"/>
      <w:gridCol w:w="1843"/>
      <w:gridCol w:w="1843"/>
      <w:gridCol w:w="2603"/>
    </w:tblGrid>
    <w:tr w:rsidR="004B750E" w:rsidRPr="00B026C1" w14:paraId="740774A9" w14:textId="77777777" w:rsidTr="00B026C1">
      <w:trPr>
        <w:trHeight w:val="510"/>
      </w:trPr>
      <w:tc>
        <w:tcPr>
          <w:tcW w:w="9974" w:type="dxa"/>
          <w:gridSpan w:val="5"/>
          <w:tcBorders>
            <w:bottom w:val="nil"/>
          </w:tcBorders>
          <w:vAlign w:val="center"/>
        </w:tcPr>
        <w:p w14:paraId="331627F3" w14:textId="104D6840" w:rsidR="004B750E" w:rsidRPr="006042B5" w:rsidRDefault="004B750E" w:rsidP="007E19CB">
          <w:pPr>
            <w:spacing w:after="0" w:line="240" w:lineRule="auto"/>
            <w:suppressOverlap/>
            <w:jc w:val="both"/>
            <w:rPr>
              <w:rStyle w:val="apple-style-span"/>
              <w:rFonts w:ascii="Times New Roman" w:hAnsi="Times New Roman" w:cs="Times New Roman"/>
              <w:b/>
              <w:bCs/>
              <w:color w:val="006B86"/>
              <w:sz w:val="20"/>
              <w:szCs w:val="20"/>
            </w:rPr>
          </w:pPr>
          <w:r w:rsidRPr="006042B5">
            <w:rPr>
              <w:rFonts w:ascii="Times New Roman" w:hAnsi="Times New Roman" w:cs="Times New Roman"/>
              <w:b/>
              <w:bCs/>
              <w:color w:val="006B86"/>
              <w:sz w:val="20"/>
              <w:szCs w:val="20"/>
            </w:rPr>
            <w:t xml:space="preserve"> </w:t>
          </w:r>
        </w:p>
      </w:tc>
    </w:tr>
    <w:tr w:rsidR="004B750E" w:rsidRPr="00B026C1" w14:paraId="69C33E2A" w14:textId="77777777" w:rsidTr="00B026C1">
      <w:trPr>
        <w:trHeight w:val="510"/>
      </w:trPr>
      <w:tc>
        <w:tcPr>
          <w:tcW w:w="1842" w:type="dxa"/>
          <w:tcBorders>
            <w:bottom w:val="nil"/>
            <w:right w:val="single" w:sz="12" w:space="0" w:color="auto"/>
          </w:tcBorders>
          <w:vAlign w:val="center"/>
        </w:tcPr>
        <w:p w14:paraId="5D135A00" w14:textId="77777777" w:rsidR="004B750E" w:rsidRPr="006042B5" w:rsidRDefault="004B750E" w:rsidP="00B026C1">
          <w:pPr>
            <w:spacing w:after="0" w:line="240" w:lineRule="auto"/>
            <w:suppressOverlap/>
            <w:rPr>
              <w:rStyle w:val="apple-style-span"/>
              <w:rFonts w:ascii="Times New Roman" w:hAnsi="Times New Roman" w:cs="Times New Roman"/>
              <w:b/>
              <w:bCs/>
              <w:color w:val="E48527"/>
              <w:sz w:val="32"/>
              <w:szCs w:val="32"/>
            </w:rPr>
          </w:pPr>
          <w:r w:rsidRPr="006042B5">
            <w:rPr>
              <w:rStyle w:val="apple-style-span"/>
              <w:rFonts w:ascii="Times New Roman" w:hAnsi="Times New Roman" w:cs="Times New Roman"/>
              <w:b/>
              <w:bCs/>
              <w:color w:val="E48527"/>
              <w:sz w:val="28"/>
              <w:szCs w:val="28"/>
            </w:rPr>
            <w:t>M</w:t>
          </w:r>
          <w:r w:rsidRPr="006042B5">
            <w:rPr>
              <w:rStyle w:val="apple-style-span"/>
              <w:rFonts w:ascii="Times New Roman" w:hAnsi="Times New Roman" w:cs="Times New Roman"/>
              <w:b/>
              <w:bCs/>
              <w:color w:val="E48527"/>
              <w:sz w:val="32"/>
              <w:szCs w:val="32"/>
            </w:rPr>
            <w:t>.</w:t>
          </w:r>
        </w:p>
        <w:p w14:paraId="4A708D56" w14:textId="4EEA756A" w:rsidR="004B750E" w:rsidRPr="006042B5" w:rsidRDefault="004B750E" w:rsidP="00B026C1">
          <w:pPr>
            <w:spacing w:after="0" w:line="240" w:lineRule="auto"/>
            <w:suppressOverlap/>
            <w:rPr>
              <w:rStyle w:val="apple-style-span"/>
              <w:rFonts w:ascii="Times New Roman" w:hAnsi="Times New Roman" w:cs="Times New Roman"/>
              <w:b/>
              <w:bCs/>
              <w:color w:val="006B86"/>
              <w:sz w:val="18"/>
              <w:szCs w:val="18"/>
              <w:rtl/>
              <w:lang w:bidi="ar-EG"/>
            </w:rPr>
          </w:pPr>
          <w:r w:rsidRPr="006042B5">
            <w:rPr>
              <w:rStyle w:val="apple-style-span"/>
              <w:rFonts w:ascii="Times New Roman" w:hAnsi="Times New Roman" w:cs="Times New Roman"/>
              <w:b/>
              <w:bCs/>
              <w:color w:val="006B86"/>
              <w:sz w:val="18"/>
              <w:szCs w:val="18"/>
            </w:rPr>
            <w:t xml:space="preserve"> </w:t>
          </w:r>
          <w:r w:rsidRPr="006042B5">
            <w:rPr>
              <w:rStyle w:val="apple-style-span"/>
              <w:b/>
              <w:bCs/>
              <w:color w:val="006B86"/>
              <w:sz w:val="18"/>
              <w:szCs w:val="18"/>
            </w:rPr>
            <w:t>+ 20 1</w:t>
          </w:r>
          <w:r>
            <w:rPr>
              <w:rStyle w:val="apple-style-span"/>
              <w:rFonts w:hint="cs"/>
              <w:b/>
              <w:bCs/>
              <w:color w:val="006B86"/>
              <w:sz w:val="18"/>
              <w:szCs w:val="18"/>
              <w:rtl/>
            </w:rPr>
            <w:t>277050886</w:t>
          </w:r>
        </w:p>
      </w:tc>
      <w:tc>
        <w:tcPr>
          <w:tcW w:w="1843" w:type="dxa"/>
          <w:tcBorders>
            <w:left w:val="single" w:sz="12" w:space="0" w:color="auto"/>
            <w:bottom w:val="nil"/>
            <w:right w:val="single" w:sz="12" w:space="0" w:color="auto"/>
          </w:tcBorders>
          <w:vAlign w:val="center"/>
        </w:tcPr>
        <w:p w14:paraId="5AEB0631" w14:textId="77777777" w:rsidR="004B750E" w:rsidRPr="006042B5" w:rsidRDefault="004B750E" w:rsidP="00B026C1">
          <w:pPr>
            <w:spacing w:after="0" w:line="240" w:lineRule="auto"/>
            <w:suppressOverlap/>
            <w:rPr>
              <w:rStyle w:val="apple-style-span"/>
              <w:rFonts w:ascii="Times New Roman" w:hAnsi="Times New Roman" w:cs="Times New Roman"/>
              <w:b/>
              <w:bCs/>
              <w:color w:val="E48527"/>
              <w:sz w:val="32"/>
              <w:szCs w:val="32"/>
            </w:rPr>
          </w:pPr>
          <w:r w:rsidRPr="006042B5">
            <w:rPr>
              <w:rStyle w:val="apple-style-span"/>
              <w:rFonts w:ascii="Times New Roman" w:hAnsi="Times New Roman" w:cs="Times New Roman"/>
              <w:b/>
              <w:bCs/>
              <w:color w:val="E48527"/>
              <w:sz w:val="28"/>
              <w:szCs w:val="28"/>
            </w:rPr>
            <w:t>T</w:t>
          </w:r>
          <w:r w:rsidRPr="006042B5">
            <w:rPr>
              <w:rStyle w:val="apple-style-span"/>
              <w:rFonts w:ascii="Times New Roman" w:hAnsi="Times New Roman" w:cs="Times New Roman"/>
              <w:b/>
              <w:bCs/>
              <w:color w:val="E48527"/>
              <w:sz w:val="32"/>
              <w:szCs w:val="32"/>
            </w:rPr>
            <w:t>.</w:t>
          </w:r>
          <w:r w:rsidRPr="006042B5">
            <w:rPr>
              <w:rStyle w:val="apple-style-span"/>
              <w:rFonts w:ascii="Times New Roman" w:hAnsi="Times New Roman" w:cs="Times New Roman"/>
              <w:b/>
              <w:bCs/>
              <w:color w:val="E48527"/>
              <w:sz w:val="28"/>
              <w:szCs w:val="28"/>
            </w:rPr>
            <w:t>F</w:t>
          </w:r>
        </w:p>
        <w:p w14:paraId="05595980" w14:textId="77777777" w:rsidR="004B750E" w:rsidRPr="006042B5" w:rsidRDefault="004B750E"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b/>
              <w:bCs/>
              <w:color w:val="006B86"/>
              <w:sz w:val="18"/>
              <w:szCs w:val="18"/>
            </w:rPr>
            <w:t>+ (20) (2)253 44 704</w:t>
          </w:r>
        </w:p>
      </w:tc>
      <w:tc>
        <w:tcPr>
          <w:tcW w:w="1843" w:type="dxa"/>
          <w:tcBorders>
            <w:left w:val="single" w:sz="12" w:space="0" w:color="auto"/>
            <w:bottom w:val="nil"/>
            <w:right w:val="single" w:sz="12" w:space="0" w:color="auto"/>
          </w:tcBorders>
          <w:vAlign w:val="center"/>
        </w:tcPr>
        <w:p w14:paraId="4FCB32DB" w14:textId="77777777" w:rsidR="004B750E" w:rsidRPr="006042B5" w:rsidRDefault="004B750E" w:rsidP="00B026C1">
          <w:pPr>
            <w:spacing w:after="0" w:line="240" w:lineRule="auto"/>
            <w:suppressOverlap/>
            <w:rPr>
              <w:rStyle w:val="apple-style-span"/>
              <w:rFonts w:ascii="Times New Roman" w:hAnsi="Times New Roman" w:cs="Times New Roman"/>
              <w:b/>
              <w:bCs/>
              <w:color w:val="E48527"/>
              <w:sz w:val="32"/>
              <w:szCs w:val="32"/>
            </w:rPr>
          </w:pPr>
          <w:r w:rsidRPr="006042B5">
            <w:rPr>
              <w:rStyle w:val="apple-style-span"/>
              <w:rFonts w:ascii="Times New Roman" w:hAnsi="Times New Roman" w:cs="Times New Roman"/>
              <w:b/>
              <w:bCs/>
              <w:color w:val="E48527"/>
              <w:sz w:val="28"/>
              <w:szCs w:val="28"/>
            </w:rPr>
            <w:t>T</w:t>
          </w:r>
          <w:r w:rsidRPr="006042B5">
            <w:rPr>
              <w:rStyle w:val="apple-style-span"/>
              <w:rFonts w:ascii="Times New Roman" w:hAnsi="Times New Roman" w:cs="Times New Roman"/>
              <w:b/>
              <w:bCs/>
              <w:color w:val="E48527"/>
              <w:sz w:val="32"/>
              <w:szCs w:val="32"/>
            </w:rPr>
            <w:t>.</w:t>
          </w:r>
        </w:p>
        <w:p w14:paraId="416ACD9B" w14:textId="77777777" w:rsidR="004B750E" w:rsidRPr="006042B5" w:rsidRDefault="004B750E"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b/>
              <w:bCs/>
              <w:color w:val="006B86"/>
              <w:sz w:val="18"/>
              <w:szCs w:val="18"/>
            </w:rPr>
            <w:t>+(20) (2)253 44 705</w:t>
          </w:r>
        </w:p>
      </w:tc>
      <w:tc>
        <w:tcPr>
          <w:tcW w:w="1843" w:type="dxa"/>
          <w:tcBorders>
            <w:left w:val="single" w:sz="12" w:space="0" w:color="auto"/>
            <w:bottom w:val="nil"/>
            <w:right w:val="single" w:sz="12" w:space="0" w:color="auto"/>
          </w:tcBorders>
          <w:vAlign w:val="center"/>
        </w:tcPr>
        <w:p w14:paraId="395E892D" w14:textId="77777777" w:rsidR="004B750E" w:rsidRPr="006042B5" w:rsidRDefault="004B750E" w:rsidP="00B026C1">
          <w:pPr>
            <w:spacing w:after="0" w:line="240" w:lineRule="auto"/>
            <w:suppressOverlap/>
            <w:rPr>
              <w:rFonts w:ascii="Times New Roman" w:hAnsi="Times New Roman" w:cs="Times New Roman"/>
              <w:b/>
              <w:bCs/>
              <w:color w:val="E48527"/>
              <w:sz w:val="32"/>
              <w:szCs w:val="32"/>
            </w:rPr>
          </w:pPr>
          <w:r w:rsidRPr="006042B5">
            <w:rPr>
              <w:rFonts w:ascii="Times New Roman" w:hAnsi="Times New Roman" w:cs="Times New Roman"/>
              <w:b/>
              <w:bCs/>
              <w:color w:val="E48527"/>
              <w:sz w:val="28"/>
              <w:szCs w:val="28"/>
            </w:rPr>
            <w:t>E</w:t>
          </w:r>
          <w:r w:rsidRPr="006042B5">
            <w:rPr>
              <w:rFonts w:ascii="Times New Roman" w:hAnsi="Times New Roman" w:cs="Times New Roman"/>
              <w:b/>
              <w:bCs/>
              <w:color w:val="E48527"/>
              <w:sz w:val="32"/>
              <w:szCs w:val="32"/>
            </w:rPr>
            <w:t>.</w:t>
          </w:r>
        </w:p>
        <w:p w14:paraId="7AC16354" w14:textId="77777777" w:rsidR="004B750E" w:rsidRPr="006042B5" w:rsidRDefault="004B750E"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rFonts w:ascii="Times New Roman" w:hAnsi="Times New Roman" w:cs="Times New Roman"/>
              <w:b/>
              <w:bCs/>
              <w:color w:val="006B86"/>
              <w:sz w:val="20"/>
              <w:szCs w:val="20"/>
            </w:rPr>
            <w:t xml:space="preserve"> </w:t>
          </w:r>
          <w:r w:rsidRPr="006042B5">
            <w:rPr>
              <w:rStyle w:val="apple-style-span"/>
              <w:b/>
              <w:bCs/>
              <w:color w:val="006B86"/>
              <w:sz w:val="18"/>
              <w:szCs w:val="18"/>
            </w:rPr>
            <w:t>info@pfort.org</w:t>
          </w:r>
        </w:p>
      </w:tc>
      <w:tc>
        <w:tcPr>
          <w:tcW w:w="1843" w:type="dxa"/>
          <w:tcBorders>
            <w:left w:val="single" w:sz="12" w:space="0" w:color="auto"/>
            <w:bottom w:val="nil"/>
          </w:tcBorders>
          <w:vAlign w:val="center"/>
        </w:tcPr>
        <w:p w14:paraId="680C8181" w14:textId="77777777" w:rsidR="004B750E" w:rsidRPr="006042B5" w:rsidRDefault="004B750E" w:rsidP="00B026C1">
          <w:pPr>
            <w:spacing w:after="0" w:line="240" w:lineRule="auto"/>
            <w:suppressOverlap/>
            <w:rPr>
              <w:rFonts w:ascii="Times New Roman" w:hAnsi="Times New Roman" w:cs="Times New Roman"/>
              <w:b/>
              <w:bCs/>
              <w:color w:val="E48527"/>
              <w:sz w:val="32"/>
              <w:szCs w:val="32"/>
            </w:rPr>
          </w:pPr>
          <w:r w:rsidRPr="006042B5">
            <w:rPr>
              <w:rFonts w:ascii="Times New Roman" w:hAnsi="Times New Roman" w:cs="Times New Roman"/>
              <w:b/>
              <w:bCs/>
              <w:color w:val="E48527"/>
              <w:sz w:val="28"/>
              <w:szCs w:val="28"/>
            </w:rPr>
            <w:t>W</w:t>
          </w:r>
          <w:r w:rsidRPr="006042B5">
            <w:rPr>
              <w:rFonts w:ascii="Times New Roman" w:hAnsi="Times New Roman" w:cs="Times New Roman"/>
              <w:b/>
              <w:bCs/>
              <w:color w:val="E48527"/>
              <w:sz w:val="32"/>
              <w:szCs w:val="32"/>
            </w:rPr>
            <w:t>.</w:t>
          </w:r>
        </w:p>
        <w:p w14:paraId="42D11299" w14:textId="77777777" w:rsidR="004B750E" w:rsidRPr="006042B5" w:rsidRDefault="004B750E"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b/>
              <w:bCs/>
              <w:color w:val="006B86"/>
              <w:sz w:val="18"/>
              <w:szCs w:val="18"/>
            </w:rPr>
            <w:t>www.pfort.org</w:t>
          </w:r>
          <w:r w:rsidRPr="006042B5">
            <w:rPr>
              <w:rFonts w:ascii="Times New Roman" w:hAnsi="Times New Roman" w:cs="Times New Roman"/>
              <w:b/>
              <w:bCs/>
              <w:color w:val="006B86"/>
              <w:sz w:val="20"/>
              <w:szCs w:val="20"/>
            </w:rPr>
            <w:t> </w:t>
          </w:r>
        </w:p>
      </w:tc>
    </w:tr>
  </w:tbl>
  <w:p w14:paraId="0234AF26" w14:textId="77777777" w:rsidR="004B750E" w:rsidRDefault="004B750E">
    <w:pPr>
      <w:pStyle w:val="a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572B73" w14:textId="77777777" w:rsidR="00CB3511" w:rsidRDefault="00CB3511" w:rsidP="0076180A">
      <w:pPr>
        <w:spacing w:after="0" w:line="240" w:lineRule="auto"/>
      </w:pPr>
      <w:r>
        <w:separator/>
      </w:r>
    </w:p>
  </w:footnote>
  <w:footnote w:type="continuationSeparator" w:id="0">
    <w:p w14:paraId="08493B21" w14:textId="77777777" w:rsidR="00CB3511" w:rsidRDefault="00CB3511" w:rsidP="0076180A">
      <w:pPr>
        <w:spacing w:after="0" w:line="240" w:lineRule="auto"/>
      </w:pPr>
      <w:r>
        <w:continuationSeparator/>
      </w:r>
    </w:p>
  </w:footnote>
  <w:footnote w:id="1">
    <w:p w14:paraId="34FA1C64" w14:textId="69596658" w:rsidR="004B750E" w:rsidRDefault="004B750E">
      <w:pPr>
        <w:pStyle w:val="FootnoteText"/>
      </w:pPr>
      <w:r>
        <w:rPr>
          <w:rStyle w:val="FootnoteReference"/>
        </w:rPr>
        <w:footnoteRef/>
      </w:r>
      <w:r>
        <w:t xml:space="preserve"> </w:t>
      </w:r>
      <w:r w:rsidRPr="00D355DB">
        <w:t xml:space="preserve">UN Official: There is not a single refugee and migrant camp in Egypt. The state deals with them "very well," Al-Ahram, 30 August 2023, link: </w:t>
      </w:r>
      <w:hyperlink r:id="rId1" w:history="1">
        <w:r w:rsidRPr="00E50795">
          <w:rPr>
            <w:rStyle w:val="Hyperlink"/>
            <w:rFonts w:asciiTheme="majorBidi" w:hAnsiTheme="majorBidi" w:cstheme="majorBidi"/>
          </w:rPr>
          <w:t>https://tinyl.io/Ahyn</w:t>
        </w:r>
      </w:hyperlink>
    </w:p>
  </w:footnote>
  <w:footnote w:id="2">
    <w:p w14:paraId="15B70BCA" w14:textId="4FFD142C" w:rsidR="004B750E" w:rsidRDefault="004B750E">
      <w:pPr>
        <w:pStyle w:val="FootnoteText"/>
      </w:pPr>
      <w:r>
        <w:rPr>
          <w:rStyle w:val="FootnoteReference"/>
        </w:rPr>
        <w:footnoteRef/>
      </w:r>
      <w:r>
        <w:t xml:space="preserve"> </w:t>
      </w:r>
      <w:r w:rsidRPr="004B750E">
        <w:t>Egypt: Murder and sexual assault of a Sudanese infant "transnational crime", BBC Arabic, April 25, 2024, link:</w:t>
      </w:r>
      <w:r>
        <w:t xml:space="preserve"> </w:t>
      </w:r>
      <w:hyperlink r:id="rId2" w:history="1">
        <w:r w:rsidRPr="00E50795">
          <w:rPr>
            <w:rStyle w:val="Hyperlink"/>
            <w:rFonts w:asciiTheme="majorBidi" w:hAnsiTheme="majorBidi" w:cstheme="majorBidi"/>
          </w:rPr>
          <w:t>https://tinyl.io/BZWc</w:t>
        </w:r>
      </w:hyperlink>
    </w:p>
  </w:footnote>
  <w:footnote w:id="3">
    <w:p w14:paraId="0F363B6B" w14:textId="63E6C06B" w:rsidR="00721A9C" w:rsidRDefault="00721A9C">
      <w:pPr>
        <w:pStyle w:val="FootnoteText"/>
      </w:pPr>
      <w:r>
        <w:rPr>
          <w:rStyle w:val="FootnoteReference"/>
        </w:rPr>
        <w:footnoteRef/>
      </w:r>
      <w:r>
        <w:t xml:space="preserve"> </w:t>
      </w:r>
      <w:r w:rsidRPr="00E50795">
        <w:rPr>
          <w:rFonts w:asciiTheme="majorBidi" w:hAnsiTheme="majorBidi" w:cstheme="majorBidi"/>
        </w:rPr>
        <w:t xml:space="preserve">2022 Country Reports on Human Rights Practices: Egypt, Us department of state, link: </w:t>
      </w:r>
      <w:hyperlink r:id="rId3" w:history="1">
        <w:r w:rsidRPr="00E50795">
          <w:rPr>
            <w:rStyle w:val="Hyperlink"/>
            <w:rFonts w:asciiTheme="majorBidi" w:hAnsiTheme="majorBidi" w:cstheme="majorBidi"/>
          </w:rPr>
          <w:t>https://tinyl.io/Ah5i</w:t>
        </w:r>
      </w:hyperlink>
    </w:p>
  </w:footnote>
  <w:footnote w:id="4">
    <w:p w14:paraId="56081F3F" w14:textId="32F2BE2F" w:rsidR="005A217A" w:rsidRDefault="005A217A">
      <w:pPr>
        <w:pStyle w:val="FootnoteText"/>
      </w:pPr>
      <w:r>
        <w:rPr>
          <w:rStyle w:val="FootnoteReference"/>
        </w:rPr>
        <w:footnoteRef/>
      </w:r>
      <w:r>
        <w:t xml:space="preserve"> </w:t>
      </w:r>
      <w:r w:rsidRPr="005A217A">
        <w:t xml:space="preserve">UNHCR representative commends Egypt's role in refugee education, seventh day, 5 November 2023, link: </w:t>
      </w:r>
      <w:hyperlink r:id="rId4" w:history="1">
        <w:r w:rsidRPr="00E50795">
          <w:rPr>
            <w:rStyle w:val="Hyperlink"/>
            <w:rFonts w:asciiTheme="majorBidi" w:hAnsiTheme="majorBidi" w:cstheme="majorBidi"/>
          </w:rPr>
          <w:t>https://tinyl.io/AhAq</w:t>
        </w:r>
      </w:hyperlink>
    </w:p>
  </w:footnote>
  <w:footnote w:id="5">
    <w:p w14:paraId="52D332C3" w14:textId="0C293885" w:rsidR="005A217A" w:rsidRDefault="005A217A">
      <w:pPr>
        <w:pStyle w:val="FootnoteText"/>
      </w:pPr>
      <w:r>
        <w:rPr>
          <w:rStyle w:val="FootnoteReference"/>
        </w:rPr>
        <w:footnoteRef/>
      </w:r>
      <w:r>
        <w:t xml:space="preserve"> </w:t>
      </w:r>
      <w:r w:rsidRPr="005A217A">
        <w:t xml:space="preserve">Article 18 of the Egyptian Constitution, link: </w:t>
      </w:r>
      <w:hyperlink r:id="rId5" w:history="1">
        <w:r w:rsidRPr="00E50795">
          <w:rPr>
            <w:rStyle w:val="Hyperlink"/>
            <w:rFonts w:asciiTheme="majorBidi" w:hAnsiTheme="majorBidi" w:cstheme="majorBidi"/>
            <w:lang w:bidi="ar-EG"/>
          </w:rPr>
          <w:t>https://tinyl.io/Ah5W</w:t>
        </w:r>
      </w:hyperlink>
    </w:p>
  </w:footnote>
  <w:footnote w:id="6">
    <w:p w14:paraId="1C36CB03" w14:textId="72D84F8A" w:rsidR="005A217A" w:rsidRDefault="005A217A">
      <w:pPr>
        <w:pStyle w:val="FootnoteText"/>
      </w:pPr>
      <w:r>
        <w:rPr>
          <w:rStyle w:val="FootnoteReference"/>
        </w:rPr>
        <w:footnoteRef/>
      </w:r>
      <w:r>
        <w:t xml:space="preserve"> </w:t>
      </w:r>
      <w:r w:rsidRPr="005A217A">
        <w:t xml:space="preserve">Prime Minister's Decision No. 1063 of 2014: </w:t>
      </w:r>
      <w:hyperlink r:id="rId6" w:history="1">
        <w:r w:rsidRPr="00E50795">
          <w:rPr>
            <w:rStyle w:val="Hyperlink"/>
            <w:rFonts w:asciiTheme="majorBidi" w:hAnsiTheme="majorBidi" w:cstheme="majorBidi"/>
          </w:rPr>
          <w:t>https://tinyl.io/Ah5c</w:t>
        </w:r>
      </w:hyperlink>
    </w:p>
  </w:footnote>
  <w:footnote w:id="7">
    <w:p w14:paraId="4CD3C9A8" w14:textId="1083D5F7" w:rsidR="005A217A" w:rsidRDefault="005A217A">
      <w:pPr>
        <w:pStyle w:val="FootnoteText"/>
      </w:pPr>
      <w:r>
        <w:rPr>
          <w:rStyle w:val="FootnoteReference"/>
        </w:rPr>
        <w:footnoteRef/>
      </w:r>
      <w:r>
        <w:t xml:space="preserve"> </w:t>
      </w:r>
      <w:r w:rsidRPr="00E50795">
        <w:rPr>
          <w:rFonts w:asciiTheme="majorBidi" w:hAnsiTheme="majorBidi" w:cstheme="majorBidi"/>
        </w:rPr>
        <w:t>Common Situational Analysis</w:t>
      </w:r>
      <w:r w:rsidRPr="00E50795">
        <w:rPr>
          <w:rFonts w:asciiTheme="majorBidi" w:hAnsiTheme="majorBidi" w:cstheme="majorBidi"/>
          <w:rtl/>
        </w:rPr>
        <w:t xml:space="preserve"> </w:t>
      </w:r>
      <w:r w:rsidRPr="00E50795">
        <w:rPr>
          <w:rFonts w:asciiTheme="majorBidi" w:hAnsiTheme="majorBidi" w:cstheme="majorBidi"/>
        </w:rPr>
        <w:t xml:space="preserve">Education and Health Services for Migrants and Refugees in Egypt, Joint Platform for Migrants and Refugees in Egypt, March 2022, link: </w:t>
      </w:r>
      <w:hyperlink r:id="rId7" w:history="1">
        <w:r w:rsidRPr="00E50795">
          <w:rPr>
            <w:rStyle w:val="Hyperlink"/>
            <w:rFonts w:asciiTheme="majorBidi" w:hAnsiTheme="majorBidi" w:cstheme="majorBidi"/>
          </w:rPr>
          <w:t>https://tinyl.io/AiH3</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9F1A42" w14:textId="77777777" w:rsidR="000C25E3" w:rsidRDefault="000C25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3823FA" w14:textId="77777777" w:rsidR="000C25E3" w:rsidRDefault="000C25E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9E1E0A" w14:textId="1F2541DD" w:rsidR="004B750E" w:rsidRDefault="004B750E" w:rsidP="00961206">
    <w:pPr>
      <w:pStyle w:val="a"/>
      <w:bidi w:val="0"/>
    </w:pPr>
    <w:r w:rsidRPr="004C074D">
      <w:rPr>
        <w:noProof/>
      </w:rPr>
      <w:drawing>
        <wp:inline distT="0" distB="0" distL="0" distR="0" wp14:anchorId="735C6E4F" wp14:editId="3C00C14A">
          <wp:extent cx="1210444" cy="1257300"/>
          <wp:effectExtent l="0" t="0" r="889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descr="D:\Image\PforT\Final Logo PFT.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10444" cy="1257300"/>
                  </a:xfrm>
                  <a:prstGeom prst="rect">
                    <a:avLst/>
                  </a:prstGeom>
                  <a:noFill/>
                  <a:ln>
                    <a:noFill/>
                  </a:ln>
                </pic:spPr>
              </pic:pic>
            </a:graphicData>
          </a:graphic>
        </wp:inline>
      </w:drawing>
    </w:r>
    <w:r>
      <w:rPr>
        <w:noProof/>
        <w:sz w:val="24"/>
        <w:szCs w:val="24"/>
      </w:rPr>
      <w:t xml:space="preserve">   </w:t>
    </w:r>
    <w:r>
      <w:t xml:space="preserve">                                                                         </w:t>
    </w:r>
    <w:r>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402"/>
    <w:multiLevelType w:val="multilevel"/>
    <w:tmpl w:val="00000885"/>
    <w:lvl w:ilvl="0">
      <w:numFmt w:val="bullet"/>
      <w:lvlText w:val="-"/>
      <w:lvlJc w:val="left"/>
      <w:pPr>
        <w:ind w:hanging="360"/>
      </w:pPr>
      <w:rPr>
        <w:rFonts w:ascii="Calibri" w:hAnsi="Calibri"/>
        <w:b w:val="0"/>
        <w:sz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2C311F9C"/>
    <w:multiLevelType w:val="hybridMultilevel"/>
    <w:tmpl w:val="ABCAF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E53264B"/>
    <w:multiLevelType w:val="hybridMultilevel"/>
    <w:tmpl w:val="009E1262"/>
    <w:lvl w:ilvl="0" w:tplc="E73C8F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905632"/>
    <w:multiLevelType w:val="hybridMultilevel"/>
    <w:tmpl w:val="0C0683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8B91409"/>
    <w:multiLevelType w:val="hybridMultilevel"/>
    <w:tmpl w:val="A3347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94475DE"/>
    <w:multiLevelType w:val="hybridMultilevel"/>
    <w:tmpl w:val="2AFC4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A8F108F"/>
    <w:multiLevelType w:val="hybridMultilevel"/>
    <w:tmpl w:val="8E5CF6FA"/>
    <w:lvl w:ilvl="0" w:tplc="A5D463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2931319"/>
    <w:multiLevelType w:val="hybridMultilevel"/>
    <w:tmpl w:val="818C7558"/>
    <w:lvl w:ilvl="0" w:tplc="953457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88F3F54"/>
    <w:multiLevelType w:val="hybridMultilevel"/>
    <w:tmpl w:val="70143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F423E3C"/>
    <w:multiLevelType w:val="hybridMultilevel"/>
    <w:tmpl w:val="8AC63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03A5ABC"/>
    <w:multiLevelType w:val="hybridMultilevel"/>
    <w:tmpl w:val="4650DEE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6DC02817"/>
    <w:multiLevelType w:val="hybridMultilevel"/>
    <w:tmpl w:val="69F8E4D8"/>
    <w:lvl w:ilvl="0" w:tplc="C97E67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1A2199D"/>
    <w:multiLevelType w:val="hybridMultilevel"/>
    <w:tmpl w:val="6F8E26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22F3981"/>
    <w:multiLevelType w:val="hybridMultilevel"/>
    <w:tmpl w:val="6C686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3A25F9B"/>
    <w:multiLevelType w:val="hybridMultilevel"/>
    <w:tmpl w:val="06264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5BD1577"/>
    <w:multiLevelType w:val="hybridMultilevel"/>
    <w:tmpl w:val="79402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9A322EA"/>
    <w:multiLevelType w:val="hybridMultilevel"/>
    <w:tmpl w:val="26F60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0"/>
  </w:num>
  <w:num w:numId="3">
    <w:abstractNumId w:val="7"/>
  </w:num>
  <w:num w:numId="4">
    <w:abstractNumId w:val="6"/>
  </w:num>
  <w:num w:numId="5">
    <w:abstractNumId w:val="2"/>
  </w:num>
  <w:num w:numId="6">
    <w:abstractNumId w:val="14"/>
  </w:num>
  <w:num w:numId="7">
    <w:abstractNumId w:val="5"/>
  </w:num>
  <w:num w:numId="8">
    <w:abstractNumId w:val="15"/>
  </w:num>
  <w:num w:numId="9">
    <w:abstractNumId w:val="13"/>
  </w:num>
  <w:num w:numId="10">
    <w:abstractNumId w:val="0"/>
  </w:num>
  <w:num w:numId="11">
    <w:abstractNumId w:val="3"/>
  </w:num>
  <w:num w:numId="12">
    <w:abstractNumId w:val="1"/>
  </w:num>
  <w:num w:numId="13">
    <w:abstractNumId w:val="12"/>
  </w:num>
  <w:num w:numId="14">
    <w:abstractNumId w:val="8"/>
  </w:num>
  <w:num w:numId="15">
    <w:abstractNumId w:val="9"/>
  </w:num>
  <w:num w:numId="16">
    <w:abstractNumId w:val="4"/>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fr-FR" w:vendorID="64" w:dllVersion="6" w:nlCheck="1" w:checkStyle="0"/>
  <w:activeWritingStyle w:appName="MSWord" w:lang="en-US" w:vendorID="64" w:dllVersion="6" w:nlCheck="1" w:checkStyle="1"/>
  <w:activeWritingStyle w:appName="MSWord" w:lang="en-US" w:vendorID="64" w:dllVersion="4096" w:nlCheck="1" w:checkStyle="0"/>
  <w:proofState w:spelling="clean" w:grammar="clean"/>
  <w:attachedTemplate r:id="rId1"/>
  <w:documentProtection w:edit="readOnly" w:formatting="1" w:enforcement="1" w:cryptProviderType="rsaAES" w:cryptAlgorithmClass="hash" w:cryptAlgorithmType="typeAny" w:cryptAlgorithmSid="14" w:cryptSpinCount="100000" w:hash="Dq4CSMDDprzvLp4MuGr83/kH/bAClVg1GJOE5GSV4BpyCX5hraWwzpA0as2EEXbU4Jbdwvz3hghZZcuijW9exA==" w:salt="aYtJNk15IvaFhFjEqkb4ug=="/>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19CB"/>
    <w:rsid w:val="0000309C"/>
    <w:rsid w:val="000108F2"/>
    <w:rsid w:val="0002639C"/>
    <w:rsid w:val="000269F3"/>
    <w:rsid w:val="000402AD"/>
    <w:rsid w:val="00041777"/>
    <w:rsid w:val="00041C4C"/>
    <w:rsid w:val="00050B50"/>
    <w:rsid w:val="000642C9"/>
    <w:rsid w:val="000730E0"/>
    <w:rsid w:val="00094F61"/>
    <w:rsid w:val="000978D5"/>
    <w:rsid w:val="000A2523"/>
    <w:rsid w:val="000A7F20"/>
    <w:rsid w:val="000B05F8"/>
    <w:rsid w:val="000B1924"/>
    <w:rsid w:val="000C25E3"/>
    <w:rsid w:val="000E1BCD"/>
    <w:rsid w:val="000F4699"/>
    <w:rsid w:val="00101815"/>
    <w:rsid w:val="0010218E"/>
    <w:rsid w:val="00106234"/>
    <w:rsid w:val="00107081"/>
    <w:rsid w:val="00112664"/>
    <w:rsid w:val="001436B5"/>
    <w:rsid w:val="00145F87"/>
    <w:rsid w:val="00155AA3"/>
    <w:rsid w:val="001574EF"/>
    <w:rsid w:val="001623DB"/>
    <w:rsid w:val="00176D8A"/>
    <w:rsid w:val="00184C87"/>
    <w:rsid w:val="001A50DF"/>
    <w:rsid w:val="001B3EBC"/>
    <w:rsid w:val="001B4DAB"/>
    <w:rsid w:val="001C11A7"/>
    <w:rsid w:val="001C5F7D"/>
    <w:rsid w:val="001C64AB"/>
    <w:rsid w:val="001D29E3"/>
    <w:rsid w:val="001D6815"/>
    <w:rsid w:val="001F28D8"/>
    <w:rsid w:val="001F647E"/>
    <w:rsid w:val="002106B7"/>
    <w:rsid w:val="00217274"/>
    <w:rsid w:val="002527B0"/>
    <w:rsid w:val="002549BB"/>
    <w:rsid w:val="002769A1"/>
    <w:rsid w:val="0029266A"/>
    <w:rsid w:val="002B50C8"/>
    <w:rsid w:val="002C5018"/>
    <w:rsid w:val="002D1403"/>
    <w:rsid w:val="002E0F82"/>
    <w:rsid w:val="002E2E4A"/>
    <w:rsid w:val="002E3893"/>
    <w:rsid w:val="002E3FF3"/>
    <w:rsid w:val="002F0247"/>
    <w:rsid w:val="002F5524"/>
    <w:rsid w:val="003064CC"/>
    <w:rsid w:val="00324B15"/>
    <w:rsid w:val="003342F7"/>
    <w:rsid w:val="0035634A"/>
    <w:rsid w:val="00362804"/>
    <w:rsid w:val="00384F79"/>
    <w:rsid w:val="003866AB"/>
    <w:rsid w:val="00390585"/>
    <w:rsid w:val="003B03BD"/>
    <w:rsid w:val="003B299B"/>
    <w:rsid w:val="003E35C4"/>
    <w:rsid w:val="003E3C8F"/>
    <w:rsid w:val="003F09CF"/>
    <w:rsid w:val="003F31E6"/>
    <w:rsid w:val="003F3D81"/>
    <w:rsid w:val="003F665D"/>
    <w:rsid w:val="00401B3D"/>
    <w:rsid w:val="00404238"/>
    <w:rsid w:val="004239B2"/>
    <w:rsid w:val="00425DB8"/>
    <w:rsid w:val="004273EE"/>
    <w:rsid w:val="00432973"/>
    <w:rsid w:val="00436E3A"/>
    <w:rsid w:val="00437311"/>
    <w:rsid w:val="004374B8"/>
    <w:rsid w:val="00440038"/>
    <w:rsid w:val="00440E3B"/>
    <w:rsid w:val="00455B7A"/>
    <w:rsid w:val="00455FDF"/>
    <w:rsid w:val="004743F8"/>
    <w:rsid w:val="00480414"/>
    <w:rsid w:val="0048286A"/>
    <w:rsid w:val="004955C8"/>
    <w:rsid w:val="004A532F"/>
    <w:rsid w:val="004B17BD"/>
    <w:rsid w:val="004B4B2E"/>
    <w:rsid w:val="004B750E"/>
    <w:rsid w:val="004B76E1"/>
    <w:rsid w:val="004E33FF"/>
    <w:rsid w:val="004F1F40"/>
    <w:rsid w:val="0050126C"/>
    <w:rsid w:val="0051172A"/>
    <w:rsid w:val="00512DB7"/>
    <w:rsid w:val="00517683"/>
    <w:rsid w:val="005303EB"/>
    <w:rsid w:val="00537308"/>
    <w:rsid w:val="0054502C"/>
    <w:rsid w:val="00547E09"/>
    <w:rsid w:val="0056511B"/>
    <w:rsid w:val="00567D23"/>
    <w:rsid w:val="005709FF"/>
    <w:rsid w:val="0058748C"/>
    <w:rsid w:val="00592EBC"/>
    <w:rsid w:val="005A217A"/>
    <w:rsid w:val="005A3F75"/>
    <w:rsid w:val="005C60E0"/>
    <w:rsid w:val="005D6553"/>
    <w:rsid w:val="005E081C"/>
    <w:rsid w:val="005F646D"/>
    <w:rsid w:val="005F7482"/>
    <w:rsid w:val="006042B5"/>
    <w:rsid w:val="00616E75"/>
    <w:rsid w:val="0062180F"/>
    <w:rsid w:val="00621DAA"/>
    <w:rsid w:val="0063737F"/>
    <w:rsid w:val="00665D42"/>
    <w:rsid w:val="00673789"/>
    <w:rsid w:val="006805B1"/>
    <w:rsid w:val="00694C5A"/>
    <w:rsid w:val="006A54D1"/>
    <w:rsid w:val="006A7DF1"/>
    <w:rsid w:val="006C58D1"/>
    <w:rsid w:val="006C5F85"/>
    <w:rsid w:val="006E67C2"/>
    <w:rsid w:val="006F182C"/>
    <w:rsid w:val="00714094"/>
    <w:rsid w:val="00721A9C"/>
    <w:rsid w:val="00722FA1"/>
    <w:rsid w:val="00733B24"/>
    <w:rsid w:val="0074195F"/>
    <w:rsid w:val="00743448"/>
    <w:rsid w:val="00747C39"/>
    <w:rsid w:val="007566A4"/>
    <w:rsid w:val="00757AA7"/>
    <w:rsid w:val="0076180A"/>
    <w:rsid w:val="0076512D"/>
    <w:rsid w:val="007678ED"/>
    <w:rsid w:val="00775B7F"/>
    <w:rsid w:val="0078787A"/>
    <w:rsid w:val="0079338E"/>
    <w:rsid w:val="00795FAE"/>
    <w:rsid w:val="007B3A0F"/>
    <w:rsid w:val="007C0349"/>
    <w:rsid w:val="007C7D03"/>
    <w:rsid w:val="007D4BD4"/>
    <w:rsid w:val="007D724D"/>
    <w:rsid w:val="007E1249"/>
    <w:rsid w:val="007E19CB"/>
    <w:rsid w:val="00800762"/>
    <w:rsid w:val="00800B20"/>
    <w:rsid w:val="00802F41"/>
    <w:rsid w:val="00810AC5"/>
    <w:rsid w:val="00811DA8"/>
    <w:rsid w:val="0082145C"/>
    <w:rsid w:val="00835A79"/>
    <w:rsid w:val="008546C4"/>
    <w:rsid w:val="00866202"/>
    <w:rsid w:val="00874685"/>
    <w:rsid w:val="00880D5C"/>
    <w:rsid w:val="008A14BA"/>
    <w:rsid w:val="008C4BC2"/>
    <w:rsid w:val="008E6262"/>
    <w:rsid w:val="008F16E2"/>
    <w:rsid w:val="008F25B7"/>
    <w:rsid w:val="009106B1"/>
    <w:rsid w:val="009209A8"/>
    <w:rsid w:val="00922AFE"/>
    <w:rsid w:val="0095372F"/>
    <w:rsid w:val="00961206"/>
    <w:rsid w:val="00965F6F"/>
    <w:rsid w:val="00981331"/>
    <w:rsid w:val="009844BD"/>
    <w:rsid w:val="009907BE"/>
    <w:rsid w:val="00991419"/>
    <w:rsid w:val="00991FFA"/>
    <w:rsid w:val="00992754"/>
    <w:rsid w:val="009B0A8A"/>
    <w:rsid w:val="009B6E68"/>
    <w:rsid w:val="009C0B1E"/>
    <w:rsid w:val="009E13F3"/>
    <w:rsid w:val="009E2194"/>
    <w:rsid w:val="009E4B4B"/>
    <w:rsid w:val="009E4D11"/>
    <w:rsid w:val="009F669B"/>
    <w:rsid w:val="00A01246"/>
    <w:rsid w:val="00A2309E"/>
    <w:rsid w:val="00A36612"/>
    <w:rsid w:val="00A36A7F"/>
    <w:rsid w:val="00A46196"/>
    <w:rsid w:val="00A6641C"/>
    <w:rsid w:val="00A711C1"/>
    <w:rsid w:val="00A73785"/>
    <w:rsid w:val="00A7426B"/>
    <w:rsid w:val="00A7639C"/>
    <w:rsid w:val="00A76D1C"/>
    <w:rsid w:val="00A97F74"/>
    <w:rsid w:val="00AA1D01"/>
    <w:rsid w:val="00AB138E"/>
    <w:rsid w:val="00AC01EF"/>
    <w:rsid w:val="00AC414B"/>
    <w:rsid w:val="00AC4416"/>
    <w:rsid w:val="00AC7A72"/>
    <w:rsid w:val="00AD4150"/>
    <w:rsid w:val="00AE1997"/>
    <w:rsid w:val="00AE20E2"/>
    <w:rsid w:val="00AE5CA9"/>
    <w:rsid w:val="00B026C1"/>
    <w:rsid w:val="00B1075D"/>
    <w:rsid w:val="00B1114F"/>
    <w:rsid w:val="00B35444"/>
    <w:rsid w:val="00B478F5"/>
    <w:rsid w:val="00B57DD3"/>
    <w:rsid w:val="00B60CEB"/>
    <w:rsid w:val="00B6433C"/>
    <w:rsid w:val="00B76EC8"/>
    <w:rsid w:val="00B86706"/>
    <w:rsid w:val="00BA1579"/>
    <w:rsid w:val="00BB1530"/>
    <w:rsid w:val="00BB7C18"/>
    <w:rsid w:val="00BC0EAF"/>
    <w:rsid w:val="00BD06ED"/>
    <w:rsid w:val="00C014FB"/>
    <w:rsid w:val="00C04A3F"/>
    <w:rsid w:val="00C05380"/>
    <w:rsid w:val="00C06B6E"/>
    <w:rsid w:val="00C17D4A"/>
    <w:rsid w:val="00C20F2C"/>
    <w:rsid w:val="00C66D57"/>
    <w:rsid w:val="00C711DA"/>
    <w:rsid w:val="00C769F0"/>
    <w:rsid w:val="00C9040A"/>
    <w:rsid w:val="00C91E97"/>
    <w:rsid w:val="00C9356A"/>
    <w:rsid w:val="00CA17E2"/>
    <w:rsid w:val="00CB3511"/>
    <w:rsid w:val="00CC2EE9"/>
    <w:rsid w:val="00CC3A75"/>
    <w:rsid w:val="00CC66BC"/>
    <w:rsid w:val="00CC76D7"/>
    <w:rsid w:val="00CD341F"/>
    <w:rsid w:val="00CE0CCF"/>
    <w:rsid w:val="00CE36AD"/>
    <w:rsid w:val="00CF60A1"/>
    <w:rsid w:val="00CF78E0"/>
    <w:rsid w:val="00D157B9"/>
    <w:rsid w:val="00D22885"/>
    <w:rsid w:val="00D3094A"/>
    <w:rsid w:val="00D33A6D"/>
    <w:rsid w:val="00D3460C"/>
    <w:rsid w:val="00D355DB"/>
    <w:rsid w:val="00D36472"/>
    <w:rsid w:val="00D4377F"/>
    <w:rsid w:val="00D51E1C"/>
    <w:rsid w:val="00D57A1D"/>
    <w:rsid w:val="00D60DB6"/>
    <w:rsid w:val="00D659D0"/>
    <w:rsid w:val="00D741A6"/>
    <w:rsid w:val="00D750C4"/>
    <w:rsid w:val="00D7709D"/>
    <w:rsid w:val="00D805FE"/>
    <w:rsid w:val="00D856F0"/>
    <w:rsid w:val="00D869E9"/>
    <w:rsid w:val="00D86EB3"/>
    <w:rsid w:val="00D941D7"/>
    <w:rsid w:val="00DA5A92"/>
    <w:rsid w:val="00DB0CAF"/>
    <w:rsid w:val="00DB2C5D"/>
    <w:rsid w:val="00DB60F4"/>
    <w:rsid w:val="00DB6C33"/>
    <w:rsid w:val="00DC3453"/>
    <w:rsid w:val="00DC50FD"/>
    <w:rsid w:val="00DD05DE"/>
    <w:rsid w:val="00DD2C33"/>
    <w:rsid w:val="00DD5FAB"/>
    <w:rsid w:val="00DE52E3"/>
    <w:rsid w:val="00DE79BA"/>
    <w:rsid w:val="00DF42F3"/>
    <w:rsid w:val="00E02FE7"/>
    <w:rsid w:val="00E115DB"/>
    <w:rsid w:val="00E128B3"/>
    <w:rsid w:val="00E26840"/>
    <w:rsid w:val="00E35060"/>
    <w:rsid w:val="00E45595"/>
    <w:rsid w:val="00E46063"/>
    <w:rsid w:val="00E46A3E"/>
    <w:rsid w:val="00E60471"/>
    <w:rsid w:val="00E615DA"/>
    <w:rsid w:val="00E66E37"/>
    <w:rsid w:val="00E77729"/>
    <w:rsid w:val="00E93E75"/>
    <w:rsid w:val="00ED1C5B"/>
    <w:rsid w:val="00EE0869"/>
    <w:rsid w:val="00EE4A73"/>
    <w:rsid w:val="00EE556E"/>
    <w:rsid w:val="00EE59BD"/>
    <w:rsid w:val="00EF6266"/>
    <w:rsid w:val="00F12249"/>
    <w:rsid w:val="00F25704"/>
    <w:rsid w:val="00F268F7"/>
    <w:rsid w:val="00F31A1A"/>
    <w:rsid w:val="00F40D9B"/>
    <w:rsid w:val="00F515CB"/>
    <w:rsid w:val="00F64F2E"/>
    <w:rsid w:val="00F811AF"/>
    <w:rsid w:val="00F85392"/>
    <w:rsid w:val="00F97806"/>
    <w:rsid w:val="00FC0FAE"/>
    <w:rsid w:val="00FC57DD"/>
    <w:rsid w:val="00FD2FA8"/>
    <w:rsid w:val="00FD7C3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1F58D2"/>
  <w15:chartTrackingRefBased/>
  <w15:docId w15:val="{A0EAB2F1-8E06-45F5-8372-5C4542C26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9F3"/>
    <w:pPr>
      <w:spacing w:after="160" w:line="259"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رأس صفحة"/>
    <w:basedOn w:val="Normal"/>
    <w:link w:val="Char"/>
    <w:uiPriority w:val="99"/>
    <w:unhideWhenUsed/>
    <w:rsid w:val="0076180A"/>
    <w:pPr>
      <w:tabs>
        <w:tab w:val="center" w:pos="4680"/>
        <w:tab w:val="right" w:pos="9360"/>
      </w:tabs>
      <w:bidi/>
      <w:spacing w:after="0" w:line="240" w:lineRule="auto"/>
    </w:pPr>
    <w:rPr>
      <w:rFonts w:ascii="Calibri" w:eastAsia="Times New Roman" w:hAnsi="Calibri" w:cs="Arial"/>
    </w:rPr>
  </w:style>
  <w:style w:type="character" w:customStyle="1" w:styleId="Char">
    <w:name w:val="رأس صفحة Char"/>
    <w:basedOn w:val="DefaultParagraphFont"/>
    <w:link w:val="a"/>
    <w:uiPriority w:val="99"/>
    <w:rsid w:val="0076180A"/>
  </w:style>
  <w:style w:type="paragraph" w:customStyle="1" w:styleId="a0">
    <w:name w:val="تذييل صفحة"/>
    <w:basedOn w:val="Normal"/>
    <w:link w:val="Char0"/>
    <w:uiPriority w:val="99"/>
    <w:unhideWhenUsed/>
    <w:rsid w:val="0076180A"/>
    <w:pPr>
      <w:tabs>
        <w:tab w:val="center" w:pos="4680"/>
        <w:tab w:val="right" w:pos="9360"/>
      </w:tabs>
      <w:bidi/>
      <w:spacing w:after="0" w:line="240" w:lineRule="auto"/>
    </w:pPr>
    <w:rPr>
      <w:rFonts w:ascii="Calibri" w:eastAsia="Times New Roman" w:hAnsi="Calibri" w:cs="Arial"/>
    </w:rPr>
  </w:style>
  <w:style w:type="character" w:customStyle="1" w:styleId="Char0">
    <w:name w:val="تذييل صفحة Char"/>
    <w:basedOn w:val="DefaultParagraphFont"/>
    <w:link w:val="a0"/>
    <w:uiPriority w:val="99"/>
    <w:rsid w:val="0076180A"/>
  </w:style>
  <w:style w:type="paragraph" w:styleId="BalloonText">
    <w:name w:val="Balloon Text"/>
    <w:basedOn w:val="Normal"/>
    <w:link w:val="BalloonTextChar"/>
    <w:uiPriority w:val="99"/>
    <w:semiHidden/>
    <w:unhideWhenUsed/>
    <w:rsid w:val="0076180A"/>
    <w:pPr>
      <w:bidi/>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76180A"/>
    <w:rPr>
      <w:rFonts w:ascii="Tahoma" w:hAnsi="Tahoma" w:cs="Tahoma"/>
      <w:sz w:val="16"/>
      <w:szCs w:val="16"/>
    </w:rPr>
  </w:style>
  <w:style w:type="character" w:customStyle="1" w:styleId="apple-style-span">
    <w:name w:val="apple-style-span"/>
    <w:basedOn w:val="DefaultParagraphFont"/>
    <w:rsid w:val="00AD4150"/>
  </w:style>
  <w:style w:type="table" w:styleId="TableGrid">
    <w:name w:val="Table Grid"/>
    <w:basedOn w:val="TableNormal"/>
    <w:uiPriority w:val="59"/>
    <w:rsid w:val="00AD41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D869E9"/>
    <w:pPr>
      <w:bidi/>
      <w:spacing w:after="200" w:line="276" w:lineRule="auto"/>
      <w:ind w:left="720"/>
      <w:contextualSpacing/>
    </w:pPr>
    <w:rPr>
      <w:rFonts w:ascii="Calibri" w:eastAsia="Times New Roman" w:hAnsi="Calibri" w:cs="Arial"/>
    </w:rPr>
  </w:style>
  <w:style w:type="paragraph" w:styleId="NormalWeb">
    <w:name w:val="Normal (Web)"/>
    <w:basedOn w:val="Normal"/>
    <w:uiPriority w:val="99"/>
    <w:unhideWhenUsed/>
    <w:rsid w:val="00D869E9"/>
    <w:pPr>
      <w:bidi/>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FD7C38"/>
  </w:style>
  <w:style w:type="character" w:customStyle="1" w:styleId="c20">
    <w:name w:val="c20"/>
    <w:basedOn w:val="DefaultParagraphFont"/>
    <w:rsid w:val="00FD7C38"/>
  </w:style>
  <w:style w:type="character" w:customStyle="1" w:styleId="c2">
    <w:name w:val="c2"/>
    <w:basedOn w:val="DefaultParagraphFont"/>
    <w:rsid w:val="00FD7C38"/>
  </w:style>
  <w:style w:type="table" w:customStyle="1" w:styleId="-11">
    <w:name w:val="تظليل فاتح - تمييز 11"/>
    <w:basedOn w:val="TableNormal"/>
    <w:uiPriority w:val="60"/>
    <w:rsid w:val="004B4B2E"/>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Hyperlink">
    <w:name w:val="Hyperlink"/>
    <w:basedOn w:val="DefaultParagraphFont"/>
    <w:uiPriority w:val="99"/>
    <w:unhideWhenUsed/>
    <w:rsid w:val="00D36472"/>
    <w:rPr>
      <w:color w:val="0000FF"/>
      <w:u w:val="single"/>
    </w:rPr>
  </w:style>
  <w:style w:type="paragraph" w:styleId="Footer">
    <w:name w:val="footer"/>
    <w:basedOn w:val="Normal"/>
    <w:link w:val="FooterChar"/>
    <w:uiPriority w:val="99"/>
    <w:unhideWhenUsed/>
    <w:rsid w:val="007E19CB"/>
    <w:pPr>
      <w:tabs>
        <w:tab w:val="center" w:pos="4680"/>
        <w:tab w:val="right" w:pos="9360"/>
      </w:tabs>
      <w:bidi/>
      <w:spacing w:after="0" w:line="240" w:lineRule="auto"/>
    </w:pPr>
    <w:rPr>
      <w:rFonts w:ascii="Calibri" w:eastAsia="Times New Roman" w:hAnsi="Calibri" w:cs="Arial"/>
    </w:rPr>
  </w:style>
  <w:style w:type="character" w:customStyle="1" w:styleId="FooterChar">
    <w:name w:val="Footer Char"/>
    <w:basedOn w:val="DefaultParagraphFont"/>
    <w:link w:val="Footer"/>
    <w:uiPriority w:val="99"/>
    <w:rsid w:val="007E19CB"/>
    <w:rPr>
      <w:rFonts w:eastAsia="Times New Roman"/>
      <w:sz w:val="22"/>
      <w:szCs w:val="22"/>
    </w:rPr>
  </w:style>
  <w:style w:type="paragraph" w:styleId="Header">
    <w:name w:val="header"/>
    <w:basedOn w:val="Normal"/>
    <w:link w:val="HeaderChar"/>
    <w:uiPriority w:val="99"/>
    <w:unhideWhenUsed/>
    <w:rsid w:val="000269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69F3"/>
    <w:rPr>
      <w:rFonts w:asciiTheme="minorHAnsi" w:eastAsiaTheme="minorHAnsi" w:hAnsiTheme="minorHAnsi" w:cstheme="minorBidi"/>
      <w:sz w:val="22"/>
      <w:szCs w:val="22"/>
    </w:rPr>
  </w:style>
  <w:style w:type="paragraph" w:styleId="BodyText">
    <w:name w:val="Body Text"/>
    <w:basedOn w:val="Normal"/>
    <w:link w:val="BodyTextChar"/>
    <w:uiPriority w:val="1"/>
    <w:qFormat/>
    <w:rsid w:val="00DE52E3"/>
    <w:pPr>
      <w:widowControl w:val="0"/>
      <w:autoSpaceDE w:val="0"/>
      <w:autoSpaceDN w:val="0"/>
      <w:adjustRightInd w:val="0"/>
      <w:spacing w:after="0" w:line="240" w:lineRule="auto"/>
      <w:ind w:left="112"/>
    </w:pPr>
    <w:rPr>
      <w:rFonts w:ascii="Calibri" w:eastAsiaTheme="minorEastAsia" w:hAnsi="Calibri" w:cs="Calibri"/>
    </w:rPr>
  </w:style>
  <w:style w:type="character" w:customStyle="1" w:styleId="BodyTextChar">
    <w:name w:val="Body Text Char"/>
    <w:basedOn w:val="DefaultParagraphFont"/>
    <w:link w:val="BodyText"/>
    <w:uiPriority w:val="1"/>
    <w:rsid w:val="00DE52E3"/>
    <w:rPr>
      <w:rFonts w:eastAsiaTheme="minorEastAsia" w:cs="Calibri"/>
      <w:sz w:val="22"/>
      <w:szCs w:val="22"/>
    </w:rPr>
  </w:style>
  <w:style w:type="paragraph" w:customStyle="1" w:styleId="Default">
    <w:name w:val="Default"/>
    <w:rsid w:val="00BA1579"/>
    <w:pPr>
      <w:autoSpaceDE w:val="0"/>
      <w:autoSpaceDN w:val="0"/>
      <w:adjustRightInd w:val="0"/>
    </w:pPr>
    <w:rPr>
      <w:rFonts w:cs="Calibri"/>
      <w:color w:val="000000"/>
      <w:sz w:val="24"/>
      <w:szCs w:val="24"/>
    </w:rPr>
  </w:style>
  <w:style w:type="paragraph" w:styleId="EndnoteText">
    <w:name w:val="endnote text"/>
    <w:basedOn w:val="Normal"/>
    <w:link w:val="EndnoteTextChar"/>
    <w:uiPriority w:val="99"/>
    <w:semiHidden/>
    <w:unhideWhenUsed/>
    <w:rsid w:val="00DD05D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D05DE"/>
    <w:rPr>
      <w:rFonts w:asciiTheme="minorHAnsi" w:eastAsiaTheme="minorHAnsi" w:hAnsiTheme="minorHAnsi" w:cstheme="minorBidi"/>
    </w:rPr>
  </w:style>
  <w:style w:type="character" w:styleId="EndnoteReference">
    <w:name w:val="endnote reference"/>
    <w:basedOn w:val="DefaultParagraphFont"/>
    <w:uiPriority w:val="99"/>
    <w:semiHidden/>
    <w:unhideWhenUsed/>
    <w:rsid w:val="00DD05DE"/>
    <w:rPr>
      <w:vertAlign w:val="superscript"/>
    </w:rPr>
  </w:style>
  <w:style w:type="paragraph" w:styleId="FootnoteText">
    <w:name w:val="footnote text"/>
    <w:aliases w:val="5_G"/>
    <w:basedOn w:val="Normal"/>
    <w:link w:val="FootnoteTextChar"/>
    <w:uiPriority w:val="99"/>
    <w:unhideWhenUsed/>
    <w:qFormat/>
    <w:rsid w:val="007D4BD4"/>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7D4BD4"/>
    <w:rPr>
      <w:rFonts w:asciiTheme="minorHAnsi" w:eastAsiaTheme="minorHAnsi" w:hAnsiTheme="minorHAnsi" w:cstheme="minorBidi"/>
    </w:rPr>
  </w:style>
  <w:style w:type="character" w:styleId="FootnoteReference">
    <w:name w:val="footnote reference"/>
    <w:basedOn w:val="DefaultParagraphFont"/>
    <w:uiPriority w:val="99"/>
    <w:semiHidden/>
    <w:unhideWhenUsed/>
    <w:rsid w:val="007D4BD4"/>
    <w:rPr>
      <w:vertAlign w:val="superscript"/>
    </w:rPr>
  </w:style>
  <w:style w:type="paragraph" w:styleId="NoSpacing">
    <w:name w:val="No Spacing"/>
    <w:link w:val="NoSpacingChar"/>
    <w:uiPriority w:val="1"/>
    <w:qFormat/>
    <w:rsid w:val="00D941D7"/>
    <w:pPr>
      <w:bidi/>
    </w:pPr>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D941D7"/>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tinyl.io/Ah5i" TargetMode="External"/><Relationship Id="rId7" Type="http://schemas.openxmlformats.org/officeDocument/2006/relationships/hyperlink" Target="https://tinyl.io/AiH3" TargetMode="External"/><Relationship Id="rId2" Type="http://schemas.openxmlformats.org/officeDocument/2006/relationships/hyperlink" Target="https://tinyl.io/BZWc" TargetMode="External"/><Relationship Id="rId1" Type="http://schemas.openxmlformats.org/officeDocument/2006/relationships/hyperlink" Target="https://tinyl.io/Ahyn" TargetMode="External"/><Relationship Id="rId6" Type="http://schemas.openxmlformats.org/officeDocument/2006/relationships/hyperlink" Target="https://tinyl.io/Ah5c" TargetMode="External"/><Relationship Id="rId5" Type="http://schemas.openxmlformats.org/officeDocument/2006/relationships/hyperlink" Target="https://tinyl.io/Ah5W" TargetMode="External"/><Relationship Id="rId4" Type="http://schemas.openxmlformats.org/officeDocument/2006/relationships/hyperlink" Target="https://tinyl.io/AhAq"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D:\merna\&#1588;&#1585;&#1603;&#1575;&#1569;\Temp.dotx"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2024-11-06T14:11:55+00:00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09fa9bef4a1db591b3e7b1d740dbc7ab">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0cd83130c416d741d3978e22e6986a85"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C890B0-2A9E-47B7-ABF8-2FEDCC8F2BEB}">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customXml/itemProps2.xml><?xml version="1.0" encoding="utf-8"?>
<ds:datastoreItem xmlns:ds="http://schemas.openxmlformats.org/officeDocument/2006/customXml" ds:itemID="{148D9196-2C9A-41D0-A1E8-81968175A3D7}">
  <ds:schemaRefs>
    <ds:schemaRef ds:uri="http://schemas.microsoft.com/sharepoint/v3/contenttype/forms"/>
  </ds:schemaRefs>
</ds:datastoreItem>
</file>

<file path=customXml/itemProps3.xml><?xml version="1.0" encoding="utf-8"?>
<ds:datastoreItem xmlns:ds="http://schemas.openxmlformats.org/officeDocument/2006/customXml" ds:itemID="{3C981421-2069-400F-9849-B80256239C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CF3195A-914F-4FC4-99ED-EFD7B0465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Temp.dotx</Template>
  <TotalTime>1406</TotalTime>
  <Pages>4</Pages>
  <Words>1479</Words>
  <Characters>8431</Characters>
  <Application>Microsoft Office Word</Application>
  <DocSecurity>8</DocSecurity>
  <Lines>70</Lines>
  <Paragraphs>19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9891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Kimo Store</dc:creator>
  <cp:keywords/>
  <dc:description/>
  <cp:lastModifiedBy>CMW</cp:lastModifiedBy>
  <cp:revision>25</cp:revision>
  <cp:lastPrinted>2015-08-01T10:34:00Z</cp:lastPrinted>
  <dcterms:created xsi:type="dcterms:W3CDTF">2020-06-04T11:16:00Z</dcterms:created>
  <dcterms:modified xsi:type="dcterms:W3CDTF">2024-11-07T09:43:00Z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ies>
</file>