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7CC06" w14:textId="77777777" w:rsidR="00A5000B" w:rsidRPr="00207E9F" w:rsidRDefault="00360DFC" w:rsidP="00207E9F">
      <w:pPr>
        <w:pStyle w:val="RTFrontcovermaintitle"/>
      </w:pPr>
      <w:r w:rsidRPr="00207E9F">
        <w:t>México</w:t>
      </w:r>
      <w:r w:rsidRPr="00207E9F">
        <w:rPr>
          <w:rStyle w:val="Nmerodepgina"/>
          <w:rFonts w:ascii="Amnesty Trade Gothic Cn" w:hAnsi="Amnesty Trade Gothic Cn"/>
          <w:b/>
          <w:sz w:val="96"/>
        </w:rPr>
        <w:drawing>
          <wp:anchor distT="0" distB="144145" distL="114300" distR="114300" simplePos="0" relativeHeight="251660288" behindDoc="0" locked="1" layoutInCell="1" allowOverlap="1" wp14:anchorId="4670E4B8" wp14:editId="740347A6">
            <wp:simplePos x="0" y="0"/>
            <wp:positionH relativeFrom="margin">
              <wp:posOffset>1838960</wp:posOffset>
            </wp:positionH>
            <wp:positionV relativeFrom="margin">
              <wp:posOffset>518795</wp:posOffset>
            </wp:positionV>
            <wp:extent cx="2685415" cy="4525010"/>
            <wp:effectExtent l="0" t="0" r="0" b="0"/>
            <wp:wrapNone/>
            <wp:docPr id="4" name="Placeholder" descr="A picture containing weatherva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a:blip r:embed="rId8">
                      <a:extLst>
                        <a:ext uri="{28A0092B-C50C-407E-A947-70E740481C1C}">
                          <a14:useLocalDpi xmlns:a14="http://schemas.microsoft.com/office/drawing/2010/main" val="0"/>
                        </a:ext>
                      </a:extLst>
                    </a:blip>
                    <a:stretch>
                      <a:fillRect/>
                    </a:stretch>
                  </pic:blipFill>
                  <pic:spPr>
                    <a:xfrm>
                      <a:off x="0" y="0"/>
                      <a:ext cx="2685415" cy="45250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val="1"/>
                      </a:ext>
                    </a:extLst>
                  </pic:spPr>
                </pic:pic>
              </a:graphicData>
            </a:graphic>
          </wp:anchor>
        </w:drawing>
      </w:r>
    </w:p>
    <w:p w14:paraId="73FAEC6D" w14:textId="77777777" w:rsidR="00360DFC" w:rsidRPr="00207E9F" w:rsidRDefault="00360DFC" w:rsidP="00207E9F">
      <w:pPr>
        <w:pStyle w:val="RTMissionStatement"/>
        <w:rPr>
          <w:b w:val="0"/>
          <w:bCs w:val="0"/>
        </w:rPr>
      </w:pPr>
      <w:r w:rsidRPr="00207E9F">
        <w:rPr>
          <w:b w:val="0"/>
          <w:bCs w:val="0"/>
        </w:rPr>
        <w:t>INFORME AL COMITÉ PARA LA ELIMINACIÓN DE LA DISCRIMINACIÓN CONTRA LA MUJER</w:t>
      </w:r>
    </w:p>
    <w:p w14:paraId="7C4D012A" w14:textId="77777777" w:rsidR="00FA0C65" w:rsidRDefault="00360DFC" w:rsidP="00207E9F">
      <w:pPr>
        <w:pStyle w:val="RTMissionStatement"/>
      </w:pPr>
      <w:r w:rsidRPr="00207E9F">
        <w:rPr>
          <w:b w:val="0"/>
          <w:bCs w:val="0"/>
        </w:rPr>
        <w:t>77ª SESIÓN, 19 DE OCTUBRE- 4 DE NOVIEMBRE 2020, INFORME DE SEGUIMIENTO</w:t>
      </w:r>
      <w:r w:rsidR="00FA0C65">
        <w:br w:type="page"/>
      </w:r>
    </w:p>
    <w:p w14:paraId="313293EE" w14:textId="77777777" w:rsidR="001D035C" w:rsidRPr="00207E9F" w:rsidRDefault="001D035C" w:rsidP="001D035C">
      <w:pPr>
        <w:pStyle w:val="RTMissionStatement"/>
        <w:rPr>
          <w:rStyle w:val="RTHighlightedtext"/>
          <w:highlight w:val="yellow"/>
        </w:rPr>
      </w:pPr>
      <w:r w:rsidRPr="00207E9F">
        <w:rPr>
          <w:rStyle w:val="RTHighlightedtext"/>
        </w:rPr>
        <w:lastRenderedPageBreak/>
        <w:t> </w:t>
      </w:r>
      <w:r w:rsidRPr="00207E9F">
        <w:rPr>
          <w:rStyle w:val="RTHighlightedtext"/>
          <w:highlight w:val="yellow"/>
        </w:rPr>
        <w:t xml:space="preserve">Amnistía Internacional es un movimiento global de más de </w:t>
      </w:r>
      <w:r w:rsidRPr="00207E9F">
        <w:rPr>
          <w:rStyle w:val="RTHighlightedtext"/>
          <w:highlight w:val="yellow"/>
        </w:rPr>
        <w:br/>
        <w:t xml:space="preserve"> 7 millones de personas que trabajan en favor del respeto y  </w:t>
      </w:r>
      <w:r w:rsidRPr="00207E9F">
        <w:rPr>
          <w:rStyle w:val="RTHighlightedtext"/>
          <w:highlight w:val="yellow"/>
        </w:rPr>
        <w:br/>
        <w:t> la protección de los derechos humanos. </w:t>
      </w:r>
    </w:p>
    <w:p w14:paraId="7C61EC0C" w14:textId="77777777" w:rsidR="001D035C" w:rsidRPr="00207E9F" w:rsidRDefault="001D035C" w:rsidP="001D035C">
      <w:pPr>
        <w:pStyle w:val="RTMissionStatement"/>
        <w:rPr>
          <w:rStyle w:val="RTHighlightedtext"/>
          <w:highlight w:val="yellow"/>
        </w:rPr>
      </w:pPr>
      <w:r w:rsidRPr="00207E9F">
        <w:rPr>
          <w:rStyle w:val="RTHighlightedtext"/>
          <w:highlight w:val="yellow"/>
        </w:rPr>
        <w:t xml:space="preserve"> Nuestra visión es la de un mundo en el que todas las  </w:t>
      </w:r>
      <w:r w:rsidRPr="00207E9F">
        <w:rPr>
          <w:rStyle w:val="RTHighlightedtext"/>
          <w:highlight w:val="yellow"/>
        </w:rPr>
        <w:br/>
        <w:t> personas disfrutan de todos los derechos humanos </w:t>
      </w:r>
      <w:r w:rsidRPr="00207E9F">
        <w:rPr>
          <w:rStyle w:val="RTHighlightedtext"/>
          <w:highlight w:val="yellow"/>
        </w:rPr>
        <w:br/>
        <w:t xml:space="preserve"> proclamados en la Declaración Universal de Derechos </w:t>
      </w:r>
      <w:r w:rsidRPr="00207E9F">
        <w:rPr>
          <w:rStyle w:val="RTHighlightedtext"/>
          <w:highlight w:val="yellow"/>
        </w:rPr>
        <w:br/>
        <w:t xml:space="preserve"> Humanos y en otras normas internacionales. </w:t>
      </w:r>
    </w:p>
    <w:p w14:paraId="53A9795A" w14:textId="77777777" w:rsidR="001D035C" w:rsidRPr="00207E9F" w:rsidRDefault="001D035C" w:rsidP="001D035C">
      <w:pPr>
        <w:pStyle w:val="RTMissionStatement"/>
        <w:rPr>
          <w:rStyle w:val="RTHighlightedtext"/>
        </w:rPr>
      </w:pPr>
      <w:r w:rsidRPr="00207E9F">
        <w:rPr>
          <w:rStyle w:val="RTHighlightedtext"/>
          <w:highlight w:val="yellow"/>
        </w:rPr>
        <w:t xml:space="preserve"> Somos independientes de todo gobierno, ideología política,  </w:t>
      </w:r>
      <w:r w:rsidRPr="00207E9F">
        <w:rPr>
          <w:rStyle w:val="RTHighlightedtext"/>
          <w:highlight w:val="yellow"/>
        </w:rPr>
        <w:br/>
        <w:t> interés económico y credo religioso. Nuestro trabajo se </w:t>
      </w:r>
      <w:r w:rsidRPr="00207E9F">
        <w:rPr>
          <w:rStyle w:val="RTHighlightedtext"/>
          <w:highlight w:val="yellow"/>
        </w:rPr>
        <w:br/>
        <w:t xml:space="preserve"> financia principalmente con las contribuciones de nuestra </w:t>
      </w:r>
      <w:r w:rsidRPr="00207E9F">
        <w:rPr>
          <w:rStyle w:val="RTHighlightedtext"/>
          <w:highlight w:val="yellow"/>
        </w:rPr>
        <w:br/>
        <w:t xml:space="preserve"> membresía y con donativos.</w:t>
      </w:r>
      <w:r w:rsidRPr="00207E9F">
        <w:rPr>
          <w:rStyle w:val="RTHighlightedtext"/>
        </w:rPr>
        <w:t> </w:t>
      </w:r>
    </w:p>
    <w:p w14:paraId="27A1483D" w14:textId="77777777" w:rsidR="001079FA" w:rsidRPr="002D11F3" w:rsidRDefault="001079FA" w:rsidP="001079FA">
      <w:pPr>
        <w:rPr>
          <w:rFonts w:ascii="Amnesty Trade Gothic Cn" w:hAnsi="Amnesty Trade Gothic Cn"/>
          <w:sz w:val="24"/>
          <w:szCs w:val="24"/>
          <w:lang w:eastAsia="en-GB"/>
        </w:rPr>
      </w:pPr>
    </w:p>
    <w:p w14:paraId="715D1E21" w14:textId="77777777" w:rsidR="001079FA" w:rsidRPr="002D11F3" w:rsidRDefault="001079FA" w:rsidP="001079FA">
      <w:pPr>
        <w:rPr>
          <w:rFonts w:ascii="Amnesty Trade Gothic Cn" w:hAnsi="Amnesty Trade Gothic Cn"/>
          <w:sz w:val="24"/>
          <w:szCs w:val="24"/>
          <w:lang w:eastAsia="en-GB"/>
        </w:rPr>
      </w:pPr>
    </w:p>
    <w:p w14:paraId="1C59CD41" w14:textId="77777777" w:rsidR="001079FA" w:rsidRPr="002D11F3" w:rsidRDefault="001079FA" w:rsidP="001079FA">
      <w:pPr>
        <w:rPr>
          <w:rFonts w:ascii="Amnesty Trade Gothic Cn" w:hAnsi="Amnesty Trade Gothic Cn"/>
          <w:sz w:val="24"/>
          <w:szCs w:val="24"/>
          <w:lang w:eastAsia="en-GB"/>
        </w:rPr>
      </w:pPr>
    </w:p>
    <w:p w14:paraId="3C23F46E" w14:textId="77777777" w:rsidR="001079FA" w:rsidRPr="002D11F3" w:rsidRDefault="001079FA" w:rsidP="001079FA">
      <w:pPr>
        <w:rPr>
          <w:rFonts w:ascii="Amnesty Trade Gothic Cn" w:hAnsi="Amnesty Trade Gothic Cn"/>
          <w:sz w:val="24"/>
          <w:szCs w:val="24"/>
          <w:lang w:eastAsia="en-GB"/>
        </w:rPr>
      </w:pPr>
    </w:p>
    <w:p w14:paraId="4A64F42E" w14:textId="77777777" w:rsidR="001079FA" w:rsidRPr="002D11F3" w:rsidRDefault="001079FA" w:rsidP="001079FA">
      <w:pPr>
        <w:rPr>
          <w:rFonts w:ascii="Amnesty Trade Gothic Cn" w:hAnsi="Amnesty Trade Gothic Cn"/>
          <w:sz w:val="24"/>
          <w:szCs w:val="24"/>
          <w:lang w:eastAsia="en-GB"/>
        </w:rPr>
      </w:pPr>
    </w:p>
    <w:p w14:paraId="1DF868D9" w14:textId="77777777" w:rsidR="001079FA" w:rsidRPr="002D11F3" w:rsidRDefault="001079FA" w:rsidP="001079FA">
      <w:pPr>
        <w:rPr>
          <w:rFonts w:ascii="Amnesty Trade Gothic Cn" w:hAnsi="Amnesty Trade Gothic Cn"/>
          <w:sz w:val="24"/>
          <w:szCs w:val="24"/>
          <w:lang w:eastAsia="en-GB"/>
        </w:rPr>
      </w:pPr>
    </w:p>
    <w:p w14:paraId="5DDB0208" w14:textId="77777777" w:rsidR="001079FA" w:rsidRPr="002D11F3" w:rsidRDefault="001079FA" w:rsidP="001079FA">
      <w:pPr>
        <w:rPr>
          <w:rFonts w:ascii="Amnesty Trade Gothic Cn" w:hAnsi="Amnesty Trade Gothic Cn"/>
          <w:sz w:val="24"/>
          <w:szCs w:val="24"/>
          <w:lang w:eastAsia="en-GB"/>
        </w:rPr>
      </w:pPr>
    </w:p>
    <w:p w14:paraId="35E9C566" w14:textId="77777777" w:rsidR="00290B00" w:rsidRPr="002D11F3" w:rsidRDefault="00290B00" w:rsidP="001079FA">
      <w:pPr>
        <w:rPr>
          <w:rFonts w:ascii="Amnesty Trade Gothic Cn" w:hAnsi="Amnesty Trade Gothic Cn"/>
          <w:sz w:val="24"/>
          <w:szCs w:val="24"/>
          <w:lang w:eastAsia="en-GB"/>
        </w:rPr>
        <w:sectPr w:rsidR="00290B00" w:rsidRPr="002D11F3" w:rsidSect="00290B00">
          <w:footerReference w:type="default" r:id="rId9"/>
          <w:footerReference w:type="first" r:id="rId10"/>
          <w:pgSz w:w="11900" w:h="16840"/>
          <w:pgMar w:top="1474" w:right="794" w:bottom="1418" w:left="794" w:header="709" w:footer="851" w:gutter="0"/>
          <w:cols w:space="708"/>
          <w:titlePg/>
          <w:docGrid w:linePitch="360"/>
        </w:sectPr>
      </w:pPr>
    </w:p>
    <w:p w14:paraId="6446A162" w14:textId="77777777" w:rsidR="006C7C34" w:rsidRPr="00207E9F" w:rsidRDefault="009800D2" w:rsidP="00207E9F">
      <w:pPr>
        <w:pStyle w:val="RTTitle-NonTOC"/>
      </w:pPr>
      <w:r w:rsidRPr="00207E9F">
        <w:lastRenderedPageBreak/>
        <w:t>índice</w:t>
      </w:r>
    </w:p>
    <w:sdt>
      <w:sdtPr>
        <w:rPr>
          <w:rFonts w:ascii="Amnesty Trade Gothic Cn" w:eastAsiaTheme="minorEastAsia" w:hAnsi="Amnesty Trade Gothic Cn" w:cs="Arial"/>
          <w:b w:val="0"/>
          <w:bCs w:val="0"/>
          <w:color w:val="000000" w:themeColor="text1"/>
          <w:sz w:val="24"/>
          <w:szCs w:val="24"/>
        </w:rPr>
        <w:id w:val="176442282"/>
        <w:docPartObj>
          <w:docPartGallery w:val="Table of Contents"/>
          <w:docPartUnique/>
        </w:docPartObj>
      </w:sdtPr>
      <w:sdtEndPr/>
      <w:sdtContent>
        <w:p w14:paraId="04AA29D0" w14:textId="77777777" w:rsidR="0062576D" w:rsidRPr="002D11F3" w:rsidRDefault="0062576D">
          <w:pPr>
            <w:pStyle w:val="TtuloTDC"/>
            <w:rPr>
              <w:rFonts w:ascii="Amnesty Trade Gothic Cn" w:hAnsi="Amnesty Trade Gothic Cn"/>
              <w:b w:val="0"/>
              <w:color w:val="auto"/>
              <w:sz w:val="24"/>
              <w:szCs w:val="24"/>
            </w:rPr>
          </w:pPr>
        </w:p>
        <w:p w14:paraId="0F12B1AF" w14:textId="050F331A" w:rsidR="00202C2B" w:rsidRPr="00207E9F" w:rsidRDefault="00C74AE2" w:rsidP="00623663">
          <w:pPr>
            <w:pStyle w:val="TDC1"/>
            <w:rPr>
              <w:rStyle w:val="Hipervnculo"/>
            </w:rPr>
          </w:pPr>
          <w:r w:rsidRPr="00207E9F">
            <w:rPr>
              <w:rStyle w:val="Hipervnculo"/>
            </w:rPr>
            <w:fldChar w:fldCharType="begin"/>
          </w:r>
          <w:r w:rsidR="0062576D" w:rsidRPr="00207E9F">
            <w:rPr>
              <w:rStyle w:val="Hipervnculo"/>
            </w:rPr>
            <w:instrText xml:space="preserve"> TOC \o "1-3" \h \z \u </w:instrText>
          </w:r>
          <w:r w:rsidRPr="00207E9F">
            <w:rPr>
              <w:rStyle w:val="Hipervnculo"/>
            </w:rPr>
            <w:fldChar w:fldCharType="separate"/>
          </w:r>
          <w:hyperlink w:anchor="_Toc51234953" w:history="1">
            <w:r w:rsidR="00202C2B" w:rsidRPr="00207E9F">
              <w:rPr>
                <w:rStyle w:val="Hipervnculo"/>
              </w:rPr>
              <w:t>1. Introducción</w:t>
            </w:r>
            <w:r w:rsidR="00202C2B" w:rsidRPr="00207E9F">
              <w:rPr>
                <w:rStyle w:val="Hipervnculo"/>
                <w:webHidden/>
              </w:rPr>
              <w:tab/>
            </w:r>
            <w:r w:rsidRPr="00207E9F">
              <w:rPr>
                <w:rStyle w:val="Hipervnculo"/>
                <w:webHidden/>
              </w:rPr>
              <w:fldChar w:fldCharType="begin"/>
            </w:r>
            <w:r w:rsidR="00202C2B" w:rsidRPr="00207E9F">
              <w:rPr>
                <w:rStyle w:val="Hipervnculo"/>
                <w:webHidden/>
              </w:rPr>
              <w:instrText xml:space="preserve"> PAGEREF _Toc51234953 \h </w:instrText>
            </w:r>
            <w:r w:rsidRPr="00207E9F">
              <w:rPr>
                <w:rStyle w:val="Hipervnculo"/>
                <w:webHidden/>
              </w:rPr>
            </w:r>
            <w:r w:rsidRPr="00207E9F">
              <w:rPr>
                <w:rStyle w:val="Hipervnculo"/>
                <w:webHidden/>
              </w:rPr>
              <w:fldChar w:fldCharType="separate"/>
            </w:r>
            <w:r w:rsidR="006D6F88">
              <w:rPr>
                <w:rStyle w:val="Hipervnculo"/>
                <w:noProof/>
                <w:webHidden/>
              </w:rPr>
              <w:t>4</w:t>
            </w:r>
            <w:r w:rsidRPr="00207E9F">
              <w:rPr>
                <w:rStyle w:val="Hipervnculo"/>
                <w:webHidden/>
              </w:rPr>
              <w:fldChar w:fldCharType="end"/>
            </w:r>
          </w:hyperlink>
        </w:p>
        <w:p w14:paraId="5B3744FD" w14:textId="0FB8C3C9" w:rsidR="00202C2B" w:rsidRPr="00207E9F" w:rsidRDefault="000432E6">
          <w:pPr>
            <w:pStyle w:val="TDC1"/>
            <w:rPr>
              <w:rStyle w:val="Hipervnculo"/>
            </w:rPr>
          </w:pPr>
          <w:hyperlink w:anchor="_Toc51234954" w:history="1">
            <w:r w:rsidR="00202C2B" w:rsidRPr="00207E9F">
              <w:rPr>
                <w:rStyle w:val="Hipervnculo"/>
              </w:rPr>
              <w:t>2. Observación c) del párrafo 24</w:t>
            </w:r>
            <w:r w:rsidR="00202C2B" w:rsidRPr="00207E9F">
              <w:rPr>
                <w:rStyle w:val="Hipervnculo"/>
                <w:webHidden/>
              </w:rPr>
              <w:tab/>
            </w:r>
            <w:r w:rsidR="00C74AE2" w:rsidRPr="00207E9F">
              <w:rPr>
                <w:rStyle w:val="Hipervnculo"/>
                <w:webHidden/>
              </w:rPr>
              <w:fldChar w:fldCharType="begin"/>
            </w:r>
            <w:r w:rsidR="00202C2B" w:rsidRPr="00207E9F">
              <w:rPr>
                <w:rStyle w:val="Hipervnculo"/>
                <w:webHidden/>
              </w:rPr>
              <w:instrText xml:space="preserve"> PAGEREF _Toc51234954 \h </w:instrText>
            </w:r>
            <w:r w:rsidR="00C74AE2" w:rsidRPr="00207E9F">
              <w:rPr>
                <w:rStyle w:val="Hipervnculo"/>
                <w:webHidden/>
              </w:rPr>
            </w:r>
            <w:r w:rsidR="00C74AE2" w:rsidRPr="00207E9F">
              <w:rPr>
                <w:rStyle w:val="Hipervnculo"/>
                <w:webHidden/>
              </w:rPr>
              <w:fldChar w:fldCharType="separate"/>
            </w:r>
            <w:r w:rsidR="006D6F88">
              <w:rPr>
                <w:rStyle w:val="Hipervnculo"/>
                <w:noProof/>
                <w:webHidden/>
              </w:rPr>
              <w:t>5</w:t>
            </w:r>
            <w:r w:rsidR="00C74AE2" w:rsidRPr="00207E9F">
              <w:rPr>
                <w:rStyle w:val="Hipervnculo"/>
                <w:webHidden/>
              </w:rPr>
              <w:fldChar w:fldCharType="end"/>
            </w:r>
          </w:hyperlink>
        </w:p>
        <w:p w14:paraId="725E8383" w14:textId="12D0D414" w:rsidR="00202C2B" w:rsidRPr="00207E9F" w:rsidRDefault="000432E6">
          <w:pPr>
            <w:pStyle w:val="TDC2"/>
            <w:rPr>
              <w:rStyle w:val="Hipervnculo"/>
            </w:rPr>
          </w:pPr>
          <w:hyperlink w:anchor="_Toc51234955" w:history="1">
            <w:r w:rsidR="00202C2B" w:rsidRPr="00207E9F">
              <w:rPr>
                <w:rStyle w:val="Hipervnculo"/>
              </w:rPr>
              <w:t>FEMINICIDIO</w:t>
            </w:r>
            <w:r w:rsidR="00202C2B" w:rsidRPr="00207E9F">
              <w:rPr>
                <w:rStyle w:val="Hipervnculo"/>
                <w:webHidden/>
              </w:rPr>
              <w:tab/>
            </w:r>
            <w:r w:rsidR="00C74AE2" w:rsidRPr="00207E9F">
              <w:rPr>
                <w:rStyle w:val="Hipervnculo"/>
                <w:webHidden/>
              </w:rPr>
              <w:fldChar w:fldCharType="begin"/>
            </w:r>
            <w:r w:rsidR="00202C2B" w:rsidRPr="00207E9F">
              <w:rPr>
                <w:rStyle w:val="Hipervnculo"/>
                <w:webHidden/>
              </w:rPr>
              <w:instrText xml:space="preserve"> PAGEREF _Toc51234955 \h </w:instrText>
            </w:r>
            <w:r w:rsidR="00C74AE2" w:rsidRPr="00207E9F">
              <w:rPr>
                <w:rStyle w:val="Hipervnculo"/>
                <w:webHidden/>
              </w:rPr>
            </w:r>
            <w:r w:rsidR="00C74AE2" w:rsidRPr="00207E9F">
              <w:rPr>
                <w:rStyle w:val="Hipervnculo"/>
                <w:webHidden/>
              </w:rPr>
              <w:fldChar w:fldCharType="separate"/>
            </w:r>
            <w:r w:rsidR="006D6F88">
              <w:rPr>
                <w:rStyle w:val="Hipervnculo"/>
                <w:webHidden/>
              </w:rPr>
              <w:t>5</w:t>
            </w:r>
            <w:r w:rsidR="00C74AE2" w:rsidRPr="00207E9F">
              <w:rPr>
                <w:rStyle w:val="Hipervnculo"/>
                <w:webHidden/>
              </w:rPr>
              <w:fldChar w:fldCharType="end"/>
            </w:r>
          </w:hyperlink>
        </w:p>
        <w:p w14:paraId="2EE81E1E" w14:textId="632DC3E9" w:rsidR="00202C2B" w:rsidRPr="00207E9F" w:rsidRDefault="000432E6">
          <w:pPr>
            <w:pStyle w:val="TDC3"/>
            <w:rPr>
              <w:rStyle w:val="Hipervnculo"/>
            </w:rPr>
          </w:pPr>
          <w:hyperlink w:anchor="_Toc51234956" w:history="1">
            <w:r w:rsidR="00202C2B" w:rsidRPr="00207E9F">
              <w:rPr>
                <w:rStyle w:val="Hipervnculo"/>
                <w:highlight w:val="white"/>
              </w:rPr>
              <w:t>2.1.1 Caso de Karla Pontigo</w:t>
            </w:r>
            <w:r w:rsidR="00202C2B" w:rsidRPr="00207E9F">
              <w:rPr>
                <w:rStyle w:val="Hipervnculo"/>
                <w:webHidden/>
              </w:rPr>
              <w:tab/>
            </w:r>
            <w:r w:rsidR="00C74AE2" w:rsidRPr="00207E9F">
              <w:rPr>
                <w:rStyle w:val="Hipervnculo"/>
                <w:webHidden/>
              </w:rPr>
              <w:fldChar w:fldCharType="begin"/>
            </w:r>
            <w:r w:rsidR="00202C2B" w:rsidRPr="00207E9F">
              <w:rPr>
                <w:rStyle w:val="Hipervnculo"/>
                <w:webHidden/>
              </w:rPr>
              <w:instrText xml:space="preserve"> PAGEREF _Toc51234956 \h </w:instrText>
            </w:r>
            <w:r w:rsidR="00C74AE2" w:rsidRPr="00207E9F">
              <w:rPr>
                <w:rStyle w:val="Hipervnculo"/>
                <w:webHidden/>
              </w:rPr>
            </w:r>
            <w:r w:rsidR="00C74AE2" w:rsidRPr="00207E9F">
              <w:rPr>
                <w:rStyle w:val="Hipervnculo"/>
                <w:webHidden/>
              </w:rPr>
              <w:fldChar w:fldCharType="separate"/>
            </w:r>
            <w:r w:rsidR="006D6F88">
              <w:rPr>
                <w:rStyle w:val="Hipervnculo"/>
                <w:webHidden/>
              </w:rPr>
              <w:t>7</w:t>
            </w:r>
            <w:r w:rsidR="00C74AE2" w:rsidRPr="00207E9F">
              <w:rPr>
                <w:rStyle w:val="Hipervnculo"/>
                <w:webHidden/>
              </w:rPr>
              <w:fldChar w:fldCharType="end"/>
            </w:r>
          </w:hyperlink>
        </w:p>
        <w:p w14:paraId="19D84389" w14:textId="378DB4AF" w:rsidR="00202C2B" w:rsidRPr="00207E9F" w:rsidRDefault="000432E6">
          <w:pPr>
            <w:pStyle w:val="TDC3"/>
            <w:rPr>
              <w:rStyle w:val="Hipervnculo"/>
            </w:rPr>
          </w:pPr>
          <w:hyperlink w:anchor="_Toc51234957" w:history="1">
            <w:r w:rsidR="00202C2B" w:rsidRPr="00207E9F">
              <w:rPr>
                <w:rStyle w:val="Hipervnculo"/>
              </w:rPr>
              <w:t>2.1.2</w:t>
            </w:r>
            <w:r w:rsidR="00202C2B" w:rsidRPr="00207E9F">
              <w:rPr>
                <w:rStyle w:val="Hipervnculo"/>
                <w:highlight w:val="white"/>
              </w:rPr>
              <w:t xml:space="preserve"> Recomendaciones</w:t>
            </w:r>
            <w:r w:rsidR="00202C2B" w:rsidRPr="00207E9F">
              <w:rPr>
                <w:rStyle w:val="Hipervnculo"/>
                <w:webHidden/>
              </w:rPr>
              <w:tab/>
            </w:r>
            <w:r w:rsidR="00C74AE2" w:rsidRPr="00207E9F">
              <w:rPr>
                <w:rStyle w:val="Hipervnculo"/>
                <w:webHidden/>
              </w:rPr>
              <w:fldChar w:fldCharType="begin"/>
            </w:r>
            <w:r w:rsidR="00202C2B" w:rsidRPr="00207E9F">
              <w:rPr>
                <w:rStyle w:val="Hipervnculo"/>
                <w:webHidden/>
              </w:rPr>
              <w:instrText xml:space="preserve"> PAGEREF _Toc51234957 \h </w:instrText>
            </w:r>
            <w:r w:rsidR="00C74AE2" w:rsidRPr="00207E9F">
              <w:rPr>
                <w:rStyle w:val="Hipervnculo"/>
                <w:webHidden/>
              </w:rPr>
            </w:r>
            <w:r w:rsidR="00C74AE2" w:rsidRPr="00207E9F">
              <w:rPr>
                <w:rStyle w:val="Hipervnculo"/>
                <w:webHidden/>
              </w:rPr>
              <w:fldChar w:fldCharType="separate"/>
            </w:r>
            <w:r w:rsidR="006D6F88">
              <w:rPr>
                <w:rStyle w:val="Hipervnculo"/>
                <w:webHidden/>
              </w:rPr>
              <w:t>8</w:t>
            </w:r>
            <w:r w:rsidR="00C74AE2" w:rsidRPr="00207E9F">
              <w:rPr>
                <w:rStyle w:val="Hipervnculo"/>
                <w:webHidden/>
              </w:rPr>
              <w:fldChar w:fldCharType="end"/>
            </w:r>
          </w:hyperlink>
        </w:p>
        <w:p w14:paraId="18A3A20F" w14:textId="4E0A6663" w:rsidR="00202C2B" w:rsidRPr="00207E9F" w:rsidRDefault="000432E6">
          <w:pPr>
            <w:pStyle w:val="TDC2"/>
            <w:rPr>
              <w:rStyle w:val="Hipervnculo"/>
            </w:rPr>
          </w:pPr>
          <w:hyperlink w:anchor="_Toc51234958" w:history="1">
            <w:r w:rsidR="00202C2B" w:rsidRPr="00207E9F">
              <w:rPr>
                <w:rStyle w:val="Hipervnculo"/>
              </w:rPr>
              <w:t>Desaparición de mujeres y niñas</w:t>
            </w:r>
            <w:r w:rsidR="00202C2B" w:rsidRPr="00207E9F">
              <w:rPr>
                <w:rStyle w:val="Hipervnculo"/>
                <w:webHidden/>
              </w:rPr>
              <w:tab/>
            </w:r>
            <w:r w:rsidR="00C74AE2" w:rsidRPr="00207E9F">
              <w:rPr>
                <w:rStyle w:val="Hipervnculo"/>
                <w:webHidden/>
              </w:rPr>
              <w:fldChar w:fldCharType="begin"/>
            </w:r>
            <w:r w:rsidR="00202C2B" w:rsidRPr="00207E9F">
              <w:rPr>
                <w:rStyle w:val="Hipervnculo"/>
                <w:webHidden/>
              </w:rPr>
              <w:instrText xml:space="preserve"> PAGEREF _Toc51234958 \h </w:instrText>
            </w:r>
            <w:r w:rsidR="00C74AE2" w:rsidRPr="00207E9F">
              <w:rPr>
                <w:rStyle w:val="Hipervnculo"/>
                <w:webHidden/>
              </w:rPr>
            </w:r>
            <w:r w:rsidR="00C74AE2" w:rsidRPr="00207E9F">
              <w:rPr>
                <w:rStyle w:val="Hipervnculo"/>
                <w:webHidden/>
              </w:rPr>
              <w:fldChar w:fldCharType="separate"/>
            </w:r>
            <w:r w:rsidR="006D6F88">
              <w:rPr>
                <w:rStyle w:val="Hipervnculo"/>
                <w:webHidden/>
              </w:rPr>
              <w:t>8</w:t>
            </w:r>
            <w:r w:rsidR="00C74AE2" w:rsidRPr="00207E9F">
              <w:rPr>
                <w:rStyle w:val="Hipervnculo"/>
                <w:webHidden/>
              </w:rPr>
              <w:fldChar w:fldCharType="end"/>
            </w:r>
          </w:hyperlink>
        </w:p>
        <w:p w14:paraId="588CD145" w14:textId="1BDAAE76" w:rsidR="00202C2B" w:rsidRPr="00207E9F" w:rsidRDefault="000432E6">
          <w:pPr>
            <w:pStyle w:val="TDC3"/>
            <w:rPr>
              <w:rStyle w:val="Hipervnculo"/>
            </w:rPr>
          </w:pPr>
          <w:hyperlink w:anchor="_Toc51234959" w:history="1">
            <w:r w:rsidR="00202C2B" w:rsidRPr="00207E9F">
              <w:rPr>
                <w:rStyle w:val="Hipervnculo"/>
              </w:rPr>
              <w:t>2.1.3 RECOMENDACIONES</w:t>
            </w:r>
            <w:r w:rsidR="00202C2B" w:rsidRPr="00207E9F">
              <w:rPr>
                <w:rStyle w:val="Hipervnculo"/>
                <w:webHidden/>
              </w:rPr>
              <w:tab/>
            </w:r>
            <w:r w:rsidR="00C74AE2" w:rsidRPr="00207E9F">
              <w:rPr>
                <w:rStyle w:val="Hipervnculo"/>
                <w:webHidden/>
              </w:rPr>
              <w:fldChar w:fldCharType="begin"/>
            </w:r>
            <w:r w:rsidR="00202C2B" w:rsidRPr="00207E9F">
              <w:rPr>
                <w:rStyle w:val="Hipervnculo"/>
                <w:webHidden/>
              </w:rPr>
              <w:instrText xml:space="preserve"> PAGEREF _Toc51234959 \h </w:instrText>
            </w:r>
            <w:r w:rsidR="00C74AE2" w:rsidRPr="00207E9F">
              <w:rPr>
                <w:rStyle w:val="Hipervnculo"/>
                <w:webHidden/>
              </w:rPr>
            </w:r>
            <w:r w:rsidR="00C74AE2" w:rsidRPr="00207E9F">
              <w:rPr>
                <w:rStyle w:val="Hipervnculo"/>
                <w:webHidden/>
              </w:rPr>
              <w:fldChar w:fldCharType="separate"/>
            </w:r>
            <w:r w:rsidR="006D6F88">
              <w:rPr>
                <w:rStyle w:val="Hipervnculo"/>
                <w:webHidden/>
              </w:rPr>
              <w:t>11</w:t>
            </w:r>
            <w:r w:rsidR="00C74AE2" w:rsidRPr="00207E9F">
              <w:rPr>
                <w:rStyle w:val="Hipervnculo"/>
                <w:webHidden/>
              </w:rPr>
              <w:fldChar w:fldCharType="end"/>
            </w:r>
          </w:hyperlink>
        </w:p>
        <w:p w14:paraId="2D452A45" w14:textId="1D172D6A" w:rsidR="00202C2B" w:rsidRPr="00207E9F" w:rsidRDefault="000432E6">
          <w:pPr>
            <w:pStyle w:val="TDC1"/>
            <w:rPr>
              <w:rStyle w:val="Hipervnculo"/>
            </w:rPr>
          </w:pPr>
          <w:hyperlink w:anchor="_Toc51234960" w:history="1">
            <w:r w:rsidR="00202C2B" w:rsidRPr="00207E9F">
              <w:rPr>
                <w:rStyle w:val="Hipervnculo"/>
              </w:rPr>
              <w:t>3. alerta de violencia de género contra las mujeres</w:t>
            </w:r>
            <w:r w:rsidR="00202C2B" w:rsidRPr="00207E9F">
              <w:rPr>
                <w:rStyle w:val="Hipervnculo"/>
                <w:webHidden/>
              </w:rPr>
              <w:tab/>
            </w:r>
            <w:r w:rsidR="00C74AE2" w:rsidRPr="00207E9F">
              <w:rPr>
                <w:rStyle w:val="Hipervnculo"/>
                <w:webHidden/>
              </w:rPr>
              <w:fldChar w:fldCharType="begin"/>
            </w:r>
            <w:r w:rsidR="00202C2B" w:rsidRPr="00207E9F">
              <w:rPr>
                <w:rStyle w:val="Hipervnculo"/>
                <w:webHidden/>
              </w:rPr>
              <w:instrText xml:space="preserve"> PAGEREF _Toc51234960 \h </w:instrText>
            </w:r>
            <w:r w:rsidR="00C74AE2" w:rsidRPr="00207E9F">
              <w:rPr>
                <w:rStyle w:val="Hipervnculo"/>
                <w:webHidden/>
              </w:rPr>
            </w:r>
            <w:r w:rsidR="00C74AE2" w:rsidRPr="00207E9F">
              <w:rPr>
                <w:rStyle w:val="Hipervnculo"/>
                <w:webHidden/>
              </w:rPr>
              <w:fldChar w:fldCharType="separate"/>
            </w:r>
            <w:r w:rsidR="006D6F88">
              <w:rPr>
                <w:rStyle w:val="Hipervnculo"/>
                <w:noProof/>
                <w:webHidden/>
              </w:rPr>
              <w:t>12</w:t>
            </w:r>
            <w:r w:rsidR="00C74AE2" w:rsidRPr="00207E9F">
              <w:rPr>
                <w:rStyle w:val="Hipervnculo"/>
                <w:webHidden/>
              </w:rPr>
              <w:fldChar w:fldCharType="end"/>
            </w:r>
          </w:hyperlink>
        </w:p>
        <w:p w14:paraId="5173699D" w14:textId="3C59E5F9" w:rsidR="00202C2B" w:rsidRPr="00207E9F" w:rsidRDefault="000432E6">
          <w:pPr>
            <w:pStyle w:val="TDC3"/>
            <w:rPr>
              <w:rStyle w:val="Hipervnculo"/>
            </w:rPr>
          </w:pPr>
          <w:hyperlink w:anchor="_Toc51234961" w:history="1">
            <w:r w:rsidR="00202C2B" w:rsidRPr="00207E9F">
              <w:rPr>
                <w:rStyle w:val="Hipervnculo"/>
              </w:rPr>
              <w:t>3.1.1 Recomendaciones</w:t>
            </w:r>
            <w:r w:rsidR="00202C2B" w:rsidRPr="00207E9F">
              <w:rPr>
                <w:rStyle w:val="Hipervnculo"/>
                <w:webHidden/>
              </w:rPr>
              <w:tab/>
            </w:r>
            <w:r w:rsidR="00C74AE2" w:rsidRPr="00207E9F">
              <w:rPr>
                <w:rStyle w:val="Hipervnculo"/>
                <w:webHidden/>
              </w:rPr>
              <w:fldChar w:fldCharType="begin"/>
            </w:r>
            <w:r w:rsidR="00202C2B" w:rsidRPr="00207E9F">
              <w:rPr>
                <w:rStyle w:val="Hipervnculo"/>
                <w:webHidden/>
              </w:rPr>
              <w:instrText xml:space="preserve"> PAGEREF _Toc51234961 \h </w:instrText>
            </w:r>
            <w:r w:rsidR="00C74AE2" w:rsidRPr="00207E9F">
              <w:rPr>
                <w:rStyle w:val="Hipervnculo"/>
                <w:webHidden/>
              </w:rPr>
            </w:r>
            <w:r w:rsidR="00C74AE2" w:rsidRPr="00207E9F">
              <w:rPr>
                <w:rStyle w:val="Hipervnculo"/>
                <w:webHidden/>
              </w:rPr>
              <w:fldChar w:fldCharType="separate"/>
            </w:r>
            <w:r w:rsidR="006D6F88">
              <w:rPr>
                <w:rStyle w:val="Hipervnculo"/>
                <w:webHidden/>
              </w:rPr>
              <w:t>13</w:t>
            </w:r>
            <w:r w:rsidR="00C74AE2" w:rsidRPr="00207E9F">
              <w:rPr>
                <w:rStyle w:val="Hipervnculo"/>
                <w:webHidden/>
              </w:rPr>
              <w:fldChar w:fldCharType="end"/>
            </w:r>
          </w:hyperlink>
        </w:p>
        <w:p w14:paraId="53A78FFD" w14:textId="0A7E00EC" w:rsidR="00202C2B" w:rsidRPr="00207E9F" w:rsidRDefault="000432E6">
          <w:pPr>
            <w:pStyle w:val="TDC1"/>
            <w:rPr>
              <w:rStyle w:val="Hipervnculo"/>
            </w:rPr>
          </w:pPr>
          <w:hyperlink w:anchor="_Toc51234962" w:history="1">
            <w:r w:rsidR="00202C2B" w:rsidRPr="00207E9F">
              <w:rPr>
                <w:rStyle w:val="Hipervnculo"/>
              </w:rPr>
              <w:t>4. Conclusiones</w:t>
            </w:r>
            <w:r w:rsidR="00202C2B" w:rsidRPr="00207E9F">
              <w:rPr>
                <w:rStyle w:val="Hipervnculo"/>
                <w:webHidden/>
              </w:rPr>
              <w:tab/>
            </w:r>
            <w:r w:rsidR="00C74AE2" w:rsidRPr="00207E9F">
              <w:rPr>
                <w:rStyle w:val="Hipervnculo"/>
                <w:webHidden/>
              </w:rPr>
              <w:fldChar w:fldCharType="begin"/>
            </w:r>
            <w:r w:rsidR="00202C2B" w:rsidRPr="00207E9F">
              <w:rPr>
                <w:rStyle w:val="Hipervnculo"/>
                <w:webHidden/>
              </w:rPr>
              <w:instrText xml:space="preserve"> PAGEREF _Toc51234962 \h </w:instrText>
            </w:r>
            <w:r w:rsidR="00C74AE2" w:rsidRPr="00207E9F">
              <w:rPr>
                <w:rStyle w:val="Hipervnculo"/>
                <w:webHidden/>
              </w:rPr>
            </w:r>
            <w:r w:rsidR="00C74AE2" w:rsidRPr="00207E9F">
              <w:rPr>
                <w:rStyle w:val="Hipervnculo"/>
                <w:webHidden/>
              </w:rPr>
              <w:fldChar w:fldCharType="separate"/>
            </w:r>
            <w:r w:rsidR="006D6F88">
              <w:rPr>
                <w:rStyle w:val="Hipervnculo"/>
                <w:noProof/>
                <w:webHidden/>
              </w:rPr>
              <w:t>14</w:t>
            </w:r>
            <w:r w:rsidR="00C74AE2" w:rsidRPr="00207E9F">
              <w:rPr>
                <w:rStyle w:val="Hipervnculo"/>
                <w:webHidden/>
              </w:rPr>
              <w:fldChar w:fldCharType="end"/>
            </w:r>
          </w:hyperlink>
        </w:p>
        <w:p w14:paraId="5E4BC296" w14:textId="77777777" w:rsidR="0062576D" w:rsidRPr="002D11F3" w:rsidRDefault="00C74AE2">
          <w:pPr>
            <w:rPr>
              <w:rFonts w:ascii="Amnesty Trade Gothic Cn" w:hAnsi="Amnesty Trade Gothic Cn"/>
              <w:sz w:val="24"/>
              <w:szCs w:val="24"/>
            </w:rPr>
          </w:pPr>
          <w:r w:rsidRPr="00207E9F">
            <w:rPr>
              <w:rStyle w:val="Hipervnculo"/>
            </w:rPr>
            <w:fldChar w:fldCharType="end"/>
          </w:r>
        </w:p>
      </w:sdtContent>
    </w:sdt>
    <w:p w14:paraId="1B74E0FE" w14:textId="77777777" w:rsidR="009800D2" w:rsidRPr="002D11F3" w:rsidRDefault="009800D2" w:rsidP="00B262DD">
      <w:pPr>
        <w:pStyle w:val="RTHeadingnonumbers"/>
      </w:pPr>
    </w:p>
    <w:p w14:paraId="6DE82459" w14:textId="77777777" w:rsidR="00FA0C65" w:rsidRDefault="00FA0C65">
      <w:pPr>
        <w:rPr>
          <w:rFonts w:ascii="Amnesty Trade Gothic Cn" w:hAnsi="Amnesty Trade Gothic Cn"/>
          <w:sz w:val="24"/>
          <w:szCs w:val="24"/>
        </w:rPr>
      </w:pPr>
      <w:r>
        <w:rPr>
          <w:rFonts w:ascii="Amnesty Trade Gothic Cn" w:hAnsi="Amnesty Trade Gothic Cn"/>
        </w:rPr>
        <w:br w:type="page"/>
      </w:r>
    </w:p>
    <w:p w14:paraId="7DC74D62" w14:textId="77777777" w:rsidR="00704D0D" w:rsidRPr="00207E9F" w:rsidRDefault="00704D0D" w:rsidP="00207E9F">
      <w:pPr>
        <w:pStyle w:val="RTTitlenumbered"/>
      </w:pPr>
      <w:bookmarkStart w:id="0" w:name="_Toc453761685"/>
      <w:bookmarkStart w:id="1" w:name="_Toc453763743"/>
      <w:bookmarkStart w:id="2" w:name="_Toc492287977"/>
      <w:bookmarkStart w:id="3" w:name="_Toc496008025"/>
      <w:bookmarkStart w:id="4" w:name="_Toc51234953"/>
      <w:r w:rsidRPr="00207E9F">
        <w:lastRenderedPageBreak/>
        <w:t>Introducción</w:t>
      </w:r>
      <w:bookmarkEnd w:id="0"/>
      <w:bookmarkEnd w:id="1"/>
      <w:bookmarkEnd w:id="2"/>
      <w:bookmarkEnd w:id="3"/>
      <w:bookmarkEnd w:id="4"/>
    </w:p>
    <w:p w14:paraId="1A6A31C7" w14:textId="77777777" w:rsidR="002001FB" w:rsidRPr="002001FB" w:rsidRDefault="002001FB" w:rsidP="002001FB">
      <w:pPr>
        <w:pStyle w:val="RTBodyText"/>
        <w:rPr>
          <w:lang w:eastAsia="en-GB"/>
        </w:rPr>
      </w:pPr>
    </w:p>
    <w:p w14:paraId="770452BA" w14:textId="77777777" w:rsidR="005816FD" w:rsidRPr="00207E9F" w:rsidRDefault="00B262DD" w:rsidP="00207E9F">
      <w:pPr>
        <w:pStyle w:val="RTBodyText"/>
      </w:pPr>
      <w:r w:rsidRPr="00207E9F">
        <w:t xml:space="preserve">Amnistía Internacional pone a la disposición del Comité de Naciones Unidas para la Eliminación de la Discriminación contra la Mujer (en adelante, el Comité) la presente información que analiza las medidas adoptadas por el Estado mexicano para dar cumplimiento a las recomendaciones referidas en el párrafo 24 del documento de Observaciones Finales a México (CEDAW/C/MEX/CO/9) publicado en julio de 2018. </w:t>
      </w:r>
    </w:p>
    <w:p w14:paraId="7BE6B14D" w14:textId="77777777" w:rsidR="00C55E44" w:rsidRPr="002D11F3" w:rsidRDefault="00C55E44" w:rsidP="009A1F7E">
      <w:pPr>
        <w:pStyle w:val="RTBodyText"/>
        <w:spacing w:beforeLines="20" w:before="48" w:afterLines="20" w:after="48"/>
        <w:rPr>
          <w:rFonts w:ascii="Amnesty Trade Gothic Cn" w:hAnsi="Amnesty Trade Gothic Cn"/>
        </w:rPr>
      </w:pPr>
    </w:p>
    <w:p w14:paraId="5C2CC5A4" w14:textId="77777777" w:rsidR="006856B0" w:rsidRPr="002D11F3" w:rsidRDefault="006856B0" w:rsidP="009A1F7E">
      <w:pPr>
        <w:pStyle w:val="RTBodyText"/>
        <w:spacing w:beforeLines="20" w:before="48" w:afterLines="20" w:after="48"/>
        <w:rPr>
          <w:rFonts w:ascii="Amnesty Trade Gothic Cn" w:hAnsi="Amnesty Trade Gothic Cn"/>
        </w:rPr>
      </w:pPr>
    </w:p>
    <w:p w14:paraId="3CA7095B" w14:textId="77777777" w:rsidR="000C4DE6" w:rsidRPr="002D11F3" w:rsidRDefault="000C4DE6" w:rsidP="009A1F7E">
      <w:pPr>
        <w:pStyle w:val="RTBodyText"/>
        <w:spacing w:beforeLines="20" w:before="48" w:afterLines="20" w:after="48"/>
        <w:rPr>
          <w:rFonts w:ascii="Amnesty Trade Gothic Cn" w:hAnsi="Amnesty Trade Gothic Cn"/>
        </w:rPr>
      </w:pPr>
    </w:p>
    <w:p w14:paraId="6F1ECDA9" w14:textId="77777777" w:rsidR="00FA0C65" w:rsidRDefault="00FA0C65" w:rsidP="009A1F7E">
      <w:pPr>
        <w:spacing w:beforeLines="20" w:before="48" w:afterLines="20" w:after="48"/>
        <w:rPr>
          <w:rFonts w:ascii="Amnesty Trade Gothic Cn" w:hAnsi="Amnesty Trade Gothic Cn"/>
          <w:sz w:val="24"/>
          <w:szCs w:val="24"/>
        </w:rPr>
      </w:pPr>
      <w:r>
        <w:rPr>
          <w:rFonts w:ascii="Amnesty Trade Gothic Cn" w:hAnsi="Amnesty Trade Gothic Cn"/>
        </w:rPr>
        <w:br w:type="page"/>
      </w:r>
    </w:p>
    <w:p w14:paraId="0BC4B1ED" w14:textId="77777777" w:rsidR="00B262DD" w:rsidRPr="00207E9F" w:rsidRDefault="00B262DD" w:rsidP="00207E9F">
      <w:pPr>
        <w:pStyle w:val="RTTitlenumbered"/>
      </w:pPr>
      <w:bookmarkStart w:id="5" w:name="_Toc461805279"/>
      <w:bookmarkStart w:id="6" w:name="_Toc51234954"/>
      <w:r w:rsidRPr="00207E9F">
        <w:lastRenderedPageBreak/>
        <w:t>Observación c) del párrafo 24</w:t>
      </w:r>
      <w:bookmarkEnd w:id="5"/>
      <w:bookmarkEnd w:id="6"/>
    </w:p>
    <w:p w14:paraId="0F4F5F2F" w14:textId="77777777" w:rsidR="002001FB" w:rsidRDefault="002001FB" w:rsidP="002001FB">
      <w:pPr>
        <w:pStyle w:val="RTBodyText"/>
        <w:rPr>
          <w:lang w:eastAsia="en-GB"/>
        </w:rPr>
      </w:pPr>
    </w:p>
    <w:p w14:paraId="7303545B" w14:textId="77777777" w:rsidR="002001FB" w:rsidRPr="002001FB" w:rsidRDefault="002001FB" w:rsidP="002001FB">
      <w:pPr>
        <w:pStyle w:val="RTBodyText"/>
        <w:rPr>
          <w:lang w:eastAsia="en-GB"/>
        </w:rPr>
      </w:pPr>
    </w:p>
    <w:p w14:paraId="61C80F6F" w14:textId="77777777" w:rsidR="00B262DD" w:rsidRPr="00207E9F" w:rsidRDefault="00B262DD" w:rsidP="00207E9F">
      <w:pPr>
        <w:pStyle w:val="RTNumberedHeading"/>
      </w:pPr>
      <w:bookmarkStart w:id="7" w:name="_Toc51234955"/>
      <w:r w:rsidRPr="00207E9F">
        <w:t>FEMINICIDIO</w:t>
      </w:r>
      <w:bookmarkEnd w:id="7"/>
    </w:p>
    <w:p w14:paraId="5304F036" w14:textId="77777777" w:rsidR="00B262DD" w:rsidRPr="002D11F3" w:rsidRDefault="00B262DD" w:rsidP="009A1F7E">
      <w:pPr>
        <w:pStyle w:val="RTBodyText"/>
        <w:spacing w:beforeLines="20" w:before="48" w:afterLines="20" w:after="48"/>
        <w:rPr>
          <w:rFonts w:ascii="Amnesty Trade Gothic Cn" w:hAnsi="Amnesty Trade Gothic Cn"/>
        </w:rPr>
      </w:pPr>
    </w:p>
    <w:p w14:paraId="7F802E1E" w14:textId="77777777" w:rsidR="00B262DD" w:rsidRPr="00207E9F" w:rsidRDefault="00B262DD" w:rsidP="00207E9F">
      <w:pPr>
        <w:pStyle w:val="RTBodyText"/>
      </w:pPr>
      <w:r w:rsidRPr="00207E9F">
        <w:t xml:space="preserve">En México, </w:t>
      </w:r>
      <w:r w:rsidR="00D734AB" w:rsidRPr="00207E9F">
        <w:t xml:space="preserve">a </w:t>
      </w:r>
      <w:r w:rsidRPr="00207E9F">
        <w:t>22 meses de haber tomado posesión</w:t>
      </w:r>
      <w:r w:rsidR="00D734AB" w:rsidRPr="00207E9F">
        <w:t xml:space="preserve"> el nuevo gobierno</w:t>
      </w:r>
      <w:r w:rsidRPr="00207E9F">
        <w:t>, no se ha publicado en el Diario Oficial de la Federación (DOF) el Programa Integral para Prevenir, Atender, Sancionar y Erradicar la Violencia contra las Mujeres, como mandata la Ley General de Acceso de las Mujeres a una Vida Libre de Violencia (en adelante, LGAMVLV).</w:t>
      </w:r>
    </w:p>
    <w:p w14:paraId="73762151" w14:textId="77777777" w:rsidR="00B262DD" w:rsidRPr="00207E9F" w:rsidRDefault="00B262DD" w:rsidP="00207E9F">
      <w:pPr>
        <w:pStyle w:val="RTBodyText"/>
      </w:pPr>
    </w:p>
    <w:p w14:paraId="15E91A56" w14:textId="4303F840" w:rsidR="00B262DD" w:rsidRPr="00207E9F" w:rsidRDefault="00B262DD" w:rsidP="00207E9F">
      <w:pPr>
        <w:pStyle w:val="RTBodyText"/>
        <w:rPr>
          <w:highlight w:val="white"/>
        </w:rPr>
      </w:pPr>
      <w:r w:rsidRPr="00207E9F">
        <w:t>El Secretariado Ejecutivo del Sistema Nacional de Seguridad Pública (SESNSP) registró 3.656 asesinatos de mujeres en 2018 y 3.810 en 2019</w:t>
      </w:r>
      <w:r w:rsidR="003F38E6">
        <w:rPr>
          <w:rStyle w:val="Refdenotaalpie"/>
        </w:rPr>
        <w:footnoteReference w:id="1"/>
      </w:r>
      <w:r w:rsidRPr="00207E9F">
        <w:t>.</w:t>
      </w:r>
      <w:r w:rsidRPr="00207E9F">
        <w:rPr>
          <w:rStyle w:val="CitaCar"/>
          <w:rFonts w:asciiTheme="minorHAnsi" w:hAnsiTheme="minorHAnsi"/>
          <w:i w:val="0"/>
          <w:iCs w:val="0"/>
          <w:color w:val="000000" w:themeColor="text1"/>
          <w:sz w:val="24"/>
        </w:rPr>
        <w:t xml:space="preserve"> </w:t>
      </w:r>
      <w:r w:rsidRPr="00207E9F">
        <w:t>Estas cifras representan un aumento de 4.2% en el número absoluto de asesinatos de mujeres</w:t>
      </w:r>
      <w:r w:rsidRPr="00207E9F">
        <w:rPr>
          <w:highlight w:val="white"/>
        </w:rPr>
        <w:t xml:space="preserve">.    </w:t>
      </w:r>
    </w:p>
    <w:p w14:paraId="2AA41D1A" w14:textId="77777777" w:rsidR="00B262DD" w:rsidRPr="00207E9F" w:rsidRDefault="00B262DD" w:rsidP="00207E9F">
      <w:pPr>
        <w:pStyle w:val="RTBodyText"/>
        <w:rPr>
          <w:highlight w:val="white"/>
        </w:rPr>
      </w:pPr>
    </w:p>
    <w:p w14:paraId="74FD2956" w14:textId="055BD1D6" w:rsidR="00B262DD" w:rsidRPr="00207E9F" w:rsidRDefault="00B262DD" w:rsidP="00207E9F">
      <w:pPr>
        <w:pStyle w:val="RTBodyText"/>
      </w:pPr>
      <w:r w:rsidRPr="00207E9F">
        <w:t xml:space="preserve">Los </w:t>
      </w:r>
      <w:r w:rsidR="00C97072" w:rsidRPr="00207E9F">
        <w:t xml:space="preserve">presuntos </w:t>
      </w:r>
      <w:r w:rsidRPr="00207E9F">
        <w:t xml:space="preserve">delitos de feminicidio también </w:t>
      </w:r>
      <w:r w:rsidR="00C97072" w:rsidRPr="00207E9F">
        <w:t>incrementaron</w:t>
      </w:r>
      <w:r w:rsidRPr="00207E9F">
        <w:t xml:space="preserve">: en 2019, las fiscalías estatales reportaron 934 carpetas de </w:t>
      </w:r>
      <w:r w:rsidR="001C5983" w:rsidRPr="00207E9F">
        <w:t xml:space="preserve">investigación </w:t>
      </w:r>
      <w:r w:rsidRPr="00207E9F">
        <w:t>por feminicidio, 4.8 % más que en 2018</w:t>
      </w:r>
      <w:r w:rsidR="003F38E6">
        <w:rPr>
          <w:rStyle w:val="Refdenotaalpie"/>
        </w:rPr>
        <w:footnoteReference w:id="2"/>
      </w:r>
      <w:r w:rsidRPr="00207E9F">
        <w:t>.</w:t>
      </w:r>
      <w:r w:rsidR="00DE6841" w:rsidRPr="00207E9F">
        <w:t xml:space="preserve"> </w:t>
      </w:r>
      <w:r w:rsidRPr="00207E9F">
        <w:t xml:space="preserve">En el contexto de la pandemia por COVID-19, los feminicidios </w:t>
      </w:r>
      <w:r w:rsidR="00E40829" w:rsidRPr="00207E9F">
        <w:t>también aumenta</w:t>
      </w:r>
      <w:r w:rsidR="00C97072" w:rsidRPr="00207E9F">
        <w:t>ron</w:t>
      </w:r>
      <w:r w:rsidR="00E40829" w:rsidRPr="00207E9F">
        <w:t>:</w:t>
      </w:r>
      <w:r w:rsidRPr="00207E9F">
        <w:t xml:space="preserve"> de enero a junio de 2020 las fiscalías estatales reportaron 476 carpetas de investigación por el delito de feminicidio, 1.9% más que en los primeros seis meses de 2019 (cuando se abrieron 467 carpetas)</w:t>
      </w:r>
      <w:r w:rsidR="003F38E6">
        <w:rPr>
          <w:rStyle w:val="Refdenotaalpie"/>
        </w:rPr>
        <w:footnoteReference w:id="3"/>
      </w:r>
      <w:r w:rsidRPr="00207E9F">
        <w:t>.</w:t>
      </w:r>
    </w:p>
    <w:p w14:paraId="2F27BF9B" w14:textId="77777777" w:rsidR="00B262DD" w:rsidRPr="00207E9F" w:rsidRDefault="00B262DD" w:rsidP="00207E9F">
      <w:pPr>
        <w:pStyle w:val="RTBodyText"/>
      </w:pPr>
    </w:p>
    <w:p w14:paraId="22EE5E6C" w14:textId="2559DF38" w:rsidR="00B262DD" w:rsidRPr="00207E9F" w:rsidRDefault="00B262DD" w:rsidP="00207E9F">
      <w:pPr>
        <w:pStyle w:val="RTBodyText"/>
      </w:pPr>
      <w:r w:rsidRPr="00207E9F">
        <w:t>Amnistía Internacional (en adelante AI) dio a conocer en su informe “Cuando las palabras no bastan” que existe evidencia de que algunas muertes violentas de mujeres que presentan indicios de feminicidios se investigan como suicidios o como homicidios y no como feminicidios</w:t>
      </w:r>
      <w:r w:rsidR="003F38E6">
        <w:rPr>
          <w:rStyle w:val="Refdenotaalpie"/>
        </w:rPr>
        <w:footnoteReference w:id="4"/>
      </w:r>
      <w:r w:rsidRPr="00207E9F">
        <w:t xml:space="preserve">. </w:t>
      </w:r>
    </w:p>
    <w:p w14:paraId="2DA92928" w14:textId="77777777" w:rsidR="00B262DD" w:rsidRPr="00207E9F" w:rsidRDefault="00B262DD" w:rsidP="00207E9F">
      <w:pPr>
        <w:pStyle w:val="RTBodyText"/>
      </w:pPr>
    </w:p>
    <w:p w14:paraId="4D9CA7CA" w14:textId="77777777" w:rsidR="00B262DD" w:rsidRPr="002D11F3" w:rsidRDefault="00B262DD" w:rsidP="00207E9F">
      <w:pPr>
        <w:pStyle w:val="RTSmallQuoteText"/>
      </w:pPr>
      <w:r w:rsidRPr="002D11F3">
        <w:t xml:space="preserve">“Vele por que se tipifique como delito el feminicidio en todos los códigos penales estatales de conformidad con la Ley General de Acceso de las Mujeres a una Vida Libre de </w:t>
      </w:r>
      <w:proofErr w:type="gramStart"/>
      <w:r w:rsidRPr="002D11F3">
        <w:t>Violencia,...</w:t>
      </w:r>
      <w:proofErr w:type="gramEnd"/>
      <w:r w:rsidRPr="002D11F3">
        <w:t>”</w:t>
      </w:r>
    </w:p>
    <w:p w14:paraId="0DDDDC6F" w14:textId="77777777" w:rsidR="00B262DD" w:rsidRPr="002D11F3" w:rsidRDefault="00B262DD" w:rsidP="00207E9F">
      <w:pPr>
        <w:pStyle w:val="RTSmallQuoteText"/>
        <w:rPr>
          <w:i/>
        </w:rPr>
      </w:pPr>
    </w:p>
    <w:p w14:paraId="135E3EF5" w14:textId="34F24349" w:rsidR="00B262DD" w:rsidRPr="00207E9F" w:rsidRDefault="00B262DD" w:rsidP="00207E9F">
      <w:pPr>
        <w:pStyle w:val="RTBodyText"/>
      </w:pPr>
      <w:r w:rsidRPr="00207E9F">
        <w:t>A ocho años de estar tipificado el delito a nivel federal, 31 entidades federativas tienen un tipo penal específico, de acuerdo con lo dispuesto con el artículo 21 de la LGAMVLV y el artículo 325 Código Penal Federal</w:t>
      </w:r>
      <w:r w:rsidR="003F38E6">
        <w:rPr>
          <w:rStyle w:val="Refdenotaalpie"/>
        </w:rPr>
        <w:footnoteReference w:id="5"/>
      </w:r>
      <w:r w:rsidRPr="00207E9F">
        <w:t>. Sin embargo, a la fecha existen disparidades entre penas y elementos objetivos del tipo penal</w:t>
      </w:r>
      <w:r w:rsidR="003F38E6">
        <w:rPr>
          <w:rStyle w:val="Refdenotaalpie"/>
        </w:rPr>
        <w:footnoteReference w:id="6"/>
      </w:r>
      <w:r w:rsidRPr="00207E9F">
        <w:t>.</w:t>
      </w:r>
    </w:p>
    <w:p w14:paraId="21A1EC10" w14:textId="77777777" w:rsidR="00B262DD" w:rsidRPr="00207E9F" w:rsidRDefault="00B262DD" w:rsidP="00207E9F">
      <w:pPr>
        <w:pStyle w:val="RTBodyText"/>
      </w:pPr>
    </w:p>
    <w:p w14:paraId="5BE9D7FC" w14:textId="787CCCA7" w:rsidR="00B262DD" w:rsidRPr="00207E9F" w:rsidRDefault="00B262DD" w:rsidP="00207E9F">
      <w:pPr>
        <w:pStyle w:val="RTBodyText"/>
      </w:pPr>
      <w:r w:rsidRPr="00207E9F">
        <w:rPr>
          <w:highlight w:val="white"/>
        </w:rPr>
        <w:t>En febrero de 2020</w:t>
      </w:r>
      <w:r w:rsidR="00C97072" w:rsidRPr="00207E9F">
        <w:rPr>
          <w:highlight w:val="white"/>
        </w:rPr>
        <w:t xml:space="preserve">, </w:t>
      </w:r>
      <w:r w:rsidRPr="00207E9F">
        <w:rPr>
          <w:highlight w:val="white"/>
        </w:rPr>
        <w:t>legisladoras</w:t>
      </w:r>
      <w:r w:rsidR="003F38E6">
        <w:rPr>
          <w:rStyle w:val="Refdenotaalpie"/>
          <w:highlight w:val="white"/>
        </w:rPr>
        <w:footnoteReference w:id="7"/>
      </w:r>
      <w:r w:rsidR="002D11F3" w:rsidRPr="00207E9F">
        <w:t xml:space="preserve"> </w:t>
      </w:r>
      <w:r w:rsidRPr="00207E9F">
        <w:t>presentaron una propuesta de criterio jurídico homologado a la FGR y a la Conferencia Permanente de Congresos Locales</w:t>
      </w:r>
      <w:r w:rsidR="003F38E6">
        <w:rPr>
          <w:rStyle w:val="Refdenotaalpie"/>
        </w:rPr>
        <w:footnoteReference w:id="8"/>
      </w:r>
      <w:r w:rsidRPr="00207E9F">
        <w:t xml:space="preserve">. </w:t>
      </w:r>
      <w:r w:rsidRPr="00207E9F">
        <w:rPr>
          <w:highlight w:val="white"/>
        </w:rPr>
        <w:t>No obstante, a la fecha sólo 24 entidades han armonizado su tipo penal. Cinco congresos siguen sin homologar el tipo penal de feminicidio con</w:t>
      </w:r>
      <w:r w:rsidRPr="00207E9F">
        <w:t xml:space="preserve"> base en la legislación federal</w:t>
      </w:r>
      <w:r w:rsidR="003F38E6">
        <w:rPr>
          <w:rStyle w:val="Refdenotaalpie"/>
        </w:rPr>
        <w:footnoteReference w:id="9"/>
      </w:r>
      <w:r w:rsidRPr="00207E9F">
        <w:t>.</w:t>
      </w:r>
    </w:p>
    <w:p w14:paraId="350FC4E6" w14:textId="77777777" w:rsidR="00B262DD" w:rsidRPr="00207E9F" w:rsidRDefault="00B262DD" w:rsidP="00207E9F">
      <w:pPr>
        <w:pStyle w:val="RTBodyText"/>
        <w:rPr>
          <w:highlight w:val="white"/>
        </w:rPr>
      </w:pPr>
    </w:p>
    <w:p w14:paraId="39018A0A" w14:textId="77777777" w:rsidR="00B262DD" w:rsidRPr="00207E9F" w:rsidRDefault="00B262DD" w:rsidP="00207E9F">
      <w:pPr>
        <w:pStyle w:val="RTBodyText"/>
      </w:pPr>
      <w:r w:rsidRPr="00207E9F">
        <w:rPr>
          <w:highlight w:val="white"/>
        </w:rPr>
        <w:t>AI advierte centrar esfuerzos en erradicar las deficiencias en las investigaciones penales</w:t>
      </w:r>
      <w:r w:rsidR="002D11F3" w:rsidRPr="00207E9F">
        <w:rPr>
          <w:highlight w:val="white"/>
        </w:rPr>
        <w:t xml:space="preserve"> y </w:t>
      </w:r>
      <w:r w:rsidRPr="00207E9F">
        <w:rPr>
          <w:highlight w:val="white"/>
        </w:rPr>
        <w:t xml:space="preserve">reforzar las políticas preventivas orientadas a erradicar </w:t>
      </w:r>
      <w:r w:rsidRPr="00207E9F">
        <w:t>los roles y estereotipos de género que legitiman las violencias en contra de las mujeres.</w:t>
      </w:r>
    </w:p>
    <w:p w14:paraId="0B197D59" w14:textId="77777777" w:rsidR="00B262DD" w:rsidRPr="002D11F3" w:rsidRDefault="00B262DD" w:rsidP="009A1F7E">
      <w:pPr>
        <w:pStyle w:val="RTBodyText"/>
        <w:spacing w:beforeLines="20" w:before="48" w:afterLines="20" w:after="48"/>
        <w:rPr>
          <w:rFonts w:ascii="Amnesty Trade Gothic Cn" w:hAnsi="Amnesty Trade Gothic Cn"/>
        </w:rPr>
      </w:pPr>
    </w:p>
    <w:p w14:paraId="6BEA7F65" w14:textId="77777777" w:rsidR="00B262DD" w:rsidRPr="00207E9F" w:rsidRDefault="00B262DD" w:rsidP="00207E9F">
      <w:pPr>
        <w:pStyle w:val="RTSmallQuoteText"/>
        <w:rPr>
          <w:highlight w:val="white"/>
        </w:rPr>
      </w:pPr>
      <w:r w:rsidRPr="00207E9F">
        <w:t>“...Normalice los protocolos de investigación policial del feminicidio en todo el Estado parte...”</w:t>
      </w:r>
    </w:p>
    <w:p w14:paraId="1E262B26" w14:textId="77777777" w:rsidR="00B262DD" w:rsidRPr="002D11F3" w:rsidRDefault="00B262DD" w:rsidP="009A1F7E">
      <w:pPr>
        <w:pStyle w:val="RTBodyText"/>
        <w:spacing w:beforeLines="20" w:before="48" w:afterLines="20" w:after="48"/>
        <w:rPr>
          <w:rFonts w:ascii="Amnesty Trade Gothic Cn" w:hAnsi="Amnesty Trade Gothic Cn"/>
        </w:rPr>
      </w:pPr>
    </w:p>
    <w:p w14:paraId="3952022F" w14:textId="783EBDEE" w:rsidR="00B262DD" w:rsidRPr="00207E9F" w:rsidRDefault="00B262DD" w:rsidP="00207E9F">
      <w:pPr>
        <w:pStyle w:val="RTBodyText"/>
      </w:pPr>
      <w:r w:rsidRPr="00207E9F">
        <w:t>En 2015, la Suprema Corte de Justicia de la Nación (SCJN) determinó que toda muerte violenta de mujeres debe investigarse como un posible feminicidio</w:t>
      </w:r>
      <w:r w:rsidR="003F38E6">
        <w:rPr>
          <w:rStyle w:val="Refdenotaalpie"/>
        </w:rPr>
        <w:footnoteReference w:id="10"/>
      </w:r>
      <w:r w:rsidRPr="00207E9F">
        <w:t>. E</w:t>
      </w:r>
      <w:r w:rsidRPr="00207E9F">
        <w:rPr>
          <w:highlight w:val="white"/>
        </w:rPr>
        <w:t xml:space="preserve">n 2017, </w:t>
      </w:r>
      <w:r w:rsidR="00D734AB" w:rsidRPr="00207E9F">
        <w:rPr>
          <w:highlight w:val="white"/>
        </w:rPr>
        <w:t xml:space="preserve">así lo acordó </w:t>
      </w:r>
      <w:r w:rsidRPr="00207E9F">
        <w:rPr>
          <w:highlight w:val="white"/>
        </w:rPr>
        <w:t>el Consejo Nacional de Seguridad Pública</w:t>
      </w:r>
      <w:r w:rsidR="003F38E6">
        <w:rPr>
          <w:rStyle w:val="Refdenotaalpie"/>
          <w:highlight w:val="white"/>
        </w:rPr>
        <w:footnoteReference w:id="11"/>
      </w:r>
      <w:r w:rsidR="00DE6841" w:rsidRPr="00207E9F">
        <w:t>.</w:t>
      </w:r>
      <w:r w:rsidRPr="00207E9F">
        <w:t xml:space="preserve"> </w:t>
      </w:r>
      <w:r w:rsidR="00D734AB" w:rsidRPr="00207E9F">
        <w:rPr>
          <w:highlight w:val="white"/>
        </w:rPr>
        <w:t>Sin embargo</w:t>
      </w:r>
      <w:r w:rsidRPr="00207E9F">
        <w:rPr>
          <w:highlight w:val="white"/>
        </w:rPr>
        <w:t xml:space="preserve">, buena parte de las instituciones de procuración de justicia no atienden a estos </w:t>
      </w:r>
      <w:r w:rsidRPr="00207E9F">
        <w:rPr>
          <w:highlight w:val="white"/>
        </w:rPr>
        <w:lastRenderedPageBreak/>
        <w:t>precedentes, lo que constituye una obstaculización en el acceso a la justicia, la verdad y la reparación de las víctimas</w:t>
      </w:r>
      <w:r w:rsidR="003F38E6">
        <w:rPr>
          <w:rStyle w:val="Refdenotaalpie"/>
          <w:highlight w:val="white"/>
        </w:rPr>
        <w:footnoteReference w:id="12"/>
      </w:r>
      <w:r w:rsidRPr="00207E9F">
        <w:rPr>
          <w:highlight w:val="white"/>
        </w:rPr>
        <w:t>.</w:t>
      </w:r>
    </w:p>
    <w:p w14:paraId="1A2A9374" w14:textId="77777777" w:rsidR="00B262DD" w:rsidRPr="00207E9F" w:rsidRDefault="00B262DD" w:rsidP="00207E9F">
      <w:pPr>
        <w:pStyle w:val="RTBodyText"/>
      </w:pPr>
    </w:p>
    <w:p w14:paraId="6E677C77" w14:textId="1D35D74E" w:rsidR="00B262DD" w:rsidRPr="00207E9F" w:rsidRDefault="00B262DD" w:rsidP="00207E9F">
      <w:pPr>
        <w:pStyle w:val="RTBodyText"/>
        <w:rPr>
          <w:highlight w:val="white"/>
        </w:rPr>
      </w:pPr>
      <w:r w:rsidRPr="00207E9F">
        <w:rPr>
          <w:highlight w:val="white"/>
        </w:rPr>
        <w:t>A la fecha</w:t>
      </w:r>
      <w:r w:rsidRPr="00207E9F">
        <w:t>, 26 estados</w:t>
      </w:r>
      <w:r w:rsidRPr="00207E9F">
        <w:rPr>
          <w:highlight w:val="white"/>
        </w:rPr>
        <w:t xml:space="preserve"> cuentan con un protocolo de feminicidio</w:t>
      </w:r>
      <w:r w:rsidR="003F38E6">
        <w:rPr>
          <w:rStyle w:val="Refdenotaalpie"/>
          <w:highlight w:val="white"/>
        </w:rPr>
        <w:footnoteReference w:id="13"/>
      </w:r>
      <w:r w:rsidRPr="00207E9F">
        <w:rPr>
          <w:highlight w:val="white"/>
        </w:rPr>
        <w:t>. En 2018, la Comisión Nacional de Derechos Humanos (CNDH) dio a conocer que sólo en 18 de 27 instituciones estatales de procuración de justicia, el personal asignado a la investigación de los delitos de feminicidio recibe capacitación con perspectiva de género</w:t>
      </w:r>
      <w:r w:rsidR="00C97072" w:rsidRPr="00207E9F">
        <w:rPr>
          <w:highlight w:val="white"/>
        </w:rPr>
        <w:t xml:space="preserve"> y</w:t>
      </w:r>
      <w:r w:rsidRPr="00207E9F">
        <w:rPr>
          <w:highlight w:val="white"/>
        </w:rPr>
        <w:t xml:space="preserve"> en dos entidades federativas el personal no recibe este tipo de capacitación</w:t>
      </w:r>
      <w:r w:rsidR="003F38E6">
        <w:rPr>
          <w:rStyle w:val="Refdenotaalpie"/>
          <w:highlight w:val="white"/>
        </w:rPr>
        <w:footnoteReference w:id="14"/>
      </w:r>
      <w:r w:rsidRPr="00207E9F">
        <w:rPr>
          <w:highlight w:val="white"/>
        </w:rPr>
        <w:t>.</w:t>
      </w:r>
    </w:p>
    <w:p w14:paraId="131ECB55" w14:textId="77777777" w:rsidR="00B262DD" w:rsidRPr="002D11F3" w:rsidRDefault="00B262DD" w:rsidP="009A1F7E">
      <w:pPr>
        <w:pStyle w:val="RTBodyText"/>
        <w:spacing w:beforeLines="20" w:before="48" w:afterLines="20" w:after="48"/>
        <w:rPr>
          <w:rFonts w:ascii="Amnesty Trade Gothic Cn" w:hAnsi="Amnesty Trade Gothic Cn"/>
          <w:highlight w:val="white"/>
        </w:rPr>
      </w:pPr>
    </w:p>
    <w:p w14:paraId="1F6B3726" w14:textId="77777777" w:rsidR="00B262DD" w:rsidRPr="00207E9F" w:rsidRDefault="00B262DD" w:rsidP="00207E9F">
      <w:pPr>
        <w:pStyle w:val="RTSmallQuoteText"/>
      </w:pPr>
      <w:r w:rsidRPr="00207E9F">
        <w:t xml:space="preserve">“...garantice la aplicación efectiva de las disposiciones del derecho penal sobre el feminicidio...” </w:t>
      </w:r>
    </w:p>
    <w:p w14:paraId="6F2F7A47" w14:textId="77777777" w:rsidR="00B262DD" w:rsidRPr="002D11F3" w:rsidRDefault="00B262DD" w:rsidP="009A1F7E">
      <w:pPr>
        <w:pStyle w:val="RTBodyText"/>
        <w:spacing w:beforeLines="20" w:before="48" w:afterLines="20" w:after="48"/>
        <w:rPr>
          <w:rFonts w:ascii="Amnesty Trade Gothic Cn" w:hAnsi="Amnesty Trade Gothic Cn"/>
          <w:i/>
        </w:rPr>
      </w:pPr>
    </w:p>
    <w:p w14:paraId="0B72EEF5" w14:textId="224576E4" w:rsidR="00B262DD" w:rsidRPr="00207E9F" w:rsidRDefault="001C5983" w:rsidP="00207E9F">
      <w:pPr>
        <w:pStyle w:val="RTBodyText"/>
        <w:rPr>
          <w:highlight w:val="white"/>
        </w:rPr>
      </w:pPr>
      <w:r w:rsidRPr="00207E9F">
        <w:rPr>
          <w:highlight w:val="white"/>
        </w:rPr>
        <w:t>L</w:t>
      </w:r>
      <w:r w:rsidR="00B262DD" w:rsidRPr="00207E9F">
        <w:rPr>
          <w:highlight w:val="white"/>
        </w:rPr>
        <w:t>a impunidad es un factor clave en la persistencia de los feminicidios</w:t>
      </w:r>
      <w:r w:rsidR="003F38E6">
        <w:rPr>
          <w:rStyle w:val="Refdenotaalpie"/>
          <w:highlight w:val="white"/>
        </w:rPr>
        <w:footnoteReference w:id="15"/>
      </w:r>
      <w:r w:rsidR="00B262DD" w:rsidRPr="00207E9F">
        <w:rPr>
          <w:highlight w:val="white"/>
        </w:rPr>
        <w:t xml:space="preserve">. Según el </w:t>
      </w:r>
      <w:r w:rsidR="00B262DD" w:rsidRPr="00207E9F">
        <w:t>Instituto Nacional de Estadística, Geografía e Informática (</w:t>
      </w:r>
      <w:r w:rsidR="00B262DD" w:rsidRPr="00207E9F">
        <w:rPr>
          <w:highlight w:val="white"/>
        </w:rPr>
        <w:t>INEGI), de 2015 a 2018 fueron asesinadas en México un total de 12,378 mujeres</w:t>
      </w:r>
      <w:r w:rsidR="003F38E6">
        <w:rPr>
          <w:rStyle w:val="Refdenotaalpie"/>
          <w:highlight w:val="white"/>
        </w:rPr>
        <w:footnoteReference w:id="16"/>
      </w:r>
      <w:r w:rsidR="00B262DD" w:rsidRPr="00207E9F">
        <w:rPr>
          <w:highlight w:val="white"/>
        </w:rPr>
        <w:t xml:space="preserve"> y únicamente se dictaron 407 sentencias condenatorias por delitos de feminicidios</w:t>
      </w:r>
      <w:r w:rsidR="003F38E6">
        <w:rPr>
          <w:rStyle w:val="Refdenotaalpie"/>
          <w:highlight w:val="white"/>
        </w:rPr>
        <w:footnoteReference w:id="17"/>
      </w:r>
      <w:r w:rsidR="00B262DD" w:rsidRPr="00207E9F">
        <w:rPr>
          <w:highlight w:val="white"/>
        </w:rPr>
        <w:t>.</w:t>
      </w:r>
      <w:r w:rsidR="00B262DD" w:rsidRPr="00207E9F" w:rsidDel="00041C45">
        <w:rPr>
          <w:highlight w:val="white"/>
        </w:rPr>
        <w:t xml:space="preserve"> </w:t>
      </w:r>
      <w:r w:rsidR="00B262DD" w:rsidRPr="00207E9F">
        <w:rPr>
          <w:highlight w:val="white"/>
        </w:rPr>
        <w:t>Entre 2015 y 2018, en ocho entidades no se dictaron sentencias por este delito</w:t>
      </w:r>
      <w:r w:rsidR="003F38E6">
        <w:rPr>
          <w:rStyle w:val="Refdenotaalpie"/>
          <w:highlight w:val="white"/>
        </w:rPr>
        <w:footnoteReference w:id="18"/>
      </w:r>
      <w:r w:rsidR="00B262DD" w:rsidRPr="00207E9F">
        <w:rPr>
          <w:highlight w:val="white"/>
        </w:rPr>
        <w:t>.</w:t>
      </w:r>
      <w:r w:rsidR="00457917" w:rsidRPr="00207E9F">
        <w:rPr>
          <w:highlight w:val="white"/>
        </w:rPr>
        <w:t xml:space="preserve"> </w:t>
      </w:r>
    </w:p>
    <w:p w14:paraId="5345D58A" w14:textId="77777777" w:rsidR="00B262DD" w:rsidRPr="00207E9F" w:rsidRDefault="00B262DD" w:rsidP="00207E9F">
      <w:pPr>
        <w:pStyle w:val="RTBodyText"/>
        <w:rPr>
          <w:highlight w:val="white"/>
        </w:rPr>
      </w:pPr>
    </w:p>
    <w:p w14:paraId="391DF33D" w14:textId="5628AF62" w:rsidR="00B262DD" w:rsidRPr="00207E9F" w:rsidRDefault="00B262DD" w:rsidP="00207E9F">
      <w:pPr>
        <w:pStyle w:val="RTBodyText"/>
        <w:rPr>
          <w:highlight w:val="white"/>
        </w:rPr>
      </w:pPr>
      <w:r w:rsidRPr="00207E9F">
        <w:t xml:space="preserve">Ante el incremento de casos de feminicidio, las autoridades han usado al derecho penal como </w:t>
      </w:r>
      <w:r w:rsidR="00EC7B4E" w:rsidRPr="00207E9F">
        <w:t>medida más apropiada</w:t>
      </w:r>
      <w:r w:rsidRPr="00207E9F">
        <w:t xml:space="preserve"> para resolver el problema de los feminicidios</w:t>
      </w:r>
      <w:r w:rsidR="003F38E6">
        <w:rPr>
          <w:rStyle w:val="Refdenotaalpie"/>
        </w:rPr>
        <w:footnoteReference w:id="19"/>
      </w:r>
      <w:r w:rsidRPr="00207E9F">
        <w:t xml:space="preserve">. En 2019, el Congreso de la Unión aprobó la ampliación del catálogo de delitos a los que la FGR puede solicitar la prisión preventiva oficiosa, siendo uno de ellos la comisión del feminicidio. </w:t>
      </w:r>
    </w:p>
    <w:p w14:paraId="4D093869" w14:textId="77777777" w:rsidR="00B262DD" w:rsidRPr="002D11F3" w:rsidRDefault="00B262DD" w:rsidP="009A1F7E">
      <w:pPr>
        <w:pBdr>
          <w:top w:val="nil"/>
          <w:left w:val="nil"/>
          <w:bottom w:val="nil"/>
          <w:right w:val="nil"/>
          <w:between w:val="nil"/>
        </w:pBdr>
        <w:spacing w:beforeLines="20" w:before="48" w:afterLines="20" w:after="48"/>
        <w:jc w:val="both"/>
        <w:rPr>
          <w:rFonts w:ascii="Amnesty Trade Gothic Cn" w:eastAsia="Oswald" w:hAnsi="Amnesty Trade Gothic Cn"/>
          <w:i/>
          <w:color w:val="auto"/>
          <w:sz w:val="24"/>
          <w:szCs w:val="24"/>
          <w:highlight w:val="white"/>
        </w:rPr>
      </w:pPr>
    </w:p>
    <w:p w14:paraId="75C5F865" w14:textId="77777777" w:rsidR="00B262DD" w:rsidRPr="00207E9F" w:rsidRDefault="00B262DD" w:rsidP="00207E9F">
      <w:pPr>
        <w:pStyle w:val="RTNumberedSubheading"/>
        <w:spacing w:before="48" w:after="48"/>
        <w:rPr>
          <w:highlight w:val="white"/>
        </w:rPr>
      </w:pPr>
      <w:bookmarkStart w:id="8" w:name="_Toc51234956"/>
      <w:r w:rsidRPr="00207E9F">
        <w:rPr>
          <w:highlight w:val="white"/>
        </w:rPr>
        <w:t>Caso de Karla Pontigo</w:t>
      </w:r>
      <w:bookmarkEnd w:id="8"/>
    </w:p>
    <w:p w14:paraId="46D73C3E" w14:textId="77777777" w:rsidR="00B262DD" w:rsidRPr="002D11F3" w:rsidRDefault="00B262DD" w:rsidP="009A1F7E">
      <w:pPr>
        <w:pBdr>
          <w:top w:val="nil"/>
          <w:left w:val="nil"/>
          <w:bottom w:val="nil"/>
          <w:right w:val="nil"/>
          <w:between w:val="nil"/>
        </w:pBdr>
        <w:spacing w:beforeLines="20" w:before="48" w:afterLines="20" w:after="48"/>
        <w:jc w:val="both"/>
        <w:rPr>
          <w:rFonts w:ascii="Amnesty Trade Gothic Cn" w:eastAsia="Oswald" w:hAnsi="Amnesty Trade Gothic Cn"/>
          <w:i/>
          <w:color w:val="auto"/>
          <w:sz w:val="24"/>
          <w:szCs w:val="24"/>
          <w:highlight w:val="white"/>
        </w:rPr>
      </w:pPr>
    </w:p>
    <w:p w14:paraId="4A2EF29C" w14:textId="28B6C88A" w:rsidR="00B262DD" w:rsidRPr="00207E9F" w:rsidRDefault="00B262DD" w:rsidP="00207E9F">
      <w:pPr>
        <w:pStyle w:val="RTBodyText"/>
      </w:pPr>
      <w:r w:rsidRPr="00207E9F">
        <w:t xml:space="preserve">El caso de Karla Pontigo, </w:t>
      </w:r>
      <w:r w:rsidR="002D11F3" w:rsidRPr="00207E9F">
        <w:t xml:space="preserve">en San Luis Potosí en 2012, </w:t>
      </w:r>
      <w:r w:rsidRPr="00207E9F">
        <w:t xml:space="preserve">respecto del cual la SCJN dictó sentencia, </w:t>
      </w:r>
      <w:r w:rsidR="001C5983" w:rsidRPr="00207E9F">
        <w:t xml:space="preserve">muestra </w:t>
      </w:r>
      <w:r w:rsidRPr="00207E9F">
        <w:rPr>
          <w:highlight w:val="white"/>
        </w:rPr>
        <w:t>la inefectiva a</w:t>
      </w:r>
      <w:r w:rsidRPr="00207E9F">
        <w:t>plicación de las disposiciones del derecho penal por parte de las autoridades</w:t>
      </w:r>
      <w:r w:rsidR="003F38E6">
        <w:rPr>
          <w:rStyle w:val="Refdenotaalpie"/>
        </w:rPr>
        <w:footnoteReference w:id="20"/>
      </w:r>
      <w:r w:rsidRPr="00207E9F">
        <w:t>.</w:t>
      </w:r>
      <w:r w:rsidR="00457917" w:rsidRPr="00207E9F">
        <w:t xml:space="preserve"> </w:t>
      </w:r>
      <w:r w:rsidRPr="00207E9F">
        <w:t xml:space="preserve">A pesar de la presencia de indicios de </w:t>
      </w:r>
      <w:r w:rsidRPr="00207E9F">
        <w:lastRenderedPageBreak/>
        <w:t>feminicidio, como violencia sexual y antecedentes de acoso sexual las autoridades investigaron el caso como un homicidio culposo</w:t>
      </w:r>
      <w:r w:rsidR="003F38E6">
        <w:rPr>
          <w:rStyle w:val="Refdenotaalpie"/>
        </w:rPr>
        <w:footnoteReference w:id="21"/>
      </w:r>
      <w:r w:rsidRPr="00207E9F">
        <w:t>.</w:t>
      </w:r>
    </w:p>
    <w:p w14:paraId="061E2D95" w14:textId="77777777" w:rsidR="00B262DD" w:rsidRPr="00207E9F" w:rsidRDefault="00B262DD" w:rsidP="00207E9F">
      <w:pPr>
        <w:pStyle w:val="RTBodyText"/>
      </w:pPr>
    </w:p>
    <w:p w14:paraId="4EC7579D" w14:textId="77777777" w:rsidR="00B262DD" w:rsidRPr="00207E9F" w:rsidRDefault="00B262DD" w:rsidP="00207E9F">
      <w:pPr>
        <w:pStyle w:val="RTBodyText"/>
      </w:pPr>
      <w:r w:rsidRPr="00207E9F">
        <w:t xml:space="preserve">La sentencia de Karla Pontigo, es la segunda que destaca la necesidad de investigar la muerte violenta de las mujeres con perspectiva de género y emplear métodos para verificar una situación de vulnerabilidad. </w:t>
      </w:r>
      <w:r w:rsidR="00F80A66" w:rsidRPr="00207E9F">
        <w:t>L</w:t>
      </w:r>
      <w:r w:rsidRPr="00207E9F">
        <w:t xml:space="preserve">a SCJN </w:t>
      </w:r>
      <w:r w:rsidR="001C5983" w:rsidRPr="00207E9F">
        <w:t>consideró</w:t>
      </w:r>
      <w:r w:rsidRPr="00207E9F">
        <w:t xml:space="preserve"> que las autoridades no investigaron </w:t>
      </w:r>
      <w:r w:rsidR="001C5983" w:rsidRPr="00207E9F">
        <w:t xml:space="preserve">la </w:t>
      </w:r>
      <w:r w:rsidRPr="00207E9F">
        <w:t xml:space="preserve">muerte </w:t>
      </w:r>
      <w:r w:rsidR="001C5983" w:rsidRPr="00207E9F">
        <w:t xml:space="preserve">de Karla </w:t>
      </w:r>
      <w:r w:rsidRPr="00207E9F">
        <w:t xml:space="preserve">con enfoque de género, y no tuvieron en cuenta el entorno geográfico y social de los hechos. </w:t>
      </w:r>
    </w:p>
    <w:p w14:paraId="5078FB80" w14:textId="77777777" w:rsidR="00B262DD" w:rsidRPr="00207E9F" w:rsidRDefault="00B262DD" w:rsidP="00207E9F">
      <w:pPr>
        <w:pStyle w:val="RTBodyText"/>
      </w:pPr>
    </w:p>
    <w:p w14:paraId="4C5532B1" w14:textId="2F3C8503" w:rsidR="00B262DD" w:rsidRPr="00207E9F" w:rsidRDefault="00B262DD" w:rsidP="00207E9F">
      <w:pPr>
        <w:pStyle w:val="RTBodyText"/>
        <w:rPr>
          <w:highlight w:val="white"/>
        </w:rPr>
      </w:pPr>
      <w:r w:rsidRPr="00207E9F">
        <w:t>De igual forma, la SCJN determinó que el derecho a la verdad constituye una garantía para acabar con la impunidad, y promover y proteger los derechos humanos</w:t>
      </w:r>
      <w:r w:rsidR="003F38E6">
        <w:rPr>
          <w:rStyle w:val="Refdenotaalpie"/>
        </w:rPr>
        <w:footnoteReference w:id="22"/>
      </w:r>
      <w:r w:rsidRPr="00207E9F">
        <w:t>.</w:t>
      </w:r>
    </w:p>
    <w:p w14:paraId="7B869E4B" w14:textId="77777777" w:rsidR="00B262DD" w:rsidRPr="00207E9F" w:rsidRDefault="00B262DD" w:rsidP="00207E9F">
      <w:pPr>
        <w:pStyle w:val="RTBodyText"/>
        <w:rPr>
          <w:highlight w:val="white"/>
        </w:rPr>
      </w:pPr>
    </w:p>
    <w:p w14:paraId="767395F5" w14:textId="77777777" w:rsidR="00B262DD" w:rsidRPr="00207E9F" w:rsidRDefault="00B262DD" w:rsidP="00207E9F">
      <w:pPr>
        <w:pStyle w:val="RTBodyText"/>
      </w:pPr>
      <w:r w:rsidRPr="00207E9F">
        <w:t xml:space="preserve">Como resultado, la SCJN invalidó la consignación por homicidio culposo y ordenó al ministerio público realizar todas las diligencias necesarias para investigar, con perspectiva de género, la muerte de Karla Pontigo. </w:t>
      </w:r>
      <w:r w:rsidR="001C5983" w:rsidRPr="00207E9F">
        <w:t xml:space="preserve">A </w:t>
      </w:r>
      <w:r w:rsidRPr="00207E9F">
        <w:t xml:space="preserve">ocho años después de la muerte de Karla y diez meses después de la emisión de la sentencia de la SCJN, la familia todavía no </w:t>
      </w:r>
      <w:r w:rsidR="001C5983" w:rsidRPr="00207E9F">
        <w:t xml:space="preserve">accede a la justicia. </w:t>
      </w:r>
    </w:p>
    <w:p w14:paraId="4B4CDBCD" w14:textId="77777777" w:rsidR="00B262DD" w:rsidRPr="002D11F3" w:rsidRDefault="00B262DD" w:rsidP="009A1F7E">
      <w:pPr>
        <w:pStyle w:val="RTBodyText"/>
        <w:spacing w:beforeLines="20" w:before="48" w:afterLines="20" w:after="48"/>
        <w:rPr>
          <w:rFonts w:ascii="Amnesty Trade Gothic Cn" w:hAnsi="Amnesty Trade Gothic Cn"/>
          <w:color w:val="auto"/>
          <w:highlight w:val="white"/>
        </w:rPr>
      </w:pPr>
      <w:bookmarkStart w:id="9" w:name="_Toc461805281"/>
    </w:p>
    <w:p w14:paraId="5E9934CB" w14:textId="77777777" w:rsidR="00B262DD" w:rsidRPr="00207E9F" w:rsidRDefault="00B262DD" w:rsidP="00207E9F">
      <w:pPr>
        <w:pStyle w:val="RTNumberedSubheading"/>
        <w:spacing w:before="48" w:after="48"/>
      </w:pPr>
      <w:bookmarkStart w:id="10" w:name="_Toc51234957"/>
      <w:r w:rsidRPr="00207E9F">
        <w:rPr>
          <w:highlight w:val="white"/>
        </w:rPr>
        <w:t>Recomendaciones</w:t>
      </w:r>
      <w:bookmarkEnd w:id="9"/>
      <w:bookmarkEnd w:id="10"/>
    </w:p>
    <w:p w14:paraId="368B2A1C" w14:textId="77777777" w:rsidR="00B262DD" w:rsidRPr="002D11F3" w:rsidRDefault="00B262DD" w:rsidP="009A1F7E">
      <w:pPr>
        <w:pStyle w:val="RTBodyText"/>
        <w:spacing w:beforeLines="20" w:before="48" w:afterLines="20" w:after="48"/>
        <w:rPr>
          <w:rFonts w:ascii="Amnesty Trade Gothic Cn" w:hAnsi="Amnesty Trade Gothic Cn"/>
        </w:rPr>
      </w:pPr>
    </w:p>
    <w:p w14:paraId="13DB5043" w14:textId="77777777" w:rsidR="00B262DD" w:rsidRPr="00207E9F" w:rsidRDefault="00B262DD" w:rsidP="00207E9F">
      <w:pPr>
        <w:pStyle w:val="RTBulletText"/>
        <w:rPr>
          <w:highlight w:val="white"/>
        </w:rPr>
      </w:pPr>
      <w:r w:rsidRPr="00207E9F">
        <w:rPr>
          <w:highlight w:val="white"/>
        </w:rPr>
        <w:t>Impulsar la aplicación efectiva de los protocolos para la investigación criminal de los feminicidios, de tal forma que se encuentren adecuados al tipo penal y permitan establecer una guía clara y uniforme de diligencias y actos de investigación idóneos para la acreditación de las circunstancias que constituyen razones de género.</w:t>
      </w:r>
    </w:p>
    <w:p w14:paraId="5FA2D6E1" w14:textId="77777777" w:rsidR="00B262DD" w:rsidRPr="00207E9F" w:rsidRDefault="00B262DD" w:rsidP="00207E9F">
      <w:pPr>
        <w:pStyle w:val="RTBulletText"/>
        <w:rPr>
          <w:highlight w:val="white"/>
        </w:rPr>
      </w:pPr>
      <w:r w:rsidRPr="00207E9F">
        <w:rPr>
          <w:highlight w:val="white"/>
        </w:rPr>
        <w:t xml:space="preserve">Asegurar que todas las muertes violentas contra mujeres sean investigadas con perspectiva de género. </w:t>
      </w:r>
    </w:p>
    <w:p w14:paraId="051A6CF4" w14:textId="77777777" w:rsidR="0086026D" w:rsidRPr="00207E9F" w:rsidRDefault="00B262DD" w:rsidP="00207E9F">
      <w:pPr>
        <w:pStyle w:val="RTBulletText"/>
        <w:rPr>
          <w:highlight w:val="white"/>
        </w:rPr>
      </w:pPr>
      <w:r w:rsidRPr="00207E9F">
        <w:rPr>
          <w:highlight w:val="white"/>
        </w:rPr>
        <w:t>Asegurar recursos financieros, materiales, técnicos y humanos para que las instancias encargadas de la investigación del delito de feminicidio a nivel nacional y local puedan llevar a cabo sus actividades.</w:t>
      </w:r>
    </w:p>
    <w:p w14:paraId="61D27FBD" w14:textId="77777777" w:rsidR="00B262DD" w:rsidRPr="002D11F3" w:rsidRDefault="00B262DD" w:rsidP="00207E9F">
      <w:pPr>
        <w:pStyle w:val="RTNumberedHeading"/>
      </w:pPr>
      <w:r w:rsidRPr="002D11F3">
        <w:t xml:space="preserve"> </w:t>
      </w:r>
      <w:bookmarkStart w:id="11" w:name="_Toc51234958"/>
      <w:r w:rsidRPr="002D11F3">
        <w:t>Desaparición de mujeres y niñas</w:t>
      </w:r>
      <w:bookmarkEnd w:id="11"/>
    </w:p>
    <w:p w14:paraId="637B7137" w14:textId="77777777" w:rsidR="00B262DD" w:rsidRPr="002D11F3" w:rsidRDefault="00B262DD" w:rsidP="009A1F7E">
      <w:pPr>
        <w:pStyle w:val="RTBodyText"/>
        <w:spacing w:beforeLines="20" w:before="48" w:afterLines="20" w:after="48"/>
        <w:rPr>
          <w:rFonts w:ascii="Amnesty Trade Gothic Cn" w:hAnsi="Amnesty Trade Gothic Cn"/>
        </w:rPr>
      </w:pPr>
    </w:p>
    <w:p w14:paraId="11B338FA" w14:textId="77777777" w:rsidR="00B262DD" w:rsidRPr="00207E9F" w:rsidRDefault="00B262DD" w:rsidP="00207E9F">
      <w:pPr>
        <w:pStyle w:val="RTSmallQuoteText"/>
      </w:pPr>
      <w:proofErr w:type="gramStart"/>
      <w:r w:rsidRPr="00207E9F">
        <w:t>“..</w:t>
      </w:r>
      <w:proofErr w:type="gramEnd"/>
      <w:r w:rsidRPr="00207E9F">
        <w:t>Agilice la búsqueda de las mujeres y niñas desaparecidas, adopte políticas y protocolos específicamente orientados a mitigar los riesgos asociados con la desaparición de mujeres y niñas…”</w:t>
      </w:r>
    </w:p>
    <w:p w14:paraId="239D9B2D" w14:textId="77777777" w:rsidR="00B262DD" w:rsidRPr="002D11F3" w:rsidRDefault="00B262DD" w:rsidP="009A1F7E">
      <w:pPr>
        <w:pStyle w:val="RTBodyText"/>
        <w:spacing w:beforeLines="20" w:before="48" w:afterLines="20" w:after="48"/>
        <w:rPr>
          <w:rFonts w:ascii="Amnesty Trade Gothic Cn" w:hAnsi="Amnesty Trade Gothic Cn"/>
          <w:b/>
        </w:rPr>
      </w:pPr>
    </w:p>
    <w:p w14:paraId="7056C458" w14:textId="77777777" w:rsidR="00B262DD" w:rsidRPr="002D11F3" w:rsidRDefault="00EC7B4E" w:rsidP="00207E9F">
      <w:pPr>
        <w:pStyle w:val="RTBodyText"/>
      </w:pPr>
      <w:r w:rsidRPr="002D11F3">
        <w:t>E</w:t>
      </w:r>
      <w:r w:rsidR="00B262DD" w:rsidRPr="002D11F3">
        <w:t xml:space="preserve">n México el fenómeno de la desaparición de personas es de una magnitud alarmante. Entre el 15 de marzo de 1964 y el 4 de septiembre de 2020, 75.060 </w:t>
      </w:r>
      <w:r w:rsidR="00B262DD" w:rsidRPr="003F38E6">
        <w:lastRenderedPageBreak/>
        <w:t>personas se encuentran desaparecidas y no localizadas, de acuerdo con información del Registro Nacional de Personas Desaparecidas y No Localizadas (RNPDNO).  De ellas, 18.772 son mujeres (25.01%)</w:t>
      </w:r>
      <w:r w:rsidR="00457917" w:rsidRPr="003F38E6">
        <w:footnoteReference w:id="23"/>
      </w:r>
      <w:r w:rsidR="00B262DD" w:rsidRPr="003F38E6">
        <w:t>. El 97.25% (73.519) del total de las desapariciones ocurrieron entre 2006 y 2020, es decir, en el contexto de uso de una estrategia de seguridad militarizada</w:t>
      </w:r>
      <w:r w:rsidR="00B262DD" w:rsidRPr="002D11F3">
        <w:t>”</w:t>
      </w:r>
      <w:r w:rsidR="00457917" w:rsidRPr="002D11F3">
        <w:rPr>
          <w:rStyle w:val="Refdenotaalpie"/>
          <w:rFonts w:ascii="Amnesty Trade Gothic Cn" w:hAnsi="Amnesty Trade Gothic Cn"/>
        </w:rPr>
        <w:footnoteReference w:id="24"/>
      </w:r>
      <w:r w:rsidR="00457917" w:rsidRPr="002D11F3">
        <w:t>.</w:t>
      </w:r>
      <w:r w:rsidR="00B262DD" w:rsidRPr="002D11F3">
        <w:t xml:space="preserve"> </w:t>
      </w:r>
      <w:r w:rsidR="00B262DD" w:rsidRPr="003F38E6">
        <w:t xml:space="preserve">En los primeros 22 meses de la administración del </w:t>
      </w:r>
      <w:proofErr w:type="gramStart"/>
      <w:r w:rsidR="00B262DD" w:rsidRPr="003F38E6">
        <w:t>Presidente</w:t>
      </w:r>
      <w:proofErr w:type="gramEnd"/>
      <w:r w:rsidR="00B262DD" w:rsidRPr="003F38E6">
        <w:t xml:space="preserve"> López Obrador, se han registrado 11.662 personas desaparecidas no localizadas, de las cuales 2.895 son mujeres (24.82%), lo que da cuenta de la continuidad de la problemática</w:t>
      </w:r>
      <w:r w:rsidR="00457917" w:rsidRPr="002D11F3">
        <w:rPr>
          <w:rStyle w:val="Refdenotaalpie"/>
          <w:rFonts w:ascii="Amnesty Trade Gothic Cn" w:hAnsi="Amnesty Trade Gothic Cn"/>
        </w:rPr>
        <w:footnoteReference w:id="25"/>
      </w:r>
      <w:r w:rsidR="00B262DD" w:rsidRPr="002D11F3">
        <w:t>.</w:t>
      </w:r>
    </w:p>
    <w:p w14:paraId="4BB74A3F" w14:textId="77777777" w:rsidR="00B262DD" w:rsidRPr="002D11F3" w:rsidRDefault="00B262DD" w:rsidP="00207E9F">
      <w:pPr>
        <w:pStyle w:val="RTBodyText"/>
      </w:pPr>
    </w:p>
    <w:p w14:paraId="51A82A7A" w14:textId="77777777" w:rsidR="00B262DD" w:rsidRPr="002D11F3" w:rsidRDefault="00B262DD" w:rsidP="00207E9F">
      <w:pPr>
        <w:pStyle w:val="RTBodyText"/>
      </w:pPr>
      <w:r w:rsidRPr="003F38E6">
        <w:t xml:space="preserve">Resulta preocupante que </w:t>
      </w:r>
      <w:r w:rsidR="00EC7B4E" w:rsidRPr="003F38E6">
        <w:t xml:space="preserve">del </w:t>
      </w:r>
      <w:r w:rsidRPr="003F38E6">
        <w:t>50.18% (9,419) del total de las mujeres desaparecidas y no localizadas, son jóvenes de 15 a 29 años; 2,131 de ellas se encuentran en el rango de edad 10 a 14 años (11.35%), 550 de 5 a 9 años (2.93%), y 707 de 0 a 4 años (3.77%</w:t>
      </w:r>
      <w:r w:rsidRPr="002D11F3">
        <w:t>)</w:t>
      </w:r>
      <w:r w:rsidR="00457917" w:rsidRPr="002D11F3">
        <w:rPr>
          <w:rStyle w:val="Refdenotaalpie"/>
          <w:rFonts w:ascii="Amnesty Trade Gothic Cn" w:hAnsi="Amnesty Trade Gothic Cn"/>
        </w:rPr>
        <w:footnoteReference w:id="26"/>
      </w:r>
      <w:r w:rsidRPr="002D11F3">
        <w:t xml:space="preserve">. </w:t>
      </w:r>
      <w:r w:rsidRPr="003F38E6">
        <w:t>Sobre estas últimas cifras, el Fondo de las Naciones Unidas para la Infancia (UNICEF) reconoce que existe una “feminización del registro a edades temprana</w:t>
      </w:r>
      <w:r w:rsidRPr="002D11F3">
        <w:t>”</w:t>
      </w:r>
      <w:r w:rsidR="00457917" w:rsidRPr="002D11F3">
        <w:rPr>
          <w:rStyle w:val="Refdenotaalpie"/>
          <w:rFonts w:ascii="Amnesty Trade Gothic Cn" w:hAnsi="Amnesty Trade Gothic Cn"/>
        </w:rPr>
        <w:footnoteReference w:id="27"/>
      </w:r>
      <w:r w:rsidRPr="002D11F3">
        <w:t>.</w:t>
      </w:r>
    </w:p>
    <w:p w14:paraId="3B72711F" w14:textId="77777777" w:rsidR="00B262DD" w:rsidRPr="002D11F3" w:rsidRDefault="00B262DD" w:rsidP="00207E9F">
      <w:pPr>
        <w:pStyle w:val="RTBodyText"/>
      </w:pPr>
    </w:p>
    <w:p w14:paraId="306A9432" w14:textId="77777777" w:rsidR="00B262DD" w:rsidRPr="002D11F3" w:rsidRDefault="00B262DD" w:rsidP="00207E9F">
      <w:pPr>
        <w:pStyle w:val="RTBodyText"/>
      </w:pPr>
      <w:r w:rsidRPr="003F38E6">
        <w:t xml:space="preserve">A pesar de la entrada en vigor de la Ley General en Materia de Desaparición Forzada de Personas, Desaparición Cometida por Particulares y del Sistema Nacional de Búsqueda de Personas en 2017, </w:t>
      </w:r>
      <w:r w:rsidR="001C5983" w:rsidRPr="003F38E6">
        <w:t>a</w:t>
      </w:r>
      <w:r w:rsidRPr="003F38E6">
        <w:rPr>
          <w:highlight w:val="white"/>
        </w:rPr>
        <w:t xml:space="preserve"> la fecha, faltan 17 entidades federativas por aprobar legislación local armonizada con la Ley General; seis aún deben conformar su fiscalía especializada en delitos de desaparición y siete tienen pendiente designar titular de la comisión local de búsqueda</w:t>
      </w:r>
      <w:r w:rsidR="00457917" w:rsidRPr="002D11F3">
        <w:rPr>
          <w:rStyle w:val="Refdenotaalpie"/>
          <w:rFonts w:ascii="Amnesty Trade Gothic Cn" w:hAnsi="Amnesty Trade Gothic Cn"/>
          <w:highlight w:val="white"/>
        </w:rPr>
        <w:footnoteReference w:id="28"/>
      </w:r>
      <w:r w:rsidRPr="002D11F3">
        <w:rPr>
          <w:highlight w:val="white"/>
        </w:rPr>
        <w:t>.</w:t>
      </w:r>
    </w:p>
    <w:p w14:paraId="03C40527" w14:textId="77777777" w:rsidR="00B262DD" w:rsidRPr="002D11F3" w:rsidRDefault="00B262DD" w:rsidP="00207E9F">
      <w:pPr>
        <w:pStyle w:val="RTBodyText"/>
      </w:pPr>
    </w:p>
    <w:p w14:paraId="12066B7C" w14:textId="77777777" w:rsidR="00B262DD" w:rsidRPr="002D11F3" w:rsidRDefault="00B262DD" w:rsidP="00207E9F">
      <w:pPr>
        <w:pStyle w:val="RTBodyText"/>
      </w:pPr>
      <w:r w:rsidRPr="003F38E6">
        <w:t>Respecto a las estadísticas de personas desaparecidas, en julio de 2020 se publicó la versión pública del RNPDNO, lo cual resulta un gran avance. Sin embargo, la nueva herramienta no hace pública la base de datos en formato de datos abiertos ni metodología para la obtención, validación y publicación de los mismos</w:t>
      </w:r>
      <w:r w:rsidR="00457917" w:rsidRPr="002D11F3">
        <w:rPr>
          <w:rStyle w:val="Refdenotaalpie"/>
          <w:rFonts w:ascii="Amnesty Trade Gothic Cn" w:hAnsi="Amnesty Trade Gothic Cn"/>
        </w:rPr>
        <w:footnoteReference w:id="29"/>
      </w:r>
      <w:r w:rsidRPr="002D11F3">
        <w:t>.</w:t>
      </w:r>
    </w:p>
    <w:p w14:paraId="1B561E02" w14:textId="77777777" w:rsidR="00B262DD" w:rsidRPr="002D11F3" w:rsidRDefault="00B262DD" w:rsidP="00207E9F">
      <w:pPr>
        <w:pStyle w:val="RTBodyText"/>
      </w:pPr>
    </w:p>
    <w:p w14:paraId="51CA01C6" w14:textId="21CB642D" w:rsidR="00B262DD" w:rsidRPr="007355E0" w:rsidRDefault="00B262DD" w:rsidP="00207E9F">
      <w:pPr>
        <w:pStyle w:val="RTBodyText"/>
      </w:pPr>
      <w:r w:rsidRPr="002D11F3">
        <w:t>Durante los últimos dos años, el gobierno ha centrado su estrategia en hacer frente a las carencias institucionales para gestionar e identificar miles de restos humanos</w:t>
      </w:r>
      <w:r w:rsidR="00457917" w:rsidRPr="002D11F3">
        <w:rPr>
          <w:rStyle w:val="Refdenotaalpie"/>
          <w:rFonts w:ascii="Amnesty Trade Gothic Cn" w:hAnsi="Amnesty Trade Gothic Cn"/>
        </w:rPr>
        <w:footnoteReference w:id="30"/>
      </w:r>
      <w:r w:rsidR="00457917" w:rsidRPr="002D11F3">
        <w:t xml:space="preserve">. </w:t>
      </w:r>
      <w:r w:rsidRPr="002D11F3">
        <w:t xml:space="preserve">No </w:t>
      </w:r>
      <w:r w:rsidR="00E40829" w:rsidRPr="002D11F3">
        <w:t>obstante, aún</w:t>
      </w:r>
      <w:r w:rsidRPr="002D11F3">
        <w:t xml:space="preserve"> no hay resultados plausibles de esta estrategia. El gobierno ha reconocido la acumulación de más de 37.000 cuerpos en los </w:t>
      </w:r>
      <w:r w:rsidRPr="007355E0">
        <w:lastRenderedPageBreak/>
        <w:t>servicios forenses a la espera de ser identificados</w:t>
      </w:r>
      <w:r w:rsidR="007355E0">
        <w:rPr>
          <w:rStyle w:val="Refdenotaalpie"/>
        </w:rPr>
        <w:footnoteReference w:id="31"/>
      </w:r>
      <w:r w:rsidRPr="007355E0">
        <w:t xml:space="preserve"> y la localización de 3.</w:t>
      </w:r>
      <w:r w:rsidRPr="007355E0">
        <w:rPr>
          <w:highlight w:val="white"/>
        </w:rPr>
        <w:t>978</w:t>
      </w:r>
      <w:r w:rsidRPr="007355E0">
        <w:t xml:space="preserve"> fosas clandestinas entre el 2006 y el 2020</w:t>
      </w:r>
      <w:r w:rsidR="007355E0">
        <w:rPr>
          <w:rStyle w:val="Refdenotaalpie"/>
        </w:rPr>
        <w:footnoteReference w:id="32"/>
      </w:r>
      <w:r w:rsidRPr="007355E0">
        <w:t>.</w:t>
      </w:r>
      <w:r w:rsidR="00457917" w:rsidRPr="007355E0">
        <w:t xml:space="preserve"> </w:t>
      </w:r>
      <w:r w:rsidRPr="007355E0">
        <w:t>El pasado 19 de marzo de 2020 se publicó en el DOF el Acuerdo por el que se crea el Mecanismo Extraordinario de Identificación Forense (MEIF)</w:t>
      </w:r>
      <w:r w:rsidR="007355E0">
        <w:rPr>
          <w:rStyle w:val="Refdenotaalpie"/>
        </w:rPr>
        <w:footnoteReference w:id="33"/>
      </w:r>
      <w:r w:rsidRPr="007355E0">
        <w:t>,</w:t>
      </w:r>
      <w:r w:rsidR="00457917" w:rsidRPr="007355E0">
        <w:t xml:space="preserve"> </w:t>
      </w:r>
      <w:r w:rsidRPr="007355E0">
        <w:t>que aún está en vías de implementación.</w:t>
      </w:r>
    </w:p>
    <w:p w14:paraId="4DB2FAF8" w14:textId="77777777" w:rsidR="00FA0C65" w:rsidRDefault="00FA0C65" w:rsidP="00207E9F">
      <w:pPr>
        <w:pStyle w:val="RTBodyText"/>
      </w:pPr>
      <w:r>
        <w:br w:type="page"/>
      </w:r>
    </w:p>
    <w:p w14:paraId="6652E777" w14:textId="77777777" w:rsidR="00B262DD" w:rsidRPr="00207E9F" w:rsidRDefault="00B262DD" w:rsidP="00207E9F">
      <w:pPr>
        <w:pStyle w:val="RTNumberedSubheading"/>
        <w:spacing w:before="48" w:after="48"/>
      </w:pPr>
      <w:bookmarkStart w:id="12" w:name="_Toc51234959"/>
      <w:r w:rsidRPr="00207E9F">
        <w:lastRenderedPageBreak/>
        <w:t>RECOMENDACIONES</w:t>
      </w:r>
      <w:bookmarkEnd w:id="12"/>
    </w:p>
    <w:p w14:paraId="1586A53D" w14:textId="77777777" w:rsidR="00B262DD" w:rsidRPr="002D11F3" w:rsidRDefault="00B262DD" w:rsidP="009A1F7E">
      <w:pPr>
        <w:pStyle w:val="RTBodyText"/>
        <w:spacing w:beforeLines="20" w:before="48" w:afterLines="20" w:after="48"/>
        <w:rPr>
          <w:rFonts w:ascii="Amnesty Trade Gothic Cn" w:hAnsi="Amnesty Trade Gothic Cn"/>
        </w:rPr>
      </w:pPr>
    </w:p>
    <w:p w14:paraId="697DC2F0" w14:textId="77777777" w:rsidR="00B262DD" w:rsidRPr="002D11F3" w:rsidRDefault="00B262DD" w:rsidP="00207E9F">
      <w:pPr>
        <w:pStyle w:val="RTBulletText"/>
      </w:pPr>
      <w:r w:rsidRPr="002D11F3">
        <w:t>Depositar a la brevedad ante Naciones Unidas la aprobación del Estado mexicano de la competencia del Comité contra las Desapariciones Forzadas de la ONU e invitarles a llevar a cabo una visita oficial.</w:t>
      </w:r>
    </w:p>
    <w:p w14:paraId="18AC70B8" w14:textId="77777777" w:rsidR="00B262DD" w:rsidRPr="002D11F3" w:rsidRDefault="00B262DD" w:rsidP="00207E9F">
      <w:pPr>
        <w:pStyle w:val="RTBulletText"/>
      </w:pPr>
      <w:r w:rsidRPr="002D11F3">
        <w:t>Retirar la reserva formulada al tiempo de convertirse en Estado parte en la Convención sobre la imprescriptibilidad de los crímenes de guerra y de los crímenes de lesa humanidad, relativa a considerar imprescriptibles tan solo los delitos cometidos con posterioridad a la entrada en vigor del tratado para México.</w:t>
      </w:r>
    </w:p>
    <w:p w14:paraId="2A6CFC2A" w14:textId="00BDCE03" w:rsidR="00B262DD" w:rsidRPr="002D11F3" w:rsidRDefault="00B262DD" w:rsidP="00207E9F">
      <w:pPr>
        <w:pStyle w:val="RTBulletText"/>
      </w:pPr>
      <w:r w:rsidRPr="002D11F3">
        <w:t xml:space="preserve">Asegurar que la FGR y las fiscalías estatales lleven a cabo una coordinación efectiva para la pronta implementación del recién aprobado Protocolo Homologado para la Búsqueda de las Personas Desaparecidas y No Localizadas. </w:t>
      </w:r>
    </w:p>
    <w:p w14:paraId="3212AF60" w14:textId="77777777" w:rsidR="00B262DD" w:rsidRPr="002D11F3" w:rsidRDefault="00B262DD" w:rsidP="00207E9F">
      <w:pPr>
        <w:pStyle w:val="RTBulletText"/>
      </w:pPr>
      <w:r w:rsidRPr="002D11F3">
        <w:t>Velar por que se concreten los acuerdos institucionales necesarios para que el MEIF cuente con los recursos, personal y competencias adecuados para atender las necesidades existentes, asegurando su independencia y autonomía.</w:t>
      </w:r>
    </w:p>
    <w:p w14:paraId="11DEC0BB" w14:textId="77777777" w:rsidR="00B262DD" w:rsidRDefault="00B262DD" w:rsidP="00207E9F">
      <w:pPr>
        <w:pStyle w:val="RTBulletText"/>
      </w:pPr>
      <w:r w:rsidRPr="002D11F3">
        <w:t xml:space="preserve">Hacer pública la metodología del Registro Nacional de Personas Desaparecidas y No Localizadas. </w:t>
      </w:r>
    </w:p>
    <w:p w14:paraId="29948B05" w14:textId="77777777" w:rsidR="00FA0C65" w:rsidRDefault="00FA0C65" w:rsidP="00207E9F">
      <w:pPr>
        <w:pStyle w:val="RTBulletText"/>
      </w:pPr>
      <w:r>
        <w:br w:type="page"/>
      </w:r>
    </w:p>
    <w:p w14:paraId="42A6046D" w14:textId="77777777" w:rsidR="00B262DD" w:rsidRPr="00207E9F" w:rsidRDefault="00B262DD" w:rsidP="00207E9F">
      <w:pPr>
        <w:pStyle w:val="RTTitlenumbered"/>
      </w:pPr>
      <w:bookmarkStart w:id="13" w:name="_Toc461805284"/>
      <w:bookmarkStart w:id="14" w:name="_Toc51234960"/>
      <w:r w:rsidRPr="00207E9F">
        <w:lastRenderedPageBreak/>
        <w:t>alerta de violencia de género contra las mujeres</w:t>
      </w:r>
      <w:bookmarkEnd w:id="13"/>
      <w:bookmarkEnd w:id="14"/>
    </w:p>
    <w:p w14:paraId="7604999E" w14:textId="77777777" w:rsidR="00B262DD" w:rsidRPr="002D11F3" w:rsidRDefault="00B262DD" w:rsidP="009A1F7E">
      <w:pPr>
        <w:pStyle w:val="RTBodyText"/>
        <w:spacing w:beforeLines="20" w:before="48" w:afterLines="20" w:after="48"/>
        <w:rPr>
          <w:rFonts w:ascii="Amnesty Trade Gothic Cn" w:hAnsi="Amnesty Trade Gothic Cn"/>
        </w:rPr>
      </w:pPr>
    </w:p>
    <w:p w14:paraId="2986424D" w14:textId="77777777" w:rsidR="00B262DD" w:rsidRPr="00207E9F" w:rsidRDefault="00B262DD" w:rsidP="00207E9F">
      <w:pPr>
        <w:pStyle w:val="RTSmallQuoteText"/>
        <w:rPr>
          <w:highlight w:val="white"/>
        </w:rPr>
      </w:pPr>
      <w:r w:rsidRPr="00207E9F">
        <w:rPr>
          <w:highlight w:val="white"/>
        </w:rPr>
        <w:t>“Evalúe la repercusión del mecanismo de alerta de violencia de género, a fin de garantizar una utilización amplia y armonizada y la coordinación en los planos federal, estatal y municipal, y vele por la participación de organizaciones no gubernamentales, expertos del mundo académico y defensores de la perspectiva de género y los derechos humanos, así como mujeres víctimas de la violencia”</w:t>
      </w:r>
    </w:p>
    <w:p w14:paraId="1EAA6036" w14:textId="77777777" w:rsidR="00B262DD" w:rsidRPr="002D11F3" w:rsidRDefault="00B262DD" w:rsidP="009A1F7E">
      <w:pPr>
        <w:pStyle w:val="RTBodyText"/>
        <w:spacing w:beforeLines="20" w:before="48" w:afterLines="20" w:after="48"/>
        <w:rPr>
          <w:rFonts w:ascii="Amnesty Trade Gothic Cn" w:hAnsi="Amnesty Trade Gothic Cn"/>
          <w:highlight w:val="white"/>
        </w:rPr>
      </w:pPr>
    </w:p>
    <w:p w14:paraId="0939C219" w14:textId="64906B61" w:rsidR="00B262DD" w:rsidRPr="00207E9F" w:rsidRDefault="00B262DD" w:rsidP="00207E9F">
      <w:pPr>
        <w:pStyle w:val="RTBodyText"/>
        <w:rPr>
          <w:highlight w:val="white"/>
        </w:rPr>
      </w:pPr>
      <w:r w:rsidRPr="00207E9F">
        <w:rPr>
          <w:highlight w:val="white"/>
        </w:rPr>
        <w:t>Actualmente las autoridades tienen activos 21 protocolos conocidos como Alertas de Violencia de Género contra las Mujeres (en adelante, AVGM)</w:t>
      </w:r>
      <w:r w:rsidR="007355E0">
        <w:rPr>
          <w:rStyle w:val="Refdenotaalpie"/>
          <w:highlight w:val="white"/>
        </w:rPr>
        <w:footnoteReference w:id="34"/>
      </w:r>
      <w:r w:rsidRPr="00207E9F">
        <w:rPr>
          <w:highlight w:val="white"/>
        </w:rPr>
        <w:t>. Si bien las AVGM han servido para visibilizar violencias sistemáticas contra las mujeres y vacíos</w:t>
      </w:r>
      <w:r w:rsidR="00C97072" w:rsidRPr="00207E9F">
        <w:rPr>
          <w:highlight w:val="white"/>
        </w:rPr>
        <w:t xml:space="preserve"> legales y en política pública,</w:t>
      </w:r>
      <w:r w:rsidRPr="00207E9F">
        <w:rPr>
          <w:highlight w:val="white"/>
        </w:rPr>
        <w:t xml:space="preserve"> </w:t>
      </w:r>
      <w:r w:rsidR="00E40829" w:rsidRPr="00207E9F">
        <w:rPr>
          <w:highlight w:val="white"/>
        </w:rPr>
        <w:t>no</w:t>
      </w:r>
      <w:r w:rsidRPr="00207E9F">
        <w:rPr>
          <w:highlight w:val="white"/>
        </w:rPr>
        <w:t xml:space="preserve"> se observan cambios sustanciales en la disminución de la violencia feminicida</w:t>
      </w:r>
      <w:r w:rsidR="007355E0">
        <w:rPr>
          <w:rStyle w:val="Refdenotaalpie"/>
          <w:highlight w:val="white"/>
        </w:rPr>
        <w:footnoteReference w:id="35"/>
      </w:r>
      <w:r w:rsidRPr="00207E9F">
        <w:rPr>
          <w:highlight w:val="white"/>
        </w:rPr>
        <w:t>.</w:t>
      </w:r>
    </w:p>
    <w:p w14:paraId="07D801B1" w14:textId="77777777" w:rsidR="00B262DD" w:rsidRPr="00207E9F" w:rsidRDefault="00B262DD" w:rsidP="00207E9F">
      <w:pPr>
        <w:pStyle w:val="RTBodyText"/>
        <w:rPr>
          <w:highlight w:val="white"/>
        </w:rPr>
      </w:pPr>
    </w:p>
    <w:p w14:paraId="04C59728" w14:textId="55761ADE" w:rsidR="00B262DD" w:rsidRPr="00207E9F" w:rsidRDefault="00C37DDC" w:rsidP="00207E9F">
      <w:pPr>
        <w:pStyle w:val="RTBodyText"/>
        <w:rPr>
          <w:highlight w:val="white"/>
        </w:rPr>
      </w:pPr>
      <w:r w:rsidRPr="00207E9F">
        <w:rPr>
          <w:highlight w:val="white"/>
        </w:rPr>
        <w:t xml:space="preserve">En 2018, el </w:t>
      </w:r>
      <w:r w:rsidR="00B262DD" w:rsidRPr="00207E9F">
        <w:rPr>
          <w:highlight w:val="white"/>
        </w:rPr>
        <w:t xml:space="preserve">INMUJERES </w:t>
      </w:r>
      <w:r w:rsidRPr="00207E9F">
        <w:rPr>
          <w:highlight w:val="white"/>
        </w:rPr>
        <w:t>evaluó el mecanismo de AVGM</w:t>
      </w:r>
      <w:r w:rsidR="007355E0">
        <w:rPr>
          <w:rStyle w:val="Refdenotaalpie"/>
          <w:highlight w:val="white"/>
        </w:rPr>
        <w:footnoteReference w:id="36"/>
      </w:r>
      <w:r w:rsidR="00B262DD" w:rsidRPr="00207E9F">
        <w:rPr>
          <w:highlight w:val="white"/>
        </w:rPr>
        <w:t xml:space="preserve">. Sin embargo, hasta la fecha, no se ha definido la ruta de trabajo para implementar las recomendaciones incluidas en la evaluación. </w:t>
      </w:r>
      <w:r w:rsidRPr="00207E9F">
        <w:rPr>
          <w:highlight w:val="white"/>
        </w:rPr>
        <w:t xml:space="preserve">Existen </w:t>
      </w:r>
      <w:r w:rsidR="00B262DD" w:rsidRPr="00207E9F">
        <w:rPr>
          <w:highlight w:val="white"/>
        </w:rPr>
        <w:t xml:space="preserve">ambigüedades en la reglamentación del funcionamiento de las </w:t>
      </w:r>
      <w:r w:rsidRPr="00207E9F">
        <w:rPr>
          <w:highlight w:val="white"/>
        </w:rPr>
        <w:t>AVGM</w:t>
      </w:r>
      <w:r w:rsidR="00B262DD" w:rsidRPr="00207E9F">
        <w:rPr>
          <w:highlight w:val="white"/>
        </w:rPr>
        <w:t xml:space="preserve">, ausencia de planificación estratégica </w:t>
      </w:r>
      <w:r w:rsidRPr="00207E9F">
        <w:rPr>
          <w:highlight w:val="white"/>
        </w:rPr>
        <w:t xml:space="preserve">e </w:t>
      </w:r>
      <w:r w:rsidR="00B262DD" w:rsidRPr="00207E9F">
        <w:rPr>
          <w:highlight w:val="white"/>
        </w:rPr>
        <w:t>insuficiencia de los recursos humanos, materiales y financieros asignados a las instituciones encargadas del seguimiento</w:t>
      </w:r>
      <w:r w:rsidR="007355E0">
        <w:rPr>
          <w:rStyle w:val="Refdenotaalpie"/>
          <w:highlight w:val="white"/>
        </w:rPr>
        <w:footnoteReference w:id="37"/>
      </w:r>
      <w:r w:rsidR="00B262DD" w:rsidRPr="00207E9F">
        <w:rPr>
          <w:highlight w:val="white"/>
        </w:rPr>
        <w:t>.</w:t>
      </w:r>
    </w:p>
    <w:p w14:paraId="2B448152" w14:textId="4EECB319" w:rsidR="00B262DD" w:rsidRPr="002D11F3" w:rsidRDefault="00B262DD" w:rsidP="00207E9F">
      <w:pPr>
        <w:pStyle w:val="RTBodyText"/>
      </w:pPr>
      <w:bookmarkStart w:id="15" w:name="_heading=h.30j0zll" w:colFirst="0" w:colLast="0"/>
      <w:bookmarkEnd w:id="15"/>
      <w:r w:rsidRPr="00207E9F">
        <w:rPr>
          <w:highlight w:val="white"/>
        </w:rPr>
        <w:t>El financiamiento de las medidas propuestas en el marco de la AVGM es ambiguo</w:t>
      </w:r>
      <w:r w:rsidR="002D11F3" w:rsidRPr="00207E9F">
        <w:t xml:space="preserve"> y </w:t>
      </w:r>
      <w:r w:rsidRPr="00207E9F">
        <w:rPr>
          <w:highlight w:val="white"/>
        </w:rPr>
        <w:t>se ha agravado en el contexto de pandemia por el COVID-19, ante la cual el gobierno federal ha implementado medidas de austeridad presupuestaria</w:t>
      </w:r>
      <w:r w:rsidR="007355E0">
        <w:rPr>
          <w:rStyle w:val="Refdenotaalpie"/>
          <w:highlight w:val="white"/>
        </w:rPr>
        <w:footnoteReference w:id="38"/>
      </w:r>
      <w:r w:rsidR="007355E0">
        <w:rPr>
          <w:highlight w:val="white"/>
        </w:rPr>
        <w:t xml:space="preserve">  </w:t>
      </w:r>
      <w:r w:rsidRPr="00207E9F">
        <w:rPr>
          <w:highlight w:val="white"/>
        </w:rPr>
        <w:t xml:space="preserve">que han provocado la reducción del presupuesto asignado a instituciones y programas que garantizan el ejercicio de los derechos humanos de todas las personas en México, incluyendo el derecho de las mujeres </w:t>
      </w:r>
      <w:r w:rsidR="00C37DDC" w:rsidRPr="00207E9F">
        <w:rPr>
          <w:highlight w:val="white"/>
        </w:rPr>
        <w:t xml:space="preserve">a una vida libre de violencia. </w:t>
      </w:r>
      <w:r w:rsidRPr="00207E9F">
        <w:rPr>
          <w:highlight w:val="white"/>
        </w:rPr>
        <w:t>Se pretendió recortar los recursos de las Casas de la Mujer Indígena y Afrodescendiente (</w:t>
      </w:r>
      <w:proofErr w:type="spellStart"/>
      <w:r w:rsidRPr="00207E9F">
        <w:rPr>
          <w:highlight w:val="white"/>
        </w:rPr>
        <w:t>CAMIs</w:t>
      </w:r>
      <w:proofErr w:type="spellEnd"/>
      <w:r w:rsidRPr="00207E9F">
        <w:rPr>
          <w:highlight w:val="white"/>
        </w:rPr>
        <w:t xml:space="preserve">) y el presupuesto que asigna la </w:t>
      </w:r>
      <w:r w:rsidRPr="00207E9F">
        <w:rPr>
          <w:highlight w:val="white"/>
        </w:rPr>
        <w:lastRenderedPageBreak/>
        <w:t>CONAVIM para implementar las recomendaciones de las AVGM.  Estos dos intentos de reducción presupuestaria lograron revertirse</w:t>
      </w:r>
      <w:r w:rsidR="007355E0">
        <w:rPr>
          <w:rStyle w:val="Refdenotaalpie"/>
          <w:highlight w:val="white"/>
        </w:rPr>
        <w:footnoteReference w:id="39"/>
      </w:r>
      <w:r w:rsidRPr="00207E9F">
        <w:rPr>
          <w:highlight w:val="white"/>
        </w:rPr>
        <w:t>.</w:t>
      </w:r>
      <w:r w:rsidR="005A5B49" w:rsidRPr="00207E9F">
        <w:rPr>
          <w:highlight w:val="white"/>
        </w:rPr>
        <w:t xml:space="preserve"> </w:t>
      </w:r>
      <w:r w:rsidRPr="00207E9F">
        <w:rPr>
          <w:highlight w:val="white"/>
        </w:rPr>
        <w:t>Sin embargo, el 15 de julio del 2020 se anunció el recorte de más de 7 millones de dólares en el presupuesto (75% del presupuesto total) para el INMUJERES, que es la entidad rectora de la política de igualdad entre mujeres y hombres.</w:t>
      </w:r>
    </w:p>
    <w:p w14:paraId="7E21EB92" w14:textId="77777777" w:rsidR="00B262DD" w:rsidRPr="002D11F3" w:rsidRDefault="00B262DD" w:rsidP="009A1F7E">
      <w:pPr>
        <w:pStyle w:val="RTBodyText"/>
        <w:spacing w:beforeLines="20" w:before="48" w:afterLines="20" w:after="48"/>
        <w:rPr>
          <w:rFonts w:ascii="Amnesty Trade Gothic Cn" w:eastAsia="Oswald" w:hAnsi="Amnesty Trade Gothic Cn"/>
          <w:color w:val="auto"/>
        </w:rPr>
      </w:pPr>
    </w:p>
    <w:p w14:paraId="7657367F" w14:textId="77777777" w:rsidR="00B262DD" w:rsidRPr="00207E9F" w:rsidRDefault="00B262DD" w:rsidP="00207E9F">
      <w:pPr>
        <w:pStyle w:val="RTNumberedSubheading"/>
        <w:spacing w:before="48" w:after="48"/>
      </w:pPr>
      <w:bookmarkStart w:id="16" w:name="_Toc51234961"/>
      <w:r w:rsidRPr="00207E9F">
        <w:t>Recomendaciones</w:t>
      </w:r>
      <w:bookmarkEnd w:id="16"/>
    </w:p>
    <w:p w14:paraId="0AD2AD16" w14:textId="77777777" w:rsidR="00B262DD" w:rsidRPr="002D11F3" w:rsidRDefault="00B262DD" w:rsidP="009A1F7E">
      <w:pPr>
        <w:pStyle w:val="RTBodyText"/>
        <w:spacing w:beforeLines="20" w:before="48" w:afterLines="20" w:after="48"/>
        <w:rPr>
          <w:rFonts w:ascii="Amnesty Trade Gothic Cn" w:hAnsi="Amnesty Trade Gothic Cn"/>
        </w:rPr>
      </w:pPr>
    </w:p>
    <w:p w14:paraId="4F46DDB6" w14:textId="77777777" w:rsidR="00B262DD" w:rsidRPr="00207E9F" w:rsidRDefault="00B262DD" w:rsidP="00207E9F">
      <w:pPr>
        <w:pStyle w:val="RTBulletText"/>
        <w:rPr>
          <w:highlight w:val="white"/>
        </w:rPr>
      </w:pPr>
      <w:r w:rsidRPr="00207E9F">
        <w:rPr>
          <w:highlight w:val="white"/>
        </w:rPr>
        <w:t>Asegurar recursos presupuestales para las instituciones, los programas y políticas públicas orientados a promover la igualdad y a garantizar el derecho de las mujeres a una vida libre de violencia.</w:t>
      </w:r>
    </w:p>
    <w:p w14:paraId="6CB47C36" w14:textId="77777777" w:rsidR="00B262DD" w:rsidRPr="00207E9F" w:rsidRDefault="00B262DD" w:rsidP="00207E9F">
      <w:pPr>
        <w:pStyle w:val="RTBulletText"/>
      </w:pPr>
      <w:r w:rsidRPr="00207E9F">
        <w:t xml:space="preserve">Respetar lo dispuesto en la </w:t>
      </w:r>
      <w:r w:rsidRPr="00207E9F">
        <w:rPr>
          <w:highlight w:val="white"/>
        </w:rPr>
        <w:t>Ley Federal de Presupuesto y Responsabilidad Hacendaria que señala que no se pueden disminuir los recursos de los programas presupuestarios incluidos en el Anexo 13. Erogaciones para la igualdad entre mujeres y hombres, de la Ley de Presupuesto de Egresos de la Federaci</w:t>
      </w:r>
      <w:r w:rsidRPr="00207E9F">
        <w:t>ón.</w:t>
      </w:r>
    </w:p>
    <w:p w14:paraId="630E0F70" w14:textId="77777777" w:rsidR="00B262DD" w:rsidRPr="00207E9F" w:rsidRDefault="00B262DD" w:rsidP="00207E9F">
      <w:pPr>
        <w:pStyle w:val="RTBulletText"/>
      </w:pPr>
      <w:r w:rsidRPr="00207E9F">
        <w:t xml:space="preserve">Garantizar que las medidas de austeridad que se tomen en el contexto de la atención a la pandemia por el COVID 19 no deriven en retrocesos en la tutela de los derechos de las mujeres. </w:t>
      </w:r>
    </w:p>
    <w:p w14:paraId="2D732437"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3541145E"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1CB73171"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3AF086FB"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3877173D"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4BC340A6"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1C93F0B5"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7285FF68"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19A426B4"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496D8CD9"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0AC14949"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342530F0" w14:textId="77777777" w:rsidR="00B262DD" w:rsidRPr="002D11F3" w:rsidRDefault="00B262DD" w:rsidP="009A1F7E">
      <w:pPr>
        <w:pBdr>
          <w:top w:val="nil"/>
          <w:left w:val="nil"/>
          <w:bottom w:val="nil"/>
          <w:right w:val="nil"/>
          <w:between w:val="nil"/>
        </w:pBdr>
        <w:spacing w:beforeLines="20" w:before="48" w:afterLines="20" w:after="48" w:line="276" w:lineRule="auto"/>
        <w:jc w:val="both"/>
        <w:rPr>
          <w:rFonts w:ascii="Amnesty Trade Gothic Cn" w:eastAsia="Oswald" w:hAnsi="Amnesty Trade Gothic Cn"/>
          <w:color w:val="auto"/>
          <w:sz w:val="24"/>
          <w:szCs w:val="24"/>
        </w:rPr>
      </w:pPr>
    </w:p>
    <w:p w14:paraId="11D3429A" w14:textId="77777777" w:rsidR="00FA0C65" w:rsidRDefault="00FA0C65" w:rsidP="009A1F7E">
      <w:pPr>
        <w:spacing w:beforeLines="20" w:before="48" w:afterLines="20" w:after="48"/>
        <w:rPr>
          <w:rFonts w:ascii="Amnesty Trade Gothic Cn" w:eastAsia="Oswald" w:hAnsi="Amnesty Trade Gothic Cn"/>
          <w:color w:val="auto"/>
          <w:sz w:val="24"/>
          <w:szCs w:val="24"/>
        </w:rPr>
      </w:pPr>
      <w:r>
        <w:rPr>
          <w:rFonts w:ascii="Amnesty Trade Gothic Cn" w:eastAsia="Oswald" w:hAnsi="Amnesty Trade Gothic Cn"/>
          <w:color w:val="auto"/>
          <w:sz w:val="24"/>
          <w:szCs w:val="24"/>
        </w:rPr>
        <w:br w:type="page"/>
      </w:r>
    </w:p>
    <w:p w14:paraId="70AED87F" w14:textId="77777777" w:rsidR="00B262DD" w:rsidRPr="00207E9F" w:rsidRDefault="00B262DD" w:rsidP="00207E9F">
      <w:pPr>
        <w:pStyle w:val="RTTitlenumbered"/>
      </w:pPr>
      <w:bookmarkStart w:id="17" w:name="_Toc51234962"/>
      <w:r w:rsidRPr="00207E9F">
        <w:lastRenderedPageBreak/>
        <w:t>Conclusiones</w:t>
      </w:r>
      <w:bookmarkEnd w:id="17"/>
    </w:p>
    <w:p w14:paraId="7EB47612" w14:textId="77777777" w:rsidR="00B262DD" w:rsidRPr="002D11F3" w:rsidRDefault="00B262DD" w:rsidP="009A1F7E">
      <w:pPr>
        <w:pStyle w:val="RTBodyText"/>
        <w:spacing w:beforeLines="20" w:before="48" w:afterLines="20" w:after="48"/>
        <w:rPr>
          <w:rFonts w:ascii="Amnesty Trade Gothic Cn" w:hAnsi="Amnesty Trade Gothic Cn"/>
        </w:rPr>
      </w:pPr>
    </w:p>
    <w:p w14:paraId="6C228D24" w14:textId="77777777" w:rsidR="00B262DD" w:rsidRPr="00207E9F" w:rsidRDefault="00B262DD" w:rsidP="00207E9F">
      <w:pPr>
        <w:pStyle w:val="RTBodyText"/>
      </w:pPr>
      <w:r w:rsidRPr="00207E9F">
        <w:t>AI expresa su preocupación por la falta de avance sustantivo en la implementación de las recomendaciones a dos años de su publicación, y lamenta el aumento en los delitos de feminicidio y desaparición de mujeres y niñas, así como la poca eficiencia observada para mejorar el mecanismo de AVGM.</w:t>
      </w:r>
    </w:p>
    <w:p w14:paraId="048DA0FB" w14:textId="77777777" w:rsidR="00B262DD" w:rsidRPr="00207E9F" w:rsidRDefault="00B262DD" w:rsidP="00207E9F">
      <w:pPr>
        <w:pStyle w:val="RTBodyText"/>
      </w:pPr>
      <w:r w:rsidRPr="00207E9F">
        <w:t xml:space="preserve"> </w:t>
      </w:r>
    </w:p>
    <w:p w14:paraId="48657D3F" w14:textId="015F94D1" w:rsidR="00B262DD" w:rsidRPr="00207E9F" w:rsidRDefault="00B262DD" w:rsidP="00207E9F">
      <w:pPr>
        <w:pStyle w:val="RTBodyText"/>
      </w:pPr>
      <w:r w:rsidRPr="00207E9F">
        <w:t>AI considera que las autoridades mexicanas han mostrado cierto interés en avanzar en el respeto, garantía y protección de los derechos humanos de las mujeres y niñas. No obstante, problemas en el diseño e implementación de políticas públicas, incluyendo en la asignación de recursos y el excesivo uso del derecho penal, han mermado su capacidad de lograr cambios reales y, por ende, han impedido dar cumplimiento efectivo a las recomendaciones c), d) y e) de las observaciones finales del Comité</w:t>
      </w:r>
      <w:r w:rsidR="007355E0">
        <w:rPr>
          <w:rStyle w:val="Refdenotaalpie"/>
        </w:rPr>
        <w:footnoteReference w:id="40"/>
      </w:r>
      <w:r w:rsidRPr="00207E9F">
        <w:t>.</w:t>
      </w:r>
    </w:p>
    <w:p w14:paraId="7882BF56" w14:textId="77777777" w:rsidR="00B262DD" w:rsidRPr="002D11F3" w:rsidRDefault="00B262DD" w:rsidP="00B262DD">
      <w:pPr>
        <w:pStyle w:val="RTBodyText"/>
        <w:rPr>
          <w:rFonts w:ascii="Amnesty Trade Gothic Cn" w:hAnsi="Amnesty Trade Gothic Cn"/>
        </w:rPr>
        <w:sectPr w:rsidR="00B262DD" w:rsidRPr="002D11F3" w:rsidSect="00E64E6F">
          <w:headerReference w:type="default" r:id="rId11"/>
          <w:footerReference w:type="default" r:id="rId12"/>
          <w:pgSz w:w="11900" w:h="16840"/>
          <w:pgMar w:top="1474" w:right="1814" w:bottom="1985" w:left="1814" w:header="709" w:footer="851" w:gutter="0"/>
          <w:cols w:space="708"/>
          <w:docGrid w:linePitch="360"/>
        </w:sectPr>
      </w:pPr>
    </w:p>
    <w:tbl>
      <w:tblPr>
        <w:tblStyle w:val="Tablaconcuadrcula"/>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rsidRPr="009A1F7E" w14:paraId="718C190A" w14:textId="77777777" w:rsidTr="00943638">
        <w:trPr>
          <w:trHeight w:val="4317"/>
        </w:trPr>
        <w:tc>
          <w:tcPr>
            <w:tcW w:w="8132" w:type="dxa"/>
          </w:tcPr>
          <w:p w14:paraId="4AF34432" w14:textId="77777777" w:rsidR="009A517C" w:rsidRPr="009A1F7E" w:rsidRDefault="006C6AF7" w:rsidP="00207E9F">
            <w:pPr>
              <w:pStyle w:val="RTStatement"/>
            </w:pPr>
            <w:r w:rsidRPr="009A1F7E">
              <w:lastRenderedPageBreak/>
              <w:t xml:space="preserve">Amnistía Internacional es un movimiento global de derechos humanos. </w:t>
            </w:r>
            <w:r w:rsidRPr="009A1F7E">
              <w:br/>
              <w:t xml:space="preserve">Las injusticias que afectan a una sola persona nos afectan </w:t>
            </w:r>
            <w:r w:rsidR="001D035C" w:rsidRPr="009A1F7E">
              <w:br/>
            </w:r>
            <w:r w:rsidRPr="009A1F7E">
              <w:t>a todas las demás.</w:t>
            </w:r>
          </w:p>
        </w:tc>
      </w:tr>
    </w:tbl>
    <w:p w14:paraId="26A97D89" w14:textId="77777777" w:rsidR="00186842" w:rsidRPr="009A1F7E" w:rsidRDefault="00186842" w:rsidP="00207E9F">
      <w:pPr>
        <w:pStyle w:val="RTStatement"/>
      </w:pPr>
    </w:p>
    <w:p w14:paraId="4F41AFA2" w14:textId="77777777" w:rsidR="00186842" w:rsidRPr="002D11F3" w:rsidRDefault="00E748ED" w:rsidP="00F176CA">
      <w:pPr>
        <w:rPr>
          <w:rFonts w:ascii="Amnesty Trade Gothic Cn" w:hAnsi="Amnesty Trade Gothic Cn"/>
          <w:sz w:val="24"/>
          <w:szCs w:val="24"/>
        </w:rPr>
      </w:pPr>
      <w:r w:rsidRPr="002D11F3">
        <w:rPr>
          <w:rFonts w:ascii="Amnesty Trade Gothic Cn" w:hAnsi="Amnesty Trade Gothic Cn"/>
          <w:sz w:val="24"/>
          <w:szCs w:val="24"/>
        </w:rPr>
        <w:br w:type="page"/>
      </w:r>
    </w:p>
    <w:p w14:paraId="25FBC2E7" w14:textId="77777777" w:rsidR="00186842" w:rsidRPr="002D11F3" w:rsidRDefault="000432E6" w:rsidP="00F176CA">
      <w:pPr>
        <w:pStyle w:val="RTHighlightedHeading"/>
        <w:rPr>
          <w:sz w:val="24"/>
          <w:szCs w:val="24"/>
        </w:rPr>
      </w:pPr>
      <w:r>
        <w:rPr>
          <w:rStyle w:val="RTHighlightedtext"/>
          <w:lang w:val="en-US"/>
        </w:rPr>
        <w:lastRenderedPageBreak/>
        <w:pict w14:anchorId="3CE09F38">
          <v:shapetype id="_x0000_t202" coordsize="21600,21600" o:spt="202" path="m,l,21600r21600,l21600,xe">
            <v:stroke joinstyle="miter"/>
            <v:path gradientshapeok="t" o:connecttype="rect"/>
          </v:shapetype>
          <v:shape id="Text Box 2" o:spid="_x0000_s1026" type="#_x0000_t202" style="position:absolute;left:0;text-align:left;margin-left:0;margin-top:37.8pt;width:407pt;height:575.25pt;z-index:251642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" strokecolor="white [3212]">
            <v:textbox style="mso-next-textbox:#Text Box 2">
              <w:txbxContent>
                <w:p w14:paraId="0060007C" w14:textId="77777777" w:rsidR="00B262DD" w:rsidRPr="009A1F7E" w:rsidRDefault="00B262DD" w:rsidP="001D035C">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w:t>
                  </w:r>
                  <w:r w:rsidRPr="009A1F7E">
                    <w:rPr>
                      <w:rStyle w:val="RTHighlightedtext"/>
                      <w:rFonts w:ascii="Amnesty Trade Gothic Cn" w:hAnsi="Amnesty Trade Gothic Cn"/>
                      <w:b/>
                      <w:bCs/>
                      <w:caps/>
                      <w:sz w:val="56"/>
                      <w:szCs w:val="56"/>
                    </w:rPr>
                    <w:t>méxico</w:t>
                  </w:r>
                </w:p>
                <w:p w14:paraId="7DFF4AEB" w14:textId="77777777" w:rsidR="00B262DD" w:rsidRPr="003F38E6" w:rsidRDefault="00B262DD" w:rsidP="003F38E6">
                  <w:pPr>
                    <w:pStyle w:val="RTBackcoverblurb"/>
                  </w:pPr>
                  <w:r w:rsidRPr="003F38E6">
                    <w:t>INFORME AL COMITÉ PARA LA ELIMINACIÓN DE LA DISCRIMINACIÓN CONTRA LA MUJER</w:t>
                  </w:r>
                </w:p>
                <w:p w14:paraId="45EA0A37" w14:textId="77777777" w:rsidR="00B262DD" w:rsidRPr="003F38E6" w:rsidRDefault="00B262DD" w:rsidP="003F38E6">
                  <w:pPr>
                    <w:pStyle w:val="RTBackcoverblurb"/>
                  </w:pPr>
                  <w:r w:rsidRPr="003F38E6">
                    <w:t>77ª SESIÓN, 19 DE OCTUBRE- 4 DE NOVIEMBRE 2020, INFORME DE SEGUIMIENTO</w:t>
                  </w:r>
                </w:p>
                <w:p w14:paraId="3E96B6F9" w14:textId="77777777" w:rsidR="008F4CCF" w:rsidRPr="003F38E6" w:rsidRDefault="008F4CCF" w:rsidP="003F38E6">
                  <w:pPr>
                    <w:pStyle w:val="RTBodyText"/>
                  </w:pPr>
                  <w:r w:rsidRPr="003F38E6">
                    <w:t>Amnistía Internacional pone a la disposición del Comité de Naciones Unidas para la Eliminación de la Discriminación contra la Mujer (en adelante, el Comité) la presente información que analiza las medidas adoptadas por el Estado mexicano para dar cumplimiento a las recomendaciones referidas en el párrafo 24 del documento de Observaciones Finales a México (CEDAW/C/MEX/CO/9) publicado en julio de 2018. En particular, se aborda el cumplimiento del Estado sobre las recomendaciones c), d) y e) del párrafo 24 de dicho documento, a dos años de implementación</w:t>
                  </w:r>
                  <w:r w:rsidR="00B262DD" w:rsidRPr="003F38E6">
                    <w:t>.</w:t>
                  </w:r>
                </w:p>
                <w:p w14:paraId="36F643E0" w14:textId="77777777" w:rsidR="00B262DD" w:rsidRDefault="00B262DD"/>
              </w:txbxContent>
            </v:textbox>
            <w10:wrap type="square"/>
          </v:shape>
        </w:pict>
      </w:r>
    </w:p>
    <w:sectPr w:rsidR="00186842" w:rsidRPr="002D11F3" w:rsidSect="009A1F7E">
      <w:footerReference w:type="default" r:id="rId13"/>
      <w:footerReference w:type="first" r:id="rId14"/>
      <w:pgSz w:w="11900" w:h="16840"/>
      <w:pgMar w:top="1474" w:right="794" w:bottom="2041" w:left="794" w:header="709" w:footer="37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82F11" w14:textId="77777777" w:rsidR="007B0DD0" w:rsidRDefault="007B0DD0" w:rsidP="00AE5E82">
      <w:r>
        <w:separator/>
      </w:r>
    </w:p>
  </w:endnote>
  <w:endnote w:type="continuationSeparator" w:id="0">
    <w:p w14:paraId="255555FD" w14:textId="77777777" w:rsidR="007B0DD0" w:rsidRDefault="007B0DD0"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mnesty Trade Gothic Light">
    <w:panose1 w:val="020B04030403030200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mnesty Trade Gothic Light Obl">
    <w:altName w:val="Arial"/>
    <w:charset w:val="4D"/>
    <w:family w:val="swiss"/>
    <w:pitch w:val="variable"/>
    <w:sig w:usb0="800000AF" w:usb1="5000204A" w:usb2="00000000" w:usb3="00000000" w:csb0="0000009B" w:csb1="00000000"/>
  </w:font>
  <w:font w:name="Amnesty Trade Gothic Cn">
    <w:panose1 w:val="020B05060403030200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mnestyTradeGothic-Light">
    <w:altName w:val="Calibri"/>
    <w:panose1 w:val="00000000000000000000"/>
    <w:charset w:val="4D"/>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mnesty Trade Gothic">
    <w:panose1 w:val="020B05030403030200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mnestyTradeGothic-BdCn20">
    <w:altName w:val="Arial"/>
    <w:charset w:val="4D"/>
    <w:family w:val="swiss"/>
    <w:pitch w:val="variable"/>
    <w:sig w:usb0="800000AF" w:usb1="5000204A" w:usb2="00000000" w:usb3="00000000" w:csb0="0000009B" w:csb1="00000000"/>
  </w:font>
  <w:font w:name="Oswal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B262DD" w:rsidRPr="009A1DE3" w14:paraId="7EEA739A" w14:textId="77777777" w:rsidTr="00847491">
      <w:trPr>
        <w:trHeight w:val="2414"/>
      </w:trPr>
      <w:tc>
        <w:tcPr>
          <w:tcW w:w="5277" w:type="dxa"/>
          <w:gridSpan w:val="2"/>
          <w:tcMar>
            <w:right w:w="397" w:type="dxa"/>
          </w:tcMar>
          <w:vAlign w:val="bottom"/>
        </w:tcPr>
        <w:p w14:paraId="3BD7FEC4" w14:textId="77777777" w:rsidR="00B262DD" w:rsidRPr="00623663" w:rsidRDefault="00B262DD" w:rsidP="00623663">
          <w:pPr>
            <w:pStyle w:val="RTCaptionText"/>
            <w:rPr>
              <w:i w:val="0"/>
              <w:iCs/>
            </w:rPr>
          </w:pPr>
          <w:r w:rsidRPr="00623663">
            <w:rPr>
              <w:i w:val="0"/>
              <w:iCs/>
            </w:rPr>
            <w:t xml:space="preserve">© </w:t>
          </w:r>
          <w:proofErr w:type="spellStart"/>
          <w:r w:rsidRPr="00623663">
            <w:rPr>
              <w:i w:val="0"/>
              <w:iCs/>
            </w:rPr>
            <w:t>Amnesty</w:t>
          </w:r>
          <w:proofErr w:type="spellEnd"/>
          <w:r w:rsidRPr="00623663">
            <w:rPr>
              <w:i w:val="0"/>
              <w:iCs/>
            </w:rPr>
            <w:t xml:space="preserve"> International 2020</w:t>
          </w:r>
        </w:p>
        <w:p w14:paraId="68557107" w14:textId="77777777" w:rsidR="00B262DD" w:rsidRPr="007F6F2D" w:rsidRDefault="00B262DD" w:rsidP="00847491">
          <w:pPr>
            <w:pStyle w:val="RTCaptionText"/>
            <w:rPr>
              <w:rFonts w:cs="Helvetica"/>
              <w:i w:val="0"/>
            </w:rPr>
          </w:pPr>
          <w:r>
            <w:rPr>
              <w:i w:val="0"/>
            </w:rPr>
            <w:t xml:space="preserve">Salvo cuando se indique lo contrario, el contenido de este documento está protegido por una licencia 4.0 de </w:t>
          </w:r>
          <w:proofErr w:type="spellStart"/>
          <w:r>
            <w:rPr>
              <w:i w:val="0"/>
            </w:rPr>
            <w:t>Creative</w:t>
          </w:r>
          <w:proofErr w:type="spellEnd"/>
          <w:r>
            <w:rPr>
              <w:i w:val="0"/>
            </w:rPr>
            <w:t xml:space="preserve"> </w:t>
          </w:r>
          <w:proofErr w:type="spellStart"/>
          <w:r>
            <w:rPr>
              <w:i w:val="0"/>
            </w:rPr>
            <w:t>Commons</w:t>
          </w:r>
          <w:proofErr w:type="spellEnd"/>
          <w:r>
            <w:rPr>
              <w:i w:val="0"/>
            </w:rPr>
            <w:t xml:space="preserve"> (atribución, no comercial, sin obra derivada, internacional).</w:t>
          </w:r>
        </w:p>
        <w:p w14:paraId="30DE12DA" w14:textId="77777777" w:rsidR="00B262DD" w:rsidRPr="007F6F2D" w:rsidRDefault="00C74AE2" w:rsidP="00847491">
          <w:pPr>
            <w:pStyle w:val="RTCaptionText"/>
            <w:rPr>
              <w:rFonts w:cs="Helvetica"/>
              <w:i w:val="0"/>
            </w:rPr>
          </w:pPr>
          <w:r w:rsidRPr="007F6F2D">
            <w:rPr>
              <w:i w:val="0"/>
              <w:color w:val="0000FF"/>
              <w:u w:val="single" w:color="0000FF"/>
            </w:rPr>
            <w:fldChar w:fldCharType="begin"/>
          </w:r>
          <w:r w:rsidR="00B262DD"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sidR="00B262DD">
            <w:rPr>
              <w:i w:val="0"/>
              <w:u w:color="0000FF"/>
            </w:rPr>
            <w:t>https://creativecommons.org/licenses/by-nc-nd/4.0/legalcode</w:t>
          </w:r>
        </w:p>
        <w:p w14:paraId="528611F5" w14:textId="77777777" w:rsidR="00B262DD" w:rsidRPr="007F6F2D" w:rsidRDefault="00C74AE2" w:rsidP="00847491">
          <w:pPr>
            <w:pStyle w:val="RTCaptionText"/>
            <w:rPr>
              <w:rFonts w:cs="Helvetica"/>
              <w:i w:val="0"/>
            </w:rPr>
          </w:pPr>
          <w:r w:rsidRPr="007F6F2D">
            <w:rPr>
              <w:i w:val="0"/>
              <w:color w:val="0000FF"/>
              <w:u w:val="single" w:color="0000FF"/>
            </w:rPr>
            <w:fldChar w:fldCharType="end"/>
          </w:r>
          <w:r w:rsidR="00B262DD">
            <w:rPr>
              <w:i w:val="0"/>
            </w:rPr>
            <w:t xml:space="preserve">Para más información, visiten la página </w:t>
          </w:r>
          <w:r w:rsidR="00B262DD">
            <w:t>Permisos</w:t>
          </w:r>
          <w:r w:rsidR="00B262DD">
            <w:rPr>
              <w:i w:val="0"/>
            </w:rPr>
            <w:t xml:space="preserve"> de nuestro sitio web: </w:t>
          </w:r>
          <w:hyperlink r:id="rId1" w:history="1">
            <w:r w:rsidR="00B262DD">
              <w:rPr>
                <w:i w:val="0"/>
              </w:rPr>
              <w:t>https://www.amnesty.org/es/about-us/permissions/</w:t>
            </w:r>
          </w:hyperlink>
          <w:r w:rsidR="00B262DD">
            <w:t>.</w:t>
          </w:r>
        </w:p>
        <w:p w14:paraId="7C6BB8E5" w14:textId="77777777" w:rsidR="00B262DD" w:rsidRPr="007F6F2D" w:rsidRDefault="00B262DD" w:rsidP="00847491">
          <w:pPr>
            <w:pStyle w:val="RTCaptionText"/>
            <w:rPr>
              <w:i w:val="0"/>
            </w:rPr>
          </w:pPr>
          <w:r>
            <w:rPr>
              <w:i w:val="0"/>
            </w:rPr>
            <w:t xml:space="preserve">El material atribuido a titulares de derechos de autor distintos de Amnistía Internacional no está sujeto a la licencia </w:t>
          </w:r>
          <w:proofErr w:type="spellStart"/>
          <w:r>
            <w:rPr>
              <w:i w:val="0"/>
            </w:rPr>
            <w:t>Creative</w:t>
          </w:r>
          <w:proofErr w:type="spellEnd"/>
          <w:r>
            <w:rPr>
              <w:i w:val="0"/>
            </w:rPr>
            <w:t xml:space="preserve"> </w:t>
          </w:r>
          <w:proofErr w:type="spellStart"/>
          <w:r>
            <w:rPr>
              <w:i w:val="0"/>
            </w:rPr>
            <w:t>Commons</w:t>
          </w:r>
          <w:proofErr w:type="spellEnd"/>
          <w:r>
            <w:rPr>
              <w:i w:val="0"/>
            </w:rPr>
            <w:t>.</w:t>
          </w:r>
        </w:p>
      </w:tc>
      <w:tc>
        <w:tcPr>
          <w:tcW w:w="5147" w:type="dxa"/>
        </w:tcPr>
        <w:p w14:paraId="4BA121AD" w14:textId="77777777" w:rsidR="00B262DD" w:rsidRDefault="00B262DD" w:rsidP="00847491">
          <w:pPr>
            <w:pStyle w:val="RTCaptionText"/>
          </w:pPr>
        </w:p>
        <w:p w14:paraId="7F95C6AE" w14:textId="77777777" w:rsidR="00B262DD" w:rsidRPr="003911AE" w:rsidRDefault="00B262DD" w:rsidP="00847491"/>
        <w:p w14:paraId="2FF40370" w14:textId="77777777" w:rsidR="00B262DD" w:rsidRDefault="00B262DD" w:rsidP="00847491"/>
        <w:p w14:paraId="3F34ADD7" w14:textId="77777777" w:rsidR="00B262DD" w:rsidRPr="003911AE" w:rsidRDefault="00B262DD" w:rsidP="00847491"/>
        <w:p w14:paraId="62FDD5E3" w14:textId="77777777" w:rsidR="00B262DD" w:rsidRPr="003911AE" w:rsidRDefault="00B262DD" w:rsidP="00847491"/>
        <w:p w14:paraId="3F035BED" w14:textId="77777777" w:rsidR="00B262DD" w:rsidRPr="0062576D" w:rsidRDefault="00B262DD" w:rsidP="00847491">
          <w:pPr>
            <w:pStyle w:val="RTCaptionText"/>
            <w:rPr>
              <w:lang w:val="es-MX"/>
            </w:rPr>
          </w:pPr>
        </w:p>
      </w:tc>
    </w:tr>
    <w:tr w:rsidR="00B262DD" w14:paraId="32C250CD" w14:textId="77777777" w:rsidTr="00847491">
      <w:tc>
        <w:tcPr>
          <w:tcW w:w="2694" w:type="dxa"/>
          <w:vAlign w:val="bottom"/>
        </w:tcPr>
        <w:p w14:paraId="0361D95A" w14:textId="77777777" w:rsidR="00B262DD" w:rsidRDefault="00B262DD" w:rsidP="00847491">
          <w:pPr>
            <w:pStyle w:val="RTCaptionText"/>
            <w:rPr>
              <w:i w:val="0"/>
            </w:rPr>
          </w:pPr>
          <w:r>
            <w:rPr>
              <w:i w:val="0"/>
            </w:rPr>
            <w:t>Publicado por primera vez en 2020</w:t>
          </w:r>
          <w:r>
            <w:rPr>
              <w:i w:val="0"/>
            </w:rPr>
            <w:br/>
            <w:t xml:space="preserve">por </w:t>
          </w:r>
          <w:proofErr w:type="spellStart"/>
          <w:r>
            <w:rPr>
              <w:i w:val="0"/>
            </w:rPr>
            <w:t>Amnesty</w:t>
          </w:r>
          <w:proofErr w:type="spellEnd"/>
          <w:r>
            <w:rPr>
              <w:i w:val="0"/>
            </w:rPr>
            <w:t xml:space="preserve"> International Ltd.</w:t>
          </w:r>
          <w:r>
            <w:rPr>
              <w:i w:val="0"/>
            </w:rPr>
            <w:br/>
            <w:t>Peter Benenson House, 1 Easton Street</w:t>
          </w:r>
          <w:r>
            <w:rPr>
              <w:i w:val="0"/>
            </w:rPr>
            <w:br/>
            <w:t>London WC1X 0DW, Reino Unido</w:t>
          </w:r>
        </w:p>
        <w:p w14:paraId="5BDC15A7" w14:textId="77777777" w:rsidR="00B262DD" w:rsidRDefault="00B262DD" w:rsidP="00847491">
          <w:pPr>
            <w:pStyle w:val="RTCaptionText"/>
            <w:rPr>
              <w:i w:val="0"/>
            </w:rPr>
          </w:pPr>
        </w:p>
        <w:p w14:paraId="25379E35" w14:textId="77777777" w:rsidR="00B262DD" w:rsidRPr="00EA7215" w:rsidRDefault="00B262DD" w:rsidP="008B2158">
          <w:pPr>
            <w:pStyle w:val="RTCaptionText"/>
            <w:rPr>
              <w:i w:val="0"/>
              <w:sz w:val="18"/>
              <w:szCs w:val="18"/>
            </w:rPr>
          </w:pPr>
          <w:r>
            <w:rPr>
              <w:b/>
              <w:i w:val="0"/>
              <w:sz w:val="18"/>
              <w:szCs w:val="18"/>
            </w:rPr>
            <w:t xml:space="preserve">Índice: </w:t>
          </w:r>
          <w:r w:rsidR="00727F68" w:rsidRPr="00727F68">
            <w:rPr>
              <w:b/>
              <w:i w:val="0"/>
              <w:sz w:val="18"/>
              <w:szCs w:val="18"/>
            </w:rPr>
            <w:t>AFR 44/1657/2020</w:t>
          </w:r>
          <w:r w:rsidR="00727F68">
            <w:rPr>
              <w:b/>
              <w:i w:val="0"/>
              <w:sz w:val="18"/>
              <w:szCs w:val="18"/>
            </w:rPr>
            <w:t xml:space="preserve"> </w:t>
          </w:r>
          <w:proofErr w:type="spellStart"/>
          <w:r>
            <w:rPr>
              <w:b/>
              <w:i w:val="0"/>
              <w:sz w:val="18"/>
              <w:szCs w:val="18"/>
            </w:rPr>
            <w:t>Spanish</w:t>
          </w:r>
          <w:proofErr w:type="spellEnd"/>
          <w:r>
            <w:rPr>
              <w:b/>
              <w:i w:val="0"/>
              <w:sz w:val="18"/>
              <w:szCs w:val="18"/>
            </w:rPr>
            <w:br/>
            <w:t xml:space="preserve">Idioma original: </w:t>
          </w:r>
          <w:r w:rsidR="00231B62">
            <w:rPr>
              <w:b/>
              <w:i w:val="0"/>
              <w:sz w:val="18"/>
              <w:szCs w:val="18"/>
            </w:rPr>
            <w:t>Español</w:t>
          </w:r>
        </w:p>
      </w:tc>
      <w:tc>
        <w:tcPr>
          <w:tcW w:w="2583" w:type="dxa"/>
          <w:vAlign w:val="bottom"/>
        </w:tcPr>
        <w:p w14:paraId="61BD185D" w14:textId="77777777" w:rsidR="00B262DD" w:rsidRPr="007F6F2D" w:rsidRDefault="00B262DD" w:rsidP="00847491">
          <w:pPr>
            <w:pStyle w:val="RTCaptionText"/>
            <w:rPr>
              <w:b/>
              <w:i w:val="0"/>
            </w:rPr>
          </w:pPr>
          <w:r>
            <w:rPr>
              <w:b/>
              <w:i w:val="0"/>
            </w:rPr>
            <w:br/>
          </w:r>
        </w:p>
      </w:tc>
      <w:tc>
        <w:tcPr>
          <w:tcW w:w="5147" w:type="dxa"/>
          <w:vAlign w:val="bottom"/>
        </w:tcPr>
        <w:p w14:paraId="2E5CA212" w14:textId="77777777" w:rsidR="00B262DD" w:rsidRPr="00886391" w:rsidRDefault="00B262DD" w:rsidP="00847491">
          <w:pPr>
            <w:pStyle w:val="Piedepgina"/>
            <w:tabs>
              <w:tab w:val="left" w:pos="880"/>
            </w:tabs>
            <w:spacing w:line="240" w:lineRule="exact"/>
            <w:rPr>
              <w:rFonts w:ascii="Amnesty Trade Gothic Cn" w:hAnsi="Amnesty Trade Gothic Cn" w:cs="AmnestyTradeGothic-BdCn20"/>
              <w:bCs/>
              <w:szCs w:val="16"/>
            </w:rPr>
          </w:pPr>
          <w:r>
            <w:rPr>
              <w:noProof/>
              <w:lang w:val="es-MX" w:eastAsia="es-MX"/>
            </w:rPr>
            <w:drawing>
              <wp:anchor distT="0" distB="0" distL="114300" distR="114300" simplePos="0" relativeHeight="251684352" behindDoc="0" locked="0" layoutInCell="1" allowOverlap="1" wp14:anchorId="32A76E28" wp14:editId="5C39BA96">
                <wp:simplePos x="0" y="0"/>
                <wp:positionH relativeFrom="margin">
                  <wp:posOffset>1689735</wp:posOffset>
                </wp:positionH>
                <wp:positionV relativeFrom="paragraph">
                  <wp:posOffset>412750</wp:posOffset>
                </wp:positionV>
                <wp:extent cx="1515745" cy="638175"/>
                <wp:effectExtent l="0" t="0" r="8255" b="952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5745" cy="638175"/>
                        </a:xfrm>
                        <a:prstGeom prst="rect">
                          <a:avLst/>
                        </a:prstGeom>
                        <a:noFill/>
                        <a:ln>
                          <a:noFill/>
                        </a:ln>
                      </pic:spPr>
                    </pic:pic>
                  </a:graphicData>
                </a:graphic>
              </wp:anchor>
            </w:drawing>
          </w:r>
        </w:p>
      </w:tc>
    </w:tr>
    <w:tr w:rsidR="00B262DD" w14:paraId="6E346B85" w14:textId="77777777" w:rsidTr="00847491">
      <w:trPr>
        <w:trHeight w:val="412"/>
      </w:trPr>
      <w:tc>
        <w:tcPr>
          <w:tcW w:w="10424" w:type="dxa"/>
          <w:gridSpan w:val="3"/>
          <w:vAlign w:val="bottom"/>
        </w:tcPr>
        <w:p w14:paraId="63A28E27" w14:textId="77777777" w:rsidR="00B262DD" w:rsidRPr="00005626" w:rsidRDefault="00B262DD" w:rsidP="00005626">
          <w:pPr>
            <w:pStyle w:val="RTAmnestywebaddress"/>
          </w:pPr>
          <w:r w:rsidRPr="00005626">
            <w:t>amnesty.org</w:t>
          </w:r>
        </w:p>
      </w:tc>
    </w:tr>
  </w:tbl>
  <w:p w14:paraId="6C0DC918" w14:textId="77777777" w:rsidR="00B262DD" w:rsidRPr="00B179F3" w:rsidRDefault="00B262DD" w:rsidP="00290B00">
    <w:pPr>
      <w:pStyle w:val="Piedepgina"/>
      <w:tabs>
        <w:tab w:val="left" w:pos="8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6B3D3" w14:textId="77777777" w:rsidR="00B262DD" w:rsidRPr="00CB0FBD" w:rsidRDefault="00B262DD" w:rsidP="00CB0FBD">
    <w:r>
      <w:rPr>
        <w:noProof/>
        <w:lang w:val="es-MX" w:eastAsia="es-MX"/>
      </w:rPr>
      <w:drawing>
        <wp:anchor distT="0" distB="0" distL="114300" distR="114300" simplePos="0" relativeHeight="251667968" behindDoc="0" locked="0" layoutInCell="1" allowOverlap="1" wp14:anchorId="2DB80654" wp14:editId="07D78555">
          <wp:simplePos x="0" y="0"/>
          <wp:positionH relativeFrom="margin">
            <wp:posOffset>5025527</wp:posOffset>
          </wp:positionH>
          <wp:positionV relativeFrom="paragraph">
            <wp:posOffset>-33020</wp:posOffset>
          </wp:positionV>
          <wp:extent cx="1515854" cy="638175"/>
          <wp:effectExtent l="0" t="0" r="8255"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5854" cy="638175"/>
                  </a:xfrm>
                  <a:prstGeom prst="rect">
                    <a:avLst/>
                  </a:prstGeom>
                  <a:noFill/>
                  <a:ln>
                    <a:noFill/>
                  </a:ln>
                </pic:spPr>
              </pic:pic>
            </a:graphicData>
          </a:graphic>
        </wp:anchor>
      </w:drawing>
    </w:r>
  </w:p>
  <w:p w14:paraId="190D8B1C" w14:textId="77777777" w:rsidR="00B262DD" w:rsidRPr="00CB0FBD" w:rsidRDefault="00B262DD" w:rsidP="00CB0FBD"/>
  <w:p w14:paraId="379E6267" w14:textId="77777777" w:rsidR="00B262DD" w:rsidRPr="00CB0FBD" w:rsidRDefault="00B262DD" w:rsidP="00CB0FBD"/>
  <w:p w14:paraId="5231C9DB" w14:textId="77777777" w:rsidR="00B262DD" w:rsidRPr="00CB0FBD" w:rsidRDefault="00B262DD" w:rsidP="00CB0F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1337E" w14:textId="77777777" w:rsidR="00B262DD" w:rsidRPr="00005626" w:rsidRDefault="00B262DD" w:rsidP="00005626">
    <w:pPr>
      <w:pStyle w:val="RTFooterreporttitle"/>
    </w:pPr>
    <w:r w:rsidRPr="00005626">
      <w:t>méxico</w:t>
    </w:r>
    <w:r w:rsidRPr="00005626">
      <w:tab/>
    </w:r>
  </w:p>
  <w:p w14:paraId="71E137D2" w14:textId="77777777" w:rsidR="00B262DD" w:rsidRPr="00005626" w:rsidRDefault="00B262DD" w:rsidP="00005626">
    <w:pPr>
      <w:pStyle w:val="RTFooterreporttitle"/>
    </w:pPr>
    <w:r w:rsidRPr="00005626">
      <w:t>INFORME AL COMITÉ PARA LA ELIMINACIÓN DE LA DISCRIMINACIÓN CONTRA LA MUJER, INFORME DE SEGUIMIENTO</w:t>
    </w:r>
  </w:p>
  <w:p w14:paraId="68276554" w14:textId="77777777" w:rsidR="00B262DD" w:rsidRPr="00005626" w:rsidRDefault="00B262DD" w:rsidP="00005626">
    <w:pPr>
      <w:pStyle w:val="RTFooterreporttitle"/>
    </w:pPr>
    <w:r w:rsidRPr="00005626">
      <w:tab/>
    </w:r>
  </w:p>
  <w:p w14:paraId="4A67330A" w14:textId="77777777" w:rsidR="00B262DD" w:rsidRPr="00914551" w:rsidRDefault="00B262DD" w:rsidP="00914551">
    <w:pPr>
      <w:pStyle w:val="RTAmnestyfooter"/>
    </w:pPr>
    <w:r w:rsidRPr="00005626">
      <w:t>Amnistía Internacional</w:t>
    </w:r>
    <w:r>
      <w:tab/>
    </w:r>
    <w:r w:rsidR="00C74AE2">
      <w:fldChar w:fldCharType="begin"/>
    </w:r>
    <w:r>
      <w:instrText xml:space="preserve"> PAGE  \* Arabic  \* MERGEFORMAT </w:instrText>
    </w:r>
    <w:r w:rsidR="00C74AE2">
      <w:fldChar w:fldCharType="separate"/>
    </w:r>
    <w:r w:rsidR="002001FB">
      <w:rPr>
        <w:noProof/>
      </w:rPr>
      <w:t>10</w:t>
    </w:r>
    <w:r w:rsidR="00C74AE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C8A85" w14:textId="77777777" w:rsidR="00B262DD" w:rsidRPr="00005626" w:rsidRDefault="00B262DD" w:rsidP="00005626">
    <w:pPr>
      <w:pStyle w:val="RTFooterText"/>
    </w:pPr>
    <w:r w:rsidRPr="00005626">
      <w:rPr>
        <w:noProof/>
        <w:lang w:val="es-MX" w:eastAsia="es-MX"/>
      </w:rPr>
      <w:drawing>
        <wp:anchor distT="0" distB="0" distL="114300" distR="114300" simplePos="0" relativeHeight="251685376" behindDoc="0" locked="0" layoutInCell="1" allowOverlap="1" wp14:anchorId="7222C5EC" wp14:editId="3B0FE9D8">
          <wp:simplePos x="0" y="0"/>
          <wp:positionH relativeFrom="margin">
            <wp:posOffset>5032650</wp:posOffset>
          </wp:positionH>
          <wp:positionV relativeFrom="paragraph">
            <wp:posOffset>6985</wp:posOffset>
          </wp:positionV>
          <wp:extent cx="1515854" cy="638175"/>
          <wp:effectExtent l="0" t="0" r="825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5854" cy="638175"/>
                  </a:xfrm>
                  <a:prstGeom prst="rect">
                    <a:avLst/>
                  </a:prstGeom>
                  <a:noFill/>
                  <a:ln>
                    <a:noFill/>
                  </a:ln>
                </pic:spPr>
              </pic:pic>
            </a:graphicData>
          </a:graphic>
        </wp:anchor>
      </w:drawing>
    </w:r>
    <w:r w:rsidRPr="00005626">
      <w:t>Índice: AFR 44/1657/20</w:t>
    </w:r>
    <w:r w:rsidR="005370E5" w:rsidRPr="00005626">
      <w:t>20</w:t>
    </w:r>
    <w:r w:rsidRPr="00005626">
      <w:rPr>
        <w:highlight w:val="cyan"/>
      </w:rPr>
      <w:br/>
    </w:r>
    <w:r w:rsidR="005370E5" w:rsidRPr="00005626">
      <w:t>SEPTIEMBRE DE 2020</w:t>
    </w:r>
    <w:r w:rsidRPr="00005626">
      <w:br/>
    </w:r>
  </w:p>
  <w:p w14:paraId="289AEA4F" w14:textId="77777777" w:rsidR="00B262DD" w:rsidRPr="00005626" w:rsidRDefault="00B262DD" w:rsidP="00005626">
    <w:pPr>
      <w:pStyle w:val="RTAmnestywebaddress"/>
    </w:pPr>
    <w:r w:rsidRPr="00005626">
      <w:t>amnesty.org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66"/>
      <w:gridCol w:w="4356"/>
    </w:tblGrid>
    <w:tr w:rsidR="00B262DD" w:rsidRPr="00472CD3" w14:paraId="4145403E" w14:textId="77777777" w:rsidTr="00FB1D19">
      <w:tc>
        <w:tcPr>
          <w:tcW w:w="5264" w:type="dxa"/>
        </w:tcPr>
        <w:p w14:paraId="6EBAC20F" w14:textId="77777777" w:rsidR="00B262DD" w:rsidRPr="00207E9F" w:rsidRDefault="00B262DD" w:rsidP="00207E9F">
          <w:pPr>
            <w:pStyle w:val="RTBackcoversubheading"/>
            <w:framePr w:hSpace="0" w:wrap="auto" w:vAnchor="margin" w:hAnchor="text" w:xAlign="left" w:yAlign="inline"/>
            <w:suppressOverlap w:val="0"/>
          </w:pPr>
          <w:r w:rsidRPr="00207E9F">
            <w:t>Contáctanos</w:t>
          </w:r>
        </w:p>
      </w:tc>
      <w:tc>
        <w:tcPr>
          <w:tcW w:w="5264" w:type="dxa"/>
        </w:tcPr>
        <w:p w14:paraId="0DB3AECA" w14:textId="77777777" w:rsidR="00B262DD" w:rsidRPr="00207E9F" w:rsidRDefault="00B262DD" w:rsidP="00207E9F">
          <w:pPr>
            <w:pStyle w:val="RTBackcoversubheading"/>
            <w:framePr w:hSpace="0" w:wrap="auto" w:vAnchor="margin" w:hAnchor="text" w:xAlign="left" w:yAlign="inline"/>
            <w:suppressOverlap w:val="0"/>
          </w:pPr>
          <w:r w:rsidRPr="00207E9F">
            <w:t>Únete a la conversación</w:t>
          </w:r>
        </w:p>
      </w:tc>
    </w:tr>
    <w:tr w:rsidR="00B262DD" w14:paraId="6B0688F8" w14:textId="77777777" w:rsidTr="00FB1D19">
      <w:tc>
        <w:tcPr>
          <w:tcW w:w="5264" w:type="dxa"/>
          <w:tcMar>
            <w:top w:w="113" w:type="dxa"/>
          </w:tcMar>
        </w:tcPr>
        <w:p w14:paraId="18BE6198" w14:textId="77777777" w:rsidR="00B262DD" w:rsidRPr="009A1F7E" w:rsidRDefault="009A1F7E" w:rsidP="00E20D98">
          <w:pPr>
            <w:pStyle w:val="RTBodyText"/>
            <w:rPr>
              <w:rFonts w:ascii="Amnesty Trade Gothic Cn" w:hAnsi="Amnesty Trade Gothic Cn"/>
            </w:rPr>
          </w:pPr>
          <w:r>
            <w:rPr>
              <w:rFonts w:ascii="Amnesty Trade Gothic Cn" w:hAnsi="Amnesty Trade Gothic Cn"/>
              <w:noProof/>
              <w:lang w:val="es-MX" w:eastAsia="es-MX"/>
            </w:rPr>
            <w:drawing>
              <wp:anchor distT="0" distB="0" distL="114300" distR="114300" simplePos="0" relativeHeight="251663872" behindDoc="0" locked="0" layoutInCell="1" allowOverlap="1" wp14:anchorId="6C8AC7BA" wp14:editId="231D169E">
                <wp:simplePos x="0" y="0"/>
                <wp:positionH relativeFrom="column">
                  <wp:posOffset>2144395</wp:posOffset>
                </wp:positionH>
                <wp:positionV relativeFrom="paragraph">
                  <wp:posOffset>-36195</wp:posOffset>
                </wp:positionV>
                <wp:extent cx="240030" cy="560070"/>
                <wp:effectExtent l="1905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1">
                          <a:extLst>
                            <a:ext uri="{28A0092B-C50C-407E-A947-70E740481C1C}">
                              <a14:useLocalDpi xmlns:a14="http://schemas.microsoft.com/office/drawing/2010/main" val="0"/>
                            </a:ext>
                          </a:extLst>
                        </a:blip>
                        <a:stretch>
                          <a:fillRect/>
                        </a:stretch>
                      </pic:blipFill>
                      <pic:spPr>
                        <a:xfrm>
                          <a:off x="0" y="0"/>
                          <a:ext cx="240030" cy="5600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9A1F7E">
            <w:rPr>
              <w:rFonts w:ascii="Amnesty Trade Gothic Cn" w:hAnsi="Amnesty Trade Gothic Cn"/>
              <w:noProof/>
              <w:lang w:val="es-MX" w:eastAsia="es-MX"/>
            </w:rPr>
            <w:drawing>
              <wp:anchor distT="0" distB="0" distL="114300" distR="114300" simplePos="0" relativeHeight="251649536" behindDoc="0" locked="0" layoutInCell="1" allowOverlap="1" wp14:anchorId="2DF9828B" wp14:editId="5811CB7D">
                <wp:simplePos x="0" y="0"/>
                <wp:positionH relativeFrom="column">
                  <wp:posOffset>-705485</wp:posOffset>
                </wp:positionH>
                <wp:positionV relativeFrom="paragraph">
                  <wp:posOffset>-1905</wp:posOffset>
                </wp:positionV>
                <wp:extent cx="582930" cy="487680"/>
                <wp:effectExtent l="1905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2">
                          <a:extLst>
                            <a:ext uri="{28A0092B-C50C-407E-A947-70E740481C1C}">
                              <a14:useLocalDpi xmlns:a14="http://schemas.microsoft.com/office/drawing/2010/main" val="0"/>
                            </a:ext>
                          </a:extLst>
                        </a:blip>
                        <a:stretch>
                          <a:fillRect/>
                        </a:stretch>
                      </pic:blipFill>
                      <pic:spPr>
                        <a:xfrm>
                          <a:off x="0" y="0"/>
                          <a:ext cx="582930" cy="4876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hyperlink r:id="rId3" w:history="1">
            <w:r w:rsidR="00B262DD" w:rsidRPr="009A1F7E">
              <w:rPr>
                <w:rFonts w:ascii="Amnesty Trade Gothic Cn" w:hAnsi="Amnesty Trade Gothic Cn"/>
              </w:rPr>
              <w:t>info@amnesty.org</w:t>
            </w:r>
          </w:hyperlink>
        </w:p>
        <w:p w14:paraId="5AB2BA3E" w14:textId="77777777" w:rsidR="00B262DD" w:rsidRPr="009A1F7E" w:rsidRDefault="00B262DD" w:rsidP="00E20D98">
          <w:pPr>
            <w:pStyle w:val="RTBodyText"/>
            <w:rPr>
              <w:rFonts w:ascii="Amnesty Trade Gothic Cn" w:hAnsi="Amnesty Trade Gothic Cn"/>
            </w:rPr>
          </w:pPr>
          <w:r w:rsidRPr="009A1F7E">
            <w:rPr>
              <w:rFonts w:ascii="Amnesty Trade Gothic Cn" w:hAnsi="Amnesty Trade Gothic Cn"/>
            </w:rPr>
            <w:t>+44 (0)20 7413 5500</w:t>
          </w:r>
        </w:p>
      </w:tc>
      <w:tc>
        <w:tcPr>
          <w:tcW w:w="5264" w:type="dxa"/>
          <w:tcMar>
            <w:top w:w="113" w:type="dxa"/>
          </w:tcMar>
        </w:tcPr>
        <w:p w14:paraId="159FB4F1" w14:textId="77777777" w:rsidR="00B262DD" w:rsidRPr="009A1F7E" w:rsidRDefault="000432E6" w:rsidP="00E20D98">
          <w:pPr>
            <w:pStyle w:val="RTBodyText"/>
            <w:rPr>
              <w:rFonts w:ascii="Amnesty Trade Gothic Cn" w:hAnsi="Amnesty Trade Gothic Cn"/>
            </w:rPr>
          </w:pPr>
          <w:hyperlink r:id="rId4" w:history="1">
            <w:r w:rsidR="00B262DD" w:rsidRPr="009A1F7E">
              <w:rPr>
                <w:rFonts w:ascii="Amnesty Trade Gothic Cn" w:hAnsi="Amnesty Trade Gothic Cn"/>
              </w:rPr>
              <w:t>www.facebook.com/AmnestyGlobal</w:t>
            </w:r>
          </w:hyperlink>
        </w:p>
        <w:p w14:paraId="2AED41EA" w14:textId="77777777" w:rsidR="00B262DD" w:rsidRPr="009A1F7E" w:rsidRDefault="00B262DD" w:rsidP="009A1F7E">
          <w:pPr>
            <w:pStyle w:val="RTBodyText"/>
            <w:rPr>
              <w:rFonts w:ascii="Amnesty Trade Gothic Cn" w:hAnsi="Amnesty Trade Gothic Cn"/>
            </w:rPr>
          </w:pPr>
          <w:r w:rsidRPr="009A1F7E">
            <w:rPr>
              <w:rFonts w:ascii="Amnesty Trade Gothic Cn" w:hAnsi="Amnesty Trade Gothic Cn"/>
            </w:rPr>
            <w:t>@AmnistiaOnline</w:t>
          </w:r>
        </w:p>
      </w:tc>
    </w:tr>
  </w:tbl>
  <w:p w14:paraId="74C17F90" w14:textId="77777777" w:rsidR="00B262DD" w:rsidRPr="00826627" w:rsidRDefault="00B262DD" w:rsidP="00627D13">
    <w:pPr>
      <w:pStyle w:val="Piedepgina"/>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90130" w14:textId="77777777" w:rsidR="007B0DD0" w:rsidRPr="0049688D" w:rsidRDefault="007B0DD0" w:rsidP="0049688D">
      <w:r>
        <w:continuationSeparator/>
      </w:r>
    </w:p>
  </w:footnote>
  <w:footnote w:type="continuationSeparator" w:id="0">
    <w:p w14:paraId="52172DC7" w14:textId="77777777" w:rsidR="007B0DD0" w:rsidRDefault="007B0DD0" w:rsidP="00AE5E82">
      <w:r>
        <w:continuationSeparator/>
      </w:r>
    </w:p>
  </w:footnote>
  <w:footnote w:id="1">
    <w:p w14:paraId="0A579502" w14:textId="0B57B14B" w:rsidR="003F38E6" w:rsidRPr="003F38E6" w:rsidRDefault="003F38E6" w:rsidP="003F38E6">
      <w:pPr>
        <w:pStyle w:val="RTFootnotetext"/>
        <w:jc w:val="both"/>
        <w:rPr>
          <w:lang w:val="es-MX"/>
        </w:rPr>
      </w:pPr>
      <w:r>
        <w:rPr>
          <w:rStyle w:val="Refdenotaalpie"/>
        </w:rPr>
        <w:footnoteRef/>
      </w:r>
      <w:r>
        <w:t xml:space="preserve"> </w:t>
      </w:r>
      <w:r w:rsidRPr="00BB2790">
        <w:t>Secretariado Ejecutivo del Sistema Nacional de Seguridad Pública (2020). Información sobre violencia contra las mujeres (Incidencia delictiva y llamadas de emergencia 9-1-1), septiembre 2020 páginas 14 y 26. Disponible en: https://bit.ly/2Z4Mz7u</w:t>
      </w:r>
    </w:p>
  </w:footnote>
  <w:footnote w:id="2">
    <w:p w14:paraId="4E02EC7F" w14:textId="0754BBEF" w:rsidR="003F38E6" w:rsidRPr="003F38E6" w:rsidRDefault="003F38E6" w:rsidP="003F38E6">
      <w:pPr>
        <w:pStyle w:val="RTFootnotetext"/>
        <w:jc w:val="both"/>
        <w:rPr>
          <w:lang w:val="es-MX"/>
        </w:rPr>
      </w:pPr>
      <w:r>
        <w:rPr>
          <w:rStyle w:val="Refdenotaalpie"/>
        </w:rPr>
        <w:footnoteRef/>
      </w:r>
      <w:r>
        <w:t xml:space="preserve"> </w:t>
      </w:r>
      <w:proofErr w:type="spellStart"/>
      <w:r w:rsidRPr="00DE6841">
        <w:rPr>
          <w:i/>
          <w:iCs/>
        </w:rPr>
        <w:t>Ibid</w:t>
      </w:r>
      <w:proofErr w:type="spellEnd"/>
    </w:p>
  </w:footnote>
  <w:footnote w:id="3">
    <w:p w14:paraId="2E8DB31E" w14:textId="1DE93921" w:rsidR="003F38E6" w:rsidRPr="003F38E6" w:rsidRDefault="003F38E6" w:rsidP="003F38E6">
      <w:pPr>
        <w:pStyle w:val="RTFootnotetext"/>
        <w:jc w:val="both"/>
        <w:rPr>
          <w:lang w:val="es-MX"/>
        </w:rPr>
      </w:pPr>
      <w:r>
        <w:rPr>
          <w:rStyle w:val="Refdenotaalpie"/>
        </w:rPr>
        <w:footnoteRef/>
      </w:r>
      <w:r>
        <w:t xml:space="preserve"> </w:t>
      </w:r>
      <w:proofErr w:type="spellStart"/>
      <w:r w:rsidRPr="00DE6841">
        <w:rPr>
          <w:i/>
          <w:iCs/>
        </w:rPr>
        <w:t>Ibid</w:t>
      </w:r>
      <w:proofErr w:type="spellEnd"/>
    </w:p>
  </w:footnote>
  <w:footnote w:id="4">
    <w:p w14:paraId="03D52FCE" w14:textId="74D88A79" w:rsidR="003F38E6" w:rsidRPr="003F38E6" w:rsidRDefault="003F38E6" w:rsidP="003F38E6">
      <w:pPr>
        <w:pStyle w:val="RTFootnotetext"/>
        <w:jc w:val="both"/>
      </w:pPr>
      <w:r w:rsidRPr="003F38E6">
        <w:rPr>
          <w:rStyle w:val="Refdenotaalpie"/>
          <w:vertAlign w:val="baseline"/>
        </w:rPr>
        <w:footnoteRef/>
      </w:r>
      <w:r w:rsidRPr="003F38E6">
        <w:t xml:space="preserve"> </w:t>
      </w:r>
      <w:r w:rsidRPr="003F38E6">
        <w:t>AI (2019). México: Cuando las palabras no bastan. Consultado en junio de 2020, disponible en: https://bit.ly/32Wk8cV</w:t>
      </w:r>
    </w:p>
  </w:footnote>
  <w:footnote w:id="5">
    <w:p w14:paraId="5AA799B3" w14:textId="1D9C1EEA" w:rsidR="003F38E6" w:rsidRPr="003F38E6" w:rsidRDefault="003F38E6" w:rsidP="003F38E6">
      <w:pPr>
        <w:pStyle w:val="RTFootnotetext"/>
        <w:jc w:val="both"/>
      </w:pPr>
      <w:r w:rsidRPr="003F38E6">
        <w:rPr>
          <w:rStyle w:val="Refdenotaalpie"/>
          <w:vertAlign w:val="baseline"/>
        </w:rPr>
        <w:footnoteRef/>
      </w:r>
      <w:r w:rsidRPr="003F38E6">
        <w:t xml:space="preserve"> </w:t>
      </w:r>
      <w:r w:rsidRPr="003F38E6">
        <w:t>CNDH (2019). Recomendación General No 40, p. 24. Consultado en junio de 2020, disponible en: https://bit.ly/3jKqpiC</w:t>
      </w:r>
    </w:p>
  </w:footnote>
  <w:footnote w:id="6">
    <w:p w14:paraId="4D0C0E54" w14:textId="5A962EE5" w:rsidR="003F38E6" w:rsidRPr="003F38E6" w:rsidRDefault="003F38E6" w:rsidP="003F38E6">
      <w:pPr>
        <w:pStyle w:val="RTFootnotetext"/>
        <w:jc w:val="both"/>
      </w:pPr>
      <w:r w:rsidRPr="003F38E6">
        <w:rPr>
          <w:rStyle w:val="Refdenotaalpie"/>
          <w:vertAlign w:val="baseline"/>
        </w:rPr>
        <w:footnoteRef/>
      </w:r>
      <w:r w:rsidRPr="003F38E6">
        <w:t xml:space="preserve"> </w:t>
      </w:r>
      <w:r w:rsidRPr="003F38E6">
        <w:t>La Oficina de Naciones Unidas contra la Droga y el Delito (UNODC) elaboró en 2019 un estudio sobre la discrepancia conceptual que persiste en los tipos penales de 32 entidades federativas. El análisis revela que los códigos penales de las entidades federativas tienen disparidades respecto a la conducta delictiva, sobre las circunstancias que constituyen razones de género de conformidad con el Código Penal Federal, y respecto a la determinación de sanciones contra quien cometa dicho delito. Oficina de las Naciones Unidas contra la Droga y el Delito (2019). Aportes para la delimitación del tipo penal del delito de feminicidio en México. Consultado en junio de 2020, disponible en: https://bit.ly/31WydaV</w:t>
      </w:r>
    </w:p>
  </w:footnote>
  <w:footnote w:id="7">
    <w:p w14:paraId="5CB85DD8" w14:textId="2800B3B7" w:rsidR="003F38E6" w:rsidRPr="003F38E6" w:rsidRDefault="003F38E6" w:rsidP="003F38E6">
      <w:pPr>
        <w:pStyle w:val="RTFootnotetext"/>
        <w:jc w:val="both"/>
      </w:pPr>
      <w:r w:rsidRPr="003F38E6">
        <w:rPr>
          <w:rStyle w:val="Refdenotaalpie"/>
          <w:vertAlign w:val="baseline"/>
        </w:rPr>
        <w:footnoteRef/>
      </w:r>
      <w:r w:rsidRPr="003F38E6">
        <w:t xml:space="preserve"> </w:t>
      </w:r>
      <w:r w:rsidRPr="003F38E6">
        <w:t xml:space="preserve">Cámara de Diputados del H. Congreso de la Unión (2020). Boletín </w:t>
      </w:r>
      <w:proofErr w:type="spellStart"/>
      <w:r w:rsidRPr="003F38E6">
        <w:t>N°</w:t>
      </w:r>
      <w:proofErr w:type="spellEnd"/>
      <w:r w:rsidRPr="003F38E6">
        <w:t xml:space="preserve"> 3268. Consultado en junio de 2020, disponible en: https://bit.ly/3lQCkxf</w:t>
      </w:r>
    </w:p>
  </w:footnote>
  <w:footnote w:id="8">
    <w:p w14:paraId="662102E8" w14:textId="2A1DDC9C" w:rsidR="003F38E6" w:rsidRPr="003F38E6" w:rsidRDefault="003F38E6" w:rsidP="003F38E6">
      <w:pPr>
        <w:pStyle w:val="RTFootnotetext"/>
        <w:jc w:val="both"/>
      </w:pPr>
      <w:r w:rsidRPr="003F38E6">
        <w:rPr>
          <w:rStyle w:val="Refdenotaalpie"/>
          <w:vertAlign w:val="baseline"/>
        </w:rPr>
        <w:footnoteRef/>
      </w:r>
      <w:r w:rsidRPr="003F38E6">
        <w:t xml:space="preserve"> </w:t>
      </w:r>
      <w:r w:rsidRPr="003F38E6">
        <w:t>Cámara de Diputados (2020). Presentan la propuesta de homologación del tipo penal de feminicidio al titular de la FGR y a legisladores locales. Consultado en septiembre de 2020. Disponible en: https://bit.ly/3h4wrZv</w:t>
      </w:r>
    </w:p>
  </w:footnote>
  <w:footnote w:id="9">
    <w:p w14:paraId="66C4087E" w14:textId="2A654479" w:rsidR="003F38E6" w:rsidRPr="003F38E6" w:rsidRDefault="003F38E6" w:rsidP="003F38E6">
      <w:pPr>
        <w:pStyle w:val="RTFootnotetext"/>
        <w:jc w:val="both"/>
      </w:pPr>
      <w:r w:rsidRPr="003F38E6">
        <w:rPr>
          <w:rStyle w:val="Refdenotaalpie"/>
          <w:vertAlign w:val="baseline"/>
        </w:rPr>
        <w:footnoteRef/>
      </w:r>
      <w:r w:rsidRPr="003F38E6">
        <w:t xml:space="preserve"> </w:t>
      </w:r>
      <w:proofErr w:type="spellStart"/>
      <w:r w:rsidRPr="00591901">
        <w:rPr>
          <w:i/>
          <w:iCs/>
        </w:rPr>
        <w:t>Ibid</w:t>
      </w:r>
      <w:proofErr w:type="spellEnd"/>
    </w:p>
  </w:footnote>
  <w:footnote w:id="10">
    <w:p w14:paraId="689361E2" w14:textId="7501A5E3" w:rsidR="003F38E6" w:rsidRPr="003F38E6" w:rsidRDefault="003F38E6" w:rsidP="003F38E6">
      <w:pPr>
        <w:pStyle w:val="RTFootnotetext"/>
        <w:jc w:val="both"/>
      </w:pPr>
      <w:r w:rsidRPr="003F38E6">
        <w:rPr>
          <w:rStyle w:val="Refdenotaalpie"/>
          <w:vertAlign w:val="baseline"/>
        </w:rPr>
        <w:footnoteRef/>
      </w:r>
      <w:r w:rsidRPr="003F38E6">
        <w:t xml:space="preserve"> </w:t>
      </w:r>
      <w:r w:rsidRPr="003F38E6">
        <w:t>Barba E. V. (2019). El Amparo en Revisión 554/2013: La procuración de justicia y la perspectiva de género. Consultado en junio de 2020, disponible en: https://bit.ly/3205WAi</w:t>
      </w:r>
    </w:p>
  </w:footnote>
  <w:footnote w:id="11">
    <w:p w14:paraId="047B4454" w14:textId="21862A61" w:rsidR="003F38E6" w:rsidRPr="003F38E6" w:rsidRDefault="003F38E6" w:rsidP="003F38E6">
      <w:pPr>
        <w:pStyle w:val="RTFootnotetext"/>
        <w:jc w:val="both"/>
        <w:rPr>
          <w:lang w:val="es-MX"/>
        </w:rPr>
      </w:pPr>
      <w:r w:rsidRPr="003F38E6">
        <w:rPr>
          <w:rStyle w:val="Refdenotaalpie"/>
          <w:vertAlign w:val="baseline"/>
        </w:rPr>
        <w:footnoteRef/>
      </w:r>
      <w:r w:rsidRPr="003F38E6">
        <w:t xml:space="preserve"> </w:t>
      </w:r>
      <w:r w:rsidRPr="003F38E6">
        <w:t>Secretaría de Gobernación (2018). ACUERDOS del Consejo Nacional de Seguridad Pública, aprobados en su Cuadragésima Tercera Sesión Ordinaria. Consultado en junio de 2020, disponible en: https://bit.ly/2EZxnkX</w:t>
      </w:r>
    </w:p>
  </w:footnote>
  <w:footnote w:id="12">
    <w:p w14:paraId="1A094A13" w14:textId="56F4FE01" w:rsidR="003F38E6" w:rsidRPr="003F38E6" w:rsidRDefault="003F38E6" w:rsidP="003F38E6">
      <w:pPr>
        <w:pStyle w:val="RTFootnotetext"/>
        <w:jc w:val="both"/>
        <w:rPr>
          <w:lang w:val="es-MX"/>
        </w:rPr>
      </w:pPr>
      <w:r>
        <w:rPr>
          <w:rStyle w:val="Refdenotaalpie"/>
        </w:rPr>
        <w:footnoteRef/>
      </w:r>
      <w:r>
        <w:t xml:space="preserve"> </w:t>
      </w:r>
      <w:r w:rsidRPr="007456BC">
        <w:t>CNDH (2016). Diagnóstico Nacional de Acceso a la Justicia y Violencia Feminicida en México. Consultado en junio de 2020, disponible en: https://bit.ly/3brrwAQ</w:t>
      </w:r>
    </w:p>
  </w:footnote>
  <w:footnote w:id="13">
    <w:p w14:paraId="40CA27E2" w14:textId="7C445675" w:rsidR="003F38E6" w:rsidRPr="003F38E6" w:rsidRDefault="003F38E6" w:rsidP="003F38E6">
      <w:pPr>
        <w:pStyle w:val="RTFootnotetext"/>
        <w:jc w:val="both"/>
        <w:rPr>
          <w:lang w:val="es-MX"/>
        </w:rPr>
      </w:pPr>
      <w:r>
        <w:rPr>
          <w:rStyle w:val="Refdenotaalpie"/>
        </w:rPr>
        <w:footnoteRef/>
      </w:r>
      <w:r>
        <w:t xml:space="preserve"> </w:t>
      </w:r>
      <w:r w:rsidRPr="007456BC">
        <w:t>Los estados que cuentan con protocolos relativos al delito de feminicidio son: Aguascalientes, Baja California, Campeche, Chiapas, Chihuahua, Colima, Ciudad de México, Guanajuato, Guerrero, Hidalgo, Jalisco, Estado de México, Morelos, Nuevo León, Oaxaca, Puebla, Quintana, Roo, San Luis Potosí, Sinaloa, Sonora, Tabasco, Veracruz, Yucatán y Zacatecas. Los dos estados que se encuentran en proceso de elaboración y publicación de protocolos de feminicidio son Coahuila, Tamaulipas y Durango. Únicamente dos entidades aún no cuentan con un protocolo de feminicidio: Baja California Sur y Nayarit.</w:t>
      </w:r>
    </w:p>
  </w:footnote>
  <w:footnote w:id="14">
    <w:p w14:paraId="35919764" w14:textId="2B850674" w:rsidR="003F38E6" w:rsidRPr="003F38E6" w:rsidRDefault="003F38E6" w:rsidP="003F38E6">
      <w:pPr>
        <w:pStyle w:val="RTFootnotetext"/>
        <w:jc w:val="both"/>
        <w:rPr>
          <w:lang w:val="es-MX"/>
        </w:rPr>
      </w:pPr>
      <w:r>
        <w:rPr>
          <w:rStyle w:val="Refdenotaalpie"/>
        </w:rPr>
        <w:footnoteRef/>
      </w:r>
      <w:r>
        <w:t xml:space="preserve"> </w:t>
      </w:r>
      <w:proofErr w:type="spellStart"/>
      <w:r w:rsidRPr="00CE0C87">
        <w:rPr>
          <w:i/>
          <w:iCs/>
        </w:rPr>
        <w:t>Ibid</w:t>
      </w:r>
      <w:proofErr w:type="spellEnd"/>
    </w:p>
  </w:footnote>
  <w:footnote w:id="15">
    <w:p w14:paraId="402EAFAE" w14:textId="1E14D6BF" w:rsidR="003F38E6" w:rsidRPr="003F38E6" w:rsidRDefault="003F38E6" w:rsidP="003F38E6">
      <w:pPr>
        <w:pStyle w:val="RTFootnotetext"/>
        <w:jc w:val="both"/>
        <w:rPr>
          <w:lang w:val="es-MX"/>
        </w:rPr>
      </w:pPr>
      <w:r>
        <w:rPr>
          <w:rStyle w:val="Refdenotaalpie"/>
        </w:rPr>
        <w:footnoteRef/>
      </w:r>
      <w:r>
        <w:t xml:space="preserve"> </w:t>
      </w:r>
      <w:r w:rsidRPr="003F38E6">
        <w:t xml:space="preserve">Lagarde, Marcela (2006), “Introducción”, en Diana Russell y Roberta A. </w:t>
      </w:r>
      <w:proofErr w:type="spellStart"/>
      <w:r w:rsidRPr="003F38E6">
        <w:t>Harmes</w:t>
      </w:r>
      <w:proofErr w:type="spellEnd"/>
      <w:r w:rsidRPr="003F38E6">
        <w:t xml:space="preserve"> (eds.), Feminicidio, una perspectiva global, México, CEIICH-UNAM/Cámara de Diputados LIX Legislatura, pp. 15-42; Toledo, </w:t>
      </w:r>
      <w:proofErr w:type="spellStart"/>
      <w:r w:rsidRPr="003F38E6">
        <w:t>Patsilí</w:t>
      </w:r>
      <w:proofErr w:type="spellEnd"/>
      <w:r w:rsidRPr="003F38E6">
        <w:t xml:space="preserve"> (2012), Feminicidio, México, Oficina del Alto Comisionado para los Derechos Humanos, ONU.</w:t>
      </w:r>
    </w:p>
  </w:footnote>
  <w:footnote w:id="16">
    <w:p w14:paraId="0AAED98F" w14:textId="7C4A5D81" w:rsidR="003F38E6" w:rsidRPr="003F38E6" w:rsidRDefault="003F38E6" w:rsidP="003F38E6">
      <w:pPr>
        <w:pStyle w:val="RTFootnotetext"/>
        <w:jc w:val="both"/>
        <w:rPr>
          <w:lang w:val="es-MX"/>
        </w:rPr>
      </w:pPr>
      <w:r>
        <w:rPr>
          <w:rStyle w:val="Refdenotaalpie"/>
        </w:rPr>
        <w:footnoteRef/>
      </w:r>
      <w:r>
        <w:t xml:space="preserve"> </w:t>
      </w:r>
      <w:r w:rsidRPr="007456BC">
        <w:t>INEGI (2019). Estadísticas a propósito del Día Internacional de la Eliminación de la Violencia contra la Mujer. Consultado en junio de 2020, disponible en: https://bit.ly/3btVKDk</w:t>
      </w:r>
    </w:p>
  </w:footnote>
  <w:footnote w:id="17">
    <w:p w14:paraId="11F9E9B7" w14:textId="6FE99361" w:rsidR="003F38E6" w:rsidRPr="003F38E6" w:rsidRDefault="003F38E6" w:rsidP="003F38E6">
      <w:pPr>
        <w:pStyle w:val="RTFootnotetext"/>
        <w:jc w:val="both"/>
        <w:rPr>
          <w:lang w:val="es-MX"/>
        </w:rPr>
      </w:pPr>
      <w:r>
        <w:rPr>
          <w:rStyle w:val="Refdenotaalpie"/>
        </w:rPr>
        <w:footnoteRef/>
      </w:r>
      <w:r>
        <w:t xml:space="preserve"> </w:t>
      </w:r>
      <w:r w:rsidRPr="007456BC">
        <w:t>INEGI (2019). Resultado del noveno censo nacional de impartición de justicia estatal. Consultado en julio de 2020, disponible en: https://bit.ly/32Wl6G5</w:t>
      </w:r>
    </w:p>
  </w:footnote>
  <w:footnote w:id="18">
    <w:p w14:paraId="5DEEC8E4" w14:textId="35527B30" w:rsidR="003F38E6" w:rsidRPr="003F38E6" w:rsidRDefault="003F38E6" w:rsidP="003F38E6">
      <w:pPr>
        <w:pStyle w:val="RTFootnotetext"/>
        <w:jc w:val="both"/>
        <w:rPr>
          <w:lang w:val="es-MX"/>
        </w:rPr>
      </w:pPr>
      <w:r>
        <w:rPr>
          <w:rStyle w:val="Refdenotaalpie"/>
        </w:rPr>
        <w:footnoteRef/>
      </w:r>
      <w:r>
        <w:t xml:space="preserve"> </w:t>
      </w:r>
      <w:r w:rsidRPr="007456BC">
        <w:rPr>
          <w:highlight w:val="white"/>
        </w:rPr>
        <w:t>Estas entidades son Nayarit, Colima, Chihuahua, Tlaxcala, Tamaulipas, Baja California Sur, Oaxaca y Aguascalientes.</w:t>
      </w:r>
    </w:p>
  </w:footnote>
  <w:footnote w:id="19">
    <w:p w14:paraId="71DD3085" w14:textId="7EC3C7E3" w:rsidR="003F38E6" w:rsidRPr="003F38E6" w:rsidRDefault="003F38E6" w:rsidP="003F38E6">
      <w:pPr>
        <w:pStyle w:val="RTFootnotetext"/>
        <w:jc w:val="both"/>
        <w:rPr>
          <w:lang w:val="es-MX"/>
        </w:rPr>
      </w:pPr>
      <w:r>
        <w:rPr>
          <w:rStyle w:val="Refdenotaalpie"/>
        </w:rPr>
        <w:footnoteRef/>
      </w:r>
      <w:r>
        <w:t xml:space="preserve"> </w:t>
      </w:r>
      <w:proofErr w:type="spellStart"/>
      <w:r w:rsidRPr="007456BC">
        <w:t>Panszi</w:t>
      </w:r>
      <w:proofErr w:type="spellEnd"/>
      <w:r w:rsidRPr="007456BC">
        <w:t xml:space="preserve"> T. R. (2020). Populismo punitivo, lugar común para gobiernos de izquierda y de derecha. Periódico Animal Político. Consultado en julio de 2020, disponible en: https://bit.ly/2Zanhou</w:t>
      </w:r>
    </w:p>
  </w:footnote>
  <w:footnote w:id="20">
    <w:p w14:paraId="6D6D9079" w14:textId="50B372E5" w:rsidR="003F38E6" w:rsidRPr="003F38E6" w:rsidRDefault="003F38E6" w:rsidP="003F38E6">
      <w:pPr>
        <w:pStyle w:val="RTFootnotetext"/>
        <w:jc w:val="both"/>
        <w:rPr>
          <w:lang w:val="es-MX"/>
        </w:rPr>
      </w:pPr>
      <w:r>
        <w:rPr>
          <w:rStyle w:val="Refdenotaalpie"/>
        </w:rPr>
        <w:footnoteRef/>
      </w:r>
      <w:r>
        <w:t xml:space="preserve"> </w:t>
      </w:r>
      <w:r w:rsidRPr="007456BC">
        <w:t>SCJN, Sentencia de amparo en revisión 1284/2015, 13 de noviembre de 2019, fundamento 102, disponible en: https://bit.ly/2QUpM9J</w:t>
      </w:r>
    </w:p>
  </w:footnote>
  <w:footnote w:id="21">
    <w:p w14:paraId="0738305A" w14:textId="2679447B" w:rsidR="003F38E6" w:rsidRPr="003F38E6" w:rsidRDefault="003F38E6" w:rsidP="003F38E6">
      <w:pPr>
        <w:pStyle w:val="RTFootnotetext"/>
        <w:jc w:val="both"/>
        <w:rPr>
          <w:lang w:val="es-MX"/>
        </w:rPr>
      </w:pPr>
      <w:r>
        <w:rPr>
          <w:rStyle w:val="Refdenotaalpie"/>
        </w:rPr>
        <w:footnoteRef/>
      </w:r>
      <w:r>
        <w:t xml:space="preserve"> </w:t>
      </w:r>
      <w:r w:rsidRPr="007456BC">
        <w:t xml:space="preserve">AI México (2020). Karla Pontigo fue víctima de feminicidio ¡La lucha </w:t>
      </w:r>
      <w:proofErr w:type="gramStart"/>
      <w:r w:rsidRPr="007456BC">
        <w:t>continúa!.</w:t>
      </w:r>
      <w:proofErr w:type="gramEnd"/>
      <w:r w:rsidRPr="007456BC">
        <w:t xml:space="preserve"> Disponible en: https://bit.ly/3h81iop</w:t>
      </w:r>
    </w:p>
  </w:footnote>
  <w:footnote w:id="22">
    <w:p w14:paraId="3FC797A3" w14:textId="4694F037" w:rsidR="003F38E6" w:rsidRPr="003F38E6" w:rsidRDefault="003F38E6" w:rsidP="003F38E6">
      <w:pPr>
        <w:pStyle w:val="RTFootnotetext"/>
        <w:jc w:val="both"/>
        <w:rPr>
          <w:lang w:val="es-MX"/>
        </w:rPr>
      </w:pPr>
      <w:r>
        <w:rPr>
          <w:rStyle w:val="Refdenotaalpie"/>
        </w:rPr>
        <w:footnoteRef/>
      </w:r>
      <w:r>
        <w:t xml:space="preserve"> </w:t>
      </w:r>
      <w:proofErr w:type="spellStart"/>
      <w:r w:rsidRPr="00CE0C87">
        <w:rPr>
          <w:i/>
          <w:iCs/>
        </w:rPr>
        <w:t>Ibid</w:t>
      </w:r>
      <w:proofErr w:type="spellEnd"/>
    </w:p>
  </w:footnote>
  <w:footnote w:id="23">
    <w:p w14:paraId="59BC378E" w14:textId="22E7D664" w:rsidR="00457917" w:rsidRPr="003F38E6" w:rsidRDefault="00457917" w:rsidP="003F38E6">
      <w:pPr>
        <w:pStyle w:val="RTFootnotetext"/>
        <w:jc w:val="both"/>
      </w:pPr>
      <w:r w:rsidRPr="003F38E6">
        <w:rPr>
          <w:rStyle w:val="Refdenotaalpie"/>
          <w:vertAlign w:val="baseline"/>
        </w:rPr>
        <w:footnoteRef/>
      </w:r>
      <w:r w:rsidRPr="003F38E6">
        <w:t xml:space="preserve"> </w:t>
      </w:r>
      <w:r w:rsidR="003F38E6" w:rsidRPr="003F38E6">
        <w:t>Comisión Nacional de Búsqueda (2020). RNPDNO: análisis por filtro 15 de marzo de 1964 al 4 de septiembre de 2020. de disponible en:</w:t>
      </w:r>
      <w:hyperlink r:id="rId1">
        <w:r w:rsidR="003F38E6" w:rsidRPr="003F38E6">
          <w:t xml:space="preserve"> </w:t>
        </w:r>
      </w:hyperlink>
      <w:r w:rsidR="003F38E6" w:rsidRPr="003F38E6">
        <w:t xml:space="preserve"> https://versionpublicarnpdno.segob.gob.mx/Dashboard/Sociodemografico</w:t>
      </w:r>
    </w:p>
  </w:footnote>
  <w:footnote w:id="24">
    <w:p w14:paraId="24AC31DB" w14:textId="77777777" w:rsidR="00457917" w:rsidRPr="003F38E6" w:rsidRDefault="00457917" w:rsidP="003F38E6">
      <w:pPr>
        <w:pStyle w:val="RTFootnotetext"/>
        <w:jc w:val="both"/>
      </w:pPr>
      <w:r w:rsidRPr="003F38E6">
        <w:rPr>
          <w:rStyle w:val="Refdenotaalpie"/>
          <w:vertAlign w:val="baseline"/>
        </w:rPr>
        <w:footnoteRef/>
      </w:r>
      <w:r w:rsidRPr="003F38E6">
        <w:t xml:space="preserve"> </w:t>
      </w:r>
      <w:proofErr w:type="spellStart"/>
      <w:r w:rsidRPr="003F38E6">
        <w:rPr>
          <w:i/>
          <w:iCs/>
        </w:rPr>
        <w:t>Ibid</w:t>
      </w:r>
      <w:proofErr w:type="spellEnd"/>
    </w:p>
  </w:footnote>
  <w:footnote w:id="25">
    <w:p w14:paraId="7D016E47" w14:textId="77777777" w:rsidR="00457917" w:rsidRPr="003F38E6" w:rsidRDefault="00457917" w:rsidP="003F38E6">
      <w:pPr>
        <w:pStyle w:val="RTFootnotetext"/>
        <w:jc w:val="both"/>
      </w:pPr>
      <w:r w:rsidRPr="003F38E6">
        <w:rPr>
          <w:rStyle w:val="Refdenotaalpie"/>
          <w:vertAlign w:val="baseline"/>
        </w:rPr>
        <w:footnoteRef/>
      </w:r>
      <w:r w:rsidRPr="003F38E6">
        <w:t xml:space="preserve"> </w:t>
      </w:r>
      <w:proofErr w:type="spellStart"/>
      <w:r w:rsidRPr="003F38E6">
        <w:rPr>
          <w:i/>
          <w:iCs/>
        </w:rPr>
        <w:t>Ibid</w:t>
      </w:r>
      <w:proofErr w:type="spellEnd"/>
    </w:p>
  </w:footnote>
  <w:footnote w:id="26">
    <w:p w14:paraId="3AF0A430" w14:textId="77777777" w:rsidR="00457917" w:rsidRPr="003F38E6" w:rsidRDefault="00457917" w:rsidP="003F38E6">
      <w:pPr>
        <w:pStyle w:val="RTFootnotetext"/>
        <w:jc w:val="both"/>
      </w:pPr>
      <w:r w:rsidRPr="003F38E6">
        <w:rPr>
          <w:rStyle w:val="Refdenotaalpie"/>
          <w:vertAlign w:val="baseline"/>
        </w:rPr>
        <w:footnoteRef/>
      </w:r>
      <w:r w:rsidRPr="003F38E6">
        <w:t xml:space="preserve"> </w:t>
      </w:r>
      <w:proofErr w:type="spellStart"/>
      <w:r w:rsidRPr="003F38E6">
        <w:rPr>
          <w:i/>
          <w:iCs/>
        </w:rPr>
        <w:t>Ibid</w:t>
      </w:r>
      <w:proofErr w:type="spellEnd"/>
    </w:p>
  </w:footnote>
  <w:footnote w:id="27">
    <w:p w14:paraId="3CD78BCC" w14:textId="77777777" w:rsidR="00457917" w:rsidRPr="003F38E6" w:rsidRDefault="00457917" w:rsidP="003F38E6">
      <w:pPr>
        <w:pStyle w:val="RTFootnotetext"/>
        <w:jc w:val="both"/>
      </w:pPr>
      <w:r w:rsidRPr="003F38E6">
        <w:rPr>
          <w:rStyle w:val="Refdenotaalpie"/>
          <w:vertAlign w:val="baseline"/>
        </w:rPr>
        <w:footnoteRef/>
      </w:r>
      <w:r w:rsidRPr="003F38E6">
        <w:t xml:space="preserve"> </w:t>
      </w:r>
      <w:proofErr w:type="gramStart"/>
      <w:r w:rsidRPr="003F38E6">
        <w:t>UNICEF(</w:t>
      </w:r>
      <w:proofErr w:type="gramEnd"/>
      <w:r w:rsidRPr="003F38E6">
        <w:t xml:space="preserve">2019). Panorama estadístico de la violencia contra niñas, niños y adolescentes en México, p. 66. Consultado en julio de 2020, disponible en: </w:t>
      </w:r>
      <w:hyperlink r:id="rId2">
        <w:r w:rsidRPr="003F38E6">
          <w:t>https://www.unicef.org/mexico/informes/panorama-estad%C3%ADstico-de-la-violencia</w:t>
        </w:r>
      </w:hyperlink>
    </w:p>
  </w:footnote>
  <w:footnote w:id="28">
    <w:p w14:paraId="341ADA17" w14:textId="77777777" w:rsidR="00457917" w:rsidRPr="003F38E6" w:rsidRDefault="00457917" w:rsidP="003F38E6">
      <w:pPr>
        <w:pStyle w:val="RTFootnotetext"/>
        <w:jc w:val="both"/>
      </w:pPr>
      <w:r w:rsidRPr="003F38E6">
        <w:rPr>
          <w:rStyle w:val="Refdenotaalpie"/>
          <w:vertAlign w:val="baseline"/>
        </w:rPr>
        <w:footnoteRef/>
      </w:r>
      <w:r w:rsidRPr="003F38E6">
        <w:t xml:space="preserve"> </w:t>
      </w:r>
      <w:sdt>
        <w:sdtPr>
          <w:tag w:val="goog_rdk_0"/>
          <w:id w:val="265826205"/>
        </w:sdtPr>
        <w:sdtEndPr/>
        <w:sdtContent>
          <w:r w:rsidRPr="003F38E6">
            <w:t xml:space="preserve">Observatorio Ciudadano sobre Derechos de las Víctimas (2020). Monitoreo de la Ley General en Materia De Desaparición Forzada de Personas, Desaparición Cometida por Particulares y del Sistema Nacional de </w:t>
          </w:r>
          <w:proofErr w:type="spellStart"/>
          <w:r w:rsidRPr="003F38E6">
            <w:t>Búsqueda</w:t>
          </w:r>
          <w:proofErr w:type="spellEnd"/>
          <w:r w:rsidRPr="003F38E6">
            <w:t xml:space="preserve"> de Personas. Consultado en septiembre de 2020. Disponible en: https://bit.ly/3i3nnFJ</w:t>
          </w:r>
        </w:sdtContent>
      </w:sdt>
    </w:p>
  </w:footnote>
  <w:footnote w:id="29">
    <w:p w14:paraId="052D7B0D" w14:textId="77777777" w:rsidR="00457917" w:rsidRPr="003F38E6" w:rsidRDefault="00457917" w:rsidP="003F38E6">
      <w:pPr>
        <w:pStyle w:val="RTFootnotetext"/>
        <w:jc w:val="both"/>
      </w:pPr>
      <w:r w:rsidRPr="003F38E6">
        <w:rPr>
          <w:rStyle w:val="Refdenotaalpie"/>
          <w:vertAlign w:val="baseline"/>
        </w:rPr>
        <w:footnoteRef/>
      </w:r>
      <w:r w:rsidRPr="003F38E6">
        <w:t xml:space="preserve"> Data Cívica (2020). Comunicado: Es necesario publicar la metodología y base de datos en formato abierto del RNPDNO como mecanismo de transparencia, verificación y rendición de cuentas. Disponible en: https://bit.ly/3jIY5NF</w:t>
      </w:r>
    </w:p>
  </w:footnote>
  <w:footnote w:id="30">
    <w:p w14:paraId="3CD65B45" w14:textId="77777777" w:rsidR="00457917" w:rsidRPr="007456BC" w:rsidRDefault="00457917" w:rsidP="003F38E6">
      <w:pPr>
        <w:pStyle w:val="RTFootnotetext"/>
        <w:jc w:val="both"/>
      </w:pPr>
      <w:r w:rsidRPr="003F38E6">
        <w:rPr>
          <w:rStyle w:val="Refdenotaalpie"/>
          <w:vertAlign w:val="baseline"/>
        </w:rPr>
        <w:footnoteRef/>
      </w:r>
      <w:r w:rsidRPr="003F38E6">
        <w:t xml:space="preserve"> Secretaría de Gobernación (2020). Atender emergencia forense en el país, prioridad del gobierno de México, reafirma Alejandro Encinas. Disponible en: https://bit.ly/3hZIrNp</w:t>
      </w:r>
    </w:p>
  </w:footnote>
  <w:footnote w:id="31">
    <w:p w14:paraId="457124A9" w14:textId="3EA94FC6" w:rsidR="007355E0" w:rsidRPr="007355E0" w:rsidRDefault="007355E0" w:rsidP="007355E0">
      <w:pPr>
        <w:pStyle w:val="RTFootnotetext"/>
        <w:jc w:val="both"/>
        <w:rPr>
          <w:lang w:val="es-MX"/>
        </w:rPr>
      </w:pPr>
      <w:r>
        <w:rPr>
          <w:rStyle w:val="Refdenotaalpie"/>
        </w:rPr>
        <w:footnoteRef/>
      </w:r>
      <w:r>
        <w:t xml:space="preserve"> </w:t>
      </w:r>
      <w:r w:rsidRPr="007456BC">
        <w:t>Comisión Nacional de Búsqueda (2020). Informe sobre fosas clandestinas y registro nacional de personas desaparecidas o no localizadas. Consultado en julio de 2020. Disponible en:</w:t>
      </w:r>
      <w:hyperlink r:id="rId3">
        <w:r w:rsidRPr="007456BC">
          <w:t xml:space="preserve"> https://bit.ly/3dTqrkZ</w:t>
        </w:r>
      </w:hyperlink>
    </w:p>
  </w:footnote>
  <w:footnote w:id="32">
    <w:p w14:paraId="01E7FAF3" w14:textId="6E92599C" w:rsidR="007355E0" w:rsidRPr="007355E0" w:rsidRDefault="007355E0" w:rsidP="007355E0">
      <w:pPr>
        <w:pStyle w:val="RTFootnotetext"/>
        <w:jc w:val="both"/>
        <w:rPr>
          <w:lang w:val="es-MX"/>
        </w:rPr>
      </w:pPr>
      <w:r>
        <w:rPr>
          <w:rStyle w:val="Refdenotaalpie"/>
        </w:rPr>
        <w:footnoteRef/>
      </w:r>
      <w:r>
        <w:t xml:space="preserve"> </w:t>
      </w:r>
      <w:r w:rsidRPr="007456BC">
        <w:t>Animal Político (2020). En México hay más de 73 mil desaparecidos y más de 3 mil fosas clandestinas. Consultado en septiembre de 2020. Disponible en: https://bit.ly/3569qDq</w:t>
      </w:r>
    </w:p>
  </w:footnote>
  <w:footnote w:id="33">
    <w:p w14:paraId="12CED197" w14:textId="357A208E" w:rsidR="007355E0" w:rsidRPr="007355E0" w:rsidRDefault="007355E0" w:rsidP="007355E0">
      <w:pPr>
        <w:pStyle w:val="RTFootnotetext"/>
        <w:jc w:val="both"/>
        <w:rPr>
          <w:lang w:val="es-MX"/>
        </w:rPr>
      </w:pPr>
      <w:r>
        <w:rPr>
          <w:rStyle w:val="Refdenotaalpie"/>
        </w:rPr>
        <w:footnoteRef/>
      </w:r>
      <w:r>
        <w:t xml:space="preserve"> </w:t>
      </w:r>
      <w:r w:rsidRPr="007456BC">
        <w:t>Secretaría de Gobernación (2020). ACUERDO SNBP/001/2019 por el que se aprueba la creación del Mecanismo Extraordinario de Identificación Forense. Consultado en julio de 2020, disponible en:</w:t>
      </w:r>
      <w:hyperlink r:id="rId4">
        <w:r w:rsidRPr="007456BC">
          <w:t xml:space="preserve"> </w:t>
        </w:r>
      </w:hyperlink>
      <w:r w:rsidRPr="007456BC">
        <w:t>https://bit.ly/3jIYgsj</w:t>
      </w:r>
    </w:p>
  </w:footnote>
  <w:footnote w:id="34">
    <w:p w14:paraId="79A79B57" w14:textId="4B871AE4" w:rsidR="007355E0" w:rsidRPr="007355E0" w:rsidRDefault="007355E0" w:rsidP="007355E0">
      <w:pPr>
        <w:pStyle w:val="RTFootnotetext"/>
        <w:jc w:val="both"/>
        <w:rPr>
          <w:lang w:val="es-MX"/>
        </w:rPr>
      </w:pPr>
      <w:r>
        <w:rPr>
          <w:rStyle w:val="Refdenotaalpie"/>
        </w:rPr>
        <w:footnoteRef/>
      </w:r>
      <w:r>
        <w:t xml:space="preserve"> </w:t>
      </w:r>
      <w:r w:rsidRPr="007456BC">
        <w:rPr>
          <w:highlight w:val="white"/>
        </w:rPr>
        <w:t xml:space="preserve">Comisión Nacional para Prevenir y Erradicar la Violencia contra las Mujeres </w:t>
      </w:r>
      <w:r w:rsidRPr="007456BC">
        <w:t xml:space="preserve">(2020). Alertas de Violencia de Género declaradas. Consultado en julio de 2020, disponible en:  </w:t>
      </w:r>
      <w:hyperlink r:id="rId5">
        <w:r w:rsidRPr="007456BC">
          <w:t>https://www.gob.mx/conavim</w:t>
        </w:r>
      </w:hyperlink>
    </w:p>
  </w:footnote>
  <w:footnote w:id="35">
    <w:p w14:paraId="13744215" w14:textId="718E2610" w:rsidR="007355E0" w:rsidRPr="007355E0" w:rsidRDefault="007355E0" w:rsidP="007355E0">
      <w:pPr>
        <w:pStyle w:val="RTFootnotetext"/>
        <w:jc w:val="both"/>
        <w:rPr>
          <w:lang w:val="es-MX"/>
        </w:rPr>
      </w:pPr>
      <w:r>
        <w:rPr>
          <w:rStyle w:val="Refdenotaalpie"/>
        </w:rPr>
        <w:footnoteRef/>
      </w:r>
      <w:r>
        <w:t xml:space="preserve"> </w:t>
      </w:r>
      <w:r w:rsidRPr="007456BC">
        <w:t>Lucas B. y Roth F. (2018). Informe de evaluación del funcionamiento del mecanismo, p. 60. INMUJERES Y CONAVIM. Consultado en julio de 2020, disponible en: https://bit.ly/3lQPhaf</w:t>
      </w:r>
    </w:p>
  </w:footnote>
  <w:footnote w:id="36">
    <w:p w14:paraId="0D5B88CD" w14:textId="4FC5544D" w:rsidR="007355E0" w:rsidRPr="007355E0" w:rsidRDefault="007355E0" w:rsidP="007355E0">
      <w:pPr>
        <w:pStyle w:val="RTFootnotetext"/>
        <w:jc w:val="both"/>
        <w:rPr>
          <w:lang w:val="es-MX"/>
        </w:rPr>
      </w:pPr>
      <w:r>
        <w:rPr>
          <w:rStyle w:val="Refdenotaalpie"/>
        </w:rPr>
        <w:footnoteRef/>
      </w:r>
      <w:r>
        <w:t xml:space="preserve"> </w:t>
      </w:r>
      <w:r w:rsidRPr="007456BC">
        <w:t>INMUJERES (2018). EUROSOCIAL+ presenta Informe de Evaluación de la AVGM. Consultado en julio de 2020, disponible en: https://bit.ly/3h3NH18</w:t>
      </w:r>
    </w:p>
  </w:footnote>
  <w:footnote w:id="37">
    <w:p w14:paraId="2EF19C41" w14:textId="729AE5E0" w:rsidR="007355E0" w:rsidRPr="007355E0" w:rsidRDefault="007355E0" w:rsidP="007355E0">
      <w:pPr>
        <w:pStyle w:val="RTFootnotetext"/>
        <w:jc w:val="both"/>
        <w:rPr>
          <w:lang w:val="es-MX"/>
        </w:rPr>
      </w:pPr>
      <w:r>
        <w:rPr>
          <w:rStyle w:val="Refdenotaalpie"/>
        </w:rPr>
        <w:footnoteRef/>
      </w:r>
      <w:r>
        <w:t xml:space="preserve"> </w:t>
      </w:r>
      <w:proofErr w:type="spellStart"/>
      <w:r w:rsidRPr="00786590">
        <w:rPr>
          <w:i/>
          <w:iCs/>
        </w:rPr>
        <w:t>Ibid</w:t>
      </w:r>
      <w:proofErr w:type="spellEnd"/>
    </w:p>
  </w:footnote>
  <w:footnote w:id="38">
    <w:p w14:paraId="78875908" w14:textId="6C24F9E1" w:rsidR="007355E0" w:rsidRPr="007355E0" w:rsidRDefault="007355E0" w:rsidP="007355E0">
      <w:pPr>
        <w:pStyle w:val="RTFootnotetext"/>
        <w:jc w:val="both"/>
        <w:rPr>
          <w:lang w:val="es-MX"/>
        </w:rPr>
      </w:pPr>
      <w:r>
        <w:rPr>
          <w:rStyle w:val="Refdenotaalpie"/>
        </w:rPr>
        <w:footnoteRef/>
      </w:r>
      <w:r>
        <w:t xml:space="preserve"> </w:t>
      </w:r>
      <w:proofErr w:type="spellStart"/>
      <w:proofErr w:type="gramStart"/>
      <w:r w:rsidRPr="007456BC">
        <w:t>Dof</w:t>
      </w:r>
      <w:proofErr w:type="spellEnd"/>
      <w:r w:rsidRPr="007456BC">
        <w:t>(</w:t>
      </w:r>
      <w:proofErr w:type="gramEnd"/>
      <w:r w:rsidRPr="007456BC">
        <w:t>2020). DECRETO por el que se establecen las medidas de austeridad que deberán observar las dependencias y entidades de la Administración Pública Federal bajo los criterios que en el mismo se indican. Consultado en julio de 2020. Disponible en: https://bit.ly/2EXxY6Q</w:t>
      </w:r>
    </w:p>
  </w:footnote>
  <w:footnote w:id="39">
    <w:p w14:paraId="699FB5CC" w14:textId="3DCB366B" w:rsidR="007355E0" w:rsidRPr="007355E0" w:rsidRDefault="007355E0" w:rsidP="007355E0">
      <w:pPr>
        <w:pStyle w:val="RTFootnotetext"/>
        <w:jc w:val="both"/>
        <w:rPr>
          <w:lang w:val="es-MX"/>
        </w:rPr>
      </w:pPr>
      <w:r>
        <w:rPr>
          <w:rStyle w:val="Refdenotaalpie"/>
        </w:rPr>
        <w:footnoteRef/>
      </w:r>
      <w:r>
        <w:t xml:space="preserve"> </w:t>
      </w:r>
      <w:r w:rsidRPr="007456BC">
        <w:t>AI México (2020). Amnistía Internacional seguirá vigilante de que los programas para atender las violencias contra las mujeres cuenten con presupuestos para su aplicación. Consultado en julio de 2020. Disponible en: https://bit.ly/31YMPXr</w:t>
      </w:r>
    </w:p>
  </w:footnote>
  <w:footnote w:id="40">
    <w:p w14:paraId="4ADCC5BB" w14:textId="7DD714E3" w:rsidR="007355E0" w:rsidRPr="007355E0" w:rsidRDefault="007355E0" w:rsidP="007355E0">
      <w:pPr>
        <w:pStyle w:val="RTFootnotetext"/>
        <w:jc w:val="both"/>
        <w:rPr>
          <w:lang w:val="es-MX"/>
        </w:rPr>
      </w:pPr>
      <w:r>
        <w:rPr>
          <w:rStyle w:val="Refdenotaalpie"/>
        </w:rPr>
        <w:footnoteRef/>
      </w:r>
      <w:r>
        <w:t xml:space="preserve"> </w:t>
      </w:r>
      <w:r w:rsidRPr="007456BC">
        <w:t>AI (2019). México: Cuando las palabras no bastan. Consultado en junio de 2020, disponible en: https://bit.ly/35j4onh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77CC3" w14:textId="77777777" w:rsidR="00B262DD" w:rsidRPr="00706917" w:rsidRDefault="00B262DD" w:rsidP="00472CD3">
    <w:pPr>
      <w:pStyle w:val="Encabezado"/>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5BA4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729C4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6091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F62B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D7458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90EA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6B9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781D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A060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681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CC6D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pStyle w:val="Ttulo1"/>
      <w:suff w:val="nothing"/>
      <w:lvlText w:val=""/>
      <w:lvlJc w:val="left"/>
      <w:pPr>
        <w:tabs>
          <w:tab w:val="num" w:pos="0"/>
        </w:tabs>
      </w:pPr>
      <w:rPr>
        <w:rFonts w:cs="Times New Roman"/>
      </w:rPr>
    </w:lvl>
    <w:lvl w:ilvl="1">
      <w:start w:val="1"/>
      <w:numFmt w:val="none"/>
      <w:pStyle w:val="Ttulo2"/>
      <w:suff w:val="nothing"/>
      <w:lvlText w:val=""/>
      <w:lvlJc w:val="left"/>
      <w:pPr>
        <w:tabs>
          <w:tab w:val="num" w:pos="0"/>
        </w:tabs>
      </w:pPr>
      <w:rPr>
        <w:rFonts w:cs="Times New Roman"/>
      </w:rPr>
    </w:lvl>
    <w:lvl w:ilvl="2">
      <w:start w:val="1"/>
      <w:numFmt w:val="none"/>
      <w:pStyle w:val="Ttulo3"/>
      <w:suff w:val="nothing"/>
      <w:lvlText w:val=""/>
      <w:lvlJc w:val="left"/>
      <w:pPr>
        <w:tabs>
          <w:tab w:val="num" w:pos="0"/>
        </w:tabs>
      </w:pPr>
      <w:rPr>
        <w:rFonts w:cs="Times New Roman"/>
      </w:rPr>
    </w:lvl>
    <w:lvl w:ilvl="3">
      <w:start w:val="1"/>
      <w:numFmt w:val="none"/>
      <w:pStyle w:val="Ttulo4"/>
      <w:suff w:val="nothing"/>
      <w:lvlText w:val=""/>
      <w:lvlJc w:val="left"/>
      <w:pPr>
        <w:tabs>
          <w:tab w:val="num" w:pos="0"/>
        </w:tabs>
      </w:pPr>
      <w:rPr>
        <w:rFonts w:cs="Times New Roman"/>
      </w:rPr>
    </w:lvl>
    <w:lvl w:ilvl="4">
      <w:start w:val="1"/>
      <w:numFmt w:val="none"/>
      <w:pStyle w:val="Ttulo5"/>
      <w:suff w:val="nothing"/>
      <w:lvlText w:val=""/>
      <w:lvlJc w:val="left"/>
      <w:pPr>
        <w:tabs>
          <w:tab w:val="num" w:pos="0"/>
        </w:tabs>
      </w:pPr>
      <w:rPr>
        <w:rFonts w:cs="Times New Roman"/>
      </w:rPr>
    </w:lvl>
    <w:lvl w:ilvl="5">
      <w:start w:val="1"/>
      <w:numFmt w:val="none"/>
      <w:pStyle w:val="Ttulo6"/>
      <w:suff w:val="nothing"/>
      <w:lvlText w:val=""/>
      <w:lvlJc w:val="left"/>
      <w:pPr>
        <w:tabs>
          <w:tab w:val="num" w:pos="0"/>
        </w:tabs>
      </w:pPr>
      <w:rPr>
        <w:rFonts w:cs="Times New Roman"/>
      </w:rPr>
    </w:lvl>
    <w:lvl w:ilvl="6">
      <w:start w:val="1"/>
      <w:numFmt w:val="none"/>
      <w:pStyle w:val="Ttulo7"/>
      <w:suff w:val="nothing"/>
      <w:lvlText w:val=""/>
      <w:lvlJc w:val="left"/>
      <w:pPr>
        <w:tabs>
          <w:tab w:val="num" w:pos="0"/>
        </w:tabs>
      </w:pPr>
      <w:rPr>
        <w:rFonts w:cs="Times New Roman"/>
      </w:rPr>
    </w:lvl>
    <w:lvl w:ilvl="7">
      <w:start w:val="1"/>
      <w:numFmt w:val="none"/>
      <w:pStyle w:val="Ttulo8"/>
      <w:suff w:val="nothing"/>
      <w:lvlText w:val=""/>
      <w:lvlJc w:val="left"/>
      <w:pPr>
        <w:tabs>
          <w:tab w:val="num" w:pos="0"/>
        </w:tabs>
      </w:pPr>
      <w:rPr>
        <w:rFonts w:cs="Times New Roman"/>
      </w:rPr>
    </w:lvl>
    <w:lvl w:ilvl="8">
      <w:start w:val="1"/>
      <w:numFmt w:val="none"/>
      <w:pStyle w:val="Ttulo9"/>
      <w:suff w:val="nothing"/>
      <w:lvlText w:val=""/>
      <w:lvlJc w:val="left"/>
      <w:pPr>
        <w:tabs>
          <w:tab w:val="num" w:pos="0"/>
        </w:tabs>
      </w:pPr>
      <w:rPr>
        <w:rFonts w:cs="Times New Roman"/>
      </w:rPr>
    </w:lvl>
  </w:abstractNum>
  <w:abstractNum w:abstractNumId="12" w15:restartNumberingAfterBreak="0">
    <w:nsid w:val="0C9B36E6"/>
    <w:multiLevelType w:val="multilevel"/>
    <w:tmpl w:val="AC7CA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722CD9"/>
    <w:multiLevelType w:val="hybridMultilevel"/>
    <w:tmpl w:val="B3A8A968"/>
    <w:lvl w:ilvl="0" w:tplc="F30241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C10880"/>
    <w:multiLevelType w:val="multilevel"/>
    <w:tmpl w:val="615212AA"/>
    <w:lvl w:ilvl="0">
      <w:start w:val="1"/>
      <w:numFmt w:val="decimal"/>
      <w:suff w:val="space"/>
      <w:lvlText w:val="%1."/>
      <w:lvlJc w:val="left"/>
      <w:pPr>
        <w:ind w:left="596" w:hanging="454"/>
      </w:pPr>
      <w:rPr>
        <w:rFonts w:hint="default"/>
      </w:rPr>
    </w:lvl>
    <w:lvl w:ilvl="1">
      <w:start w:val="1"/>
      <w:numFmt w:val="decimal"/>
      <w:suff w:val="space"/>
      <w:lvlText w:val="%1.%2"/>
      <w:lvlJc w:val="left"/>
      <w:pPr>
        <w:ind w:left="3005" w:hanging="3005"/>
      </w:pPr>
      <w:rPr>
        <w:rFonts w:hint="default"/>
      </w:rPr>
    </w:lvl>
    <w:lvl w:ilvl="2">
      <w:start w:val="1"/>
      <w:numFmt w:val="decimal"/>
      <w:suff w:val="space"/>
      <w:lvlText w:val="1.1.%3"/>
      <w:lvlJc w:val="left"/>
      <w:pPr>
        <w:ind w:left="454" w:hanging="454"/>
      </w:pPr>
      <w:rPr>
        <w:rFonts w:hint="default"/>
      </w:rPr>
    </w:lvl>
    <w:lvl w:ilvl="3">
      <w:start w:val="1"/>
      <w:numFmt w:val="none"/>
      <w:lvlText w:val="%4."/>
      <w:lvlJc w:val="left"/>
      <w:pPr>
        <w:tabs>
          <w:tab w:val="num" w:pos="2517"/>
        </w:tabs>
        <w:ind w:left="2880" w:hanging="2880"/>
      </w:pPr>
      <w:rPr>
        <w:rFonts w:hint="default"/>
      </w:rPr>
    </w:lvl>
    <w:lvl w:ilvl="4">
      <w:start w:val="1"/>
      <w:numFmt w:val="none"/>
      <w:lvlText w:val="%5."/>
      <w:lvlJc w:val="left"/>
      <w:pPr>
        <w:tabs>
          <w:tab w:val="num" w:pos="3238"/>
        </w:tabs>
        <w:ind w:left="3600" w:hanging="360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7CD58A3"/>
    <w:multiLevelType w:val="hybridMultilevel"/>
    <w:tmpl w:val="3A78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D6AC5"/>
    <w:multiLevelType w:val="multilevel"/>
    <w:tmpl w:val="C1E62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2873AB1"/>
    <w:multiLevelType w:val="multilevel"/>
    <w:tmpl w:val="9482A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E496B79"/>
    <w:multiLevelType w:val="multilevel"/>
    <w:tmpl w:val="021E882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276C7C"/>
    <w:multiLevelType w:val="multilevel"/>
    <w:tmpl w:val="2C4E2A0E"/>
    <w:styleLink w:val="RTNumberedList"/>
    <w:lvl w:ilvl="0">
      <w:start w:val="1"/>
      <w:numFmt w:val="decimal"/>
      <w:pStyle w:val="RTTitlenumbered"/>
      <w:suff w:val="space"/>
      <w:lvlText w:val="%1."/>
      <w:lvlJc w:val="left"/>
      <w:pPr>
        <w:ind w:left="596" w:hanging="454"/>
      </w:pPr>
      <w:rPr>
        <w:rFonts w:hint="default"/>
      </w:rPr>
    </w:lvl>
    <w:lvl w:ilvl="1">
      <w:start w:val="1"/>
      <w:numFmt w:val="decimal"/>
      <w:suff w:val="space"/>
      <w:lvlText w:val="%1.%2"/>
      <w:lvlJc w:val="left"/>
      <w:pPr>
        <w:ind w:left="3714"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24"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23"/>
  </w:num>
  <w:num w:numId="4">
    <w:abstractNumId w:val="21"/>
  </w:num>
  <w:num w:numId="5">
    <w:abstractNumId w:val="17"/>
  </w:num>
  <w:num w:numId="6">
    <w:abstractNumId w:val="14"/>
  </w:num>
  <w:num w:numId="7">
    <w:abstractNumId w:val="21"/>
  </w:num>
  <w:num w:numId="8">
    <w:abstractNumId w:val="13"/>
  </w:num>
  <w:num w:numId="9">
    <w:abstractNumId w:val="22"/>
  </w:num>
  <w:num w:numId="10">
    <w:abstractNumId w:val="0"/>
  </w:num>
  <w:num w:numId="11">
    <w:abstractNumId w:val="18"/>
  </w:num>
  <w:num w:numId="12">
    <w:abstractNumId w:val="21"/>
  </w:num>
  <w:num w:numId="13">
    <w:abstractNumId w:val="21"/>
  </w:num>
  <w:num w:numId="14">
    <w:abstractNumId w:val="15"/>
  </w:num>
  <w:num w:numId="15">
    <w:abstractNumId w:val="20"/>
  </w:num>
  <w:num w:numId="16">
    <w:abstractNumId w:val="23"/>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12"/>
  </w:num>
  <w:num w:numId="28">
    <w:abstractNumId w:val="19"/>
  </w:num>
  <w:num w:numId="29">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LockTheme/>
  <w:styleLockQFSet/>
  <w:defaultTabStop w:val="720"/>
  <w:hyphenationZone w:val="425"/>
  <w:doNotShadeFormData/>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60DFC"/>
    <w:rsid w:val="00001E28"/>
    <w:rsid w:val="00005626"/>
    <w:rsid w:val="00007135"/>
    <w:rsid w:val="00020B73"/>
    <w:rsid w:val="000228E2"/>
    <w:rsid w:val="00024FA1"/>
    <w:rsid w:val="000328DB"/>
    <w:rsid w:val="00041D51"/>
    <w:rsid w:val="000432E6"/>
    <w:rsid w:val="00043D6E"/>
    <w:rsid w:val="00045BB0"/>
    <w:rsid w:val="000471E0"/>
    <w:rsid w:val="00050C97"/>
    <w:rsid w:val="0005440E"/>
    <w:rsid w:val="000552CE"/>
    <w:rsid w:val="00056B0F"/>
    <w:rsid w:val="00074BB7"/>
    <w:rsid w:val="000755A5"/>
    <w:rsid w:val="00083118"/>
    <w:rsid w:val="0008692A"/>
    <w:rsid w:val="00091A13"/>
    <w:rsid w:val="0009319E"/>
    <w:rsid w:val="000A1F57"/>
    <w:rsid w:val="000A3D57"/>
    <w:rsid w:val="000A5A84"/>
    <w:rsid w:val="000B045C"/>
    <w:rsid w:val="000C1692"/>
    <w:rsid w:val="000C4DE6"/>
    <w:rsid w:val="000C643F"/>
    <w:rsid w:val="000C6A04"/>
    <w:rsid w:val="000D4AF3"/>
    <w:rsid w:val="000E203B"/>
    <w:rsid w:val="000E41E9"/>
    <w:rsid w:val="000F12A9"/>
    <w:rsid w:val="00102314"/>
    <w:rsid w:val="00104EBF"/>
    <w:rsid w:val="001070A5"/>
    <w:rsid w:val="001079FA"/>
    <w:rsid w:val="001122B7"/>
    <w:rsid w:val="001174C3"/>
    <w:rsid w:val="0012413A"/>
    <w:rsid w:val="00133AE6"/>
    <w:rsid w:val="0014127F"/>
    <w:rsid w:val="00143477"/>
    <w:rsid w:val="001469C1"/>
    <w:rsid w:val="00152840"/>
    <w:rsid w:val="001540E7"/>
    <w:rsid w:val="00163309"/>
    <w:rsid w:val="00171BE5"/>
    <w:rsid w:val="00175A91"/>
    <w:rsid w:val="001853C3"/>
    <w:rsid w:val="00186842"/>
    <w:rsid w:val="0018775C"/>
    <w:rsid w:val="00195BB5"/>
    <w:rsid w:val="00195E5B"/>
    <w:rsid w:val="001A1DC8"/>
    <w:rsid w:val="001A5C77"/>
    <w:rsid w:val="001B0115"/>
    <w:rsid w:val="001B36C0"/>
    <w:rsid w:val="001C5983"/>
    <w:rsid w:val="001D035C"/>
    <w:rsid w:val="001D7793"/>
    <w:rsid w:val="001D7DAE"/>
    <w:rsid w:val="001E0637"/>
    <w:rsid w:val="001E4B32"/>
    <w:rsid w:val="001E4CE0"/>
    <w:rsid w:val="001E5959"/>
    <w:rsid w:val="001E67CE"/>
    <w:rsid w:val="001F4A49"/>
    <w:rsid w:val="002001FB"/>
    <w:rsid w:val="00202875"/>
    <w:rsid w:val="00202C2B"/>
    <w:rsid w:val="002047AE"/>
    <w:rsid w:val="00205601"/>
    <w:rsid w:val="002075EA"/>
    <w:rsid w:val="00207E9F"/>
    <w:rsid w:val="00207EC9"/>
    <w:rsid w:val="00212A6C"/>
    <w:rsid w:val="00222A74"/>
    <w:rsid w:val="0023128F"/>
    <w:rsid w:val="00231B62"/>
    <w:rsid w:val="0023291A"/>
    <w:rsid w:val="00233491"/>
    <w:rsid w:val="00237DB3"/>
    <w:rsid w:val="00241463"/>
    <w:rsid w:val="00243887"/>
    <w:rsid w:val="002442B0"/>
    <w:rsid w:val="0025302C"/>
    <w:rsid w:val="0026153F"/>
    <w:rsid w:val="00262112"/>
    <w:rsid w:val="00267718"/>
    <w:rsid w:val="0027322B"/>
    <w:rsid w:val="002735ED"/>
    <w:rsid w:val="002752EA"/>
    <w:rsid w:val="00276127"/>
    <w:rsid w:val="002808CF"/>
    <w:rsid w:val="002810A0"/>
    <w:rsid w:val="0028112E"/>
    <w:rsid w:val="002908C3"/>
    <w:rsid w:val="00290B00"/>
    <w:rsid w:val="0029121E"/>
    <w:rsid w:val="002919C3"/>
    <w:rsid w:val="00293B3F"/>
    <w:rsid w:val="002975C4"/>
    <w:rsid w:val="002A0A52"/>
    <w:rsid w:val="002A172F"/>
    <w:rsid w:val="002B38F9"/>
    <w:rsid w:val="002B6018"/>
    <w:rsid w:val="002C1EB5"/>
    <w:rsid w:val="002C2AE7"/>
    <w:rsid w:val="002C2DB2"/>
    <w:rsid w:val="002D0DBB"/>
    <w:rsid w:val="002D11F3"/>
    <w:rsid w:val="002D4B9D"/>
    <w:rsid w:val="002D7F94"/>
    <w:rsid w:val="002E16BE"/>
    <w:rsid w:val="002E6F00"/>
    <w:rsid w:val="002F10AC"/>
    <w:rsid w:val="002F688D"/>
    <w:rsid w:val="00312B7A"/>
    <w:rsid w:val="003146DE"/>
    <w:rsid w:val="00331D30"/>
    <w:rsid w:val="00333D05"/>
    <w:rsid w:val="00333FF2"/>
    <w:rsid w:val="0033582C"/>
    <w:rsid w:val="0033667F"/>
    <w:rsid w:val="00337B08"/>
    <w:rsid w:val="00346DC4"/>
    <w:rsid w:val="00360DFC"/>
    <w:rsid w:val="00365FE4"/>
    <w:rsid w:val="00366DBF"/>
    <w:rsid w:val="00370820"/>
    <w:rsid w:val="00371005"/>
    <w:rsid w:val="003715C3"/>
    <w:rsid w:val="00374C63"/>
    <w:rsid w:val="00374CF4"/>
    <w:rsid w:val="0038299B"/>
    <w:rsid w:val="0039063C"/>
    <w:rsid w:val="0039154C"/>
    <w:rsid w:val="00396A31"/>
    <w:rsid w:val="003A1223"/>
    <w:rsid w:val="003A1373"/>
    <w:rsid w:val="003A31A1"/>
    <w:rsid w:val="003A78ED"/>
    <w:rsid w:val="003A7C7C"/>
    <w:rsid w:val="003B352A"/>
    <w:rsid w:val="003B5467"/>
    <w:rsid w:val="003B70DA"/>
    <w:rsid w:val="003B7167"/>
    <w:rsid w:val="003C08D2"/>
    <w:rsid w:val="003C4918"/>
    <w:rsid w:val="003C514F"/>
    <w:rsid w:val="003C5417"/>
    <w:rsid w:val="003D29C6"/>
    <w:rsid w:val="003D50EB"/>
    <w:rsid w:val="003D717F"/>
    <w:rsid w:val="003E12E3"/>
    <w:rsid w:val="003E3E74"/>
    <w:rsid w:val="003E4457"/>
    <w:rsid w:val="003E48D2"/>
    <w:rsid w:val="003E5F8D"/>
    <w:rsid w:val="003E6436"/>
    <w:rsid w:val="003E6CDA"/>
    <w:rsid w:val="003E750C"/>
    <w:rsid w:val="003F38E6"/>
    <w:rsid w:val="0041113E"/>
    <w:rsid w:val="0041288B"/>
    <w:rsid w:val="00413D53"/>
    <w:rsid w:val="00415290"/>
    <w:rsid w:val="00423357"/>
    <w:rsid w:val="0043158B"/>
    <w:rsid w:val="00435420"/>
    <w:rsid w:val="00444156"/>
    <w:rsid w:val="00444FA5"/>
    <w:rsid w:val="00450DD5"/>
    <w:rsid w:val="00457917"/>
    <w:rsid w:val="0046262A"/>
    <w:rsid w:val="00464A63"/>
    <w:rsid w:val="00467DA9"/>
    <w:rsid w:val="00467DAC"/>
    <w:rsid w:val="0047038B"/>
    <w:rsid w:val="00471EB5"/>
    <w:rsid w:val="00472CD3"/>
    <w:rsid w:val="00477B1D"/>
    <w:rsid w:val="00480D1E"/>
    <w:rsid w:val="00482F55"/>
    <w:rsid w:val="0048668A"/>
    <w:rsid w:val="004920DD"/>
    <w:rsid w:val="0049688D"/>
    <w:rsid w:val="00497B1B"/>
    <w:rsid w:val="004A0B27"/>
    <w:rsid w:val="004B1F21"/>
    <w:rsid w:val="004C3909"/>
    <w:rsid w:val="004C4591"/>
    <w:rsid w:val="004C45E5"/>
    <w:rsid w:val="004E0462"/>
    <w:rsid w:val="004E1533"/>
    <w:rsid w:val="004E4A3D"/>
    <w:rsid w:val="004E5F02"/>
    <w:rsid w:val="004F0BAD"/>
    <w:rsid w:val="004F5223"/>
    <w:rsid w:val="004F6E65"/>
    <w:rsid w:val="004F74DF"/>
    <w:rsid w:val="00504542"/>
    <w:rsid w:val="00506982"/>
    <w:rsid w:val="0051664F"/>
    <w:rsid w:val="00516FC6"/>
    <w:rsid w:val="00516FE1"/>
    <w:rsid w:val="00517279"/>
    <w:rsid w:val="00517531"/>
    <w:rsid w:val="00520664"/>
    <w:rsid w:val="00522421"/>
    <w:rsid w:val="005302EC"/>
    <w:rsid w:val="005370E5"/>
    <w:rsid w:val="00541766"/>
    <w:rsid w:val="00541B1B"/>
    <w:rsid w:val="0054296C"/>
    <w:rsid w:val="00551B8D"/>
    <w:rsid w:val="00551C87"/>
    <w:rsid w:val="00552CB7"/>
    <w:rsid w:val="00554F19"/>
    <w:rsid w:val="00556B5A"/>
    <w:rsid w:val="00560F96"/>
    <w:rsid w:val="00561CA3"/>
    <w:rsid w:val="005745F5"/>
    <w:rsid w:val="005752A7"/>
    <w:rsid w:val="005816FD"/>
    <w:rsid w:val="005844A9"/>
    <w:rsid w:val="005911DF"/>
    <w:rsid w:val="00591901"/>
    <w:rsid w:val="00593FB7"/>
    <w:rsid w:val="005A14A2"/>
    <w:rsid w:val="005A1AEA"/>
    <w:rsid w:val="005A5B49"/>
    <w:rsid w:val="005A7E36"/>
    <w:rsid w:val="005B0318"/>
    <w:rsid w:val="005B144C"/>
    <w:rsid w:val="005B4DC5"/>
    <w:rsid w:val="005B7161"/>
    <w:rsid w:val="005B77B8"/>
    <w:rsid w:val="005B7C3C"/>
    <w:rsid w:val="005C1119"/>
    <w:rsid w:val="005C376D"/>
    <w:rsid w:val="005D0702"/>
    <w:rsid w:val="005D0A5D"/>
    <w:rsid w:val="005E2166"/>
    <w:rsid w:val="005E2785"/>
    <w:rsid w:val="005E795C"/>
    <w:rsid w:val="005F19C5"/>
    <w:rsid w:val="005F23DC"/>
    <w:rsid w:val="005F2544"/>
    <w:rsid w:val="005F2CBE"/>
    <w:rsid w:val="005F4669"/>
    <w:rsid w:val="005F4BB2"/>
    <w:rsid w:val="005F58F2"/>
    <w:rsid w:val="005F618C"/>
    <w:rsid w:val="00600EFC"/>
    <w:rsid w:val="006068F7"/>
    <w:rsid w:val="00611B1F"/>
    <w:rsid w:val="00623663"/>
    <w:rsid w:val="0062576D"/>
    <w:rsid w:val="00627D13"/>
    <w:rsid w:val="00631ACD"/>
    <w:rsid w:val="0064512A"/>
    <w:rsid w:val="00651887"/>
    <w:rsid w:val="0065267B"/>
    <w:rsid w:val="0065610A"/>
    <w:rsid w:val="006669DB"/>
    <w:rsid w:val="0067671F"/>
    <w:rsid w:val="00676F54"/>
    <w:rsid w:val="00684BFB"/>
    <w:rsid w:val="006856B0"/>
    <w:rsid w:val="00685F68"/>
    <w:rsid w:val="00687604"/>
    <w:rsid w:val="00687C34"/>
    <w:rsid w:val="00687E66"/>
    <w:rsid w:val="006961D4"/>
    <w:rsid w:val="006A35AA"/>
    <w:rsid w:val="006A385D"/>
    <w:rsid w:val="006A5595"/>
    <w:rsid w:val="006A6973"/>
    <w:rsid w:val="006A7E5C"/>
    <w:rsid w:val="006B29BE"/>
    <w:rsid w:val="006B69DF"/>
    <w:rsid w:val="006C3DE5"/>
    <w:rsid w:val="006C3FEC"/>
    <w:rsid w:val="006C6AF7"/>
    <w:rsid w:val="006C7C34"/>
    <w:rsid w:val="006D0F3B"/>
    <w:rsid w:val="006D168F"/>
    <w:rsid w:val="006D6143"/>
    <w:rsid w:val="006D6F88"/>
    <w:rsid w:val="006E2007"/>
    <w:rsid w:val="006E47DD"/>
    <w:rsid w:val="006F0FA5"/>
    <w:rsid w:val="006F383E"/>
    <w:rsid w:val="006F4AE8"/>
    <w:rsid w:val="006F7446"/>
    <w:rsid w:val="00704D0D"/>
    <w:rsid w:val="00706917"/>
    <w:rsid w:val="007103CB"/>
    <w:rsid w:val="00710AB3"/>
    <w:rsid w:val="00717CF5"/>
    <w:rsid w:val="007212D9"/>
    <w:rsid w:val="007213A2"/>
    <w:rsid w:val="00726341"/>
    <w:rsid w:val="00727F68"/>
    <w:rsid w:val="00731BC7"/>
    <w:rsid w:val="007341E6"/>
    <w:rsid w:val="007355E0"/>
    <w:rsid w:val="00735AD1"/>
    <w:rsid w:val="00736F4C"/>
    <w:rsid w:val="007456BC"/>
    <w:rsid w:val="0075218E"/>
    <w:rsid w:val="00753A14"/>
    <w:rsid w:val="00753EB0"/>
    <w:rsid w:val="00753EB4"/>
    <w:rsid w:val="00764156"/>
    <w:rsid w:val="007703D9"/>
    <w:rsid w:val="00770B0C"/>
    <w:rsid w:val="00775EB8"/>
    <w:rsid w:val="00776BD6"/>
    <w:rsid w:val="0078412F"/>
    <w:rsid w:val="00784367"/>
    <w:rsid w:val="00784D4B"/>
    <w:rsid w:val="00786590"/>
    <w:rsid w:val="00791153"/>
    <w:rsid w:val="007939F7"/>
    <w:rsid w:val="00797269"/>
    <w:rsid w:val="007A0F8F"/>
    <w:rsid w:val="007A45C4"/>
    <w:rsid w:val="007A4B1D"/>
    <w:rsid w:val="007A5D8A"/>
    <w:rsid w:val="007A6F98"/>
    <w:rsid w:val="007B0DD0"/>
    <w:rsid w:val="007B1F17"/>
    <w:rsid w:val="007B513A"/>
    <w:rsid w:val="007D58B1"/>
    <w:rsid w:val="007D6789"/>
    <w:rsid w:val="007E0540"/>
    <w:rsid w:val="007E1143"/>
    <w:rsid w:val="007F5176"/>
    <w:rsid w:val="00806B77"/>
    <w:rsid w:val="008110AF"/>
    <w:rsid w:val="00815A79"/>
    <w:rsid w:val="0081632D"/>
    <w:rsid w:val="008174EB"/>
    <w:rsid w:val="00825BC5"/>
    <w:rsid w:val="00826627"/>
    <w:rsid w:val="00830FDE"/>
    <w:rsid w:val="008334E0"/>
    <w:rsid w:val="008369C2"/>
    <w:rsid w:val="008379B0"/>
    <w:rsid w:val="00842A18"/>
    <w:rsid w:val="008455B3"/>
    <w:rsid w:val="00847491"/>
    <w:rsid w:val="008474D0"/>
    <w:rsid w:val="00847900"/>
    <w:rsid w:val="008521DF"/>
    <w:rsid w:val="0086026D"/>
    <w:rsid w:val="00864407"/>
    <w:rsid w:val="008663D8"/>
    <w:rsid w:val="00870CB2"/>
    <w:rsid w:val="00875829"/>
    <w:rsid w:val="00880463"/>
    <w:rsid w:val="00881163"/>
    <w:rsid w:val="00886391"/>
    <w:rsid w:val="00886C90"/>
    <w:rsid w:val="008907B3"/>
    <w:rsid w:val="00891B14"/>
    <w:rsid w:val="008953D6"/>
    <w:rsid w:val="00896D07"/>
    <w:rsid w:val="00897EE5"/>
    <w:rsid w:val="008A24AE"/>
    <w:rsid w:val="008A6379"/>
    <w:rsid w:val="008A7D53"/>
    <w:rsid w:val="008B0809"/>
    <w:rsid w:val="008B2158"/>
    <w:rsid w:val="008B337E"/>
    <w:rsid w:val="008C2989"/>
    <w:rsid w:val="008D2694"/>
    <w:rsid w:val="008E0E50"/>
    <w:rsid w:val="008E51DF"/>
    <w:rsid w:val="008F39BD"/>
    <w:rsid w:val="008F4CCF"/>
    <w:rsid w:val="009003F2"/>
    <w:rsid w:val="00901746"/>
    <w:rsid w:val="00901EE3"/>
    <w:rsid w:val="00905643"/>
    <w:rsid w:val="0090732F"/>
    <w:rsid w:val="009107F4"/>
    <w:rsid w:val="009144E0"/>
    <w:rsid w:val="00914551"/>
    <w:rsid w:val="00915B31"/>
    <w:rsid w:val="0091768C"/>
    <w:rsid w:val="009212CD"/>
    <w:rsid w:val="009234B3"/>
    <w:rsid w:val="00927963"/>
    <w:rsid w:val="00933607"/>
    <w:rsid w:val="00943638"/>
    <w:rsid w:val="0094683D"/>
    <w:rsid w:val="00954231"/>
    <w:rsid w:val="00956E93"/>
    <w:rsid w:val="00961698"/>
    <w:rsid w:val="00967B72"/>
    <w:rsid w:val="00967F64"/>
    <w:rsid w:val="00972618"/>
    <w:rsid w:val="009800D2"/>
    <w:rsid w:val="00982088"/>
    <w:rsid w:val="00982121"/>
    <w:rsid w:val="00985B97"/>
    <w:rsid w:val="00996FEA"/>
    <w:rsid w:val="009A1DE3"/>
    <w:rsid w:val="009A1F7E"/>
    <w:rsid w:val="009A2470"/>
    <w:rsid w:val="009A517C"/>
    <w:rsid w:val="009A71B6"/>
    <w:rsid w:val="009B2D5B"/>
    <w:rsid w:val="009B53FB"/>
    <w:rsid w:val="009B5CD2"/>
    <w:rsid w:val="009C29CA"/>
    <w:rsid w:val="009C2ACB"/>
    <w:rsid w:val="009D5F04"/>
    <w:rsid w:val="009E171B"/>
    <w:rsid w:val="009E20C2"/>
    <w:rsid w:val="009E4AA8"/>
    <w:rsid w:val="009F163F"/>
    <w:rsid w:val="009F59CE"/>
    <w:rsid w:val="009F7038"/>
    <w:rsid w:val="009F751D"/>
    <w:rsid w:val="00A01BE9"/>
    <w:rsid w:val="00A02874"/>
    <w:rsid w:val="00A03CE1"/>
    <w:rsid w:val="00A059B9"/>
    <w:rsid w:val="00A07D9B"/>
    <w:rsid w:val="00A10F3B"/>
    <w:rsid w:val="00A11810"/>
    <w:rsid w:val="00A1219D"/>
    <w:rsid w:val="00A12EDF"/>
    <w:rsid w:val="00A164C2"/>
    <w:rsid w:val="00A208E0"/>
    <w:rsid w:val="00A3131C"/>
    <w:rsid w:val="00A33B65"/>
    <w:rsid w:val="00A34975"/>
    <w:rsid w:val="00A34D36"/>
    <w:rsid w:val="00A35A96"/>
    <w:rsid w:val="00A4414F"/>
    <w:rsid w:val="00A45321"/>
    <w:rsid w:val="00A5000B"/>
    <w:rsid w:val="00A52D42"/>
    <w:rsid w:val="00A56024"/>
    <w:rsid w:val="00A56815"/>
    <w:rsid w:val="00A60097"/>
    <w:rsid w:val="00A618E2"/>
    <w:rsid w:val="00A64E0B"/>
    <w:rsid w:val="00A6788C"/>
    <w:rsid w:val="00A70C8F"/>
    <w:rsid w:val="00A74D7A"/>
    <w:rsid w:val="00A819E1"/>
    <w:rsid w:val="00A8217C"/>
    <w:rsid w:val="00A857B6"/>
    <w:rsid w:val="00A87047"/>
    <w:rsid w:val="00AA1C3B"/>
    <w:rsid w:val="00AA1EC8"/>
    <w:rsid w:val="00AA7802"/>
    <w:rsid w:val="00AB34C7"/>
    <w:rsid w:val="00AB36EC"/>
    <w:rsid w:val="00AB415F"/>
    <w:rsid w:val="00AB5A66"/>
    <w:rsid w:val="00AC4308"/>
    <w:rsid w:val="00AD1A81"/>
    <w:rsid w:val="00AD3096"/>
    <w:rsid w:val="00AD385D"/>
    <w:rsid w:val="00AD5359"/>
    <w:rsid w:val="00AD5DDE"/>
    <w:rsid w:val="00AD5EEA"/>
    <w:rsid w:val="00AE1EE7"/>
    <w:rsid w:val="00AE32A2"/>
    <w:rsid w:val="00AE5E82"/>
    <w:rsid w:val="00AE7596"/>
    <w:rsid w:val="00AF618D"/>
    <w:rsid w:val="00B02795"/>
    <w:rsid w:val="00B0447E"/>
    <w:rsid w:val="00B05E79"/>
    <w:rsid w:val="00B06C92"/>
    <w:rsid w:val="00B07464"/>
    <w:rsid w:val="00B0775A"/>
    <w:rsid w:val="00B11339"/>
    <w:rsid w:val="00B17362"/>
    <w:rsid w:val="00B179F3"/>
    <w:rsid w:val="00B262DD"/>
    <w:rsid w:val="00B33AA1"/>
    <w:rsid w:val="00B356D7"/>
    <w:rsid w:val="00B411BC"/>
    <w:rsid w:val="00B4313F"/>
    <w:rsid w:val="00B50A65"/>
    <w:rsid w:val="00B52717"/>
    <w:rsid w:val="00B53110"/>
    <w:rsid w:val="00B62E58"/>
    <w:rsid w:val="00B63DE6"/>
    <w:rsid w:val="00B670E8"/>
    <w:rsid w:val="00B67C03"/>
    <w:rsid w:val="00B67CE3"/>
    <w:rsid w:val="00B74213"/>
    <w:rsid w:val="00B74646"/>
    <w:rsid w:val="00B770CC"/>
    <w:rsid w:val="00B8113C"/>
    <w:rsid w:val="00B86728"/>
    <w:rsid w:val="00B87FD8"/>
    <w:rsid w:val="00B91117"/>
    <w:rsid w:val="00B91A3E"/>
    <w:rsid w:val="00BA2ACD"/>
    <w:rsid w:val="00BB1FCD"/>
    <w:rsid w:val="00BB2790"/>
    <w:rsid w:val="00BB723B"/>
    <w:rsid w:val="00BC6C34"/>
    <w:rsid w:val="00BC6DE3"/>
    <w:rsid w:val="00BD0A8E"/>
    <w:rsid w:val="00BD1452"/>
    <w:rsid w:val="00BD1F81"/>
    <w:rsid w:val="00BE3975"/>
    <w:rsid w:val="00BE4154"/>
    <w:rsid w:val="00BE6D9B"/>
    <w:rsid w:val="00BE7844"/>
    <w:rsid w:val="00BF6798"/>
    <w:rsid w:val="00BF6FBF"/>
    <w:rsid w:val="00BF7B35"/>
    <w:rsid w:val="00C055A4"/>
    <w:rsid w:val="00C06FDF"/>
    <w:rsid w:val="00C07E5C"/>
    <w:rsid w:val="00C15300"/>
    <w:rsid w:val="00C15522"/>
    <w:rsid w:val="00C16E83"/>
    <w:rsid w:val="00C17D7E"/>
    <w:rsid w:val="00C20B22"/>
    <w:rsid w:val="00C20EE2"/>
    <w:rsid w:val="00C21613"/>
    <w:rsid w:val="00C219F1"/>
    <w:rsid w:val="00C357FF"/>
    <w:rsid w:val="00C37DDC"/>
    <w:rsid w:val="00C50694"/>
    <w:rsid w:val="00C55E44"/>
    <w:rsid w:val="00C57CFC"/>
    <w:rsid w:val="00C619A4"/>
    <w:rsid w:val="00C6214E"/>
    <w:rsid w:val="00C6292E"/>
    <w:rsid w:val="00C6296B"/>
    <w:rsid w:val="00C62A67"/>
    <w:rsid w:val="00C635F5"/>
    <w:rsid w:val="00C728CB"/>
    <w:rsid w:val="00C74AE2"/>
    <w:rsid w:val="00C755D9"/>
    <w:rsid w:val="00C81487"/>
    <w:rsid w:val="00C82629"/>
    <w:rsid w:val="00C93072"/>
    <w:rsid w:val="00C97072"/>
    <w:rsid w:val="00CA36D6"/>
    <w:rsid w:val="00CA4057"/>
    <w:rsid w:val="00CA433E"/>
    <w:rsid w:val="00CA5142"/>
    <w:rsid w:val="00CA64ED"/>
    <w:rsid w:val="00CB0FBD"/>
    <w:rsid w:val="00CB3A9F"/>
    <w:rsid w:val="00CB55EE"/>
    <w:rsid w:val="00CC2170"/>
    <w:rsid w:val="00CC2E1C"/>
    <w:rsid w:val="00CD3161"/>
    <w:rsid w:val="00CE0C87"/>
    <w:rsid w:val="00CE1BD1"/>
    <w:rsid w:val="00CE4DD7"/>
    <w:rsid w:val="00CE6A29"/>
    <w:rsid w:val="00CE7654"/>
    <w:rsid w:val="00CF03DD"/>
    <w:rsid w:val="00CF12D7"/>
    <w:rsid w:val="00CF6131"/>
    <w:rsid w:val="00D029A9"/>
    <w:rsid w:val="00D05153"/>
    <w:rsid w:val="00D06923"/>
    <w:rsid w:val="00D0792D"/>
    <w:rsid w:val="00D22D12"/>
    <w:rsid w:val="00D24291"/>
    <w:rsid w:val="00D36B65"/>
    <w:rsid w:val="00D375F2"/>
    <w:rsid w:val="00D4433D"/>
    <w:rsid w:val="00D46DA3"/>
    <w:rsid w:val="00D67528"/>
    <w:rsid w:val="00D720E5"/>
    <w:rsid w:val="00D72FAE"/>
    <w:rsid w:val="00D734AB"/>
    <w:rsid w:val="00D850D5"/>
    <w:rsid w:val="00D92584"/>
    <w:rsid w:val="00D92E97"/>
    <w:rsid w:val="00D9386E"/>
    <w:rsid w:val="00DA0ADF"/>
    <w:rsid w:val="00DB1471"/>
    <w:rsid w:val="00DB3D14"/>
    <w:rsid w:val="00DC4070"/>
    <w:rsid w:val="00DC4510"/>
    <w:rsid w:val="00DD1B61"/>
    <w:rsid w:val="00DD5853"/>
    <w:rsid w:val="00DD7A31"/>
    <w:rsid w:val="00DE6841"/>
    <w:rsid w:val="00DF01A4"/>
    <w:rsid w:val="00DF1BFB"/>
    <w:rsid w:val="00E019E2"/>
    <w:rsid w:val="00E05DAA"/>
    <w:rsid w:val="00E07FAD"/>
    <w:rsid w:val="00E13B14"/>
    <w:rsid w:val="00E145BC"/>
    <w:rsid w:val="00E17C6E"/>
    <w:rsid w:val="00E20D98"/>
    <w:rsid w:val="00E26664"/>
    <w:rsid w:val="00E33163"/>
    <w:rsid w:val="00E33E58"/>
    <w:rsid w:val="00E40829"/>
    <w:rsid w:val="00E41273"/>
    <w:rsid w:val="00E41E36"/>
    <w:rsid w:val="00E51D10"/>
    <w:rsid w:val="00E51E9F"/>
    <w:rsid w:val="00E52AF8"/>
    <w:rsid w:val="00E54636"/>
    <w:rsid w:val="00E629B0"/>
    <w:rsid w:val="00E64E6F"/>
    <w:rsid w:val="00E748ED"/>
    <w:rsid w:val="00E76365"/>
    <w:rsid w:val="00E76A70"/>
    <w:rsid w:val="00E87354"/>
    <w:rsid w:val="00E920AE"/>
    <w:rsid w:val="00E9305A"/>
    <w:rsid w:val="00E957D8"/>
    <w:rsid w:val="00E968AD"/>
    <w:rsid w:val="00E968F5"/>
    <w:rsid w:val="00E96AFF"/>
    <w:rsid w:val="00E973EC"/>
    <w:rsid w:val="00E97B39"/>
    <w:rsid w:val="00EA572C"/>
    <w:rsid w:val="00EA6DE7"/>
    <w:rsid w:val="00EA735D"/>
    <w:rsid w:val="00EA7530"/>
    <w:rsid w:val="00EB0B86"/>
    <w:rsid w:val="00EB258B"/>
    <w:rsid w:val="00EB2B90"/>
    <w:rsid w:val="00EB35A7"/>
    <w:rsid w:val="00EB790E"/>
    <w:rsid w:val="00EC52AE"/>
    <w:rsid w:val="00EC7B4E"/>
    <w:rsid w:val="00ED1F3E"/>
    <w:rsid w:val="00ED5186"/>
    <w:rsid w:val="00ED6153"/>
    <w:rsid w:val="00ED7A2E"/>
    <w:rsid w:val="00ED7EA3"/>
    <w:rsid w:val="00EE1FB0"/>
    <w:rsid w:val="00EF3F04"/>
    <w:rsid w:val="00EF5AC5"/>
    <w:rsid w:val="00F022F8"/>
    <w:rsid w:val="00F03C5E"/>
    <w:rsid w:val="00F10AC5"/>
    <w:rsid w:val="00F10C8F"/>
    <w:rsid w:val="00F156E5"/>
    <w:rsid w:val="00F15E0F"/>
    <w:rsid w:val="00F176CA"/>
    <w:rsid w:val="00F1797E"/>
    <w:rsid w:val="00F20C83"/>
    <w:rsid w:val="00F2234F"/>
    <w:rsid w:val="00F23029"/>
    <w:rsid w:val="00F249C8"/>
    <w:rsid w:val="00F25DAE"/>
    <w:rsid w:val="00F37DEA"/>
    <w:rsid w:val="00F55CE4"/>
    <w:rsid w:val="00F5616B"/>
    <w:rsid w:val="00F60D4C"/>
    <w:rsid w:val="00F62B92"/>
    <w:rsid w:val="00F654BB"/>
    <w:rsid w:val="00F73607"/>
    <w:rsid w:val="00F80A66"/>
    <w:rsid w:val="00F8288D"/>
    <w:rsid w:val="00F83503"/>
    <w:rsid w:val="00F85395"/>
    <w:rsid w:val="00F921FD"/>
    <w:rsid w:val="00F92A5D"/>
    <w:rsid w:val="00F93E62"/>
    <w:rsid w:val="00F94B5C"/>
    <w:rsid w:val="00FA04A0"/>
    <w:rsid w:val="00FA0784"/>
    <w:rsid w:val="00FA0C65"/>
    <w:rsid w:val="00FA583D"/>
    <w:rsid w:val="00FB1D19"/>
    <w:rsid w:val="00FB514E"/>
    <w:rsid w:val="00FB52BC"/>
    <w:rsid w:val="00FC1DE3"/>
    <w:rsid w:val="00FC353A"/>
    <w:rsid w:val="00FC3DB9"/>
    <w:rsid w:val="00FC5D49"/>
    <w:rsid w:val="00FC660D"/>
    <w:rsid w:val="00FD0C99"/>
    <w:rsid w:val="00FD22BE"/>
    <w:rsid w:val="00FD33DA"/>
    <w:rsid w:val="00FD4645"/>
    <w:rsid w:val="00FD65B7"/>
    <w:rsid w:val="00FE373C"/>
    <w:rsid w:val="00FF0640"/>
    <w:rsid w:val="00FF33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EEA45F9"/>
  <w15:docId w15:val="{0EF7386D-E0CD-4442-A929-E68887A8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mnesty Trade Gothic Light" w:eastAsiaTheme="minorEastAsia" w:hAnsi="Amnesty Trade Gothic Light" w:cs="Arial"/>
        <w:color w:val="000000" w:themeColor="text1"/>
        <w:lang w:val="es-ES" w:eastAsia="en-US" w:bidi="ar-SA"/>
      </w:rPr>
    </w:rPrDefault>
    <w:pPrDefault/>
  </w:docDefaults>
  <w:latentStyles w:defLockedState="1" w:defUIPriority="99" w:defSemiHidden="0" w:defUnhideWhenUsed="0" w:defQFormat="0" w:count="376">
    <w:lsdException w:name="Normal" w:locked="0" w:uiPriority="0" w:qFormat="1"/>
    <w:lsdException w:name="heading 1" w:uiPriority="0"/>
    <w:lsdException w:name="heading 2" w:semiHidden="1" w:uiPriority="9"/>
    <w:lsdException w:name="heading 3" w:semiHidden="1" w:uiPriority="0"/>
    <w:lsdException w:name="heading 4" w:semiHidden="1" w:uiPriority="9"/>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8"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semiHidden/>
    <w:qFormat/>
    <w:rsid w:val="00F10C8F"/>
    <w:rPr>
      <w:rFonts w:ascii="Amnesty Trade Gothic Light Obl" w:hAnsi="Amnesty Trade Gothic Light Obl"/>
      <w:sz w:val="14"/>
    </w:rPr>
  </w:style>
  <w:style w:type="paragraph" w:styleId="Ttulo1">
    <w:name w:val="heading 1"/>
    <w:basedOn w:val="Normal"/>
    <w:next w:val="Normal"/>
    <w:link w:val="Ttulo1Car"/>
    <w:uiPriority w:val="89"/>
    <w:semiHidden/>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eastAsia="zh-CN"/>
    </w:rPr>
  </w:style>
  <w:style w:type="paragraph" w:styleId="Ttulo2">
    <w:name w:val="heading 2"/>
    <w:basedOn w:val="Normal"/>
    <w:next w:val="Normal"/>
    <w:link w:val="Ttulo2C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eastAsia="zh-CN"/>
    </w:rPr>
  </w:style>
  <w:style w:type="paragraph" w:styleId="Ttulo3">
    <w:name w:val="heading 3"/>
    <w:basedOn w:val="Normal"/>
    <w:next w:val="Normal"/>
    <w:link w:val="Ttulo3C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eastAsia="zh-CN"/>
    </w:rPr>
  </w:style>
  <w:style w:type="paragraph" w:styleId="Ttulo4">
    <w:name w:val="heading 4"/>
    <w:basedOn w:val="Normal"/>
    <w:next w:val="Normal"/>
    <w:link w:val="Ttulo4Car"/>
    <w:uiPriority w:val="89"/>
    <w:semiHidden/>
    <w:locked/>
    <w:rsid w:val="002F688D"/>
    <w:pPr>
      <w:numPr>
        <w:ilvl w:val="3"/>
        <w:numId w:val="2"/>
      </w:numPr>
      <w:outlineLvl w:val="3"/>
    </w:pPr>
    <w:rPr>
      <w:rFonts w:ascii="Verdana" w:eastAsia="SimSun" w:hAnsi="Verdana" w:cs="Times New Roman"/>
      <w:color w:val="auto"/>
      <w:szCs w:val="24"/>
      <w:lang w:eastAsia="zh-CN"/>
    </w:rPr>
  </w:style>
  <w:style w:type="paragraph" w:styleId="Ttulo5">
    <w:name w:val="heading 5"/>
    <w:basedOn w:val="Ttulo4"/>
    <w:next w:val="Normal"/>
    <w:link w:val="Ttulo5Car"/>
    <w:uiPriority w:val="89"/>
    <w:semiHidden/>
    <w:locked/>
    <w:rsid w:val="002F688D"/>
    <w:pPr>
      <w:numPr>
        <w:ilvl w:val="4"/>
      </w:numPr>
      <w:outlineLvl w:val="4"/>
    </w:pPr>
  </w:style>
  <w:style w:type="paragraph" w:styleId="Ttulo6">
    <w:name w:val="heading 6"/>
    <w:basedOn w:val="Ttulo5"/>
    <w:next w:val="Normal"/>
    <w:link w:val="Ttulo6Car"/>
    <w:uiPriority w:val="89"/>
    <w:semiHidden/>
    <w:locked/>
    <w:rsid w:val="002F688D"/>
    <w:pPr>
      <w:numPr>
        <w:ilvl w:val="5"/>
      </w:numPr>
      <w:outlineLvl w:val="5"/>
    </w:pPr>
  </w:style>
  <w:style w:type="paragraph" w:styleId="Ttulo7">
    <w:name w:val="heading 7"/>
    <w:basedOn w:val="Ttulo6"/>
    <w:next w:val="Normal"/>
    <w:link w:val="Ttulo7Car"/>
    <w:uiPriority w:val="89"/>
    <w:semiHidden/>
    <w:locked/>
    <w:rsid w:val="002F688D"/>
    <w:pPr>
      <w:numPr>
        <w:ilvl w:val="6"/>
      </w:numPr>
      <w:outlineLvl w:val="6"/>
    </w:pPr>
  </w:style>
  <w:style w:type="paragraph" w:styleId="Ttulo8">
    <w:name w:val="heading 8"/>
    <w:basedOn w:val="Ttulo7"/>
    <w:next w:val="Normal"/>
    <w:link w:val="Ttulo8Car"/>
    <w:uiPriority w:val="89"/>
    <w:semiHidden/>
    <w:locked/>
    <w:rsid w:val="002F688D"/>
    <w:pPr>
      <w:numPr>
        <w:ilvl w:val="7"/>
      </w:numPr>
      <w:outlineLvl w:val="7"/>
    </w:pPr>
  </w:style>
  <w:style w:type="paragraph" w:styleId="Ttulo9">
    <w:name w:val="heading 9"/>
    <w:basedOn w:val="Ttulo8"/>
    <w:next w:val="Normal"/>
    <w:link w:val="Ttulo9Car"/>
    <w:uiPriority w:val="89"/>
    <w:semiHidden/>
    <w:locked/>
    <w:rsid w:val="002F688D"/>
    <w:pPr>
      <w:numPr>
        <w:ilvl w:val="8"/>
      </w:numPr>
      <w:outlineLvl w:val="8"/>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Bulletlist">
    <w:name w:val="Bullet list"/>
    <w:uiPriority w:val="99"/>
    <w:locked/>
    <w:rsid w:val="009B2D5B"/>
    <w:pPr>
      <w:numPr>
        <w:numId w:val="1"/>
      </w:numPr>
    </w:pPr>
  </w:style>
  <w:style w:type="paragraph" w:styleId="Textonotapie">
    <w:name w:val="footnote text"/>
    <w:basedOn w:val="Normal"/>
    <w:link w:val="TextonotapieCar"/>
    <w:uiPriority w:val="99"/>
    <w:semiHidden/>
    <w:locked/>
    <w:rsid w:val="00967F64"/>
    <w:rPr>
      <w:rFonts w:ascii="Amnesty Trade Gothic Light" w:hAnsi="Amnesty Trade Gothic Light"/>
      <w:szCs w:val="24"/>
    </w:rPr>
  </w:style>
  <w:style w:type="paragraph" w:styleId="Encabezado">
    <w:name w:val="header"/>
    <w:basedOn w:val="Normal"/>
    <w:link w:val="EncabezadoCar"/>
    <w:uiPriority w:val="99"/>
    <w:semiHidden/>
    <w:locked/>
    <w:rsid w:val="00AE5E82"/>
    <w:pPr>
      <w:tabs>
        <w:tab w:val="center" w:pos="4320"/>
        <w:tab w:val="right" w:pos="8640"/>
      </w:tabs>
    </w:pPr>
  </w:style>
  <w:style w:type="character" w:customStyle="1" w:styleId="EncabezadoCar">
    <w:name w:val="Encabezado Car"/>
    <w:basedOn w:val="Fuentedeprrafopredeter"/>
    <w:link w:val="Encabezado"/>
    <w:uiPriority w:val="99"/>
    <w:semiHidden/>
    <w:rsid w:val="006B29BE"/>
    <w:rPr>
      <w:rFonts w:ascii="Amnesty Trade Gothic Light Obl" w:hAnsi="Amnesty Trade Gothic Light Obl"/>
      <w:sz w:val="14"/>
    </w:rPr>
  </w:style>
  <w:style w:type="paragraph" w:styleId="Piedepgina">
    <w:name w:val="footer"/>
    <w:basedOn w:val="Normal"/>
    <w:link w:val="PiedepginaCar"/>
    <w:uiPriority w:val="99"/>
    <w:semiHidden/>
    <w:locked/>
    <w:rsid w:val="00826627"/>
    <w:pPr>
      <w:tabs>
        <w:tab w:val="right" w:pos="8278"/>
      </w:tabs>
      <w:spacing w:line="150" w:lineRule="exact"/>
    </w:pPr>
    <w:rPr>
      <w:caps/>
      <w:sz w:val="15"/>
      <w:szCs w:val="15"/>
    </w:rPr>
  </w:style>
  <w:style w:type="character" w:customStyle="1" w:styleId="PiedepginaCar">
    <w:name w:val="Pie de página Car"/>
    <w:basedOn w:val="Fuentedeprrafopredeter"/>
    <w:link w:val="Piedepgina"/>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54296C"/>
    <w:pPr>
      <w:suppressAutoHyphens/>
      <w:spacing w:after="120"/>
      <w:jc w:val="both"/>
    </w:pPr>
    <w:rPr>
      <w:rFonts w:asciiTheme="minorHAnsi" w:hAnsiTheme="minorHAnsi"/>
      <w:sz w:val="24"/>
      <w:szCs w:val="24"/>
    </w:rPr>
  </w:style>
  <w:style w:type="table" w:styleId="Tablaconcuadrcula">
    <w:name w:val="Table Grid"/>
    <w:basedOn w:val="Tabla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Ttulo1Car">
    <w:name w:val="Título 1 Car"/>
    <w:basedOn w:val="Fuentedeprrafopredeter"/>
    <w:link w:val="Ttulo1"/>
    <w:uiPriority w:val="89"/>
    <w:semiHidden/>
    <w:rsid w:val="006B29BE"/>
    <w:rPr>
      <w:rFonts w:ascii="Amnesty Trade Gothic Cn" w:eastAsia="SimSun" w:hAnsi="Amnesty Trade Gothic Cn" w:cs="Times New Roman"/>
      <w:b/>
      <w:caps/>
      <w:color w:val="auto"/>
      <w:kern w:val="1"/>
      <w:sz w:val="56"/>
      <w:szCs w:val="32"/>
      <w:lang w:val="es-ES" w:eastAsia="zh-CN"/>
    </w:rPr>
  </w:style>
  <w:style w:type="character" w:customStyle="1" w:styleId="Ttulo2Car">
    <w:name w:val="Título 2 Car"/>
    <w:basedOn w:val="Fuentedeprrafopredeter"/>
    <w:link w:val="Ttulo2"/>
    <w:uiPriority w:val="89"/>
    <w:semiHidden/>
    <w:rsid w:val="0090732F"/>
    <w:rPr>
      <w:rFonts w:ascii="Amnesty Trade Gothic Cn" w:eastAsia="SimSun" w:hAnsi="Amnesty Trade Gothic Cn" w:cs="Times New Roman"/>
      <w:caps/>
      <w:color w:val="auto"/>
      <w:sz w:val="26"/>
      <w:szCs w:val="28"/>
      <w:lang w:val="es-ES" w:eastAsia="zh-CN"/>
    </w:rPr>
  </w:style>
  <w:style w:type="character" w:customStyle="1" w:styleId="Ttulo3Car">
    <w:name w:val="Título 3 Car"/>
    <w:basedOn w:val="Fuentedeprrafopredeter"/>
    <w:link w:val="Ttulo3"/>
    <w:uiPriority w:val="89"/>
    <w:semiHidden/>
    <w:rsid w:val="006B29BE"/>
    <w:rPr>
      <w:rFonts w:ascii="Amnesty Trade Gothic Cn" w:eastAsia="SimSun" w:hAnsi="Amnesty Trade Gothic Cn" w:cs="Times New Roman"/>
      <w:caps/>
      <w:color w:val="auto"/>
      <w:sz w:val="14"/>
      <w:szCs w:val="26"/>
      <w:lang w:val="es-ES" w:eastAsia="zh-CN"/>
    </w:rPr>
  </w:style>
  <w:style w:type="character" w:customStyle="1" w:styleId="Ttulo4Car">
    <w:name w:val="Título 4 Car"/>
    <w:basedOn w:val="Fuentedeprrafopredeter"/>
    <w:link w:val="Ttulo4"/>
    <w:uiPriority w:val="89"/>
    <w:semiHidden/>
    <w:rsid w:val="0090732F"/>
    <w:rPr>
      <w:rFonts w:ascii="Verdana" w:eastAsia="SimSun" w:hAnsi="Verdana" w:cs="Times New Roman"/>
      <w:color w:val="auto"/>
      <w:sz w:val="14"/>
      <w:szCs w:val="24"/>
      <w:lang w:val="es-ES" w:eastAsia="zh-CN"/>
    </w:rPr>
  </w:style>
  <w:style w:type="character" w:customStyle="1" w:styleId="Ttulo5Car">
    <w:name w:val="Título 5 Car"/>
    <w:basedOn w:val="Fuentedeprrafopredeter"/>
    <w:link w:val="Ttulo5"/>
    <w:uiPriority w:val="89"/>
    <w:semiHidden/>
    <w:rsid w:val="006B29BE"/>
    <w:rPr>
      <w:rFonts w:ascii="Verdana" w:eastAsia="SimSun" w:hAnsi="Verdana" w:cs="Times New Roman"/>
      <w:color w:val="auto"/>
      <w:sz w:val="14"/>
      <w:szCs w:val="24"/>
      <w:lang w:val="es-ES" w:eastAsia="zh-CN"/>
    </w:rPr>
  </w:style>
  <w:style w:type="character" w:customStyle="1" w:styleId="Ttulo6Car">
    <w:name w:val="Título 6 Car"/>
    <w:basedOn w:val="Fuentedeprrafopredeter"/>
    <w:link w:val="Ttulo6"/>
    <w:uiPriority w:val="89"/>
    <w:semiHidden/>
    <w:rsid w:val="006B29BE"/>
    <w:rPr>
      <w:rFonts w:ascii="Verdana" w:eastAsia="SimSun" w:hAnsi="Verdana" w:cs="Times New Roman"/>
      <w:color w:val="auto"/>
      <w:sz w:val="14"/>
      <w:szCs w:val="24"/>
      <w:lang w:val="es-ES" w:eastAsia="zh-CN"/>
    </w:rPr>
  </w:style>
  <w:style w:type="character" w:customStyle="1" w:styleId="Ttulo7Car">
    <w:name w:val="Título 7 Car"/>
    <w:basedOn w:val="Fuentedeprrafopredeter"/>
    <w:link w:val="Ttulo7"/>
    <w:uiPriority w:val="89"/>
    <w:semiHidden/>
    <w:rsid w:val="006B29BE"/>
    <w:rPr>
      <w:rFonts w:ascii="Verdana" w:eastAsia="SimSun" w:hAnsi="Verdana" w:cs="Times New Roman"/>
      <w:color w:val="auto"/>
      <w:sz w:val="14"/>
      <w:szCs w:val="24"/>
      <w:lang w:val="es-ES" w:eastAsia="zh-CN"/>
    </w:rPr>
  </w:style>
  <w:style w:type="character" w:customStyle="1" w:styleId="Ttulo8Car">
    <w:name w:val="Título 8 Car"/>
    <w:basedOn w:val="Fuentedeprrafopredeter"/>
    <w:link w:val="Ttulo8"/>
    <w:uiPriority w:val="89"/>
    <w:semiHidden/>
    <w:rsid w:val="006B29BE"/>
    <w:rPr>
      <w:rFonts w:ascii="Verdana" w:eastAsia="SimSun" w:hAnsi="Verdana" w:cs="Times New Roman"/>
      <w:color w:val="auto"/>
      <w:sz w:val="14"/>
      <w:szCs w:val="24"/>
      <w:lang w:val="es-ES" w:eastAsia="zh-CN"/>
    </w:rPr>
  </w:style>
  <w:style w:type="character" w:customStyle="1" w:styleId="Ttulo9Car">
    <w:name w:val="Título 9 Car"/>
    <w:basedOn w:val="Fuentedeprrafopredeter"/>
    <w:link w:val="Ttulo9"/>
    <w:uiPriority w:val="89"/>
    <w:semiHidden/>
    <w:rsid w:val="006B29BE"/>
    <w:rPr>
      <w:rFonts w:ascii="Verdana" w:eastAsia="SimSun" w:hAnsi="Verdana" w:cs="Times New Roman"/>
      <w:color w:val="auto"/>
      <w:sz w:val="14"/>
      <w:szCs w:val="24"/>
      <w:lang w:val="es-ES"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Hipervnculovisitado">
    <w:name w:val="FollowedHyperlink"/>
    <w:basedOn w:val="Fuentedeprrafopredeter"/>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rPr>
  </w:style>
  <w:style w:type="character" w:customStyle="1" w:styleId="RTHighlightedtext">
    <w:name w:val="RT Highlighted text"/>
    <w:basedOn w:val="Fuentedeprrafopredeter"/>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eastAsia="en-GB"/>
    </w:rPr>
  </w:style>
  <w:style w:type="character" w:styleId="Nmerodepgina">
    <w:name w:val="page number"/>
    <w:basedOn w:val="Fuentedeprrafopredeter"/>
    <w:uiPriority w:val="99"/>
    <w:semiHidden/>
    <w:locked/>
    <w:rsid w:val="007A0F8F"/>
    <w:rPr>
      <w:rFonts w:asciiTheme="majorHAnsi" w:hAnsiTheme="majorHAnsi"/>
      <w:b/>
      <w:sz w:val="18"/>
    </w:rPr>
  </w:style>
  <w:style w:type="paragraph" w:styleId="Textodeglobo">
    <w:name w:val="Balloon Text"/>
    <w:basedOn w:val="Normal"/>
    <w:link w:val="TextodegloboCar"/>
    <w:uiPriority w:val="99"/>
    <w:semiHidden/>
    <w:locked/>
    <w:rsid w:val="00972618"/>
    <w:rPr>
      <w:rFonts w:asciiTheme="majorHAnsi" w:hAnsiTheme="majorHAnsi" w:cs="Segoe UI"/>
      <w:sz w:val="18"/>
      <w:szCs w:val="18"/>
    </w:rPr>
  </w:style>
  <w:style w:type="character" w:customStyle="1" w:styleId="TextodegloboCar">
    <w:name w:val="Texto de globo Car"/>
    <w:basedOn w:val="Fuentedeprrafopredeter"/>
    <w:link w:val="Textodeglobo"/>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B262DD"/>
    <w:pPr>
      <w:keepNext/>
      <w:numPr>
        <w:numId w:val="3"/>
      </w:numPr>
      <w:tabs>
        <w:tab w:val="left" w:pos="851"/>
      </w:tabs>
      <w:ind w:left="0" w:firstLine="0"/>
    </w:pPr>
    <w:rPr>
      <w:sz w:val="24"/>
      <w:szCs w:val="24"/>
    </w:rPr>
  </w:style>
  <w:style w:type="paragraph" w:customStyle="1" w:styleId="RTNumberedHeading">
    <w:name w:val="RT Numbered Heading"/>
    <w:basedOn w:val="RTTitlenumbered"/>
    <w:next w:val="RTBodyText"/>
    <w:autoRedefine/>
    <w:uiPriority w:val="2"/>
    <w:qFormat/>
    <w:rsid w:val="00207E9F"/>
    <w:pPr>
      <w:pageBreakBefore w:val="0"/>
      <w:numPr>
        <w:numId w:val="0"/>
      </w:numPr>
      <w:tabs>
        <w:tab w:val="left" w:pos="567"/>
      </w:tabs>
      <w:spacing w:beforeLines="20" w:before="48" w:afterLines="20" w:after="48" w:line="420" w:lineRule="exact"/>
      <w:outlineLvl w:val="1"/>
    </w:pPr>
    <w:rPr>
      <w:lang w:val="es-MX"/>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a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eastAsia="en-GB"/>
    </w:rPr>
  </w:style>
  <w:style w:type="paragraph" w:customStyle="1" w:styleId="RTAmnestywebaddress">
    <w:name w:val="RT Amnesty web address"/>
    <w:basedOn w:val="Piedepgina"/>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PiedepginaCar"/>
    <w:link w:val="RTAmnestywebaddress"/>
    <w:uiPriority w:val="29"/>
    <w:rsid w:val="004F5223"/>
    <w:rPr>
      <w:rFonts w:asciiTheme="majorHAnsi" w:hAnsiTheme="majorHAnsi"/>
      <w:b/>
      <w:caps w:val="0"/>
      <w:sz w:val="32"/>
      <w:szCs w:val="32"/>
    </w:rPr>
  </w:style>
  <w:style w:type="character" w:customStyle="1" w:styleId="TextonotapieCar">
    <w:name w:val="Texto nota pie Car"/>
    <w:basedOn w:val="Fuentedeprrafopredeter"/>
    <w:link w:val="Textonotapie"/>
    <w:uiPriority w:val="99"/>
    <w:semiHidden/>
    <w:rsid w:val="006B29BE"/>
    <w:rPr>
      <w:sz w:val="14"/>
      <w:szCs w:val="24"/>
    </w:rPr>
  </w:style>
  <w:style w:type="character" w:styleId="Refdenotaalpie">
    <w:name w:val="footnote reference"/>
    <w:basedOn w:val="Fuentedeprrafopredeter"/>
    <w:uiPriority w:val="99"/>
    <w:semiHidden/>
    <w:locked/>
    <w:rsid w:val="00967F64"/>
    <w:rPr>
      <w:vertAlign w:val="superscript"/>
    </w:rPr>
  </w:style>
  <w:style w:type="numbering" w:styleId="111111">
    <w:name w:val="Outline List 2"/>
    <w:basedOn w:val="Sinlista"/>
    <w:uiPriority w:val="99"/>
    <w:semiHidden/>
    <w:unhideWhenUsed/>
    <w:locked/>
    <w:rsid w:val="00864407"/>
    <w:pPr>
      <w:numPr>
        <w:numId w:val="5"/>
      </w:numPr>
    </w:pPr>
  </w:style>
  <w:style w:type="paragraph" w:styleId="TDC3">
    <w:name w:val="toc 3"/>
    <w:basedOn w:val="TDC4"/>
    <w:next w:val="Normal"/>
    <w:uiPriority w:val="39"/>
    <w:locked/>
    <w:rsid w:val="00C20EE2"/>
    <w:pPr>
      <w:ind w:left="369" w:hanging="369"/>
      <w:contextualSpacing w:val="0"/>
    </w:pPr>
    <w:rPr>
      <w:caps/>
    </w:rPr>
  </w:style>
  <w:style w:type="paragraph" w:styleId="TD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D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D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DC5">
    <w:name w:val="toc 5"/>
    <w:basedOn w:val="Normal"/>
    <w:next w:val="Normal"/>
    <w:autoRedefine/>
    <w:uiPriority w:val="98"/>
    <w:semiHidden/>
    <w:locked/>
    <w:rsid w:val="00337B08"/>
    <w:pPr>
      <w:ind w:left="560"/>
    </w:pPr>
  </w:style>
  <w:style w:type="paragraph" w:styleId="TDC6">
    <w:name w:val="toc 6"/>
    <w:basedOn w:val="Normal"/>
    <w:next w:val="Normal"/>
    <w:autoRedefine/>
    <w:uiPriority w:val="98"/>
    <w:semiHidden/>
    <w:locked/>
    <w:rsid w:val="00337B08"/>
    <w:pPr>
      <w:ind w:left="700"/>
    </w:pPr>
  </w:style>
  <w:style w:type="paragraph" w:styleId="TDC7">
    <w:name w:val="toc 7"/>
    <w:basedOn w:val="Normal"/>
    <w:next w:val="Normal"/>
    <w:autoRedefine/>
    <w:uiPriority w:val="98"/>
    <w:semiHidden/>
    <w:locked/>
    <w:rsid w:val="00337B08"/>
    <w:pPr>
      <w:ind w:left="840"/>
    </w:pPr>
  </w:style>
  <w:style w:type="paragraph" w:styleId="TDC8">
    <w:name w:val="toc 8"/>
    <w:basedOn w:val="Normal"/>
    <w:next w:val="Normal"/>
    <w:autoRedefine/>
    <w:uiPriority w:val="98"/>
    <w:semiHidden/>
    <w:locked/>
    <w:rsid w:val="00337B08"/>
    <w:pPr>
      <w:ind w:left="980"/>
    </w:pPr>
  </w:style>
  <w:style w:type="table" w:customStyle="1" w:styleId="RTTableStyle1">
    <w:name w:val="RT Table Style 1"/>
    <w:basedOn w:val="Tablanormal"/>
    <w:uiPriority w:val="99"/>
    <w:rsid w:val="00DB3D14"/>
    <w:rPr>
      <w:sz w:val="18"/>
    </w:rPr>
    <w:tblPr>
      <w:tblStyleRowBandSize w:val="1"/>
      <w:tblInd w:w="108" w:type="dxa"/>
      <w:tblCellMar>
        <w:top w:w="57" w:type="dxa"/>
        <w:bottom w:w="28" w:type="dxa"/>
      </w:tblCellMar>
    </w:tblPr>
    <w:tblStylePr w:type="firstRow">
      <w:pPr>
        <w:wordWrap/>
        <w:spacing w:beforeLines="0" w:beforeAutospacing="0" w:afterLines="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a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eastAsia="en-GB"/>
    </w:rPr>
  </w:style>
  <w:style w:type="paragraph" w:styleId="Textoindependiente">
    <w:name w:val="Body Text"/>
    <w:basedOn w:val="Normal"/>
    <w:link w:val="TextoindependienteC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eastAsia="ar-SA"/>
    </w:rPr>
  </w:style>
  <w:style w:type="character" w:customStyle="1" w:styleId="TextoindependienteCar">
    <w:name w:val="Texto independiente Car"/>
    <w:basedOn w:val="Fuentedeprrafopredeter"/>
    <w:link w:val="Textoindependiente"/>
    <w:uiPriority w:val="89"/>
    <w:semiHidden/>
    <w:rsid w:val="006B29BE"/>
    <w:rPr>
      <w:rFonts w:ascii="Amnesty Trade Gothic" w:eastAsia="Times New Roman" w:hAnsi="Amnesty Trade Gothic" w:cs="Times New Roman"/>
      <w:color w:val="000000"/>
      <w:sz w:val="18"/>
      <w:szCs w:val="24"/>
      <w:lang w:val="es-ES"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Textonotapie"/>
    <w:link w:val="RTFootnotetextChar"/>
    <w:uiPriority w:val="97"/>
    <w:qFormat/>
    <w:rsid w:val="00554F19"/>
  </w:style>
  <w:style w:type="character" w:customStyle="1" w:styleId="RTFootnotetextChar">
    <w:name w:val="RT Footnote text Char"/>
    <w:basedOn w:val="TextonotapieC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Piedepgina"/>
    <w:uiPriority w:val="99"/>
    <w:qFormat/>
    <w:rsid w:val="001D7DAE"/>
    <w:rPr>
      <w:rFonts w:ascii="Amnesty Trade Gothic Cn" w:hAnsi="Amnesty Trade Gothic Cn"/>
      <w:b/>
    </w:rPr>
  </w:style>
  <w:style w:type="paragraph" w:styleId="Revisin">
    <w:name w:val="Revision"/>
    <w:hidden/>
    <w:uiPriority w:val="99"/>
    <w:semiHidden/>
    <w:rsid w:val="003D717F"/>
    <w:rPr>
      <w:rFonts w:ascii="Amnesty Trade Gothic Light Obl" w:hAnsi="Amnesty Trade Gothic Light Obl"/>
      <w:sz w:val="14"/>
    </w:rPr>
  </w:style>
  <w:style w:type="paragraph" w:styleId="Prrafodelista">
    <w:name w:val="List Paragraph"/>
    <w:basedOn w:val="Normal"/>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eastAsia="en-GB"/>
    </w:rPr>
  </w:style>
  <w:style w:type="paragraph" w:customStyle="1" w:styleId="RTAmnestyfooter">
    <w:name w:val="RT Amnesty footer"/>
    <w:basedOn w:val="Piedepgina"/>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Piedepgina"/>
    <w:uiPriority w:val="99"/>
    <w:qFormat/>
    <w:rsid w:val="00914551"/>
    <w:rPr>
      <w:rFonts w:ascii="Amnesty Trade Gothic Cn" w:hAnsi="Amnesty Trade Gothic Cn"/>
      <w:b/>
    </w:rPr>
  </w:style>
  <w:style w:type="paragraph" w:customStyle="1" w:styleId="RTFooterreportsubtitle">
    <w:name w:val="RT Footer report subtitle"/>
    <w:basedOn w:val="Piedepgina"/>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style>
  <w:style w:type="character" w:styleId="Refdecomentario">
    <w:name w:val="annotation reference"/>
    <w:basedOn w:val="Fuentedeprrafopredeter"/>
    <w:uiPriority w:val="99"/>
    <w:unhideWhenUsed/>
    <w:locked/>
    <w:rsid w:val="00F10C8F"/>
    <w:rPr>
      <w:rFonts w:ascii="Arial" w:hAnsi="Arial"/>
      <w:sz w:val="16"/>
      <w:szCs w:val="16"/>
    </w:rPr>
  </w:style>
  <w:style w:type="paragraph" w:styleId="Textocomentario">
    <w:name w:val="annotation text"/>
    <w:basedOn w:val="Normal"/>
    <w:link w:val="TextocomentarioCar"/>
    <w:uiPriority w:val="99"/>
    <w:semiHidden/>
    <w:unhideWhenUsed/>
    <w:locked/>
    <w:rsid w:val="00F10C8F"/>
    <w:rPr>
      <w:rFonts w:ascii="Arial" w:hAnsi="Arial"/>
      <w:sz w:val="20"/>
    </w:rPr>
  </w:style>
  <w:style w:type="character" w:customStyle="1" w:styleId="TextocomentarioCar">
    <w:name w:val="Texto comentario Car"/>
    <w:basedOn w:val="Fuentedeprrafopredeter"/>
    <w:link w:val="Textocomentario"/>
    <w:uiPriority w:val="99"/>
    <w:semiHidden/>
    <w:rsid w:val="00F10C8F"/>
    <w:rPr>
      <w:rFonts w:ascii="Arial" w:hAnsi="Arial"/>
    </w:rPr>
  </w:style>
  <w:style w:type="paragraph" w:styleId="Asuntodelcomentario">
    <w:name w:val="annotation subject"/>
    <w:basedOn w:val="Textocomentario"/>
    <w:next w:val="Textocomentario"/>
    <w:link w:val="AsuntodelcomentarioCar"/>
    <w:uiPriority w:val="99"/>
    <w:semiHidden/>
    <w:unhideWhenUsed/>
    <w:locked/>
    <w:rsid w:val="00F10C8F"/>
    <w:rPr>
      <w:b/>
      <w:bCs/>
    </w:rPr>
  </w:style>
  <w:style w:type="character" w:customStyle="1" w:styleId="AsuntodelcomentarioCar">
    <w:name w:val="Asunto del comentario Car"/>
    <w:basedOn w:val="TextocomentarioCar"/>
    <w:link w:val="Asuntodelcomentario"/>
    <w:uiPriority w:val="99"/>
    <w:semiHidden/>
    <w:rsid w:val="00F10C8F"/>
    <w:rPr>
      <w:rFonts w:ascii="Arial" w:hAnsi="Arial"/>
      <w:b/>
      <w:bCs/>
    </w:rPr>
  </w:style>
  <w:style w:type="paragraph" w:customStyle="1" w:styleId="AIBodyText">
    <w:name w:val="AI Body Text"/>
    <w:basedOn w:val="Normal"/>
    <w:link w:val="AIBodyTextChar"/>
    <w:uiPriority w:val="99"/>
    <w:qFormat/>
    <w:rsid w:val="00207EC9"/>
    <w:pPr>
      <w:suppressAutoHyphens/>
      <w:spacing w:after="120" w:line="240" w:lineRule="exact"/>
    </w:pPr>
    <w:rPr>
      <w:rFonts w:asciiTheme="minorHAnsi" w:hAnsiTheme="minorHAnsi"/>
      <w:sz w:val="18"/>
    </w:rPr>
  </w:style>
  <w:style w:type="character" w:customStyle="1" w:styleId="AIBodyTextChar">
    <w:name w:val="AI Body Text Char"/>
    <w:link w:val="AIBodyText"/>
    <w:uiPriority w:val="99"/>
    <w:qFormat/>
    <w:rsid w:val="00207EC9"/>
    <w:rPr>
      <w:rFonts w:asciiTheme="minorHAnsi" w:hAnsiTheme="minorHAnsi"/>
      <w:sz w:val="18"/>
      <w:lang w:val="es-ES"/>
    </w:rPr>
  </w:style>
  <w:style w:type="character" w:styleId="Hipervnculo">
    <w:name w:val="Hyperlink"/>
    <w:basedOn w:val="Fuentedeprrafopredeter"/>
    <w:uiPriority w:val="99"/>
    <w:unhideWhenUsed/>
    <w:locked/>
    <w:rsid w:val="006D0F3B"/>
    <w:rPr>
      <w:color w:val="000000" w:themeColor="hyperlink"/>
      <w:u w:val="single"/>
    </w:rPr>
  </w:style>
  <w:style w:type="paragraph" w:styleId="ndice1">
    <w:name w:val="index 1"/>
    <w:basedOn w:val="Normal"/>
    <w:next w:val="Normal"/>
    <w:autoRedefine/>
    <w:uiPriority w:val="99"/>
    <w:unhideWhenUsed/>
    <w:locked/>
    <w:rsid w:val="0086026D"/>
    <w:pPr>
      <w:ind w:left="140" w:hanging="140"/>
    </w:pPr>
  </w:style>
  <w:style w:type="paragraph" w:styleId="ndice2">
    <w:name w:val="index 2"/>
    <w:basedOn w:val="Normal"/>
    <w:next w:val="Normal"/>
    <w:autoRedefine/>
    <w:uiPriority w:val="99"/>
    <w:unhideWhenUsed/>
    <w:locked/>
    <w:rsid w:val="0086026D"/>
    <w:pPr>
      <w:ind w:left="280" w:hanging="140"/>
    </w:pPr>
  </w:style>
  <w:style w:type="paragraph" w:styleId="ndice3">
    <w:name w:val="index 3"/>
    <w:basedOn w:val="Normal"/>
    <w:next w:val="Normal"/>
    <w:autoRedefine/>
    <w:uiPriority w:val="99"/>
    <w:unhideWhenUsed/>
    <w:locked/>
    <w:rsid w:val="0086026D"/>
    <w:pPr>
      <w:ind w:left="420" w:hanging="140"/>
    </w:pPr>
  </w:style>
  <w:style w:type="paragraph" w:styleId="ndice4">
    <w:name w:val="index 4"/>
    <w:basedOn w:val="Normal"/>
    <w:next w:val="Normal"/>
    <w:autoRedefine/>
    <w:uiPriority w:val="99"/>
    <w:unhideWhenUsed/>
    <w:locked/>
    <w:rsid w:val="0086026D"/>
    <w:pPr>
      <w:ind w:left="560" w:hanging="140"/>
    </w:pPr>
  </w:style>
  <w:style w:type="paragraph" w:styleId="ndice5">
    <w:name w:val="index 5"/>
    <w:basedOn w:val="Normal"/>
    <w:next w:val="Normal"/>
    <w:autoRedefine/>
    <w:uiPriority w:val="99"/>
    <w:unhideWhenUsed/>
    <w:locked/>
    <w:rsid w:val="0086026D"/>
    <w:pPr>
      <w:ind w:left="700" w:hanging="140"/>
    </w:pPr>
  </w:style>
  <w:style w:type="paragraph" w:styleId="ndice6">
    <w:name w:val="index 6"/>
    <w:basedOn w:val="Normal"/>
    <w:next w:val="Normal"/>
    <w:autoRedefine/>
    <w:uiPriority w:val="99"/>
    <w:unhideWhenUsed/>
    <w:locked/>
    <w:rsid w:val="0086026D"/>
    <w:pPr>
      <w:ind w:left="840" w:hanging="140"/>
    </w:pPr>
  </w:style>
  <w:style w:type="paragraph" w:styleId="ndice7">
    <w:name w:val="index 7"/>
    <w:basedOn w:val="Normal"/>
    <w:next w:val="Normal"/>
    <w:autoRedefine/>
    <w:uiPriority w:val="99"/>
    <w:unhideWhenUsed/>
    <w:locked/>
    <w:rsid w:val="0086026D"/>
    <w:pPr>
      <w:ind w:left="980" w:hanging="140"/>
    </w:pPr>
  </w:style>
  <w:style w:type="paragraph" w:styleId="ndice8">
    <w:name w:val="index 8"/>
    <w:basedOn w:val="Normal"/>
    <w:next w:val="Normal"/>
    <w:autoRedefine/>
    <w:uiPriority w:val="99"/>
    <w:unhideWhenUsed/>
    <w:locked/>
    <w:rsid w:val="0086026D"/>
    <w:pPr>
      <w:ind w:left="1120" w:hanging="140"/>
    </w:pPr>
  </w:style>
  <w:style w:type="paragraph" w:styleId="ndice9">
    <w:name w:val="index 9"/>
    <w:basedOn w:val="Normal"/>
    <w:next w:val="Normal"/>
    <w:autoRedefine/>
    <w:uiPriority w:val="99"/>
    <w:unhideWhenUsed/>
    <w:locked/>
    <w:rsid w:val="0086026D"/>
    <w:pPr>
      <w:ind w:left="1260" w:hanging="140"/>
    </w:pPr>
  </w:style>
  <w:style w:type="paragraph" w:styleId="Ttulodendice">
    <w:name w:val="index heading"/>
    <w:basedOn w:val="Normal"/>
    <w:next w:val="ndice1"/>
    <w:uiPriority w:val="99"/>
    <w:unhideWhenUsed/>
    <w:locked/>
    <w:rsid w:val="0086026D"/>
  </w:style>
  <w:style w:type="paragraph" w:styleId="Mapadeldocumento">
    <w:name w:val="Document Map"/>
    <w:basedOn w:val="Normal"/>
    <w:link w:val="MapadeldocumentoCar"/>
    <w:uiPriority w:val="99"/>
    <w:semiHidden/>
    <w:unhideWhenUsed/>
    <w:locked/>
    <w:rsid w:val="0062576D"/>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2576D"/>
    <w:rPr>
      <w:rFonts w:ascii="Tahoma" w:hAnsi="Tahoma" w:cs="Tahoma"/>
      <w:sz w:val="16"/>
      <w:szCs w:val="16"/>
    </w:rPr>
  </w:style>
  <w:style w:type="paragraph" w:styleId="TtuloTDC">
    <w:name w:val="TOC Heading"/>
    <w:basedOn w:val="Ttulo1"/>
    <w:next w:val="Normal"/>
    <w:uiPriority w:val="39"/>
    <w:semiHidden/>
    <w:unhideWhenUsed/>
    <w:qFormat/>
    <w:locked/>
    <w:rsid w:val="0062576D"/>
    <w:pPr>
      <w:keepLines/>
      <w:numPr>
        <w:numId w:val="0"/>
      </w:numPr>
      <w:spacing w:before="480" w:line="276" w:lineRule="auto"/>
      <w:outlineLvl w:val="9"/>
    </w:pPr>
    <w:rPr>
      <w:rFonts w:asciiTheme="majorHAnsi" w:eastAsiaTheme="majorEastAsia" w:hAnsiTheme="majorHAnsi" w:cstheme="majorBidi"/>
      <w:bCs/>
      <w:caps w:val="0"/>
      <w:color w:val="BFBF00" w:themeColor="accent1" w:themeShade="BF"/>
      <w:kern w:val="0"/>
      <w:sz w:val="28"/>
      <w:szCs w:val="28"/>
      <w:lang w:eastAsia="en-US"/>
    </w:rPr>
  </w:style>
  <w:style w:type="paragraph" w:styleId="Cita">
    <w:name w:val="Quote"/>
    <w:basedOn w:val="Normal"/>
    <w:next w:val="Normal"/>
    <w:link w:val="CitaCar"/>
    <w:uiPriority w:val="99"/>
    <w:locked/>
    <w:rsid w:val="008F4CC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99"/>
    <w:rsid w:val="008F4CCF"/>
    <w:rPr>
      <w:rFonts w:ascii="Amnesty Trade Gothic Light Obl" w:hAnsi="Amnesty Trade Gothic Light Obl"/>
      <w:i/>
      <w:iCs/>
      <w:color w:val="404040" w:themeColor="text1" w:themeTint="BF"/>
      <w:sz w:val="14"/>
    </w:rPr>
  </w:style>
  <w:style w:type="character" w:styleId="Referenciaintensa">
    <w:name w:val="Intense Reference"/>
    <w:basedOn w:val="Fuentedeprrafopredeter"/>
    <w:uiPriority w:val="99"/>
    <w:locked/>
    <w:rsid w:val="008F4CCF"/>
    <w:rPr>
      <w:b/>
      <w:bCs/>
      <w:smallCaps/>
      <w:color w:val="FFFF00" w:themeColor="accent1"/>
      <w:spacing w:val="5"/>
    </w:rPr>
  </w:style>
  <w:style w:type="character" w:styleId="Referenciasutil">
    <w:name w:val="Subtle Reference"/>
    <w:basedOn w:val="Fuentedeprrafopredeter"/>
    <w:uiPriority w:val="99"/>
    <w:locked/>
    <w:rsid w:val="008F4CCF"/>
    <w:rPr>
      <w:smallCaps/>
      <w:color w:val="5A5A5A" w:themeColor="text1" w:themeTint="A5"/>
    </w:rPr>
  </w:style>
  <w:style w:type="paragraph" w:styleId="Citadestacada">
    <w:name w:val="Intense Quote"/>
    <w:basedOn w:val="Normal"/>
    <w:next w:val="Normal"/>
    <w:link w:val="CitadestacadaCar"/>
    <w:uiPriority w:val="99"/>
    <w:locked/>
    <w:rsid w:val="008F4CCF"/>
    <w:pPr>
      <w:pBdr>
        <w:top w:val="single" w:sz="4" w:space="10" w:color="FFFF00" w:themeColor="accent1"/>
        <w:bottom w:val="single" w:sz="4" w:space="10" w:color="FFFF00" w:themeColor="accent1"/>
      </w:pBdr>
      <w:spacing w:before="360" w:after="360"/>
      <w:ind w:left="864" w:right="864"/>
      <w:jc w:val="center"/>
    </w:pPr>
    <w:rPr>
      <w:i/>
      <w:iCs/>
      <w:color w:val="FFFF00" w:themeColor="accent1"/>
    </w:rPr>
  </w:style>
  <w:style w:type="character" w:customStyle="1" w:styleId="CitadestacadaCar">
    <w:name w:val="Cita destacada Car"/>
    <w:basedOn w:val="Fuentedeprrafopredeter"/>
    <w:link w:val="Citadestacada"/>
    <w:uiPriority w:val="99"/>
    <w:rsid w:val="008F4CCF"/>
    <w:rPr>
      <w:rFonts w:ascii="Amnesty Trade Gothic Light Obl" w:hAnsi="Amnesty Trade Gothic Light Obl"/>
      <w:i/>
      <w:iCs/>
      <w:color w:val="FFFF00" w:themeColor="accent1"/>
      <w:sz w:val="14"/>
    </w:rPr>
  </w:style>
  <w:style w:type="paragraph" w:styleId="Subttulo">
    <w:name w:val="Subtitle"/>
    <w:basedOn w:val="Normal"/>
    <w:next w:val="Normal"/>
    <w:link w:val="SubttuloCar"/>
    <w:uiPriority w:val="99"/>
    <w:qFormat/>
    <w:locked/>
    <w:rsid w:val="00E629B0"/>
    <w:pPr>
      <w:numPr>
        <w:ilvl w:val="1"/>
      </w:numPr>
      <w:spacing w:after="160"/>
    </w:pPr>
    <w:rPr>
      <w:rFonts w:asciiTheme="minorHAnsi"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99"/>
    <w:rsid w:val="00E629B0"/>
    <w:rPr>
      <w:rFonts w:asciiTheme="minorHAnsi" w:hAnsiTheme="minorHAnsi" w:cstheme="minorBidi"/>
      <w:color w:val="5A5A5A" w:themeColor="text1" w:themeTint="A5"/>
      <w:spacing w:val="15"/>
      <w:sz w:val="22"/>
      <w:szCs w:val="22"/>
    </w:rPr>
  </w:style>
  <w:style w:type="character" w:styleId="Textoennegrita">
    <w:name w:val="Strong"/>
    <w:basedOn w:val="Fuentedeprrafopredeter"/>
    <w:uiPriority w:val="99"/>
    <w:locked/>
    <w:rsid w:val="00E629B0"/>
    <w:rPr>
      <w:b/>
      <w:bCs/>
    </w:rPr>
  </w:style>
  <w:style w:type="paragraph" w:styleId="Ttulo">
    <w:name w:val="Title"/>
    <w:basedOn w:val="Normal"/>
    <w:next w:val="Normal"/>
    <w:link w:val="TtuloCar"/>
    <w:uiPriority w:val="99"/>
    <w:locked/>
    <w:rsid w:val="00E629B0"/>
    <w:pPr>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99"/>
    <w:rsid w:val="00E629B0"/>
    <w:rPr>
      <w:rFonts w:asciiTheme="majorHAnsi" w:eastAsiaTheme="majorEastAsia" w:hAnsiTheme="majorHAnsi" w:cstheme="majorBidi"/>
      <w:color w:val="auto"/>
      <w:spacing w:val="-10"/>
      <w:kern w:val="28"/>
      <w:sz w:val="56"/>
      <w:szCs w:val="56"/>
    </w:rPr>
  </w:style>
  <w:style w:type="character" w:styleId="Ttulodellibro">
    <w:name w:val="Book Title"/>
    <w:basedOn w:val="Fuentedeprrafopredeter"/>
    <w:uiPriority w:val="99"/>
    <w:locked/>
    <w:rsid w:val="00E629B0"/>
    <w:rPr>
      <w:b/>
      <w:bCs/>
      <w:i/>
      <w:iCs/>
      <w:spacing w:val="5"/>
    </w:rPr>
  </w:style>
  <w:style w:type="character" w:styleId="nfasis">
    <w:name w:val="Emphasis"/>
    <w:basedOn w:val="Fuentedeprrafopredeter"/>
    <w:uiPriority w:val="99"/>
    <w:locked/>
    <w:rsid w:val="00E629B0"/>
    <w:rPr>
      <w:i/>
      <w:iCs/>
    </w:rPr>
  </w:style>
  <w:style w:type="character" w:styleId="nfasisintenso">
    <w:name w:val="Intense Emphasis"/>
    <w:basedOn w:val="Fuentedeprrafopredeter"/>
    <w:uiPriority w:val="99"/>
    <w:locked/>
    <w:rsid w:val="00E629B0"/>
    <w:rPr>
      <w:i/>
      <w:iCs/>
      <w:color w:val="FFFF00" w:themeColor="accent1"/>
    </w:rPr>
  </w:style>
  <w:style w:type="character" w:styleId="nfasissutil">
    <w:name w:val="Subtle Emphasis"/>
    <w:basedOn w:val="Fuentedeprrafopredeter"/>
    <w:uiPriority w:val="99"/>
    <w:qFormat/>
    <w:locked/>
    <w:rsid w:val="00E629B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697607">
      <w:bodyDiv w:val="1"/>
      <w:marLeft w:val="0"/>
      <w:marRight w:val="0"/>
      <w:marTop w:val="0"/>
      <w:marBottom w:val="0"/>
      <w:divBdr>
        <w:top w:val="none" w:sz="0" w:space="0" w:color="auto"/>
        <w:left w:val="none" w:sz="0" w:space="0" w:color="auto"/>
        <w:bottom w:val="none" w:sz="0" w:space="0" w:color="auto"/>
        <w:right w:val="none" w:sz="0" w:space="0" w:color="auto"/>
      </w:divBdr>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567083124">
      <w:bodyDiv w:val="1"/>
      <w:marLeft w:val="0"/>
      <w:marRight w:val="0"/>
      <w:marTop w:val="0"/>
      <w:marBottom w:val="0"/>
      <w:divBdr>
        <w:top w:val="none" w:sz="0" w:space="0" w:color="auto"/>
        <w:left w:val="none" w:sz="0" w:space="0" w:color="auto"/>
        <w:bottom w:val="none" w:sz="0" w:space="0" w:color="auto"/>
        <w:right w:val="none" w:sz="0" w:space="0" w:color="auto"/>
      </w:divBdr>
    </w:div>
    <w:div w:id="1323510797">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978409761">
      <w:bodyDiv w:val="1"/>
      <w:marLeft w:val="0"/>
      <w:marRight w:val="0"/>
      <w:marTop w:val="0"/>
      <w:marBottom w:val="0"/>
      <w:divBdr>
        <w:top w:val="none" w:sz="0" w:space="0" w:color="auto"/>
        <w:left w:val="none" w:sz="0" w:space="0" w:color="auto"/>
        <w:bottom w:val="none" w:sz="0" w:space="0" w:color="auto"/>
        <w:right w:val="none" w:sz="0" w:space="0" w:color="auto"/>
      </w:divBdr>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amnesty.org/es/about/permiss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mailto:info@amnesty.org" TargetMode="External"/><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it.ly/3dTqrkZ" TargetMode="External"/><Relationship Id="rId2" Type="http://schemas.openxmlformats.org/officeDocument/2006/relationships/hyperlink" Target="https://www.unicef.org/mexico/informes/panorama-estad%C3%ADstico-de-la-violencia" TargetMode="External"/><Relationship Id="rId1" Type="http://schemas.openxmlformats.org/officeDocument/2006/relationships/hyperlink" Target="https://bit.ly/3dTqrkZ" TargetMode="External"/><Relationship Id="rId5" Type="http://schemas.openxmlformats.org/officeDocument/2006/relationships/hyperlink" Target="https://www.gob.mx/conavim" TargetMode="External"/><Relationship Id="rId4" Type="http://schemas.openxmlformats.org/officeDocument/2006/relationships/hyperlink" Target="https://www.dof.gob.mx/nota_detalle.php?codigo=5589797&amp;fecha=19/03/2020"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97614B75B84E4C841CE911BA0CCB9D" ma:contentTypeVersion="0" ma:contentTypeDescription="Create a new document." ma:contentTypeScope="" ma:versionID="1767317f18db5fda6be79de3c4e3da6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CCB290-BA22-4200-86F3-B3891F75AB3E}">
  <ds:schemaRefs>
    <ds:schemaRef ds:uri="http://schemas.openxmlformats.org/officeDocument/2006/bibliography"/>
  </ds:schemaRefs>
</ds:datastoreItem>
</file>

<file path=customXml/itemProps2.xml><?xml version="1.0" encoding="utf-8"?>
<ds:datastoreItem xmlns:ds="http://schemas.openxmlformats.org/officeDocument/2006/customXml" ds:itemID="{B2F7029A-44E2-45DD-9F5A-FC300E5E0306}"/>
</file>

<file path=customXml/itemProps3.xml><?xml version="1.0" encoding="utf-8"?>
<ds:datastoreItem xmlns:ds="http://schemas.openxmlformats.org/officeDocument/2006/customXml" ds:itemID="{6A17CD79-04F4-4D02-806F-0D7AE7C8B319}"/>
</file>

<file path=customXml/itemProps4.xml><?xml version="1.0" encoding="utf-8"?>
<ds:datastoreItem xmlns:ds="http://schemas.openxmlformats.org/officeDocument/2006/customXml" ds:itemID="{200C5A48-55D3-4427-986C-159ABB27E34F}"/>
</file>

<file path=docProps/app.xml><?xml version="1.0" encoding="utf-8"?>
<Properties xmlns="http://schemas.openxmlformats.org/officeDocument/2006/extended-properties" xmlns:vt="http://schemas.openxmlformats.org/officeDocument/2006/docPropsVTypes">
  <Template>Normal.dotm</Template>
  <TotalTime>159</TotalTime>
  <Pages>16</Pages>
  <Words>2459</Words>
  <Characters>13525</Characters>
  <Application>Microsoft Office Word</Application>
  <DocSecurity>0</DocSecurity>
  <Lines>112</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Report</vt:lpstr>
      <vt:lpstr>Report</vt:lpstr>
    </vt:vector>
  </TitlesOfParts>
  <Company>Amnesty International</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Microsoft Office User</dc:creator>
  <cp:keywords>Amnesty International Report</cp:keywords>
  <cp:lastModifiedBy>estephanie soto ortiz</cp:lastModifiedBy>
  <cp:revision>8</cp:revision>
  <cp:lastPrinted>2020-09-18T16:39:00Z</cp:lastPrinted>
  <dcterms:created xsi:type="dcterms:W3CDTF">2020-09-17T20:19:00Z</dcterms:created>
  <dcterms:modified xsi:type="dcterms:W3CDTF">2020-09-18T17:36:00Z</dcterms:modified>
  <cp:category>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0x010100F397614B75B84E4C841CE911BA0CCB9D</vt:lpwstr>
  </property>
</Properties>
</file>