
<file path=[Content_Types].xml><?xml version="1.0" encoding="utf-8"?>
<Types xmlns="http://schemas.openxmlformats.org/package/2006/content-types">
  <Default Extension="rels" ContentType="application/vnd.openxmlformats-package.relationships+xml"/>
  <Default Extension="xml" ContentType="application/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customXML/itemProps1.xml" ContentType="application/vnd.openxmlformats-officedocument.customXmlProperties+xml"/>
  <Override PartName="/customXML/item1.xml" ContentType="application/xml"/>
  <Override PartName="/docProps/core.xml" ContentType="application/vnd.openxmlformats-package.core-properties+xml"/>
  <Override PartName="/word/document.xml" ContentType="application/vnd.openxmlformats-officedocument.wordprocessingml.document.main+xml"/>
  <Override PartName="/word/theme/theme1.xml" ContentType="application/vnd.openxmlformats-officedocument.theme+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Information to the Human Rights Committee regarding the Fourth Periodic Review of the Syrian Arab Republic </w:t>
      </w:r>
    </w:p>
    <w:p w:rsidR="00000000" w:rsidDel="00000000" w:rsidP="00000000" w:rsidRDefault="00000000" w:rsidRPr="00000000" w14:paraId="00000002">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3">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4">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5">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6">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7">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color w:val="0d0d0d"/>
          <w:sz w:val="24"/>
          <w:szCs w:val="24"/>
          <w:rtl w:val="0"/>
        </w:rPr>
        <w:t xml:space="preserve">About the Submitting Organisations </w:t>
      </w:r>
      <w:r w:rsidDel="00000000" w:rsidR="00000000" w:rsidRPr="00000000">
        <w:rPr>
          <w:rtl w:val="0"/>
        </w:rPr>
      </w:r>
    </w:p>
    <w:p w:rsidR="00000000" w:rsidDel="00000000" w:rsidP="00000000" w:rsidRDefault="00000000" w:rsidRPr="00000000" w14:paraId="00000008">
      <w:pPr>
        <w:spacing w:line="360" w:lineRule="auto"/>
        <w:jc w:val="both"/>
        <w:rPr>
          <w:rFonts w:ascii="Times New Roman" w:cs="Times New Roman" w:eastAsia="Times New Roman" w:hAnsi="Times New Roman"/>
          <w:color w:val="0d0d0d"/>
          <w:sz w:val="24"/>
          <w:szCs w:val="24"/>
        </w:rPr>
      </w:pPr>
      <w:r w:rsidDel="00000000" w:rsidR="00000000" w:rsidRPr="00000000">
        <w:rPr>
          <w:rtl w:val="0"/>
        </w:rPr>
      </w:r>
    </w:p>
    <w:p w:rsidR="00000000" w:rsidDel="00000000" w:rsidP="00000000" w:rsidRDefault="00000000" w:rsidRPr="00000000" w14:paraId="00000009">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i w:val="1"/>
          <w:sz w:val="24"/>
          <w:szCs w:val="24"/>
          <w:rtl w:val="0"/>
        </w:rPr>
        <w:t xml:space="preserve">Truth and Justice Charter</w:t>
      </w:r>
      <w:r w:rsidDel="00000000" w:rsidR="00000000" w:rsidRPr="00000000">
        <w:rPr>
          <w:rFonts w:ascii="Times New Roman" w:cs="Times New Roman" w:eastAsia="Times New Roman" w:hAnsi="Times New Roman"/>
          <w:sz w:val="24"/>
          <w:szCs w:val="24"/>
          <w:rtl w:val="0"/>
        </w:rPr>
        <w:t xml:space="preserve"> is a group of </w:t>
      </w:r>
      <w:r w:rsidDel="00000000" w:rsidR="00000000" w:rsidRPr="00000000">
        <w:rPr>
          <w:rFonts w:ascii="Times New Roman" w:cs="Times New Roman" w:eastAsia="Times New Roman" w:hAnsi="Times New Roman"/>
          <w:sz w:val="24"/>
          <w:szCs w:val="24"/>
          <w:rtl w:val="0"/>
        </w:rPr>
        <w:t xml:space="preserve">ten organisations representing </w:t>
      </w:r>
      <w:r w:rsidDel="00000000" w:rsidR="00000000" w:rsidRPr="00000000">
        <w:rPr>
          <w:rFonts w:ascii="Times New Roman" w:cs="Times New Roman" w:eastAsia="Times New Roman" w:hAnsi="Times New Roman"/>
          <w:sz w:val="24"/>
          <w:szCs w:val="24"/>
          <w:rtl w:val="0"/>
        </w:rPr>
        <w:t xml:space="preserve">Syrian families of victims and survivors of arbitrary detention and enforced disappearance in Syria launched in 2021. The charter reflects their common vision of how to advance victims’ rights and the cause of justice and truth in Syria. The Charter sets revealing the truth, ensuring justice for the detained and the forcibly disappeared and their families, and holding violators accountable as the building blocks for lasting peace in Syria. </w:t>
      </w:r>
    </w:p>
    <w:p w:rsidR="00000000" w:rsidDel="00000000" w:rsidP="00000000" w:rsidRDefault="00000000" w:rsidRPr="00000000" w14:paraId="0000000A">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B">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i w:val="1"/>
          <w:sz w:val="24"/>
          <w:szCs w:val="24"/>
          <w:rtl w:val="0"/>
        </w:rPr>
        <w:t xml:space="preserve">The Syrian Legal Development Programme (SLDP)</w:t>
      </w:r>
      <w:r w:rsidDel="00000000" w:rsidR="00000000" w:rsidRPr="00000000">
        <w:rPr>
          <w:rFonts w:ascii="Times New Roman" w:cs="Times New Roman" w:eastAsia="Times New Roman" w:hAnsi="Times New Roman"/>
          <w:sz w:val="24"/>
          <w:szCs w:val="24"/>
          <w:highlight w:val="white"/>
          <w:rtl w:val="0"/>
        </w:rPr>
        <w:t xml:space="preserve"> is a UK-based Syrian organisation established in 2013 in response to the Syrian conflict after realising the importance of addressing complex legal needs triggered by the conflict. SLDP's scope of work embraces various services, projects, and activities implemented in Syria, neighbouring countries, and other states involved or have a stake in the conflict. SLDP’s work includes but is not limited to legal consultations, training and workshops, policy recommendations, legal assessments and advocacy campaigns explicitly tailored for Syrian NGOs and victims and families' groups to help them with their work on the ground and their documentation and legal advocacy efforts.</w:t>
      </w:r>
      <w:r w:rsidDel="00000000" w:rsidR="00000000" w:rsidRPr="00000000">
        <w:rPr>
          <w:rtl w:val="0"/>
        </w:rPr>
      </w:r>
    </w:p>
    <w:p w:rsidR="00000000" w:rsidDel="00000000" w:rsidP="00000000" w:rsidRDefault="00000000" w:rsidRPr="00000000" w14:paraId="0000000C">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D">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E">
      <w:pPr>
        <w:rPr>
          <w:rFonts w:ascii="Times New Roman" w:cs="Times New Roman" w:eastAsia="Times New Roman" w:hAnsi="Times New Roman"/>
          <w:b w:val="1"/>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0F">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Introduction</w:t>
      </w:r>
    </w:p>
    <w:p w:rsidR="00000000" w:rsidDel="00000000" w:rsidP="00000000" w:rsidRDefault="00000000" w:rsidRPr="00000000" w14:paraId="00000010">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11">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paper provides responses to the Syrian Government’s responses to the list of issues relating to its fourth periodic report. The paper does not address all the issues raised by the Committee and responded to by the Syrian Government; it focuses mainly on the following thematic areas:</w:t>
      </w:r>
    </w:p>
    <w:p w:rsidR="00000000" w:rsidDel="00000000" w:rsidP="00000000" w:rsidRDefault="00000000" w:rsidRPr="00000000" w14:paraId="00000012">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13">
      <w:pPr>
        <w:numPr>
          <w:ilvl w:val="0"/>
          <w:numId w:val="3"/>
        </w:numPr>
        <w:spacing w:line="360" w:lineRule="auto"/>
        <w:ind w:left="144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Enforced disappearance (para. 12)</w:t>
      </w:r>
    </w:p>
    <w:p w:rsidR="00000000" w:rsidDel="00000000" w:rsidP="00000000" w:rsidRDefault="00000000" w:rsidRPr="00000000" w14:paraId="00000014">
      <w:pPr>
        <w:numPr>
          <w:ilvl w:val="0"/>
          <w:numId w:val="3"/>
        </w:numPr>
        <w:spacing w:line="360" w:lineRule="auto"/>
        <w:ind w:left="144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Prohibition of torture and other cruel, inhuman or degrading treatment or punishment (para. 13)</w:t>
      </w:r>
    </w:p>
    <w:p w:rsidR="00000000" w:rsidDel="00000000" w:rsidP="00000000" w:rsidRDefault="00000000" w:rsidRPr="00000000" w14:paraId="00000015">
      <w:pPr>
        <w:numPr>
          <w:ilvl w:val="0"/>
          <w:numId w:val="3"/>
        </w:numPr>
        <w:spacing w:line="360" w:lineRule="auto"/>
        <w:ind w:left="144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Treatment of persons deprived of their liberty - Existence of secret detention centres (para. 14 &amp; 15)</w:t>
      </w:r>
    </w:p>
    <w:p w:rsidR="00000000" w:rsidDel="00000000" w:rsidP="00000000" w:rsidRDefault="00000000" w:rsidRPr="00000000" w14:paraId="00000016">
      <w:pPr>
        <w:rPr/>
      </w:pPr>
      <w:r w:rsidDel="00000000" w:rsidR="00000000" w:rsidRPr="00000000">
        <w:rPr>
          <w:rtl w:val="0"/>
        </w:rPr>
        <w:t xml:space="preserve"> </w:t>
      </w:r>
    </w:p>
    <w:p w:rsidR="00000000" w:rsidDel="00000000" w:rsidP="00000000" w:rsidRDefault="00000000" w:rsidRPr="00000000" w14:paraId="00000017">
      <w:pPr>
        <w:rPr/>
      </w:pPr>
      <w:r w:rsidDel="00000000" w:rsidR="00000000" w:rsidRPr="00000000">
        <w:rPr>
          <w:rtl w:val="0"/>
        </w:rPr>
      </w:r>
    </w:p>
    <w:p w:rsidR="00000000" w:rsidDel="00000000" w:rsidP="00000000" w:rsidRDefault="00000000" w:rsidRPr="00000000" w14:paraId="00000018">
      <w:pPr>
        <w:pStyle w:val="Heading1"/>
        <w:keepNext w:val="0"/>
        <w:keepLines w:val="0"/>
        <w:widowControl w:val="0"/>
        <w:numPr>
          <w:ilvl w:val="0"/>
          <w:numId w:val="1"/>
        </w:numPr>
        <w:shd w:fill="ffffff" w:val="clear"/>
        <w:spacing w:after="0" w:before="0" w:line="360" w:lineRule="auto"/>
        <w:ind w:left="720" w:hanging="360"/>
        <w:jc w:val="both"/>
        <w:rPr>
          <w:rFonts w:ascii="Times New Roman" w:cs="Times New Roman" w:eastAsia="Times New Roman" w:hAnsi="Times New Roman"/>
          <w:b w:val="1"/>
          <w:sz w:val="24"/>
          <w:szCs w:val="24"/>
        </w:rPr>
      </w:pPr>
      <w:bookmarkStart w:colFirst="0" w:colLast="0" w:name="_heading=h.gjdgxs" w:id="0"/>
      <w:bookmarkEnd w:id="0"/>
      <w:r w:rsidDel="00000000" w:rsidR="00000000" w:rsidRPr="00000000">
        <w:rPr>
          <w:rFonts w:ascii="Times New Roman" w:cs="Times New Roman" w:eastAsia="Times New Roman" w:hAnsi="Times New Roman"/>
          <w:b w:val="1"/>
          <w:sz w:val="24"/>
          <w:szCs w:val="24"/>
          <w:rtl w:val="0"/>
        </w:rPr>
        <w:t xml:space="preserve">Response to Paragraphs 12 and 13 - Enforced disappearance, Torture and other Forms of Cruel, Inhumane or Degrading Treatment (Ill-treatment)</w:t>
      </w:r>
    </w:p>
    <w:p w:rsidR="00000000" w:rsidDel="00000000" w:rsidP="00000000" w:rsidRDefault="00000000" w:rsidRPr="00000000" w14:paraId="00000019">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A">
      <w:pPr>
        <w:numPr>
          <w:ilvl w:val="0"/>
          <w:numId w:val="4"/>
        </w:numPr>
        <w:spacing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Syrian authorities did not answer the Committee's questions. Their response failed to clarify the measures undertaken, especially concerning the new Anti-Torture Law, to prevent torture and the use of ill-treatment in places of detention. Moreover, it did not outline how the authorities would ensure prompt, thorough, and impartial investigations by an independent mechanism into all allegations of torture and ill-treatment, prosecute and punish perpetrators, and provide effective remedies and rehabilitation for victims and their families. In this respect, the Syrian authorities did not provide any data on the number of complaints received, investigations and trials conducted, penalties imposed, and reparations granted to victims. The response from the Syrian authorities was restricted to simply enumerating specific articles of the new law without outlining any actions taken by them to prevent torture and ill-treatment, hold perpetrators accountable, or provide comprehensive redress and reparation to the victims. </w:t>
      </w:r>
    </w:p>
    <w:p w:rsidR="00000000" w:rsidDel="00000000" w:rsidP="00000000" w:rsidRDefault="00000000" w:rsidRPr="00000000" w14:paraId="0000001B">
      <w:pPr>
        <w:spacing w:line="360" w:lineRule="auto"/>
        <w:ind w:left="72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C">
      <w:pPr>
        <w:numPr>
          <w:ilvl w:val="0"/>
          <w:numId w:val="4"/>
        </w:numPr>
        <w:spacing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Regarding enforced disappearance, the authorities did not respond to the Committee’s questions regarding the actions taken to prevent and investigate cases of enforced disappearance. The response also lacked any details regarding investigations and their outcomes, including information on the number of missing persons located and, if deceased, whether their bodies were returned to their families. Additionally, it did not outline the actions taken to investigate and prosecute those responsible or provide information on the compensation afforded to affected families. Legislative Decree (20) of 2013 concerning kidnapping crimes, often referenced by Syrian authorities in discussions of enforced disappearances, fails to address this crime adequately. Significant discrepancies exist between the crime of kidnapping as defined in this law and enforced disappearance as recognised under international law. </w:t>
      </w:r>
    </w:p>
    <w:p w:rsidR="00000000" w:rsidDel="00000000" w:rsidP="00000000" w:rsidRDefault="00000000" w:rsidRPr="00000000" w14:paraId="0000001D">
      <w:pPr>
        <w:spacing w:line="360" w:lineRule="auto"/>
        <w:ind w:left="72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E">
      <w:pPr>
        <w:numPr>
          <w:ilvl w:val="0"/>
          <w:numId w:val="4"/>
        </w:numPr>
        <w:spacing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During the years of conflict in Syria, Syrian and international NGOs, as well as the COI, have extensively documented and reported on tens of thousands of missing person cases, including those subjected to enforced disappearance, as well as the presence of mass graves throughout the country.</w:t>
      </w:r>
      <w:r w:rsidDel="00000000" w:rsidR="00000000" w:rsidRPr="00000000">
        <w:rPr>
          <w:rFonts w:ascii="Times New Roman" w:cs="Times New Roman" w:eastAsia="Times New Roman" w:hAnsi="Times New Roman"/>
          <w:sz w:val="24"/>
          <w:szCs w:val="24"/>
          <w:vertAlign w:val="superscript"/>
        </w:rPr>
        <w:footnoteReference w:customMarkFollows="0" w:id="0"/>
      </w:r>
      <w:r w:rsidDel="00000000" w:rsidR="00000000" w:rsidRPr="00000000">
        <w:rPr>
          <w:rFonts w:ascii="Times New Roman" w:cs="Times New Roman" w:eastAsia="Times New Roman" w:hAnsi="Times New Roman"/>
          <w:sz w:val="24"/>
          <w:szCs w:val="24"/>
          <w:rtl w:val="0"/>
        </w:rPr>
        <w:t xml:space="preserve"> As of April 18, 2024, the Syrian Network for Human Rights (SNHR) has recorded 112,000 cases of Syrians who have been forcibly disappeared in Syria.</w:t>
      </w:r>
      <w:r w:rsidDel="00000000" w:rsidR="00000000" w:rsidRPr="00000000">
        <w:rPr>
          <w:rFonts w:ascii="Times New Roman" w:cs="Times New Roman" w:eastAsia="Times New Roman" w:hAnsi="Times New Roman"/>
          <w:sz w:val="24"/>
          <w:szCs w:val="24"/>
          <w:vertAlign w:val="superscript"/>
        </w:rPr>
        <w:footnoteReference w:customMarkFollows="0" w:id="1"/>
      </w:r>
      <w:r w:rsidDel="00000000" w:rsidR="00000000" w:rsidRPr="00000000">
        <w:rPr>
          <w:rFonts w:ascii="Times New Roman" w:cs="Times New Roman" w:eastAsia="Times New Roman" w:hAnsi="Times New Roman"/>
          <w:sz w:val="24"/>
          <w:szCs w:val="24"/>
          <w:rtl w:val="0"/>
        </w:rPr>
        <w:t xml:space="preserve"> Among this total, 96,000 individuals, or 85 per cent, were forcibly disappeared by Syrian authorities and pro-regime militias.</w:t>
      </w:r>
      <w:r w:rsidDel="00000000" w:rsidR="00000000" w:rsidRPr="00000000">
        <w:rPr>
          <w:rFonts w:ascii="Times New Roman" w:cs="Times New Roman" w:eastAsia="Times New Roman" w:hAnsi="Times New Roman"/>
          <w:sz w:val="24"/>
          <w:szCs w:val="24"/>
          <w:vertAlign w:val="superscript"/>
        </w:rPr>
        <w:footnoteReference w:customMarkFollows="0" w:id="2"/>
      </w:r>
      <w:r w:rsidDel="00000000" w:rsidR="00000000" w:rsidRPr="00000000">
        <w:rPr>
          <w:rFonts w:ascii="Times New Roman" w:cs="Times New Roman" w:eastAsia="Times New Roman" w:hAnsi="Times New Roman"/>
          <w:sz w:val="24"/>
          <w:szCs w:val="24"/>
          <w:rtl w:val="0"/>
        </w:rPr>
        <w:t xml:space="preserve"> Little information has been disclosed Despite the authorities' claims that it has established entities to address the issue of missing persons and to support families in locating their missing relatives. There has been a lack of active efforts by the Syrian authorities to investigate and clarify the fate and whereabouts of the missing, further confirmed by the authorities’ refusal to engage with the UN's newly established Independent Institution for the Missing People in Syria. </w:t>
      </w:r>
    </w:p>
    <w:p w:rsidR="00000000" w:rsidDel="00000000" w:rsidP="00000000" w:rsidRDefault="00000000" w:rsidRPr="00000000" w14:paraId="0000001F">
      <w:pPr>
        <w:spacing w:line="360" w:lineRule="auto"/>
        <w:ind w:left="72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0">
      <w:pPr>
        <w:numPr>
          <w:ilvl w:val="0"/>
          <w:numId w:val="4"/>
        </w:numPr>
        <w:spacing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Numerous reports issued by the COI and other bodies monitoring the human rights situation in Syria confirm the ongoing patterns of crimes against humanity and war crimes related to arbitrary detention, torture, enforced disappearance, and death in detention centres operated by the Syrian authorities. Despite the introduction of new laws, such as the new Anti-Torture Law, the abolition of Military Field Courts and the law on kidnapping crimes, which the Syrian authorities have presented as an integral part of legislative reforms aimed at protecting human rights in Syria, the violations persist. </w:t>
      </w:r>
    </w:p>
    <w:p w:rsidR="00000000" w:rsidDel="00000000" w:rsidP="00000000" w:rsidRDefault="00000000" w:rsidRPr="00000000" w14:paraId="00000021">
      <w:pPr>
        <w:spacing w:line="360" w:lineRule="auto"/>
        <w:ind w:left="72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2">
      <w:pPr>
        <w:numPr>
          <w:ilvl w:val="0"/>
          <w:numId w:val="4"/>
        </w:numPr>
        <w:spacing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example, the COI, in its report of February 2022, reported that a group of families from Eastern Ghouta received death certificates from the Civil Registry Office for more than 30 individuals who disappeared after being transferred to a collective shelter in 2018. The certificates provided the alleged date of death without clarifying the circumstances of the death. A similar date of death was mentioned on death certificates (in 2019) for several deceased individuals, likely indicating executions during the government's retaking of Eastern Ghouta. The remains of these individuals have not been returned to the families, and there is no evidence of any government investigation into these cases.</w:t>
      </w:r>
      <w:r w:rsidDel="00000000" w:rsidR="00000000" w:rsidRPr="00000000">
        <w:rPr>
          <w:rFonts w:ascii="Times New Roman" w:cs="Times New Roman" w:eastAsia="Times New Roman" w:hAnsi="Times New Roman"/>
          <w:sz w:val="24"/>
          <w:szCs w:val="24"/>
          <w:vertAlign w:val="superscript"/>
        </w:rPr>
        <w:footnoteReference w:customMarkFollows="0" w:id="3"/>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23">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4">
      <w:pPr>
        <w:numPr>
          <w:ilvl w:val="0"/>
          <w:numId w:val="4"/>
        </w:numPr>
        <w:spacing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Moreover, the COI's report issued on August 17, 2022, covering the period from January to June 30, indicates that torture and ill-treatment continue systematically in detention facilities, including Sednaya Prison and detention centres run by Syrian intelligence. The COI noted that it had received information from survivors regarding cell overcrowding, the spread of diseases, including COVID-19, and denial of medical care, food, water, and sanitation. Methods of torture included electric shocks, burning of body parts, and suspension from limbs for prolonged periods, often accompanied by severe beatings. Among the cases documented by the COI in this report, nine men were arrested and subjected to torture and ill-treatment for failing to comply with or for defecting from compulsory military service. This included a minor who was 17 years old at the time of his arrest. Cases included defecting from service and returning after an amnesty, only to be re-arrested. Former prisoners reported being held without contact with their families or access to lawyers for periods ranging from weeks to several months. Those eventually brought before the court stated that they were forced to sign written "confessions" without having had the opportunity to read them. </w:t>
      </w:r>
    </w:p>
    <w:p w:rsidR="00000000" w:rsidDel="00000000" w:rsidP="00000000" w:rsidRDefault="00000000" w:rsidRPr="00000000" w14:paraId="00000025">
      <w:pPr>
        <w:spacing w:line="360" w:lineRule="auto"/>
        <w:ind w:left="72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6">
      <w:pPr>
        <w:numPr>
          <w:ilvl w:val="0"/>
          <w:numId w:val="4"/>
        </w:numPr>
        <w:spacing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its report issued on February 7, 2023, the COI also confirmed the continued arbitrary arrests and detentions by government forces, including of individuals who had "reconciled" with the government in the past. In this report, the COI documented numerous cases of arbitrary arrest, torture, and ill-treatment of detainees, as well as extrajudicial killings by government forces. This confirms the persistence of patterns of war crimes and crimes against humanity related to these violations.</w:t>
      </w:r>
      <w:r w:rsidDel="00000000" w:rsidR="00000000" w:rsidRPr="00000000">
        <w:rPr>
          <w:rFonts w:ascii="Times New Roman" w:cs="Times New Roman" w:eastAsia="Times New Roman" w:hAnsi="Times New Roman"/>
          <w:sz w:val="24"/>
          <w:szCs w:val="24"/>
          <w:vertAlign w:val="superscript"/>
        </w:rPr>
        <w:footnoteReference w:customMarkFollows="0" w:id="4"/>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27">
      <w:pPr>
        <w:spacing w:line="360" w:lineRule="auto"/>
        <w:ind w:left="72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8">
      <w:pPr>
        <w:numPr>
          <w:ilvl w:val="0"/>
          <w:numId w:val="4"/>
        </w:numPr>
        <w:spacing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its 2023 annual report, the Working Group on Enforced or Involuntary Disappearances (WGEID) expressed concern about the persistence of enforced disappearances in Syria, stressing the urgent need to alleviate the suffering endured by affected families. The WGEID expressed regret over the absence of effective research efforts and investigations conducted by the </w:t>
      </w:r>
      <w:r w:rsidDel="00000000" w:rsidR="00000000" w:rsidRPr="00000000">
        <w:rPr>
          <w:rFonts w:ascii="Times New Roman" w:cs="Times New Roman" w:eastAsia="Times New Roman" w:hAnsi="Times New Roman"/>
          <w:color w:val="0d0d0d"/>
          <w:sz w:val="24"/>
          <w:szCs w:val="24"/>
          <w:highlight w:val="white"/>
          <w:rtl w:val="0"/>
        </w:rPr>
        <w:t xml:space="preserve">Syrian authorities</w:t>
      </w:r>
      <w:r w:rsidDel="00000000" w:rsidR="00000000" w:rsidRPr="00000000">
        <w:rPr>
          <w:rFonts w:ascii="Times New Roman" w:cs="Times New Roman" w:eastAsia="Times New Roman" w:hAnsi="Times New Roman"/>
          <w:sz w:val="24"/>
          <w:szCs w:val="24"/>
          <w:rtl w:val="0"/>
        </w:rPr>
        <w:t xml:space="preserve"> to tackle cases of enforced disappearance. Furthermore, it noted the lack of accountability for those responsible for such violations and the absence of justice and redress for the victims and their families. The WGEID declared its support for the establishment of the UN's International Institution for Missing Persons in Syria to address enforced disappearance in Syria and support the families.</w:t>
      </w:r>
      <w:r w:rsidDel="00000000" w:rsidR="00000000" w:rsidRPr="00000000">
        <w:rPr>
          <w:rFonts w:ascii="Times New Roman" w:cs="Times New Roman" w:eastAsia="Times New Roman" w:hAnsi="Times New Roman"/>
          <w:sz w:val="24"/>
          <w:szCs w:val="24"/>
          <w:vertAlign w:val="superscript"/>
        </w:rPr>
        <w:footnoteReference w:customMarkFollows="0" w:id="5"/>
      </w:r>
      <w:r w:rsidDel="00000000" w:rsidR="00000000" w:rsidRPr="00000000">
        <w:rPr>
          <w:rtl w:val="0"/>
        </w:rPr>
      </w:r>
    </w:p>
    <w:p w:rsidR="00000000" w:rsidDel="00000000" w:rsidP="00000000" w:rsidRDefault="00000000" w:rsidRPr="00000000" w14:paraId="00000029">
      <w:pPr>
        <w:spacing w:line="360" w:lineRule="auto"/>
        <w:ind w:left="72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A">
      <w:pPr>
        <w:numPr>
          <w:ilvl w:val="0"/>
          <w:numId w:val="4"/>
        </w:numPr>
        <w:spacing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 10 July 2023, the COI issued a special report on torture in Syria entitled “No End in Sight: Torture and Ill-Treatment in the Syrian Arab Republic 2020-2023”. The report highlights widespread and systematic patterns of torture, ill-treatment and enforced disappearance in government detention centres and covers the period from January 2020 to April 2023. The report is based on 254 interviews conducted by the COI, including the testimonies of over 200 detainees and witnesses. It focuses on the main intelligence directorates and military prisons where such abuses are frequently reported. These include Military Intelligence, Air Force Intelligence, Political Security, and the General Intelligence Directorate, as well as the Police Criminal Security Department and Military Prisons in Sednaya and Al-Balouni in Homs.</w:t>
      </w:r>
      <w:r w:rsidDel="00000000" w:rsidR="00000000" w:rsidRPr="00000000">
        <w:rPr>
          <w:rFonts w:ascii="Times New Roman" w:cs="Times New Roman" w:eastAsia="Times New Roman" w:hAnsi="Times New Roman"/>
          <w:sz w:val="24"/>
          <w:szCs w:val="24"/>
          <w:vertAlign w:val="superscript"/>
        </w:rPr>
        <w:footnoteReference w:customMarkFollows="0" w:id="6"/>
      </w:r>
      <w:r w:rsidDel="00000000" w:rsidR="00000000" w:rsidRPr="00000000">
        <w:rPr>
          <w:rtl w:val="0"/>
        </w:rPr>
      </w:r>
    </w:p>
    <w:p w:rsidR="00000000" w:rsidDel="00000000" w:rsidP="00000000" w:rsidRDefault="00000000" w:rsidRPr="00000000" w14:paraId="0000002B">
      <w:pPr>
        <w:spacing w:line="360" w:lineRule="auto"/>
        <w:ind w:left="720" w:firstLine="0"/>
        <w:jc w:val="both"/>
        <w:rPr>
          <w:rFonts w:ascii="Times New Roman" w:cs="Times New Roman" w:eastAsia="Times New Roman" w:hAnsi="Times New Roman"/>
          <w:sz w:val="24"/>
          <w:szCs w:val="24"/>
          <w:vertAlign w:val="superscript"/>
        </w:rPr>
      </w:pPr>
      <w:r w:rsidDel="00000000" w:rsidR="00000000" w:rsidRPr="00000000">
        <w:rPr>
          <w:rtl w:val="0"/>
        </w:rPr>
      </w:r>
    </w:p>
    <w:p w:rsidR="00000000" w:rsidDel="00000000" w:rsidP="00000000" w:rsidRDefault="00000000" w:rsidRPr="00000000" w14:paraId="0000002C">
      <w:pPr>
        <w:numPr>
          <w:ilvl w:val="0"/>
          <w:numId w:val="4"/>
        </w:numPr>
        <w:spacing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report confirms that many former detainees in government detention centres are kept incommunicado for long periods without access to family, friends, or legal counsel. The report highlighted that numerous former detainees endured different forms of torture and mistreatment, such as being suspended by one or two limbs for extended periods (known as shabeh), being folded into car tyres (known as dulab), severe beatings, electric shocks, and sexual violence.</w:t>
      </w:r>
      <w:r w:rsidDel="00000000" w:rsidR="00000000" w:rsidRPr="00000000">
        <w:rPr>
          <w:rFonts w:ascii="Times New Roman" w:cs="Times New Roman" w:eastAsia="Times New Roman" w:hAnsi="Times New Roman"/>
          <w:sz w:val="24"/>
          <w:szCs w:val="24"/>
          <w:vertAlign w:val="superscript"/>
        </w:rPr>
        <w:footnoteReference w:customMarkFollows="0" w:id="7"/>
      </w:r>
      <w:r w:rsidDel="00000000" w:rsidR="00000000" w:rsidRPr="00000000">
        <w:rPr>
          <w:rFonts w:ascii="Times New Roman" w:cs="Times New Roman" w:eastAsia="Times New Roman" w:hAnsi="Times New Roman"/>
          <w:sz w:val="24"/>
          <w:szCs w:val="24"/>
          <w:rtl w:val="0"/>
        </w:rPr>
        <w:t xml:space="preserve"> Additionally, detainees described inhumane conditions such as overcrowded cells, lack of food and water, and denial of medical care, with many of them witnessing deaths in custody.</w:t>
      </w:r>
      <w:r w:rsidDel="00000000" w:rsidR="00000000" w:rsidRPr="00000000">
        <w:rPr>
          <w:rFonts w:ascii="Times New Roman" w:cs="Times New Roman" w:eastAsia="Times New Roman" w:hAnsi="Times New Roman"/>
          <w:sz w:val="24"/>
          <w:szCs w:val="24"/>
          <w:vertAlign w:val="superscript"/>
        </w:rPr>
        <w:footnoteReference w:customMarkFollows="0" w:id="8"/>
      </w:r>
      <w:r w:rsidDel="00000000" w:rsidR="00000000" w:rsidRPr="00000000">
        <w:rPr>
          <w:rtl w:val="0"/>
        </w:rPr>
      </w:r>
    </w:p>
    <w:p w:rsidR="00000000" w:rsidDel="00000000" w:rsidP="00000000" w:rsidRDefault="00000000" w:rsidRPr="00000000" w14:paraId="0000002D">
      <w:pPr>
        <w:spacing w:line="360" w:lineRule="auto"/>
        <w:ind w:left="720" w:firstLine="0"/>
        <w:jc w:val="both"/>
        <w:rPr>
          <w:rFonts w:ascii="Times New Roman" w:cs="Times New Roman" w:eastAsia="Times New Roman" w:hAnsi="Times New Roman"/>
          <w:sz w:val="24"/>
          <w:szCs w:val="24"/>
          <w:vertAlign w:val="superscript"/>
        </w:rPr>
      </w:pPr>
      <w:r w:rsidDel="00000000" w:rsidR="00000000" w:rsidRPr="00000000">
        <w:rPr>
          <w:rtl w:val="0"/>
        </w:rPr>
      </w:r>
    </w:p>
    <w:p w:rsidR="00000000" w:rsidDel="00000000" w:rsidP="00000000" w:rsidRDefault="00000000" w:rsidRPr="00000000" w14:paraId="0000002E">
      <w:pPr>
        <w:numPr>
          <w:ilvl w:val="0"/>
          <w:numId w:val="4"/>
        </w:numPr>
        <w:spacing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COI report issued on August 14, 2023, covering the period from January to June 30, 2023, also confirms the continuation of violations during the reporting period. For example, in January, one family received what the authorities claimed to be the remains of a relative who had been detained by the Military Intelligence Directorate in 2022. The family has not received any details about the circumstances of his death and has not been able to confirm the identity of the remains they have obtained. In other cases, families have been informed by third parties that their loved ones have died but have yet to receive any communication from the authorities. In the same report, the Commission confirmed that incommunicado detentions by the government continued, with detainees often suffering in deplorable conditions, particularly in detention branches run by the security services. For example, a civilian, who is a father of three, was arrested at a Syrian Army checkpoint with his family in early 2023 and held incommunicado for almost a month by several security services, during which he was subjected to torture and ill-treatment.</w:t>
      </w:r>
      <w:r w:rsidDel="00000000" w:rsidR="00000000" w:rsidRPr="00000000">
        <w:rPr>
          <w:rFonts w:ascii="Times New Roman" w:cs="Times New Roman" w:eastAsia="Times New Roman" w:hAnsi="Times New Roman"/>
          <w:sz w:val="24"/>
          <w:szCs w:val="24"/>
          <w:vertAlign w:val="superscript"/>
        </w:rPr>
        <w:footnoteReference w:customMarkFollows="0" w:id="9"/>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sz w:val="24"/>
          <w:szCs w:val="24"/>
          <w:highlight w:val="white"/>
          <w:rtl w:val="0"/>
        </w:rPr>
        <w:t xml:space="preserve"> </w:t>
      </w:r>
      <w:r w:rsidDel="00000000" w:rsidR="00000000" w:rsidRPr="00000000">
        <w:rPr>
          <w:rtl w:val="0"/>
        </w:rPr>
      </w:r>
    </w:p>
    <w:p w:rsidR="00000000" w:rsidDel="00000000" w:rsidP="00000000" w:rsidRDefault="00000000" w:rsidRPr="00000000" w14:paraId="0000002F">
      <w:pPr>
        <w:spacing w:line="360" w:lineRule="auto"/>
        <w:ind w:left="720" w:firstLine="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30">
      <w:pPr>
        <w:numPr>
          <w:ilvl w:val="0"/>
          <w:numId w:val="4"/>
        </w:numPr>
        <w:spacing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Finally, the latest report issued by the COI on February 9, 2024, covering the period from July 1 to December 31, 2023, also confirms the government's continued practices of arbitrary detention, enforced disappearance, torture, and ill-treatment, as well as deaths in government custody, including in Sednaya Prison, thereby confirming ongoing patterns of crimes against humanity. This report has documented cases where Syrian authorities have issued death certificates to detainees without providing any details about the circumstances of the death, leaving families unable to retrieve bodies for funeral rituals. For example, in November 2023, the family of a former opposition fighter from Daraa, detained since 2018, learned through the civil registry that their relative had died more than two years earlier. The family last visited the detainee in 2021 but has since been unable to obtain information on his whereabouts. Moreover, this report highlights how families are forced to resort to costly government-linked intermediaries to obtain information on their detained relatives, often with little success.</w:t>
      </w:r>
      <w:r w:rsidDel="00000000" w:rsidR="00000000" w:rsidRPr="00000000">
        <w:rPr>
          <w:rFonts w:ascii="Times New Roman" w:cs="Times New Roman" w:eastAsia="Times New Roman" w:hAnsi="Times New Roman"/>
          <w:sz w:val="24"/>
          <w:szCs w:val="24"/>
          <w:vertAlign w:val="superscript"/>
        </w:rPr>
        <w:footnoteReference w:customMarkFollows="0" w:id="10"/>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31">
      <w:pPr>
        <w:spacing w:line="360" w:lineRule="auto"/>
        <w:ind w:left="72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2">
      <w:pPr>
        <w:pStyle w:val="Heading1"/>
        <w:keepNext w:val="0"/>
        <w:keepLines w:val="0"/>
        <w:widowControl w:val="0"/>
        <w:numPr>
          <w:ilvl w:val="0"/>
          <w:numId w:val="1"/>
        </w:numPr>
        <w:shd w:fill="ffffff" w:val="clear"/>
        <w:spacing w:after="0" w:before="0" w:line="360" w:lineRule="auto"/>
        <w:ind w:left="720" w:hanging="360"/>
        <w:jc w:val="both"/>
        <w:rPr>
          <w:rFonts w:ascii="Times New Roman" w:cs="Times New Roman" w:eastAsia="Times New Roman" w:hAnsi="Times New Roman"/>
          <w:b w:val="1"/>
          <w:sz w:val="24"/>
          <w:szCs w:val="24"/>
        </w:rPr>
      </w:pPr>
      <w:bookmarkStart w:colFirst="0" w:colLast="0" w:name="_heading=h.30j0zll" w:id="1"/>
      <w:bookmarkEnd w:id="1"/>
      <w:r w:rsidDel="00000000" w:rsidR="00000000" w:rsidRPr="00000000">
        <w:rPr>
          <w:rFonts w:ascii="Times New Roman" w:cs="Times New Roman" w:eastAsia="Times New Roman" w:hAnsi="Times New Roman"/>
          <w:b w:val="1"/>
          <w:sz w:val="24"/>
          <w:szCs w:val="24"/>
          <w:rtl w:val="0"/>
        </w:rPr>
        <w:t xml:space="preserve">Response to Paragraph 14 - Secret Detention Centres</w:t>
      </w:r>
    </w:p>
    <w:p w:rsidR="00000000" w:rsidDel="00000000" w:rsidP="00000000" w:rsidRDefault="00000000" w:rsidRPr="00000000" w14:paraId="00000033">
      <w:pPr>
        <w:spacing w:line="360" w:lineRule="auto"/>
        <w:ind w:left="720" w:firstLine="0"/>
        <w:jc w:val="center"/>
        <w:rPr>
          <w:rFonts w:ascii="Aptos" w:cs="Aptos" w:eastAsia="Aptos" w:hAnsi="Aptos"/>
          <w:b w:val="1"/>
          <w:sz w:val="28"/>
          <w:szCs w:val="28"/>
        </w:rPr>
      </w:pPr>
      <w:r w:rsidDel="00000000" w:rsidR="00000000" w:rsidRPr="00000000">
        <w:rPr>
          <w:rtl w:val="0"/>
        </w:rPr>
      </w:r>
    </w:p>
    <w:p w:rsidR="00000000" w:rsidDel="00000000" w:rsidP="00000000" w:rsidRDefault="00000000" w:rsidRPr="00000000" w14:paraId="00000034">
      <w:pPr>
        <w:numPr>
          <w:ilvl w:val="0"/>
          <w:numId w:val="4"/>
        </w:numPr>
        <w:spacing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continuous denial by the Syrian authorities regarding the existence of secret detention centres operated by intelligence services and their insistence that information concerning these facilities is based on unfounded allegations and politically motivated fabrications is unsurprising. Despite comprehensive documentation by UN bodies and international and Syrian NGOs based on testimonies and information provided by former detainees, civilian and military defectors from state-run detention facilities, courts, and hospitals, the Syrian authorities persist in their denial. Credible evidence concerning these centres vividly depicts the harsh reality and ongoing violations endured by detainees in Syria. </w:t>
      </w:r>
    </w:p>
    <w:p w:rsidR="00000000" w:rsidDel="00000000" w:rsidP="00000000" w:rsidRDefault="00000000" w:rsidRPr="00000000" w14:paraId="00000035">
      <w:pPr>
        <w:spacing w:line="360" w:lineRule="auto"/>
        <w:ind w:left="72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6">
      <w:pPr>
        <w:numPr>
          <w:ilvl w:val="0"/>
          <w:numId w:val="4"/>
        </w:numPr>
        <w:spacing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2014, compelling evidence of violations and crimes in secret detention came to light when a former military photographer, known as "Caesar," defected and smuggled out over 50,000 photos from Syria. These images depicted at least 6,786 detainees who perished due to torture in detention centres operated by Syrian intelligence, notably Military Intelligence and Air Force Intelligence in Damascus. Human Rights Watch conducted an analysis of some of the photographs featured in Caesar's collection while investigating the deaths of several individuals depicted in the images. After interviewing their relatives, witnesses, defectors, and a forensic pathologist, they concluded that the photographs examined were authentic. These images serve as critical evidence for the ongoing investigations and universal jurisdiction trials related to human rights violations and crimes perpetrated by Syrian authorities' officials.</w:t>
      </w:r>
      <w:r w:rsidDel="00000000" w:rsidR="00000000" w:rsidRPr="00000000">
        <w:rPr>
          <w:rFonts w:ascii="Times New Roman" w:cs="Times New Roman" w:eastAsia="Times New Roman" w:hAnsi="Times New Roman"/>
          <w:sz w:val="24"/>
          <w:szCs w:val="24"/>
          <w:vertAlign w:val="superscript"/>
        </w:rPr>
        <w:footnoteReference w:customMarkFollows="0" w:id="11"/>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37">
      <w:pPr>
        <w:spacing w:line="360" w:lineRule="auto"/>
        <w:ind w:left="72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8">
      <w:pPr>
        <w:numPr>
          <w:ilvl w:val="0"/>
          <w:numId w:val="4"/>
        </w:numPr>
        <w:spacing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Since the uprising in 2011 and the subsequent armed conflict, the COI has conducted extensive documentation on secret detention centres operated by the intelligence services and the abuses occurring therein. This documentation is founded on the testimonies of hundreds of former detainees and defectors. For example, in 2016, the COI issued its report "Out of Sight, Out of Mind: Deaths in Detention in the Syrian Arab Republic", which is based on 600 testimonies.</w:t>
      </w:r>
      <w:r w:rsidDel="00000000" w:rsidR="00000000" w:rsidRPr="00000000">
        <w:rPr>
          <w:rFonts w:ascii="Times New Roman" w:cs="Times New Roman" w:eastAsia="Times New Roman" w:hAnsi="Times New Roman"/>
          <w:sz w:val="24"/>
          <w:szCs w:val="24"/>
          <w:vertAlign w:val="superscript"/>
        </w:rPr>
        <w:footnoteReference w:customMarkFollows="0" w:id="12"/>
      </w:r>
      <w:r w:rsidDel="00000000" w:rsidR="00000000" w:rsidRPr="00000000">
        <w:rPr>
          <w:rFonts w:ascii="Times New Roman" w:cs="Times New Roman" w:eastAsia="Times New Roman" w:hAnsi="Times New Roman"/>
          <w:sz w:val="24"/>
          <w:szCs w:val="24"/>
          <w:rtl w:val="0"/>
        </w:rPr>
        <w:t xml:space="preserve"> According to the report, Syrian men, women, and children have been apprehended from various locations, including streets, homes, workplaces, or government checkpoints, and transferred to one of the numerous official or secret detention facilities operated by the government throughout Syria. The report concludes that these detainees are being systematically killed as part of the state's policy of targeting civilians, actions that amount to crimes against humanity. </w:t>
      </w:r>
    </w:p>
    <w:p w:rsidR="00000000" w:rsidDel="00000000" w:rsidP="00000000" w:rsidRDefault="00000000" w:rsidRPr="00000000" w14:paraId="00000039">
      <w:pPr>
        <w:spacing w:line="360" w:lineRule="auto"/>
        <w:ind w:left="72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A">
      <w:pPr>
        <w:numPr>
          <w:ilvl w:val="0"/>
          <w:numId w:val="4"/>
        </w:numPr>
        <w:spacing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 10 July 2023, the COI issued a special report on torture in Syria entitled 'No End in Sight: Torture and Ill-Treatment in the Syrian Arab Republic 2020-2023'. The report underscored pervasive and systematic patterns of torture, ill-treatment, and enforced disappearance within government detention centres, covering the period from January 2020 to April 2023. The report was based on 254 interviews conducted by the COI, including the testimonies of over 200 detainees. It documented violations in several detention centres run by the intelligence services, including Military Intelligence, Air Force Intelligence, Political Security, and the General Intelligence Directorate, as well as in the Military Prisons in Sednaya and Balouni in Homs.</w:t>
      </w:r>
      <w:r w:rsidDel="00000000" w:rsidR="00000000" w:rsidRPr="00000000">
        <w:rPr>
          <w:rFonts w:ascii="Times New Roman" w:cs="Times New Roman" w:eastAsia="Times New Roman" w:hAnsi="Times New Roman"/>
          <w:sz w:val="24"/>
          <w:szCs w:val="24"/>
          <w:vertAlign w:val="superscript"/>
        </w:rPr>
        <w:footnoteReference w:customMarkFollows="0" w:id="13"/>
      </w:r>
      <w:r w:rsidDel="00000000" w:rsidR="00000000" w:rsidRPr="00000000">
        <w:rPr>
          <w:rtl w:val="0"/>
        </w:rPr>
      </w:r>
    </w:p>
    <w:p w:rsidR="00000000" w:rsidDel="00000000" w:rsidP="00000000" w:rsidRDefault="00000000" w:rsidRPr="00000000" w14:paraId="0000003B">
      <w:pPr>
        <w:spacing w:line="360" w:lineRule="auto"/>
        <w:ind w:left="72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C">
      <w:pPr>
        <w:numPr>
          <w:ilvl w:val="0"/>
          <w:numId w:val="4"/>
        </w:numPr>
        <w:spacing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Also, the existence of detention centres operating outside the scope of the law has been confirmed by a court verdict. In January 2022, the Koblenz Higher Regional Court in Germany sentenced the head of the interrogation department of the Syrian General Intelligence (known as the Al-Khatib branch) to life imprisonment. He was convicted of crimes against humanity committed against detainees in this branch/secret detention centre, which included, among others, murder, torture, </w:t>
      </w:r>
      <w:r w:rsidDel="00000000" w:rsidR="00000000" w:rsidRPr="00000000">
        <w:rPr>
          <w:rFonts w:ascii="Times New Roman" w:cs="Times New Roman" w:eastAsia="Times New Roman" w:hAnsi="Times New Roman"/>
          <w:color w:val="2c2c2c"/>
          <w:sz w:val="24"/>
          <w:szCs w:val="24"/>
          <w:highlight w:val="white"/>
          <w:rtl w:val="0"/>
        </w:rPr>
        <w:t xml:space="preserve">serious unlawful detention, rape and sexual assault</w:t>
      </w:r>
      <w:r w:rsidDel="00000000" w:rsidR="00000000" w:rsidRPr="00000000">
        <w:rPr>
          <w:rFonts w:ascii="Times New Roman" w:cs="Times New Roman" w:eastAsia="Times New Roman" w:hAnsi="Times New Roman"/>
          <w:sz w:val="24"/>
          <w:szCs w:val="24"/>
          <w:rtl w:val="0"/>
        </w:rPr>
        <w:t xml:space="preserve">. The court held that the crimes were not committed </w:t>
      </w:r>
      <w:r w:rsidDel="00000000" w:rsidR="00000000" w:rsidRPr="00000000">
        <w:rPr>
          <w:rFonts w:ascii="Times New Roman" w:cs="Times New Roman" w:eastAsia="Times New Roman" w:hAnsi="Times New Roman"/>
          <w:color w:val="0d0d0d"/>
          <w:sz w:val="24"/>
          <w:szCs w:val="24"/>
          <w:highlight w:val="white"/>
          <w:rtl w:val="0"/>
        </w:rPr>
        <w:t xml:space="preserve">randomly</w:t>
      </w:r>
      <w:r w:rsidDel="00000000" w:rsidR="00000000" w:rsidRPr="00000000">
        <w:rPr>
          <w:rFonts w:ascii="Times New Roman" w:cs="Times New Roman" w:eastAsia="Times New Roman" w:hAnsi="Times New Roman"/>
          <w:sz w:val="24"/>
          <w:szCs w:val="24"/>
          <w:rtl w:val="0"/>
        </w:rPr>
        <w:t xml:space="preserve"> or on an individual basis but instead formed part of a systematic strategy executed by the Syrian government to repress the Syrian population.</w:t>
      </w:r>
      <w:r w:rsidDel="00000000" w:rsidR="00000000" w:rsidRPr="00000000">
        <w:rPr>
          <w:rFonts w:ascii="Times New Roman" w:cs="Times New Roman" w:eastAsia="Times New Roman" w:hAnsi="Times New Roman"/>
          <w:sz w:val="24"/>
          <w:szCs w:val="24"/>
          <w:vertAlign w:val="superscript"/>
        </w:rPr>
        <w:footnoteReference w:customMarkFollows="0" w:id="14"/>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3D">
      <w:pPr>
        <w:spacing w:line="360" w:lineRule="auto"/>
        <w:ind w:left="72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E">
      <w:pPr>
        <w:numPr>
          <w:ilvl w:val="0"/>
          <w:numId w:val="4"/>
        </w:numPr>
        <w:spacing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These are just a few examples of reports based on reliable information and rigorous documentation methodologies, which are not issued by political actors or for political motives, as the Syrian authorities claimed in their response. Many other reports with meticulous methodologies also confirm the existence of secret detention centres and document the grave human rights violations and crimes occurring in these facilities.</w:t>
      </w:r>
    </w:p>
    <w:p w:rsidR="00000000" w:rsidDel="00000000" w:rsidP="00000000" w:rsidRDefault="00000000" w:rsidRPr="00000000" w14:paraId="0000003F">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0">
      <w:pPr>
        <w:spacing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Recommendations </w:t>
      </w:r>
    </w:p>
    <w:p w:rsidR="00000000" w:rsidDel="00000000" w:rsidP="00000000" w:rsidRDefault="00000000" w:rsidRPr="00000000" w14:paraId="00000041">
      <w:pPr>
        <w:rPr/>
      </w:pPr>
      <w:r w:rsidDel="00000000" w:rsidR="00000000" w:rsidRPr="00000000">
        <w:rPr>
          <w:rtl w:val="0"/>
        </w:rPr>
      </w:r>
    </w:p>
    <w:p w:rsidR="00000000" w:rsidDel="00000000" w:rsidP="00000000" w:rsidRDefault="00000000" w:rsidRPr="00000000" w14:paraId="00000042">
      <w:pPr>
        <w:numPr>
          <w:ilvl w:val="0"/>
          <w:numId w:val="2"/>
        </w:numPr>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Syrian government ​​must enact legislation to criminalise enforced disappearance as an autonomous crime in accordance with the UN Declaration on the Protection of All Persons from Enforced Disappearance.</w:t>
      </w:r>
    </w:p>
    <w:p w:rsidR="00000000" w:rsidDel="00000000" w:rsidP="00000000" w:rsidRDefault="00000000" w:rsidRPr="00000000" w14:paraId="00000043">
      <w:pPr>
        <w:ind w:left="72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4">
      <w:pPr>
        <w:numPr>
          <w:ilvl w:val="0"/>
          <w:numId w:val="2"/>
        </w:numPr>
        <w:ind w:left="720" w:hanging="36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 xml:space="preserve">The Syrian government must release all arbitrarily detained individuals, improve detention conditions and ensure access to independent monitoring and humanitarian organisations in all detention facilities, particularly in places like Saydnaya Prison and those under the control of intelligence services.</w:t>
      </w:r>
      <w:r w:rsidDel="00000000" w:rsidR="00000000" w:rsidRPr="00000000">
        <w:rPr>
          <w:rtl w:val="0"/>
        </w:rPr>
      </w:r>
    </w:p>
    <w:p w:rsidR="00000000" w:rsidDel="00000000" w:rsidP="00000000" w:rsidRDefault="00000000" w:rsidRPr="00000000" w14:paraId="00000045">
      <w:pPr>
        <w:ind w:left="72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6">
      <w:pPr>
        <w:numPr>
          <w:ilvl w:val="0"/>
          <w:numId w:val="2"/>
        </w:numPr>
        <w:ind w:left="720" w:hanging="36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The Syrian Government must provide statistics on individuals deprived of liberty disaggregated by age, sex, and nationality. This data should include the number of individuals in pretrial detention, instances of death in detention facilities, the causes of death, and the outcomes of any investigations into these deaths.</w:t>
      </w:r>
    </w:p>
    <w:p w:rsidR="00000000" w:rsidDel="00000000" w:rsidP="00000000" w:rsidRDefault="00000000" w:rsidRPr="00000000" w14:paraId="00000047">
      <w:pPr>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8">
      <w:pPr>
        <w:numPr>
          <w:ilvl w:val="0"/>
          <w:numId w:val="2"/>
        </w:numPr>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Syrian Government must take active steps to prevent and investigate human rights violations and crimes as well as publicly detail its efforts to conduct investigations, prosecute perpetrators, and impose penalties. </w:t>
      </w:r>
    </w:p>
    <w:p w:rsidR="00000000" w:rsidDel="00000000" w:rsidP="00000000" w:rsidRDefault="00000000" w:rsidRPr="00000000" w14:paraId="00000049">
      <w:pPr>
        <w:ind w:left="72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A">
      <w:pPr>
        <w:numPr>
          <w:ilvl w:val="0"/>
          <w:numId w:val="2"/>
        </w:numPr>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Syrian Government must take active steps to prevent and investigate enforced disappearances, preserve and clarify the fate and whereabouts of the disappeared, and report the outcomes of related investigations. These should involve locating and preserving mass graves, disclosing information on detainees' causes of death, conducting forensic examinations of human remains and burial sites, and providing information on the return of remains to families if deceased. </w:t>
      </w:r>
    </w:p>
    <w:p w:rsidR="00000000" w:rsidDel="00000000" w:rsidP="00000000" w:rsidRDefault="00000000" w:rsidRPr="00000000" w14:paraId="0000004B">
      <w:pPr>
        <w:ind w:left="72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C">
      <w:pPr>
        <w:numPr>
          <w:ilvl w:val="0"/>
          <w:numId w:val="2"/>
        </w:numPr>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Syrian Government must collaborate with the UN Independent Institution on Missing Persons in Syria and facilitate its work to determine the fate and whereabouts of all missing persons in the country; this is essential to alleviate the suffering endured by the families of the disappeared.</w:t>
      </w:r>
    </w:p>
    <w:p w:rsidR="00000000" w:rsidDel="00000000" w:rsidP="00000000" w:rsidRDefault="00000000" w:rsidRPr="00000000" w14:paraId="0000004D">
      <w:pPr>
        <w:ind w:left="72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E">
      <w:pPr>
        <w:numPr>
          <w:ilvl w:val="0"/>
          <w:numId w:val="2"/>
        </w:numPr>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government must take active steps to facilitate complaints by victims' families and ensure effective remedies and reparations for them. </w:t>
      </w:r>
    </w:p>
    <w:p w:rsidR="00000000" w:rsidDel="00000000" w:rsidP="00000000" w:rsidRDefault="00000000" w:rsidRPr="00000000" w14:paraId="0000004F">
      <w:pPr>
        <w:ind w:left="72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0">
      <w:pPr>
        <w:numPr>
          <w:ilvl w:val="0"/>
          <w:numId w:val="2"/>
        </w:numPr>
        <w:pBdr>
          <w:top w:color="e3e3e3" w:space="0" w:sz="0" w:val="none"/>
          <w:left w:color="e3e3e3" w:space="0" w:sz="0" w:val="none"/>
          <w:bottom w:color="e3e3e3" w:space="0" w:sz="0" w:val="none"/>
          <w:right w:color="e3e3e3" w:space="0" w:sz="0" w:val="none"/>
          <w:between w:color="e3e3e3" w:space="0" w:sz="0" w:val="none"/>
        </w:pBdr>
        <w:shd w:fill="ffffff" w:val="clear"/>
        <w:spacing w:after="120" w:before="12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Syrian Government must </w:t>
      </w:r>
      <w:r w:rsidDel="00000000" w:rsidR="00000000" w:rsidRPr="00000000">
        <w:rPr>
          <w:rFonts w:ascii="Times New Roman" w:cs="Times New Roman" w:eastAsia="Times New Roman" w:hAnsi="Times New Roman"/>
          <w:color w:val="0d0d0d"/>
          <w:sz w:val="24"/>
          <w:szCs w:val="24"/>
          <w:rtl w:val="0"/>
        </w:rPr>
        <w:t xml:space="preserve">repeal all immunity provisions in the Syrian Legislation that prevent the prosecution of state officials responsible for human rights violations and implement comprehensive institutional and security reforms. </w:t>
      </w:r>
      <w:r w:rsidDel="00000000" w:rsidR="00000000" w:rsidRPr="00000000">
        <w:rPr>
          <w:rtl w:val="0"/>
        </w:rPr>
      </w:r>
    </w:p>
    <w:p w:rsidR="00000000" w:rsidDel="00000000" w:rsidP="00000000" w:rsidRDefault="00000000" w:rsidRPr="00000000" w14:paraId="00000051">
      <w:pPr>
        <w:pBdr>
          <w:top w:color="e3e3e3" w:space="0" w:sz="0" w:val="none"/>
          <w:left w:color="e3e3e3" w:space="0" w:sz="0" w:val="none"/>
          <w:bottom w:color="e3e3e3" w:space="0" w:sz="0" w:val="none"/>
          <w:right w:color="e3e3e3" w:space="0" w:sz="0" w:val="none"/>
          <w:between w:color="e3e3e3" w:space="0" w:sz="0" w:val="none"/>
        </w:pBdr>
        <w:shd w:fill="ffffff" w:val="clear"/>
        <w:spacing w:after="120" w:before="120" w:lineRule="auto"/>
        <w:jc w:val="both"/>
        <w:rPr>
          <w:rFonts w:ascii="Times New Roman" w:cs="Times New Roman" w:eastAsia="Times New Roman" w:hAnsi="Times New Roman"/>
          <w:color w:val="0d0d0d"/>
          <w:sz w:val="24"/>
          <w:szCs w:val="24"/>
        </w:rPr>
      </w:pPr>
      <w:r w:rsidDel="00000000" w:rsidR="00000000" w:rsidRPr="00000000">
        <w:rPr>
          <w:rtl w:val="0"/>
        </w:rPr>
      </w:r>
    </w:p>
    <w:p w:rsidR="00000000" w:rsidDel="00000000" w:rsidP="00000000" w:rsidRDefault="00000000" w:rsidRPr="00000000" w14:paraId="00000052">
      <w:pPr>
        <w:pBdr>
          <w:top w:color="e3e3e3" w:space="0" w:sz="0" w:val="none"/>
          <w:left w:color="e3e3e3" w:space="0" w:sz="0" w:val="none"/>
          <w:bottom w:color="e3e3e3" w:space="0" w:sz="0" w:val="none"/>
          <w:right w:color="e3e3e3" w:space="0" w:sz="0" w:val="none"/>
          <w:between w:color="e3e3e3" w:space="0" w:sz="0" w:val="none"/>
        </w:pBdr>
        <w:shd w:fill="ffffff" w:val="clear"/>
        <w:spacing w:after="120" w:before="120" w:lineRule="auto"/>
        <w:jc w:val="both"/>
        <w:rPr>
          <w:rFonts w:ascii="Times New Roman" w:cs="Times New Roman" w:eastAsia="Times New Roman" w:hAnsi="Times New Roman"/>
          <w:color w:val="0d0d0d"/>
          <w:sz w:val="24"/>
          <w:szCs w:val="24"/>
        </w:rPr>
      </w:pPr>
      <w:r w:rsidDel="00000000" w:rsidR="00000000" w:rsidRPr="00000000">
        <w:rPr>
          <w:rtl w:val="0"/>
        </w:rPr>
      </w:r>
    </w:p>
    <w:sectPr>
      <w:footerReference r:id="rId8" w:type="default"/>
      <w:footerReference r:id="rId9" w:type="even"/>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 w:name="Calibri"/>
  <w:font w:name="Apto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6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6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6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6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otnote w:id="0">
    <w:p w:rsidR="00000000" w:rsidDel="00000000" w:rsidP="00000000" w:rsidRDefault="00000000" w:rsidRPr="00000000" w14:paraId="00000053">
      <w:pPr>
        <w:spacing w:line="240" w:lineRule="auto"/>
        <w:jc w:val="both"/>
        <w:rPr>
          <w:rFonts w:ascii="Aptos" w:cs="Aptos" w:eastAsia="Aptos" w:hAnsi="Aptos"/>
          <w:i w:val="1"/>
          <w:sz w:val="20"/>
          <w:szCs w:val="20"/>
        </w:rPr>
      </w:pPr>
      <w:r w:rsidDel="00000000" w:rsidR="00000000" w:rsidRPr="00000000">
        <w:rPr>
          <w:rStyle w:val="FootnoteReference"/>
          <w:vertAlign w:val="superscript"/>
        </w:rPr>
        <w:footnoteRef/>
      </w:r>
      <w:r w:rsidDel="00000000" w:rsidR="00000000" w:rsidRPr="00000000">
        <w:rPr>
          <w:rFonts w:ascii="Aptos" w:cs="Aptos" w:eastAsia="Aptos" w:hAnsi="Aptos"/>
          <w:sz w:val="20"/>
          <w:szCs w:val="20"/>
          <w:rtl w:val="0"/>
        </w:rPr>
        <w:t xml:space="preserve"> COI, </w:t>
      </w:r>
      <w:r w:rsidDel="00000000" w:rsidR="00000000" w:rsidRPr="00000000">
        <w:rPr>
          <w:rFonts w:ascii="Aptos" w:cs="Aptos" w:eastAsia="Aptos" w:hAnsi="Aptos"/>
          <w:i w:val="1"/>
          <w:sz w:val="20"/>
          <w:szCs w:val="20"/>
          <w:rtl w:val="0"/>
        </w:rPr>
        <w:t xml:space="preserve">“Syria's Missing and Disappeared: Is There a Way Forward?”</w:t>
      </w:r>
      <w:r w:rsidDel="00000000" w:rsidR="00000000" w:rsidRPr="00000000">
        <w:rPr>
          <w:rFonts w:ascii="Aptos" w:cs="Aptos" w:eastAsia="Aptos" w:hAnsi="Aptos"/>
          <w:sz w:val="20"/>
          <w:szCs w:val="20"/>
          <w:rtl w:val="0"/>
        </w:rPr>
        <w:t xml:space="preserve">, 17 June 2022.</w:t>
      </w:r>
      <w:r w:rsidDel="00000000" w:rsidR="00000000" w:rsidRPr="00000000">
        <w:rPr>
          <w:rtl w:val="0"/>
        </w:rPr>
      </w:r>
    </w:p>
  </w:footnote>
  <w:footnote w:id="1">
    <w:p w:rsidR="00000000" w:rsidDel="00000000" w:rsidP="00000000" w:rsidRDefault="00000000" w:rsidRPr="00000000" w14:paraId="00000054">
      <w:pPr>
        <w:spacing w:line="240" w:lineRule="auto"/>
        <w:jc w:val="both"/>
        <w:rPr>
          <w:rFonts w:ascii="Aptos" w:cs="Aptos" w:eastAsia="Aptos" w:hAnsi="Aptos"/>
          <w:i w:val="1"/>
          <w:sz w:val="20"/>
          <w:szCs w:val="20"/>
        </w:rPr>
      </w:pPr>
      <w:r w:rsidDel="00000000" w:rsidR="00000000" w:rsidRPr="00000000">
        <w:rPr>
          <w:rStyle w:val="FootnoteReference"/>
          <w:vertAlign w:val="superscript"/>
        </w:rPr>
        <w:footnoteRef/>
      </w:r>
      <w:r w:rsidDel="00000000" w:rsidR="00000000" w:rsidRPr="00000000">
        <w:rPr>
          <w:rFonts w:ascii="Aptos" w:cs="Aptos" w:eastAsia="Aptos" w:hAnsi="Aptos"/>
          <w:sz w:val="20"/>
          <w:szCs w:val="20"/>
          <w:rtl w:val="0"/>
        </w:rPr>
        <w:t xml:space="preserve"> The Syrian Network for Human Rights (April 18, 2024), (Accessed on 18 April 2024).</w:t>
      </w:r>
      <w:r w:rsidDel="00000000" w:rsidR="00000000" w:rsidRPr="00000000">
        <w:rPr>
          <w:rtl w:val="0"/>
        </w:rPr>
      </w:r>
    </w:p>
  </w:footnote>
  <w:footnote w:id="2">
    <w:p w:rsidR="00000000" w:rsidDel="00000000" w:rsidP="00000000" w:rsidRDefault="00000000" w:rsidRPr="00000000" w14:paraId="00000055">
      <w:pPr>
        <w:spacing w:line="240" w:lineRule="auto"/>
        <w:jc w:val="both"/>
        <w:rPr>
          <w:rFonts w:ascii="Aptos" w:cs="Aptos" w:eastAsia="Aptos" w:hAnsi="Aptos"/>
          <w:i w:val="1"/>
          <w:sz w:val="20"/>
          <w:szCs w:val="20"/>
        </w:rPr>
      </w:pPr>
      <w:r w:rsidDel="00000000" w:rsidR="00000000" w:rsidRPr="00000000">
        <w:rPr>
          <w:rStyle w:val="FootnoteReference"/>
          <w:vertAlign w:val="superscript"/>
        </w:rPr>
        <w:footnoteRef/>
      </w:r>
      <w:r w:rsidDel="00000000" w:rsidR="00000000" w:rsidRPr="00000000">
        <w:rPr>
          <w:rFonts w:ascii="Aptos" w:cs="Aptos" w:eastAsia="Aptos" w:hAnsi="Aptos"/>
          <w:sz w:val="20"/>
          <w:szCs w:val="20"/>
          <w:rtl w:val="0"/>
        </w:rPr>
        <w:t xml:space="preserve"> Ibid.</w:t>
      </w:r>
      <w:r w:rsidDel="00000000" w:rsidR="00000000" w:rsidRPr="00000000">
        <w:rPr>
          <w:rtl w:val="0"/>
        </w:rPr>
      </w:r>
    </w:p>
  </w:footnote>
  <w:footnote w:id="3">
    <w:p w:rsidR="00000000" w:rsidDel="00000000" w:rsidP="00000000" w:rsidRDefault="00000000" w:rsidRPr="00000000" w14:paraId="00000056">
      <w:pPr>
        <w:spacing w:line="240" w:lineRule="auto"/>
        <w:jc w:val="both"/>
        <w:rPr>
          <w:rFonts w:ascii="Aptos" w:cs="Aptos" w:eastAsia="Aptos" w:hAnsi="Aptos"/>
          <w:i w:val="1"/>
          <w:sz w:val="20"/>
          <w:szCs w:val="20"/>
        </w:rPr>
      </w:pPr>
      <w:r w:rsidDel="00000000" w:rsidR="00000000" w:rsidRPr="00000000">
        <w:rPr>
          <w:rStyle w:val="FootnoteReference"/>
          <w:vertAlign w:val="superscript"/>
        </w:rPr>
        <w:footnoteRef/>
      </w:r>
      <w:r w:rsidDel="00000000" w:rsidR="00000000" w:rsidRPr="00000000">
        <w:rPr>
          <w:rFonts w:ascii="Aptos" w:cs="Aptos" w:eastAsia="Aptos" w:hAnsi="Aptos"/>
          <w:sz w:val="20"/>
          <w:szCs w:val="20"/>
          <w:rtl w:val="0"/>
        </w:rPr>
        <w:t xml:space="preserve"> A/HRC/51/45, Paras. 16-26. </w:t>
      </w:r>
      <w:r w:rsidDel="00000000" w:rsidR="00000000" w:rsidRPr="00000000">
        <w:rPr>
          <w:rtl w:val="0"/>
        </w:rPr>
      </w:r>
    </w:p>
  </w:footnote>
  <w:footnote w:id="4">
    <w:p w:rsidR="00000000" w:rsidDel="00000000" w:rsidP="00000000" w:rsidRDefault="00000000" w:rsidRPr="00000000" w14:paraId="00000057">
      <w:pPr>
        <w:spacing w:line="240" w:lineRule="auto"/>
        <w:jc w:val="both"/>
        <w:rPr>
          <w:rFonts w:ascii="Aptos" w:cs="Aptos" w:eastAsia="Aptos" w:hAnsi="Aptos"/>
          <w:i w:val="1"/>
          <w:sz w:val="20"/>
          <w:szCs w:val="20"/>
        </w:rPr>
      </w:pPr>
      <w:r w:rsidDel="00000000" w:rsidR="00000000" w:rsidRPr="00000000">
        <w:rPr>
          <w:rStyle w:val="FootnoteReference"/>
          <w:vertAlign w:val="superscript"/>
        </w:rPr>
        <w:footnoteRef/>
      </w:r>
      <w:r w:rsidDel="00000000" w:rsidR="00000000" w:rsidRPr="00000000">
        <w:rPr>
          <w:rFonts w:ascii="Aptos" w:cs="Aptos" w:eastAsia="Aptos" w:hAnsi="Aptos"/>
          <w:sz w:val="20"/>
          <w:szCs w:val="20"/>
          <w:rtl w:val="0"/>
        </w:rPr>
        <w:t xml:space="preserve"> A/HRC/52/69, paras. 52-61.</w:t>
      </w:r>
      <w:r w:rsidDel="00000000" w:rsidR="00000000" w:rsidRPr="00000000">
        <w:rPr>
          <w:rtl w:val="0"/>
        </w:rPr>
      </w:r>
    </w:p>
  </w:footnote>
  <w:footnote w:id="5">
    <w:p w:rsidR="00000000" w:rsidDel="00000000" w:rsidP="00000000" w:rsidRDefault="00000000" w:rsidRPr="00000000" w14:paraId="00000058">
      <w:pPr>
        <w:spacing w:line="240" w:lineRule="auto"/>
        <w:jc w:val="both"/>
        <w:rPr>
          <w:rFonts w:ascii="Aptos" w:cs="Aptos" w:eastAsia="Aptos" w:hAnsi="Aptos"/>
          <w:b w:val="1"/>
          <w:i w:val="1"/>
          <w:sz w:val="20"/>
          <w:szCs w:val="20"/>
          <w:vertAlign w:val="superscript"/>
        </w:rPr>
      </w:pPr>
      <w:r w:rsidDel="00000000" w:rsidR="00000000" w:rsidRPr="00000000">
        <w:rPr>
          <w:rStyle w:val="FootnoteReference"/>
          <w:vertAlign w:val="superscript"/>
        </w:rPr>
        <w:footnoteRef/>
      </w:r>
      <w:r w:rsidDel="00000000" w:rsidR="00000000" w:rsidRPr="00000000">
        <w:rPr>
          <w:rFonts w:ascii="Aptos" w:cs="Aptos" w:eastAsia="Aptos" w:hAnsi="Aptos"/>
          <w:i w:val="1"/>
          <w:sz w:val="20"/>
          <w:szCs w:val="20"/>
          <w:rtl w:val="0"/>
        </w:rPr>
        <w:t xml:space="preserve">A/HRC/54/22, Paras.103-105.</w:t>
      </w:r>
      <w:r w:rsidDel="00000000" w:rsidR="00000000" w:rsidRPr="00000000">
        <w:rPr>
          <w:rtl w:val="0"/>
        </w:rPr>
      </w:r>
    </w:p>
  </w:footnote>
  <w:footnote w:id="6">
    <w:p w:rsidR="00000000" w:rsidDel="00000000" w:rsidP="00000000" w:rsidRDefault="00000000" w:rsidRPr="00000000" w14:paraId="00000059">
      <w:pPr>
        <w:spacing w:line="240" w:lineRule="auto"/>
        <w:jc w:val="both"/>
        <w:rPr>
          <w:rFonts w:ascii="Aptos" w:cs="Aptos" w:eastAsia="Aptos" w:hAnsi="Aptos"/>
          <w:i w:val="1"/>
          <w:sz w:val="20"/>
          <w:szCs w:val="20"/>
        </w:rPr>
      </w:pPr>
      <w:r w:rsidDel="00000000" w:rsidR="00000000" w:rsidRPr="00000000">
        <w:rPr>
          <w:rStyle w:val="FootnoteReference"/>
          <w:vertAlign w:val="superscript"/>
        </w:rPr>
        <w:footnoteRef/>
      </w:r>
      <w:r w:rsidDel="00000000" w:rsidR="00000000" w:rsidRPr="00000000">
        <w:rPr>
          <w:rFonts w:ascii="Aptos" w:cs="Aptos" w:eastAsia="Aptos" w:hAnsi="Aptos"/>
          <w:sz w:val="20"/>
          <w:szCs w:val="20"/>
          <w:rtl w:val="0"/>
        </w:rPr>
        <w:t xml:space="preserve"> A/HRC/53/CRP.5, Summary.</w:t>
      </w:r>
      <w:r w:rsidDel="00000000" w:rsidR="00000000" w:rsidRPr="00000000">
        <w:rPr>
          <w:rtl w:val="0"/>
        </w:rPr>
      </w:r>
    </w:p>
  </w:footnote>
  <w:footnote w:id="7">
    <w:p w:rsidR="00000000" w:rsidDel="00000000" w:rsidP="00000000" w:rsidRDefault="00000000" w:rsidRPr="00000000" w14:paraId="0000005A">
      <w:pPr>
        <w:spacing w:line="240" w:lineRule="auto"/>
        <w:jc w:val="both"/>
        <w:rPr>
          <w:rFonts w:ascii="Aptos" w:cs="Aptos" w:eastAsia="Aptos" w:hAnsi="Aptos"/>
          <w:i w:val="1"/>
          <w:sz w:val="20"/>
          <w:szCs w:val="20"/>
        </w:rPr>
      </w:pPr>
      <w:r w:rsidDel="00000000" w:rsidR="00000000" w:rsidRPr="00000000">
        <w:rPr>
          <w:rStyle w:val="FootnoteReference"/>
          <w:vertAlign w:val="superscript"/>
        </w:rPr>
        <w:footnoteRef/>
      </w:r>
      <w:r w:rsidDel="00000000" w:rsidR="00000000" w:rsidRPr="00000000">
        <w:rPr>
          <w:rFonts w:ascii="Aptos" w:cs="Aptos" w:eastAsia="Aptos" w:hAnsi="Aptos"/>
          <w:sz w:val="20"/>
          <w:szCs w:val="20"/>
          <w:rtl w:val="0"/>
        </w:rPr>
        <w:t xml:space="preserve"> Ibid. Para. 4.</w:t>
      </w:r>
      <w:r w:rsidDel="00000000" w:rsidR="00000000" w:rsidRPr="00000000">
        <w:rPr>
          <w:rtl w:val="0"/>
        </w:rPr>
      </w:r>
    </w:p>
  </w:footnote>
  <w:footnote w:id="8">
    <w:p w:rsidR="00000000" w:rsidDel="00000000" w:rsidP="00000000" w:rsidRDefault="00000000" w:rsidRPr="00000000" w14:paraId="0000005B">
      <w:pPr>
        <w:spacing w:line="240" w:lineRule="auto"/>
        <w:jc w:val="both"/>
        <w:rPr>
          <w:rFonts w:ascii="Aptos" w:cs="Aptos" w:eastAsia="Aptos" w:hAnsi="Aptos"/>
          <w:i w:val="1"/>
          <w:sz w:val="20"/>
          <w:szCs w:val="20"/>
        </w:rPr>
      </w:pPr>
      <w:r w:rsidDel="00000000" w:rsidR="00000000" w:rsidRPr="00000000">
        <w:rPr>
          <w:rStyle w:val="FootnoteReference"/>
          <w:vertAlign w:val="superscript"/>
        </w:rPr>
        <w:footnoteRef/>
      </w:r>
      <w:r w:rsidDel="00000000" w:rsidR="00000000" w:rsidRPr="00000000">
        <w:rPr>
          <w:rFonts w:ascii="Aptos" w:cs="Aptos" w:eastAsia="Aptos" w:hAnsi="Aptos"/>
          <w:sz w:val="20"/>
          <w:szCs w:val="20"/>
          <w:rtl w:val="0"/>
        </w:rPr>
        <w:t xml:space="preserve"> Ibid.</w:t>
      </w:r>
      <w:r w:rsidDel="00000000" w:rsidR="00000000" w:rsidRPr="00000000">
        <w:rPr>
          <w:rtl w:val="0"/>
        </w:rPr>
      </w:r>
    </w:p>
  </w:footnote>
  <w:footnote w:id="9">
    <w:p w:rsidR="00000000" w:rsidDel="00000000" w:rsidP="00000000" w:rsidRDefault="00000000" w:rsidRPr="00000000" w14:paraId="0000005C">
      <w:pPr>
        <w:spacing w:line="240" w:lineRule="auto"/>
        <w:jc w:val="both"/>
        <w:rPr>
          <w:rFonts w:ascii="Aptos" w:cs="Aptos" w:eastAsia="Aptos" w:hAnsi="Aptos"/>
          <w:i w:val="1"/>
          <w:sz w:val="20"/>
          <w:szCs w:val="20"/>
        </w:rPr>
      </w:pPr>
      <w:r w:rsidDel="00000000" w:rsidR="00000000" w:rsidRPr="00000000">
        <w:rPr>
          <w:rStyle w:val="FootnoteReference"/>
          <w:vertAlign w:val="superscript"/>
        </w:rPr>
        <w:footnoteRef/>
      </w:r>
      <w:r w:rsidDel="00000000" w:rsidR="00000000" w:rsidRPr="00000000">
        <w:rPr>
          <w:rFonts w:ascii="Aptos" w:cs="Aptos" w:eastAsia="Aptos" w:hAnsi="Aptos"/>
          <w:sz w:val="20"/>
          <w:szCs w:val="20"/>
          <w:rtl w:val="0"/>
        </w:rPr>
        <w:t xml:space="preserve"> A/HRC/54/58, Paras. 32-42.</w:t>
      </w:r>
      <w:r w:rsidDel="00000000" w:rsidR="00000000" w:rsidRPr="00000000">
        <w:rPr>
          <w:rtl w:val="0"/>
        </w:rPr>
      </w:r>
    </w:p>
  </w:footnote>
  <w:footnote w:id="10">
    <w:p w:rsidR="00000000" w:rsidDel="00000000" w:rsidP="00000000" w:rsidRDefault="00000000" w:rsidRPr="00000000" w14:paraId="0000005D">
      <w:pPr>
        <w:spacing w:line="240" w:lineRule="auto"/>
        <w:jc w:val="both"/>
        <w:rPr>
          <w:rFonts w:ascii="Aptos" w:cs="Aptos" w:eastAsia="Aptos" w:hAnsi="Aptos"/>
          <w:i w:val="1"/>
          <w:sz w:val="20"/>
          <w:szCs w:val="20"/>
        </w:rPr>
      </w:pPr>
      <w:r w:rsidDel="00000000" w:rsidR="00000000" w:rsidRPr="00000000">
        <w:rPr>
          <w:rStyle w:val="FootnoteReference"/>
          <w:vertAlign w:val="superscript"/>
        </w:rPr>
        <w:footnoteRef/>
      </w:r>
      <w:r w:rsidDel="00000000" w:rsidR="00000000" w:rsidRPr="00000000">
        <w:rPr>
          <w:rFonts w:ascii="Aptos" w:cs="Aptos" w:eastAsia="Aptos" w:hAnsi="Aptos"/>
          <w:sz w:val="20"/>
          <w:szCs w:val="20"/>
          <w:rtl w:val="0"/>
        </w:rPr>
        <w:t xml:space="preserve"> A/HRC/55/64, Paras. 56-66.</w:t>
      </w:r>
      <w:r w:rsidDel="00000000" w:rsidR="00000000" w:rsidRPr="00000000">
        <w:rPr>
          <w:rtl w:val="0"/>
        </w:rPr>
      </w:r>
    </w:p>
  </w:footnote>
  <w:footnote w:id="11">
    <w:p w:rsidR="00000000" w:rsidDel="00000000" w:rsidP="00000000" w:rsidRDefault="00000000" w:rsidRPr="00000000" w14:paraId="0000005E">
      <w:pPr>
        <w:spacing w:line="240" w:lineRule="auto"/>
        <w:rPr>
          <w:rFonts w:ascii="Aptos" w:cs="Aptos" w:eastAsia="Aptos" w:hAnsi="Aptos"/>
          <w:sz w:val="20"/>
          <w:szCs w:val="20"/>
        </w:rPr>
      </w:pPr>
      <w:r w:rsidDel="00000000" w:rsidR="00000000" w:rsidRPr="00000000">
        <w:rPr>
          <w:rStyle w:val="FootnoteReference"/>
          <w:vertAlign w:val="superscript"/>
        </w:rPr>
        <w:footnoteRef/>
      </w:r>
      <w:r w:rsidDel="00000000" w:rsidR="00000000" w:rsidRPr="00000000">
        <w:rPr>
          <w:rFonts w:ascii="Aptos" w:cs="Aptos" w:eastAsia="Aptos" w:hAnsi="Aptos"/>
          <w:sz w:val="20"/>
          <w:szCs w:val="20"/>
          <w:rtl w:val="0"/>
        </w:rPr>
        <w:t xml:space="preserve"> </w:t>
      </w:r>
      <w:r w:rsidDel="00000000" w:rsidR="00000000" w:rsidRPr="00000000">
        <w:rPr>
          <w:rFonts w:ascii="Times New Roman" w:cs="Times New Roman" w:eastAsia="Times New Roman" w:hAnsi="Times New Roman"/>
          <w:sz w:val="20"/>
          <w:szCs w:val="20"/>
          <w:rtl w:val="0"/>
        </w:rPr>
        <w:t xml:space="preserve">Human Rights Watch, </w:t>
      </w:r>
      <w:r w:rsidDel="00000000" w:rsidR="00000000" w:rsidRPr="00000000">
        <w:rPr>
          <w:rFonts w:ascii="Times New Roman" w:cs="Times New Roman" w:eastAsia="Times New Roman" w:hAnsi="Times New Roman"/>
          <w:i w:val="1"/>
          <w:sz w:val="20"/>
          <w:szCs w:val="20"/>
          <w:rtl w:val="0"/>
        </w:rPr>
        <w:t xml:space="preserve">“</w:t>
      </w:r>
      <w:r w:rsidDel="00000000" w:rsidR="00000000" w:rsidRPr="00000000">
        <w:rPr>
          <w:rFonts w:ascii="Times New Roman" w:cs="Times New Roman" w:eastAsia="Times New Roman" w:hAnsi="Times New Roman"/>
          <w:sz w:val="20"/>
          <w:szCs w:val="20"/>
          <w:rtl w:val="0"/>
        </w:rPr>
        <w:t xml:space="preserve">If the Dead Could Speak: Mass Deaths and Torture in Syria’s Detention Facilities”,</w:t>
      </w:r>
      <w:r w:rsidDel="00000000" w:rsidR="00000000" w:rsidRPr="00000000">
        <w:rPr>
          <w:rFonts w:ascii="Times New Roman" w:cs="Times New Roman" w:eastAsia="Times New Roman" w:hAnsi="Times New Roman"/>
          <w:i w:val="1"/>
          <w:sz w:val="20"/>
          <w:szCs w:val="20"/>
          <w:rtl w:val="0"/>
        </w:rPr>
        <w:t xml:space="preserve"> 16 December 2015, </w:t>
      </w:r>
      <w:r w:rsidDel="00000000" w:rsidR="00000000" w:rsidRPr="00000000">
        <w:rPr>
          <w:rFonts w:ascii="Times New Roman" w:cs="Times New Roman" w:eastAsia="Times New Roman" w:hAnsi="Times New Roman"/>
          <w:sz w:val="20"/>
          <w:szCs w:val="20"/>
          <w:rtl w:val="0"/>
        </w:rPr>
        <w:t xml:space="preserve">available at</w:t>
      </w:r>
      <w:hyperlink r:id="rId1">
        <w:r w:rsidDel="00000000" w:rsidR="00000000" w:rsidRPr="00000000">
          <w:rPr>
            <w:rFonts w:ascii="Times New Roman" w:cs="Times New Roman" w:eastAsia="Times New Roman" w:hAnsi="Times New Roman"/>
            <w:sz w:val="20"/>
            <w:szCs w:val="20"/>
            <w:rtl w:val="0"/>
          </w:rPr>
          <w:t xml:space="preserve"> </w:t>
        </w:r>
      </w:hyperlink>
      <w:hyperlink r:id="rId2">
        <w:r w:rsidDel="00000000" w:rsidR="00000000" w:rsidRPr="00000000">
          <w:rPr>
            <w:rFonts w:ascii="Times New Roman" w:cs="Times New Roman" w:eastAsia="Times New Roman" w:hAnsi="Times New Roman"/>
            <w:b w:val="1"/>
            <w:color w:val="0563c1"/>
            <w:sz w:val="20"/>
            <w:szCs w:val="20"/>
            <w:u w:val="single"/>
            <w:rtl w:val="0"/>
          </w:rPr>
          <w:t xml:space="preserve">https://www.hrw.org/report/2015/12/16/if-dead-could-speak/mass-deaths-and-torture-syrias-detention-facilities</w:t>
        </w:r>
      </w:hyperlink>
      <w:r w:rsidDel="00000000" w:rsidR="00000000" w:rsidRPr="00000000">
        <w:rPr>
          <w:rFonts w:ascii="Times New Roman" w:cs="Times New Roman" w:eastAsia="Times New Roman" w:hAnsi="Times New Roman"/>
          <w:b w:val="1"/>
          <w:sz w:val="20"/>
          <w:szCs w:val="20"/>
          <w:rtl w:val="0"/>
        </w:rPr>
        <w:t xml:space="preserve"> </w:t>
      </w:r>
      <w:r w:rsidDel="00000000" w:rsidR="00000000" w:rsidRPr="00000000">
        <w:rPr>
          <w:rFonts w:ascii="Times New Roman" w:cs="Times New Roman" w:eastAsia="Times New Roman" w:hAnsi="Times New Roman"/>
          <w:sz w:val="20"/>
          <w:szCs w:val="20"/>
          <w:rtl w:val="0"/>
        </w:rPr>
        <w:t xml:space="preserve">(accessed 04 May 2024)</w:t>
      </w:r>
      <w:r w:rsidDel="00000000" w:rsidR="00000000" w:rsidRPr="00000000">
        <w:rPr>
          <w:rtl w:val="0"/>
        </w:rPr>
      </w:r>
    </w:p>
  </w:footnote>
  <w:footnote w:id="12">
    <w:p w:rsidR="00000000" w:rsidDel="00000000" w:rsidP="00000000" w:rsidRDefault="00000000" w:rsidRPr="00000000" w14:paraId="0000005F">
      <w:pPr>
        <w:spacing w:line="240" w:lineRule="auto"/>
        <w:rPr>
          <w:rFonts w:ascii="Aptos" w:cs="Aptos" w:eastAsia="Aptos" w:hAnsi="Aptos"/>
          <w:sz w:val="20"/>
          <w:szCs w:val="20"/>
        </w:rPr>
      </w:pPr>
      <w:r w:rsidDel="00000000" w:rsidR="00000000" w:rsidRPr="00000000">
        <w:rPr>
          <w:rStyle w:val="FootnoteReference"/>
          <w:vertAlign w:val="superscript"/>
        </w:rPr>
        <w:footnoteRef/>
      </w:r>
      <w:r w:rsidDel="00000000" w:rsidR="00000000" w:rsidRPr="00000000">
        <w:rPr>
          <w:rFonts w:ascii="Aptos" w:cs="Aptos" w:eastAsia="Aptos" w:hAnsi="Aptos"/>
          <w:sz w:val="20"/>
          <w:szCs w:val="20"/>
          <w:rtl w:val="0"/>
        </w:rPr>
        <w:t xml:space="preserve"> A/HRC/31/CRP.1, February 2016. </w:t>
      </w:r>
    </w:p>
  </w:footnote>
  <w:footnote w:id="13">
    <w:p w:rsidR="00000000" w:rsidDel="00000000" w:rsidP="00000000" w:rsidRDefault="00000000" w:rsidRPr="00000000" w14:paraId="00000060">
      <w:pPr>
        <w:spacing w:line="240" w:lineRule="auto"/>
        <w:jc w:val="both"/>
        <w:rPr>
          <w:rFonts w:ascii="Calibri" w:cs="Calibri" w:eastAsia="Calibri" w:hAnsi="Calibri"/>
          <w:sz w:val="20"/>
          <w:szCs w:val="20"/>
        </w:rPr>
      </w:pPr>
      <w:r w:rsidDel="00000000" w:rsidR="00000000" w:rsidRPr="00000000">
        <w:rPr>
          <w:rStyle w:val="FootnoteReference"/>
          <w:vertAlign w:val="superscript"/>
        </w:rPr>
        <w:footnoteRef/>
      </w:r>
      <w:r w:rsidDel="00000000" w:rsidR="00000000" w:rsidRPr="00000000">
        <w:rPr>
          <w:rFonts w:ascii="Calibri" w:cs="Calibri" w:eastAsia="Calibri" w:hAnsi="Calibri"/>
          <w:sz w:val="20"/>
          <w:szCs w:val="20"/>
          <w:rtl w:val="0"/>
        </w:rPr>
        <w:t xml:space="preserve"> A/HRC/53/CRP.5, July 2023.</w:t>
      </w:r>
    </w:p>
  </w:footnote>
  <w:footnote w:id="14">
    <w:p w:rsidR="00000000" w:rsidDel="00000000" w:rsidP="00000000" w:rsidRDefault="00000000" w:rsidRPr="00000000" w14:paraId="00000061">
      <w:pPr>
        <w:spacing w:line="240" w:lineRule="auto"/>
        <w:rPr>
          <w:rFonts w:ascii="Aptos" w:cs="Aptos" w:eastAsia="Aptos" w:hAnsi="Aptos"/>
          <w:b w:val="1"/>
          <w:sz w:val="20"/>
          <w:szCs w:val="20"/>
        </w:rPr>
      </w:pPr>
      <w:r w:rsidDel="00000000" w:rsidR="00000000" w:rsidRPr="00000000">
        <w:rPr>
          <w:rStyle w:val="FootnoteReference"/>
          <w:vertAlign w:val="superscript"/>
        </w:rPr>
        <w:footnoteRef/>
      </w:r>
      <w:r w:rsidDel="00000000" w:rsidR="00000000" w:rsidRPr="00000000">
        <w:rPr>
          <w:rFonts w:ascii="Aptos" w:cs="Aptos" w:eastAsia="Aptos" w:hAnsi="Aptos"/>
          <w:sz w:val="20"/>
          <w:szCs w:val="20"/>
          <w:rtl w:val="0"/>
        </w:rPr>
        <w:t xml:space="preserve"> </w:t>
      </w:r>
      <w:r w:rsidDel="00000000" w:rsidR="00000000" w:rsidRPr="00000000">
        <w:rPr>
          <w:rFonts w:ascii="Times New Roman" w:cs="Times New Roman" w:eastAsia="Times New Roman" w:hAnsi="Times New Roman"/>
          <w:sz w:val="20"/>
          <w:szCs w:val="20"/>
          <w:rtl w:val="0"/>
        </w:rPr>
        <w:t xml:space="preserve">Koblenz Higher Regional Court, Life imprisonment due to crimes committed against humanity and murder – sentencing of a suspected member of the Syrian secret service (17 January 2022) (Available at:</w:t>
      </w:r>
      <w:hyperlink r:id="rId3">
        <w:r w:rsidDel="00000000" w:rsidR="00000000" w:rsidRPr="00000000">
          <w:rPr>
            <w:rFonts w:ascii="Times New Roman" w:cs="Times New Roman" w:eastAsia="Times New Roman" w:hAnsi="Times New Roman"/>
            <w:sz w:val="20"/>
            <w:szCs w:val="20"/>
            <w:rtl w:val="0"/>
          </w:rPr>
          <w:t xml:space="preserve"> </w:t>
        </w:r>
      </w:hyperlink>
      <w:hyperlink r:id="rId4">
        <w:r w:rsidDel="00000000" w:rsidR="00000000" w:rsidRPr="00000000">
          <w:rPr>
            <w:rFonts w:ascii="Times New Roman" w:cs="Times New Roman" w:eastAsia="Times New Roman" w:hAnsi="Times New Roman"/>
            <w:b w:val="1"/>
            <w:color w:val="467886"/>
            <w:sz w:val="20"/>
            <w:szCs w:val="20"/>
            <w:u w:val="single"/>
            <w:rtl w:val="0"/>
          </w:rPr>
          <w:t xml:space="preserve">https://olgko.justiz.rlp.de/presse-aktuelles/detail/life-imprisonment-due-to-crimes-committed-against-humanity-and-murder-sentencing-of-a-suspected-member-of-the-syrian-secret-service</w:t>
        </w:r>
      </w:hyperlink>
      <w:r w:rsidDel="00000000" w:rsidR="00000000" w:rsidRPr="00000000">
        <w:rPr>
          <w:rFonts w:ascii="Times New Roman" w:cs="Times New Roman" w:eastAsia="Times New Roman" w:hAnsi="Times New Roman"/>
          <w:b w:val="1"/>
          <w:sz w:val="20"/>
          <w:szCs w:val="20"/>
          <w:rtl w:val="0"/>
        </w:rPr>
        <w:t xml:space="preserve">).</w:t>
      </w:r>
      <w:r w:rsidDel="00000000" w:rsidR="00000000" w:rsidRPr="00000000">
        <w:rPr>
          <w:rtl w:val="0"/>
        </w:rPr>
      </w:r>
    </w:p>
  </w:footnote>
</w:footnote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color w:val="666666"/>
    </w:rPr>
  </w:style>
  <w:style w:type="paragraph" w:styleId="Title">
    <w:name w:val="Title"/>
    <w:basedOn w:val="Normal"/>
    <w:next w:val="Normal"/>
    <w:pPr>
      <w:keepNext w:val="1"/>
      <w:keepLines w:val="1"/>
      <w:spacing w:after="60" w:lineRule="auto"/>
    </w:pPr>
    <w:rPr>
      <w:sz w:val="52"/>
      <w:szCs w:val="52"/>
    </w:rPr>
  </w:style>
  <w:style w:type="paragraph" w:styleId="Normal" w:default="1">
    <w:name w:val="Normal"/>
    <w:qFormat w:val="1"/>
  </w:style>
  <w:style w:type="paragraph" w:styleId="Heading1">
    <w:name w:val="heading 1"/>
    <w:basedOn w:val="Normal"/>
    <w:next w:val="Normal"/>
    <w:uiPriority w:val="9"/>
    <w:qFormat w:val="1"/>
    <w:pPr>
      <w:keepNext w:val="1"/>
      <w:keepLines w:val="1"/>
      <w:spacing w:after="120" w:before="400"/>
      <w:outlineLvl w:val="0"/>
    </w:pPr>
    <w:rPr>
      <w:sz w:val="40"/>
      <w:szCs w:val="40"/>
    </w:rPr>
  </w:style>
  <w:style w:type="paragraph" w:styleId="Heading2">
    <w:name w:val="heading 2"/>
    <w:basedOn w:val="Normal"/>
    <w:next w:val="Normal"/>
    <w:uiPriority w:val="9"/>
    <w:semiHidden w:val="1"/>
    <w:unhideWhenUsed w:val="1"/>
    <w:qFormat w:val="1"/>
    <w:pPr>
      <w:keepNext w:val="1"/>
      <w:keepLines w:val="1"/>
      <w:spacing w:after="120" w:before="360"/>
      <w:outlineLvl w:val="1"/>
    </w:pPr>
    <w:rPr>
      <w:sz w:val="32"/>
      <w:szCs w:val="32"/>
    </w:rPr>
  </w:style>
  <w:style w:type="paragraph" w:styleId="Heading3">
    <w:name w:val="heading 3"/>
    <w:basedOn w:val="Normal"/>
    <w:next w:val="Normal"/>
    <w:uiPriority w:val="9"/>
    <w:semiHidden w:val="1"/>
    <w:unhideWhenUsed w:val="1"/>
    <w:qFormat w:val="1"/>
    <w:pPr>
      <w:keepNext w:val="1"/>
      <w:keepLines w:val="1"/>
      <w:spacing w:after="80" w:before="320"/>
      <w:outlineLvl w:val="2"/>
    </w:pPr>
    <w:rPr>
      <w:color w:val="434343"/>
      <w:sz w:val="28"/>
      <w:szCs w:val="28"/>
    </w:rPr>
  </w:style>
  <w:style w:type="paragraph" w:styleId="Heading4">
    <w:name w:val="heading 4"/>
    <w:basedOn w:val="Normal"/>
    <w:next w:val="Normal"/>
    <w:uiPriority w:val="9"/>
    <w:semiHidden w:val="1"/>
    <w:unhideWhenUsed w:val="1"/>
    <w:qFormat w:val="1"/>
    <w:pPr>
      <w:keepNext w:val="1"/>
      <w:keepLines w:val="1"/>
      <w:spacing w:after="80" w:before="280"/>
      <w:outlineLvl w:val="3"/>
    </w:pPr>
    <w:rPr>
      <w:color w:val="666666"/>
      <w:sz w:val="24"/>
      <w:szCs w:val="24"/>
    </w:rPr>
  </w:style>
  <w:style w:type="paragraph" w:styleId="Heading5">
    <w:name w:val="heading 5"/>
    <w:basedOn w:val="Normal"/>
    <w:next w:val="Normal"/>
    <w:uiPriority w:val="9"/>
    <w:semiHidden w:val="1"/>
    <w:unhideWhenUsed w:val="1"/>
    <w:qFormat w:val="1"/>
    <w:pPr>
      <w:keepNext w:val="1"/>
      <w:keepLines w:val="1"/>
      <w:spacing w:after="80" w:before="240"/>
      <w:outlineLvl w:val="4"/>
    </w:pPr>
    <w:rPr>
      <w:color w:val="666666"/>
    </w:rPr>
  </w:style>
  <w:style w:type="paragraph" w:styleId="Heading6">
    <w:name w:val="heading 6"/>
    <w:basedOn w:val="Normal"/>
    <w:next w:val="Normal"/>
    <w:uiPriority w:val="9"/>
    <w:semiHidden w:val="1"/>
    <w:unhideWhenUsed w:val="1"/>
    <w:qFormat w:val="1"/>
    <w:pPr>
      <w:keepNext w:val="1"/>
      <w:keepLines w:val="1"/>
      <w:spacing w:after="80" w:before="240"/>
      <w:outlineLvl w:val="5"/>
    </w:pPr>
    <w:rPr>
      <w:i w:val="1"/>
      <w:color w:val="666666"/>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uiPriority w:val="10"/>
    <w:qFormat w:val="1"/>
    <w:pPr>
      <w:keepNext w:val="1"/>
      <w:keepLines w:val="1"/>
      <w:spacing w:after="60"/>
    </w:pPr>
    <w:rPr>
      <w:sz w:val="52"/>
      <w:szCs w:val="52"/>
    </w:rPr>
  </w:style>
  <w:style w:type="paragraph" w:styleId="Subtitle">
    <w:name w:val="Subtitle"/>
    <w:basedOn w:val="Normal"/>
    <w:next w:val="Normal"/>
    <w:uiPriority w:val="11"/>
    <w:qFormat w:val="1"/>
    <w:pPr>
      <w:keepNext w:val="1"/>
      <w:keepLines w:val="1"/>
      <w:spacing w:after="320"/>
    </w:pPr>
    <w:rPr>
      <w:color w:val="666666"/>
      <w:sz w:val="30"/>
      <w:szCs w:val="30"/>
    </w:rPr>
  </w:style>
  <w:style w:type="paragraph" w:styleId="Footer">
    <w:name w:val="footer"/>
    <w:basedOn w:val="Normal"/>
    <w:link w:val="FooterChar"/>
    <w:uiPriority w:val="99"/>
    <w:unhideWhenUsed w:val="1"/>
    <w:rsid w:val="006F15B7"/>
    <w:pPr>
      <w:tabs>
        <w:tab w:val="center" w:pos="4513"/>
        <w:tab w:val="right" w:pos="9026"/>
      </w:tabs>
      <w:spacing w:line="240" w:lineRule="auto"/>
    </w:pPr>
  </w:style>
  <w:style w:type="character" w:styleId="FooterChar" w:customStyle="1">
    <w:name w:val="Footer Char"/>
    <w:basedOn w:val="DefaultParagraphFont"/>
    <w:link w:val="Footer"/>
    <w:uiPriority w:val="99"/>
    <w:rsid w:val="006F15B7"/>
  </w:style>
  <w:style w:type="character" w:styleId="PageNumber">
    <w:name w:val="page number"/>
    <w:basedOn w:val="DefaultParagraphFont"/>
    <w:uiPriority w:val="99"/>
    <w:semiHidden w:val="1"/>
    <w:unhideWhenUsed w:val="1"/>
    <w:rsid w:val="006F15B7"/>
  </w:style>
  <w:style w:type="character" w:styleId="CommentReference">
    <w:name w:val="annotation reference"/>
    <w:basedOn w:val="DefaultParagraphFont"/>
    <w:uiPriority w:val="99"/>
    <w:semiHidden w:val="1"/>
    <w:unhideWhenUsed w:val="1"/>
    <w:rsid w:val="00E12BF1"/>
    <w:rPr>
      <w:sz w:val="16"/>
      <w:szCs w:val="16"/>
    </w:rPr>
  </w:style>
  <w:style w:type="paragraph" w:styleId="CommentText">
    <w:name w:val="annotation text"/>
    <w:basedOn w:val="Normal"/>
    <w:link w:val="CommentTextChar"/>
    <w:uiPriority w:val="99"/>
    <w:semiHidden w:val="1"/>
    <w:unhideWhenUsed w:val="1"/>
    <w:rsid w:val="00E12BF1"/>
    <w:pPr>
      <w:spacing w:line="240" w:lineRule="auto"/>
    </w:pPr>
    <w:rPr>
      <w:sz w:val="20"/>
      <w:szCs w:val="20"/>
    </w:rPr>
  </w:style>
  <w:style w:type="character" w:styleId="CommentTextChar" w:customStyle="1">
    <w:name w:val="Comment Text Char"/>
    <w:basedOn w:val="DefaultParagraphFont"/>
    <w:link w:val="CommentText"/>
    <w:uiPriority w:val="99"/>
    <w:semiHidden w:val="1"/>
    <w:rsid w:val="00E12BF1"/>
    <w:rPr>
      <w:sz w:val="20"/>
      <w:szCs w:val="20"/>
    </w:rPr>
  </w:style>
  <w:style w:type="paragraph" w:styleId="CommentSubject">
    <w:name w:val="annotation subject"/>
    <w:basedOn w:val="CommentText"/>
    <w:next w:val="CommentText"/>
    <w:link w:val="CommentSubjectChar"/>
    <w:uiPriority w:val="99"/>
    <w:semiHidden w:val="1"/>
    <w:unhideWhenUsed w:val="1"/>
    <w:rsid w:val="00E12BF1"/>
    <w:rPr>
      <w:b w:val="1"/>
      <w:bCs w:val="1"/>
    </w:rPr>
  </w:style>
  <w:style w:type="character" w:styleId="CommentSubjectChar" w:customStyle="1">
    <w:name w:val="Comment Subject Char"/>
    <w:basedOn w:val="CommentTextChar"/>
    <w:link w:val="CommentSubject"/>
    <w:uiPriority w:val="99"/>
    <w:semiHidden w:val="1"/>
    <w:rsid w:val="00E12BF1"/>
    <w:rPr>
      <w:b w:val="1"/>
      <w:bCs w:val="1"/>
      <w:sz w:val="20"/>
      <w:szCs w:val="20"/>
    </w:rPr>
  </w:style>
  <w:style w:type="paragraph" w:styleId="Subtitle">
    <w:name w:val="Subtitle"/>
    <w:basedOn w:val="Normal"/>
    <w:next w:val="Normal"/>
    <w:pPr>
      <w:keepNext w:val="1"/>
      <w:keepLines w:val="1"/>
      <w:spacing w:after="320" w:lineRule="auto"/>
    </w:pPr>
    <w:rPr>
      <w:color w:val="666666"/>
      <w:sz w:val="30"/>
      <w:szCs w:val="30"/>
    </w:rPr>
  </w:style>
</w:style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fontTable" Target="fontTable.xml"/><Relationship Id="rId7" Type="http://schemas.openxmlformats.org/officeDocument/2006/relationships/customXml" Target="../customXML/item1.xml"/><Relationship Id="rId2" Type="http://schemas.openxmlformats.org/officeDocument/2006/relationships/settings" Target="settings.xml"/><Relationship Id="rId1" Type="http://schemas.openxmlformats.org/officeDocument/2006/relationships/theme" Target="theme/theme1.xml"/><Relationship Id="rId6" Type="http://schemas.openxmlformats.org/officeDocument/2006/relationships/styles" Target="styles.xml"/><Relationship Id="rId11" Type="http://schemas.openxmlformats.org/officeDocument/2006/relationships/customXml" Target="../customXML/item3.xml"/><Relationship Id="rId5" Type="http://schemas.openxmlformats.org/officeDocument/2006/relationships/numbering" Target="numbering.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s://www.hrw.org/report/2015/12/16/if-dead-could-speak/mass-deaths-and-torture-syrias-detention-facilities" TargetMode="External"/><Relationship Id="rId2" Type="http://schemas.openxmlformats.org/officeDocument/2006/relationships/hyperlink" Target="https://www.hrw.org/report/2015/12/16/if-dead-could-speak/mass-deaths-and-torture-syrias-detention-facilities" TargetMode="External"/><Relationship Id="rId3" Type="http://schemas.openxmlformats.org/officeDocument/2006/relationships/hyperlink" Target="https://olgko.justiz.rlp.de/presse-aktuelles/detail/life-imprisonment-due-to-crimes-committed-against-humanity-and-murder-sentencing-of-a-suspected-member-of-the-syrian-secret-service" TargetMode="External"/><Relationship Id="rId4" Type="http://schemas.openxmlformats.org/officeDocument/2006/relationships/hyperlink" Target="https://olgko.justiz.rlp.de/presse-aktuelles/detail/life-imprisonment-due-to-crimes-committed-against-humanity-and-murder-sentencing-of-a-suspected-member-of-the-syrian-secret-servi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JlAm15GNuTzZZhQhmRvsgmkZ/fA==">CgMxLjAyCGguZ2pkZ3hzMgloLjMwajB6bGw4AHIhMVlKT3V1aFYyb1RwRXBON3h5X1ZNX2hMSWdZOS1FQ3lO</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Document" ma:contentTypeID="0x0101004100868408537B4FA2A9FA4AC7F0070F" ma:contentTypeVersion="26" ma:contentTypeDescription="Create a new document." ma:contentTypeScope="" ma:versionID="f021828d0d52de11bee13c162099c435">
  <xsd:schema xmlns:xsd="http://www.w3.org/2001/XMLSchema" xmlns:xs="http://www.w3.org/2001/XMLSchema" xmlns:p="http://schemas.microsoft.com/office/2006/metadata/properties" xmlns:ns3="985ec44e-1bab-4c0b-9df0-6ba128686fc9" xmlns:ns4="11a6fe0c-d8de-4390-afb3-d9c7c54181f0" xmlns:ns5="b248d7e1-e1e1-4a8e-9310-749402edb8a9" targetNamespace="http://schemas.microsoft.com/office/2006/metadata/properties" ma:root="true" ma:fieldsID="94456f96f9b913f000871160840a921e" ns3:_="" ns4:_="" ns5:_="">
    <xsd:import namespace="985ec44e-1bab-4c0b-9df0-6ba128686fc9"/>
    <xsd:import namespace="11a6fe0c-d8de-4390-afb3-d9c7c54181f0"/>
    <xsd:import namespace="b248d7e1-e1e1-4a8e-9310-749402edb8a9"/>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enumeration value="General Document"/>
        </xsd:restriction>
      </xsd:simple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248d7e1-e1e1-4a8e-9310-749402edb8a9"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ObjectDetectorVersions" ma:index="3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33"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customXML/itemProps2.xml><?xml version="1.0" encoding="utf-8"?>
<ds:datastoreItem xmlns:ds="http://schemas.openxmlformats.org/officeDocument/2006/customXml" ds:itemID="{9B3CF544-705B-4E99-8FC8-0C4DB1DB3BFC}"/>
</file>

<file path=customXML/itemProps3.xml><?xml version="1.0" encoding="utf-8"?>
<ds:datastoreItem xmlns:ds="http://schemas.openxmlformats.org/officeDocument/2006/customXml" ds:itemID="{62288C6B-E9CB-4DC6-A1AF-E9DD78ED1F3F}"/>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2024-05-29T11:26:00Z</dcterms:created>
</cp:coreProperties>
</file>