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325C8A2" w14:textId="77777777" w:rsidR="00B24007" w:rsidRPr="00903E93" w:rsidRDefault="00B24007" w:rsidP="00B8245C">
      <w:pPr>
        <w:spacing w:line="276" w:lineRule="auto"/>
        <w:rPr>
          <w:rFonts w:ascii="MetaPro-Norm" w:hAnsi="MetaPro-Norm"/>
          <w:color w:val="000000" w:themeColor="text1"/>
          <w:sz w:val="24"/>
          <w:szCs w:val="24"/>
        </w:rPr>
      </w:pPr>
      <w:r w:rsidRPr="00903E93">
        <w:rPr>
          <w:rFonts w:ascii="MetaPro-Norm" w:hAnsi="MetaPro-Norm"/>
          <w:b/>
          <w:noProof/>
          <w:color w:val="000000" w:themeColor="text1"/>
          <w:sz w:val="24"/>
          <w:szCs w:val="24"/>
          <w:lang w:val="en-US"/>
        </w:rPr>
        <w:drawing>
          <wp:anchor distT="0" distB="0" distL="114300" distR="114300" simplePos="0" relativeHeight="251659264" behindDoc="1" locked="0" layoutInCell="1" allowOverlap="1" wp14:anchorId="7096B5A2" wp14:editId="34718E2C">
            <wp:simplePos x="0" y="0"/>
            <wp:positionH relativeFrom="margin">
              <wp:align>center</wp:align>
            </wp:positionH>
            <wp:positionV relativeFrom="paragraph">
              <wp:posOffset>0</wp:posOffset>
            </wp:positionV>
            <wp:extent cx="1341120" cy="1341120"/>
            <wp:effectExtent l="0" t="0" r="0" b="0"/>
            <wp:wrapTight wrapText="bothSides">
              <wp:wrapPolygon edited="0">
                <wp:start x="0" y="0"/>
                <wp:lineTo x="0" y="21170"/>
                <wp:lineTo x="21170" y="21170"/>
                <wp:lineTo x="21170" y="0"/>
                <wp:lineTo x="0" y="0"/>
              </wp:wrapPolygon>
            </wp:wrapTight>
            <wp:docPr id="1" name="Picture 1" descr="HRW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descr="HRWLogo"/>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341120" cy="134112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B8E9896" w14:textId="77777777" w:rsidR="00B24007" w:rsidRPr="00903E93" w:rsidRDefault="00B24007" w:rsidP="00B8245C">
      <w:pPr>
        <w:spacing w:line="276" w:lineRule="auto"/>
        <w:rPr>
          <w:rFonts w:ascii="MetaPro-Norm" w:hAnsi="MetaPro-Norm"/>
          <w:color w:val="000000" w:themeColor="text1"/>
          <w:sz w:val="24"/>
          <w:szCs w:val="24"/>
        </w:rPr>
      </w:pPr>
    </w:p>
    <w:p w14:paraId="08809302" w14:textId="77777777" w:rsidR="00B24007" w:rsidRPr="00903E93" w:rsidRDefault="00B24007" w:rsidP="00B8245C">
      <w:pPr>
        <w:spacing w:line="276" w:lineRule="auto"/>
        <w:rPr>
          <w:rFonts w:ascii="MetaPro-Norm" w:hAnsi="MetaPro-Norm"/>
          <w:color w:val="000000" w:themeColor="text1"/>
          <w:sz w:val="24"/>
          <w:szCs w:val="24"/>
        </w:rPr>
      </w:pPr>
    </w:p>
    <w:p w14:paraId="4794560B" w14:textId="77777777" w:rsidR="00B24007" w:rsidRPr="00903E93" w:rsidRDefault="00B24007" w:rsidP="00B8245C">
      <w:pPr>
        <w:spacing w:line="276" w:lineRule="auto"/>
        <w:rPr>
          <w:rFonts w:ascii="MetaPro-Norm" w:hAnsi="MetaPro-Norm"/>
          <w:color w:val="000000" w:themeColor="text1"/>
          <w:sz w:val="24"/>
          <w:szCs w:val="24"/>
        </w:rPr>
      </w:pPr>
    </w:p>
    <w:p w14:paraId="20B5C52E" w14:textId="77777777" w:rsidR="00B24007" w:rsidRPr="00903E93" w:rsidRDefault="00B24007" w:rsidP="00B8245C">
      <w:pPr>
        <w:spacing w:line="276" w:lineRule="auto"/>
        <w:rPr>
          <w:rFonts w:ascii="MetaPro-Norm" w:hAnsi="MetaPro-Norm"/>
          <w:color w:val="000000" w:themeColor="text1"/>
          <w:sz w:val="24"/>
          <w:szCs w:val="24"/>
        </w:rPr>
      </w:pPr>
    </w:p>
    <w:p w14:paraId="785A3FBD" w14:textId="77777777" w:rsidR="00B24007" w:rsidRPr="00903E93" w:rsidRDefault="00B24007" w:rsidP="00B8245C">
      <w:pPr>
        <w:spacing w:line="276" w:lineRule="auto"/>
        <w:rPr>
          <w:rFonts w:ascii="MetaPro-Norm" w:hAnsi="MetaPro-Norm"/>
          <w:color w:val="000000" w:themeColor="text1"/>
          <w:sz w:val="24"/>
          <w:szCs w:val="24"/>
        </w:rPr>
      </w:pPr>
    </w:p>
    <w:p w14:paraId="4EB6F54E" w14:textId="77777777" w:rsidR="00B24007" w:rsidRPr="00903E93" w:rsidRDefault="00B24007" w:rsidP="00B8245C">
      <w:pPr>
        <w:spacing w:line="276" w:lineRule="auto"/>
        <w:jc w:val="center"/>
        <w:rPr>
          <w:rFonts w:ascii="MetaPro-Norm" w:hAnsi="MetaPro-Norm"/>
          <w:b/>
          <w:color w:val="000000" w:themeColor="text1"/>
          <w:sz w:val="24"/>
          <w:szCs w:val="24"/>
        </w:rPr>
      </w:pPr>
    </w:p>
    <w:p w14:paraId="2842B616" w14:textId="6E3D98E6" w:rsidR="00DC7054" w:rsidRDefault="00B24007" w:rsidP="00B8245C">
      <w:pPr>
        <w:spacing w:line="276" w:lineRule="auto"/>
        <w:jc w:val="center"/>
        <w:rPr>
          <w:rFonts w:ascii="MetaPro-Norm" w:hAnsi="MetaPro-Norm"/>
          <w:b/>
          <w:color w:val="000000" w:themeColor="text1"/>
          <w:sz w:val="24"/>
          <w:szCs w:val="24"/>
        </w:rPr>
      </w:pPr>
      <w:r w:rsidRPr="00903E93">
        <w:rPr>
          <w:rFonts w:ascii="MetaPro-Norm" w:hAnsi="MetaPro-Norm"/>
          <w:b/>
          <w:color w:val="000000" w:themeColor="text1"/>
          <w:sz w:val="24"/>
          <w:szCs w:val="24"/>
        </w:rPr>
        <w:t xml:space="preserve">Human Rights Watch </w:t>
      </w:r>
      <w:r w:rsidR="00DC7054">
        <w:rPr>
          <w:rFonts w:ascii="MetaPro-Norm" w:hAnsi="MetaPro-Norm"/>
          <w:b/>
          <w:color w:val="000000" w:themeColor="text1"/>
          <w:sz w:val="24"/>
          <w:szCs w:val="24"/>
        </w:rPr>
        <w:t xml:space="preserve">Submission </w:t>
      </w:r>
      <w:r w:rsidRPr="00903E93">
        <w:rPr>
          <w:rFonts w:ascii="MetaPro-Norm" w:hAnsi="MetaPro-Norm"/>
          <w:b/>
          <w:color w:val="000000" w:themeColor="text1"/>
          <w:sz w:val="24"/>
          <w:szCs w:val="24"/>
        </w:rPr>
        <w:t xml:space="preserve">to the </w:t>
      </w:r>
      <w:r w:rsidR="00DC7054">
        <w:rPr>
          <w:rFonts w:ascii="MetaPro-Norm" w:hAnsi="MetaPro-Norm"/>
          <w:b/>
          <w:color w:val="000000" w:themeColor="text1"/>
          <w:sz w:val="24"/>
          <w:szCs w:val="24"/>
        </w:rPr>
        <w:t xml:space="preserve">United Nations </w:t>
      </w:r>
      <w:r w:rsidRPr="00903E93">
        <w:rPr>
          <w:rFonts w:ascii="MetaPro-Norm" w:hAnsi="MetaPro-Norm"/>
          <w:b/>
          <w:color w:val="000000" w:themeColor="text1"/>
          <w:sz w:val="24"/>
          <w:szCs w:val="24"/>
        </w:rPr>
        <w:t xml:space="preserve">Committee on Economic, Social and Cultural Rights </w:t>
      </w:r>
    </w:p>
    <w:p w14:paraId="20A3220D" w14:textId="2CF26A66" w:rsidR="00B24007" w:rsidRPr="00903E93" w:rsidRDefault="00DC7054" w:rsidP="00B8245C">
      <w:pPr>
        <w:spacing w:line="276" w:lineRule="auto"/>
        <w:jc w:val="center"/>
        <w:rPr>
          <w:rFonts w:ascii="MetaPro-Norm" w:hAnsi="MetaPro-Norm"/>
          <w:b/>
          <w:color w:val="000000" w:themeColor="text1"/>
          <w:sz w:val="24"/>
          <w:szCs w:val="24"/>
        </w:rPr>
      </w:pPr>
      <w:r>
        <w:rPr>
          <w:rFonts w:ascii="MetaPro-Norm" w:hAnsi="MetaPro-Norm"/>
          <w:b/>
          <w:color w:val="000000" w:themeColor="text1"/>
          <w:sz w:val="24"/>
          <w:szCs w:val="24"/>
        </w:rPr>
        <w:t xml:space="preserve">Review of </w:t>
      </w:r>
      <w:r w:rsidR="00697461" w:rsidRPr="00903E93">
        <w:rPr>
          <w:rFonts w:ascii="MetaPro-Norm" w:hAnsi="MetaPro-Norm"/>
          <w:b/>
          <w:color w:val="000000" w:themeColor="text1"/>
          <w:sz w:val="24"/>
          <w:szCs w:val="24"/>
        </w:rPr>
        <w:t>Guinea</w:t>
      </w:r>
    </w:p>
    <w:p w14:paraId="07144CD6" w14:textId="77777777" w:rsidR="00B24007" w:rsidRPr="00903E93" w:rsidRDefault="00B24007" w:rsidP="00B8245C">
      <w:pPr>
        <w:spacing w:line="276" w:lineRule="auto"/>
        <w:jc w:val="center"/>
        <w:rPr>
          <w:rFonts w:ascii="MetaPro-Norm" w:hAnsi="MetaPro-Norm"/>
          <w:b/>
          <w:color w:val="000000" w:themeColor="text1"/>
          <w:sz w:val="24"/>
          <w:szCs w:val="24"/>
        </w:rPr>
      </w:pPr>
    </w:p>
    <w:p w14:paraId="2D5E05D2" w14:textId="4C1FAAD0" w:rsidR="00B24007" w:rsidRPr="00DA3C79" w:rsidRDefault="00697461" w:rsidP="00B8245C">
      <w:pPr>
        <w:spacing w:line="276" w:lineRule="auto"/>
        <w:jc w:val="center"/>
        <w:rPr>
          <w:rFonts w:ascii="MetaPro-Norm" w:hAnsi="MetaPro-Norm"/>
          <w:b/>
          <w:iCs/>
          <w:color w:val="000000" w:themeColor="text1"/>
          <w:sz w:val="24"/>
          <w:szCs w:val="24"/>
        </w:rPr>
      </w:pPr>
      <w:r w:rsidRPr="00DA3C79">
        <w:rPr>
          <w:rFonts w:ascii="MetaPro-Norm" w:hAnsi="MetaPro-Norm"/>
          <w:b/>
          <w:iCs/>
          <w:color w:val="000000" w:themeColor="text1"/>
          <w:sz w:val="24"/>
          <w:szCs w:val="24"/>
        </w:rPr>
        <w:t>67</w:t>
      </w:r>
      <w:r w:rsidR="00B24007" w:rsidRPr="00DA3C79">
        <w:rPr>
          <w:rFonts w:ascii="MetaPro-Norm" w:hAnsi="MetaPro-Norm"/>
          <w:b/>
          <w:iCs/>
          <w:color w:val="000000" w:themeColor="text1"/>
          <w:sz w:val="24"/>
          <w:szCs w:val="24"/>
          <w:vertAlign w:val="superscript"/>
        </w:rPr>
        <w:t>th</w:t>
      </w:r>
      <w:r w:rsidR="00B24007" w:rsidRPr="00DA3C79">
        <w:rPr>
          <w:rFonts w:ascii="MetaPro-Norm" w:hAnsi="MetaPro-Norm"/>
          <w:b/>
          <w:iCs/>
          <w:color w:val="000000" w:themeColor="text1"/>
          <w:sz w:val="24"/>
          <w:szCs w:val="24"/>
        </w:rPr>
        <w:t xml:space="preserve"> session</w:t>
      </w:r>
      <w:r w:rsidR="00DC7054" w:rsidRPr="00DA3C79">
        <w:rPr>
          <w:rFonts w:ascii="MetaPro-Norm" w:hAnsi="MetaPro-Norm"/>
          <w:b/>
          <w:iCs/>
          <w:color w:val="000000" w:themeColor="text1"/>
          <w:sz w:val="24"/>
          <w:szCs w:val="24"/>
        </w:rPr>
        <w:t xml:space="preserve"> -</w:t>
      </w:r>
      <w:r w:rsidR="00B24007" w:rsidRPr="00DA3C79">
        <w:rPr>
          <w:rFonts w:ascii="MetaPro-Norm" w:hAnsi="MetaPro-Norm"/>
          <w:b/>
          <w:iCs/>
          <w:color w:val="000000" w:themeColor="text1"/>
          <w:sz w:val="24"/>
          <w:szCs w:val="24"/>
        </w:rPr>
        <w:t xml:space="preserve"> </w:t>
      </w:r>
      <w:r w:rsidR="00DC7054" w:rsidRPr="00DA3C79">
        <w:rPr>
          <w:rFonts w:ascii="MetaPro-Norm" w:hAnsi="MetaPro-Norm"/>
          <w:b/>
          <w:iCs/>
          <w:color w:val="000000" w:themeColor="text1"/>
          <w:sz w:val="24"/>
          <w:szCs w:val="24"/>
        </w:rPr>
        <w:t xml:space="preserve">January </w:t>
      </w:r>
      <w:r w:rsidR="007B4821" w:rsidRPr="00DA3C79">
        <w:rPr>
          <w:rFonts w:ascii="MetaPro-Norm" w:hAnsi="MetaPro-Norm"/>
          <w:b/>
          <w:iCs/>
          <w:color w:val="000000" w:themeColor="text1"/>
          <w:sz w:val="24"/>
          <w:szCs w:val="24"/>
        </w:rPr>
        <w:t>2020</w:t>
      </w:r>
    </w:p>
    <w:p w14:paraId="5DC7FCD8" w14:textId="77777777" w:rsidR="00B24007" w:rsidRPr="00903E93" w:rsidRDefault="00B24007" w:rsidP="00B8245C">
      <w:pPr>
        <w:spacing w:line="276" w:lineRule="auto"/>
        <w:jc w:val="center"/>
        <w:rPr>
          <w:rFonts w:ascii="MetaPro-Norm" w:hAnsi="MetaPro-Norm"/>
          <w:b/>
          <w:i/>
          <w:color w:val="000000" w:themeColor="text1"/>
          <w:sz w:val="24"/>
          <w:szCs w:val="24"/>
        </w:rPr>
      </w:pPr>
    </w:p>
    <w:p w14:paraId="0B121801" w14:textId="34DEBBDE" w:rsidR="00B24007" w:rsidRPr="00903E93" w:rsidRDefault="00B24007" w:rsidP="00DA3C79">
      <w:pPr>
        <w:spacing w:line="276" w:lineRule="auto"/>
        <w:jc w:val="both"/>
        <w:rPr>
          <w:rFonts w:ascii="MetaPro-Norm" w:hAnsi="MetaPro-Norm"/>
          <w:color w:val="000000" w:themeColor="text1"/>
          <w:sz w:val="24"/>
          <w:szCs w:val="24"/>
        </w:rPr>
      </w:pPr>
      <w:r w:rsidRPr="00903E93">
        <w:rPr>
          <w:rFonts w:ascii="MetaPro-Norm" w:hAnsi="MetaPro-Norm"/>
          <w:color w:val="000000" w:themeColor="text1"/>
          <w:sz w:val="24"/>
          <w:szCs w:val="24"/>
        </w:rPr>
        <w:t xml:space="preserve">This submission relates to the review of </w:t>
      </w:r>
      <w:r w:rsidR="00697461" w:rsidRPr="00903E93">
        <w:rPr>
          <w:rFonts w:ascii="MetaPro-Norm" w:hAnsi="MetaPro-Norm"/>
          <w:color w:val="000000" w:themeColor="text1"/>
          <w:sz w:val="24"/>
          <w:szCs w:val="24"/>
        </w:rPr>
        <w:t>Guinea</w:t>
      </w:r>
      <w:r w:rsidRPr="00903E93">
        <w:rPr>
          <w:rFonts w:ascii="MetaPro-Norm" w:hAnsi="MetaPro-Norm"/>
          <w:color w:val="000000" w:themeColor="text1"/>
          <w:sz w:val="24"/>
          <w:szCs w:val="24"/>
        </w:rPr>
        <w:t xml:space="preserve"> under the </w:t>
      </w:r>
      <w:r w:rsidR="00880619">
        <w:rPr>
          <w:rFonts w:ascii="MetaPro-Norm" w:hAnsi="MetaPro-Norm"/>
          <w:color w:val="000000" w:themeColor="text1"/>
          <w:sz w:val="24"/>
          <w:szCs w:val="24"/>
        </w:rPr>
        <w:t xml:space="preserve">International </w:t>
      </w:r>
      <w:r w:rsidR="009E7716" w:rsidRPr="00903E93">
        <w:rPr>
          <w:rFonts w:ascii="MetaPro-Norm" w:hAnsi="MetaPro-Norm"/>
          <w:color w:val="000000" w:themeColor="text1"/>
          <w:sz w:val="24"/>
          <w:szCs w:val="24"/>
        </w:rPr>
        <w:t>Coven</w:t>
      </w:r>
      <w:r w:rsidR="00880619">
        <w:rPr>
          <w:rFonts w:ascii="MetaPro-Norm" w:hAnsi="MetaPro-Norm"/>
          <w:color w:val="000000" w:themeColor="text1"/>
          <w:sz w:val="24"/>
          <w:szCs w:val="24"/>
        </w:rPr>
        <w:t xml:space="preserve">ant </w:t>
      </w:r>
      <w:r w:rsidRPr="00903E93">
        <w:rPr>
          <w:rFonts w:ascii="MetaPro-Norm" w:hAnsi="MetaPro-Norm"/>
          <w:color w:val="000000" w:themeColor="text1"/>
          <w:sz w:val="24"/>
          <w:szCs w:val="24"/>
        </w:rPr>
        <w:t>on Economic, Social</w:t>
      </w:r>
      <w:r w:rsidR="009E7716" w:rsidRPr="00903E93">
        <w:rPr>
          <w:rFonts w:ascii="MetaPro-Norm" w:hAnsi="MetaPro-Norm"/>
          <w:color w:val="000000" w:themeColor="text1"/>
          <w:sz w:val="24"/>
          <w:szCs w:val="24"/>
        </w:rPr>
        <w:t>,</w:t>
      </w:r>
      <w:r w:rsidRPr="00903E93">
        <w:rPr>
          <w:rFonts w:ascii="MetaPro-Norm" w:hAnsi="MetaPro-Norm"/>
          <w:color w:val="000000" w:themeColor="text1"/>
          <w:sz w:val="24"/>
          <w:szCs w:val="24"/>
        </w:rPr>
        <w:t xml:space="preserve"> and </w:t>
      </w:r>
      <w:r w:rsidRPr="00C451B6">
        <w:rPr>
          <w:rFonts w:ascii="MetaPro-Norm" w:hAnsi="MetaPro-Norm"/>
          <w:color w:val="000000" w:themeColor="text1"/>
          <w:sz w:val="24"/>
          <w:szCs w:val="24"/>
        </w:rPr>
        <w:t xml:space="preserve">Cultural Rights. It focuses on </w:t>
      </w:r>
      <w:r w:rsidR="00916619" w:rsidRPr="00C451B6">
        <w:rPr>
          <w:rFonts w:ascii="MetaPro-Norm" w:hAnsi="MetaPro-Norm"/>
          <w:color w:val="000000" w:themeColor="text1"/>
          <w:sz w:val="24"/>
          <w:szCs w:val="24"/>
        </w:rPr>
        <w:t xml:space="preserve">the </w:t>
      </w:r>
      <w:r w:rsidR="00880619">
        <w:rPr>
          <w:rFonts w:ascii="MetaPro-Norm" w:hAnsi="MetaPro-Norm"/>
          <w:color w:val="000000" w:themeColor="text1"/>
          <w:sz w:val="24"/>
          <w:szCs w:val="24"/>
        </w:rPr>
        <w:t xml:space="preserve">human rights </w:t>
      </w:r>
      <w:r w:rsidR="00916619" w:rsidRPr="00C451B6">
        <w:rPr>
          <w:rFonts w:ascii="MetaPro-Norm" w:hAnsi="MetaPro-Norm"/>
          <w:color w:val="000000" w:themeColor="text1"/>
          <w:sz w:val="24"/>
          <w:szCs w:val="24"/>
        </w:rPr>
        <w:t>implications of largescale mining</w:t>
      </w:r>
      <w:r w:rsidR="00167E82">
        <w:rPr>
          <w:rFonts w:ascii="MetaPro-Norm" w:hAnsi="MetaPro-Norm"/>
          <w:color w:val="000000" w:themeColor="text1"/>
          <w:sz w:val="24"/>
          <w:szCs w:val="24"/>
        </w:rPr>
        <w:t xml:space="preserve"> and</w:t>
      </w:r>
      <w:r w:rsidR="00916619" w:rsidRPr="00C451B6">
        <w:rPr>
          <w:rFonts w:ascii="MetaPro-Norm" w:hAnsi="MetaPro-Norm"/>
          <w:color w:val="000000" w:themeColor="text1"/>
          <w:sz w:val="24"/>
          <w:szCs w:val="24"/>
        </w:rPr>
        <w:t xml:space="preserve"> hydro</w:t>
      </w:r>
      <w:r w:rsidR="00880619">
        <w:rPr>
          <w:rFonts w:ascii="MetaPro-Norm" w:hAnsi="MetaPro-Norm"/>
          <w:color w:val="000000" w:themeColor="text1"/>
          <w:sz w:val="24"/>
          <w:szCs w:val="24"/>
        </w:rPr>
        <w:t>electric</w:t>
      </w:r>
      <w:r w:rsidR="00916619" w:rsidRPr="00C451B6">
        <w:rPr>
          <w:rFonts w:ascii="MetaPro-Norm" w:hAnsi="MetaPro-Norm"/>
          <w:color w:val="000000" w:themeColor="text1"/>
          <w:sz w:val="24"/>
          <w:szCs w:val="24"/>
        </w:rPr>
        <w:t xml:space="preserve"> dams, forced relocation from land in Conakry, </w:t>
      </w:r>
      <w:r w:rsidR="00AE389A" w:rsidRPr="00C451B6">
        <w:rPr>
          <w:rFonts w:ascii="MetaPro-Norm" w:hAnsi="MetaPro-Norm"/>
          <w:color w:val="000000" w:themeColor="text1"/>
          <w:sz w:val="24"/>
          <w:szCs w:val="24"/>
        </w:rPr>
        <w:t xml:space="preserve">and </w:t>
      </w:r>
      <w:r w:rsidR="004E65D3">
        <w:rPr>
          <w:rFonts w:ascii="MetaPro-Norm" w:hAnsi="MetaPro-Norm"/>
          <w:color w:val="000000" w:themeColor="text1"/>
          <w:sz w:val="24"/>
          <w:szCs w:val="24"/>
        </w:rPr>
        <w:t xml:space="preserve">the </w:t>
      </w:r>
      <w:r w:rsidR="004F207F">
        <w:rPr>
          <w:rFonts w:ascii="MetaPro-Norm" w:hAnsi="MetaPro-Norm"/>
          <w:color w:val="000000" w:themeColor="text1"/>
          <w:sz w:val="24"/>
          <w:szCs w:val="24"/>
        </w:rPr>
        <w:t xml:space="preserve">Safe Schools </w:t>
      </w:r>
      <w:r w:rsidR="00DB519C">
        <w:rPr>
          <w:rFonts w:ascii="MetaPro-Norm" w:hAnsi="MetaPro-Norm"/>
          <w:color w:val="000000" w:themeColor="text1"/>
          <w:sz w:val="24"/>
          <w:szCs w:val="24"/>
        </w:rPr>
        <w:t>D</w:t>
      </w:r>
      <w:r w:rsidR="004F207F">
        <w:rPr>
          <w:rFonts w:ascii="MetaPro-Norm" w:hAnsi="MetaPro-Norm"/>
          <w:color w:val="000000" w:themeColor="text1"/>
          <w:sz w:val="24"/>
          <w:szCs w:val="24"/>
        </w:rPr>
        <w:t xml:space="preserve">eclaration. </w:t>
      </w:r>
    </w:p>
    <w:p w14:paraId="39BB259F" w14:textId="5B9F05A7" w:rsidR="003453FB" w:rsidRPr="00903E93" w:rsidRDefault="003453FB" w:rsidP="00B8245C">
      <w:pPr>
        <w:spacing w:line="276" w:lineRule="auto"/>
        <w:rPr>
          <w:rFonts w:ascii="MetaPro-Norm" w:hAnsi="MetaPro-Norm"/>
          <w:color w:val="000000" w:themeColor="text1"/>
          <w:sz w:val="24"/>
          <w:szCs w:val="24"/>
        </w:rPr>
      </w:pPr>
    </w:p>
    <w:p w14:paraId="08C45BEA" w14:textId="75E8BFC2" w:rsidR="0067229D" w:rsidRPr="00DA3C79" w:rsidRDefault="0067229D" w:rsidP="00DA3C79">
      <w:pPr>
        <w:pStyle w:val="ListParagraph"/>
        <w:numPr>
          <w:ilvl w:val="0"/>
          <w:numId w:val="7"/>
        </w:numPr>
        <w:spacing w:line="276" w:lineRule="auto"/>
        <w:rPr>
          <w:rFonts w:ascii="MetaPro-Norm" w:hAnsi="MetaPro-Norm"/>
          <w:b/>
          <w:bCs/>
          <w:color w:val="000000" w:themeColor="text1"/>
          <w:sz w:val="24"/>
          <w:szCs w:val="24"/>
        </w:rPr>
      </w:pPr>
      <w:r w:rsidRPr="00DA3C79">
        <w:rPr>
          <w:rFonts w:ascii="MetaPro-Norm" w:hAnsi="MetaPro-Norm"/>
          <w:b/>
          <w:bCs/>
          <w:color w:val="000000" w:themeColor="text1"/>
          <w:sz w:val="24"/>
          <w:szCs w:val="24"/>
        </w:rPr>
        <w:t>Natural Resources</w:t>
      </w:r>
      <w:r w:rsidR="001C1B8E" w:rsidRPr="00DA3C79">
        <w:rPr>
          <w:rFonts w:ascii="MetaPro-Norm" w:hAnsi="MetaPro-Norm"/>
          <w:b/>
          <w:bCs/>
          <w:color w:val="000000" w:themeColor="text1"/>
          <w:sz w:val="24"/>
          <w:szCs w:val="24"/>
        </w:rPr>
        <w:t xml:space="preserve"> (</w:t>
      </w:r>
      <w:r w:rsidR="00DC7054">
        <w:rPr>
          <w:rFonts w:ascii="MetaPro-Norm" w:hAnsi="MetaPro-Norm"/>
          <w:b/>
          <w:bCs/>
          <w:color w:val="000000" w:themeColor="text1"/>
          <w:sz w:val="24"/>
          <w:szCs w:val="24"/>
        </w:rPr>
        <w:t>A</w:t>
      </w:r>
      <w:r w:rsidR="001C1B8E" w:rsidRPr="00DA3C79">
        <w:rPr>
          <w:rFonts w:ascii="MetaPro-Norm" w:hAnsi="MetaPro-Norm"/>
          <w:b/>
          <w:bCs/>
          <w:color w:val="000000" w:themeColor="text1"/>
          <w:sz w:val="24"/>
          <w:szCs w:val="24"/>
        </w:rPr>
        <w:t>rticles 11, 12, 25)</w:t>
      </w:r>
    </w:p>
    <w:p w14:paraId="4356ABE2" w14:textId="65B6D2EE" w:rsidR="0067229D" w:rsidRPr="00903E93" w:rsidRDefault="0067229D" w:rsidP="00DA3C79">
      <w:pPr>
        <w:spacing w:line="276" w:lineRule="auto"/>
        <w:jc w:val="both"/>
        <w:rPr>
          <w:rFonts w:ascii="MetaPro-Norm" w:hAnsi="MetaPro-Norm"/>
          <w:color w:val="000000" w:themeColor="text1"/>
          <w:sz w:val="24"/>
          <w:szCs w:val="24"/>
        </w:rPr>
      </w:pPr>
      <w:r w:rsidRPr="00903E93">
        <w:rPr>
          <w:rFonts w:ascii="MetaPro-Norm" w:hAnsi="MetaPro-Norm"/>
          <w:color w:val="000000" w:themeColor="text1"/>
          <w:sz w:val="24"/>
          <w:szCs w:val="24"/>
        </w:rPr>
        <w:t xml:space="preserve">Guinea possesses the world’s largest bauxite reserves, as well </w:t>
      </w:r>
      <w:r w:rsidR="00DC7054">
        <w:rPr>
          <w:rFonts w:ascii="MetaPro-Norm" w:hAnsi="MetaPro-Norm"/>
          <w:color w:val="000000" w:themeColor="text1"/>
          <w:sz w:val="24"/>
          <w:szCs w:val="24"/>
        </w:rPr>
        <w:t xml:space="preserve">as </w:t>
      </w:r>
      <w:r w:rsidRPr="00903E93">
        <w:rPr>
          <w:rFonts w:ascii="MetaPro-Norm" w:hAnsi="MetaPro-Norm"/>
          <w:color w:val="000000" w:themeColor="text1"/>
          <w:sz w:val="24"/>
          <w:szCs w:val="24"/>
        </w:rPr>
        <w:t>large amounts of iron ore, gold</w:t>
      </w:r>
      <w:r w:rsidR="00CA7AD1">
        <w:rPr>
          <w:rFonts w:ascii="MetaPro-Norm" w:hAnsi="MetaPro-Norm"/>
          <w:color w:val="000000" w:themeColor="text1"/>
          <w:sz w:val="24"/>
          <w:szCs w:val="24"/>
        </w:rPr>
        <w:t>,</w:t>
      </w:r>
      <w:r w:rsidRPr="00903E93">
        <w:rPr>
          <w:rFonts w:ascii="MetaPro-Norm" w:hAnsi="MetaPro-Norm"/>
          <w:color w:val="000000" w:themeColor="text1"/>
          <w:sz w:val="24"/>
          <w:szCs w:val="24"/>
        </w:rPr>
        <w:t xml:space="preserve"> and diamonds.</w:t>
      </w:r>
      <w:r w:rsidR="006348B0">
        <w:rPr>
          <w:rStyle w:val="FootnoteReference"/>
          <w:rFonts w:ascii="MetaPro-Norm" w:hAnsi="MetaPro-Norm"/>
          <w:color w:val="000000" w:themeColor="text1"/>
          <w:sz w:val="24"/>
          <w:szCs w:val="24"/>
        </w:rPr>
        <w:footnoteReference w:id="1"/>
      </w:r>
      <w:r w:rsidRPr="00903E93">
        <w:rPr>
          <w:rFonts w:ascii="MetaPro-Norm" w:hAnsi="MetaPro-Norm"/>
          <w:color w:val="000000" w:themeColor="text1"/>
          <w:sz w:val="24"/>
          <w:szCs w:val="24"/>
        </w:rPr>
        <w:t xml:space="preserve"> Guinea’s bauxite sector has grown rapidly since 2015, with Guinea</w:t>
      </w:r>
      <w:r w:rsidR="00DC7054">
        <w:rPr>
          <w:rFonts w:ascii="MetaPro-Norm" w:hAnsi="MetaPro-Norm"/>
          <w:color w:val="000000" w:themeColor="text1"/>
          <w:sz w:val="24"/>
          <w:szCs w:val="24"/>
        </w:rPr>
        <w:t xml:space="preserve"> being</w:t>
      </w:r>
      <w:r w:rsidRPr="00903E93">
        <w:rPr>
          <w:rFonts w:ascii="MetaPro-Norm" w:hAnsi="MetaPro-Norm"/>
          <w:color w:val="000000" w:themeColor="text1"/>
          <w:sz w:val="24"/>
          <w:szCs w:val="24"/>
        </w:rPr>
        <w:t xml:space="preserve"> the largest supplier </w:t>
      </w:r>
      <w:r w:rsidR="00B93E9D">
        <w:rPr>
          <w:rFonts w:ascii="MetaPro-Norm" w:hAnsi="MetaPro-Norm"/>
          <w:color w:val="000000" w:themeColor="text1"/>
          <w:sz w:val="24"/>
          <w:szCs w:val="24"/>
        </w:rPr>
        <w:t>of</w:t>
      </w:r>
      <w:r w:rsidRPr="00903E93">
        <w:rPr>
          <w:rFonts w:ascii="MetaPro-Norm" w:hAnsi="MetaPro-Norm"/>
          <w:color w:val="000000" w:themeColor="text1"/>
          <w:sz w:val="24"/>
          <w:szCs w:val="24"/>
        </w:rPr>
        <w:t xml:space="preserve"> bauxite to China, the world’s largest </w:t>
      </w:r>
      <w:proofErr w:type="spellStart"/>
      <w:r w:rsidRPr="00903E93">
        <w:rPr>
          <w:rFonts w:ascii="MetaPro-Norm" w:hAnsi="MetaPro-Norm"/>
          <w:color w:val="000000" w:themeColor="text1"/>
          <w:sz w:val="24"/>
          <w:szCs w:val="24"/>
        </w:rPr>
        <w:t>aluminum</w:t>
      </w:r>
      <w:proofErr w:type="spellEnd"/>
      <w:r w:rsidRPr="00903E93">
        <w:rPr>
          <w:rFonts w:ascii="MetaPro-Norm" w:hAnsi="MetaPro-Norm"/>
          <w:color w:val="000000" w:themeColor="text1"/>
          <w:sz w:val="24"/>
          <w:szCs w:val="24"/>
        </w:rPr>
        <w:t xml:space="preserve"> producer.</w:t>
      </w:r>
      <w:r w:rsidR="00E33546">
        <w:rPr>
          <w:rStyle w:val="FootnoteReference"/>
          <w:rFonts w:ascii="MetaPro-Norm" w:hAnsi="MetaPro-Norm"/>
          <w:color w:val="000000" w:themeColor="text1"/>
          <w:sz w:val="24"/>
          <w:szCs w:val="24"/>
        </w:rPr>
        <w:footnoteReference w:id="2"/>
      </w:r>
    </w:p>
    <w:p w14:paraId="6F0CE71F" w14:textId="77777777" w:rsidR="0067229D" w:rsidRPr="00903E93" w:rsidRDefault="0067229D" w:rsidP="00DA3C79">
      <w:pPr>
        <w:spacing w:line="276" w:lineRule="auto"/>
        <w:jc w:val="both"/>
        <w:rPr>
          <w:rFonts w:ascii="MetaPro-Norm" w:hAnsi="MetaPro-Norm"/>
          <w:color w:val="000000" w:themeColor="text1"/>
          <w:sz w:val="24"/>
          <w:szCs w:val="24"/>
        </w:rPr>
      </w:pPr>
    </w:p>
    <w:p w14:paraId="5D0B9149" w14:textId="0BEC8357" w:rsidR="0067229D" w:rsidRPr="00903E93" w:rsidRDefault="00CA7AD1" w:rsidP="00DA3C79">
      <w:pPr>
        <w:spacing w:line="276" w:lineRule="auto"/>
        <w:jc w:val="both"/>
        <w:rPr>
          <w:rFonts w:ascii="MetaPro-Norm" w:hAnsi="MetaPro-Norm"/>
          <w:color w:val="000000" w:themeColor="text1"/>
          <w:sz w:val="24"/>
          <w:szCs w:val="24"/>
        </w:rPr>
      </w:pPr>
      <w:r>
        <w:rPr>
          <w:rFonts w:ascii="MetaPro-Norm" w:hAnsi="MetaPro-Norm"/>
          <w:color w:val="000000" w:themeColor="text1"/>
          <w:sz w:val="24"/>
          <w:szCs w:val="24"/>
        </w:rPr>
        <w:t>W</w:t>
      </w:r>
      <w:r w:rsidR="0067229D" w:rsidRPr="00903E93">
        <w:rPr>
          <w:rFonts w:ascii="MetaPro-Norm" w:hAnsi="MetaPro-Norm"/>
          <w:color w:val="000000" w:themeColor="text1"/>
          <w:sz w:val="24"/>
          <w:szCs w:val="24"/>
        </w:rPr>
        <w:t xml:space="preserve">hile Guinea’s bauxite boom provides much-needed tax revenue for the government and has created thousands of jobs, the government has failed to adequately regulate the industry and ensure companies respect the environment and the rights of local communities. Mining companies have expropriated ancestral farmlands without </w:t>
      </w:r>
      <w:r w:rsidR="0067229D" w:rsidRPr="00903E93">
        <w:rPr>
          <w:rFonts w:ascii="MetaPro-Norm" w:hAnsi="MetaPro-Norm"/>
          <w:color w:val="000000" w:themeColor="text1"/>
          <w:sz w:val="24"/>
          <w:szCs w:val="24"/>
        </w:rPr>
        <w:lastRenderedPageBreak/>
        <w:t>adequate compensation, threatening tens of thousands of people’s livelihoods.</w:t>
      </w:r>
      <w:r w:rsidR="00F90AC4">
        <w:rPr>
          <w:rStyle w:val="FootnoteReference"/>
          <w:rFonts w:ascii="MetaPro-Norm" w:hAnsi="MetaPro-Norm"/>
          <w:color w:val="000000" w:themeColor="text1"/>
          <w:sz w:val="24"/>
          <w:szCs w:val="24"/>
        </w:rPr>
        <w:footnoteReference w:id="3"/>
      </w:r>
      <w:r w:rsidR="00F933E6">
        <w:rPr>
          <w:rFonts w:ascii="MetaPro-Norm" w:hAnsi="MetaPro-Norm"/>
          <w:color w:val="000000" w:themeColor="text1"/>
          <w:sz w:val="24"/>
          <w:szCs w:val="24"/>
        </w:rPr>
        <w:t xml:space="preserve"> </w:t>
      </w:r>
      <w:r w:rsidR="0067229D" w:rsidRPr="00903E93">
        <w:rPr>
          <w:rFonts w:ascii="MetaPro-Norm" w:hAnsi="MetaPro-Norm"/>
          <w:color w:val="000000" w:themeColor="text1"/>
          <w:sz w:val="24"/>
          <w:szCs w:val="24"/>
        </w:rPr>
        <w:t>Damage to water sources, as well as increased demand due to population migration to mining sites, has reduced communities’ access to water for drinking, washing</w:t>
      </w:r>
      <w:r>
        <w:rPr>
          <w:rFonts w:ascii="MetaPro-Norm" w:hAnsi="MetaPro-Norm"/>
          <w:color w:val="000000" w:themeColor="text1"/>
          <w:sz w:val="24"/>
          <w:szCs w:val="24"/>
        </w:rPr>
        <w:t>,</w:t>
      </w:r>
      <w:r w:rsidR="0067229D" w:rsidRPr="00903E93">
        <w:rPr>
          <w:rFonts w:ascii="MetaPro-Norm" w:hAnsi="MetaPro-Norm"/>
          <w:color w:val="000000" w:themeColor="text1"/>
          <w:sz w:val="24"/>
          <w:szCs w:val="24"/>
        </w:rPr>
        <w:t xml:space="preserve"> and cooking.</w:t>
      </w:r>
      <w:r w:rsidR="00F90AC4">
        <w:rPr>
          <w:rStyle w:val="FootnoteReference"/>
          <w:rFonts w:ascii="MetaPro-Norm" w:hAnsi="MetaPro-Norm"/>
          <w:color w:val="000000" w:themeColor="text1"/>
          <w:sz w:val="24"/>
          <w:szCs w:val="24"/>
        </w:rPr>
        <w:footnoteReference w:id="4"/>
      </w:r>
      <w:r w:rsidR="0067229D" w:rsidRPr="00903E93">
        <w:rPr>
          <w:rFonts w:ascii="MetaPro-Norm" w:hAnsi="MetaPro-Norm"/>
          <w:color w:val="000000" w:themeColor="text1"/>
          <w:sz w:val="24"/>
          <w:szCs w:val="24"/>
        </w:rPr>
        <w:t xml:space="preserve"> Dust produced by bauxite mining and transport has left families and health workers worried that reduced air quality threatens their health and environment.</w:t>
      </w:r>
      <w:r w:rsidR="00F90AC4">
        <w:rPr>
          <w:rStyle w:val="FootnoteReference"/>
          <w:rFonts w:ascii="MetaPro-Norm" w:hAnsi="MetaPro-Norm"/>
          <w:color w:val="000000" w:themeColor="text1"/>
          <w:sz w:val="24"/>
          <w:szCs w:val="24"/>
        </w:rPr>
        <w:footnoteReference w:id="5"/>
      </w:r>
    </w:p>
    <w:p w14:paraId="1FD195A2" w14:textId="77777777" w:rsidR="0067229D" w:rsidRPr="00903E93" w:rsidRDefault="0067229D" w:rsidP="00B8245C">
      <w:pPr>
        <w:spacing w:line="276" w:lineRule="auto"/>
        <w:rPr>
          <w:rFonts w:ascii="MetaPro-Norm" w:hAnsi="MetaPro-Norm"/>
          <w:color w:val="000000" w:themeColor="text1"/>
          <w:sz w:val="24"/>
          <w:szCs w:val="24"/>
        </w:rPr>
      </w:pPr>
    </w:p>
    <w:p w14:paraId="5CD90D68" w14:textId="3E4A96F5" w:rsidR="00D516AD" w:rsidRDefault="0067229D" w:rsidP="00DA3C79">
      <w:pPr>
        <w:spacing w:line="276" w:lineRule="auto"/>
        <w:jc w:val="both"/>
        <w:rPr>
          <w:rFonts w:ascii="MetaPro-Norm" w:hAnsi="MetaPro-Norm"/>
          <w:color w:val="000000" w:themeColor="text1"/>
          <w:sz w:val="24"/>
          <w:szCs w:val="24"/>
        </w:rPr>
      </w:pPr>
      <w:r w:rsidRPr="00903E93">
        <w:rPr>
          <w:rFonts w:ascii="MetaPro-Norm" w:hAnsi="MetaPro-Norm"/>
          <w:color w:val="000000" w:themeColor="text1"/>
          <w:sz w:val="24"/>
          <w:szCs w:val="24"/>
        </w:rPr>
        <w:t>Guinea has also, since 2015, begun to more rapidly develop its enormous potential for hydroelectric power</w:t>
      </w:r>
      <w:r w:rsidR="00D516AD">
        <w:rPr>
          <w:rFonts w:ascii="MetaPro-Norm" w:hAnsi="MetaPro-Norm"/>
          <w:color w:val="000000" w:themeColor="text1"/>
          <w:sz w:val="24"/>
          <w:szCs w:val="24"/>
        </w:rPr>
        <w:t xml:space="preserve">. </w:t>
      </w:r>
      <w:r w:rsidRPr="00903E93">
        <w:rPr>
          <w:rFonts w:ascii="MetaPro-Norm" w:hAnsi="MetaPro-Norm"/>
          <w:color w:val="000000" w:themeColor="text1"/>
          <w:sz w:val="24"/>
          <w:szCs w:val="24"/>
        </w:rPr>
        <w:t xml:space="preserve">Guinea opened the </w:t>
      </w:r>
      <w:proofErr w:type="spellStart"/>
      <w:r w:rsidRPr="00903E93">
        <w:rPr>
          <w:rFonts w:ascii="MetaPro-Norm" w:hAnsi="MetaPro-Norm"/>
          <w:color w:val="000000" w:themeColor="text1"/>
          <w:sz w:val="24"/>
          <w:szCs w:val="24"/>
        </w:rPr>
        <w:t>Kaleta</w:t>
      </w:r>
      <w:proofErr w:type="spellEnd"/>
      <w:r w:rsidRPr="00903E93">
        <w:rPr>
          <w:rFonts w:ascii="MetaPro-Norm" w:hAnsi="MetaPro-Norm"/>
          <w:color w:val="000000" w:themeColor="text1"/>
          <w:sz w:val="24"/>
          <w:szCs w:val="24"/>
        </w:rPr>
        <w:t xml:space="preserve"> dam in 2015, and </w:t>
      </w:r>
      <w:r w:rsidR="00D516AD">
        <w:rPr>
          <w:rFonts w:ascii="MetaPro-Norm" w:hAnsi="MetaPro-Norm"/>
          <w:color w:val="000000" w:themeColor="text1"/>
          <w:sz w:val="24"/>
          <w:szCs w:val="24"/>
        </w:rPr>
        <w:t xml:space="preserve">is currently constructing at least three other hydropower dams, the most advanced of which, </w:t>
      </w:r>
      <w:proofErr w:type="spellStart"/>
      <w:r w:rsidR="00D516AD">
        <w:rPr>
          <w:rFonts w:ascii="MetaPro-Norm" w:hAnsi="MetaPro-Norm"/>
          <w:color w:val="000000" w:themeColor="text1"/>
          <w:sz w:val="24"/>
          <w:szCs w:val="24"/>
        </w:rPr>
        <w:t>Souapiti</w:t>
      </w:r>
      <w:proofErr w:type="spellEnd"/>
      <w:r w:rsidR="00D516AD">
        <w:rPr>
          <w:rFonts w:ascii="MetaPro-Norm" w:hAnsi="MetaPro-Norm"/>
          <w:color w:val="000000" w:themeColor="text1"/>
          <w:sz w:val="24"/>
          <w:szCs w:val="24"/>
        </w:rPr>
        <w:t>, will be operational in 2020.</w:t>
      </w:r>
      <w:r w:rsidR="002C423F">
        <w:rPr>
          <w:rStyle w:val="FootnoteReference"/>
          <w:rFonts w:ascii="MetaPro-Norm" w:hAnsi="MetaPro-Norm"/>
          <w:color w:val="000000" w:themeColor="text1"/>
          <w:sz w:val="24"/>
          <w:szCs w:val="24"/>
        </w:rPr>
        <w:footnoteReference w:id="6"/>
      </w:r>
      <w:r w:rsidR="00D516AD">
        <w:rPr>
          <w:rFonts w:ascii="MetaPro-Norm" w:hAnsi="MetaPro-Norm"/>
          <w:color w:val="000000" w:themeColor="text1"/>
          <w:sz w:val="24"/>
          <w:szCs w:val="24"/>
        </w:rPr>
        <w:t xml:space="preserve"> Hydropower projects have the potential to increase </w:t>
      </w:r>
      <w:r w:rsidR="00D516AD" w:rsidRPr="00903E93">
        <w:rPr>
          <w:rFonts w:ascii="MetaPro-Norm" w:hAnsi="MetaPro-Norm"/>
          <w:color w:val="000000" w:themeColor="text1"/>
          <w:sz w:val="24"/>
          <w:szCs w:val="24"/>
        </w:rPr>
        <w:t xml:space="preserve">access to electricity </w:t>
      </w:r>
      <w:r w:rsidR="00D516AD">
        <w:rPr>
          <w:rFonts w:ascii="MetaPro-Norm" w:hAnsi="MetaPro-Norm"/>
          <w:color w:val="000000" w:themeColor="text1"/>
          <w:sz w:val="24"/>
          <w:szCs w:val="24"/>
        </w:rPr>
        <w:t>in a country in desperate need of reliable power.</w:t>
      </w:r>
      <w:r w:rsidR="002C423F">
        <w:rPr>
          <w:rStyle w:val="FootnoteReference"/>
          <w:rFonts w:ascii="MetaPro-Norm" w:hAnsi="MetaPro-Norm"/>
          <w:color w:val="000000" w:themeColor="text1"/>
          <w:sz w:val="24"/>
          <w:szCs w:val="24"/>
        </w:rPr>
        <w:footnoteReference w:id="7"/>
      </w:r>
      <w:r w:rsidR="00D516AD">
        <w:rPr>
          <w:rFonts w:ascii="MetaPro-Norm" w:hAnsi="MetaPro-Norm"/>
          <w:color w:val="000000" w:themeColor="text1"/>
          <w:sz w:val="24"/>
          <w:szCs w:val="24"/>
        </w:rPr>
        <w:t xml:space="preserve"> The Guinean government has </w:t>
      </w:r>
      <w:r w:rsidR="00107761">
        <w:rPr>
          <w:rFonts w:ascii="MetaPro-Norm" w:hAnsi="MetaPro-Norm"/>
          <w:color w:val="000000" w:themeColor="text1"/>
          <w:sz w:val="24"/>
          <w:szCs w:val="24"/>
        </w:rPr>
        <w:t xml:space="preserve">so far </w:t>
      </w:r>
      <w:r w:rsidR="00D516AD">
        <w:rPr>
          <w:rFonts w:ascii="MetaPro-Norm" w:hAnsi="MetaPro-Norm"/>
          <w:color w:val="000000" w:themeColor="text1"/>
          <w:sz w:val="24"/>
          <w:szCs w:val="24"/>
        </w:rPr>
        <w:t xml:space="preserve">failed, however, to adequately protect the rights of the </w:t>
      </w:r>
      <w:r w:rsidR="00D516AD" w:rsidRPr="00903E93">
        <w:rPr>
          <w:rFonts w:ascii="MetaPro-Norm" w:hAnsi="MetaPro-Norm"/>
          <w:color w:val="000000" w:themeColor="text1"/>
          <w:sz w:val="24"/>
          <w:szCs w:val="24"/>
        </w:rPr>
        <w:t xml:space="preserve">thousands of </w:t>
      </w:r>
      <w:r w:rsidR="00D516AD">
        <w:rPr>
          <w:rFonts w:ascii="MetaPro-Norm" w:hAnsi="MetaPro-Norm"/>
          <w:color w:val="000000" w:themeColor="text1"/>
          <w:sz w:val="24"/>
          <w:szCs w:val="24"/>
        </w:rPr>
        <w:t xml:space="preserve">people displaced by dams. </w:t>
      </w:r>
    </w:p>
    <w:p w14:paraId="4E8E1463" w14:textId="77777777" w:rsidR="00F933E6" w:rsidRDefault="00F933E6" w:rsidP="00B8245C">
      <w:pPr>
        <w:spacing w:line="276" w:lineRule="auto"/>
        <w:rPr>
          <w:rFonts w:ascii="MetaPro-Norm" w:hAnsi="MetaPro-Norm"/>
          <w:color w:val="000000" w:themeColor="text1"/>
          <w:sz w:val="24"/>
          <w:szCs w:val="24"/>
        </w:rPr>
      </w:pPr>
    </w:p>
    <w:p w14:paraId="466621D9" w14:textId="42FF5982" w:rsidR="0067229D" w:rsidRPr="00903E93" w:rsidRDefault="00D516AD" w:rsidP="00DA3C79">
      <w:pPr>
        <w:spacing w:line="276" w:lineRule="auto"/>
        <w:jc w:val="both"/>
        <w:rPr>
          <w:rFonts w:ascii="MetaPro-Norm" w:hAnsi="MetaPro-Norm"/>
          <w:color w:val="000000" w:themeColor="text1"/>
          <w:sz w:val="24"/>
          <w:szCs w:val="24"/>
        </w:rPr>
      </w:pPr>
      <w:r>
        <w:rPr>
          <w:rFonts w:ascii="MetaPro-Norm" w:hAnsi="MetaPro-Norm"/>
          <w:color w:val="000000" w:themeColor="text1"/>
          <w:sz w:val="24"/>
          <w:szCs w:val="24"/>
        </w:rPr>
        <w:t xml:space="preserve">The more than 16,000 people to be displaced by </w:t>
      </w:r>
      <w:proofErr w:type="spellStart"/>
      <w:r w:rsidR="0067229D" w:rsidRPr="00903E93">
        <w:rPr>
          <w:rFonts w:ascii="MetaPro-Norm" w:hAnsi="MetaPro-Norm"/>
          <w:color w:val="000000" w:themeColor="text1"/>
          <w:sz w:val="24"/>
          <w:szCs w:val="24"/>
        </w:rPr>
        <w:t>Souapiti</w:t>
      </w:r>
      <w:proofErr w:type="spellEnd"/>
      <w:r>
        <w:rPr>
          <w:rFonts w:ascii="MetaPro-Norm" w:hAnsi="MetaPro-Norm"/>
          <w:color w:val="000000" w:themeColor="text1"/>
          <w:sz w:val="24"/>
          <w:szCs w:val="24"/>
        </w:rPr>
        <w:t>, for example,</w:t>
      </w:r>
      <w:r w:rsidR="0067229D" w:rsidRPr="00903E93">
        <w:rPr>
          <w:rFonts w:ascii="MetaPro-Norm" w:hAnsi="MetaPro-Norm"/>
          <w:color w:val="000000" w:themeColor="text1"/>
          <w:sz w:val="24"/>
          <w:szCs w:val="24"/>
        </w:rPr>
        <w:t xml:space="preserve"> have received inadequate compensation</w:t>
      </w:r>
      <w:r w:rsidR="002C423F">
        <w:rPr>
          <w:rFonts w:ascii="MetaPro-Norm" w:hAnsi="MetaPro-Norm"/>
          <w:color w:val="000000" w:themeColor="text1"/>
          <w:sz w:val="24"/>
          <w:szCs w:val="24"/>
        </w:rPr>
        <w:t xml:space="preserve"> or</w:t>
      </w:r>
      <w:r>
        <w:rPr>
          <w:rFonts w:ascii="MetaPro-Norm" w:hAnsi="MetaPro-Norm"/>
          <w:color w:val="000000" w:themeColor="text1"/>
          <w:sz w:val="24"/>
          <w:szCs w:val="24"/>
        </w:rPr>
        <w:t xml:space="preserve"> replacement land, leaving them struggling to feed their families</w:t>
      </w:r>
      <w:r w:rsidR="00107761">
        <w:rPr>
          <w:rFonts w:ascii="MetaPro-Norm" w:hAnsi="MetaPro-Norm"/>
          <w:color w:val="000000" w:themeColor="text1"/>
          <w:sz w:val="24"/>
          <w:szCs w:val="24"/>
        </w:rPr>
        <w:t>, re-establish their livelihoods, and live with dignity</w:t>
      </w:r>
      <w:r w:rsidR="0067229D" w:rsidRPr="00903E93">
        <w:rPr>
          <w:rFonts w:ascii="MetaPro-Norm" w:hAnsi="MetaPro-Norm"/>
          <w:color w:val="000000" w:themeColor="text1"/>
          <w:sz w:val="24"/>
          <w:szCs w:val="24"/>
        </w:rPr>
        <w:t>.</w:t>
      </w:r>
      <w:r w:rsidRPr="00903E93" w:rsidDel="00D516AD">
        <w:rPr>
          <w:rFonts w:ascii="MetaPro-Norm" w:hAnsi="MetaPro-Norm"/>
          <w:color w:val="000000" w:themeColor="text1"/>
          <w:sz w:val="24"/>
          <w:szCs w:val="24"/>
        </w:rPr>
        <w:t xml:space="preserve"> </w:t>
      </w:r>
    </w:p>
    <w:p w14:paraId="48B84866" w14:textId="1FF1B0A1" w:rsidR="0067229D" w:rsidRDefault="0067229D" w:rsidP="00B8245C">
      <w:pPr>
        <w:spacing w:line="276" w:lineRule="auto"/>
        <w:rPr>
          <w:rFonts w:ascii="MetaPro-Norm" w:hAnsi="MetaPro-Norm"/>
          <w:i/>
          <w:iCs/>
          <w:color w:val="000000" w:themeColor="text1"/>
          <w:sz w:val="24"/>
          <w:szCs w:val="24"/>
        </w:rPr>
      </w:pPr>
    </w:p>
    <w:p w14:paraId="47BC312C" w14:textId="200A1BD9" w:rsidR="00D35094" w:rsidRPr="00107761" w:rsidRDefault="00D35094" w:rsidP="00B8245C">
      <w:pPr>
        <w:spacing w:line="276" w:lineRule="auto"/>
        <w:rPr>
          <w:rFonts w:ascii="MetaPro-Norm" w:hAnsi="MetaPro-Norm"/>
          <w:i/>
          <w:iCs/>
          <w:color w:val="000000" w:themeColor="text1"/>
          <w:sz w:val="24"/>
          <w:szCs w:val="24"/>
        </w:rPr>
      </w:pPr>
      <w:r w:rsidRPr="00107761">
        <w:rPr>
          <w:rFonts w:ascii="MetaPro-Norm" w:hAnsi="MetaPro-Norm"/>
          <w:i/>
          <w:iCs/>
          <w:color w:val="000000" w:themeColor="text1"/>
          <w:sz w:val="24"/>
          <w:szCs w:val="24"/>
        </w:rPr>
        <w:t xml:space="preserve">Human Rights Watch recommends that the Committee </w:t>
      </w:r>
      <w:r w:rsidR="005970B1">
        <w:rPr>
          <w:rFonts w:ascii="MetaPro-Norm" w:hAnsi="MetaPro-Norm"/>
          <w:i/>
          <w:iCs/>
          <w:color w:val="000000" w:themeColor="text1"/>
          <w:sz w:val="24"/>
          <w:szCs w:val="24"/>
        </w:rPr>
        <w:t>pose</w:t>
      </w:r>
      <w:r w:rsidRPr="00107761">
        <w:rPr>
          <w:rFonts w:ascii="MetaPro-Norm" w:hAnsi="MetaPro-Norm"/>
          <w:i/>
          <w:iCs/>
          <w:color w:val="000000" w:themeColor="text1"/>
          <w:sz w:val="24"/>
          <w:szCs w:val="24"/>
        </w:rPr>
        <w:t xml:space="preserve"> the </w:t>
      </w:r>
      <w:r w:rsidR="005970B1">
        <w:rPr>
          <w:rFonts w:ascii="MetaPro-Norm" w:hAnsi="MetaPro-Norm"/>
          <w:i/>
          <w:iCs/>
          <w:color w:val="000000" w:themeColor="text1"/>
          <w:sz w:val="24"/>
          <w:szCs w:val="24"/>
        </w:rPr>
        <w:t xml:space="preserve">following questions to the </w:t>
      </w:r>
      <w:r w:rsidRPr="00107761">
        <w:rPr>
          <w:rFonts w:ascii="MetaPro-Norm" w:hAnsi="MetaPro-Norm"/>
          <w:i/>
          <w:iCs/>
          <w:color w:val="000000" w:themeColor="text1"/>
          <w:sz w:val="24"/>
          <w:szCs w:val="24"/>
        </w:rPr>
        <w:t>government of Guinea:</w:t>
      </w:r>
    </w:p>
    <w:p w14:paraId="5EF0EE6E" w14:textId="2AEB3C44" w:rsidR="00107761" w:rsidRPr="00F933E6" w:rsidRDefault="00107761" w:rsidP="00DA3C79">
      <w:pPr>
        <w:pStyle w:val="ListParagraph"/>
        <w:numPr>
          <w:ilvl w:val="0"/>
          <w:numId w:val="6"/>
        </w:numPr>
        <w:spacing w:line="276" w:lineRule="auto"/>
        <w:jc w:val="both"/>
        <w:rPr>
          <w:rFonts w:ascii="MetaPro-Norm" w:hAnsi="MetaPro-Norm"/>
          <w:sz w:val="24"/>
          <w:szCs w:val="24"/>
        </w:rPr>
      </w:pPr>
      <w:r w:rsidRPr="00F933E6">
        <w:rPr>
          <w:rFonts w:ascii="MetaPro-Norm" w:hAnsi="MetaPro-Norm"/>
          <w:sz w:val="24"/>
          <w:szCs w:val="24"/>
        </w:rPr>
        <w:t>What steps is the government of Guinea taking to protect communities from the potentially negative impacts of bauxite and other forms of industrial mining?</w:t>
      </w:r>
    </w:p>
    <w:p w14:paraId="3A9E6DAD" w14:textId="3949B6B4" w:rsidR="00107761" w:rsidRPr="00F933E6" w:rsidRDefault="00107761" w:rsidP="00DA3C79">
      <w:pPr>
        <w:pStyle w:val="ListParagraph"/>
        <w:numPr>
          <w:ilvl w:val="0"/>
          <w:numId w:val="6"/>
        </w:numPr>
        <w:spacing w:line="276" w:lineRule="auto"/>
        <w:jc w:val="both"/>
        <w:rPr>
          <w:rFonts w:ascii="MetaPro-Norm" w:hAnsi="MetaPro-Norm"/>
          <w:sz w:val="24"/>
          <w:szCs w:val="24"/>
        </w:rPr>
      </w:pPr>
      <w:r w:rsidRPr="00F933E6">
        <w:rPr>
          <w:rFonts w:ascii="MetaPro-Norm" w:hAnsi="MetaPro-Norm"/>
          <w:sz w:val="24"/>
          <w:szCs w:val="24"/>
        </w:rPr>
        <w:t xml:space="preserve">What proportion of the electricity produced by new hydroelectric projects will be used for domestic consumption, including </w:t>
      </w:r>
      <w:r>
        <w:rPr>
          <w:rFonts w:ascii="MetaPro-Norm" w:hAnsi="MetaPro-Norm"/>
          <w:sz w:val="24"/>
          <w:szCs w:val="24"/>
        </w:rPr>
        <w:t xml:space="preserve">for </w:t>
      </w:r>
      <w:r w:rsidRPr="00F933E6">
        <w:rPr>
          <w:rFonts w:ascii="MetaPro-Norm" w:hAnsi="MetaPro-Norm"/>
          <w:sz w:val="24"/>
          <w:szCs w:val="24"/>
        </w:rPr>
        <w:t xml:space="preserve">essential services like schools and hospitals, and how much will be used by the mining industry or exported abroad? </w:t>
      </w:r>
    </w:p>
    <w:p w14:paraId="5E7961E8" w14:textId="378DE2A3" w:rsidR="00107761" w:rsidRPr="00F933E6" w:rsidRDefault="00646872" w:rsidP="00DA3C79">
      <w:pPr>
        <w:pStyle w:val="ListParagraph"/>
        <w:numPr>
          <w:ilvl w:val="0"/>
          <w:numId w:val="6"/>
        </w:numPr>
        <w:spacing w:line="276" w:lineRule="auto"/>
        <w:jc w:val="both"/>
        <w:rPr>
          <w:rFonts w:ascii="MetaPro-Norm" w:hAnsi="MetaPro-Norm"/>
          <w:sz w:val="24"/>
          <w:szCs w:val="24"/>
        </w:rPr>
      </w:pPr>
      <w:r w:rsidRPr="00F933E6">
        <w:rPr>
          <w:rFonts w:ascii="MetaPro-Norm" w:hAnsi="MetaPro-Norm"/>
          <w:sz w:val="24"/>
          <w:szCs w:val="24"/>
        </w:rPr>
        <w:t>What steps is the government of Guinea taking to ensure that communities displaced by hydroelectric dams are able to return to the standard of living they enjoyed prior to their displacement?</w:t>
      </w:r>
    </w:p>
    <w:p w14:paraId="7CBD6A23" w14:textId="77777777" w:rsidR="00FE79A9" w:rsidRPr="00FE79A9" w:rsidRDefault="00FE79A9" w:rsidP="00B8245C">
      <w:pPr>
        <w:pStyle w:val="ListParagraph"/>
        <w:spacing w:line="276" w:lineRule="auto"/>
        <w:rPr>
          <w:rFonts w:ascii="MetaPro-Norm" w:hAnsi="MetaPro-Norm"/>
          <w:sz w:val="24"/>
          <w:szCs w:val="24"/>
          <w:highlight w:val="yellow"/>
        </w:rPr>
      </w:pPr>
    </w:p>
    <w:p w14:paraId="7F3AC5A3" w14:textId="3EDB274D" w:rsidR="0067229D" w:rsidRPr="00903E93" w:rsidRDefault="0067229D" w:rsidP="00B8245C">
      <w:pPr>
        <w:spacing w:line="276" w:lineRule="auto"/>
        <w:rPr>
          <w:rFonts w:ascii="MetaPro-Norm" w:hAnsi="MetaPro-Norm"/>
          <w:i/>
          <w:iCs/>
          <w:color w:val="000000" w:themeColor="text1"/>
          <w:sz w:val="24"/>
          <w:szCs w:val="24"/>
        </w:rPr>
      </w:pPr>
      <w:r w:rsidRPr="00903E93">
        <w:rPr>
          <w:rFonts w:ascii="MetaPro-Norm" w:hAnsi="MetaPro-Norm"/>
          <w:i/>
          <w:iCs/>
          <w:color w:val="000000" w:themeColor="text1"/>
          <w:sz w:val="24"/>
          <w:szCs w:val="24"/>
        </w:rPr>
        <w:t xml:space="preserve">Human Rights Watch recommends that </w:t>
      </w:r>
      <w:r w:rsidR="00D35094">
        <w:rPr>
          <w:rFonts w:ascii="MetaPro-Norm" w:hAnsi="MetaPro-Norm"/>
          <w:i/>
          <w:iCs/>
          <w:color w:val="000000" w:themeColor="text1"/>
          <w:sz w:val="24"/>
          <w:szCs w:val="24"/>
        </w:rPr>
        <w:t xml:space="preserve">the Committee </w:t>
      </w:r>
      <w:r w:rsidRPr="00903E93">
        <w:rPr>
          <w:rFonts w:ascii="MetaPro-Norm" w:hAnsi="MetaPro-Norm"/>
          <w:i/>
          <w:iCs/>
          <w:color w:val="000000" w:themeColor="text1"/>
          <w:sz w:val="24"/>
          <w:szCs w:val="24"/>
        </w:rPr>
        <w:t xml:space="preserve">call upon the government of </w:t>
      </w:r>
      <w:r w:rsidR="0093413A" w:rsidRPr="00903E93">
        <w:rPr>
          <w:rFonts w:ascii="MetaPro-Norm" w:hAnsi="MetaPro-Norm"/>
          <w:i/>
          <w:iCs/>
          <w:color w:val="000000" w:themeColor="text1"/>
          <w:sz w:val="24"/>
          <w:szCs w:val="24"/>
        </w:rPr>
        <w:t>Guinea</w:t>
      </w:r>
      <w:r w:rsidRPr="00903E93">
        <w:rPr>
          <w:rFonts w:ascii="MetaPro-Norm" w:hAnsi="MetaPro-Norm"/>
          <w:i/>
          <w:iCs/>
          <w:color w:val="000000" w:themeColor="text1"/>
          <w:sz w:val="24"/>
          <w:szCs w:val="24"/>
        </w:rPr>
        <w:t xml:space="preserve"> to:</w:t>
      </w:r>
    </w:p>
    <w:p w14:paraId="339D2B3D" w14:textId="77777777" w:rsidR="0067229D" w:rsidRPr="00903E93" w:rsidRDefault="0067229D" w:rsidP="00DA3C79">
      <w:pPr>
        <w:pStyle w:val="ListParagraph"/>
        <w:numPr>
          <w:ilvl w:val="0"/>
          <w:numId w:val="3"/>
        </w:numPr>
        <w:spacing w:line="276" w:lineRule="auto"/>
        <w:jc w:val="both"/>
        <w:rPr>
          <w:rFonts w:ascii="MetaPro-Norm" w:hAnsi="MetaPro-Norm"/>
          <w:color w:val="000000" w:themeColor="text1"/>
          <w:sz w:val="24"/>
          <w:szCs w:val="24"/>
        </w:rPr>
      </w:pPr>
      <w:r w:rsidRPr="00903E93">
        <w:rPr>
          <w:rFonts w:ascii="MetaPro-Norm" w:hAnsi="MetaPro-Norm"/>
          <w:color w:val="000000" w:themeColor="text1"/>
          <w:sz w:val="24"/>
          <w:szCs w:val="24"/>
        </w:rPr>
        <w:t>Enact detailed legislation to require that mining and hydroelectric companies provide fair compensation for land, including through replacement land where possible, to individuals and communities that lose land to natural resource exploitations;</w:t>
      </w:r>
    </w:p>
    <w:p w14:paraId="4EB260EC" w14:textId="4D2AE15D" w:rsidR="0067229D" w:rsidRPr="00903E93" w:rsidRDefault="0067229D" w:rsidP="00DA3C79">
      <w:pPr>
        <w:pStyle w:val="ListParagraph"/>
        <w:numPr>
          <w:ilvl w:val="0"/>
          <w:numId w:val="3"/>
        </w:numPr>
        <w:spacing w:line="276" w:lineRule="auto"/>
        <w:jc w:val="both"/>
        <w:rPr>
          <w:rFonts w:ascii="MetaPro-Norm" w:hAnsi="MetaPro-Norm"/>
          <w:color w:val="000000" w:themeColor="text1"/>
          <w:sz w:val="24"/>
          <w:szCs w:val="24"/>
        </w:rPr>
      </w:pPr>
      <w:r w:rsidRPr="00903E93">
        <w:rPr>
          <w:rFonts w:ascii="MetaPro-Norm" w:hAnsi="MetaPro-Norm"/>
          <w:color w:val="000000" w:themeColor="text1"/>
          <w:sz w:val="24"/>
          <w:szCs w:val="24"/>
        </w:rPr>
        <w:t>Improve the access of affected communities and civil society organizations to environmental and social impact assessments, management plans</w:t>
      </w:r>
      <w:r w:rsidR="00D35094">
        <w:rPr>
          <w:rFonts w:ascii="MetaPro-Norm" w:hAnsi="MetaPro-Norm"/>
          <w:color w:val="000000" w:themeColor="text1"/>
          <w:sz w:val="24"/>
          <w:szCs w:val="24"/>
        </w:rPr>
        <w:t>,</w:t>
      </w:r>
      <w:r w:rsidRPr="00903E93">
        <w:rPr>
          <w:rFonts w:ascii="MetaPro-Norm" w:hAnsi="MetaPro-Norm"/>
          <w:color w:val="000000" w:themeColor="text1"/>
          <w:sz w:val="24"/>
          <w:szCs w:val="24"/>
        </w:rPr>
        <w:t xml:space="preserve"> and other government and company data related to the human rights, social and environmental impacts of mining and other natural resource projects;</w:t>
      </w:r>
    </w:p>
    <w:p w14:paraId="2B9A8479" w14:textId="77777777" w:rsidR="0067229D" w:rsidRPr="00903E93" w:rsidRDefault="0067229D" w:rsidP="00DA3C79">
      <w:pPr>
        <w:pStyle w:val="ListParagraph"/>
        <w:numPr>
          <w:ilvl w:val="0"/>
          <w:numId w:val="3"/>
        </w:numPr>
        <w:spacing w:line="276" w:lineRule="auto"/>
        <w:jc w:val="both"/>
        <w:rPr>
          <w:rFonts w:ascii="MetaPro-Norm" w:hAnsi="MetaPro-Norm"/>
          <w:color w:val="000000" w:themeColor="text1"/>
          <w:sz w:val="24"/>
          <w:szCs w:val="24"/>
        </w:rPr>
      </w:pPr>
      <w:r w:rsidRPr="00903E93">
        <w:rPr>
          <w:rFonts w:ascii="MetaPro-Norm" w:hAnsi="MetaPro-Norm"/>
          <w:color w:val="000000" w:themeColor="text1"/>
          <w:sz w:val="24"/>
          <w:szCs w:val="24"/>
        </w:rPr>
        <w:t>Ensure that government regulators investigate and sanction companies that violate Guinean laws regarding social and environmental management;</w:t>
      </w:r>
    </w:p>
    <w:p w14:paraId="25A0A48C" w14:textId="4EC6D7BD" w:rsidR="0067229D" w:rsidRPr="00903E93" w:rsidRDefault="0067229D" w:rsidP="00DA3C79">
      <w:pPr>
        <w:pStyle w:val="ListParagraph"/>
        <w:numPr>
          <w:ilvl w:val="0"/>
          <w:numId w:val="3"/>
        </w:numPr>
        <w:spacing w:line="276" w:lineRule="auto"/>
        <w:jc w:val="both"/>
        <w:rPr>
          <w:rFonts w:ascii="MetaPro-Norm" w:hAnsi="MetaPro-Norm"/>
          <w:color w:val="000000" w:themeColor="text1"/>
          <w:sz w:val="24"/>
          <w:szCs w:val="24"/>
        </w:rPr>
      </w:pPr>
      <w:r w:rsidRPr="00903E93">
        <w:rPr>
          <w:rFonts w:ascii="MetaPro-Norm" w:hAnsi="MetaPro-Norm"/>
          <w:color w:val="000000" w:themeColor="text1"/>
          <w:sz w:val="24"/>
          <w:szCs w:val="24"/>
        </w:rPr>
        <w:t>Adopt and fully implement the standards of the Voluntary Principles on Security and Human Rights, a multi-stakeholder initiative by governments, major multinational extractive companies, and NGOs that seek to address the risk of human rights abuses arising from security arrangements in the oil, gas and mining industries.</w:t>
      </w:r>
    </w:p>
    <w:p w14:paraId="3D4F5630" w14:textId="77777777" w:rsidR="0093413A" w:rsidRPr="00903E93" w:rsidRDefault="0093413A" w:rsidP="00B8245C">
      <w:pPr>
        <w:pStyle w:val="ListParagraph"/>
        <w:spacing w:line="276" w:lineRule="auto"/>
        <w:rPr>
          <w:rFonts w:ascii="MetaPro-Norm" w:hAnsi="MetaPro-Norm"/>
          <w:color w:val="000000" w:themeColor="text1"/>
          <w:sz w:val="24"/>
          <w:szCs w:val="24"/>
        </w:rPr>
      </w:pPr>
    </w:p>
    <w:p w14:paraId="595F0A6B" w14:textId="787F9C25" w:rsidR="0093413A" w:rsidRPr="00DA3C79" w:rsidRDefault="0093413A" w:rsidP="00DA3C79">
      <w:pPr>
        <w:pStyle w:val="ListParagraph"/>
        <w:numPr>
          <w:ilvl w:val="0"/>
          <w:numId w:val="7"/>
        </w:numPr>
        <w:spacing w:line="276" w:lineRule="auto"/>
        <w:rPr>
          <w:rFonts w:ascii="MetaPro-Norm" w:hAnsi="MetaPro-Norm"/>
          <w:b/>
          <w:bCs/>
          <w:color w:val="000000" w:themeColor="text1"/>
          <w:sz w:val="24"/>
          <w:szCs w:val="24"/>
        </w:rPr>
      </w:pPr>
      <w:r w:rsidRPr="00DA3C79">
        <w:rPr>
          <w:rFonts w:ascii="MetaPro-Norm" w:hAnsi="MetaPro-Norm"/>
          <w:b/>
          <w:bCs/>
          <w:color w:val="000000" w:themeColor="text1"/>
          <w:sz w:val="24"/>
          <w:szCs w:val="24"/>
        </w:rPr>
        <w:t>Forced Evictions</w:t>
      </w:r>
      <w:r w:rsidR="00BF07C6" w:rsidRPr="00DA3C79">
        <w:rPr>
          <w:rFonts w:ascii="MetaPro-Norm" w:hAnsi="MetaPro-Norm"/>
          <w:b/>
          <w:bCs/>
          <w:color w:val="000000" w:themeColor="text1"/>
          <w:sz w:val="24"/>
          <w:szCs w:val="24"/>
        </w:rPr>
        <w:t xml:space="preserve"> (</w:t>
      </w:r>
      <w:r w:rsidR="005970B1">
        <w:rPr>
          <w:rFonts w:ascii="MetaPro-Norm" w:hAnsi="MetaPro-Norm"/>
          <w:b/>
          <w:bCs/>
          <w:color w:val="000000" w:themeColor="text1"/>
          <w:sz w:val="24"/>
          <w:szCs w:val="24"/>
        </w:rPr>
        <w:t>A</w:t>
      </w:r>
      <w:r w:rsidR="00BF07C6" w:rsidRPr="00DA3C79">
        <w:rPr>
          <w:rFonts w:ascii="MetaPro-Norm" w:hAnsi="MetaPro-Norm"/>
          <w:b/>
          <w:bCs/>
          <w:color w:val="000000" w:themeColor="text1"/>
          <w:sz w:val="24"/>
          <w:szCs w:val="24"/>
        </w:rPr>
        <w:t xml:space="preserve">rticle </w:t>
      </w:r>
      <w:r w:rsidR="00C451B6" w:rsidRPr="00DA3C79">
        <w:rPr>
          <w:rFonts w:ascii="MetaPro-Norm" w:hAnsi="MetaPro-Norm"/>
          <w:b/>
          <w:bCs/>
          <w:color w:val="000000" w:themeColor="text1"/>
          <w:sz w:val="24"/>
          <w:szCs w:val="24"/>
        </w:rPr>
        <w:t>11</w:t>
      </w:r>
      <w:r w:rsidR="00BF07C6" w:rsidRPr="00DA3C79">
        <w:rPr>
          <w:rFonts w:ascii="MetaPro-Norm" w:hAnsi="MetaPro-Norm"/>
          <w:b/>
          <w:bCs/>
          <w:color w:val="000000" w:themeColor="text1"/>
          <w:sz w:val="24"/>
          <w:szCs w:val="24"/>
        </w:rPr>
        <w:t>)</w:t>
      </w:r>
    </w:p>
    <w:p w14:paraId="0DE7A11D" w14:textId="43581682" w:rsidR="0093413A" w:rsidRPr="00903E93" w:rsidRDefault="0093413A" w:rsidP="00DA3C79">
      <w:pPr>
        <w:spacing w:line="276" w:lineRule="auto"/>
        <w:jc w:val="both"/>
        <w:rPr>
          <w:rFonts w:ascii="MetaPro-Norm" w:hAnsi="MetaPro-Norm"/>
          <w:color w:val="000000" w:themeColor="text1"/>
          <w:sz w:val="24"/>
          <w:szCs w:val="24"/>
        </w:rPr>
      </w:pPr>
      <w:r w:rsidRPr="00903E93">
        <w:rPr>
          <w:rFonts w:ascii="MetaPro-Norm" w:hAnsi="MetaPro-Norm"/>
          <w:color w:val="000000" w:themeColor="text1"/>
          <w:sz w:val="24"/>
          <w:szCs w:val="24"/>
        </w:rPr>
        <w:t xml:space="preserve">Between February and May 2019, the Guinean government forcibly evicted more than 20,000 people from </w:t>
      </w:r>
      <w:proofErr w:type="spellStart"/>
      <w:r w:rsidRPr="00903E93">
        <w:rPr>
          <w:rFonts w:ascii="MetaPro-Norm" w:hAnsi="MetaPro-Norm"/>
          <w:color w:val="000000" w:themeColor="text1"/>
          <w:sz w:val="24"/>
          <w:szCs w:val="24"/>
        </w:rPr>
        <w:t>neighborhoods</w:t>
      </w:r>
      <w:proofErr w:type="spellEnd"/>
      <w:r w:rsidRPr="00903E93">
        <w:rPr>
          <w:rFonts w:ascii="MetaPro-Norm" w:hAnsi="MetaPro-Norm"/>
          <w:color w:val="000000" w:themeColor="text1"/>
          <w:sz w:val="24"/>
          <w:szCs w:val="24"/>
        </w:rPr>
        <w:t xml:space="preserve"> in Conakry in order to provide land for government </w:t>
      </w:r>
      <w:r w:rsidRPr="00903E93">
        <w:rPr>
          <w:rFonts w:ascii="MetaPro-Norm" w:hAnsi="MetaPro-Norm"/>
          <w:color w:val="000000" w:themeColor="text1"/>
          <w:sz w:val="24"/>
          <w:szCs w:val="24"/>
        </w:rPr>
        <w:lastRenderedPageBreak/>
        <w:t>ministries, foreign embassies, businesses, and other public works.</w:t>
      </w:r>
      <w:r w:rsidR="009A59A5">
        <w:rPr>
          <w:rStyle w:val="FootnoteReference"/>
          <w:rFonts w:ascii="MetaPro-Norm" w:hAnsi="MetaPro-Norm"/>
          <w:color w:val="000000" w:themeColor="text1"/>
          <w:sz w:val="24"/>
          <w:szCs w:val="24"/>
        </w:rPr>
        <w:footnoteReference w:id="8"/>
      </w:r>
      <w:r w:rsidRPr="00903E93">
        <w:rPr>
          <w:rFonts w:ascii="MetaPro-Norm" w:hAnsi="MetaPro-Norm"/>
          <w:color w:val="000000" w:themeColor="text1"/>
          <w:sz w:val="24"/>
          <w:szCs w:val="24"/>
        </w:rPr>
        <w:t xml:space="preserve"> The government provided inadequate notice to the majority of those evicted and no alternative housing for demolished homes.</w:t>
      </w:r>
    </w:p>
    <w:p w14:paraId="0A1C9DB2" w14:textId="77777777" w:rsidR="0093413A" w:rsidRPr="00903E93" w:rsidRDefault="0093413A" w:rsidP="00DA3C79">
      <w:pPr>
        <w:spacing w:line="276" w:lineRule="auto"/>
        <w:jc w:val="both"/>
        <w:rPr>
          <w:rFonts w:ascii="MetaPro-Norm" w:hAnsi="MetaPro-Norm"/>
          <w:color w:val="000000" w:themeColor="text1"/>
          <w:sz w:val="24"/>
          <w:szCs w:val="24"/>
        </w:rPr>
      </w:pPr>
    </w:p>
    <w:p w14:paraId="0DB14F92" w14:textId="3DC256D2" w:rsidR="0067229D" w:rsidRDefault="0093413A" w:rsidP="00DA3C79">
      <w:pPr>
        <w:spacing w:line="276" w:lineRule="auto"/>
        <w:jc w:val="both"/>
        <w:rPr>
          <w:rFonts w:ascii="MetaPro-Norm" w:hAnsi="MetaPro-Norm"/>
          <w:color w:val="000000" w:themeColor="text1"/>
          <w:sz w:val="24"/>
          <w:szCs w:val="24"/>
        </w:rPr>
      </w:pPr>
      <w:r w:rsidRPr="00903E93">
        <w:rPr>
          <w:rFonts w:ascii="MetaPro-Norm" w:hAnsi="MetaPro-Norm"/>
          <w:color w:val="000000" w:themeColor="text1"/>
          <w:sz w:val="24"/>
          <w:szCs w:val="24"/>
        </w:rPr>
        <w:t>Although the government maintains that the evicted areas were state land, many people said that they had documentary proof that their families had decades-old property rights over the land.</w:t>
      </w:r>
      <w:r w:rsidR="00233D08">
        <w:rPr>
          <w:rStyle w:val="FootnoteReference"/>
          <w:rFonts w:ascii="MetaPro-Norm" w:hAnsi="MetaPro-Norm"/>
          <w:color w:val="000000" w:themeColor="text1"/>
          <w:sz w:val="24"/>
          <w:szCs w:val="24"/>
        </w:rPr>
        <w:footnoteReference w:id="9"/>
      </w:r>
      <w:r w:rsidRPr="00903E93">
        <w:rPr>
          <w:rFonts w:ascii="MetaPro-Norm" w:hAnsi="MetaPro-Norm"/>
          <w:color w:val="000000" w:themeColor="text1"/>
          <w:sz w:val="24"/>
          <w:szCs w:val="24"/>
        </w:rPr>
        <w:t xml:space="preserve"> The government did not investigate the property claims of those affected before demolishing homes and</w:t>
      </w:r>
      <w:r w:rsidR="00D35094">
        <w:rPr>
          <w:rFonts w:ascii="MetaPro-Norm" w:hAnsi="MetaPro-Norm"/>
          <w:color w:val="000000" w:themeColor="text1"/>
          <w:sz w:val="24"/>
          <w:szCs w:val="24"/>
        </w:rPr>
        <w:t xml:space="preserve"> </w:t>
      </w:r>
      <w:r w:rsidRPr="00903E93">
        <w:rPr>
          <w:rFonts w:ascii="MetaPro-Norm" w:hAnsi="MetaPro-Norm"/>
          <w:color w:val="000000" w:themeColor="text1"/>
          <w:sz w:val="24"/>
          <w:szCs w:val="24"/>
        </w:rPr>
        <w:t>has provided virtually no compensation or humanitarian assistance to those evicted.</w:t>
      </w:r>
      <w:r w:rsidR="00494328">
        <w:rPr>
          <w:rStyle w:val="FootnoteReference"/>
          <w:rFonts w:ascii="MetaPro-Norm" w:hAnsi="MetaPro-Norm"/>
          <w:color w:val="000000" w:themeColor="text1"/>
          <w:sz w:val="24"/>
          <w:szCs w:val="24"/>
        </w:rPr>
        <w:footnoteReference w:id="10"/>
      </w:r>
    </w:p>
    <w:p w14:paraId="7385B89F" w14:textId="2910DA5F" w:rsidR="0093413A" w:rsidRPr="00903E93" w:rsidRDefault="0093413A" w:rsidP="00B8245C">
      <w:pPr>
        <w:spacing w:line="276" w:lineRule="auto"/>
        <w:rPr>
          <w:rFonts w:ascii="MetaPro-Norm" w:hAnsi="MetaPro-Norm"/>
          <w:color w:val="000000" w:themeColor="text1"/>
          <w:sz w:val="24"/>
          <w:szCs w:val="24"/>
        </w:rPr>
      </w:pPr>
    </w:p>
    <w:p w14:paraId="1DCB3BCA" w14:textId="52963C37" w:rsidR="0093413A" w:rsidRPr="005970B1" w:rsidRDefault="0093413A" w:rsidP="00B8245C">
      <w:pPr>
        <w:spacing w:line="276" w:lineRule="auto"/>
        <w:rPr>
          <w:rFonts w:ascii="MetaPro-Norm" w:hAnsi="MetaPro-Norm"/>
          <w:i/>
          <w:iCs/>
          <w:color w:val="000000" w:themeColor="text1"/>
          <w:sz w:val="24"/>
          <w:szCs w:val="24"/>
        </w:rPr>
      </w:pPr>
      <w:r w:rsidRPr="00903E93">
        <w:rPr>
          <w:rFonts w:ascii="MetaPro-Norm" w:hAnsi="MetaPro-Norm"/>
          <w:i/>
          <w:iCs/>
          <w:color w:val="000000" w:themeColor="text1"/>
          <w:sz w:val="24"/>
          <w:szCs w:val="24"/>
        </w:rPr>
        <w:t xml:space="preserve">Human Rights Watch recommends that </w:t>
      </w:r>
      <w:r w:rsidR="00D35094" w:rsidRPr="00903E93">
        <w:rPr>
          <w:rFonts w:ascii="MetaPro-Norm" w:hAnsi="MetaPro-Norm"/>
          <w:i/>
          <w:iCs/>
          <w:color w:val="000000" w:themeColor="text1"/>
          <w:sz w:val="24"/>
          <w:szCs w:val="24"/>
        </w:rPr>
        <w:t xml:space="preserve">the Committee </w:t>
      </w:r>
      <w:r w:rsidRPr="00903E93">
        <w:rPr>
          <w:rFonts w:ascii="MetaPro-Norm" w:hAnsi="MetaPro-Norm"/>
          <w:i/>
          <w:iCs/>
          <w:color w:val="000000" w:themeColor="text1"/>
          <w:sz w:val="24"/>
          <w:szCs w:val="24"/>
        </w:rPr>
        <w:t>call upon the government of Guinea to:</w:t>
      </w:r>
    </w:p>
    <w:p w14:paraId="231C057B" w14:textId="0E798D64" w:rsidR="0093413A" w:rsidRPr="00903E93" w:rsidRDefault="0093413A" w:rsidP="00DA3C79">
      <w:pPr>
        <w:pStyle w:val="ListParagraph"/>
        <w:numPr>
          <w:ilvl w:val="0"/>
          <w:numId w:val="4"/>
        </w:numPr>
        <w:spacing w:line="276" w:lineRule="auto"/>
        <w:jc w:val="both"/>
        <w:rPr>
          <w:rFonts w:ascii="MetaPro-Norm" w:hAnsi="MetaPro-Norm"/>
          <w:color w:val="000000" w:themeColor="text1"/>
          <w:sz w:val="24"/>
          <w:szCs w:val="24"/>
        </w:rPr>
      </w:pPr>
      <w:r w:rsidRPr="00903E93">
        <w:rPr>
          <w:rFonts w:ascii="MetaPro-Norm" w:hAnsi="MetaPro-Norm"/>
          <w:color w:val="000000" w:themeColor="text1"/>
          <w:sz w:val="24"/>
          <w:szCs w:val="24"/>
        </w:rPr>
        <w:t>Halt any further evictions until it can guarantee respect for the rights of residents, including adequate notice, compensation</w:t>
      </w:r>
      <w:r w:rsidR="00761FC7">
        <w:rPr>
          <w:rFonts w:ascii="MetaPro-Norm" w:hAnsi="MetaPro-Norm"/>
          <w:color w:val="000000" w:themeColor="text1"/>
          <w:sz w:val="24"/>
          <w:szCs w:val="24"/>
        </w:rPr>
        <w:t>,</w:t>
      </w:r>
      <w:r w:rsidRPr="00903E93">
        <w:rPr>
          <w:rFonts w:ascii="MetaPro-Norm" w:hAnsi="MetaPro-Norm"/>
          <w:color w:val="000000" w:themeColor="text1"/>
          <w:sz w:val="24"/>
          <w:szCs w:val="24"/>
        </w:rPr>
        <w:t xml:space="preserve"> and resettlement prior to evictions;</w:t>
      </w:r>
    </w:p>
    <w:p w14:paraId="2F4D97D7" w14:textId="77777777" w:rsidR="0093413A" w:rsidRPr="00903E93" w:rsidRDefault="0093413A" w:rsidP="00DA3C79">
      <w:pPr>
        <w:pStyle w:val="ListParagraph"/>
        <w:numPr>
          <w:ilvl w:val="0"/>
          <w:numId w:val="4"/>
        </w:numPr>
        <w:spacing w:line="276" w:lineRule="auto"/>
        <w:jc w:val="both"/>
        <w:rPr>
          <w:rFonts w:ascii="MetaPro-Norm" w:hAnsi="MetaPro-Norm"/>
          <w:color w:val="000000" w:themeColor="text1"/>
          <w:sz w:val="24"/>
          <w:szCs w:val="24"/>
        </w:rPr>
      </w:pPr>
      <w:r w:rsidRPr="00903E93">
        <w:rPr>
          <w:rFonts w:ascii="MetaPro-Norm" w:hAnsi="MetaPro-Norm"/>
          <w:color w:val="000000" w:themeColor="text1"/>
          <w:sz w:val="24"/>
          <w:szCs w:val="24"/>
        </w:rPr>
        <w:t xml:space="preserve">Take immediate steps to </w:t>
      </w:r>
      <w:proofErr w:type="gramStart"/>
      <w:r w:rsidRPr="00903E93">
        <w:rPr>
          <w:rFonts w:ascii="MetaPro-Norm" w:hAnsi="MetaPro-Norm"/>
          <w:color w:val="000000" w:themeColor="text1"/>
          <w:sz w:val="24"/>
          <w:szCs w:val="24"/>
        </w:rPr>
        <w:t>provide assistance</w:t>
      </w:r>
      <w:proofErr w:type="gramEnd"/>
      <w:r w:rsidRPr="00903E93">
        <w:rPr>
          <w:rFonts w:ascii="MetaPro-Norm" w:hAnsi="MetaPro-Norm"/>
          <w:color w:val="000000" w:themeColor="text1"/>
          <w:sz w:val="24"/>
          <w:szCs w:val="24"/>
        </w:rPr>
        <w:t>, including alternative accommodation and other remedies, to those affected by forced evictions;</w:t>
      </w:r>
    </w:p>
    <w:p w14:paraId="568EA1F0" w14:textId="2CA7F37A" w:rsidR="004D6DC2" w:rsidRDefault="0093413A" w:rsidP="00DA3C79">
      <w:pPr>
        <w:pStyle w:val="ListParagraph"/>
        <w:numPr>
          <w:ilvl w:val="0"/>
          <w:numId w:val="4"/>
        </w:numPr>
        <w:spacing w:line="276" w:lineRule="auto"/>
        <w:jc w:val="both"/>
        <w:rPr>
          <w:rFonts w:ascii="MetaPro-Norm" w:hAnsi="MetaPro-Norm"/>
          <w:color w:val="000000" w:themeColor="text1"/>
          <w:sz w:val="24"/>
          <w:szCs w:val="24"/>
        </w:rPr>
      </w:pPr>
      <w:r w:rsidRPr="00903E93">
        <w:rPr>
          <w:rFonts w:ascii="MetaPro-Norm" w:hAnsi="MetaPro-Norm"/>
          <w:color w:val="000000" w:themeColor="text1"/>
          <w:sz w:val="24"/>
          <w:szCs w:val="24"/>
        </w:rPr>
        <w:t>Provide adequate compensation to all individuals forcibly evicted who have not received such compensation.</w:t>
      </w:r>
    </w:p>
    <w:p w14:paraId="423452AE" w14:textId="77777777" w:rsidR="00F933E6" w:rsidRPr="00F933E6" w:rsidRDefault="00F933E6" w:rsidP="00F933E6">
      <w:pPr>
        <w:spacing w:line="276" w:lineRule="auto"/>
        <w:ind w:left="360"/>
        <w:rPr>
          <w:rFonts w:ascii="MetaPro-Norm" w:hAnsi="MetaPro-Norm"/>
          <w:color w:val="000000" w:themeColor="text1"/>
          <w:sz w:val="24"/>
          <w:szCs w:val="24"/>
        </w:rPr>
      </w:pPr>
    </w:p>
    <w:p w14:paraId="728E7E5F" w14:textId="6890DEB9" w:rsidR="004E65D3" w:rsidRPr="00DA3C79" w:rsidRDefault="004E65D3" w:rsidP="00B8245C">
      <w:pPr>
        <w:spacing w:line="276" w:lineRule="auto"/>
        <w:rPr>
          <w:rFonts w:ascii="MetaPro-Norm" w:hAnsi="MetaPro-Norm"/>
          <w:b/>
          <w:bCs/>
          <w:color w:val="000000" w:themeColor="text1"/>
          <w:sz w:val="24"/>
          <w:szCs w:val="24"/>
        </w:rPr>
      </w:pPr>
      <w:r w:rsidRPr="00DA3C79">
        <w:rPr>
          <w:rFonts w:ascii="MetaPro-Norm" w:hAnsi="MetaPro-Norm"/>
          <w:b/>
          <w:bCs/>
          <w:color w:val="000000" w:themeColor="text1"/>
          <w:sz w:val="24"/>
          <w:szCs w:val="24"/>
        </w:rPr>
        <w:t xml:space="preserve">The Safe Schools Declaration </w:t>
      </w:r>
      <w:r w:rsidR="00EF6D14" w:rsidRPr="00DA3C79">
        <w:rPr>
          <w:rFonts w:ascii="MetaPro-Norm" w:hAnsi="MetaPro-Norm"/>
          <w:b/>
          <w:bCs/>
          <w:color w:val="000000" w:themeColor="text1"/>
          <w:sz w:val="24"/>
          <w:szCs w:val="24"/>
        </w:rPr>
        <w:t>(</w:t>
      </w:r>
      <w:r w:rsidR="005970B1">
        <w:rPr>
          <w:rFonts w:ascii="MetaPro-Norm" w:hAnsi="MetaPro-Norm"/>
          <w:b/>
          <w:bCs/>
          <w:color w:val="000000" w:themeColor="text1"/>
          <w:sz w:val="24"/>
          <w:szCs w:val="24"/>
        </w:rPr>
        <w:t>A</w:t>
      </w:r>
      <w:r w:rsidR="00EF6D14" w:rsidRPr="00DA3C79">
        <w:rPr>
          <w:rFonts w:ascii="MetaPro-Norm" w:hAnsi="MetaPro-Norm"/>
          <w:b/>
          <w:bCs/>
          <w:color w:val="000000" w:themeColor="text1"/>
          <w:sz w:val="24"/>
          <w:szCs w:val="24"/>
        </w:rPr>
        <w:t>rticle 13)</w:t>
      </w:r>
      <w:r w:rsidRPr="00DA3C79">
        <w:rPr>
          <w:rFonts w:ascii="MetaPro-Norm" w:hAnsi="MetaPro-Norm"/>
          <w:b/>
          <w:bCs/>
          <w:color w:val="000000" w:themeColor="text1"/>
          <w:sz w:val="24"/>
          <w:szCs w:val="24"/>
        </w:rPr>
        <w:t xml:space="preserve"> </w:t>
      </w:r>
    </w:p>
    <w:p w14:paraId="7F22DE46" w14:textId="77777777" w:rsidR="004E65D3" w:rsidRDefault="004E65D3" w:rsidP="00DA3C79">
      <w:pPr>
        <w:spacing w:line="276" w:lineRule="auto"/>
        <w:jc w:val="both"/>
        <w:rPr>
          <w:rFonts w:ascii="MetaPro-Norm" w:hAnsi="MetaPro-Norm"/>
          <w:color w:val="000000" w:themeColor="text1"/>
          <w:sz w:val="24"/>
          <w:szCs w:val="24"/>
          <w:shd w:val="clear" w:color="auto" w:fill="FFFFFF"/>
        </w:rPr>
      </w:pPr>
      <w:r w:rsidRPr="00903E93">
        <w:rPr>
          <w:rFonts w:ascii="MetaPro-Norm" w:hAnsi="MetaPro-Norm"/>
          <w:color w:val="000000" w:themeColor="text1"/>
          <w:sz w:val="24"/>
          <w:szCs w:val="24"/>
          <w:shd w:val="clear" w:color="auto" w:fill="FFFFFF"/>
        </w:rPr>
        <w:t>The Safe Schools Declaration is an inter-governmental political commitment that provides countries the opportunity to express political support for the protection of students, teachers, and schools during times of armed conflict;</w:t>
      </w:r>
      <w:r w:rsidRPr="00903E93">
        <w:rPr>
          <w:rStyle w:val="FootnoteReference"/>
          <w:rFonts w:ascii="MetaPro-Norm" w:hAnsi="MetaPro-Norm"/>
          <w:color w:val="000000" w:themeColor="text1"/>
          <w:sz w:val="24"/>
          <w:szCs w:val="24"/>
          <w:shd w:val="clear" w:color="auto" w:fill="FFFFFF"/>
        </w:rPr>
        <w:footnoteReference w:id="11"/>
      </w:r>
      <w:r w:rsidRPr="00903E93">
        <w:rPr>
          <w:rFonts w:ascii="MetaPro-Norm" w:hAnsi="MetaPro-Norm"/>
          <w:color w:val="000000" w:themeColor="text1"/>
          <w:sz w:val="24"/>
          <w:szCs w:val="24"/>
          <w:shd w:val="clear" w:color="auto" w:fill="FFFFFF"/>
        </w:rPr>
        <w:t> the importance of the continuation of education during armed conflict; and the implementation of the </w:t>
      </w:r>
      <w:r w:rsidRPr="00903E93">
        <w:rPr>
          <w:rStyle w:val="Emphasis"/>
          <w:rFonts w:ascii="MetaPro-Norm" w:hAnsi="MetaPro-Norm"/>
          <w:color w:val="000000" w:themeColor="text1"/>
          <w:sz w:val="24"/>
          <w:szCs w:val="24"/>
          <w:shd w:val="clear" w:color="auto" w:fill="FFFFFF"/>
        </w:rPr>
        <w:t xml:space="preserve">Guidelines for Protecting Schools and Universities from Military Use during Armed </w:t>
      </w:r>
      <w:r w:rsidRPr="00903E93">
        <w:rPr>
          <w:rStyle w:val="Emphasis"/>
          <w:rFonts w:ascii="MetaPro-Norm" w:hAnsi="MetaPro-Norm"/>
          <w:color w:val="000000" w:themeColor="text1"/>
          <w:sz w:val="24"/>
          <w:szCs w:val="24"/>
          <w:shd w:val="clear" w:color="auto" w:fill="FFFFFF"/>
        </w:rPr>
        <w:lastRenderedPageBreak/>
        <w:t>Conflict.</w:t>
      </w:r>
      <w:r w:rsidRPr="00903E93">
        <w:rPr>
          <w:rStyle w:val="FootnoteReference"/>
          <w:rFonts w:ascii="MetaPro-Norm" w:hAnsi="MetaPro-Norm"/>
          <w:i/>
          <w:iCs/>
          <w:color w:val="000000" w:themeColor="text1"/>
          <w:sz w:val="24"/>
          <w:szCs w:val="24"/>
          <w:shd w:val="clear" w:color="auto" w:fill="FFFFFF"/>
        </w:rPr>
        <w:footnoteReference w:id="12"/>
      </w:r>
      <w:r w:rsidRPr="00903E93">
        <w:rPr>
          <w:rFonts w:ascii="MetaPro-Norm" w:hAnsi="MetaPro-Norm"/>
          <w:color w:val="000000" w:themeColor="text1"/>
          <w:sz w:val="24"/>
          <w:szCs w:val="24"/>
          <w:shd w:val="clear" w:color="auto" w:fill="FFFFFF"/>
        </w:rPr>
        <w:t xml:space="preserve"> As of </w:t>
      </w:r>
      <w:r>
        <w:rPr>
          <w:rFonts w:ascii="MetaPro-Norm" w:hAnsi="MetaPro-Norm"/>
          <w:color w:val="000000" w:themeColor="text1"/>
          <w:sz w:val="24"/>
          <w:szCs w:val="24"/>
          <w:shd w:val="clear" w:color="auto" w:fill="FFFFFF"/>
        </w:rPr>
        <w:t>January</w:t>
      </w:r>
      <w:r w:rsidRPr="00903E93">
        <w:rPr>
          <w:rFonts w:ascii="MetaPro-Norm" w:hAnsi="MetaPro-Norm"/>
          <w:color w:val="000000" w:themeColor="text1"/>
          <w:sz w:val="24"/>
          <w:szCs w:val="24"/>
          <w:shd w:val="clear" w:color="auto" w:fill="FFFFFF"/>
        </w:rPr>
        <w:t xml:space="preserve"> 20</w:t>
      </w:r>
      <w:r>
        <w:rPr>
          <w:rFonts w:ascii="MetaPro-Norm" w:hAnsi="MetaPro-Norm"/>
          <w:color w:val="000000" w:themeColor="text1"/>
          <w:sz w:val="24"/>
          <w:szCs w:val="24"/>
          <w:shd w:val="clear" w:color="auto" w:fill="FFFFFF"/>
        </w:rPr>
        <w:t>20</w:t>
      </w:r>
      <w:r w:rsidRPr="00903E93">
        <w:rPr>
          <w:rFonts w:ascii="MetaPro-Norm" w:hAnsi="MetaPro-Norm"/>
          <w:color w:val="000000" w:themeColor="text1"/>
          <w:sz w:val="24"/>
          <w:szCs w:val="24"/>
          <w:shd w:val="clear" w:color="auto" w:fill="FFFFFF"/>
        </w:rPr>
        <w:t>, 101 countries have endorsed the Safe Schools Declaration, including 2</w:t>
      </w:r>
      <w:r>
        <w:rPr>
          <w:rFonts w:ascii="MetaPro-Norm" w:hAnsi="MetaPro-Norm"/>
          <w:color w:val="000000" w:themeColor="text1"/>
          <w:sz w:val="24"/>
          <w:szCs w:val="24"/>
          <w:shd w:val="clear" w:color="auto" w:fill="FFFFFF"/>
        </w:rPr>
        <w:t>7</w:t>
      </w:r>
      <w:r w:rsidRPr="00903E93">
        <w:rPr>
          <w:rFonts w:ascii="MetaPro-Norm" w:hAnsi="MetaPro-Norm"/>
          <w:color w:val="000000" w:themeColor="text1"/>
          <w:sz w:val="24"/>
          <w:szCs w:val="24"/>
          <w:shd w:val="clear" w:color="auto" w:fill="FFFFFF"/>
        </w:rPr>
        <w:t xml:space="preserve"> of Guinea’s fellow African Union members. </w:t>
      </w:r>
    </w:p>
    <w:p w14:paraId="77B6292C" w14:textId="77777777" w:rsidR="004E65D3" w:rsidRDefault="004E65D3" w:rsidP="00DA3C79">
      <w:pPr>
        <w:spacing w:line="276" w:lineRule="auto"/>
        <w:jc w:val="both"/>
        <w:rPr>
          <w:rFonts w:ascii="MetaPro-Norm" w:hAnsi="MetaPro-Norm"/>
          <w:color w:val="000000" w:themeColor="text1"/>
          <w:sz w:val="24"/>
          <w:szCs w:val="24"/>
          <w:shd w:val="clear" w:color="auto" w:fill="FFFFFF"/>
        </w:rPr>
      </w:pPr>
    </w:p>
    <w:p w14:paraId="22568608" w14:textId="77777777" w:rsidR="004E65D3" w:rsidRPr="00903E93" w:rsidRDefault="004E65D3" w:rsidP="00DA3C79">
      <w:pPr>
        <w:spacing w:line="276" w:lineRule="auto"/>
        <w:jc w:val="both"/>
        <w:rPr>
          <w:rFonts w:ascii="MetaPro-Norm" w:hAnsi="MetaPro-Norm"/>
          <w:color w:val="000000" w:themeColor="text1"/>
          <w:sz w:val="24"/>
          <w:szCs w:val="24"/>
        </w:rPr>
      </w:pPr>
      <w:r>
        <w:rPr>
          <w:rFonts w:ascii="MetaPro-Norm" w:hAnsi="MetaPro-Norm"/>
          <w:color w:val="000000" w:themeColor="text1"/>
          <w:sz w:val="24"/>
          <w:szCs w:val="24"/>
          <w:shd w:val="clear" w:color="auto" w:fill="FFFFFF"/>
        </w:rPr>
        <w:t>In November 2019, t</w:t>
      </w:r>
      <w:r w:rsidRPr="00B00244">
        <w:rPr>
          <w:rFonts w:ascii="MetaPro-Norm" w:hAnsi="MetaPro-Norm"/>
          <w:color w:val="000000" w:themeColor="text1"/>
          <w:sz w:val="24"/>
          <w:szCs w:val="24"/>
          <w:shd w:val="clear" w:color="auto" w:fill="FFFFFF"/>
        </w:rPr>
        <w:t xml:space="preserve">he African Committee of Experts </w:t>
      </w:r>
      <w:r>
        <w:rPr>
          <w:rFonts w:ascii="MetaPro-Norm" w:hAnsi="MetaPro-Norm"/>
          <w:color w:val="000000" w:themeColor="text1"/>
          <w:sz w:val="24"/>
          <w:szCs w:val="24"/>
          <w:shd w:val="clear" w:color="auto" w:fill="FFFFFF"/>
        </w:rPr>
        <w:t xml:space="preserve">on the Rights and Welfare of the Child </w:t>
      </w:r>
      <w:r w:rsidRPr="00B00244">
        <w:rPr>
          <w:rFonts w:ascii="MetaPro-Norm" w:hAnsi="MetaPro-Norm"/>
          <w:color w:val="000000" w:themeColor="text1"/>
          <w:sz w:val="24"/>
          <w:szCs w:val="24"/>
          <w:shd w:val="clear" w:color="auto" w:fill="FFFFFF"/>
        </w:rPr>
        <w:t>urged all A</w:t>
      </w:r>
      <w:r>
        <w:rPr>
          <w:rFonts w:ascii="MetaPro-Norm" w:hAnsi="MetaPro-Norm"/>
          <w:color w:val="000000" w:themeColor="text1"/>
          <w:sz w:val="24"/>
          <w:szCs w:val="24"/>
          <w:shd w:val="clear" w:color="auto" w:fill="FFFFFF"/>
        </w:rPr>
        <w:t xml:space="preserve">frican Union </w:t>
      </w:r>
      <w:r w:rsidRPr="00B00244">
        <w:rPr>
          <w:rFonts w:ascii="MetaPro-Norm" w:hAnsi="MetaPro-Norm"/>
          <w:color w:val="000000" w:themeColor="text1"/>
          <w:sz w:val="24"/>
          <w:szCs w:val="24"/>
          <w:shd w:val="clear" w:color="auto" w:fill="FFFFFF"/>
        </w:rPr>
        <w:t>member states to endorse the Safe</w:t>
      </w:r>
      <w:r>
        <w:rPr>
          <w:rFonts w:ascii="MetaPro-Norm" w:hAnsi="MetaPro-Norm"/>
          <w:color w:val="000000" w:themeColor="text1"/>
          <w:sz w:val="24"/>
          <w:szCs w:val="24"/>
          <w:shd w:val="clear" w:color="auto" w:fill="FFFFFF"/>
        </w:rPr>
        <w:t xml:space="preserve"> </w:t>
      </w:r>
      <w:r w:rsidRPr="00B00244">
        <w:rPr>
          <w:rFonts w:ascii="MetaPro-Norm" w:hAnsi="MetaPro-Norm"/>
          <w:color w:val="000000" w:themeColor="text1"/>
          <w:sz w:val="24"/>
          <w:szCs w:val="24"/>
          <w:shd w:val="clear" w:color="auto" w:fill="FFFFFF"/>
        </w:rPr>
        <w:t>Schools</w:t>
      </w:r>
      <w:r>
        <w:rPr>
          <w:rFonts w:ascii="MetaPro-Norm" w:hAnsi="MetaPro-Norm"/>
          <w:color w:val="000000" w:themeColor="text1"/>
          <w:sz w:val="24"/>
          <w:szCs w:val="24"/>
          <w:shd w:val="clear" w:color="auto" w:fill="FFFFFF"/>
        </w:rPr>
        <w:t xml:space="preserve"> </w:t>
      </w:r>
      <w:r w:rsidRPr="00B00244">
        <w:rPr>
          <w:rFonts w:ascii="MetaPro-Norm" w:hAnsi="MetaPro-Norm"/>
          <w:color w:val="000000" w:themeColor="text1"/>
          <w:sz w:val="24"/>
          <w:szCs w:val="24"/>
          <w:shd w:val="clear" w:color="auto" w:fill="FFFFFF"/>
        </w:rPr>
        <w:t xml:space="preserve">Declaration, </w:t>
      </w:r>
      <w:r>
        <w:rPr>
          <w:rFonts w:ascii="MetaPro-Norm" w:hAnsi="MetaPro-Norm"/>
          <w:color w:val="000000" w:themeColor="text1"/>
          <w:sz w:val="24"/>
          <w:szCs w:val="24"/>
          <w:shd w:val="clear" w:color="auto" w:fill="FFFFFF"/>
        </w:rPr>
        <w:t>“</w:t>
      </w:r>
      <w:r w:rsidRPr="00B00244">
        <w:rPr>
          <w:rFonts w:ascii="MetaPro-Norm" w:hAnsi="MetaPro-Norm"/>
          <w:color w:val="000000" w:themeColor="text1"/>
          <w:sz w:val="24"/>
          <w:szCs w:val="24"/>
          <w:shd w:val="clear" w:color="auto" w:fill="FFFFFF"/>
        </w:rPr>
        <w:t>realizing the dangers that the military use of schools poses</w:t>
      </w:r>
      <w:r>
        <w:rPr>
          <w:rFonts w:ascii="MetaPro-Norm" w:hAnsi="MetaPro-Norm"/>
          <w:color w:val="000000" w:themeColor="text1"/>
          <w:sz w:val="24"/>
          <w:szCs w:val="24"/>
          <w:shd w:val="clear" w:color="auto" w:fill="FFFFFF"/>
        </w:rPr>
        <w:t>.”</w:t>
      </w:r>
      <w:r>
        <w:rPr>
          <w:rStyle w:val="FootnoteReference"/>
          <w:rFonts w:ascii="MetaPro-Norm" w:hAnsi="MetaPro-Norm"/>
          <w:color w:val="000000" w:themeColor="text1"/>
          <w:sz w:val="24"/>
          <w:szCs w:val="24"/>
          <w:shd w:val="clear" w:color="auto" w:fill="FFFFFF"/>
        </w:rPr>
        <w:footnoteReference w:id="13"/>
      </w:r>
      <w:r>
        <w:rPr>
          <w:rFonts w:ascii="MetaPro-Norm" w:hAnsi="MetaPro-Norm"/>
          <w:color w:val="000000" w:themeColor="text1"/>
          <w:sz w:val="24"/>
          <w:szCs w:val="24"/>
          <w:shd w:val="clear" w:color="auto" w:fill="FFFFFF"/>
        </w:rPr>
        <w:t xml:space="preserve"> The African Union’s Peace and Security Council has also repeatedly urged all African Union member states to endorse the declaration.</w:t>
      </w:r>
      <w:r>
        <w:rPr>
          <w:rStyle w:val="FootnoteReference"/>
          <w:rFonts w:ascii="MetaPro-Norm" w:hAnsi="MetaPro-Norm"/>
          <w:color w:val="000000" w:themeColor="text1"/>
          <w:sz w:val="24"/>
          <w:szCs w:val="24"/>
          <w:shd w:val="clear" w:color="auto" w:fill="FFFFFF"/>
        </w:rPr>
        <w:footnoteReference w:id="14"/>
      </w:r>
      <w:r>
        <w:rPr>
          <w:rFonts w:ascii="MetaPro-Norm" w:hAnsi="MetaPro-Norm"/>
          <w:color w:val="000000" w:themeColor="text1"/>
          <w:sz w:val="24"/>
          <w:szCs w:val="24"/>
          <w:shd w:val="clear" w:color="auto" w:fill="FFFFFF"/>
        </w:rPr>
        <w:t xml:space="preserve"> </w:t>
      </w:r>
      <w:r w:rsidRPr="00903E93">
        <w:rPr>
          <w:rFonts w:ascii="MetaPro-Norm" w:hAnsi="MetaPro-Norm"/>
          <w:color w:val="000000" w:themeColor="text1"/>
          <w:sz w:val="24"/>
          <w:szCs w:val="24"/>
          <w:shd w:val="clear" w:color="auto" w:fill="FFFFFF"/>
        </w:rPr>
        <w:t>Guinea</w:t>
      </w:r>
      <w:r>
        <w:rPr>
          <w:rFonts w:ascii="MetaPro-Norm" w:hAnsi="MetaPro-Norm"/>
          <w:color w:val="000000" w:themeColor="text1"/>
          <w:sz w:val="24"/>
          <w:szCs w:val="24"/>
          <w:shd w:val="clear" w:color="auto" w:fill="FFFFFF"/>
        </w:rPr>
        <w:t>, however,</w:t>
      </w:r>
      <w:r w:rsidRPr="00903E93">
        <w:rPr>
          <w:rFonts w:ascii="MetaPro-Norm" w:hAnsi="MetaPro-Norm"/>
          <w:color w:val="000000" w:themeColor="text1"/>
          <w:sz w:val="24"/>
          <w:szCs w:val="24"/>
          <w:shd w:val="clear" w:color="auto" w:fill="FFFFFF"/>
        </w:rPr>
        <w:t xml:space="preserve"> has yet to endorse this important declaration.</w:t>
      </w:r>
      <w:r w:rsidRPr="00903E93">
        <w:rPr>
          <w:rStyle w:val="FootnoteReference"/>
          <w:rFonts w:ascii="MetaPro-Norm" w:hAnsi="MetaPro-Norm"/>
          <w:color w:val="000000" w:themeColor="text1"/>
          <w:sz w:val="24"/>
          <w:szCs w:val="24"/>
          <w:shd w:val="clear" w:color="auto" w:fill="FFFFFF"/>
        </w:rPr>
        <w:footnoteReference w:id="15"/>
      </w:r>
      <w:r w:rsidRPr="00903E93">
        <w:rPr>
          <w:rFonts w:ascii="MetaPro-Norm" w:hAnsi="MetaPro-Norm"/>
          <w:color w:val="000000" w:themeColor="text1"/>
          <w:sz w:val="24"/>
          <w:szCs w:val="24"/>
        </w:rPr>
        <w:t xml:space="preserve"> </w:t>
      </w:r>
    </w:p>
    <w:p w14:paraId="6C609CEC" w14:textId="77777777" w:rsidR="004E65D3" w:rsidRPr="00903E93" w:rsidRDefault="004E65D3" w:rsidP="00B8245C">
      <w:pPr>
        <w:spacing w:line="276" w:lineRule="auto"/>
        <w:rPr>
          <w:rFonts w:ascii="MetaPro-Norm" w:hAnsi="MetaPro-Norm"/>
          <w:color w:val="000000" w:themeColor="text1"/>
          <w:sz w:val="24"/>
          <w:szCs w:val="24"/>
        </w:rPr>
      </w:pPr>
    </w:p>
    <w:p w14:paraId="5170F688" w14:textId="18BD49C2" w:rsidR="004E65D3" w:rsidRPr="00903E93" w:rsidRDefault="004E65D3" w:rsidP="00B8245C">
      <w:pPr>
        <w:spacing w:line="276" w:lineRule="auto"/>
        <w:rPr>
          <w:rFonts w:ascii="MetaPro-Norm" w:hAnsi="MetaPro-Norm"/>
          <w:i/>
          <w:iCs/>
          <w:color w:val="000000" w:themeColor="text1"/>
          <w:sz w:val="24"/>
          <w:szCs w:val="24"/>
        </w:rPr>
      </w:pPr>
      <w:r w:rsidRPr="00903E93">
        <w:rPr>
          <w:rFonts w:ascii="MetaPro-Norm" w:hAnsi="MetaPro-Norm"/>
          <w:i/>
          <w:iCs/>
          <w:color w:val="000000" w:themeColor="text1"/>
          <w:sz w:val="24"/>
          <w:szCs w:val="24"/>
        </w:rPr>
        <w:t xml:space="preserve">Human Rights Watch recommends that the Committee </w:t>
      </w:r>
      <w:r w:rsidR="00E13916">
        <w:rPr>
          <w:rFonts w:ascii="MetaPro-Norm" w:hAnsi="MetaPro-Norm"/>
          <w:i/>
          <w:iCs/>
          <w:color w:val="000000" w:themeColor="text1"/>
          <w:sz w:val="24"/>
          <w:szCs w:val="24"/>
        </w:rPr>
        <w:t>pose</w:t>
      </w:r>
      <w:r w:rsidR="00E13916" w:rsidRPr="00903E93">
        <w:rPr>
          <w:rFonts w:ascii="MetaPro-Norm" w:hAnsi="MetaPro-Norm"/>
          <w:i/>
          <w:iCs/>
          <w:color w:val="000000" w:themeColor="text1"/>
          <w:sz w:val="24"/>
          <w:szCs w:val="24"/>
        </w:rPr>
        <w:t xml:space="preserve"> </w:t>
      </w:r>
      <w:r w:rsidRPr="00903E93">
        <w:rPr>
          <w:rFonts w:ascii="MetaPro-Norm" w:hAnsi="MetaPro-Norm"/>
          <w:i/>
          <w:iCs/>
          <w:color w:val="000000" w:themeColor="text1"/>
          <w:sz w:val="24"/>
          <w:szCs w:val="24"/>
        </w:rPr>
        <w:t xml:space="preserve">the </w:t>
      </w:r>
      <w:r w:rsidR="00E13916">
        <w:rPr>
          <w:rFonts w:ascii="MetaPro-Norm" w:hAnsi="MetaPro-Norm"/>
          <w:i/>
          <w:iCs/>
          <w:color w:val="000000" w:themeColor="text1"/>
          <w:sz w:val="24"/>
          <w:szCs w:val="24"/>
        </w:rPr>
        <w:t xml:space="preserve">following questions to the </w:t>
      </w:r>
      <w:r w:rsidRPr="00903E93">
        <w:rPr>
          <w:rFonts w:ascii="MetaPro-Norm" w:hAnsi="MetaPro-Norm"/>
          <w:i/>
          <w:iCs/>
          <w:color w:val="000000" w:themeColor="text1"/>
          <w:sz w:val="24"/>
          <w:szCs w:val="24"/>
        </w:rPr>
        <w:t>government of Guinea:</w:t>
      </w:r>
    </w:p>
    <w:p w14:paraId="75AE8F5A" w14:textId="77777777" w:rsidR="004E65D3" w:rsidRPr="00903E93" w:rsidRDefault="004E65D3" w:rsidP="00DA3C79">
      <w:pPr>
        <w:pStyle w:val="ListParagraph"/>
        <w:numPr>
          <w:ilvl w:val="0"/>
          <w:numId w:val="5"/>
        </w:numPr>
        <w:spacing w:line="276" w:lineRule="auto"/>
        <w:jc w:val="both"/>
        <w:rPr>
          <w:rFonts w:ascii="MetaPro-Norm" w:hAnsi="MetaPro-Norm"/>
          <w:color w:val="000000" w:themeColor="text1"/>
          <w:sz w:val="24"/>
          <w:szCs w:val="24"/>
        </w:rPr>
      </w:pPr>
      <w:r w:rsidRPr="00903E93">
        <w:rPr>
          <w:rFonts w:ascii="MetaPro-Norm" w:hAnsi="MetaPro-Norm"/>
          <w:color w:val="000000" w:themeColor="text1"/>
          <w:sz w:val="24"/>
          <w:szCs w:val="24"/>
        </w:rPr>
        <w:t>Are protections for schools from military use included in the pre-deployment training provided to Guinean troops participating in peacekeeping missions?</w:t>
      </w:r>
    </w:p>
    <w:p w14:paraId="44BE68A1" w14:textId="77777777" w:rsidR="004E65D3" w:rsidRPr="00903E93" w:rsidRDefault="004E65D3" w:rsidP="00DA3C79">
      <w:pPr>
        <w:pStyle w:val="ListParagraph"/>
        <w:numPr>
          <w:ilvl w:val="0"/>
          <w:numId w:val="5"/>
        </w:numPr>
        <w:spacing w:line="276" w:lineRule="auto"/>
        <w:jc w:val="both"/>
        <w:rPr>
          <w:rFonts w:ascii="MetaPro-Norm" w:hAnsi="MetaPro-Norm"/>
          <w:color w:val="000000" w:themeColor="text1"/>
          <w:sz w:val="24"/>
          <w:szCs w:val="24"/>
        </w:rPr>
      </w:pPr>
      <w:r w:rsidRPr="00903E93">
        <w:rPr>
          <w:rFonts w:ascii="MetaPro-Norm" w:hAnsi="MetaPro-Norm"/>
          <w:color w:val="000000" w:themeColor="text1"/>
          <w:sz w:val="24"/>
          <w:szCs w:val="24"/>
        </w:rPr>
        <w:t>Do any Guinean laws, policies, or trainings provide explicit protection for schools and universities from military use during armed conflict?</w:t>
      </w:r>
    </w:p>
    <w:p w14:paraId="57C0C8EB" w14:textId="77777777" w:rsidR="004E65D3" w:rsidRPr="00903E93" w:rsidRDefault="004E65D3" w:rsidP="00B8245C">
      <w:pPr>
        <w:spacing w:line="276" w:lineRule="auto"/>
        <w:rPr>
          <w:rFonts w:ascii="MetaPro-Norm" w:hAnsi="MetaPro-Norm"/>
          <w:color w:val="000000" w:themeColor="text1"/>
          <w:sz w:val="24"/>
          <w:szCs w:val="24"/>
        </w:rPr>
      </w:pPr>
    </w:p>
    <w:p w14:paraId="19E8D6CF" w14:textId="30C35631" w:rsidR="004E65D3" w:rsidRPr="00903E93" w:rsidRDefault="004E65D3" w:rsidP="00B8245C">
      <w:pPr>
        <w:spacing w:line="276" w:lineRule="auto"/>
        <w:rPr>
          <w:rFonts w:ascii="MetaPro-Norm" w:hAnsi="MetaPro-Norm"/>
          <w:i/>
          <w:iCs/>
          <w:color w:val="000000" w:themeColor="text1"/>
          <w:sz w:val="24"/>
          <w:szCs w:val="24"/>
        </w:rPr>
      </w:pPr>
      <w:r w:rsidRPr="00903E93">
        <w:rPr>
          <w:rFonts w:ascii="MetaPro-Norm" w:hAnsi="MetaPro-Norm"/>
          <w:i/>
          <w:iCs/>
          <w:color w:val="000000" w:themeColor="text1"/>
          <w:sz w:val="24"/>
          <w:szCs w:val="24"/>
        </w:rPr>
        <w:t xml:space="preserve">Human Rights Watch recommends that </w:t>
      </w:r>
      <w:r w:rsidRPr="00D35094">
        <w:rPr>
          <w:rFonts w:ascii="MetaPro-Norm" w:hAnsi="MetaPro-Norm"/>
          <w:i/>
          <w:iCs/>
          <w:color w:val="000000" w:themeColor="text1"/>
          <w:sz w:val="24"/>
          <w:szCs w:val="24"/>
        </w:rPr>
        <w:t xml:space="preserve">the Committee </w:t>
      </w:r>
      <w:r w:rsidRPr="00903E93">
        <w:rPr>
          <w:rFonts w:ascii="MetaPro-Norm" w:hAnsi="MetaPro-Norm"/>
          <w:i/>
          <w:iCs/>
          <w:color w:val="000000" w:themeColor="text1"/>
          <w:sz w:val="24"/>
          <w:szCs w:val="24"/>
        </w:rPr>
        <w:t>call upon the government of Guinea to:</w:t>
      </w:r>
    </w:p>
    <w:p w14:paraId="38905245" w14:textId="6D1A5550" w:rsidR="00EF6D14" w:rsidRPr="00DB519C" w:rsidRDefault="004E65D3" w:rsidP="00DA3C79">
      <w:pPr>
        <w:pStyle w:val="ListParagraph"/>
        <w:numPr>
          <w:ilvl w:val="0"/>
          <w:numId w:val="6"/>
        </w:numPr>
        <w:spacing w:line="276" w:lineRule="auto"/>
        <w:jc w:val="both"/>
        <w:rPr>
          <w:rFonts w:ascii="MetaPro-Norm" w:hAnsi="MetaPro-Norm"/>
          <w:color w:val="000000" w:themeColor="text1"/>
          <w:sz w:val="24"/>
          <w:szCs w:val="24"/>
        </w:rPr>
      </w:pPr>
      <w:r w:rsidRPr="00903E93">
        <w:rPr>
          <w:rFonts w:ascii="MetaPro-Norm" w:hAnsi="MetaPro-Norm"/>
          <w:color w:val="000000" w:themeColor="text1"/>
          <w:sz w:val="24"/>
          <w:szCs w:val="24"/>
        </w:rPr>
        <w:t>Endorse the Safe Schools Declaration and take concrete measures to deter the military use of schools</w:t>
      </w:r>
      <w:r w:rsidRPr="00DB519C">
        <w:rPr>
          <w:rFonts w:ascii="MetaPro-Norm" w:hAnsi="MetaPro-Norm"/>
          <w:color w:val="000000" w:themeColor="text1"/>
          <w:sz w:val="24"/>
          <w:szCs w:val="24"/>
        </w:rPr>
        <w:t xml:space="preserve">, including those in </w:t>
      </w:r>
      <w:r w:rsidR="00DB519C" w:rsidRPr="00DB519C">
        <w:rPr>
          <w:rFonts w:ascii="MetaPro-Norm" w:hAnsi="MetaPro-Norm"/>
          <w:color w:val="000000" w:themeColor="text1"/>
          <w:sz w:val="24"/>
          <w:szCs w:val="24"/>
        </w:rPr>
        <w:t>peacekeeping</w:t>
      </w:r>
      <w:r w:rsidRPr="00DB519C">
        <w:rPr>
          <w:rFonts w:ascii="MetaPro-Norm" w:hAnsi="MetaPro-Norm"/>
          <w:color w:val="000000" w:themeColor="text1"/>
          <w:sz w:val="24"/>
          <w:szCs w:val="24"/>
        </w:rPr>
        <w:t xml:space="preserve"> operations</w:t>
      </w:r>
      <w:r w:rsidR="00E13916">
        <w:rPr>
          <w:rFonts w:ascii="MetaPro-Norm" w:hAnsi="MetaPro-Norm"/>
          <w:color w:val="000000" w:themeColor="text1"/>
          <w:sz w:val="24"/>
          <w:szCs w:val="24"/>
        </w:rPr>
        <w:t>,</w:t>
      </w:r>
      <w:r w:rsidRPr="00DB519C">
        <w:rPr>
          <w:rFonts w:ascii="MetaPro-Norm" w:hAnsi="MetaPro-Norm"/>
          <w:color w:val="000000" w:themeColor="text1"/>
          <w:sz w:val="24"/>
          <w:szCs w:val="24"/>
        </w:rPr>
        <w:t xml:space="preserve"> some of which Guinea is supporting,</w:t>
      </w:r>
      <w:bookmarkStart w:id="1" w:name="_GoBack"/>
      <w:r w:rsidR="00E13916">
        <w:rPr>
          <w:rFonts w:ascii="MetaPro-Norm" w:hAnsi="MetaPro-Norm"/>
          <w:color w:val="000000" w:themeColor="text1"/>
          <w:sz w:val="24"/>
          <w:szCs w:val="24"/>
        </w:rPr>
        <w:t xml:space="preserve"> and</w:t>
      </w:r>
      <w:bookmarkEnd w:id="1"/>
      <w:r w:rsidRPr="00DB519C">
        <w:rPr>
          <w:rFonts w:ascii="MetaPro-Norm" w:hAnsi="MetaPro-Norm"/>
          <w:color w:val="000000" w:themeColor="text1"/>
          <w:sz w:val="24"/>
          <w:szCs w:val="24"/>
        </w:rPr>
        <w:t xml:space="preserve"> including</w:t>
      </w:r>
      <w:r w:rsidRPr="00903E93">
        <w:rPr>
          <w:rFonts w:ascii="MetaPro-Norm" w:hAnsi="MetaPro-Norm"/>
          <w:color w:val="000000" w:themeColor="text1"/>
          <w:sz w:val="24"/>
          <w:szCs w:val="24"/>
        </w:rPr>
        <w:t xml:space="preserve"> by bringing the </w:t>
      </w:r>
      <w:r w:rsidRPr="00C451B6">
        <w:rPr>
          <w:rFonts w:ascii="MetaPro-Norm" w:hAnsi="MetaPro-Norm"/>
          <w:i/>
          <w:iCs/>
          <w:color w:val="000000" w:themeColor="text1"/>
          <w:sz w:val="24"/>
          <w:szCs w:val="24"/>
        </w:rPr>
        <w:t xml:space="preserve">Guidelines for </w:t>
      </w:r>
      <w:r w:rsidRPr="00C451B6">
        <w:rPr>
          <w:rFonts w:ascii="MetaPro-Norm" w:hAnsi="MetaPro-Norm"/>
          <w:i/>
          <w:iCs/>
          <w:color w:val="000000" w:themeColor="text1"/>
          <w:sz w:val="24"/>
          <w:szCs w:val="24"/>
        </w:rPr>
        <w:lastRenderedPageBreak/>
        <w:t>Protecting Schools and Universities from Military Use during Armed Conflict</w:t>
      </w:r>
      <w:r w:rsidRPr="00903E93">
        <w:rPr>
          <w:rFonts w:ascii="MetaPro-Norm" w:hAnsi="MetaPro-Norm"/>
          <w:color w:val="000000" w:themeColor="text1"/>
          <w:sz w:val="24"/>
          <w:szCs w:val="24"/>
        </w:rPr>
        <w:t xml:space="preserve"> into domestic military policy and operational frameworks.</w:t>
      </w:r>
    </w:p>
    <w:sectPr w:rsidR="00EF6D14" w:rsidRPr="00DB519C">
      <w:foot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EBE89AD" w14:textId="77777777" w:rsidR="00131336" w:rsidRDefault="00131336" w:rsidP="00B24007">
      <w:r>
        <w:separator/>
      </w:r>
    </w:p>
  </w:endnote>
  <w:endnote w:type="continuationSeparator" w:id="0">
    <w:p w14:paraId="711D3C90" w14:textId="77777777" w:rsidR="00131336" w:rsidRDefault="00131336" w:rsidP="00B2400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MetaPro-Norm">
    <w:panose1 w:val="020B0504030101020102"/>
    <w:charset w:val="00"/>
    <w:family w:val="swiss"/>
    <w:notTrueType/>
    <w:pitch w:val="variable"/>
    <w:sig w:usb0="A00002FF" w:usb1="4000207B"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459679684"/>
      <w:docPartObj>
        <w:docPartGallery w:val="Page Numbers (Bottom of Page)"/>
        <w:docPartUnique/>
      </w:docPartObj>
    </w:sdtPr>
    <w:sdtEndPr>
      <w:rPr>
        <w:noProof/>
      </w:rPr>
    </w:sdtEndPr>
    <w:sdtContent>
      <w:p w14:paraId="0C0320FD" w14:textId="1D034F16" w:rsidR="004877E8" w:rsidRDefault="004877E8">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275C972" w14:textId="77777777" w:rsidR="004877E8" w:rsidRDefault="004877E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49897C4" w14:textId="77777777" w:rsidR="00131336" w:rsidRDefault="00131336" w:rsidP="00B24007">
      <w:r>
        <w:separator/>
      </w:r>
    </w:p>
  </w:footnote>
  <w:footnote w:type="continuationSeparator" w:id="0">
    <w:p w14:paraId="6C04C611" w14:textId="77777777" w:rsidR="00131336" w:rsidRDefault="00131336" w:rsidP="00B24007">
      <w:r>
        <w:continuationSeparator/>
      </w:r>
    </w:p>
  </w:footnote>
  <w:footnote w:id="1">
    <w:p w14:paraId="43226D06" w14:textId="5984E8F4" w:rsidR="006348B0" w:rsidRPr="00E33546" w:rsidRDefault="006348B0" w:rsidP="00E33546">
      <w:pPr>
        <w:pStyle w:val="FootnoteText"/>
      </w:pPr>
      <w:r>
        <w:rPr>
          <w:rStyle w:val="FootnoteReference"/>
        </w:rPr>
        <w:footnoteRef/>
      </w:r>
      <w:r>
        <w:t xml:space="preserve"> </w:t>
      </w:r>
      <w:r w:rsidR="00E33546">
        <w:t>Ministry of Mines and Geology, “Bauxite: Become a Leader in Global Production,” (Undated) http://mines.gov.gn/ressources/bauxite/ (accessed May 22, 2018).</w:t>
      </w:r>
    </w:p>
  </w:footnote>
  <w:footnote w:id="2">
    <w:p w14:paraId="21BFDAF3" w14:textId="5AE9C848" w:rsidR="00E33546" w:rsidRPr="00E33546" w:rsidRDefault="00E33546" w:rsidP="00E33546">
      <w:pPr>
        <w:pStyle w:val="FootnoteText"/>
      </w:pPr>
      <w:r>
        <w:rPr>
          <w:rStyle w:val="FootnoteReference"/>
        </w:rPr>
        <w:footnoteRef/>
      </w:r>
      <w:r>
        <w:t xml:space="preserve"> “China </w:t>
      </w:r>
      <w:proofErr w:type="spellStart"/>
      <w:r>
        <w:t>Aluminum</w:t>
      </w:r>
      <w:proofErr w:type="spellEnd"/>
      <w:r>
        <w:t xml:space="preserve"> Capacity Cuts Boost Market Leader, Prices,” Reuters, August 3, 2017, https://www.reuters.com/article/us-china-metals-aluminium/china-aluminum-capacity-cuts-boost-market-leaders-prices-idUSKBN1AJ0QO (accessed March 20, 2018); “Chinese bauxite imports in February down by 13.4% MOM,” Asian Metal, March 27, 2018.</w:t>
      </w:r>
    </w:p>
  </w:footnote>
  <w:footnote w:id="3">
    <w:p w14:paraId="5EAB145A" w14:textId="0B776385" w:rsidR="00F90AC4" w:rsidRPr="00F90AC4" w:rsidRDefault="00F90AC4" w:rsidP="00A369BA">
      <w:pPr>
        <w:pStyle w:val="FootnoteText"/>
      </w:pPr>
      <w:r>
        <w:rPr>
          <w:rStyle w:val="FootnoteReference"/>
        </w:rPr>
        <w:footnoteRef/>
      </w:r>
      <w:r>
        <w:t xml:space="preserve"> </w:t>
      </w:r>
      <w:r w:rsidR="00A369BA">
        <w:t xml:space="preserve">Human Rights Watch, “’What Do We Get Out of It?’: The Human Rights Impact of Bauxite Mining in Guinea,” October 2018, </w:t>
      </w:r>
      <w:r w:rsidR="000A3051" w:rsidRPr="000A3051">
        <w:t>https://www.hrw.org/report/2018/10/04/what-do-we-get-out-it/human-rights-impact-bauxite-mining-guinea</w:t>
      </w:r>
      <w:r w:rsidR="000A3051">
        <w:t xml:space="preserve"> (accessed January 1, 2020)</w:t>
      </w:r>
      <w:r w:rsidR="00F933E6">
        <w:t>.</w:t>
      </w:r>
    </w:p>
  </w:footnote>
  <w:footnote w:id="4">
    <w:p w14:paraId="600127B5" w14:textId="01B1F948" w:rsidR="00F90AC4" w:rsidRPr="00F90AC4" w:rsidRDefault="00F90AC4" w:rsidP="00F90AC4">
      <w:pPr>
        <w:pStyle w:val="FootnoteText"/>
      </w:pPr>
      <w:r>
        <w:rPr>
          <w:rStyle w:val="FootnoteReference"/>
        </w:rPr>
        <w:footnoteRef/>
      </w:r>
      <w:r>
        <w:t xml:space="preserve"> </w:t>
      </w:r>
      <w:proofErr w:type="spellStart"/>
      <w:r>
        <w:t>Αristeidis</w:t>
      </w:r>
      <w:proofErr w:type="spellEnd"/>
      <w:r>
        <w:t xml:space="preserve"> </w:t>
      </w:r>
      <w:proofErr w:type="spellStart"/>
      <w:r>
        <w:t>Mertzanis</w:t>
      </w:r>
      <w:proofErr w:type="spellEnd"/>
      <w:r>
        <w:t xml:space="preserve">, "The opencast bauxite mining in N.E. </w:t>
      </w:r>
      <w:proofErr w:type="spellStart"/>
      <w:r>
        <w:t>Ghiona</w:t>
      </w:r>
      <w:proofErr w:type="spellEnd"/>
      <w:r>
        <w:t xml:space="preserve">: </w:t>
      </w:r>
      <w:proofErr w:type="spellStart"/>
      <w:r>
        <w:t>Ecoenvironmental</w:t>
      </w:r>
      <w:proofErr w:type="spellEnd"/>
      <w:r>
        <w:t xml:space="preserve"> impacts and geomorphological changes (Central Greece)," Journal of Geography and Regional Planning, vol. 5 (2011), pp. 21-35; Noor Hisham Abdullah et. al, “Potential Health Impacts of Bauxite Mining in Kuantan,” The Malaysian Journal of Medical Sciences, vol. 23 (2016), pp. 1-8. https://www.ncbi.nlm.nih.gov/pmc/articles/PMC4934713/ (accessed March 26, 2018); Metro Mining Ltd, "Bauxite Hills Project: Initial Advice Statement," October 2015, https://www.ehp.qld.gov.au/management/impact-assessment/eisprocesses/documents/bauxite-hills-ias.pdf (accessed March 26, 2018), pp. 3-58.</w:t>
      </w:r>
    </w:p>
  </w:footnote>
  <w:footnote w:id="5">
    <w:p w14:paraId="6F2929E5" w14:textId="614A7805" w:rsidR="00F90AC4" w:rsidRPr="00F90AC4" w:rsidRDefault="00F90AC4" w:rsidP="00F90AC4">
      <w:pPr>
        <w:pStyle w:val="FootnoteText"/>
      </w:pPr>
      <w:r>
        <w:rPr>
          <w:rStyle w:val="FootnoteReference"/>
        </w:rPr>
        <w:footnoteRef/>
      </w:r>
      <w:r>
        <w:t xml:space="preserve">  “Tackling the global clean air challenge,” World Health Organization press release, accessed July 21, 2017, http://www.who.int/mediacentre/news/releases/2011/air_pollution_20110926/en/. World Health Organization, “Health Effects of Particulate Matter,” 2013, http://www.euro.who.int/__data/assets/pdf_file/0006/189051/Health-effects-of-particulatematter-final-Eng.pdf (accessed July 21, 2017), p. 6.</w:t>
      </w:r>
    </w:p>
  </w:footnote>
  <w:footnote w:id="6">
    <w:p w14:paraId="5AA03074" w14:textId="05CD84AD" w:rsidR="002C423F" w:rsidRPr="002C423F" w:rsidRDefault="002C423F">
      <w:pPr>
        <w:pStyle w:val="FootnoteText"/>
      </w:pPr>
      <w:r>
        <w:rPr>
          <w:rStyle w:val="FootnoteReference"/>
        </w:rPr>
        <w:footnoteRef/>
      </w:r>
      <w:r>
        <w:t xml:space="preserve"> At least two other dams are </w:t>
      </w:r>
      <w:r>
        <w:rPr>
          <w:color w:val="313131"/>
          <w:shd w:val="clear" w:color="auto" w:fill="FFFFFF"/>
        </w:rPr>
        <w:t xml:space="preserve">under construction – the 300 megawatt </w:t>
      </w:r>
      <w:proofErr w:type="spellStart"/>
      <w:r>
        <w:rPr>
          <w:color w:val="313131"/>
          <w:shd w:val="clear" w:color="auto" w:fill="FFFFFF"/>
        </w:rPr>
        <w:t>Amaria</w:t>
      </w:r>
      <w:proofErr w:type="spellEnd"/>
      <w:r>
        <w:rPr>
          <w:color w:val="313131"/>
          <w:shd w:val="clear" w:color="auto" w:fill="FFFFFF"/>
        </w:rPr>
        <w:t xml:space="preserve"> dam and the 300 MW </w:t>
      </w:r>
      <w:proofErr w:type="spellStart"/>
      <w:r>
        <w:rPr>
          <w:color w:val="313131"/>
          <w:shd w:val="clear" w:color="auto" w:fill="FFFFFF"/>
        </w:rPr>
        <w:t>Koukoutamba</w:t>
      </w:r>
      <w:proofErr w:type="spellEnd"/>
      <w:r>
        <w:rPr>
          <w:color w:val="313131"/>
          <w:shd w:val="clear" w:color="auto" w:fill="FFFFFF"/>
        </w:rPr>
        <w:t xml:space="preserve"> dam. </w:t>
      </w:r>
      <w:r w:rsidRPr="006515C5">
        <w:rPr>
          <w:lang w:val="fr-CD"/>
        </w:rPr>
        <w:t xml:space="preserve">“Présidence – Energie : La convention de concession du barrage </w:t>
      </w:r>
      <w:proofErr w:type="spellStart"/>
      <w:r w:rsidRPr="006515C5">
        <w:rPr>
          <w:lang w:val="fr-CD"/>
        </w:rPr>
        <w:t>Amaria</w:t>
      </w:r>
      <w:proofErr w:type="spellEnd"/>
      <w:r w:rsidRPr="006515C5">
        <w:rPr>
          <w:lang w:val="fr-CD"/>
        </w:rPr>
        <w:t xml:space="preserve"> signée," </w:t>
      </w:r>
      <w:r w:rsidRPr="006515C5">
        <w:rPr>
          <w:i/>
          <w:iCs/>
          <w:lang w:val="fr-CD"/>
        </w:rPr>
        <w:t xml:space="preserve">Guinée News, </w:t>
      </w:r>
      <w:r w:rsidRPr="006515C5">
        <w:rPr>
          <w:lang w:val="fr-CD"/>
        </w:rPr>
        <w:t>May 2, 2019, https://www.guineenews.org/presidence-energie-la-convention-de-concession-du-barrage-amaria-signee/ (</w:t>
      </w:r>
      <w:proofErr w:type="spellStart"/>
      <w:r w:rsidRPr="006515C5">
        <w:rPr>
          <w:lang w:val="fr-CD"/>
        </w:rPr>
        <w:t>accessed</w:t>
      </w:r>
      <w:proofErr w:type="spellEnd"/>
      <w:r w:rsidRPr="006515C5">
        <w:rPr>
          <w:lang w:val="fr-CD"/>
        </w:rPr>
        <w:t xml:space="preserve"> </w:t>
      </w:r>
      <w:proofErr w:type="spellStart"/>
      <w:r w:rsidRPr="006515C5">
        <w:rPr>
          <w:lang w:val="fr-CD"/>
        </w:rPr>
        <w:t>January</w:t>
      </w:r>
      <w:proofErr w:type="spellEnd"/>
      <w:r w:rsidRPr="006515C5">
        <w:rPr>
          <w:lang w:val="fr-CD"/>
        </w:rPr>
        <w:t xml:space="preserve"> 5, 2020). </w:t>
      </w:r>
      <w:r>
        <w:t>“</w:t>
      </w:r>
      <w:proofErr w:type="spellStart"/>
      <w:r w:rsidRPr="00416B7C">
        <w:t>Sinohydro</w:t>
      </w:r>
      <w:proofErr w:type="spellEnd"/>
      <w:r w:rsidRPr="00416B7C">
        <w:t xml:space="preserve"> to build the 294 MW </w:t>
      </w:r>
      <w:proofErr w:type="spellStart"/>
      <w:r w:rsidRPr="00416B7C">
        <w:t>Koukoutamba</w:t>
      </w:r>
      <w:proofErr w:type="spellEnd"/>
      <w:r w:rsidRPr="00416B7C">
        <w:t xml:space="preserve"> dam in Guinea</w:t>
      </w:r>
      <w:r>
        <w:t xml:space="preserve">,” </w:t>
      </w:r>
      <w:r w:rsidRPr="0003094F">
        <w:rPr>
          <w:i/>
          <w:iCs/>
        </w:rPr>
        <w:t>The International Journal on Hydropower &amp; Dams</w:t>
      </w:r>
      <w:r>
        <w:t xml:space="preserve">, March 13, 2019, </w:t>
      </w:r>
      <w:r w:rsidRPr="0003094F">
        <w:t>https://www.hydropower-dams.com/news/sinohydro-to-build-the-294-mw-koukoutamba-dam-in-guinea/</w:t>
      </w:r>
      <w:r>
        <w:t xml:space="preserve"> (accessed January 5, 2020).</w:t>
      </w:r>
    </w:p>
  </w:footnote>
  <w:footnote w:id="7">
    <w:p w14:paraId="067C739E" w14:textId="1AB21E8C" w:rsidR="002C423F" w:rsidRPr="002C423F" w:rsidRDefault="002C423F">
      <w:pPr>
        <w:pStyle w:val="FootnoteText"/>
      </w:pPr>
      <w:r>
        <w:rPr>
          <w:rStyle w:val="FootnoteReference"/>
        </w:rPr>
        <w:footnoteRef/>
      </w:r>
      <w:r>
        <w:t xml:space="preserve"> </w:t>
      </w:r>
      <w:bookmarkStart w:id="0" w:name="_Hlk28864246"/>
      <w:r w:rsidRPr="003F7217">
        <w:t>In 2017, Guinea had a rate of electricity access of about 29 percent</w:t>
      </w:r>
      <w:bookmarkEnd w:id="0"/>
      <w:r w:rsidRPr="003F7217">
        <w:t>, below that year’s average for sub-Sahara Africa of 43 percent.</w:t>
      </w:r>
      <w:r>
        <w:t xml:space="preserve"> </w:t>
      </w:r>
      <w:r w:rsidRPr="002C423F">
        <w:rPr>
          <w:lang w:val="en-US"/>
        </w:rPr>
        <w:t>World Bank (International Development Association), Guinea Electricity Access Scale Up Project Proposal, January 25, 2019,</w:t>
      </w:r>
      <w:r w:rsidR="00F933E6">
        <w:rPr>
          <w:lang w:val="en-US"/>
        </w:rPr>
        <w:t xml:space="preserve"> </w:t>
      </w:r>
      <w:r w:rsidRPr="002C423F">
        <w:rPr>
          <w:lang w:val="en-US"/>
        </w:rPr>
        <w:t>http://documents.worldbank.org/curated/en/869041550631657109/pdf/Guinea-Electricity-Access-Scale-Up-Project.pdf, paras 7-8 (accessed November 18, 2019).</w:t>
      </w:r>
    </w:p>
  </w:footnote>
  <w:footnote w:id="8">
    <w:p w14:paraId="2CC001DA" w14:textId="6B87E0C9" w:rsidR="00B4680F" w:rsidRPr="009A59A5" w:rsidRDefault="009A59A5" w:rsidP="00B4680F">
      <w:pPr>
        <w:pStyle w:val="FootnoteText"/>
      </w:pPr>
      <w:r>
        <w:rPr>
          <w:rStyle w:val="FootnoteReference"/>
        </w:rPr>
        <w:footnoteRef/>
      </w:r>
      <w:r>
        <w:t xml:space="preserve"> </w:t>
      </w:r>
      <w:r w:rsidR="00B4680F">
        <w:t xml:space="preserve">Human Rights Watch, “Guinea: Draconian Forced Evictions: Thousands of Homes Razed in Capital; Residents Denied Aid, Compensation,” </w:t>
      </w:r>
      <w:r w:rsidR="00FA29B2">
        <w:t xml:space="preserve">June 18, 2019, </w:t>
      </w:r>
      <w:r w:rsidR="00FA29B2" w:rsidRPr="00FA29B2">
        <w:t>https://www.hrw.org/news/2019/06/18/guinea-draconian-forced-evictions</w:t>
      </w:r>
    </w:p>
  </w:footnote>
  <w:footnote w:id="9">
    <w:p w14:paraId="23A0384D" w14:textId="14ED3B50" w:rsidR="00233D08" w:rsidRPr="00233D08" w:rsidRDefault="00233D08">
      <w:pPr>
        <w:pStyle w:val="FootnoteText"/>
      </w:pPr>
      <w:r>
        <w:rPr>
          <w:rStyle w:val="FootnoteReference"/>
        </w:rPr>
        <w:footnoteRef/>
      </w:r>
      <w:r>
        <w:t xml:space="preserve"> Ibid.</w:t>
      </w:r>
    </w:p>
  </w:footnote>
  <w:footnote w:id="10">
    <w:p w14:paraId="1E15D22A" w14:textId="65D3FC05" w:rsidR="00494328" w:rsidRPr="00494328" w:rsidRDefault="00494328">
      <w:pPr>
        <w:pStyle w:val="FootnoteText"/>
      </w:pPr>
      <w:r>
        <w:rPr>
          <w:rStyle w:val="FootnoteReference"/>
        </w:rPr>
        <w:footnoteRef/>
      </w:r>
      <w:r>
        <w:t xml:space="preserve"> </w:t>
      </w:r>
      <w:r w:rsidRPr="00494328">
        <w:t>International and African human rights instruments protect individuals and communities, including those with customary land tenure, from arbitrary interference with their rights to property and land.</w:t>
      </w:r>
      <w:r>
        <w:t xml:space="preserve"> </w:t>
      </w:r>
      <w:r w:rsidRPr="00494328">
        <w:t>The UN Basic Principles on Evictions state that, irrespective of whether people hold title to property, they are entitled to compensation for lost land as well as for material damage and loss of earnings.</w:t>
      </w:r>
      <w:r>
        <w:t xml:space="preserve"> See </w:t>
      </w:r>
      <w:r w:rsidRPr="00494328">
        <w:t>UN Human Rights Committee, “Basic Principles and Guidelines on Development-Based Evictions and Displacement,” A/HRC/4/18, p. 13.</w:t>
      </w:r>
    </w:p>
  </w:footnote>
  <w:footnote w:id="11">
    <w:p w14:paraId="623A3915" w14:textId="77777777" w:rsidR="004E65D3" w:rsidRPr="009224C5" w:rsidRDefault="004E65D3" w:rsidP="004E65D3">
      <w:pPr>
        <w:pStyle w:val="FootnoteText"/>
        <w:rPr>
          <w:lang w:val="en-US"/>
        </w:rPr>
      </w:pPr>
      <w:r>
        <w:rPr>
          <w:rStyle w:val="FootnoteReference"/>
        </w:rPr>
        <w:footnoteRef/>
      </w:r>
      <w:r>
        <w:t xml:space="preserve"> </w:t>
      </w:r>
      <w:r w:rsidRPr="009224C5">
        <w:t>Safe Schools Declaration, May 28, 2015, https://www.regjeringen.no/globalassets/departementene/ud/vedlegg/utvikling/safe_schools_declaration.p</w:t>
      </w:r>
      <w:r>
        <w:t>d</w:t>
      </w:r>
      <w:r w:rsidRPr="009224C5">
        <w:t xml:space="preserve">f (accessed </w:t>
      </w:r>
      <w:r>
        <w:t>December 20, 2019</w:t>
      </w:r>
      <w:r w:rsidRPr="009224C5">
        <w:t>).</w:t>
      </w:r>
    </w:p>
  </w:footnote>
  <w:footnote w:id="12">
    <w:p w14:paraId="6EACC9BF" w14:textId="77777777" w:rsidR="004E65D3" w:rsidRPr="009224C5" w:rsidRDefault="004E65D3" w:rsidP="004E65D3">
      <w:pPr>
        <w:pStyle w:val="FootnoteText"/>
        <w:rPr>
          <w:lang w:val="en-US"/>
        </w:rPr>
      </w:pPr>
      <w:r>
        <w:rPr>
          <w:rStyle w:val="FootnoteReference"/>
        </w:rPr>
        <w:footnoteRef/>
      </w:r>
      <w:r>
        <w:t xml:space="preserve"> </w:t>
      </w:r>
      <w:r w:rsidRPr="009224C5">
        <w:t xml:space="preserve">Guidelines for Protecting Schools and Universities from Military Use during Armed Conflict, March 18, 2014, http://protectingeducation.org/sites/default/files/documents/guidelines_en.pdf (accessed </w:t>
      </w:r>
      <w:r>
        <w:t>December 20, 2019</w:t>
      </w:r>
      <w:r w:rsidRPr="009224C5">
        <w:t>).</w:t>
      </w:r>
    </w:p>
  </w:footnote>
  <w:footnote w:id="13">
    <w:p w14:paraId="75C48C89" w14:textId="77777777" w:rsidR="004E65D3" w:rsidRPr="00073987" w:rsidRDefault="004E65D3" w:rsidP="004E65D3">
      <w:pPr>
        <w:pStyle w:val="FootnoteText"/>
      </w:pPr>
      <w:r>
        <w:rPr>
          <w:rStyle w:val="FootnoteReference"/>
        </w:rPr>
        <w:footnoteRef/>
      </w:r>
      <w:r>
        <w:t xml:space="preserve"> African Committee of Experts on the Rights and Welfare of the Child, “Outcome Statement for the Day of General Discussion on Children Affected by Armed Conflict,” November 26, 2019, </w:t>
      </w:r>
      <w:r w:rsidRPr="00073987">
        <w:t>https://www.acerwc.africa/wp-content/uploads/2019/12/Outcome-Statement_-ACERWC-Day-of-General-Discussion_-final.pdf</w:t>
      </w:r>
      <w:r>
        <w:t>.</w:t>
      </w:r>
    </w:p>
  </w:footnote>
  <w:footnote w:id="14">
    <w:p w14:paraId="10505032" w14:textId="77777777" w:rsidR="004E65D3" w:rsidRPr="00073987" w:rsidRDefault="004E65D3" w:rsidP="004E65D3">
      <w:pPr>
        <w:pStyle w:val="FootnoteText"/>
      </w:pPr>
      <w:r>
        <w:rPr>
          <w:rStyle w:val="FootnoteReference"/>
        </w:rPr>
        <w:footnoteRef/>
      </w:r>
      <w:r>
        <w:t xml:space="preserve"> African Union, </w:t>
      </w:r>
      <w:r w:rsidRPr="00073987">
        <w:t>Press Statement on the Peace and Security Council of the African Union’s 597th meeting on May 10, 2016: “Children in Armed Conflicts in Africa with particular focus on protecting schools from attacks during armed conflict</w:t>
      </w:r>
      <w:r>
        <w:t xml:space="preserve">;” </w:t>
      </w:r>
      <w:r w:rsidRPr="00073987">
        <w:t>Press Statement on the Peace and Security Council of the African Union’s 615th meeting on August 9,  2016: “Education of Refugees and Displaced Children in Africa</w:t>
      </w:r>
      <w:r>
        <w:t>;</w:t>
      </w:r>
      <w:r w:rsidRPr="00073987">
        <w:t>”</w:t>
      </w:r>
      <w:r>
        <w:t xml:space="preserve"> </w:t>
      </w:r>
      <w:r w:rsidRPr="00073987">
        <w:t>Press Statement on the Peace and Security Council of the 692nd meeting on June 13, 2017, of the PSC dedicated to an Open Session on the theme: “Ending Child Marriages</w:t>
      </w:r>
      <w:r>
        <w:t>;</w:t>
      </w:r>
      <w:r w:rsidRPr="00073987">
        <w:t>”</w:t>
      </w:r>
      <w:r>
        <w:t xml:space="preserve"> and </w:t>
      </w:r>
      <w:r w:rsidRPr="00073987">
        <w:t>Press Statement on the Peace and Security Council of the 706th meeting on July 26, 2017, of the PSC on the theme: “Child Soldiers/Out of School Children in Armed Conflict in Africa.”</w:t>
      </w:r>
    </w:p>
  </w:footnote>
  <w:footnote w:id="15">
    <w:p w14:paraId="74213B58" w14:textId="77777777" w:rsidR="004E65D3" w:rsidRPr="009224C5" w:rsidRDefault="004E65D3" w:rsidP="004E65D3">
      <w:pPr>
        <w:pStyle w:val="FootnoteText"/>
        <w:rPr>
          <w:lang w:val="en-US"/>
        </w:rPr>
      </w:pPr>
      <w:r>
        <w:rPr>
          <w:rStyle w:val="FootnoteReference"/>
        </w:rPr>
        <w:footnoteRef/>
      </w:r>
      <w:r>
        <w:t xml:space="preserve"> </w:t>
      </w:r>
      <w:r w:rsidRPr="009224C5">
        <w:t>“Safe School</w:t>
      </w:r>
      <w:r>
        <w:t>s</w:t>
      </w:r>
      <w:r w:rsidRPr="009224C5">
        <w:t xml:space="preserve"> Declaration Endorsements,” Global Coalition to Protect Education from Attack, </w:t>
      </w:r>
      <w:r w:rsidRPr="00385150">
        <w:t>http://www.protectingeducation.org/guidelines/support</w:t>
      </w:r>
      <w:r>
        <w:t xml:space="preserve"> (</w:t>
      </w:r>
      <w:r w:rsidRPr="00385150">
        <w:t>accessed June 29, 2019</w:t>
      </w:r>
      <w: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D80391"/>
    <w:multiLevelType w:val="hybridMultilevel"/>
    <w:tmpl w:val="EE56FA2C"/>
    <w:lvl w:ilvl="0" w:tplc="2CB213B4">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C4F6048"/>
    <w:multiLevelType w:val="hybridMultilevel"/>
    <w:tmpl w:val="DB944C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41F78AE"/>
    <w:multiLevelType w:val="hybridMultilevel"/>
    <w:tmpl w:val="1F8EE6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5B705E8"/>
    <w:multiLevelType w:val="hybridMultilevel"/>
    <w:tmpl w:val="77B862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56647C77"/>
    <w:multiLevelType w:val="hybridMultilevel"/>
    <w:tmpl w:val="49E8D3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5B0D51FC"/>
    <w:multiLevelType w:val="hybridMultilevel"/>
    <w:tmpl w:val="3274F2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792D0461"/>
    <w:multiLevelType w:val="hybridMultilevel"/>
    <w:tmpl w:val="8D46207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2"/>
  </w:num>
  <w:num w:numId="3">
    <w:abstractNumId w:val="3"/>
  </w:num>
  <w:num w:numId="4">
    <w:abstractNumId w:val="4"/>
  </w:num>
  <w:num w:numId="5">
    <w:abstractNumId w:val="0"/>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trackRevision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B5142"/>
    <w:rsid w:val="00065FBE"/>
    <w:rsid w:val="00073987"/>
    <w:rsid w:val="000A3051"/>
    <w:rsid w:val="000B4E87"/>
    <w:rsid w:val="000B7A6B"/>
    <w:rsid w:val="000F6DEB"/>
    <w:rsid w:val="00107761"/>
    <w:rsid w:val="00131336"/>
    <w:rsid w:val="00141136"/>
    <w:rsid w:val="00154203"/>
    <w:rsid w:val="00167E82"/>
    <w:rsid w:val="00184490"/>
    <w:rsid w:val="001A1371"/>
    <w:rsid w:val="001B5A7E"/>
    <w:rsid w:val="001C1B8E"/>
    <w:rsid w:val="001D63FC"/>
    <w:rsid w:val="001E7E24"/>
    <w:rsid w:val="00210813"/>
    <w:rsid w:val="00233D08"/>
    <w:rsid w:val="002C423F"/>
    <w:rsid w:val="0033675A"/>
    <w:rsid w:val="003453FB"/>
    <w:rsid w:val="00385150"/>
    <w:rsid w:val="003E06DB"/>
    <w:rsid w:val="00455E62"/>
    <w:rsid w:val="004877E8"/>
    <w:rsid w:val="00494328"/>
    <w:rsid w:val="004C62FE"/>
    <w:rsid w:val="004D61AF"/>
    <w:rsid w:val="004D6DC2"/>
    <w:rsid w:val="004E65D3"/>
    <w:rsid w:val="004F207F"/>
    <w:rsid w:val="00531D54"/>
    <w:rsid w:val="005329B5"/>
    <w:rsid w:val="00573F4D"/>
    <w:rsid w:val="005970B1"/>
    <w:rsid w:val="005A3EC8"/>
    <w:rsid w:val="005D5C3F"/>
    <w:rsid w:val="005D7C2C"/>
    <w:rsid w:val="00612ADD"/>
    <w:rsid w:val="006348B0"/>
    <w:rsid w:val="00646872"/>
    <w:rsid w:val="00646D6A"/>
    <w:rsid w:val="00647072"/>
    <w:rsid w:val="0067229D"/>
    <w:rsid w:val="00675261"/>
    <w:rsid w:val="00697461"/>
    <w:rsid w:val="00725FD7"/>
    <w:rsid w:val="00735E5F"/>
    <w:rsid w:val="00761FC7"/>
    <w:rsid w:val="007B4821"/>
    <w:rsid w:val="007E381A"/>
    <w:rsid w:val="0082728A"/>
    <w:rsid w:val="008430C4"/>
    <w:rsid w:val="00880619"/>
    <w:rsid w:val="00885C7C"/>
    <w:rsid w:val="00903E93"/>
    <w:rsid w:val="00916619"/>
    <w:rsid w:val="009224C5"/>
    <w:rsid w:val="0093413A"/>
    <w:rsid w:val="00976320"/>
    <w:rsid w:val="00982202"/>
    <w:rsid w:val="009905C9"/>
    <w:rsid w:val="009A59A5"/>
    <w:rsid w:val="009C02A0"/>
    <w:rsid w:val="009D0749"/>
    <w:rsid w:val="009D7B98"/>
    <w:rsid w:val="009E7716"/>
    <w:rsid w:val="00A369BA"/>
    <w:rsid w:val="00A67285"/>
    <w:rsid w:val="00A91B49"/>
    <w:rsid w:val="00A97EED"/>
    <w:rsid w:val="00AE389A"/>
    <w:rsid w:val="00B00244"/>
    <w:rsid w:val="00B24007"/>
    <w:rsid w:val="00B43C39"/>
    <w:rsid w:val="00B4680F"/>
    <w:rsid w:val="00B50EF7"/>
    <w:rsid w:val="00B66A23"/>
    <w:rsid w:val="00B8245C"/>
    <w:rsid w:val="00B82CAE"/>
    <w:rsid w:val="00B93E9D"/>
    <w:rsid w:val="00BD01F6"/>
    <w:rsid w:val="00BF07C6"/>
    <w:rsid w:val="00C03FF0"/>
    <w:rsid w:val="00C451B6"/>
    <w:rsid w:val="00C768A2"/>
    <w:rsid w:val="00C84ABE"/>
    <w:rsid w:val="00CA7AD1"/>
    <w:rsid w:val="00CF2526"/>
    <w:rsid w:val="00D06FE9"/>
    <w:rsid w:val="00D13FB9"/>
    <w:rsid w:val="00D32163"/>
    <w:rsid w:val="00D35094"/>
    <w:rsid w:val="00D516AD"/>
    <w:rsid w:val="00D5772D"/>
    <w:rsid w:val="00DA3C79"/>
    <w:rsid w:val="00DB5142"/>
    <w:rsid w:val="00DB519C"/>
    <w:rsid w:val="00DC7054"/>
    <w:rsid w:val="00DE4E82"/>
    <w:rsid w:val="00DF11F3"/>
    <w:rsid w:val="00E13916"/>
    <w:rsid w:val="00E2641B"/>
    <w:rsid w:val="00E31831"/>
    <w:rsid w:val="00E33546"/>
    <w:rsid w:val="00E403BD"/>
    <w:rsid w:val="00E61FE9"/>
    <w:rsid w:val="00EA2E8F"/>
    <w:rsid w:val="00EB5E69"/>
    <w:rsid w:val="00EF6D14"/>
    <w:rsid w:val="00F413D3"/>
    <w:rsid w:val="00F46B97"/>
    <w:rsid w:val="00F659C5"/>
    <w:rsid w:val="00F66624"/>
    <w:rsid w:val="00F90AC4"/>
    <w:rsid w:val="00F933E6"/>
    <w:rsid w:val="00F94574"/>
    <w:rsid w:val="00FA29B2"/>
    <w:rsid w:val="00FC2C56"/>
    <w:rsid w:val="00FE79A9"/>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039078"/>
  <w15:chartTrackingRefBased/>
  <w15:docId w15:val="{78163A77-1BCF-4D1A-A455-EEDCADA90B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DB5142"/>
    <w:pPr>
      <w:spacing w:after="0" w:line="240" w:lineRule="auto"/>
    </w:pPr>
    <w:rPr>
      <w:rFonts w:ascii="Calibri" w:hAnsi="Calibri" w:cs="Calibri"/>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24007"/>
    <w:pPr>
      <w:spacing w:after="160" w:line="259" w:lineRule="auto"/>
      <w:ind w:left="720"/>
      <w:contextualSpacing/>
    </w:pPr>
    <w:rPr>
      <w:rFonts w:asciiTheme="minorHAnsi" w:hAnsiTheme="minorHAnsi" w:cstheme="minorBidi"/>
      <w:lang w:val="en-US" w:eastAsia="en-US"/>
    </w:rPr>
  </w:style>
  <w:style w:type="character" w:styleId="FootnoteReference">
    <w:name w:val="footnote reference"/>
    <w:basedOn w:val="DefaultParagraphFont"/>
    <w:uiPriority w:val="99"/>
    <w:semiHidden/>
    <w:unhideWhenUsed/>
    <w:rsid w:val="00B24007"/>
    <w:rPr>
      <w:vertAlign w:val="superscript"/>
    </w:rPr>
  </w:style>
  <w:style w:type="character" w:styleId="Hyperlink">
    <w:name w:val="Hyperlink"/>
    <w:basedOn w:val="DefaultParagraphFont"/>
    <w:uiPriority w:val="99"/>
    <w:unhideWhenUsed/>
    <w:rsid w:val="00B24007"/>
    <w:rPr>
      <w:color w:val="0563C1" w:themeColor="hyperlink"/>
      <w:u w:val="single"/>
    </w:rPr>
  </w:style>
  <w:style w:type="paragraph" w:styleId="NoSpacing">
    <w:name w:val="No Spacing"/>
    <w:uiPriority w:val="1"/>
    <w:qFormat/>
    <w:rsid w:val="00B24007"/>
    <w:pPr>
      <w:spacing w:after="0" w:line="240" w:lineRule="auto"/>
    </w:pPr>
  </w:style>
  <w:style w:type="paragraph" w:styleId="FootnoteText">
    <w:name w:val="footnote text"/>
    <w:basedOn w:val="Normal"/>
    <w:link w:val="FootnoteTextChar"/>
    <w:uiPriority w:val="99"/>
    <w:unhideWhenUsed/>
    <w:rsid w:val="00B24007"/>
    <w:rPr>
      <w:rFonts w:asciiTheme="minorHAnsi" w:hAnsiTheme="minorHAnsi" w:cstheme="minorBidi"/>
      <w:sz w:val="20"/>
      <w:szCs w:val="20"/>
      <w:lang w:eastAsia="en-US"/>
    </w:rPr>
  </w:style>
  <w:style w:type="character" w:customStyle="1" w:styleId="FootnoteTextChar">
    <w:name w:val="Footnote Text Char"/>
    <w:basedOn w:val="DefaultParagraphFont"/>
    <w:link w:val="FootnoteText"/>
    <w:uiPriority w:val="99"/>
    <w:rsid w:val="00B24007"/>
    <w:rPr>
      <w:sz w:val="20"/>
      <w:szCs w:val="20"/>
    </w:rPr>
  </w:style>
  <w:style w:type="character" w:styleId="UnresolvedMention">
    <w:name w:val="Unresolved Mention"/>
    <w:basedOn w:val="DefaultParagraphFont"/>
    <w:uiPriority w:val="99"/>
    <w:semiHidden/>
    <w:unhideWhenUsed/>
    <w:rsid w:val="00E2641B"/>
    <w:rPr>
      <w:color w:val="605E5C"/>
      <w:shd w:val="clear" w:color="auto" w:fill="E1DFDD"/>
    </w:rPr>
  </w:style>
  <w:style w:type="paragraph" w:styleId="BalloonText">
    <w:name w:val="Balloon Text"/>
    <w:basedOn w:val="Normal"/>
    <w:link w:val="BalloonTextChar"/>
    <w:uiPriority w:val="99"/>
    <w:semiHidden/>
    <w:unhideWhenUsed/>
    <w:rsid w:val="00210813"/>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10813"/>
    <w:rPr>
      <w:rFonts w:ascii="Segoe UI" w:hAnsi="Segoe UI" w:cs="Segoe UI"/>
      <w:sz w:val="18"/>
      <w:szCs w:val="18"/>
      <w:lang w:eastAsia="en-GB"/>
    </w:rPr>
  </w:style>
  <w:style w:type="character" w:styleId="FollowedHyperlink">
    <w:name w:val="FollowedHyperlink"/>
    <w:basedOn w:val="DefaultParagraphFont"/>
    <w:uiPriority w:val="99"/>
    <w:semiHidden/>
    <w:unhideWhenUsed/>
    <w:rsid w:val="00D5772D"/>
    <w:rPr>
      <w:color w:val="954F72" w:themeColor="followedHyperlink"/>
      <w:u w:val="single"/>
    </w:rPr>
  </w:style>
  <w:style w:type="character" w:styleId="Emphasis">
    <w:name w:val="Emphasis"/>
    <w:basedOn w:val="DefaultParagraphFont"/>
    <w:uiPriority w:val="20"/>
    <w:qFormat/>
    <w:rsid w:val="009224C5"/>
    <w:rPr>
      <w:i/>
      <w:iCs/>
    </w:rPr>
  </w:style>
  <w:style w:type="paragraph" w:styleId="NormalWeb">
    <w:name w:val="Normal (Web)"/>
    <w:basedOn w:val="Normal"/>
    <w:uiPriority w:val="99"/>
    <w:semiHidden/>
    <w:unhideWhenUsed/>
    <w:rsid w:val="009224C5"/>
    <w:pPr>
      <w:spacing w:before="100" w:beforeAutospacing="1" w:after="100" w:afterAutospacing="1"/>
    </w:pPr>
    <w:rPr>
      <w:rFonts w:ascii="Times New Roman" w:eastAsia="Times New Roman" w:hAnsi="Times New Roman" w:cs="Times New Roman"/>
      <w:sz w:val="24"/>
      <w:szCs w:val="24"/>
      <w:lang w:val="en-US" w:eastAsia="en-US"/>
    </w:rPr>
  </w:style>
  <w:style w:type="character" w:styleId="CommentReference">
    <w:name w:val="annotation reference"/>
    <w:basedOn w:val="DefaultParagraphFont"/>
    <w:uiPriority w:val="99"/>
    <w:unhideWhenUsed/>
    <w:rsid w:val="00BF07C6"/>
    <w:rPr>
      <w:sz w:val="16"/>
      <w:szCs w:val="16"/>
    </w:rPr>
  </w:style>
  <w:style w:type="paragraph" w:styleId="CommentText">
    <w:name w:val="annotation text"/>
    <w:basedOn w:val="Normal"/>
    <w:link w:val="CommentTextChar"/>
    <w:uiPriority w:val="99"/>
    <w:semiHidden/>
    <w:unhideWhenUsed/>
    <w:rsid w:val="00BF07C6"/>
    <w:rPr>
      <w:sz w:val="20"/>
      <w:szCs w:val="20"/>
    </w:rPr>
  </w:style>
  <w:style w:type="character" w:customStyle="1" w:styleId="CommentTextChar">
    <w:name w:val="Comment Text Char"/>
    <w:basedOn w:val="DefaultParagraphFont"/>
    <w:link w:val="CommentText"/>
    <w:uiPriority w:val="99"/>
    <w:semiHidden/>
    <w:rsid w:val="00BF07C6"/>
    <w:rPr>
      <w:rFonts w:ascii="Calibri" w:hAnsi="Calibri" w:cs="Calibri"/>
      <w:sz w:val="20"/>
      <w:szCs w:val="20"/>
      <w:lang w:eastAsia="en-GB"/>
    </w:rPr>
  </w:style>
  <w:style w:type="paragraph" w:styleId="CommentSubject">
    <w:name w:val="annotation subject"/>
    <w:basedOn w:val="CommentText"/>
    <w:next w:val="CommentText"/>
    <w:link w:val="CommentSubjectChar"/>
    <w:uiPriority w:val="99"/>
    <w:semiHidden/>
    <w:unhideWhenUsed/>
    <w:rsid w:val="00BF07C6"/>
    <w:rPr>
      <w:b/>
      <w:bCs/>
    </w:rPr>
  </w:style>
  <w:style w:type="character" w:customStyle="1" w:styleId="CommentSubjectChar">
    <w:name w:val="Comment Subject Char"/>
    <w:basedOn w:val="CommentTextChar"/>
    <w:link w:val="CommentSubject"/>
    <w:uiPriority w:val="99"/>
    <w:semiHidden/>
    <w:rsid w:val="00BF07C6"/>
    <w:rPr>
      <w:rFonts w:ascii="Calibri" w:hAnsi="Calibri" w:cs="Calibri"/>
      <w:b/>
      <w:bCs/>
      <w:sz w:val="20"/>
      <w:szCs w:val="20"/>
      <w:lang w:eastAsia="en-GB"/>
    </w:rPr>
  </w:style>
  <w:style w:type="paragraph" w:styleId="Header">
    <w:name w:val="header"/>
    <w:basedOn w:val="Normal"/>
    <w:link w:val="HeaderChar"/>
    <w:uiPriority w:val="99"/>
    <w:unhideWhenUsed/>
    <w:rsid w:val="004877E8"/>
    <w:pPr>
      <w:tabs>
        <w:tab w:val="center" w:pos="4513"/>
        <w:tab w:val="right" w:pos="9026"/>
      </w:tabs>
    </w:pPr>
  </w:style>
  <w:style w:type="character" w:customStyle="1" w:styleId="HeaderChar">
    <w:name w:val="Header Char"/>
    <w:basedOn w:val="DefaultParagraphFont"/>
    <w:link w:val="Header"/>
    <w:uiPriority w:val="99"/>
    <w:rsid w:val="004877E8"/>
    <w:rPr>
      <w:rFonts w:ascii="Calibri" w:hAnsi="Calibri" w:cs="Calibri"/>
      <w:lang w:eastAsia="en-GB"/>
    </w:rPr>
  </w:style>
  <w:style w:type="paragraph" w:styleId="Footer">
    <w:name w:val="footer"/>
    <w:basedOn w:val="Normal"/>
    <w:link w:val="FooterChar"/>
    <w:uiPriority w:val="99"/>
    <w:unhideWhenUsed/>
    <w:rsid w:val="004877E8"/>
    <w:pPr>
      <w:tabs>
        <w:tab w:val="center" w:pos="4513"/>
        <w:tab w:val="right" w:pos="9026"/>
      </w:tabs>
    </w:pPr>
  </w:style>
  <w:style w:type="character" w:customStyle="1" w:styleId="FooterChar">
    <w:name w:val="Footer Char"/>
    <w:basedOn w:val="DefaultParagraphFont"/>
    <w:link w:val="Footer"/>
    <w:uiPriority w:val="99"/>
    <w:rsid w:val="004877E8"/>
    <w:rPr>
      <w:rFonts w:ascii="Calibri" w:hAnsi="Calibri" w:cs="Calibri"/>
      <w:lang w:eastAsia="en-GB"/>
    </w:rPr>
  </w:style>
  <w:style w:type="paragraph" w:styleId="Revision">
    <w:name w:val="Revision"/>
    <w:hidden/>
    <w:uiPriority w:val="99"/>
    <w:semiHidden/>
    <w:rsid w:val="00C451B6"/>
    <w:pPr>
      <w:spacing w:after="0" w:line="240" w:lineRule="auto"/>
    </w:pPr>
    <w:rPr>
      <w:rFonts w:ascii="Calibri" w:hAnsi="Calibri" w:cs="Calibri"/>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8477271">
      <w:bodyDiv w:val="1"/>
      <w:marLeft w:val="0"/>
      <w:marRight w:val="0"/>
      <w:marTop w:val="0"/>
      <w:marBottom w:val="0"/>
      <w:divBdr>
        <w:top w:val="none" w:sz="0" w:space="0" w:color="auto"/>
        <w:left w:val="none" w:sz="0" w:space="0" w:color="auto"/>
        <w:bottom w:val="none" w:sz="0" w:space="0" w:color="auto"/>
        <w:right w:val="none" w:sz="0" w:space="0" w:color="auto"/>
      </w:divBdr>
    </w:div>
    <w:div w:id="136920884">
      <w:bodyDiv w:val="1"/>
      <w:marLeft w:val="0"/>
      <w:marRight w:val="0"/>
      <w:marTop w:val="0"/>
      <w:marBottom w:val="0"/>
      <w:divBdr>
        <w:top w:val="none" w:sz="0" w:space="0" w:color="auto"/>
        <w:left w:val="none" w:sz="0" w:space="0" w:color="auto"/>
        <w:bottom w:val="none" w:sz="0" w:space="0" w:color="auto"/>
        <w:right w:val="none" w:sz="0" w:space="0" w:color="auto"/>
      </w:divBdr>
    </w:div>
    <w:div w:id="557206473">
      <w:bodyDiv w:val="1"/>
      <w:marLeft w:val="0"/>
      <w:marRight w:val="0"/>
      <w:marTop w:val="0"/>
      <w:marBottom w:val="0"/>
      <w:divBdr>
        <w:top w:val="none" w:sz="0" w:space="0" w:color="auto"/>
        <w:left w:val="none" w:sz="0" w:space="0" w:color="auto"/>
        <w:bottom w:val="none" w:sz="0" w:space="0" w:color="auto"/>
        <w:right w:val="none" w:sz="0" w:space="0" w:color="auto"/>
      </w:divBdr>
    </w:div>
    <w:div w:id="10029275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AE5DBF0ADA998469064B64F53A76F3C" ma:contentTypeVersion="0" ma:contentTypeDescription="Create a new document." ma:contentTypeScope="" ma:versionID="5c421e79169b6bba174fb07424eb6831">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04D0915-3A92-420C-A9C1-51815D60512D}">
  <ds:schemaRefs>
    <ds:schemaRef ds:uri="http://purl.org/dc/terms/"/>
    <ds:schemaRef ds:uri="http://www.w3.org/XML/1998/namespace"/>
    <ds:schemaRef ds:uri="4a51bc74-7550-49a6-8df5-01115651cbd9"/>
    <ds:schemaRef ds:uri="f8430ee3-c31c-4f62-9c8f-4c7bb84c5a87"/>
    <ds:schemaRef ds:uri="http://purl.org/dc/dcmitype/"/>
    <ds:schemaRef ds:uri="http://schemas.microsoft.com/office/2006/documentManagement/types"/>
    <ds:schemaRef ds:uri="http://schemas.openxmlformats.org/package/2006/metadata/core-properties"/>
    <ds:schemaRef ds:uri="http://purl.org/dc/elements/1.1/"/>
    <ds:schemaRef ds:uri="http://schemas.microsoft.com/office/infopath/2007/PartnerControls"/>
    <ds:schemaRef ds:uri="http://schemas.microsoft.com/sharepoint/v3"/>
    <ds:schemaRef ds:uri="http://schemas.microsoft.com/office/2006/metadata/properties"/>
  </ds:schemaRefs>
</ds:datastoreItem>
</file>

<file path=customXml/itemProps2.xml><?xml version="1.0" encoding="utf-8"?>
<ds:datastoreItem xmlns:ds="http://schemas.openxmlformats.org/officeDocument/2006/customXml" ds:itemID="{9E89445C-8B69-4E2C-A6C9-A4AAEDCD5E2E}">
  <ds:schemaRefs>
    <ds:schemaRef ds:uri="http://schemas.microsoft.com/sharepoint/v3/contenttype/forms"/>
  </ds:schemaRefs>
</ds:datastoreItem>
</file>

<file path=customXml/itemProps3.xml><?xml version="1.0" encoding="utf-8"?>
<ds:datastoreItem xmlns:ds="http://schemas.openxmlformats.org/officeDocument/2006/customXml" ds:itemID="{1E95E524-93DC-44AE-9850-55DAA7A07D3C}"/>
</file>

<file path=customXml/itemProps4.xml><?xml version="1.0" encoding="utf-8"?>
<ds:datastoreItem xmlns:ds="http://schemas.openxmlformats.org/officeDocument/2006/customXml" ds:itemID="{5AB8BBE0-C7F5-4070-831E-5E56B9B7BE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1075</Words>
  <Characters>6131</Characters>
  <Application>Microsoft Office Word</Application>
  <DocSecurity>4</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7192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 Firth</dc:creator>
  <cp:keywords/>
  <dc:description/>
  <cp:lastModifiedBy>Delphine Starr</cp:lastModifiedBy>
  <cp:revision>2</cp:revision>
  <dcterms:created xsi:type="dcterms:W3CDTF">2020-01-13T16:29:00Z</dcterms:created>
  <dcterms:modified xsi:type="dcterms:W3CDTF">2020-01-13T16:29:00Z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0x010100FAE5DBF0ADA998469064B64F53A76F3C</vt:lpwstr>
  </property>
</Properties>
</file>