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C5EC7" w14:textId="77777777" w:rsidR="00A824A8" w:rsidRPr="00A824A8" w:rsidRDefault="00A824A8" w:rsidP="00A824A8">
      <w:pPr>
        <w:rPr>
          <w:lang w:val="en-US"/>
        </w:rPr>
      </w:pPr>
      <w:r w:rsidRPr="00A824A8">
        <w:rPr>
          <w:noProof/>
          <w:lang w:val="en-US"/>
        </w:rPr>
        <mc:AlternateContent>
          <mc:Choice Requires="wpg">
            <w:drawing>
              <wp:anchor distT="0" distB="0" distL="114300" distR="114300" simplePos="0" relativeHeight="251659264" behindDoc="1" locked="0" layoutInCell="1" allowOverlap="1" wp14:anchorId="19C789C4" wp14:editId="16FCD9B4">
                <wp:simplePos x="0" y="0"/>
                <wp:positionH relativeFrom="page">
                  <wp:align>center</wp:align>
                </wp:positionH>
                <wp:positionV relativeFrom="page">
                  <wp:align>center</wp:align>
                </wp:positionV>
                <wp:extent cx="6664325" cy="9717405"/>
                <wp:effectExtent l="0" t="0" r="0" b="0"/>
                <wp:wrapNone/>
                <wp:docPr id="150235762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4325" cy="9717405"/>
                          <a:chOff x="0" y="0"/>
                          <a:chExt cx="6864824" cy="9123528"/>
                        </a:xfrm>
                      </wpg:grpSpPr>
                      <wps:wsp>
                        <wps:cNvPr id="194" name="Rectangle 194"/>
                        <wps:cNvSpPr>
                          <a:spLocks/>
                        </wps:cNvSpPr>
                        <wps:spPr>
                          <a:xfrm>
                            <a:off x="0" y="0"/>
                            <a:ext cx="6858000" cy="1371600"/>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a:spLocks/>
                        </wps:cNvSpPr>
                        <wps:spPr>
                          <a:xfrm>
                            <a:off x="0" y="4094328"/>
                            <a:ext cx="6858000" cy="5029200"/>
                          </a:xfrm>
                          <a:prstGeom prst="rect">
                            <a:avLst/>
                          </a:prstGeom>
                          <a:solidFill>
                            <a:srgbClr val="5B9BD5"/>
                          </a:solidFill>
                          <a:ln w="12700" cap="flat" cmpd="sng" algn="ctr">
                            <a:noFill/>
                            <a:prstDash val="solid"/>
                            <a:miter lim="800000"/>
                          </a:ln>
                          <a:effectLst/>
                        </wps:spPr>
                        <wps:txbx>
                          <w:txbxContent>
                            <w:p w14:paraId="5D725481" w14:textId="77777777" w:rsidR="00A824A8" w:rsidRPr="00F3574E" w:rsidRDefault="00A824A8" w:rsidP="00A824A8">
                              <w:pPr>
                                <w:pStyle w:val="NoSpacing"/>
                                <w:spacing w:before="120"/>
                                <w:jc w:val="center"/>
                                <w:rPr>
                                  <w:rFonts w:ascii="Cambria" w:eastAsia="Calibri" w:hAnsi="Cambria"/>
                                  <w:b/>
                                  <w:bCs/>
                                  <w:sz w:val="40"/>
                                  <w:szCs w:val="40"/>
                                </w:rPr>
                              </w:pPr>
                              <w:r>
                                <w:rPr>
                                  <w:rFonts w:ascii="Cambria" w:eastAsia="Calibri" w:hAnsi="Cambria"/>
                                  <w:b/>
                                  <w:bCs/>
                                  <w:sz w:val="40"/>
                                  <w:szCs w:val="40"/>
                                </w:rPr>
                                <w:t>Joint</w:t>
                              </w:r>
                              <w:r w:rsidRPr="00F3574E">
                                <w:rPr>
                                  <w:rFonts w:ascii="Cambria" w:eastAsia="Calibri" w:hAnsi="Cambria"/>
                                  <w:b/>
                                  <w:bCs/>
                                  <w:sz w:val="40"/>
                                  <w:szCs w:val="40"/>
                                </w:rPr>
                                <w:t xml:space="preserve"> Submission to the United Nations Committee on Economic, Social and Cultural Rights Review of Kenya </w:t>
                              </w:r>
                            </w:p>
                            <w:p w14:paraId="0620B16F" w14:textId="77777777" w:rsidR="00A824A8" w:rsidRDefault="00A824A8" w:rsidP="00A824A8">
                              <w:pPr>
                                <w:pStyle w:val="NoSpacing"/>
                                <w:spacing w:before="120"/>
                                <w:jc w:val="center"/>
                                <w:rPr>
                                  <w:rFonts w:ascii="Cambria" w:eastAsia="Calibri" w:hAnsi="Cambria"/>
                                  <w:b/>
                                  <w:bCs/>
                                  <w:sz w:val="40"/>
                                  <w:szCs w:val="40"/>
                                </w:rPr>
                              </w:pPr>
                            </w:p>
                            <w:p w14:paraId="2F439743" w14:textId="77777777" w:rsidR="00A824A8" w:rsidRDefault="00A824A8" w:rsidP="00A824A8">
                              <w:pPr>
                                <w:pStyle w:val="NoSpacing"/>
                                <w:spacing w:before="120"/>
                                <w:jc w:val="center"/>
                                <w:rPr>
                                  <w:rFonts w:ascii="Cambria" w:eastAsia="Calibri" w:hAnsi="Cambria"/>
                                  <w:b/>
                                  <w:bCs/>
                                  <w:sz w:val="40"/>
                                  <w:szCs w:val="40"/>
                                </w:rPr>
                              </w:pPr>
                            </w:p>
                            <w:p w14:paraId="4F0EB80F" w14:textId="77777777" w:rsidR="00A824A8" w:rsidRDefault="00A824A8" w:rsidP="00A824A8">
                              <w:pPr>
                                <w:pStyle w:val="NoSpacing"/>
                                <w:spacing w:before="120"/>
                                <w:jc w:val="center"/>
                                <w:rPr>
                                  <w:rFonts w:ascii="Cambria" w:eastAsia="Calibri" w:hAnsi="Cambria"/>
                                  <w:b/>
                                  <w:bCs/>
                                  <w:sz w:val="40"/>
                                  <w:szCs w:val="40"/>
                                </w:rPr>
                              </w:pPr>
                              <w:r w:rsidRPr="00F3574E">
                                <w:rPr>
                                  <w:rFonts w:ascii="Cambria" w:eastAsia="Calibri" w:hAnsi="Cambria"/>
                                  <w:b/>
                                  <w:bCs/>
                                  <w:sz w:val="40"/>
                                  <w:szCs w:val="40"/>
                                </w:rPr>
                                <w:t xml:space="preserve">77th Pre-Sessional Working Group </w:t>
                              </w:r>
                            </w:p>
                            <w:p w14:paraId="02B805AC" w14:textId="77777777" w:rsidR="00A824A8" w:rsidRPr="00F3574E" w:rsidRDefault="00A824A8" w:rsidP="00A824A8">
                              <w:pPr>
                                <w:pStyle w:val="NoSpacing"/>
                                <w:spacing w:before="120"/>
                                <w:jc w:val="center"/>
                                <w:rPr>
                                  <w:color w:val="FFFFFF"/>
                                  <w:sz w:val="40"/>
                                  <w:szCs w:val="40"/>
                                </w:rPr>
                              </w:pPr>
                              <w:r w:rsidRPr="00F3574E">
                                <w:rPr>
                                  <w:rFonts w:ascii="Cambria" w:eastAsia="Calibri" w:hAnsi="Cambria"/>
                                  <w:b/>
                                  <w:bCs/>
                                  <w:sz w:val="40"/>
                                  <w:szCs w:val="40"/>
                                </w:rPr>
                                <w:t>January 2024</w:t>
                              </w:r>
                              <w:r w:rsidRPr="00F3574E">
                                <w:rPr>
                                  <w:color w:val="FFFFFF"/>
                                  <w:sz w:val="40"/>
                                  <w:szCs w:val="40"/>
                                </w:rPr>
                                <w:t>  </w:t>
                              </w:r>
                              <w:r w:rsidRPr="00F3574E">
                                <w:rPr>
                                  <w:sz w:val="40"/>
                                  <w:szCs w:val="40"/>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a:spLocks/>
                        </wps:cNvSpPr>
                        <wps:spPr>
                          <a:xfrm>
                            <a:off x="6824" y="1371600"/>
                            <a:ext cx="6858000" cy="2722728"/>
                          </a:xfrm>
                          <a:prstGeom prst="rect">
                            <a:avLst/>
                          </a:prstGeom>
                          <a:solidFill>
                            <a:sysClr val="window" lastClr="FFFFFF"/>
                          </a:solidFill>
                          <a:ln w="6350">
                            <a:noFill/>
                          </a:ln>
                          <a:effectLst/>
                        </wps:spPr>
                        <wps:txbx>
                          <w:txbxContent>
                            <w:p w14:paraId="686B243C" w14:textId="77777777" w:rsidR="00A824A8" w:rsidRPr="00F3574E" w:rsidRDefault="00A824A8" w:rsidP="00A824A8">
                              <w:pPr>
                                <w:pStyle w:val="NoSpacing"/>
                                <w:jc w:val="center"/>
                                <w:rPr>
                                  <w:rFonts w:ascii="Calibri Light" w:hAnsi="Calibri Light"/>
                                  <w:caps/>
                                  <w:color w:val="5B9BD5"/>
                                  <w:sz w:val="48"/>
                                  <w:szCs w:val="48"/>
                                </w:rPr>
                              </w:pPr>
                              <w:r w:rsidRPr="00F3574E">
                                <w:rPr>
                                  <w:rFonts w:ascii="Cambria" w:hAnsi="Cambria"/>
                                  <w:b/>
                                  <w:bCs/>
                                  <w:sz w:val="48"/>
                                  <w:szCs w:val="48"/>
                                  <w:lang w:val="en-GB"/>
                                </w:rPr>
                                <w:t>THE IMPACT OF CRIMINALIZATION ON THE RIGHTS OF PERSONS WHO USE DRUGS UNDER THE INTERNATIONAL COVENANT ON ECONOMIC, SOCIAL AND CULTURAL RIGHTS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9C789C4" id="Group 6" o:spid="_x0000_s1026" style="position:absolute;margin-left:0;margin-top:0;width:524.75pt;height:765.15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" fillcolor="#5b9bd5"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" fillcolor="#5b9bd5" stroked="f" strokeweight="1pt">
                  <v:textbox inset="36pt,57.6pt,36pt,36pt">
                    <w:txbxContent>
                      <w:p w14:paraId="5D725481" w14:textId="77777777" w:rsidR="00A824A8" w:rsidRPr="00F3574E" w:rsidRDefault="00A824A8" w:rsidP="00A824A8">
                        <w:pPr>
                          <w:pStyle w:val="NoSpacing"/>
                          <w:spacing w:before="120"/>
                          <w:jc w:val="center"/>
                          <w:rPr>
                            <w:rFonts w:ascii="Cambria" w:eastAsia="Calibri" w:hAnsi="Cambria"/>
                            <w:b/>
                            <w:bCs/>
                            <w:sz w:val="40"/>
                            <w:szCs w:val="40"/>
                          </w:rPr>
                        </w:pPr>
                        <w:r>
                          <w:rPr>
                            <w:rFonts w:ascii="Cambria" w:eastAsia="Calibri" w:hAnsi="Cambria"/>
                            <w:b/>
                            <w:bCs/>
                            <w:sz w:val="40"/>
                            <w:szCs w:val="40"/>
                          </w:rPr>
                          <w:t>Joint</w:t>
                        </w:r>
                        <w:r w:rsidRPr="00F3574E">
                          <w:rPr>
                            <w:rFonts w:ascii="Cambria" w:eastAsia="Calibri" w:hAnsi="Cambria"/>
                            <w:b/>
                            <w:bCs/>
                            <w:sz w:val="40"/>
                            <w:szCs w:val="40"/>
                          </w:rPr>
                          <w:t xml:space="preserve"> Submission to the United Nations Committee on Economic, Social and Cultural Rights Review of Kenya </w:t>
                        </w:r>
                      </w:p>
                      <w:p w14:paraId="0620B16F" w14:textId="77777777" w:rsidR="00A824A8" w:rsidRDefault="00A824A8" w:rsidP="00A824A8">
                        <w:pPr>
                          <w:pStyle w:val="NoSpacing"/>
                          <w:spacing w:before="120"/>
                          <w:jc w:val="center"/>
                          <w:rPr>
                            <w:rFonts w:ascii="Cambria" w:eastAsia="Calibri" w:hAnsi="Cambria"/>
                            <w:b/>
                            <w:bCs/>
                            <w:sz w:val="40"/>
                            <w:szCs w:val="40"/>
                          </w:rPr>
                        </w:pPr>
                      </w:p>
                      <w:p w14:paraId="2F439743" w14:textId="77777777" w:rsidR="00A824A8" w:rsidRDefault="00A824A8" w:rsidP="00A824A8">
                        <w:pPr>
                          <w:pStyle w:val="NoSpacing"/>
                          <w:spacing w:before="120"/>
                          <w:jc w:val="center"/>
                          <w:rPr>
                            <w:rFonts w:ascii="Cambria" w:eastAsia="Calibri" w:hAnsi="Cambria"/>
                            <w:b/>
                            <w:bCs/>
                            <w:sz w:val="40"/>
                            <w:szCs w:val="40"/>
                          </w:rPr>
                        </w:pPr>
                      </w:p>
                      <w:p w14:paraId="4F0EB80F" w14:textId="77777777" w:rsidR="00A824A8" w:rsidRDefault="00A824A8" w:rsidP="00A824A8">
                        <w:pPr>
                          <w:pStyle w:val="NoSpacing"/>
                          <w:spacing w:before="120"/>
                          <w:jc w:val="center"/>
                          <w:rPr>
                            <w:rFonts w:ascii="Cambria" w:eastAsia="Calibri" w:hAnsi="Cambria"/>
                            <w:b/>
                            <w:bCs/>
                            <w:sz w:val="40"/>
                            <w:szCs w:val="40"/>
                          </w:rPr>
                        </w:pPr>
                        <w:r w:rsidRPr="00F3574E">
                          <w:rPr>
                            <w:rFonts w:ascii="Cambria" w:eastAsia="Calibri" w:hAnsi="Cambria"/>
                            <w:b/>
                            <w:bCs/>
                            <w:sz w:val="40"/>
                            <w:szCs w:val="40"/>
                          </w:rPr>
                          <w:t xml:space="preserve">77th Pre-Sessional Working Group </w:t>
                        </w:r>
                      </w:p>
                      <w:p w14:paraId="02B805AC" w14:textId="77777777" w:rsidR="00A824A8" w:rsidRPr="00F3574E" w:rsidRDefault="00A824A8" w:rsidP="00A824A8">
                        <w:pPr>
                          <w:pStyle w:val="NoSpacing"/>
                          <w:spacing w:before="120"/>
                          <w:jc w:val="center"/>
                          <w:rPr>
                            <w:color w:val="FFFFFF"/>
                            <w:sz w:val="40"/>
                            <w:szCs w:val="40"/>
                          </w:rPr>
                        </w:pPr>
                        <w:r w:rsidRPr="00F3574E">
                          <w:rPr>
                            <w:rFonts w:ascii="Cambria" w:eastAsia="Calibri" w:hAnsi="Cambria"/>
                            <w:b/>
                            <w:bCs/>
                            <w:sz w:val="40"/>
                            <w:szCs w:val="40"/>
                          </w:rPr>
                          <w:t>January 2024</w:t>
                        </w:r>
                        <w:r w:rsidRPr="00F3574E">
                          <w:rPr>
                            <w:color w:val="FFFFFF"/>
                            <w:sz w:val="40"/>
                            <w:szCs w:val="40"/>
                          </w:rPr>
                          <w:t>  </w:t>
                        </w:r>
                        <w:r w:rsidRPr="00F3574E">
                          <w:rPr>
                            <w:sz w:val="40"/>
                            <w:szCs w:val="40"/>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" fillcolor="window" stroked="f" strokeweight=".5pt">
                  <v:textbox inset="36pt,7.2pt,36pt,7.2pt">
                    <w:txbxContent>
                      <w:p w14:paraId="686B243C" w14:textId="77777777" w:rsidR="00A824A8" w:rsidRPr="00F3574E" w:rsidRDefault="00A824A8" w:rsidP="00A824A8">
                        <w:pPr>
                          <w:pStyle w:val="NoSpacing"/>
                          <w:jc w:val="center"/>
                          <w:rPr>
                            <w:rFonts w:ascii="Calibri Light" w:hAnsi="Calibri Light"/>
                            <w:caps/>
                            <w:color w:val="5B9BD5"/>
                            <w:sz w:val="48"/>
                            <w:szCs w:val="48"/>
                          </w:rPr>
                        </w:pPr>
                        <w:r w:rsidRPr="00F3574E">
                          <w:rPr>
                            <w:rFonts w:ascii="Cambria" w:hAnsi="Cambria"/>
                            <w:b/>
                            <w:bCs/>
                            <w:sz w:val="48"/>
                            <w:szCs w:val="48"/>
                            <w:lang w:val="en-GB"/>
                          </w:rPr>
                          <w:t>THE IMPACT OF CRIMINALIZATION ON THE RIGHTS OF PERSONS WHO USE DRUGS UNDER THE INTERNATIONAL COVENANT ON ECONOMIC, SOCIAL AND CULTURAL RIGHTS</w:t>
                        </w:r>
                      </w:p>
                    </w:txbxContent>
                  </v:textbox>
                </v:shape>
                <w10:wrap anchorx="page" anchory="page"/>
              </v:group>
            </w:pict>
          </mc:Fallback>
        </mc:AlternateContent>
      </w:r>
    </w:p>
    <w:p w14:paraId="6C3CC17F" w14:textId="77777777" w:rsidR="00A824A8" w:rsidRPr="00A824A8" w:rsidRDefault="00A824A8" w:rsidP="00A824A8">
      <w:pPr>
        <w:spacing w:line="276" w:lineRule="auto"/>
        <w:rPr>
          <w:rFonts w:ascii="Cambria" w:hAnsi="Cambria"/>
          <w:b/>
          <w:bCs/>
          <w:sz w:val="24"/>
          <w:szCs w:val="24"/>
          <w:lang w:val="en-US"/>
        </w:rPr>
      </w:pPr>
      <w:r w:rsidRPr="00A824A8">
        <w:rPr>
          <w:rFonts w:ascii="Cambria" w:hAnsi="Cambria"/>
          <w:b/>
          <w:bCs/>
          <w:sz w:val="24"/>
          <w:szCs w:val="24"/>
          <w:lang w:val="en-US"/>
        </w:rPr>
        <w:br w:type="page"/>
      </w:r>
      <w:r w:rsidRPr="00A824A8">
        <w:rPr>
          <w:rFonts w:ascii="Cambria" w:hAnsi="Cambria"/>
          <w:sz w:val="24"/>
          <w:szCs w:val="24"/>
          <w:lang w:val="en-US"/>
        </w:rPr>
        <w:lastRenderedPageBreak/>
        <w:t>We write in advance of the 77</w:t>
      </w:r>
      <w:r w:rsidRPr="00A824A8">
        <w:rPr>
          <w:rFonts w:ascii="Cambria" w:hAnsi="Cambria"/>
          <w:sz w:val="24"/>
          <w:szCs w:val="24"/>
          <w:vertAlign w:val="superscript"/>
          <w:lang w:val="en-US"/>
        </w:rPr>
        <w:t>th</w:t>
      </w:r>
      <w:r w:rsidRPr="00A824A8">
        <w:rPr>
          <w:rFonts w:ascii="Cambria" w:hAnsi="Cambria"/>
          <w:sz w:val="24"/>
          <w:szCs w:val="24"/>
          <w:lang w:val="en-US"/>
        </w:rPr>
        <w:t xml:space="preserve"> pre-session of the Committee on Economic, Social and Cultural Rights (CESCR) regarding Kenya’s compliance with the International Covenant on Economic, Social and Cultural Rights.</w:t>
      </w:r>
    </w:p>
    <w:p w14:paraId="71D810BB" w14:textId="77777777" w:rsidR="00A824A8" w:rsidRPr="00A824A8" w:rsidRDefault="00A824A8" w:rsidP="00A824A8">
      <w:pPr>
        <w:spacing w:line="276" w:lineRule="auto"/>
        <w:jc w:val="both"/>
        <w:rPr>
          <w:rFonts w:ascii="Cambria" w:hAnsi="Cambria"/>
          <w:b/>
          <w:color w:val="ED7D31"/>
          <w:sz w:val="32"/>
          <w:szCs w:val="32"/>
          <w:lang w:val="en-US"/>
        </w:rPr>
      </w:pPr>
    </w:p>
    <w:p w14:paraId="0906CFD8" w14:textId="77777777" w:rsidR="00A824A8" w:rsidRPr="00A824A8" w:rsidRDefault="00A824A8" w:rsidP="00A824A8">
      <w:pPr>
        <w:spacing w:line="276" w:lineRule="auto"/>
        <w:jc w:val="center"/>
        <w:rPr>
          <w:rFonts w:ascii="Cambria" w:hAnsi="Cambria"/>
          <w:b/>
          <w:color w:val="ED7D31"/>
          <w:sz w:val="32"/>
          <w:szCs w:val="32"/>
          <w:lang w:val="en-US"/>
        </w:rPr>
      </w:pPr>
      <w:r w:rsidRPr="00A824A8">
        <w:rPr>
          <w:noProof/>
          <w:lang w:val="en-US"/>
        </w:rPr>
        <w:drawing>
          <wp:anchor distT="0" distB="0" distL="114300" distR="114300" simplePos="0" relativeHeight="251660288" behindDoc="0" locked="0" layoutInCell="1" allowOverlap="1" wp14:anchorId="7D389C63" wp14:editId="3B3519AE">
            <wp:simplePos x="0" y="0"/>
            <wp:positionH relativeFrom="column">
              <wp:posOffset>1270635</wp:posOffset>
            </wp:positionH>
            <wp:positionV relativeFrom="paragraph">
              <wp:posOffset>2743200</wp:posOffset>
            </wp:positionV>
            <wp:extent cx="802005" cy="600710"/>
            <wp:effectExtent l="0" t="0" r="0" b="0"/>
            <wp:wrapNone/>
            <wp:docPr id="6" name="Picture 1" descr="Blue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Blue text on a black background&#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20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24A8">
        <w:rPr>
          <w:rFonts w:ascii="Cambria" w:hAnsi="Cambria"/>
          <w:b/>
          <w:noProof/>
          <w:color w:val="ED7D31"/>
          <w:sz w:val="32"/>
          <w:szCs w:val="32"/>
          <w:lang w:val="en-US"/>
        </w:rPr>
        <w:drawing>
          <wp:inline distT="0" distB="0" distL="0" distR="0" wp14:anchorId="1713D77A" wp14:editId="73E1DF01">
            <wp:extent cx="4881880" cy="3418840"/>
            <wp:effectExtent l="0" t="0" r="0" b="0"/>
            <wp:docPr id="1" name="Picture 1" descr="Several logos of different companie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everal logos of different companies&#10;&#10;Description automatically generated with medium confidence"/>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1880" cy="3418840"/>
                    </a:xfrm>
                    <a:prstGeom prst="rect">
                      <a:avLst/>
                    </a:prstGeom>
                    <a:noFill/>
                    <a:ln>
                      <a:noFill/>
                    </a:ln>
                  </pic:spPr>
                </pic:pic>
              </a:graphicData>
            </a:graphic>
          </wp:inline>
        </w:drawing>
      </w:r>
    </w:p>
    <w:p w14:paraId="65605953" w14:textId="77777777" w:rsidR="00A824A8" w:rsidRPr="00A824A8" w:rsidRDefault="00A824A8" w:rsidP="00A824A8">
      <w:pPr>
        <w:spacing w:line="276" w:lineRule="auto"/>
        <w:jc w:val="both"/>
        <w:rPr>
          <w:rFonts w:ascii="Cambria" w:hAnsi="Cambria"/>
          <w:b/>
          <w:color w:val="ED7D31"/>
          <w:sz w:val="32"/>
          <w:szCs w:val="32"/>
          <w:lang w:val="en-US"/>
        </w:rPr>
      </w:pPr>
      <w:r w:rsidRPr="00A824A8">
        <w:rPr>
          <w:rFonts w:ascii="Cambria" w:hAnsi="Cambria"/>
          <w:b/>
          <w:color w:val="ED7D31"/>
          <w:sz w:val="32"/>
          <w:szCs w:val="32"/>
          <w:lang w:val="en-US"/>
        </w:rPr>
        <w:t xml:space="preserve">INTRODUCTION </w:t>
      </w:r>
    </w:p>
    <w:p w14:paraId="3C4FA669" w14:textId="77777777" w:rsidR="00A824A8" w:rsidRPr="00A824A8" w:rsidRDefault="00A824A8" w:rsidP="00A824A8">
      <w:pPr>
        <w:spacing w:line="276" w:lineRule="auto"/>
        <w:jc w:val="both"/>
        <w:rPr>
          <w:rFonts w:ascii="Cambria" w:hAnsi="Cambria"/>
          <w:sz w:val="24"/>
          <w:szCs w:val="24"/>
          <w:lang w:val="en-US"/>
        </w:rPr>
      </w:pPr>
      <w:r w:rsidRPr="00A824A8">
        <w:rPr>
          <w:rFonts w:ascii="Cambria" w:hAnsi="Cambria"/>
          <w:bCs/>
          <w:sz w:val="24"/>
          <w:szCs w:val="24"/>
          <w:lang w:val="en-US"/>
        </w:rPr>
        <w:t>Next Generation Lawyers-Kenya (NEXTGEN Lawyers)</w:t>
      </w:r>
      <w:r w:rsidRPr="00A824A8">
        <w:rPr>
          <w:rFonts w:ascii="Cambria" w:hAnsi="Cambria"/>
          <w:sz w:val="24"/>
          <w:szCs w:val="24"/>
          <w:lang w:val="en-US"/>
        </w:rPr>
        <w:t xml:space="preserve">, a female-led non-profit organization, is at the forefront of promoting legal empowerment through innovation and partnerships. The organization builds strong </w:t>
      </w:r>
      <w:r w:rsidRPr="00A824A8">
        <w:rPr>
          <w:rFonts w:ascii="Cambria" w:hAnsi="Cambria"/>
          <w:bCs/>
          <w:sz w:val="24"/>
          <w:szCs w:val="24"/>
          <w:lang w:val="en-US"/>
        </w:rPr>
        <w:t>community-legal partnerships</w:t>
      </w:r>
      <w:r w:rsidRPr="00A824A8">
        <w:rPr>
          <w:rFonts w:ascii="Cambria" w:hAnsi="Cambria"/>
          <w:sz w:val="24"/>
          <w:szCs w:val="24"/>
          <w:lang w:val="en-US"/>
        </w:rPr>
        <w:t xml:space="preserve"> to make legal knowledge and skills accessible, particularly to underserved populations. Access to justice is a cornerstone of human rights protection, but many existing legal assistance programs are unable or unwilling to support socially marginalized and criminalized populations. In a context where drug use, sex work, and diverse sexual orientations and gender identities are criminalized, key populations face enormous barriers in seeking justice.</w:t>
      </w:r>
    </w:p>
    <w:p w14:paraId="56AFDB24" w14:textId="77777777" w:rsidR="00A824A8" w:rsidRPr="00A824A8" w:rsidRDefault="00A824A8" w:rsidP="00A824A8">
      <w:pPr>
        <w:spacing w:line="276" w:lineRule="auto"/>
        <w:jc w:val="both"/>
        <w:rPr>
          <w:rFonts w:ascii="Cambria" w:hAnsi="Cambria"/>
          <w:sz w:val="24"/>
          <w:szCs w:val="24"/>
          <w:lang w:val="en-US"/>
        </w:rPr>
      </w:pPr>
      <w:r w:rsidRPr="00A824A8">
        <w:rPr>
          <w:rFonts w:ascii="Cambria" w:hAnsi="Cambria"/>
          <w:bCs/>
          <w:sz w:val="24"/>
          <w:szCs w:val="24"/>
          <w:lang w:val="en-US"/>
        </w:rPr>
        <w:t>NEXTGEN Lawyers</w:t>
      </w:r>
      <w:r w:rsidRPr="00A824A8">
        <w:rPr>
          <w:rFonts w:ascii="Cambria" w:hAnsi="Cambria"/>
          <w:sz w:val="24"/>
          <w:szCs w:val="24"/>
          <w:lang w:val="en-US"/>
        </w:rPr>
        <w:t xml:space="preserve"> brings together a network of diverse NGOs and CSOs, each contributing expertise relevant to offering diverse services to </w:t>
      </w:r>
      <w:r w:rsidRPr="00A824A8">
        <w:rPr>
          <w:rFonts w:ascii="Cambria" w:hAnsi="Cambria"/>
          <w:bCs/>
          <w:sz w:val="24"/>
          <w:szCs w:val="24"/>
          <w:lang w:val="en-US"/>
        </w:rPr>
        <w:t>PWUDs</w:t>
      </w:r>
      <w:r w:rsidRPr="00A824A8">
        <w:rPr>
          <w:rFonts w:ascii="Cambria" w:hAnsi="Cambria"/>
          <w:sz w:val="24"/>
          <w:szCs w:val="24"/>
          <w:lang w:val="en-US"/>
        </w:rPr>
        <w:t>. This is a joint submission by the following organizations:</w:t>
      </w: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4548"/>
        <w:gridCol w:w="4524"/>
      </w:tblGrid>
      <w:tr w:rsidR="00A824A8" w:rsidRPr="00A824A8" w14:paraId="25409799" w14:textId="77777777" w:rsidTr="00F21E32">
        <w:tc>
          <w:tcPr>
            <w:tcW w:w="4806" w:type="dxa"/>
            <w:tcBorders>
              <w:top w:val="nil"/>
              <w:left w:val="nil"/>
              <w:bottom w:val="single" w:sz="4" w:space="0" w:color="9CC2E5"/>
              <w:right w:val="nil"/>
            </w:tcBorders>
            <w:shd w:val="clear" w:color="auto" w:fill="FFFFFF"/>
          </w:tcPr>
          <w:p w14:paraId="3376DB7B" w14:textId="77777777" w:rsidR="00A824A8" w:rsidRPr="00A824A8" w:rsidRDefault="00A824A8" w:rsidP="00F21E32">
            <w:pPr>
              <w:spacing w:line="276" w:lineRule="auto"/>
              <w:jc w:val="both"/>
              <w:rPr>
                <w:rFonts w:ascii="Cambria" w:hAnsi="Cambria"/>
                <w:b/>
                <w:bCs/>
                <w:i/>
                <w:iCs/>
                <w:sz w:val="24"/>
                <w:szCs w:val="24"/>
                <w:lang w:val="en-US"/>
              </w:rPr>
            </w:pPr>
            <w:r w:rsidRPr="00A824A8">
              <w:rPr>
                <w:rFonts w:ascii="Cambria" w:hAnsi="Cambria"/>
                <w:b/>
                <w:bCs/>
                <w:i/>
                <w:iCs/>
                <w:sz w:val="24"/>
                <w:szCs w:val="24"/>
                <w:lang w:val="en-US"/>
              </w:rPr>
              <w:t xml:space="preserve">Organization </w:t>
            </w:r>
          </w:p>
        </w:tc>
        <w:tc>
          <w:tcPr>
            <w:tcW w:w="4644" w:type="dxa"/>
            <w:tcBorders>
              <w:top w:val="nil"/>
              <w:left w:val="nil"/>
              <w:right w:val="nil"/>
            </w:tcBorders>
            <w:shd w:val="clear" w:color="auto" w:fill="FFFFFF"/>
          </w:tcPr>
          <w:p w14:paraId="71CECAA2" w14:textId="77777777" w:rsidR="00A824A8" w:rsidRPr="00A824A8" w:rsidRDefault="00A824A8" w:rsidP="00F21E32">
            <w:pPr>
              <w:spacing w:line="276" w:lineRule="auto"/>
              <w:jc w:val="both"/>
              <w:rPr>
                <w:rFonts w:ascii="Cambria" w:hAnsi="Cambria"/>
                <w:b/>
                <w:bCs/>
                <w:sz w:val="24"/>
                <w:szCs w:val="24"/>
                <w:lang w:val="en-US"/>
              </w:rPr>
            </w:pPr>
            <w:r w:rsidRPr="00A824A8">
              <w:rPr>
                <w:rFonts w:ascii="Cambria" w:hAnsi="Cambria"/>
                <w:b/>
                <w:bCs/>
                <w:sz w:val="24"/>
                <w:szCs w:val="24"/>
                <w:lang w:val="en-US"/>
              </w:rPr>
              <w:t>Contact Information</w:t>
            </w:r>
          </w:p>
        </w:tc>
      </w:tr>
      <w:tr w:rsidR="00A824A8" w:rsidRPr="00A824A8" w14:paraId="7E7EF026" w14:textId="77777777" w:rsidTr="00F21E32">
        <w:tc>
          <w:tcPr>
            <w:tcW w:w="4806" w:type="dxa"/>
            <w:tcBorders>
              <w:left w:val="nil"/>
              <w:bottom w:val="nil"/>
            </w:tcBorders>
            <w:shd w:val="clear" w:color="auto" w:fill="FFFFFF"/>
          </w:tcPr>
          <w:p w14:paraId="3A048DE4"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Next Generation Lawyers Kenya (NEXTGEN Lawyers)</w:t>
            </w:r>
          </w:p>
        </w:tc>
        <w:tc>
          <w:tcPr>
            <w:tcW w:w="4644" w:type="dxa"/>
            <w:shd w:val="clear" w:color="auto" w:fill="DEEAF6"/>
          </w:tcPr>
          <w:p w14:paraId="5BC43E57" w14:textId="77777777" w:rsidR="00A824A8" w:rsidRPr="00A824A8" w:rsidRDefault="00A824A8" w:rsidP="00F21E32">
            <w:pPr>
              <w:spacing w:after="0" w:line="276" w:lineRule="auto"/>
              <w:jc w:val="both"/>
              <w:rPr>
                <w:rFonts w:ascii="Cambria" w:hAnsi="Cambria"/>
                <w:sz w:val="24"/>
                <w:szCs w:val="24"/>
                <w:lang w:val="en-US"/>
              </w:rPr>
            </w:pPr>
            <w:hyperlink r:id="rId9" w:history="1">
              <w:r w:rsidRPr="00A824A8">
                <w:rPr>
                  <w:rStyle w:val="Hyperlink"/>
                  <w:rFonts w:ascii="Cambria" w:hAnsi="Cambria"/>
                  <w:sz w:val="24"/>
                  <w:szCs w:val="24"/>
                  <w:lang w:val="en-US"/>
                </w:rPr>
                <w:t>info@nextgenlawyers.org</w:t>
              </w:r>
            </w:hyperlink>
          </w:p>
          <w:p w14:paraId="129879A2" w14:textId="77777777" w:rsidR="00A824A8" w:rsidRPr="00A824A8" w:rsidRDefault="00A824A8" w:rsidP="00F21E32">
            <w:pPr>
              <w:spacing w:line="276" w:lineRule="auto"/>
              <w:jc w:val="both"/>
              <w:rPr>
                <w:rFonts w:ascii="Cambria" w:hAnsi="Cambria"/>
                <w:sz w:val="24"/>
                <w:szCs w:val="24"/>
                <w:lang w:val="en-US"/>
              </w:rPr>
            </w:pPr>
          </w:p>
        </w:tc>
      </w:tr>
      <w:tr w:rsidR="00A824A8" w:rsidRPr="00A824A8" w14:paraId="5027DA57" w14:textId="77777777" w:rsidTr="00F21E32">
        <w:tc>
          <w:tcPr>
            <w:tcW w:w="4806" w:type="dxa"/>
            <w:tcBorders>
              <w:left w:val="nil"/>
              <w:bottom w:val="nil"/>
            </w:tcBorders>
            <w:shd w:val="clear" w:color="auto" w:fill="FFFFFF"/>
          </w:tcPr>
          <w:p w14:paraId="66CFD9C3"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Community Advocacy Initiative of Kenya (CAIK)</w:t>
            </w:r>
          </w:p>
        </w:tc>
        <w:tc>
          <w:tcPr>
            <w:tcW w:w="4644" w:type="dxa"/>
            <w:shd w:val="clear" w:color="auto" w:fill="auto"/>
          </w:tcPr>
          <w:p w14:paraId="4EE206B3" w14:textId="77777777" w:rsidR="00A824A8" w:rsidRPr="00A824A8" w:rsidRDefault="00A824A8" w:rsidP="00F21E32">
            <w:pPr>
              <w:spacing w:after="0" w:line="276" w:lineRule="auto"/>
              <w:jc w:val="both"/>
              <w:rPr>
                <w:rFonts w:ascii="Cambria" w:hAnsi="Cambria"/>
                <w:sz w:val="24"/>
                <w:szCs w:val="24"/>
                <w:lang w:val="en-US"/>
              </w:rPr>
            </w:pPr>
            <w:r w:rsidRPr="00A824A8">
              <w:rPr>
                <w:rFonts w:ascii="Cambria" w:hAnsi="Cambria"/>
                <w:sz w:val="24"/>
                <w:szCs w:val="24"/>
                <w:lang w:val="en-US"/>
              </w:rPr>
              <w:t>caik0973@gmail.com</w:t>
            </w:r>
          </w:p>
        </w:tc>
      </w:tr>
      <w:tr w:rsidR="00A824A8" w:rsidRPr="00A824A8" w14:paraId="3FD5C084" w14:textId="77777777" w:rsidTr="00F21E32">
        <w:tc>
          <w:tcPr>
            <w:tcW w:w="4806" w:type="dxa"/>
            <w:tcBorders>
              <w:left w:val="nil"/>
              <w:bottom w:val="nil"/>
            </w:tcBorders>
            <w:shd w:val="clear" w:color="auto" w:fill="FFFFFF"/>
          </w:tcPr>
          <w:p w14:paraId="23F0293A"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lastRenderedPageBreak/>
              <w:t>Nairobi Outreach Services Trust (NOSET)</w:t>
            </w:r>
          </w:p>
        </w:tc>
        <w:tc>
          <w:tcPr>
            <w:tcW w:w="4644" w:type="dxa"/>
            <w:shd w:val="clear" w:color="auto" w:fill="DEEAF6"/>
          </w:tcPr>
          <w:p w14:paraId="4F6A65F1" w14:textId="77777777" w:rsidR="00A824A8" w:rsidRPr="00A824A8" w:rsidRDefault="00A824A8" w:rsidP="00F21E32">
            <w:pPr>
              <w:spacing w:after="0" w:line="276" w:lineRule="auto"/>
              <w:jc w:val="both"/>
              <w:rPr>
                <w:rFonts w:ascii="Cambria" w:hAnsi="Cambria"/>
                <w:sz w:val="24"/>
                <w:szCs w:val="24"/>
                <w:lang w:val="en-US"/>
              </w:rPr>
            </w:pPr>
            <w:r w:rsidRPr="00A824A8">
              <w:rPr>
                <w:rFonts w:ascii="Cambria" w:hAnsi="Cambria"/>
                <w:sz w:val="24"/>
                <w:szCs w:val="24"/>
                <w:lang w:val="en-US"/>
              </w:rPr>
              <w:t>horaceangira@gmail.com</w:t>
            </w:r>
          </w:p>
        </w:tc>
      </w:tr>
      <w:tr w:rsidR="00A824A8" w:rsidRPr="00A824A8" w14:paraId="215086D9" w14:textId="77777777" w:rsidTr="00F21E32">
        <w:tc>
          <w:tcPr>
            <w:tcW w:w="4806" w:type="dxa"/>
            <w:tcBorders>
              <w:left w:val="nil"/>
              <w:bottom w:val="nil"/>
            </w:tcBorders>
            <w:shd w:val="clear" w:color="auto" w:fill="FFFFFF"/>
          </w:tcPr>
          <w:p w14:paraId="06476C5C" w14:textId="77777777" w:rsidR="00A824A8" w:rsidRPr="00A824A8" w:rsidRDefault="00A824A8" w:rsidP="00F21E32">
            <w:pPr>
              <w:spacing w:line="276" w:lineRule="auto"/>
              <w:jc w:val="both"/>
              <w:rPr>
                <w:rFonts w:ascii="Cambria" w:hAnsi="Cambria"/>
                <w:i/>
                <w:iCs/>
                <w:sz w:val="24"/>
                <w:szCs w:val="24"/>
                <w:lang w:val="en-US"/>
              </w:rPr>
            </w:pPr>
            <w:proofErr w:type="spellStart"/>
            <w:r w:rsidRPr="00A824A8">
              <w:rPr>
                <w:rFonts w:ascii="Cambria" w:hAnsi="Cambria"/>
                <w:i/>
                <w:iCs/>
                <w:sz w:val="24"/>
                <w:szCs w:val="24"/>
                <w:lang w:val="en-US"/>
              </w:rPr>
              <w:t>Reachout</w:t>
            </w:r>
            <w:proofErr w:type="spellEnd"/>
            <w:r w:rsidRPr="00A824A8">
              <w:rPr>
                <w:rFonts w:ascii="Cambria" w:hAnsi="Cambria"/>
                <w:i/>
                <w:iCs/>
                <w:sz w:val="24"/>
                <w:szCs w:val="24"/>
                <w:lang w:val="en-US"/>
              </w:rPr>
              <w:t xml:space="preserve"> Centre Trust (RCT)</w:t>
            </w:r>
          </w:p>
        </w:tc>
        <w:tc>
          <w:tcPr>
            <w:tcW w:w="4644" w:type="dxa"/>
            <w:shd w:val="clear" w:color="auto" w:fill="auto"/>
          </w:tcPr>
          <w:p w14:paraId="7D14C82E" w14:textId="77777777" w:rsidR="00A824A8" w:rsidRPr="00A824A8" w:rsidRDefault="00A824A8" w:rsidP="00F21E32">
            <w:pPr>
              <w:spacing w:line="276" w:lineRule="auto"/>
              <w:jc w:val="both"/>
              <w:rPr>
                <w:rFonts w:ascii="Cambria" w:hAnsi="Cambria"/>
                <w:sz w:val="24"/>
                <w:szCs w:val="24"/>
                <w:lang w:val="en-US"/>
              </w:rPr>
            </w:pPr>
            <w:r w:rsidRPr="00A824A8">
              <w:rPr>
                <w:rFonts w:ascii="Cambria" w:hAnsi="Cambria"/>
                <w:sz w:val="24"/>
                <w:szCs w:val="24"/>
                <w:lang w:val="en-US"/>
              </w:rPr>
              <w:t>twayeebahmed@gmail.com</w:t>
            </w:r>
          </w:p>
        </w:tc>
      </w:tr>
      <w:tr w:rsidR="00A824A8" w:rsidRPr="00A824A8" w14:paraId="7C8F6BBE" w14:textId="77777777" w:rsidTr="00F21E32">
        <w:tc>
          <w:tcPr>
            <w:tcW w:w="4806" w:type="dxa"/>
            <w:tcBorders>
              <w:left w:val="nil"/>
              <w:bottom w:val="nil"/>
            </w:tcBorders>
            <w:shd w:val="clear" w:color="auto" w:fill="FFFFFF"/>
          </w:tcPr>
          <w:p w14:paraId="2951E928"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Teens Watch Centre (TWC)</w:t>
            </w:r>
          </w:p>
        </w:tc>
        <w:tc>
          <w:tcPr>
            <w:tcW w:w="4644" w:type="dxa"/>
            <w:shd w:val="clear" w:color="auto" w:fill="DEEAF6"/>
          </w:tcPr>
          <w:p w14:paraId="466A7175" w14:textId="77777777" w:rsidR="00A824A8" w:rsidRPr="00A824A8" w:rsidRDefault="00A824A8" w:rsidP="00F21E32">
            <w:pPr>
              <w:spacing w:line="276" w:lineRule="auto"/>
              <w:jc w:val="both"/>
              <w:rPr>
                <w:rFonts w:ascii="Cambria" w:hAnsi="Cambria"/>
                <w:sz w:val="24"/>
                <w:szCs w:val="24"/>
                <w:lang w:val="en-US"/>
              </w:rPr>
            </w:pPr>
            <w:r w:rsidRPr="00A824A8">
              <w:rPr>
                <w:rFonts w:ascii="Cambria" w:hAnsi="Cambria"/>
                <w:sz w:val="24"/>
                <w:szCs w:val="24"/>
                <w:lang w:val="en-US"/>
              </w:rPr>
              <w:t>mzitocosmus@gmail.com</w:t>
            </w:r>
          </w:p>
        </w:tc>
      </w:tr>
      <w:tr w:rsidR="00A824A8" w:rsidRPr="00A824A8" w14:paraId="20123BD5" w14:textId="77777777" w:rsidTr="00F21E32">
        <w:tc>
          <w:tcPr>
            <w:tcW w:w="4806" w:type="dxa"/>
            <w:tcBorders>
              <w:left w:val="nil"/>
              <w:bottom w:val="nil"/>
            </w:tcBorders>
            <w:shd w:val="clear" w:color="auto" w:fill="FFFFFF"/>
          </w:tcPr>
          <w:p w14:paraId="25255ADA"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MEWA</w:t>
            </w:r>
          </w:p>
        </w:tc>
        <w:tc>
          <w:tcPr>
            <w:tcW w:w="4644" w:type="dxa"/>
            <w:shd w:val="clear" w:color="auto" w:fill="auto"/>
          </w:tcPr>
          <w:p w14:paraId="251B1638" w14:textId="77777777" w:rsidR="00A824A8" w:rsidRPr="00A824A8" w:rsidRDefault="00A824A8" w:rsidP="00F21E32">
            <w:pPr>
              <w:spacing w:line="276" w:lineRule="auto"/>
              <w:jc w:val="both"/>
              <w:rPr>
                <w:rFonts w:ascii="Cambria" w:hAnsi="Cambria"/>
                <w:bCs/>
                <w:sz w:val="24"/>
                <w:szCs w:val="24"/>
                <w:lang w:val="en-US"/>
              </w:rPr>
            </w:pPr>
            <w:r w:rsidRPr="00A824A8">
              <w:rPr>
                <w:rFonts w:ascii="Cambria" w:hAnsi="Cambria"/>
                <w:bCs/>
                <w:sz w:val="24"/>
                <w:szCs w:val="24"/>
                <w:lang w:val="en-US"/>
              </w:rPr>
              <w:t>abdallabadrus@gmail.com</w:t>
            </w:r>
          </w:p>
          <w:p w14:paraId="1B301E97" w14:textId="77777777" w:rsidR="00A824A8" w:rsidRPr="00A824A8" w:rsidRDefault="00A824A8" w:rsidP="00F21E32">
            <w:pPr>
              <w:spacing w:line="276" w:lineRule="auto"/>
              <w:jc w:val="both"/>
              <w:rPr>
                <w:rFonts w:ascii="Cambria" w:hAnsi="Cambria"/>
                <w:sz w:val="24"/>
                <w:szCs w:val="24"/>
                <w:lang w:val="en-US"/>
              </w:rPr>
            </w:pPr>
          </w:p>
        </w:tc>
      </w:tr>
      <w:tr w:rsidR="00A824A8" w:rsidRPr="00A824A8" w14:paraId="06200B65" w14:textId="77777777" w:rsidTr="00F21E32">
        <w:tc>
          <w:tcPr>
            <w:tcW w:w="4806" w:type="dxa"/>
            <w:tcBorders>
              <w:left w:val="nil"/>
              <w:bottom w:val="nil"/>
            </w:tcBorders>
            <w:shd w:val="clear" w:color="auto" w:fill="FFFFFF"/>
          </w:tcPr>
          <w:p w14:paraId="768E1DF6"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Kisumu Network of People Who Use Drugs (KINPUD)</w:t>
            </w:r>
          </w:p>
        </w:tc>
        <w:tc>
          <w:tcPr>
            <w:tcW w:w="4644" w:type="dxa"/>
            <w:shd w:val="clear" w:color="auto" w:fill="DEEAF6"/>
          </w:tcPr>
          <w:p w14:paraId="4520606D" w14:textId="77777777" w:rsidR="00A824A8" w:rsidRPr="00A824A8" w:rsidRDefault="00A824A8" w:rsidP="00F21E32">
            <w:pPr>
              <w:spacing w:line="276" w:lineRule="auto"/>
              <w:jc w:val="both"/>
              <w:rPr>
                <w:rFonts w:ascii="Cambria" w:hAnsi="Cambria"/>
                <w:sz w:val="24"/>
                <w:szCs w:val="24"/>
                <w:lang w:val="en-US"/>
              </w:rPr>
            </w:pPr>
            <w:r w:rsidRPr="00A824A8">
              <w:rPr>
                <w:rFonts w:ascii="Cambria" w:hAnsi="Cambria"/>
                <w:sz w:val="24"/>
                <w:szCs w:val="24"/>
                <w:lang w:val="en-US"/>
              </w:rPr>
              <w:t>kinpudk@gmail.com</w:t>
            </w:r>
          </w:p>
        </w:tc>
      </w:tr>
      <w:tr w:rsidR="00A824A8" w:rsidRPr="00A824A8" w14:paraId="48141DD7" w14:textId="77777777" w:rsidTr="00F21E32">
        <w:tc>
          <w:tcPr>
            <w:tcW w:w="4806" w:type="dxa"/>
            <w:tcBorders>
              <w:left w:val="nil"/>
              <w:bottom w:val="nil"/>
            </w:tcBorders>
            <w:shd w:val="clear" w:color="auto" w:fill="FFFFFF"/>
          </w:tcPr>
          <w:p w14:paraId="1661D459"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Kenya Network of People Who Use Drugs (KENPUD)</w:t>
            </w:r>
          </w:p>
        </w:tc>
        <w:tc>
          <w:tcPr>
            <w:tcW w:w="4644" w:type="dxa"/>
            <w:shd w:val="clear" w:color="auto" w:fill="auto"/>
          </w:tcPr>
          <w:p w14:paraId="421C05B7" w14:textId="77777777" w:rsidR="00A824A8" w:rsidRPr="00A824A8" w:rsidRDefault="00A824A8" w:rsidP="00F21E32">
            <w:pPr>
              <w:spacing w:line="276" w:lineRule="auto"/>
              <w:jc w:val="both"/>
              <w:rPr>
                <w:rFonts w:ascii="Cambria" w:hAnsi="Cambria"/>
                <w:sz w:val="24"/>
                <w:szCs w:val="24"/>
                <w:lang w:val="en-US"/>
              </w:rPr>
            </w:pPr>
            <w:r w:rsidRPr="00A824A8">
              <w:rPr>
                <w:rFonts w:ascii="Cambria" w:hAnsi="Cambria"/>
                <w:sz w:val="24"/>
                <w:szCs w:val="24"/>
                <w:lang w:val="en-US"/>
              </w:rPr>
              <w:t>kenpud17@gmail.com</w:t>
            </w:r>
          </w:p>
        </w:tc>
      </w:tr>
      <w:tr w:rsidR="00A824A8" w:rsidRPr="00A824A8" w14:paraId="204F01D8" w14:textId="77777777" w:rsidTr="00F21E32">
        <w:tc>
          <w:tcPr>
            <w:tcW w:w="4806" w:type="dxa"/>
            <w:tcBorders>
              <w:left w:val="nil"/>
              <w:bottom w:val="nil"/>
            </w:tcBorders>
            <w:shd w:val="clear" w:color="auto" w:fill="FFFFFF"/>
          </w:tcPr>
          <w:p w14:paraId="46C98B36"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Kwale Network of People Who Use Drugs (KWANPUD)</w:t>
            </w:r>
          </w:p>
        </w:tc>
        <w:tc>
          <w:tcPr>
            <w:tcW w:w="4644" w:type="dxa"/>
            <w:shd w:val="clear" w:color="auto" w:fill="DEEAF6"/>
          </w:tcPr>
          <w:p w14:paraId="3CEE62BF" w14:textId="77777777" w:rsidR="00A824A8" w:rsidRPr="00A824A8" w:rsidRDefault="00A824A8" w:rsidP="00F21E32">
            <w:pPr>
              <w:spacing w:line="276" w:lineRule="auto"/>
              <w:jc w:val="both"/>
              <w:rPr>
                <w:rFonts w:ascii="Cambria" w:hAnsi="Cambria"/>
                <w:sz w:val="24"/>
                <w:szCs w:val="24"/>
                <w:lang w:val="en-US"/>
              </w:rPr>
            </w:pPr>
            <w:r w:rsidRPr="00A824A8">
              <w:rPr>
                <w:rFonts w:ascii="Cambria" w:hAnsi="Cambria"/>
                <w:sz w:val="24"/>
                <w:szCs w:val="24"/>
                <w:lang w:val="en-US"/>
              </w:rPr>
              <w:t>kwanpud20@gmail.com</w:t>
            </w:r>
          </w:p>
        </w:tc>
      </w:tr>
      <w:tr w:rsidR="00A824A8" w:rsidRPr="00A824A8" w14:paraId="52633CB1" w14:textId="77777777" w:rsidTr="00F21E32">
        <w:tc>
          <w:tcPr>
            <w:tcW w:w="4806" w:type="dxa"/>
            <w:tcBorders>
              <w:left w:val="nil"/>
              <w:bottom w:val="nil"/>
            </w:tcBorders>
            <w:shd w:val="clear" w:color="auto" w:fill="FFFFFF"/>
          </w:tcPr>
          <w:p w14:paraId="120687C0"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Women in Response to HIV and Drug Addiction (WRADA)</w:t>
            </w:r>
          </w:p>
        </w:tc>
        <w:tc>
          <w:tcPr>
            <w:tcW w:w="4644" w:type="dxa"/>
            <w:shd w:val="clear" w:color="auto" w:fill="auto"/>
          </w:tcPr>
          <w:p w14:paraId="1F9280C8" w14:textId="77777777" w:rsidR="00A824A8" w:rsidRPr="00A824A8" w:rsidRDefault="00A824A8" w:rsidP="00F21E32">
            <w:pPr>
              <w:spacing w:line="276" w:lineRule="auto"/>
              <w:jc w:val="both"/>
              <w:rPr>
                <w:rFonts w:ascii="Cambria" w:hAnsi="Cambria"/>
                <w:sz w:val="24"/>
                <w:szCs w:val="24"/>
                <w:lang w:val="en-US"/>
              </w:rPr>
            </w:pPr>
            <w:r w:rsidRPr="00A824A8">
              <w:rPr>
                <w:rFonts w:ascii="Cambria" w:hAnsi="Cambria"/>
                <w:sz w:val="24"/>
                <w:szCs w:val="24"/>
                <w:lang w:val="en-US"/>
              </w:rPr>
              <w:t>womenresponse@gmail.com</w:t>
            </w:r>
          </w:p>
        </w:tc>
      </w:tr>
      <w:tr w:rsidR="00A824A8" w:rsidRPr="00A824A8" w14:paraId="3D7EE513" w14:textId="77777777" w:rsidTr="00F21E32">
        <w:tc>
          <w:tcPr>
            <w:tcW w:w="4806" w:type="dxa"/>
            <w:tcBorders>
              <w:left w:val="nil"/>
            </w:tcBorders>
            <w:shd w:val="clear" w:color="auto" w:fill="FFFFFF"/>
          </w:tcPr>
          <w:p w14:paraId="441C2971"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The Omari Project</w:t>
            </w:r>
          </w:p>
        </w:tc>
        <w:tc>
          <w:tcPr>
            <w:tcW w:w="4644" w:type="dxa"/>
            <w:shd w:val="clear" w:color="auto" w:fill="DEEAF6"/>
          </w:tcPr>
          <w:p w14:paraId="076EB769" w14:textId="77777777" w:rsidR="00A824A8" w:rsidRPr="00A824A8" w:rsidRDefault="00A824A8" w:rsidP="00F21E32">
            <w:pPr>
              <w:spacing w:line="276" w:lineRule="auto"/>
              <w:jc w:val="both"/>
              <w:rPr>
                <w:rFonts w:ascii="Cambria" w:hAnsi="Cambria"/>
                <w:sz w:val="24"/>
                <w:szCs w:val="24"/>
                <w:lang w:val="en-US"/>
              </w:rPr>
            </w:pPr>
            <w:hyperlink r:id="rId10" w:history="1">
              <w:r w:rsidRPr="00A824A8">
                <w:rPr>
                  <w:rStyle w:val="Hyperlink"/>
                  <w:rFonts w:ascii="Cambria" w:hAnsi="Cambria"/>
                  <w:sz w:val="24"/>
                  <w:szCs w:val="24"/>
                  <w:lang w:val="en-US"/>
                </w:rPr>
                <w:t>theomariproject@gmail.com</w:t>
              </w:r>
            </w:hyperlink>
          </w:p>
        </w:tc>
      </w:tr>
      <w:tr w:rsidR="00A824A8" w:rsidRPr="00A824A8" w14:paraId="11F1D9B4" w14:textId="77777777" w:rsidTr="00F21E32">
        <w:tc>
          <w:tcPr>
            <w:tcW w:w="4806" w:type="dxa"/>
            <w:tcBorders>
              <w:left w:val="nil"/>
              <w:bottom w:val="nil"/>
            </w:tcBorders>
            <w:shd w:val="clear" w:color="auto" w:fill="FFFFFF"/>
          </w:tcPr>
          <w:p w14:paraId="4826F101" w14:textId="77777777" w:rsidR="00A824A8" w:rsidRPr="00A824A8" w:rsidRDefault="00A824A8" w:rsidP="00F21E32">
            <w:pPr>
              <w:spacing w:line="276" w:lineRule="auto"/>
              <w:jc w:val="both"/>
              <w:rPr>
                <w:rFonts w:ascii="Cambria" w:hAnsi="Cambria"/>
                <w:i/>
                <w:iCs/>
                <w:sz w:val="24"/>
                <w:szCs w:val="24"/>
                <w:lang w:val="en-US"/>
              </w:rPr>
            </w:pPr>
            <w:r w:rsidRPr="00A824A8">
              <w:rPr>
                <w:rFonts w:ascii="Cambria" w:hAnsi="Cambria"/>
                <w:i/>
                <w:iCs/>
                <w:sz w:val="24"/>
                <w:szCs w:val="24"/>
                <w:lang w:val="en-US"/>
              </w:rPr>
              <w:t>The International Drug Policy Consortium</w:t>
            </w:r>
          </w:p>
        </w:tc>
        <w:tc>
          <w:tcPr>
            <w:tcW w:w="4644" w:type="dxa"/>
            <w:shd w:val="clear" w:color="auto" w:fill="DEEAF6"/>
          </w:tcPr>
          <w:p w14:paraId="18F88ACF" w14:textId="77777777" w:rsidR="00A824A8" w:rsidRPr="00A824A8" w:rsidRDefault="00A824A8" w:rsidP="00F21E32">
            <w:pPr>
              <w:spacing w:line="276" w:lineRule="auto"/>
              <w:jc w:val="both"/>
              <w:rPr>
                <w:rFonts w:ascii="Cambria" w:hAnsi="Cambria"/>
                <w:sz w:val="24"/>
                <w:szCs w:val="24"/>
                <w:lang w:val="en-US"/>
              </w:rPr>
            </w:pPr>
            <w:hyperlink r:id="rId11" w:history="1">
              <w:r w:rsidRPr="00A824A8">
                <w:rPr>
                  <w:rStyle w:val="Hyperlink"/>
                  <w:rFonts w:ascii="Cambria" w:hAnsi="Cambria"/>
                  <w:sz w:val="24"/>
                  <w:szCs w:val="24"/>
                  <w:lang w:val="en-US"/>
                </w:rPr>
                <w:t>contact@idpc.net</w:t>
              </w:r>
            </w:hyperlink>
            <w:r w:rsidRPr="00A824A8">
              <w:rPr>
                <w:rFonts w:ascii="Cambria" w:hAnsi="Cambria"/>
                <w:sz w:val="24"/>
                <w:szCs w:val="24"/>
                <w:lang w:val="en-US"/>
              </w:rPr>
              <w:t xml:space="preserve"> </w:t>
            </w:r>
          </w:p>
        </w:tc>
      </w:tr>
    </w:tbl>
    <w:p w14:paraId="06399234" w14:textId="77777777" w:rsidR="00A824A8" w:rsidRPr="00A824A8" w:rsidRDefault="00A824A8" w:rsidP="00A824A8">
      <w:pPr>
        <w:spacing w:line="276" w:lineRule="auto"/>
        <w:jc w:val="both"/>
        <w:rPr>
          <w:rFonts w:ascii="Cambria" w:hAnsi="Cambria"/>
          <w:sz w:val="24"/>
          <w:szCs w:val="24"/>
          <w:lang w:val="en-US"/>
        </w:rPr>
      </w:pPr>
    </w:p>
    <w:p w14:paraId="69AA9720" w14:textId="77777777" w:rsidR="00A824A8" w:rsidRPr="00A824A8" w:rsidRDefault="00A824A8" w:rsidP="00A824A8">
      <w:pPr>
        <w:spacing w:line="276" w:lineRule="auto"/>
        <w:jc w:val="both"/>
        <w:rPr>
          <w:rFonts w:ascii="Cambria" w:hAnsi="Cambria"/>
          <w:sz w:val="24"/>
          <w:szCs w:val="24"/>
          <w:lang w:val="en-US"/>
        </w:rPr>
      </w:pPr>
      <w:r w:rsidRPr="00A824A8">
        <w:rPr>
          <w:rFonts w:ascii="Cambria" w:hAnsi="Cambria"/>
          <w:sz w:val="24"/>
          <w:szCs w:val="24"/>
          <w:lang w:val="en-US"/>
        </w:rPr>
        <w:t xml:space="preserve">By leveraging these diverse partners, NEXTGEN Lawyers is uniquely positioned to provide comprehensive legal support to marginalized groups, particularly those affected by punitive laws and systemic exclusion. This collaborative approach enables the organization to deliver tailored, high-quality legal empowerment and representation to </w:t>
      </w:r>
      <w:r w:rsidRPr="00A824A8">
        <w:rPr>
          <w:rFonts w:ascii="Cambria" w:hAnsi="Cambria"/>
          <w:bCs/>
          <w:sz w:val="24"/>
          <w:szCs w:val="24"/>
          <w:lang w:val="en-US"/>
        </w:rPr>
        <w:t>PWUD</w:t>
      </w:r>
      <w:r w:rsidRPr="00A824A8">
        <w:rPr>
          <w:rFonts w:ascii="Cambria" w:hAnsi="Cambria"/>
          <w:sz w:val="24"/>
          <w:szCs w:val="24"/>
          <w:lang w:val="en-US"/>
        </w:rPr>
        <w:t>, and other vulnerable populations who face significant legal and social barriers in accessing justice.</w:t>
      </w:r>
    </w:p>
    <w:p w14:paraId="50749658" w14:textId="77777777" w:rsidR="00A824A8" w:rsidRPr="00A824A8" w:rsidRDefault="00A824A8" w:rsidP="00A824A8">
      <w:pPr>
        <w:spacing w:line="276" w:lineRule="auto"/>
        <w:jc w:val="both"/>
        <w:rPr>
          <w:rFonts w:ascii="Cambria" w:hAnsi="Cambria"/>
          <w:sz w:val="24"/>
          <w:szCs w:val="24"/>
          <w:lang w:val="en-US"/>
        </w:rPr>
      </w:pPr>
      <w:r w:rsidRPr="00A824A8">
        <w:rPr>
          <w:rFonts w:ascii="Cambria" w:hAnsi="Cambria"/>
          <w:sz w:val="24"/>
          <w:szCs w:val="24"/>
          <w:lang w:val="en-US"/>
        </w:rPr>
        <w:t xml:space="preserve">This joint submission, underscores the urgent need to address the systemic exclusion and discrimination faced by </w:t>
      </w:r>
      <w:r w:rsidRPr="00A824A8">
        <w:rPr>
          <w:rFonts w:ascii="Cambria" w:hAnsi="Cambria"/>
          <w:bCs/>
          <w:sz w:val="24"/>
          <w:szCs w:val="24"/>
          <w:lang w:val="en-US"/>
        </w:rPr>
        <w:t>PWUDs</w:t>
      </w:r>
      <w:r w:rsidRPr="00A824A8">
        <w:rPr>
          <w:rFonts w:ascii="Cambria" w:hAnsi="Cambria"/>
          <w:sz w:val="24"/>
          <w:szCs w:val="24"/>
          <w:lang w:val="en-US"/>
        </w:rPr>
        <w:t xml:space="preserve"> in the country who experience intersecting challenges that result in severe human rights violations, denying them access to justice and essential rights protected within the ICESCR. This is further </w:t>
      </w:r>
      <w:proofErr w:type="spellStart"/>
      <w:r w:rsidRPr="00A824A8">
        <w:rPr>
          <w:rFonts w:ascii="Cambria" w:hAnsi="Cambria"/>
          <w:sz w:val="24"/>
          <w:szCs w:val="24"/>
          <w:lang w:val="en-US"/>
        </w:rPr>
        <w:t>exercabted</w:t>
      </w:r>
      <w:proofErr w:type="spellEnd"/>
      <w:r w:rsidRPr="00A824A8">
        <w:rPr>
          <w:rFonts w:ascii="Cambria" w:hAnsi="Cambria"/>
          <w:sz w:val="24"/>
          <w:szCs w:val="24"/>
          <w:lang w:val="en-US"/>
        </w:rPr>
        <w:t xml:space="preserve"> by punitive laws. The Kenyan legal framework and societal attitudes often perpetuate this marginalization, undermining the fundamental rights guaranteed to all individuals under international human rights law.</w:t>
      </w:r>
    </w:p>
    <w:p w14:paraId="23B88124" w14:textId="77777777" w:rsidR="00A824A8" w:rsidRPr="00A824A8" w:rsidRDefault="00A824A8" w:rsidP="00A824A8">
      <w:pPr>
        <w:pStyle w:val="ListParagraph"/>
        <w:numPr>
          <w:ilvl w:val="0"/>
          <w:numId w:val="1"/>
        </w:numPr>
        <w:spacing w:line="276" w:lineRule="auto"/>
        <w:jc w:val="both"/>
        <w:rPr>
          <w:rFonts w:ascii="Cambria" w:hAnsi="Cambria"/>
          <w:b/>
          <w:color w:val="ED7D31"/>
          <w:sz w:val="32"/>
          <w:szCs w:val="32"/>
          <w:lang w:val="en-US"/>
        </w:rPr>
      </w:pPr>
      <w:r w:rsidRPr="00A824A8">
        <w:rPr>
          <w:rFonts w:ascii="Cambria" w:hAnsi="Cambria"/>
          <w:b/>
          <w:color w:val="ED7D31"/>
          <w:sz w:val="32"/>
          <w:szCs w:val="32"/>
          <w:lang w:val="en-US"/>
        </w:rPr>
        <w:t>GENERAL INFORMATION</w:t>
      </w:r>
    </w:p>
    <w:p w14:paraId="783F0D61"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cs="Calibri Light"/>
          <w:sz w:val="24"/>
          <w:szCs w:val="24"/>
          <w:lang w:val="en-US"/>
        </w:rPr>
        <w:t xml:space="preserve">The ongoing marginalization of certain groups within society is a pressing human rights issue that requires urgent attention and action. In many countries, individuals whose social behaviors and identities are criminalized face systemic discrimination that hinders their access to justice and essential services. The negative consequences of such discrimination are profound, leading to </w:t>
      </w:r>
      <w:r w:rsidRPr="00A824A8">
        <w:rPr>
          <w:rFonts w:ascii="Cambria" w:hAnsi="Cambria" w:cs="Calibri Light"/>
          <w:sz w:val="24"/>
          <w:szCs w:val="24"/>
          <w:lang w:val="en-US"/>
        </w:rPr>
        <w:lastRenderedPageBreak/>
        <w:t xml:space="preserve">increased vulnerability to violence, health disparities, and social exclusion (UNDP, 2016; ILGA, 2020). Moreover, the criminalization of these populations and behaviors perpetuates stigma and reinforces cycles of poverty and marginalization, denying individuals their fundamental rights and freedoms (UNAIDS, 2021; Human Rights Watch, 2021). </w:t>
      </w:r>
      <w:proofErr w:type="gramStart"/>
      <w:r w:rsidRPr="00A824A8">
        <w:rPr>
          <w:rFonts w:ascii="Cambria" w:hAnsi="Cambria" w:cs="Calibri Light"/>
          <w:sz w:val="24"/>
          <w:szCs w:val="24"/>
          <w:lang w:val="en-US"/>
        </w:rPr>
        <w:t>In light of</w:t>
      </w:r>
      <w:proofErr w:type="gramEnd"/>
      <w:r w:rsidRPr="00A824A8">
        <w:rPr>
          <w:rFonts w:ascii="Cambria" w:hAnsi="Cambria" w:cs="Calibri Light"/>
          <w:sz w:val="24"/>
          <w:szCs w:val="24"/>
          <w:lang w:val="en-US"/>
        </w:rPr>
        <w:t xml:space="preserve"> these issues, this report refers specifically to People Who Use Drugs (PWUD) who face social and legal discrimination. The report aims to highlight the systemic injustices and human rights violations experienced by this marginalized community.</w:t>
      </w:r>
    </w:p>
    <w:p w14:paraId="25F13122"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According to the World Drug Report 2024 by the United Nations Office on Drugs and Crime (UNODC), approximately 292 million people aged 15–64, which is around 1 in 18 people globally in that age group, used drugs in the past 12 months in 2022 (UNODC, 2024).</w:t>
      </w:r>
      <w:r w:rsidRPr="00A824A8">
        <w:rPr>
          <w:rFonts w:ascii="Cambria" w:eastAsia="Times New Roman" w:hAnsi="Cambria"/>
          <w:color w:val="44546A"/>
          <w:sz w:val="24"/>
          <w:szCs w:val="24"/>
          <w:lang w:val="en-US" w:eastAsia="ja-JP"/>
        </w:rPr>
        <w:t xml:space="preserve"> </w:t>
      </w:r>
      <w:r w:rsidRPr="00A824A8">
        <w:rPr>
          <w:rFonts w:ascii="Cambria" w:hAnsi="Cambria"/>
          <w:sz w:val="24"/>
          <w:szCs w:val="24"/>
          <w:lang w:val="en-US"/>
        </w:rPr>
        <w:t>According to the 2022 National Survey on the Status of Drugs and Substance Use in Kenya, the average age for people who use various substances, including tobacco, alcohol, khat, cannabis, prescription drugs, cocaine, and heroin, is between 16 and 20 years (NACADA, 2022).</w:t>
      </w:r>
    </w:p>
    <w:p w14:paraId="30F6B899"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The Committee on Economic, Social and Cultural Rights (CESCR) requested Kenya to report on measures taken to address HIV in its sixth periodic report, particularly through integrated prevention mechanisms and harm reduction programs targeting vulnerable populations, including people who inject drugs, sex workers, and persons deprived of their liberty. The State party in its response acknowledged the provision of harm reduction services in its sixth periodic report however, significant gaps persist. These gaps hinder the effectiveness of harm reduction initiatives for people who use drugs. This report underscores the need for robust and inclusive harm reduction measures and expanded access to health services to address the needs of these marginalized populations effectively.</w:t>
      </w:r>
    </w:p>
    <w:p w14:paraId="041497DB"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This report draws on a </w:t>
      </w:r>
      <w:r w:rsidRPr="00A824A8">
        <w:rPr>
          <w:rFonts w:ascii="Cambria" w:hAnsi="Cambria"/>
          <w:bCs/>
          <w:sz w:val="24"/>
          <w:szCs w:val="24"/>
          <w:lang w:val="en-US"/>
        </w:rPr>
        <w:t>mixed-method approach</w:t>
      </w:r>
      <w:r w:rsidRPr="00A824A8">
        <w:rPr>
          <w:rFonts w:ascii="Cambria" w:hAnsi="Cambria"/>
          <w:sz w:val="24"/>
          <w:szCs w:val="24"/>
          <w:lang w:val="en-US"/>
        </w:rPr>
        <w:t xml:space="preserve"> combining a </w:t>
      </w:r>
      <w:r w:rsidRPr="00A824A8">
        <w:rPr>
          <w:rFonts w:ascii="Cambria" w:hAnsi="Cambria"/>
          <w:bCs/>
          <w:sz w:val="24"/>
          <w:szCs w:val="24"/>
          <w:lang w:val="en-US"/>
        </w:rPr>
        <w:t>desk review</w:t>
      </w:r>
      <w:r w:rsidRPr="00A824A8">
        <w:rPr>
          <w:rFonts w:ascii="Cambria" w:hAnsi="Cambria"/>
          <w:sz w:val="24"/>
          <w:szCs w:val="24"/>
          <w:lang w:val="en-US"/>
        </w:rPr>
        <w:t xml:space="preserve"> of key documents and consultations with organizations working with PWUD who have direct experience working with the community in ensuring their access to harm reduction and related services. The submission examines both </w:t>
      </w:r>
      <w:proofErr w:type="gramStart"/>
      <w:r w:rsidRPr="00A824A8">
        <w:rPr>
          <w:rFonts w:ascii="Cambria" w:hAnsi="Cambria"/>
          <w:sz w:val="24"/>
          <w:szCs w:val="24"/>
          <w:lang w:val="en-US"/>
        </w:rPr>
        <w:t>progress</w:t>
      </w:r>
      <w:proofErr w:type="gramEnd"/>
      <w:r w:rsidRPr="00A824A8">
        <w:rPr>
          <w:rFonts w:ascii="Cambria" w:hAnsi="Cambria"/>
          <w:sz w:val="24"/>
          <w:szCs w:val="24"/>
          <w:lang w:val="en-US"/>
        </w:rPr>
        <w:t xml:space="preserve"> made by Kenya and the ongoing gaps that perpetuate inequality, discrimination and violation of rights as guaranteed in the ICESCR.</w:t>
      </w:r>
    </w:p>
    <w:p w14:paraId="251270F8" w14:textId="77777777" w:rsidR="00A824A8" w:rsidRPr="00A824A8" w:rsidRDefault="00A824A8" w:rsidP="00A824A8">
      <w:pPr>
        <w:pStyle w:val="ListParagraph"/>
        <w:spacing w:line="276" w:lineRule="auto"/>
        <w:ind w:left="990"/>
        <w:jc w:val="both"/>
        <w:rPr>
          <w:rFonts w:ascii="Cambria" w:hAnsi="Cambria"/>
          <w:sz w:val="24"/>
          <w:szCs w:val="24"/>
          <w:lang w:val="en-US"/>
        </w:rPr>
      </w:pPr>
    </w:p>
    <w:p w14:paraId="4F84ADB7" w14:textId="77777777" w:rsidR="00A824A8" w:rsidRPr="00A824A8" w:rsidRDefault="00A824A8" w:rsidP="00A824A8">
      <w:pPr>
        <w:pStyle w:val="ListParagraph"/>
        <w:numPr>
          <w:ilvl w:val="0"/>
          <w:numId w:val="1"/>
        </w:numPr>
        <w:spacing w:line="276" w:lineRule="auto"/>
        <w:jc w:val="both"/>
        <w:rPr>
          <w:rFonts w:ascii="Cambria" w:hAnsi="Cambria"/>
          <w:b/>
          <w:color w:val="ED7D31"/>
          <w:sz w:val="32"/>
          <w:szCs w:val="32"/>
          <w:lang w:val="en-US"/>
        </w:rPr>
      </w:pPr>
      <w:r w:rsidRPr="00A824A8">
        <w:rPr>
          <w:rFonts w:ascii="Cambria" w:hAnsi="Cambria"/>
          <w:b/>
          <w:color w:val="ED7D31"/>
          <w:sz w:val="32"/>
          <w:szCs w:val="32"/>
          <w:lang w:val="en-US"/>
        </w:rPr>
        <w:t>ISSUES RELATING TO THE GENERAL PROVISIONS OF THE COVENANT</w:t>
      </w:r>
    </w:p>
    <w:p w14:paraId="3009143B" w14:textId="77777777" w:rsidR="00A824A8" w:rsidRPr="00A824A8" w:rsidRDefault="00A824A8" w:rsidP="00A824A8">
      <w:pPr>
        <w:pStyle w:val="ListParagraph"/>
        <w:spacing w:line="276" w:lineRule="auto"/>
        <w:ind w:left="0"/>
        <w:rPr>
          <w:rFonts w:ascii="Cambria" w:hAnsi="Cambria"/>
          <w:b/>
          <w:color w:val="5B9BD5"/>
          <w:sz w:val="28"/>
          <w:szCs w:val="28"/>
          <w:lang w:val="en-US"/>
        </w:rPr>
      </w:pPr>
      <w:r w:rsidRPr="00A824A8">
        <w:rPr>
          <w:rFonts w:ascii="Cambria" w:hAnsi="Cambria"/>
          <w:b/>
          <w:color w:val="5B9BD5"/>
          <w:sz w:val="28"/>
          <w:szCs w:val="28"/>
          <w:lang w:val="en-US"/>
        </w:rPr>
        <w:t>Right to physical and mental health (art. 12)</w:t>
      </w:r>
    </w:p>
    <w:p w14:paraId="6759F199" w14:textId="77777777" w:rsidR="00A824A8" w:rsidRPr="00A824A8" w:rsidRDefault="00A824A8" w:rsidP="00A824A8">
      <w:pPr>
        <w:pStyle w:val="ListParagraph"/>
        <w:numPr>
          <w:ilvl w:val="0"/>
          <w:numId w:val="3"/>
        </w:numPr>
        <w:spacing w:line="276" w:lineRule="auto"/>
        <w:jc w:val="both"/>
        <w:rPr>
          <w:rFonts w:ascii="Cambria" w:hAnsi="Cambria"/>
          <w:b/>
          <w:i/>
          <w:color w:val="5B9BD5"/>
          <w:sz w:val="24"/>
          <w:szCs w:val="24"/>
          <w:lang w:val="en-US"/>
        </w:rPr>
      </w:pPr>
      <w:r w:rsidRPr="00A824A8">
        <w:rPr>
          <w:rFonts w:ascii="Cambria" w:hAnsi="Cambria"/>
          <w:b/>
          <w:i/>
          <w:color w:val="5B9BD5"/>
          <w:sz w:val="24"/>
          <w:szCs w:val="24"/>
          <w:lang w:val="en-US"/>
        </w:rPr>
        <w:t>Access to general Harm Reduction Services</w:t>
      </w:r>
    </w:p>
    <w:p w14:paraId="00967671"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Article 12 of the International Covenant on Economic, Social and Cultural Rights (ICESCR) guarantees the right to the highest attainable standard of physical and mental health, which includes equitable access to health services without discrimination. This is particularly critical for PWUD, who often encounter significant barriers to accessing healthcare. This right encompasses the </w:t>
      </w:r>
      <w:r w:rsidRPr="00A824A8">
        <w:rPr>
          <w:rFonts w:ascii="Cambria" w:hAnsi="Cambria"/>
          <w:sz w:val="24"/>
          <w:szCs w:val="24"/>
          <w:lang w:val="en-US"/>
        </w:rPr>
        <w:lastRenderedPageBreak/>
        <w:t>provision of harm reduction services, such as needle exchange programs and opioid substitution therapy, which are essential for mitigating the health risks associated with drug use. Similarly, Article 43(1)(a) of the Kenyan Constitution affirms the right of every person to the highest attainable standard of health, including access to health care services and reproductive health care. These constitutional provisions align with Kenya’s obligations under Article 12 of the ICESCR to ensure accessible, non-discriminatory health services, including harm reduction interventions, for all individuals.</w:t>
      </w:r>
    </w:p>
    <w:p w14:paraId="274A8A32"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Kenya has adopted a strict prohibitionist approach to drug use under the </w:t>
      </w:r>
      <w:r w:rsidRPr="00A824A8">
        <w:rPr>
          <w:rFonts w:ascii="Cambria" w:hAnsi="Cambria"/>
          <w:bCs/>
          <w:sz w:val="24"/>
          <w:szCs w:val="24"/>
          <w:lang w:val="en-US"/>
        </w:rPr>
        <w:t>Narcotic Drugs and Psychotropic Substances (Control) Act of 1994</w:t>
      </w:r>
      <w:r w:rsidRPr="00A824A8">
        <w:rPr>
          <w:rFonts w:ascii="Cambria" w:hAnsi="Cambria"/>
          <w:sz w:val="24"/>
          <w:szCs w:val="24"/>
          <w:lang w:val="en-US"/>
        </w:rPr>
        <w:t xml:space="preserve">, as amended in </w:t>
      </w:r>
      <w:r w:rsidRPr="00A824A8">
        <w:rPr>
          <w:rFonts w:ascii="Cambria" w:hAnsi="Cambria"/>
          <w:bCs/>
          <w:sz w:val="24"/>
          <w:szCs w:val="24"/>
          <w:lang w:val="en-US"/>
        </w:rPr>
        <w:t>2022</w:t>
      </w:r>
      <w:r w:rsidRPr="00A824A8">
        <w:rPr>
          <w:rFonts w:ascii="Cambria" w:hAnsi="Cambria"/>
          <w:sz w:val="24"/>
          <w:szCs w:val="24"/>
          <w:vertAlign w:val="superscript"/>
          <w:lang w:val="en-US"/>
        </w:rPr>
        <w:footnoteReference w:id="1"/>
      </w:r>
      <w:r w:rsidRPr="00A824A8">
        <w:rPr>
          <w:rFonts w:ascii="Cambria" w:hAnsi="Cambria"/>
          <w:sz w:val="24"/>
          <w:szCs w:val="24"/>
          <w:lang w:val="en-US"/>
        </w:rPr>
        <w:t>,</w:t>
      </w:r>
      <w:r w:rsidRPr="00A824A8">
        <w:rPr>
          <w:rFonts w:ascii="Cambria" w:hAnsi="Cambria"/>
          <w:sz w:val="24"/>
          <w:szCs w:val="24"/>
          <w:vertAlign w:val="superscript"/>
          <w:lang w:val="en-US"/>
        </w:rPr>
        <w:t xml:space="preserve"> </w:t>
      </w:r>
      <w:r w:rsidRPr="00A824A8">
        <w:rPr>
          <w:rFonts w:ascii="Cambria" w:hAnsi="Cambria"/>
          <w:sz w:val="24"/>
          <w:szCs w:val="24"/>
          <w:lang w:val="en-US"/>
        </w:rPr>
        <w:t xml:space="preserve">which imposes severe penalties, including long-term imprisonment and heavy fines for drug-related offenses. Since its amendment in 2022, the Act states that in respect of a narcotic drug or psychotropic substance, other than cannabis, where a person is in possession of less than one gram, to a fine of not less than five million shillings, or to imprisonment to a term of not less than five years, or to both such fine and imprisonment. While intended to curb drug use, this approach has had negative consequences, particularly overcrowding in prisons and the stigmatization of drug users. In the Global </w:t>
      </w:r>
      <w:proofErr w:type="gramStart"/>
      <w:r w:rsidRPr="00A824A8">
        <w:rPr>
          <w:rFonts w:ascii="Cambria" w:hAnsi="Cambria"/>
          <w:sz w:val="24"/>
          <w:szCs w:val="24"/>
          <w:lang w:val="en-US"/>
        </w:rPr>
        <w:t>prisons</w:t>
      </w:r>
      <w:proofErr w:type="gramEnd"/>
      <w:r w:rsidRPr="00A824A8">
        <w:rPr>
          <w:rFonts w:ascii="Cambria" w:hAnsi="Cambria"/>
          <w:sz w:val="24"/>
          <w:szCs w:val="24"/>
          <w:lang w:val="en-US"/>
        </w:rPr>
        <w:t xml:space="preserve"> trend of 2024, the report highlighted that countries still have overly </w:t>
      </w:r>
      <w:proofErr w:type="spellStart"/>
      <w:r w:rsidRPr="00A824A8">
        <w:rPr>
          <w:rFonts w:ascii="Cambria" w:hAnsi="Cambria"/>
          <w:sz w:val="24"/>
          <w:szCs w:val="24"/>
          <w:lang w:val="en-US"/>
        </w:rPr>
        <w:t>ahrsh</w:t>
      </w:r>
      <w:proofErr w:type="spellEnd"/>
      <w:r w:rsidRPr="00A824A8">
        <w:rPr>
          <w:rFonts w:ascii="Cambria" w:hAnsi="Cambria"/>
          <w:sz w:val="24"/>
          <w:szCs w:val="24"/>
          <w:lang w:val="en-US"/>
        </w:rPr>
        <w:t xml:space="preserve"> and punitive laws which has led to increased incarceration and pre-trial detention of PWUD. Drug offences continue to be a driver, with more than one in three imprisoned women being detained for a drug-related offence.</w:t>
      </w:r>
      <w:r w:rsidRPr="00A824A8">
        <w:rPr>
          <w:rStyle w:val="FootnoteReference"/>
          <w:rFonts w:ascii="Cambria" w:hAnsi="Cambria"/>
          <w:sz w:val="24"/>
          <w:szCs w:val="24"/>
          <w:lang w:val="en-US"/>
        </w:rPr>
        <w:footnoteReference w:id="2"/>
      </w:r>
      <w:r w:rsidRPr="00A824A8">
        <w:rPr>
          <w:rFonts w:ascii="Cambria" w:hAnsi="Cambria"/>
          <w:sz w:val="24"/>
          <w:szCs w:val="24"/>
          <w:lang w:val="en-US"/>
        </w:rPr>
        <w:t xml:space="preserve"> A </w:t>
      </w:r>
      <w:r w:rsidRPr="00A824A8">
        <w:rPr>
          <w:rFonts w:ascii="Cambria" w:hAnsi="Cambria"/>
          <w:bCs/>
          <w:sz w:val="24"/>
          <w:szCs w:val="24"/>
          <w:lang w:val="en-US"/>
        </w:rPr>
        <w:t>2019 study</w:t>
      </w:r>
      <w:r w:rsidRPr="00A824A8">
        <w:rPr>
          <w:rFonts w:ascii="Cambria" w:hAnsi="Cambria"/>
          <w:sz w:val="24"/>
          <w:szCs w:val="24"/>
          <w:lang w:val="en-US"/>
        </w:rPr>
        <w:t xml:space="preserve"> found that most inmates incarcerated for drug offenses were low-level persons who are also users, not large-scale traffickers, disproportionately impacting vulnerable populations (Global Commission on Drug Policy, 2019). Additionally, The Kenyan Penal Code and County Laws criminalize acts such as theft and petty offences often committed by PWUDs to support their drug use such as loitering, illegal dumping and creating a disturbance, which are often subjectively enforced, exacerbating harm to </w:t>
      </w:r>
      <w:r w:rsidRPr="00A824A8">
        <w:rPr>
          <w:rFonts w:ascii="Cambria" w:hAnsi="Cambria"/>
          <w:bCs/>
          <w:sz w:val="24"/>
          <w:szCs w:val="24"/>
          <w:lang w:val="en-US"/>
        </w:rPr>
        <w:t>PWUD.</w:t>
      </w:r>
    </w:p>
    <w:p w14:paraId="71A45C08"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cs="Calibri Light"/>
          <w:sz w:val="24"/>
          <w:szCs w:val="24"/>
          <w:lang w:val="en-US"/>
        </w:rPr>
        <w:t xml:space="preserve">A </w:t>
      </w:r>
      <w:r w:rsidRPr="00A824A8">
        <w:rPr>
          <w:rFonts w:ascii="Cambria" w:hAnsi="Cambria" w:cs="Calibri Light"/>
          <w:color w:val="000000"/>
          <w:sz w:val="24"/>
          <w:szCs w:val="24"/>
          <w:lang w:val="en-US"/>
        </w:rPr>
        <w:t>UNAIDS Global AIDS Strategy 2021-2026 a</w:t>
      </w:r>
      <w:r w:rsidRPr="00A824A8">
        <w:rPr>
          <w:rFonts w:ascii="Cambria" w:hAnsi="Cambria" w:cs="Calibri Light"/>
          <w:sz w:val="24"/>
          <w:szCs w:val="24"/>
          <w:lang w:val="en-US"/>
        </w:rPr>
        <w:t>lso notes that countries with restrictive drug policies tend to have increased</w:t>
      </w:r>
      <w:r w:rsidRPr="00A824A8">
        <w:rPr>
          <w:rFonts w:ascii="Cambria" w:hAnsi="Cambria"/>
          <w:sz w:val="24"/>
          <w:szCs w:val="24"/>
          <w:lang w:val="en-US"/>
        </w:rPr>
        <w:t xml:space="preserve"> HIV rates among PWUDs due to reduced harm reduction outreach.</w:t>
      </w:r>
      <w:r w:rsidRPr="00A824A8">
        <w:rPr>
          <w:rStyle w:val="FootnoteReference"/>
          <w:rFonts w:ascii="Cambria" w:hAnsi="Cambria"/>
          <w:sz w:val="24"/>
          <w:szCs w:val="24"/>
          <w:lang w:val="en-US"/>
        </w:rPr>
        <w:footnoteReference w:id="3"/>
      </w:r>
      <w:r w:rsidRPr="00A824A8">
        <w:rPr>
          <w:rFonts w:ascii="Cambria" w:hAnsi="Cambria"/>
          <w:sz w:val="24"/>
          <w:szCs w:val="24"/>
          <w:lang w:val="en-US"/>
        </w:rPr>
        <w:t xml:space="preserve"> Similarly, the continued criminalization of drug use in Kenya has had a profound impact on the health and well-being of PWUDs, particularly in terms of access to healthcare services. The criminalization of drug use also exacerbates public health challenges, as the fear of arrest discourages people who use drugs (PWUD) from seeking harm reduction services such as </w:t>
      </w:r>
      <w:r w:rsidRPr="00A824A8">
        <w:rPr>
          <w:rFonts w:ascii="Cambria" w:hAnsi="Cambria"/>
          <w:bCs/>
          <w:sz w:val="24"/>
          <w:szCs w:val="24"/>
          <w:lang w:val="en-US"/>
        </w:rPr>
        <w:t>needle exchange programs</w:t>
      </w:r>
      <w:r w:rsidRPr="00A824A8">
        <w:rPr>
          <w:rFonts w:ascii="Cambria" w:hAnsi="Cambria"/>
          <w:sz w:val="24"/>
          <w:szCs w:val="24"/>
          <w:lang w:val="en-US"/>
        </w:rPr>
        <w:t xml:space="preserve"> or </w:t>
      </w:r>
      <w:r w:rsidRPr="00A824A8">
        <w:rPr>
          <w:rFonts w:ascii="Cambria" w:hAnsi="Cambria"/>
          <w:bCs/>
          <w:sz w:val="24"/>
          <w:szCs w:val="24"/>
          <w:lang w:val="en-US"/>
        </w:rPr>
        <w:t xml:space="preserve">opioid substitution </w:t>
      </w:r>
      <w:r w:rsidRPr="00A824A8">
        <w:rPr>
          <w:rFonts w:ascii="Cambria" w:hAnsi="Cambria"/>
          <w:bCs/>
          <w:sz w:val="24"/>
          <w:szCs w:val="24"/>
          <w:lang w:val="en-US"/>
        </w:rPr>
        <w:lastRenderedPageBreak/>
        <w:t>therapy</w:t>
      </w:r>
      <w:r w:rsidRPr="00A824A8">
        <w:rPr>
          <w:rFonts w:ascii="Cambria" w:hAnsi="Cambria"/>
          <w:sz w:val="24"/>
          <w:szCs w:val="24"/>
          <w:vertAlign w:val="superscript"/>
          <w:lang w:val="en-US"/>
        </w:rPr>
        <w:footnoteReference w:id="4"/>
      </w:r>
      <w:r w:rsidRPr="00A824A8">
        <w:rPr>
          <w:rFonts w:ascii="Cambria" w:hAnsi="Cambria"/>
          <w:sz w:val="24"/>
          <w:szCs w:val="24"/>
          <w:lang w:val="en-US"/>
        </w:rPr>
        <w:t>, despite evidence supporting these services in reducing drug-related harm. These services are also crucial in preventing the spread of HIV. Due to the stigma surrounding drug use and the punitive legal framework, PWUDs face numerous barriers when attempting to seek essential health services (Byles, 2024). This leads to the marginalization of PWUDs from mainstream healthcare systems, resulting in reduced access to harm reduction services. The fear of legal consequences and social stigma drives PWUDs away from public health facilities, leaving them vulnerable to untreated health conditions and a heightened risk of infectious diseases, such as HIV and hepatitis C (Kendall et al., 2020). As a result, criminalization significantly hampers their ability to enjoy the right to health, as guaranteed under the International Covenant on Economic, Social, and Cultural Rights (ICESCR).</w:t>
      </w:r>
    </w:p>
    <w:p w14:paraId="496B8944"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Additionally, the fear of arrest or harassment by law enforcement significantly affects PWUDs' decision to seek healthcare when needed. PWUD are vulnerable to not only HIV but also Hepatitis B and C as well as tuberculosis due to the environment surrounding drug use for which additional health services are available. Fear of law enforcement drives PWUD underground deterring access to much needed health services. Law enforcement officers often patrol areas known for drug use, and the threat of arrest for possession or consumption of drugs deters PWUD from approaching health services (</w:t>
      </w:r>
      <w:proofErr w:type="spellStart"/>
      <w:r w:rsidRPr="00A824A8">
        <w:rPr>
          <w:rFonts w:ascii="Cambria" w:hAnsi="Cambria"/>
          <w:sz w:val="24"/>
          <w:szCs w:val="24"/>
          <w:lang w:val="en-US"/>
        </w:rPr>
        <w:t>Nyblade</w:t>
      </w:r>
      <w:proofErr w:type="spellEnd"/>
      <w:r w:rsidRPr="00A824A8">
        <w:rPr>
          <w:rFonts w:ascii="Cambria" w:hAnsi="Cambria"/>
          <w:sz w:val="24"/>
          <w:szCs w:val="24"/>
          <w:lang w:val="en-US"/>
        </w:rPr>
        <w:t xml:space="preserve"> et al., 2019). This fear extends to harm reduction centers, where PWUD may avoid going, even when in critical need of care, due to the perceived risk of being surveilled or detained by police. The constant fear of legal repercussions creates a hostile environment, where PWUDs are forced to prioritize their safety over their health, leading to the neglect of urgent medical conditions that require timely intervention. Mwangi et al. (2019) reported that many drug users in Kenya expressed a constant fear of being apprehended while attempting to access medical services. This fear is not unfounded, as there have been instances of law enforcement targeting healthcare facilities known to serve PWUD. As a result, PWUD choose to forgo necessary medical treatment rather than risk potential legal consequences. In doing so, the criminalization of drug use risks reversing the significant gains in addressing HIV transmission, ultimately threatening the delivery of the larger Universal Health Care agenda.   </w:t>
      </w:r>
    </w:p>
    <w:p w14:paraId="3D7DDC95"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Healthcare providers' lack of training on harm reduction approaches also affects service delivery, with stigma influencing provider attitudes toward PWUD. Healthcare workers often internalize punitive narratives surrounding drug use, leading to discriminatory practices that deter PWUDs from seeking essential services (</w:t>
      </w:r>
      <w:proofErr w:type="spellStart"/>
      <w:r w:rsidRPr="00A824A8">
        <w:rPr>
          <w:rFonts w:ascii="Cambria" w:hAnsi="Cambria"/>
          <w:sz w:val="24"/>
          <w:szCs w:val="24"/>
          <w:lang w:val="en-US"/>
        </w:rPr>
        <w:t>Nyblade</w:t>
      </w:r>
      <w:proofErr w:type="spellEnd"/>
      <w:r w:rsidRPr="00A824A8">
        <w:rPr>
          <w:rFonts w:ascii="Cambria" w:hAnsi="Cambria"/>
          <w:sz w:val="24"/>
          <w:szCs w:val="24"/>
          <w:lang w:val="en-US"/>
        </w:rPr>
        <w:t xml:space="preserve"> et al., 2019). A UNAIDS report (2020) emphasizes that judgmental attitudes from healthcare providers create additional obstacles for PWUDs attempting to access harm reduction and HIV prevention services, further complicating health outcomes. Many PWUD in Kenya experience </w:t>
      </w:r>
      <w:r w:rsidRPr="00A824A8">
        <w:rPr>
          <w:rFonts w:ascii="Cambria" w:hAnsi="Cambria"/>
          <w:sz w:val="24"/>
          <w:szCs w:val="24"/>
          <w:lang w:val="en-US"/>
        </w:rPr>
        <w:lastRenderedPageBreak/>
        <w:t xml:space="preserve">judgmental attitudes, disrespect, or outright denial of services from healthcare professionals who hold stigmatizing views about drug use (Tun et al., 2020). These negative experiences reinforce the idea that health facilities are unwelcoming to PWUD, reducing their willingness to seek care. When PWUD anticipate discrimination or fear being treated as criminals rather than patients, they are more likely to remain isolated from healthcare systems, exacerbating their health vulnerabilities (Tun et al., 2020). This discrimination not only violates their right to health but also entrenches the cycle of marginalization and poor health outcomes. </w:t>
      </w:r>
      <w:proofErr w:type="spellStart"/>
      <w:r w:rsidRPr="00A824A8">
        <w:rPr>
          <w:rFonts w:ascii="Cambria" w:hAnsi="Cambria"/>
          <w:sz w:val="24"/>
          <w:szCs w:val="24"/>
          <w:lang w:val="en-US"/>
        </w:rPr>
        <w:t>Gathu</w:t>
      </w:r>
      <w:proofErr w:type="spellEnd"/>
      <w:r w:rsidRPr="00A824A8">
        <w:rPr>
          <w:rFonts w:ascii="Cambria" w:hAnsi="Cambria"/>
          <w:sz w:val="24"/>
          <w:szCs w:val="24"/>
          <w:lang w:val="en-US"/>
        </w:rPr>
        <w:t xml:space="preserve"> et al. (2021) found that many PWUD reported experiencing stigma and discriminatory treatment when interacting with healthcare professionals. This negative treatment can range from verbal abuse to outright denial of services. Such experiences severely affect PWUD's willingness to seek medical care in the future, further compromising their health outcomes.</w:t>
      </w:r>
    </w:p>
    <w:p w14:paraId="208402AB"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In instances when governments instigate campaigns to eradicate supply and demand of illicit drugs, PWUD face serious violations of their human rights, violence and ill treatment by police and the </w:t>
      </w:r>
      <w:proofErr w:type="gramStart"/>
      <w:r w:rsidRPr="00A824A8">
        <w:rPr>
          <w:rFonts w:ascii="Cambria" w:hAnsi="Cambria"/>
          <w:sz w:val="24"/>
          <w:szCs w:val="24"/>
          <w:lang w:val="en-US"/>
        </w:rPr>
        <w:t>general public</w:t>
      </w:r>
      <w:proofErr w:type="gramEnd"/>
      <w:r w:rsidRPr="00A824A8">
        <w:rPr>
          <w:rFonts w:ascii="Cambria" w:hAnsi="Cambria"/>
          <w:sz w:val="24"/>
          <w:szCs w:val="24"/>
          <w:lang w:val="en-US"/>
        </w:rPr>
        <w:t xml:space="preserve">. Illegal drug use is almost always automatically associated with criminal behavior. In 2019 for example, the internal security Cabinet Sectary declared total war to deal with drug use in Kenya and the coastal region in a sensational statement that promised to take action to eradicate the ‘vice of drug use’ in the region, as is the normal political rhetoric in Kenya, without credible data justifying a link between the two. After this, there were numerous reports of widespread harassment of PWUD in Mombasa and unwarranted arrests of young boys by law enforcement agents instead of instituting effective counter measures to address organized crime. </w:t>
      </w:r>
    </w:p>
    <w:p w14:paraId="036718FD"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The State in paragraph 91 of the Kenyan response to the list of issues in relation to its sixth periodic report</w:t>
      </w:r>
      <w:r w:rsidRPr="00A824A8">
        <w:rPr>
          <w:rFonts w:ascii="Cambria" w:hAnsi="Cambria"/>
          <w:bCs/>
          <w:sz w:val="24"/>
          <w:szCs w:val="24"/>
          <w:lang w:val="en-US"/>
        </w:rPr>
        <w:t xml:space="preserve"> highlights the available harm reduction services in Kenya. However, this package of services has often been critiqued for not being comprehensive and often not implemented </w:t>
      </w:r>
      <w:proofErr w:type="gramStart"/>
      <w:r w:rsidRPr="00A824A8">
        <w:rPr>
          <w:rFonts w:ascii="Cambria" w:hAnsi="Cambria"/>
          <w:bCs/>
          <w:sz w:val="24"/>
          <w:szCs w:val="24"/>
          <w:lang w:val="en-US"/>
        </w:rPr>
        <w:t>taking into account</w:t>
      </w:r>
      <w:proofErr w:type="gramEnd"/>
      <w:r w:rsidRPr="00A824A8">
        <w:rPr>
          <w:rFonts w:ascii="Cambria" w:hAnsi="Cambria"/>
          <w:bCs/>
          <w:sz w:val="24"/>
          <w:szCs w:val="24"/>
          <w:lang w:val="en-US"/>
        </w:rPr>
        <w:t xml:space="preserve"> the principles of harm reduction.</w:t>
      </w:r>
      <w:r w:rsidRPr="00A824A8">
        <w:rPr>
          <w:rStyle w:val="FootnoteReference"/>
          <w:rFonts w:ascii="Cambria" w:hAnsi="Cambria"/>
          <w:bCs/>
          <w:sz w:val="24"/>
          <w:szCs w:val="24"/>
          <w:lang w:val="en-US"/>
        </w:rPr>
        <w:footnoteReference w:id="5"/>
      </w:r>
      <w:r w:rsidRPr="00A824A8">
        <w:rPr>
          <w:rFonts w:ascii="Cambria" w:hAnsi="Cambria"/>
          <w:bCs/>
          <w:sz w:val="24"/>
          <w:szCs w:val="24"/>
          <w:lang w:val="en-US"/>
        </w:rPr>
        <w:t xml:space="preserve"> Additionally, in the limited provision of harm reduction services in Kenya is </w:t>
      </w:r>
      <w:r w:rsidRPr="00A824A8">
        <w:rPr>
          <w:rFonts w:ascii="Cambria" w:hAnsi="Cambria"/>
          <w:sz w:val="24"/>
          <w:szCs w:val="24"/>
          <w:lang w:val="en-US"/>
        </w:rPr>
        <w:t>due to limited government funding and dependency on external donors for harm reduction services. As a result, Kenyan harm reduction providers and other organizations have faced sustainability challenges, as harm reduction programs remain underfunded by the Kenyan government (Harm Reduction International, 2022). This gap results in inequitable service provision, especially in rural areas where access is scarce, relying heavily on donor funding to support the few existing programs (Global Fund, 2020).</w:t>
      </w:r>
      <w:r w:rsidRPr="00A824A8">
        <w:rPr>
          <w:lang w:val="en-US"/>
        </w:rPr>
        <w:t xml:space="preserve"> </w:t>
      </w:r>
      <w:r w:rsidRPr="00A824A8">
        <w:rPr>
          <w:rFonts w:ascii="Cambria" w:hAnsi="Cambria"/>
          <w:sz w:val="24"/>
          <w:szCs w:val="24"/>
          <w:lang w:val="en-US"/>
        </w:rPr>
        <w:t xml:space="preserve">Policing and prohibition of illicit drugs globally costs over $100 billion </w:t>
      </w:r>
      <w:r w:rsidRPr="00A824A8">
        <w:rPr>
          <w:rFonts w:ascii="Cambria" w:hAnsi="Cambria"/>
          <w:sz w:val="24"/>
          <w:szCs w:val="24"/>
          <w:lang w:val="en-US"/>
        </w:rPr>
        <w:lastRenderedPageBreak/>
        <w:t>annually.</w:t>
      </w:r>
      <w:r w:rsidRPr="00A824A8">
        <w:rPr>
          <w:rStyle w:val="FootnoteReference"/>
          <w:rFonts w:ascii="Cambria" w:hAnsi="Cambria"/>
          <w:sz w:val="24"/>
          <w:szCs w:val="24"/>
          <w:lang w:val="en-US"/>
        </w:rPr>
        <w:footnoteReference w:id="6"/>
      </w:r>
      <w:r w:rsidRPr="00A824A8">
        <w:rPr>
          <w:rFonts w:ascii="Cambria" w:hAnsi="Cambria"/>
          <w:sz w:val="24"/>
          <w:szCs w:val="24"/>
          <w:lang w:val="en-US"/>
        </w:rPr>
        <w:t xml:space="preserve"> Evidence suggests that removing of criminal penalties for drug use-related offences including minor selling and distribution violations by PWUD would save enormous public resources currently wasted to identify, arrest, prosecute, sentence and incarcerate people who possess drugs </w:t>
      </w:r>
      <w:proofErr w:type="gramStart"/>
      <w:r w:rsidRPr="00A824A8">
        <w:rPr>
          <w:rFonts w:ascii="Cambria" w:hAnsi="Cambria"/>
          <w:sz w:val="24"/>
          <w:szCs w:val="24"/>
          <w:lang w:val="en-US"/>
        </w:rPr>
        <w:t>as a result of</w:t>
      </w:r>
      <w:proofErr w:type="gramEnd"/>
      <w:r w:rsidRPr="00A824A8">
        <w:rPr>
          <w:rFonts w:ascii="Cambria" w:hAnsi="Cambria"/>
          <w:sz w:val="24"/>
          <w:szCs w:val="24"/>
          <w:lang w:val="en-US"/>
        </w:rPr>
        <w:t xml:space="preserve"> their dependence issues. UN human rights treaty bodies and Special Mechanisms, UN agencies, regional human rights bodies and the Global Commission on HIV and the Law have all found that criminalization of drug use and possession for personal use amounts to a breach of human rights and have called for their decriminalization. By reviewing our drug laws, Kenya can address current wastage of resources on PWUD serving long prison sentences by diverting resources into evidence-based harm reduction interventions available to address drug dependency issues. This will also ensure law enforcement can focus on addressing more serious crimes</w:t>
      </w:r>
    </w:p>
    <w:p w14:paraId="25366499" w14:textId="77777777" w:rsidR="00A824A8" w:rsidRPr="00A824A8" w:rsidRDefault="00A824A8" w:rsidP="00A824A8">
      <w:pPr>
        <w:pStyle w:val="ListParagraph"/>
        <w:spacing w:line="276" w:lineRule="auto"/>
        <w:ind w:left="0"/>
        <w:jc w:val="both"/>
        <w:rPr>
          <w:rFonts w:ascii="Cambria" w:hAnsi="Cambria"/>
          <w:b/>
          <w:sz w:val="24"/>
          <w:szCs w:val="24"/>
          <w:lang w:val="en-US"/>
        </w:rPr>
      </w:pPr>
    </w:p>
    <w:p w14:paraId="32BE0E62" w14:textId="77777777" w:rsidR="00A824A8" w:rsidRPr="00A824A8" w:rsidRDefault="00A824A8" w:rsidP="00A824A8">
      <w:pPr>
        <w:pStyle w:val="ListParagraph"/>
        <w:numPr>
          <w:ilvl w:val="0"/>
          <w:numId w:val="3"/>
        </w:numPr>
        <w:spacing w:line="276" w:lineRule="auto"/>
        <w:rPr>
          <w:rFonts w:ascii="Cambria" w:hAnsi="Cambria"/>
          <w:b/>
          <w:i/>
          <w:color w:val="5B9BD5"/>
          <w:sz w:val="24"/>
          <w:szCs w:val="24"/>
          <w:lang w:val="en-US"/>
        </w:rPr>
      </w:pPr>
      <w:r w:rsidRPr="00A824A8">
        <w:rPr>
          <w:rFonts w:ascii="Cambria" w:hAnsi="Cambria"/>
          <w:b/>
          <w:i/>
          <w:color w:val="5B9BD5"/>
          <w:sz w:val="24"/>
          <w:szCs w:val="24"/>
          <w:lang w:val="en-US"/>
        </w:rPr>
        <w:t>Access to health services for pre-trial detainees and persons in prison</w:t>
      </w:r>
    </w:p>
    <w:p w14:paraId="403AA669"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Access to health services for PWUDs in pre-trial detention settings remains a significant challenge in Kenya. The excessive use of pre-trial detention for certain offenses, such as possession of drugs for personal use, disproportionately impacts PWUD and exacerbates their vulnerability. During the </w:t>
      </w:r>
      <w:r w:rsidRPr="00A824A8">
        <w:rPr>
          <w:rFonts w:ascii="Cambria" w:hAnsi="Cambria"/>
          <w:bCs/>
          <w:sz w:val="24"/>
          <w:szCs w:val="24"/>
          <w:lang w:val="en-US"/>
        </w:rPr>
        <w:t>Annual Criminal Justice Conference</w:t>
      </w:r>
      <w:r w:rsidRPr="00A824A8">
        <w:rPr>
          <w:rFonts w:ascii="Cambria" w:hAnsi="Cambria"/>
          <w:sz w:val="24"/>
          <w:szCs w:val="24"/>
          <w:lang w:val="en-US"/>
        </w:rPr>
        <w:t xml:space="preserve"> in 2019, it was noted that </w:t>
      </w:r>
      <w:r w:rsidRPr="00A824A8">
        <w:rPr>
          <w:rFonts w:ascii="Cambria" w:hAnsi="Cambria"/>
          <w:bCs/>
          <w:sz w:val="24"/>
          <w:szCs w:val="24"/>
          <w:lang w:val="en-US"/>
        </w:rPr>
        <w:t>7 out of 10 inmates</w:t>
      </w:r>
      <w:r w:rsidRPr="00A824A8">
        <w:rPr>
          <w:rFonts w:ascii="Cambria" w:hAnsi="Cambria"/>
          <w:sz w:val="24"/>
          <w:szCs w:val="24"/>
          <w:lang w:val="en-US"/>
        </w:rPr>
        <w:t xml:space="preserve"> in Kenya are petty offenders, with </w:t>
      </w:r>
      <w:r w:rsidRPr="00A824A8">
        <w:rPr>
          <w:rFonts w:ascii="Cambria" w:hAnsi="Cambria"/>
          <w:bCs/>
          <w:sz w:val="24"/>
          <w:szCs w:val="24"/>
          <w:lang w:val="en-US"/>
        </w:rPr>
        <w:t>low case determination rates</w:t>
      </w:r>
      <w:r w:rsidRPr="00A824A8">
        <w:rPr>
          <w:rFonts w:ascii="Cambria" w:hAnsi="Cambria"/>
          <w:sz w:val="24"/>
          <w:szCs w:val="24"/>
          <w:lang w:val="en-US"/>
        </w:rPr>
        <w:t>. The criminal justice system’s focus on punitive measures, rather than rehabilitation or public health interventions, leads to over-incarceration and significantly strains the already overcrowded prison system in Kenya (NACADA, 2020).</w:t>
      </w:r>
      <w:r w:rsidRPr="00A824A8">
        <w:rPr>
          <w:rFonts w:ascii="Cambria" w:hAnsi="Cambria"/>
          <w:sz w:val="24"/>
          <w:szCs w:val="24"/>
          <w:vertAlign w:val="superscript"/>
          <w:lang w:val="en-US"/>
        </w:rPr>
        <w:footnoteReference w:id="7"/>
      </w:r>
      <w:r w:rsidRPr="00A824A8">
        <w:rPr>
          <w:rFonts w:ascii="Cambria" w:hAnsi="Cambria"/>
          <w:sz w:val="24"/>
          <w:szCs w:val="24"/>
          <w:lang w:val="en-US"/>
        </w:rPr>
        <w:t xml:space="preserve"> This punitive approach, which often neglects the underlying social issues that contribute to these behaviors, exacerbates the vulnerability of PWUD. Additionally, the intersection between drug use and sex work results in women who use drugs being arrested for sex work-related offenses such as loitering and causing a disturbance. The majority of those remanded for drug-related offenses or even imprisoned cannot afford to pay fines, bail or get legal representation. High fines place a heavy financial burden on PWUD and their families, resulting in mass incarceration. Women in situation of poverty sometimes </w:t>
      </w:r>
      <w:proofErr w:type="gramStart"/>
      <w:r w:rsidRPr="00A824A8">
        <w:rPr>
          <w:rFonts w:ascii="Cambria" w:hAnsi="Cambria"/>
          <w:sz w:val="24"/>
          <w:szCs w:val="24"/>
          <w:lang w:val="en-US"/>
        </w:rPr>
        <w:t>have to</w:t>
      </w:r>
      <w:proofErr w:type="gramEnd"/>
      <w:r w:rsidRPr="00A824A8">
        <w:rPr>
          <w:rFonts w:ascii="Cambria" w:hAnsi="Cambria"/>
          <w:sz w:val="24"/>
          <w:szCs w:val="24"/>
          <w:lang w:val="en-US"/>
        </w:rPr>
        <w:t xml:space="preserve"> stay with their children in prison during their sentence. A 2023 report by the </w:t>
      </w:r>
      <w:r w:rsidRPr="00A824A8">
        <w:rPr>
          <w:rFonts w:ascii="Cambria" w:hAnsi="Cambria"/>
          <w:bCs/>
          <w:sz w:val="24"/>
          <w:szCs w:val="24"/>
          <w:lang w:val="en-US"/>
        </w:rPr>
        <w:t>Eastern and Southern Africa Commission on Drugs</w:t>
      </w:r>
      <w:r w:rsidRPr="00A824A8">
        <w:rPr>
          <w:rFonts w:ascii="Cambria" w:hAnsi="Cambria"/>
          <w:sz w:val="24"/>
          <w:szCs w:val="24"/>
          <w:lang w:val="en-US"/>
        </w:rPr>
        <w:t xml:space="preserve"> reveals that </w:t>
      </w:r>
      <w:r w:rsidRPr="00A824A8">
        <w:rPr>
          <w:rFonts w:ascii="Cambria" w:hAnsi="Cambria"/>
          <w:bCs/>
          <w:sz w:val="24"/>
          <w:szCs w:val="24"/>
          <w:lang w:val="en-US"/>
        </w:rPr>
        <w:t>punitive drug policies</w:t>
      </w:r>
      <w:r w:rsidRPr="00A824A8">
        <w:rPr>
          <w:rFonts w:ascii="Cambria" w:hAnsi="Cambria"/>
          <w:sz w:val="24"/>
          <w:szCs w:val="24"/>
          <w:lang w:val="en-US"/>
        </w:rPr>
        <w:t xml:space="preserve"> lead to </w:t>
      </w:r>
      <w:r w:rsidRPr="00A824A8">
        <w:rPr>
          <w:rFonts w:ascii="Cambria" w:hAnsi="Cambria"/>
          <w:bCs/>
          <w:sz w:val="24"/>
          <w:szCs w:val="24"/>
          <w:lang w:val="en-US"/>
        </w:rPr>
        <w:t>significant economic costs</w:t>
      </w:r>
      <w:r w:rsidRPr="00A824A8">
        <w:rPr>
          <w:rFonts w:ascii="Cambria" w:hAnsi="Cambria"/>
          <w:sz w:val="24"/>
          <w:szCs w:val="24"/>
          <w:lang w:val="en-US"/>
        </w:rPr>
        <w:t xml:space="preserve"> in countries like Kenya, with most resources directed toward </w:t>
      </w:r>
      <w:r w:rsidRPr="00A824A8">
        <w:rPr>
          <w:rFonts w:ascii="Cambria" w:hAnsi="Cambria"/>
          <w:bCs/>
          <w:sz w:val="24"/>
          <w:szCs w:val="24"/>
          <w:lang w:val="en-US"/>
        </w:rPr>
        <w:t>criminal justice expenditures</w:t>
      </w:r>
      <w:r w:rsidRPr="00A824A8">
        <w:rPr>
          <w:rFonts w:ascii="Cambria" w:hAnsi="Cambria"/>
          <w:sz w:val="24"/>
          <w:szCs w:val="24"/>
          <w:lang w:val="en-US"/>
        </w:rPr>
        <w:t xml:space="preserve"> for arrests, prosecutions, and incarceration of </w:t>
      </w:r>
      <w:r w:rsidRPr="00A824A8">
        <w:rPr>
          <w:rFonts w:ascii="Cambria" w:hAnsi="Cambria"/>
          <w:bCs/>
          <w:sz w:val="24"/>
          <w:szCs w:val="24"/>
          <w:lang w:val="en-US"/>
        </w:rPr>
        <w:t>PWUD</w:t>
      </w:r>
      <w:r w:rsidRPr="00A824A8">
        <w:rPr>
          <w:rFonts w:ascii="Cambria" w:hAnsi="Cambria"/>
          <w:sz w:val="24"/>
          <w:szCs w:val="24"/>
          <w:lang w:val="en-US"/>
        </w:rPr>
        <w:t xml:space="preserve">. This heavy investment in punitive measures diverts resources from </w:t>
      </w:r>
      <w:r w:rsidRPr="00A824A8">
        <w:rPr>
          <w:rFonts w:ascii="Cambria" w:hAnsi="Cambria"/>
          <w:bCs/>
          <w:sz w:val="24"/>
          <w:szCs w:val="24"/>
          <w:lang w:val="en-US"/>
        </w:rPr>
        <w:t>evidence-based public health interventions</w:t>
      </w:r>
      <w:r w:rsidRPr="00A824A8">
        <w:rPr>
          <w:rFonts w:ascii="Cambria" w:hAnsi="Cambria"/>
          <w:sz w:val="24"/>
          <w:szCs w:val="24"/>
          <w:lang w:val="en-US"/>
        </w:rPr>
        <w:t xml:space="preserve"> that could more effectively address the root causes of drug use, such as </w:t>
      </w:r>
      <w:r w:rsidRPr="00A824A8">
        <w:rPr>
          <w:rFonts w:ascii="Cambria" w:hAnsi="Cambria"/>
          <w:bCs/>
          <w:sz w:val="24"/>
          <w:szCs w:val="24"/>
          <w:lang w:val="en-US"/>
        </w:rPr>
        <w:t>poverty</w:t>
      </w:r>
      <w:r w:rsidRPr="00A824A8">
        <w:rPr>
          <w:rFonts w:ascii="Cambria" w:hAnsi="Cambria"/>
          <w:sz w:val="24"/>
          <w:szCs w:val="24"/>
          <w:lang w:val="en-US"/>
        </w:rPr>
        <w:t xml:space="preserve">, </w:t>
      </w:r>
      <w:r w:rsidRPr="00A824A8">
        <w:rPr>
          <w:rFonts w:ascii="Cambria" w:hAnsi="Cambria"/>
          <w:bCs/>
          <w:sz w:val="24"/>
          <w:szCs w:val="24"/>
          <w:lang w:val="en-US"/>
        </w:rPr>
        <w:t>mental health issues</w:t>
      </w:r>
      <w:r w:rsidRPr="00A824A8">
        <w:rPr>
          <w:rFonts w:ascii="Cambria" w:hAnsi="Cambria"/>
          <w:sz w:val="24"/>
          <w:szCs w:val="24"/>
          <w:lang w:val="en-US"/>
        </w:rPr>
        <w:t xml:space="preserve">, and </w:t>
      </w:r>
      <w:r w:rsidRPr="00A824A8">
        <w:rPr>
          <w:rFonts w:ascii="Cambria" w:hAnsi="Cambria"/>
          <w:bCs/>
          <w:sz w:val="24"/>
          <w:szCs w:val="24"/>
          <w:lang w:val="en-US"/>
        </w:rPr>
        <w:t>social marginalization</w:t>
      </w:r>
      <w:r w:rsidRPr="00A824A8">
        <w:rPr>
          <w:rFonts w:ascii="Cambria" w:hAnsi="Cambria"/>
          <w:sz w:val="24"/>
          <w:szCs w:val="24"/>
          <w:lang w:val="en-US"/>
        </w:rPr>
        <w:t xml:space="preserve">. Instead of </w:t>
      </w:r>
      <w:r w:rsidRPr="00A824A8">
        <w:rPr>
          <w:rFonts w:ascii="Cambria" w:hAnsi="Cambria"/>
          <w:sz w:val="24"/>
          <w:szCs w:val="24"/>
          <w:lang w:val="en-US"/>
        </w:rPr>
        <w:lastRenderedPageBreak/>
        <w:t xml:space="preserve">focusing on long-term solutions like </w:t>
      </w:r>
      <w:r w:rsidRPr="00A824A8">
        <w:rPr>
          <w:rFonts w:ascii="Cambria" w:hAnsi="Cambria"/>
          <w:bCs/>
          <w:sz w:val="24"/>
          <w:szCs w:val="24"/>
          <w:lang w:val="en-US"/>
        </w:rPr>
        <w:t>harm reduction</w:t>
      </w:r>
      <w:r w:rsidRPr="00A824A8">
        <w:rPr>
          <w:rFonts w:ascii="Cambria" w:hAnsi="Cambria"/>
          <w:sz w:val="24"/>
          <w:szCs w:val="24"/>
          <w:lang w:val="en-US"/>
        </w:rPr>
        <w:t xml:space="preserve"> and </w:t>
      </w:r>
      <w:r w:rsidRPr="00A824A8">
        <w:rPr>
          <w:rFonts w:ascii="Cambria" w:hAnsi="Cambria"/>
          <w:bCs/>
          <w:sz w:val="24"/>
          <w:szCs w:val="24"/>
          <w:lang w:val="en-US"/>
        </w:rPr>
        <w:t>rehabilitation</w:t>
      </w:r>
      <w:r w:rsidRPr="00A824A8">
        <w:rPr>
          <w:rFonts w:ascii="Cambria" w:hAnsi="Cambria"/>
          <w:sz w:val="24"/>
          <w:szCs w:val="24"/>
          <w:lang w:val="en-US"/>
        </w:rPr>
        <w:t xml:space="preserve">, the continued emphasis on </w:t>
      </w:r>
      <w:r w:rsidRPr="00A824A8">
        <w:rPr>
          <w:rFonts w:ascii="Cambria" w:hAnsi="Cambria"/>
          <w:bCs/>
          <w:sz w:val="24"/>
          <w:szCs w:val="24"/>
          <w:lang w:val="en-US"/>
        </w:rPr>
        <w:t>law enforcement</w:t>
      </w:r>
      <w:r w:rsidRPr="00A824A8">
        <w:rPr>
          <w:rFonts w:ascii="Cambria" w:hAnsi="Cambria"/>
          <w:sz w:val="24"/>
          <w:szCs w:val="24"/>
          <w:lang w:val="en-US"/>
        </w:rPr>
        <w:t xml:space="preserve"> exacerbates </w:t>
      </w:r>
      <w:r w:rsidRPr="00A824A8">
        <w:rPr>
          <w:rFonts w:ascii="Cambria" w:hAnsi="Cambria"/>
          <w:bCs/>
          <w:sz w:val="24"/>
          <w:szCs w:val="24"/>
          <w:lang w:val="en-US"/>
        </w:rPr>
        <w:t>stigma</w:t>
      </w:r>
      <w:r w:rsidRPr="00A824A8">
        <w:rPr>
          <w:rFonts w:ascii="Cambria" w:hAnsi="Cambria"/>
          <w:sz w:val="24"/>
          <w:szCs w:val="24"/>
          <w:lang w:val="en-US"/>
        </w:rPr>
        <w:t xml:space="preserve"> and limits access to </w:t>
      </w:r>
      <w:r w:rsidRPr="00A824A8">
        <w:rPr>
          <w:rFonts w:ascii="Cambria" w:hAnsi="Cambria"/>
          <w:bCs/>
          <w:sz w:val="24"/>
          <w:szCs w:val="24"/>
          <w:lang w:val="en-US"/>
        </w:rPr>
        <w:t>healthcare</w:t>
      </w:r>
      <w:r w:rsidRPr="00A824A8">
        <w:rPr>
          <w:rFonts w:ascii="Cambria" w:hAnsi="Cambria"/>
          <w:sz w:val="24"/>
          <w:szCs w:val="24"/>
          <w:lang w:val="en-US"/>
        </w:rPr>
        <w:t xml:space="preserve"> and </w:t>
      </w:r>
      <w:r w:rsidRPr="00A824A8">
        <w:rPr>
          <w:rFonts w:ascii="Cambria" w:hAnsi="Cambria"/>
          <w:bCs/>
          <w:sz w:val="24"/>
          <w:szCs w:val="24"/>
          <w:lang w:val="en-US"/>
        </w:rPr>
        <w:t>social services</w:t>
      </w:r>
      <w:r w:rsidRPr="00A824A8">
        <w:rPr>
          <w:rFonts w:ascii="Cambria" w:hAnsi="Cambria"/>
          <w:sz w:val="24"/>
          <w:szCs w:val="24"/>
          <w:lang w:val="en-US"/>
        </w:rPr>
        <w:t xml:space="preserve"> for </w:t>
      </w:r>
      <w:r w:rsidRPr="00A824A8">
        <w:rPr>
          <w:rFonts w:ascii="Cambria" w:hAnsi="Cambria"/>
          <w:bCs/>
          <w:sz w:val="24"/>
          <w:szCs w:val="24"/>
          <w:lang w:val="en-US"/>
        </w:rPr>
        <w:t>PWUD</w:t>
      </w:r>
      <w:r w:rsidRPr="00A824A8">
        <w:rPr>
          <w:rFonts w:ascii="Cambria" w:hAnsi="Cambria"/>
          <w:sz w:val="24"/>
          <w:szCs w:val="24"/>
          <w:lang w:val="en-US"/>
        </w:rPr>
        <w:t>.</w:t>
      </w:r>
      <w:r w:rsidRPr="00A824A8">
        <w:rPr>
          <w:rFonts w:ascii="Georgia" w:hAnsi="Georgia" w:cs="Calibri Light"/>
          <w:sz w:val="24"/>
          <w:szCs w:val="24"/>
          <w:lang w:val="en-US"/>
        </w:rPr>
        <w:t xml:space="preserve"> </w:t>
      </w:r>
      <w:r w:rsidRPr="00A824A8">
        <w:rPr>
          <w:rFonts w:ascii="Cambria" w:hAnsi="Cambria"/>
          <w:sz w:val="24"/>
          <w:szCs w:val="24"/>
          <w:lang w:val="en-US"/>
        </w:rPr>
        <w:t xml:space="preserve">This situation underscores the need for comprehensive </w:t>
      </w:r>
      <w:r w:rsidRPr="00A824A8">
        <w:rPr>
          <w:rFonts w:ascii="Cambria" w:hAnsi="Cambria"/>
          <w:bCs/>
          <w:sz w:val="24"/>
          <w:szCs w:val="24"/>
          <w:lang w:val="en-US"/>
        </w:rPr>
        <w:t>legal reform</w:t>
      </w:r>
      <w:r w:rsidRPr="00A824A8">
        <w:rPr>
          <w:rFonts w:ascii="Cambria" w:hAnsi="Cambria"/>
          <w:sz w:val="24"/>
          <w:szCs w:val="24"/>
          <w:lang w:val="en-US"/>
        </w:rPr>
        <w:t xml:space="preserve"> to reduce reliance on </w:t>
      </w:r>
      <w:r w:rsidRPr="00A824A8">
        <w:rPr>
          <w:rFonts w:ascii="Cambria" w:hAnsi="Cambria"/>
          <w:bCs/>
          <w:sz w:val="24"/>
          <w:szCs w:val="24"/>
          <w:lang w:val="en-US"/>
        </w:rPr>
        <w:t>pre-trial detention</w:t>
      </w:r>
      <w:r w:rsidRPr="00A824A8">
        <w:rPr>
          <w:rFonts w:ascii="Cambria" w:hAnsi="Cambria"/>
          <w:sz w:val="24"/>
          <w:szCs w:val="24"/>
          <w:lang w:val="en-US"/>
        </w:rPr>
        <w:t xml:space="preserve">, prioritize </w:t>
      </w:r>
      <w:r w:rsidRPr="00A824A8">
        <w:rPr>
          <w:rFonts w:ascii="Cambria" w:hAnsi="Cambria"/>
          <w:bCs/>
          <w:sz w:val="24"/>
          <w:szCs w:val="24"/>
          <w:lang w:val="en-US"/>
        </w:rPr>
        <w:t>alternatives to incarceration and punishment</w:t>
      </w:r>
      <w:r w:rsidRPr="00A824A8">
        <w:rPr>
          <w:rFonts w:ascii="Cambria" w:hAnsi="Cambria"/>
          <w:sz w:val="24"/>
          <w:szCs w:val="24"/>
          <w:lang w:val="en-US"/>
        </w:rPr>
        <w:t xml:space="preserve">, and ensure equal treatment under the law for all individuals, regardless of their </w:t>
      </w:r>
      <w:r w:rsidRPr="00A824A8">
        <w:rPr>
          <w:rFonts w:ascii="Cambria" w:hAnsi="Cambria"/>
          <w:bCs/>
          <w:sz w:val="24"/>
          <w:szCs w:val="24"/>
          <w:lang w:val="en-US"/>
        </w:rPr>
        <w:t>social status</w:t>
      </w:r>
      <w:r w:rsidRPr="00A824A8">
        <w:rPr>
          <w:rFonts w:ascii="Cambria" w:hAnsi="Cambria"/>
          <w:sz w:val="24"/>
          <w:szCs w:val="24"/>
          <w:lang w:val="en-US"/>
        </w:rPr>
        <w:t>.</w:t>
      </w:r>
    </w:p>
    <w:p w14:paraId="250ED7B3"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In police stations, where detainees are often held before trial, access to essential healthcare services is particularly limited. PWUD experiencing withdrawal symptoms face heightened risks, as law enforcement officers may not recognize the need for urgent medical attention or harm reduction services such as methadone access. This not only jeopardizes the health of detainees but also undermines their dignity and right to the highest attainable standard of health, as guaranteed under the ICESCR. This gap highlights the urgent need for decriminalization of offences such as possession for personal use and actual use as well as law enforcement training and health system integration to ensure timely and appropriate care for PWUD.</w:t>
      </w:r>
    </w:p>
    <w:p w14:paraId="4575A16E"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It should be noted here that Kenya has made notable strides in improving harm reduction services in correctional facilities, particularly through the introduction of methadone dispensing programs in prisons within certain counties. These programs mark a significant step toward addressing the healthcare needs of incarcerated PWUDs and ensuring continuity of care. Access to methadone within prisons helps mitigate the severe health risks associated with opioid withdrawal and reduces the likelihood of risky behaviors, such as sharing needles that can lead to the spread of infectious diseases like HIV and hepatitis C. However, these services remain limited to specific locations, leaving many PWUD in detention without adequate support. Expanding harm reduction programs, including methadone maintenance therapy, to more detention facilities would significantly improve health outcomes for PWUD. Moreover, prioritizing alternatives to incarceration, such as diversion programs and community-based rehabilitation, could alleviate the overreliance on punitive measures while fostering a public health-centered approach to drug use. These reforms are essential to ensuring that PWUD receive the care and support they need, even within the criminal justice system.</w:t>
      </w:r>
    </w:p>
    <w:p w14:paraId="4CBEC3AA" w14:textId="77777777" w:rsidR="00A824A8" w:rsidRPr="00A824A8" w:rsidRDefault="00A824A8" w:rsidP="00A824A8">
      <w:pPr>
        <w:pStyle w:val="ListParagraph"/>
        <w:spacing w:line="276" w:lineRule="auto"/>
        <w:ind w:left="990"/>
        <w:jc w:val="both"/>
        <w:rPr>
          <w:rFonts w:ascii="Cambria" w:hAnsi="Cambria"/>
          <w:sz w:val="24"/>
          <w:szCs w:val="24"/>
          <w:lang w:val="en-US"/>
        </w:rPr>
      </w:pPr>
    </w:p>
    <w:p w14:paraId="4D652E45" w14:textId="77777777" w:rsidR="00A824A8" w:rsidRPr="00A824A8" w:rsidRDefault="00A824A8" w:rsidP="00A824A8">
      <w:pPr>
        <w:pStyle w:val="ListParagraph"/>
        <w:numPr>
          <w:ilvl w:val="0"/>
          <w:numId w:val="3"/>
        </w:numPr>
        <w:spacing w:line="276" w:lineRule="auto"/>
        <w:jc w:val="both"/>
        <w:rPr>
          <w:rFonts w:ascii="Cambria" w:hAnsi="Cambria"/>
          <w:b/>
          <w:i/>
          <w:color w:val="5B9BD5"/>
          <w:sz w:val="24"/>
          <w:szCs w:val="24"/>
          <w:lang w:val="en-US"/>
        </w:rPr>
      </w:pPr>
      <w:r w:rsidRPr="00A824A8">
        <w:rPr>
          <w:rFonts w:ascii="Cambria" w:hAnsi="Cambria"/>
          <w:b/>
          <w:i/>
          <w:color w:val="5B9BD5"/>
          <w:sz w:val="24"/>
          <w:szCs w:val="24"/>
          <w:lang w:val="en-US"/>
        </w:rPr>
        <w:t>Overdose Management and Access to Naloxone</w:t>
      </w:r>
    </w:p>
    <w:p w14:paraId="3DACDAEB"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Overdose management is a critical intervention to fulfil the right to health of PWUD. The lack of a clear policy framework on overdose management in Kenya has significantly exacerbated challenges in protecting the health and lives of people who use drugs (PWUD). Overdose management is a critical component of the right to health, yet the absence of guidelines on who can carry and administer naloxone—an essential overdose reversal drug—creates confusion and impedes timely interventions. Punitive drug laws and control practices further complicate the situation, as criminalization discourages individuals </w:t>
      </w:r>
      <w:r w:rsidRPr="00A824A8">
        <w:rPr>
          <w:rFonts w:ascii="Cambria" w:hAnsi="Cambria"/>
          <w:sz w:val="24"/>
          <w:szCs w:val="24"/>
          <w:lang w:val="en-US"/>
        </w:rPr>
        <w:lastRenderedPageBreak/>
        <w:t xml:space="preserve">from seeking or providing life-saving overdose care. Barriers to naloxone availability, coupled with fear of criminal charges, limited awareness, and the lack of coordinated efforts among health providers, law enforcement, and judicial systems, hinder effective overdose response strategies. </w:t>
      </w:r>
    </w:p>
    <w:p w14:paraId="2B5738A6"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Additionally, the presence of law enforcement officers during overdose incidents can also impact the outcomes of such situations. In Kenya, law enforcement is often the first to respond to overdose cases, particularly in public areas. However, rather than facilitating access to emergency services, their presence often increases fear among PWUD, making them reluctant to disclose critical health information or fully cooperate with medical personnel. This reluctance can delay or hinder the emergency response, worsening the overdose outcome. This is </w:t>
      </w:r>
      <w:proofErr w:type="gramStart"/>
      <w:r w:rsidRPr="00A824A8">
        <w:rPr>
          <w:rFonts w:ascii="Cambria" w:hAnsi="Cambria"/>
          <w:sz w:val="24"/>
          <w:szCs w:val="24"/>
          <w:lang w:val="en-US"/>
        </w:rPr>
        <w:t>despite the fact that</w:t>
      </w:r>
      <w:proofErr w:type="gramEnd"/>
      <w:r w:rsidRPr="00A824A8">
        <w:rPr>
          <w:rFonts w:ascii="Cambria" w:hAnsi="Cambria"/>
          <w:sz w:val="24"/>
          <w:szCs w:val="24"/>
          <w:lang w:val="en-US"/>
        </w:rPr>
        <w:t xml:space="preserve"> international studies reveal that law enforcement can play a supportive role in overdose management by ensuring that overdose cases are treated as health rather than criminal issues. Without a comprehensive and inclusive policy framework, the right to health of PWUD continues to be undermined, leaving them at heightened risk of preventable overdose deaths.</w:t>
      </w:r>
    </w:p>
    <w:p w14:paraId="4C24F286" w14:textId="77777777" w:rsidR="00A824A8" w:rsidRPr="00A824A8" w:rsidRDefault="00A824A8" w:rsidP="00A824A8">
      <w:pPr>
        <w:pStyle w:val="ListParagraph"/>
        <w:spacing w:line="276" w:lineRule="auto"/>
        <w:ind w:left="990"/>
        <w:jc w:val="both"/>
        <w:rPr>
          <w:rFonts w:ascii="Cambria" w:hAnsi="Cambria"/>
          <w:sz w:val="24"/>
          <w:szCs w:val="24"/>
          <w:lang w:val="en-US"/>
        </w:rPr>
      </w:pPr>
    </w:p>
    <w:p w14:paraId="4078DDB0" w14:textId="77777777" w:rsidR="00A824A8" w:rsidRPr="00A824A8" w:rsidRDefault="00A824A8" w:rsidP="00A824A8">
      <w:pPr>
        <w:pStyle w:val="ListParagraph"/>
        <w:numPr>
          <w:ilvl w:val="0"/>
          <w:numId w:val="3"/>
        </w:numPr>
        <w:spacing w:line="276" w:lineRule="auto"/>
        <w:jc w:val="both"/>
        <w:rPr>
          <w:rFonts w:ascii="Cambria" w:hAnsi="Cambria"/>
          <w:b/>
          <w:i/>
          <w:color w:val="5B9BD5"/>
          <w:sz w:val="24"/>
          <w:szCs w:val="24"/>
          <w:lang w:val="en-US"/>
        </w:rPr>
      </w:pPr>
      <w:r w:rsidRPr="00A824A8">
        <w:rPr>
          <w:rFonts w:ascii="Cambria" w:hAnsi="Cambria"/>
          <w:b/>
          <w:i/>
          <w:color w:val="5B9BD5"/>
          <w:sz w:val="24"/>
          <w:szCs w:val="24"/>
          <w:lang w:val="en-US"/>
        </w:rPr>
        <w:t xml:space="preserve">Access to Sexual and Reproductive Health (SRH) Services for Women Who Use Drugs </w:t>
      </w:r>
    </w:p>
    <w:p w14:paraId="77DD8F10"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Stigma and discrimination remain significant barriers for women who use drugs in accessing essential sexual and reproductive health (SRH) services in Kenya. Healthcare providers often perpetuate stigma through moralistic views on drug use, leading to refusals of care and judgmental attitudes that undermine the quality of SRH services (Ayon et al., 2017; Mburu et al., 2018). Many healthcare workers presume that women who use drugs are "unfit" mothers, further discouraging them from seeking care and violating their right to health as protected under Article 12 of the ICESCR. This stigma is compounded by systemic barriers, such as the difficulty in accessing antenatal care and contraception services. The World Health Organization highlights that this contributes to high rates of unplanned pregnancies among women who use drugs, with minimal support for maternal or child health. Additionally, the limited availability of gendered harm reduction services in Kenya exacerbates these challenges, leaving women unable to access the comprehensive SRH care they need. Such discrimination and systemic neglect not only infringe upon the rights of women who use drugs but also perpetuate cycles of health inequity and marginalization.</w:t>
      </w:r>
    </w:p>
    <w:p w14:paraId="09C648C2"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Additionally, a lack of training on drug dependence and harm reduction further hinders the quality of care for women who use drugs. Most healthcare providers in Kenya are inadequately prepared to address the SRH needs of drug-using women, as SRH training often lacks components on drug use and dependence, and its impact on pregnancy. This lack of preparedness leads to poor quality care and limited support for drug-using women during pregnancy or childbirth, </w:t>
      </w:r>
      <w:r w:rsidRPr="00A824A8">
        <w:rPr>
          <w:rFonts w:ascii="Cambria" w:hAnsi="Cambria"/>
          <w:sz w:val="24"/>
          <w:szCs w:val="24"/>
          <w:lang w:val="en-US"/>
        </w:rPr>
        <w:lastRenderedPageBreak/>
        <w:t>with many providers unaware of appropriate harm reduction strategies or the nuanced healthcare needs of these women.</w:t>
      </w:r>
      <w:r w:rsidRPr="00A824A8">
        <w:rPr>
          <w:rFonts w:ascii="Corbel" w:eastAsia="Times New Roman" w:hAnsi="Corbel"/>
          <w:color w:val="44546A"/>
          <w:sz w:val="24"/>
          <w:szCs w:val="24"/>
          <w:lang w:val="en-US" w:eastAsia="ja-JP"/>
        </w:rPr>
        <w:t xml:space="preserve"> </w:t>
      </w:r>
      <w:r w:rsidRPr="00A824A8">
        <w:rPr>
          <w:rFonts w:ascii="Cambria" w:hAnsi="Cambria"/>
          <w:sz w:val="24"/>
          <w:szCs w:val="24"/>
          <w:lang w:val="en-US"/>
        </w:rPr>
        <w:t>As per a report by Harm Reduction International (2020), decriminalizing drug use and investing in harm reduction services can improve SRH outcomes for drug-using women by reducing stigma in healthcare settings. Legal reforms emphasizing health-centered approaches over punitive measures are crucial to providing equitable SRH access for this vulnerable population.</w:t>
      </w:r>
    </w:p>
    <w:p w14:paraId="16E1FC31"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Women who use drugs face heightened vulnerability to sexual and gender-based violence (SGBV), a situation exacerbated by the criminalization of drug use. The punitive legal framework in Kenya not only stigmatizes these women but also marginalizes them from legal and social protections, leaving them at increased risk of exploitation and abuse. Fear of arrest or prosecution often deters women who use drugs from reporting instances of SGBV to authorities, effectively granting perpetrators impunity. Criminalization also drives these women into unsafe environments where violence is more likely to occur, including on the streets or in interactions with law enforcement. This violates their right to freedom from violence and their right to health, both of which are guaranteed under Article 12 of the ICESCR. There is need to scale up access to legal support, and trauma-informed services. This further underscores the urgent need for decriminalization and targeted interventions to protect and uphold their rights.</w:t>
      </w:r>
    </w:p>
    <w:p w14:paraId="7694A2BD" w14:textId="77777777" w:rsidR="00A824A8" w:rsidRPr="00A824A8" w:rsidRDefault="00A824A8" w:rsidP="00A824A8">
      <w:pPr>
        <w:pStyle w:val="ListParagraph"/>
        <w:spacing w:line="276" w:lineRule="auto"/>
        <w:ind w:left="990"/>
        <w:jc w:val="both"/>
        <w:rPr>
          <w:rFonts w:ascii="Cambria" w:hAnsi="Cambria"/>
          <w:sz w:val="24"/>
          <w:szCs w:val="24"/>
          <w:lang w:val="en-US"/>
        </w:rPr>
      </w:pPr>
    </w:p>
    <w:p w14:paraId="3F341CAE" w14:textId="77777777" w:rsidR="00A824A8" w:rsidRPr="00A824A8" w:rsidRDefault="00A824A8" w:rsidP="00A824A8">
      <w:pPr>
        <w:pStyle w:val="ListParagraph"/>
        <w:numPr>
          <w:ilvl w:val="0"/>
          <w:numId w:val="3"/>
        </w:numPr>
        <w:spacing w:line="276" w:lineRule="auto"/>
        <w:jc w:val="both"/>
        <w:rPr>
          <w:rFonts w:ascii="Cambria" w:hAnsi="Cambria"/>
          <w:color w:val="5B9BD5"/>
          <w:sz w:val="24"/>
          <w:szCs w:val="24"/>
          <w:lang w:val="en-US"/>
        </w:rPr>
      </w:pPr>
      <w:r w:rsidRPr="00A824A8">
        <w:rPr>
          <w:rFonts w:ascii="Cambria" w:hAnsi="Cambria"/>
          <w:b/>
          <w:i/>
          <w:color w:val="5B9BD5"/>
          <w:sz w:val="24"/>
          <w:szCs w:val="24"/>
          <w:lang w:val="en-US"/>
        </w:rPr>
        <w:t>Access to Mental Health Services for Persons Who Use Drugs in Kenya</w:t>
      </w:r>
    </w:p>
    <w:p w14:paraId="4D3D07F7"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The link between drug use and mental health issues is well-documented, with research showing that PWUD are at a significantly higher risk of experiencing mental health disorders such as depression, anxiety, and ADHD (UNODC, 2022; WHO, 2018). These mental health challenges often arise from a combination of factors, including the direct effects of drug use, societal stigma, criminalization, and exposure to violence or trauma. However, mental health support for PWUD in many contexts, including Kenya, is often limited to addiction counseling, which fails to address the broader spectrum of mental health needs. Access to comprehensive mental health care, including psychotherapy, psychiatric care, and trauma-informed interventions, is essential to ensure the holistic well-being of PWUD. Restricting mental health support to addiction counseling overlooks underlying issues that perpetuate drug use and marginalization, thereby undermining their right to the highest attainable standard of health as enshrined in Article 12 of the ICESCR. Comprehensive mental health services can play a critical role in addressing these interlinked challenges, fostering recovery, and improving overall quality of life for PWUD.</w:t>
      </w:r>
    </w:p>
    <w:p w14:paraId="396776E2" w14:textId="77777777" w:rsidR="00A824A8" w:rsidRPr="00A824A8" w:rsidRDefault="00A824A8" w:rsidP="00A824A8">
      <w:pPr>
        <w:pStyle w:val="ListParagraph"/>
        <w:spacing w:line="276" w:lineRule="auto"/>
        <w:ind w:left="990"/>
        <w:jc w:val="both"/>
        <w:rPr>
          <w:rFonts w:ascii="Cambria" w:hAnsi="Cambria"/>
          <w:sz w:val="24"/>
          <w:szCs w:val="24"/>
          <w:lang w:val="en-US"/>
        </w:rPr>
      </w:pPr>
    </w:p>
    <w:p w14:paraId="51488202" w14:textId="77777777" w:rsidR="00A824A8" w:rsidRPr="00A824A8" w:rsidRDefault="00A824A8" w:rsidP="00A824A8">
      <w:pPr>
        <w:pStyle w:val="ListParagraph"/>
        <w:numPr>
          <w:ilvl w:val="0"/>
          <w:numId w:val="3"/>
        </w:numPr>
        <w:spacing w:line="276" w:lineRule="auto"/>
        <w:jc w:val="both"/>
        <w:rPr>
          <w:rFonts w:ascii="Cambria" w:hAnsi="Cambria"/>
          <w:color w:val="5B9BD5"/>
          <w:sz w:val="24"/>
          <w:szCs w:val="24"/>
          <w:lang w:val="en-US"/>
        </w:rPr>
      </w:pPr>
      <w:r w:rsidRPr="00A824A8">
        <w:rPr>
          <w:rFonts w:ascii="Cambria" w:hAnsi="Cambria"/>
          <w:b/>
          <w:i/>
          <w:color w:val="5B9BD5"/>
          <w:sz w:val="24"/>
          <w:szCs w:val="24"/>
          <w:lang w:val="en-US"/>
        </w:rPr>
        <w:t>Access to Universal Health Coverage</w:t>
      </w:r>
    </w:p>
    <w:p w14:paraId="65B0729F"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Access to universal health coverage in Kenya is facilitated by Social Health Insurance Fund (SHIF) which is critical for PWUD as it can provide a pathway to </w:t>
      </w:r>
      <w:r w:rsidRPr="00A824A8">
        <w:rPr>
          <w:rFonts w:ascii="Cambria" w:hAnsi="Cambria"/>
          <w:sz w:val="24"/>
          <w:szCs w:val="24"/>
          <w:lang w:val="en-US"/>
        </w:rPr>
        <w:lastRenderedPageBreak/>
        <w:t>affordable and equitable healthcare services, including essential interventions such as harm reduction, rehabilitation, and mental health care. However, in Kenya, services specific to the needs of PWUD, such as treatment for hepatitis, treatment for tuberculosis, needle exchange programs, opioid substitution therapy, and comprehensive rehabilitation, are often excluded from national health insurance schemes. This exclusion perpetuates the marginalization of PWUD, forcing them to either forego care or rely on out-of-pocket payments for essential health services. Such gaps in coverage undermine their right to the highest attainable standard of health, as guaranteed under Article 12 of the ICESCR and Article 43 of the Kenyan Constitution. Without access to affordable, inclusive healthcare, PWUD remain vulnerable to untreated health conditions, infectious diseases, and the cyclical impacts of drug dependency.</w:t>
      </w:r>
    </w:p>
    <w:p w14:paraId="3D2A2D2E"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Kenya's transition to the Social Health Insurance Fund (SHIF) presents both opportunities and challenges for PWUD. While the SHIF aims to broaden healthcare coverage, many PWUD are unaware of what this transition entails, including what services are covered under the new scheme and how to access these benefits. PWUD, who often face economic instability, require clear information on how to apply for subsidies or other benefits designed for individuals unable to contribute monthly to the scheme. Without targeted outreach and tailored education about SHIF, many PWUD risk being excluded from its benefits, perpetuating disparities in healthcare access. Moreover, the absence of explicit provisions for harm reduction and rehabilitation services within SHIF raises concerns about whether the needs of this vulnerable population will be adequately addressed. Ensuring that SHIF includes harm reduction and rehabilitation services and implements awareness campaigns tailored to marginalized groups like PWUD is essential to achieving universal health coverage and upholding their health rights.</w:t>
      </w:r>
    </w:p>
    <w:p w14:paraId="16141B60" w14:textId="77777777" w:rsidR="00A824A8" w:rsidRPr="00A824A8" w:rsidRDefault="00A824A8" w:rsidP="00A824A8">
      <w:pPr>
        <w:pStyle w:val="ListParagraph"/>
        <w:rPr>
          <w:rFonts w:ascii="Cambria" w:hAnsi="Cambria"/>
          <w:sz w:val="24"/>
          <w:szCs w:val="24"/>
          <w:lang w:val="en-US"/>
        </w:rPr>
      </w:pPr>
    </w:p>
    <w:p w14:paraId="1C6AE74D" w14:textId="77777777" w:rsidR="00A824A8" w:rsidRPr="00A824A8" w:rsidRDefault="00A824A8" w:rsidP="00A824A8">
      <w:pPr>
        <w:pStyle w:val="ListParagraph"/>
        <w:rPr>
          <w:rFonts w:ascii="Cambria" w:hAnsi="Cambria"/>
          <w:b/>
          <w:color w:val="ED7D31"/>
          <w:sz w:val="32"/>
          <w:szCs w:val="32"/>
          <w:lang w:val="en-US"/>
        </w:rPr>
      </w:pPr>
      <w:r w:rsidRPr="00A824A8">
        <w:rPr>
          <w:rFonts w:ascii="Cambria" w:hAnsi="Cambria"/>
          <w:b/>
          <w:color w:val="ED7D31"/>
          <w:sz w:val="32"/>
          <w:szCs w:val="32"/>
          <w:lang w:val="en-US"/>
        </w:rPr>
        <w:t>Conclusion and Recommendations</w:t>
      </w:r>
    </w:p>
    <w:p w14:paraId="4C383C01" w14:textId="77777777" w:rsidR="00A824A8" w:rsidRPr="00A824A8" w:rsidRDefault="00A824A8" w:rsidP="00A824A8">
      <w:pPr>
        <w:pStyle w:val="ListParagraph"/>
        <w:numPr>
          <w:ilvl w:val="0"/>
          <w:numId w:val="2"/>
        </w:numPr>
        <w:spacing w:line="276" w:lineRule="auto"/>
        <w:jc w:val="both"/>
        <w:rPr>
          <w:rFonts w:ascii="Cambria" w:hAnsi="Cambria"/>
          <w:sz w:val="24"/>
          <w:szCs w:val="24"/>
          <w:lang w:val="en-US"/>
        </w:rPr>
      </w:pPr>
      <w:r w:rsidRPr="00A824A8">
        <w:rPr>
          <w:rFonts w:ascii="Cambria" w:hAnsi="Cambria"/>
          <w:sz w:val="24"/>
          <w:szCs w:val="24"/>
          <w:lang w:val="en-US"/>
        </w:rPr>
        <w:t xml:space="preserve">The progress of legislative reforms in Kenya, particularly those concerning PWUD is often impeded by deeply entrenched societal norms and religious beliefs, resulting in a slow and challenging process of legal reform that leaves marginalized communities vulnerable to continued discrimination and human rights violations. It took four years to amend the Narcotic Drugs and Psychotropic Substances Act which resulted in the decriminalization of possession of drug use paraphernalia, a legal distinction between trafficking and possession of narcotic drugs for personal use, the recognition of treatment in addition to voluntary rehabilitation. This was however not a win as advocacy targeting law makers was to ensure that rehabilitation and treatment are voluntary and captured as an alternative to imprisonment. Advocacy is still ongoing to decriminalize drug use and possession for personal use in order to ensure PWUD can access existing harm reduction </w:t>
      </w:r>
      <w:proofErr w:type="gramStart"/>
      <w:r w:rsidRPr="00A824A8">
        <w:rPr>
          <w:rFonts w:ascii="Cambria" w:hAnsi="Cambria"/>
          <w:sz w:val="24"/>
          <w:szCs w:val="24"/>
          <w:lang w:val="en-US"/>
        </w:rPr>
        <w:t>services</w:t>
      </w:r>
      <w:proofErr w:type="gramEnd"/>
      <w:r w:rsidRPr="00A824A8">
        <w:rPr>
          <w:rFonts w:ascii="Cambria" w:hAnsi="Cambria"/>
          <w:sz w:val="24"/>
          <w:szCs w:val="24"/>
          <w:lang w:val="en-US"/>
        </w:rPr>
        <w:t xml:space="preserve"> and the country can treat drug use as a health issue. Additionally, ongoing discussions on </w:t>
      </w:r>
      <w:r w:rsidRPr="00A824A8">
        <w:rPr>
          <w:rFonts w:ascii="Cambria" w:hAnsi="Cambria"/>
          <w:sz w:val="24"/>
          <w:szCs w:val="24"/>
          <w:lang w:val="en-US"/>
        </w:rPr>
        <w:lastRenderedPageBreak/>
        <w:t xml:space="preserve">incorporating harm reduction within the </w:t>
      </w:r>
      <w:r w:rsidRPr="00A824A8">
        <w:rPr>
          <w:rFonts w:ascii="Cambria" w:hAnsi="Cambria"/>
          <w:bCs/>
          <w:sz w:val="24"/>
          <w:szCs w:val="24"/>
          <w:lang w:val="en-US"/>
        </w:rPr>
        <w:t>HIV and AIDS Prevention and Control Act (HAPCA)</w:t>
      </w:r>
      <w:r w:rsidRPr="00A824A8">
        <w:rPr>
          <w:rFonts w:ascii="Cambria" w:hAnsi="Cambria"/>
          <w:sz w:val="24"/>
          <w:szCs w:val="24"/>
          <w:lang w:val="en-US"/>
        </w:rPr>
        <w:t xml:space="preserve"> review presents an opportunity to ensure that harm reduction service delivery is anchored in the law. There is also the potential introduction of a </w:t>
      </w:r>
      <w:r w:rsidRPr="00A824A8">
        <w:rPr>
          <w:rFonts w:ascii="Cambria" w:hAnsi="Cambria"/>
          <w:bCs/>
          <w:sz w:val="24"/>
          <w:szCs w:val="24"/>
          <w:lang w:val="en-US"/>
        </w:rPr>
        <w:t>National Harm Reduction Bill</w:t>
      </w:r>
      <w:r w:rsidRPr="00A824A8">
        <w:rPr>
          <w:rFonts w:ascii="Cambria" w:hAnsi="Cambria"/>
          <w:sz w:val="24"/>
          <w:szCs w:val="24"/>
          <w:lang w:val="en-US"/>
        </w:rPr>
        <w:t xml:space="preserve"> that offers hope for future reforms. The HAPCA Bill is still being </w:t>
      </w:r>
      <w:proofErr w:type="gramStart"/>
      <w:r w:rsidRPr="00A824A8">
        <w:rPr>
          <w:rFonts w:ascii="Cambria" w:hAnsi="Cambria"/>
          <w:sz w:val="24"/>
          <w:szCs w:val="24"/>
          <w:lang w:val="en-US"/>
        </w:rPr>
        <w:t>drafted</w:t>
      </w:r>
      <w:proofErr w:type="gramEnd"/>
      <w:r w:rsidRPr="00A824A8">
        <w:rPr>
          <w:rFonts w:ascii="Cambria" w:hAnsi="Cambria"/>
          <w:sz w:val="24"/>
          <w:szCs w:val="24"/>
          <w:lang w:val="en-US"/>
        </w:rPr>
        <w:t xml:space="preserve"> and it is hoped that stakeholders shall factor in issues of harm reduction as recommended by CSOs and communities in </w:t>
      </w:r>
      <w:proofErr w:type="spellStart"/>
      <w:r w:rsidRPr="00A824A8">
        <w:rPr>
          <w:rFonts w:ascii="Cambria" w:hAnsi="Cambria"/>
          <w:sz w:val="24"/>
          <w:szCs w:val="24"/>
          <w:lang w:val="en-US"/>
        </w:rPr>
        <w:t>teh</w:t>
      </w:r>
      <w:proofErr w:type="spellEnd"/>
      <w:r w:rsidRPr="00A824A8">
        <w:rPr>
          <w:rFonts w:ascii="Cambria" w:hAnsi="Cambria"/>
          <w:sz w:val="24"/>
          <w:szCs w:val="24"/>
          <w:lang w:val="en-US"/>
        </w:rPr>
        <w:t xml:space="preserve"> country. However, the continued criminalization of drug possession for personal use and actual drug use still disproportionately targets </w:t>
      </w:r>
      <w:proofErr w:type="gramStart"/>
      <w:r w:rsidRPr="00A824A8">
        <w:rPr>
          <w:rFonts w:ascii="Cambria" w:hAnsi="Cambria"/>
          <w:sz w:val="24"/>
          <w:szCs w:val="24"/>
          <w:lang w:val="en-US"/>
        </w:rPr>
        <w:t>PWUD  and</w:t>
      </w:r>
      <w:proofErr w:type="gramEnd"/>
      <w:r w:rsidRPr="00A824A8">
        <w:rPr>
          <w:rFonts w:ascii="Cambria" w:hAnsi="Cambria"/>
          <w:sz w:val="24"/>
          <w:szCs w:val="24"/>
          <w:lang w:val="en-US"/>
        </w:rPr>
        <w:t xml:space="preserve"> remains a significant barrier to comprehensive progress.</w:t>
      </w:r>
      <w:r w:rsidRPr="00A824A8">
        <w:rPr>
          <w:rFonts w:ascii="Georgia" w:hAnsi="Georgia" w:cs="Calibri Light"/>
          <w:sz w:val="24"/>
          <w:szCs w:val="24"/>
          <w:lang w:val="en-US"/>
        </w:rPr>
        <w:t xml:space="preserve"> </w:t>
      </w:r>
      <w:r w:rsidRPr="00A824A8">
        <w:rPr>
          <w:rFonts w:ascii="Cambria" w:hAnsi="Cambria"/>
          <w:sz w:val="24"/>
          <w:szCs w:val="24"/>
          <w:lang w:val="en-US"/>
        </w:rPr>
        <w:t xml:space="preserve">This systemic exclusion and marginalization underscore the urgent need for </w:t>
      </w:r>
      <w:r w:rsidRPr="00A824A8">
        <w:rPr>
          <w:rFonts w:ascii="Cambria" w:hAnsi="Cambria"/>
          <w:bCs/>
          <w:sz w:val="24"/>
          <w:szCs w:val="24"/>
          <w:lang w:val="en-US"/>
        </w:rPr>
        <w:t>legal reform</w:t>
      </w:r>
      <w:r w:rsidRPr="00A824A8">
        <w:rPr>
          <w:rFonts w:ascii="Cambria" w:hAnsi="Cambria"/>
          <w:sz w:val="24"/>
          <w:szCs w:val="24"/>
          <w:lang w:val="en-US"/>
        </w:rPr>
        <w:t xml:space="preserve">, </w:t>
      </w:r>
      <w:r w:rsidRPr="00A824A8">
        <w:rPr>
          <w:rFonts w:ascii="Cambria" w:hAnsi="Cambria"/>
          <w:bCs/>
          <w:sz w:val="24"/>
          <w:szCs w:val="24"/>
          <w:lang w:val="en-US"/>
        </w:rPr>
        <w:t>expanded legal aid</w:t>
      </w:r>
      <w:r w:rsidRPr="00A824A8">
        <w:rPr>
          <w:rFonts w:ascii="Cambria" w:hAnsi="Cambria"/>
          <w:sz w:val="24"/>
          <w:szCs w:val="24"/>
          <w:lang w:val="en-US"/>
        </w:rPr>
        <w:t xml:space="preserve">, and </w:t>
      </w:r>
      <w:r w:rsidRPr="00A824A8">
        <w:rPr>
          <w:rFonts w:ascii="Cambria" w:hAnsi="Cambria"/>
          <w:bCs/>
          <w:sz w:val="24"/>
          <w:szCs w:val="24"/>
          <w:lang w:val="en-US"/>
        </w:rPr>
        <w:t>enhanced protection</w:t>
      </w:r>
      <w:r w:rsidRPr="00A824A8">
        <w:rPr>
          <w:rFonts w:ascii="Cambria" w:hAnsi="Cambria"/>
          <w:sz w:val="24"/>
          <w:szCs w:val="24"/>
          <w:lang w:val="en-US"/>
        </w:rPr>
        <w:t xml:space="preserve"> for </w:t>
      </w:r>
      <w:r w:rsidRPr="00A824A8">
        <w:rPr>
          <w:rFonts w:ascii="Cambria" w:hAnsi="Cambria"/>
          <w:bCs/>
          <w:sz w:val="24"/>
          <w:szCs w:val="24"/>
          <w:lang w:val="en-US"/>
        </w:rPr>
        <w:t>PWUD</w:t>
      </w:r>
      <w:r w:rsidRPr="00A824A8">
        <w:rPr>
          <w:rFonts w:ascii="Cambria" w:hAnsi="Cambria"/>
          <w:sz w:val="24"/>
          <w:szCs w:val="24"/>
          <w:lang w:val="en-US"/>
        </w:rPr>
        <w:t xml:space="preserve"> to ensure their </w:t>
      </w:r>
      <w:r w:rsidRPr="00A824A8">
        <w:rPr>
          <w:rFonts w:ascii="Cambria" w:hAnsi="Cambria"/>
          <w:bCs/>
          <w:sz w:val="24"/>
          <w:szCs w:val="24"/>
          <w:lang w:val="en-US"/>
        </w:rPr>
        <w:t>human rights</w:t>
      </w:r>
      <w:r w:rsidRPr="00A824A8">
        <w:rPr>
          <w:rFonts w:ascii="Cambria" w:hAnsi="Cambria"/>
          <w:sz w:val="24"/>
          <w:szCs w:val="24"/>
          <w:lang w:val="en-US"/>
        </w:rPr>
        <w:t xml:space="preserve"> are upheld and their access to justice is not hindered.</w:t>
      </w:r>
    </w:p>
    <w:p w14:paraId="2462D3B2" w14:textId="77777777" w:rsidR="00A824A8" w:rsidRPr="00A824A8" w:rsidRDefault="00A824A8" w:rsidP="00A824A8">
      <w:pPr>
        <w:numPr>
          <w:ilvl w:val="0"/>
          <w:numId w:val="2"/>
        </w:numPr>
        <w:jc w:val="both"/>
        <w:rPr>
          <w:rFonts w:ascii="Cambria" w:hAnsi="Cambria"/>
          <w:sz w:val="24"/>
          <w:szCs w:val="24"/>
          <w:lang w:val="en-US"/>
        </w:rPr>
      </w:pPr>
      <w:r w:rsidRPr="00A824A8">
        <w:rPr>
          <w:rFonts w:ascii="Cambria" w:hAnsi="Cambria"/>
          <w:sz w:val="24"/>
          <w:szCs w:val="24"/>
          <w:lang w:val="en-US"/>
        </w:rPr>
        <w:t>As Kenya reflects on its achievements, there is an urgent need to push forward with more comprehensive reforms that fully protect the rights of PWUD, ensuring that the legal system is inclusive and reflective of evidence-based approaches and human rights principles. These advancements are critical and underscore the need for continued momentum toward law reform that supports marginalized communities. It is crucial that Kenya does not retrogress on these gains but rather accelerates efforts to ensure that future reforms are grounded in evidence, human rights principles, and the lived experiences of the communities most affected by criminalization. By doing so, Kenya can build a more inclusive and just legal framework that upholds the rights and dignity of all individuals, particularly those from key populations.</w:t>
      </w:r>
    </w:p>
    <w:p w14:paraId="7E602BA0" w14:textId="77777777" w:rsidR="00A824A8" w:rsidRPr="00A824A8" w:rsidRDefault="00A824A8" w:rsidP="00A824A8">
      <w:pPr>
        <w:pStyle w:val="ListParagraph"/>
        <w:spacing w:line="276" w:lineRule="auto"/>
        <w:ind w:left="0"/>
        <w:jc w:val="both"/>
        <w:rPr>
          <w:rFonts w:ascii="Cambria" w:hAnsi="Cambria"/>
          <w:sz w:val="24"/>
          <w:szCs w:val="24"/>
          <w:lang w:val="en-US"/>
        </w:rPr>
      </w:pPr>
      <w:r w:rsidRPr="00A824A8">
        <w:rPr>
          <w:rFonts w:ascii="Cambria" w:hAnsi="Cambria"/>
          <w:sz w:val="24"/>
          <w:szCs w:val="24"/>
          <w:lang w:val="en-US"/>
        </w:rPr>
        <w:t>Accordingly, we recommend that the Committee make the following recommendations to Kenya within the framework of the right to physical and mental health (Article 12 ICESCR):</w:t>
      </w:r>
    </w:p>
    <w:p w14:paraId="4A76A2C5" w14:textId="77777777" w:rsidR="00A824A8" w:rsidRPr="00A824A8" w:rsidRDefault="00A824A8" w:rsidP="00A824A8">
      <w:pPr>
        <w:pStyle w:val="ListParagraph"/>
        <w:numPr>
          <w:ilvl w:val="0"/>
          <w:numId w:val="4"/>
        </w:numPr>
        <w:spacing w:line="276" w:lineRule="auto"/>
        <w:jc w:val="both"/>
        <w:rPr>
          <w:rFonts w:ascii="Cambria" w:hAnsi="Cambria"/>
          <w:sz w:val="24"/>
          <w:szCs w:val="24"/>
          <w:lang w:val="en-US"/>
        </w:rPr>
      </w:pPr>
      <w:r w:rsidRPr="00A824A8">
        <w:rPr>
          <w:rFonts w:ascii="Cambria" w:hAnsi="Cambria"/>
          <w:bCs/>
          <w:sz w:val="24"/>
          <w:szCs w:val="24"/>
          <w:lang w:val="en-US"/>
        </w:rPr>
        <w:t xml:space="preserve">Accelerate amendment of punitive drug laws and policies to </w:t>
      </w:r>
      <w:proofErr w:type="spellStart"/>
      <w:r w:rsidRPr="00A824A8">
        <w:rPr>
          <w:rFonts w:ascii="Cambria" w:hAnsi="Cambria"/>
          <w:bCs/>
          <w:sz w:val="24"/>
          <w:szCs w:val="24"/>
          <w:lang w:val="en-US"/>
        </w:rPr>
        <w:t>prioritise</w:t>
      </w:r>
      <w:proofErr w:type="spellEnd"/>
      <w:r w:rsidRPr="00A824A8">
        <w:rPr>
          <w:rFonts w:ascii="Cambria" w:hAnsi="Cambria"/>
          <w:bCs/>
          <w:sz w:val="24"/>
          <w:szCs w:val="24"/>
          <w:lang w:val="en-US"/>
        </w:rPr>
        <w:t xml:space="preserve"> harm reduction strategies over punitive measures, focusing on public health approaches and voluntary rehabilitation rather than incarceration and punishment. We specifically call on the Committee, as it has done in many instances in the framework of other country reviews, to call on the Kenyan government to </w:t>
      </w:r>
      <w:proofErr w:type="spellStart"/>
      <w:r w:rsidRPr="00A824A8">
        <w:rPr>
          <w:rFonts w:ascii="Cambria" w:hAnsi="Cambria"/>
          <w:bCs/>
          <w:sz w:val="24"/>
          <w:szCs w:val="24"/>
          <w:lang w:val="en-US"/>
        </w:rPr>
        <w:t>decriminalise</w:t>
      </w:r>
      <w:proofErr w:type="spellEnd"/>
      <w:r w:rsidRPr="00A824A8">
        <w:rPr>
          <w:rFonts w:ascii="Cambria" w:hAnsi="Cambria"/>
          <w:bCs/>
          <w:sz w:val="24"/>
          <w:szCs w:val="24"/>
          <w:lang w:val="en-US"/>
        </w:rPr>
        <w:t xml:space="preserve"> drug use and possession for personal use. </w:t>
      </w:r>
    </w:p>
    <w:p w14:paraId="444F2CF8" w14:textId="77777777" w:rsidR="00A824A8" w:rsidRPr="00A824A8" w:rsidRDefault="00A824A8" w:rsidP="00A824A8">
      <w:pPr>
        <w:pStyle w:val="ListParagraph"/>
        <w:numPr>
          <w:ilvl w:val="0"/>
          <w:numId w:val="4"/>
        </w:numPr>
        <w:spacing w:line="276" w:lineRule="auto"/>
        <w:jc w:val="both"/>
        <w:rPr>
          <w:rFonts w:ascii="Cambria" w:hAnsi="Cambria"/>
          <w:sz w:val="24"/>
          <w:szCs w:val="24"/>
          <w:lang w:val="en-US"/>
        </w:rPr>
      </w:pPr>
      <w:r w:rsidRPr="00A824A8">
        <w:rPr>
          <w:rFonts w:ascii="Cambria" w:hAnsi="Cambria"/>
          <w:sz w:val="24"/>
          <w:szCs w:val="24"/>
          <w:lang w:val="en-US"/>
        </w:rPr>
        <w:t xml:space="preserve">Review its legal framework to ensure a human rights-based approach to drug use, ensuring that harm reduction </w:t>
      </w:r>
      <w:proofErr w:type="spellStart"/>
      <w:r w:rsidRPr="00A824A8">
        <w:rPr>
          <w:rFonts w:ascii="Cambria" w:hAnsi="Cambria"/>
          <w:sz w:val="24"/>
          <w:szCs w:val="24"/>
          <w:lang w:val="en-US"/>
        </w:rPr>
        <w:t>programmes</w:t>
      </w:r>
      <w:proofErr w:type="spellEnd"/>
      <w:r w:rsidRPr="00A824A8">
        <w:rPr>
          <w:rFonts w:ascii="Cambria" w:hAnsi="Cambria"/>
          <w:sz w:val="24"/>
          <w:szCs w:val="24"/>
          <w:lang w:val="en-US"/>
        </w:rPr>
        <w:t>, health care and services, psychological support and rehabilitation for persons who use drugs are available and accessible, are of good quality and tailored to the needs of specific groups, in particular women who use drugs, and eliminate obstacles that might limit access to them.</w:t>
      </w:r>
    </w:p>
    <w:p w14:paraId="2C7CF1EC" w14:textId="77777777" w:rsidR="00A824A8" w:rsidRPr="00A824A8" w:rsidRDefault="00A824A8" w:rsidP="00A824A8">
      <w:pPr>
        <w:pStyle w:val="ListParagraph"/>
        <w:numPr>
          <w:ilvl w:val="0"/>
          <w:numId w:val="4"/>
        </w:numPr>
        <w:spacing w:line="276" w:lineRule="auto"/>
        <w:jc w:val="both"/>
        <w:rPr>
          <w:rFonts w:ascii="Cambria" w:hAnsi="Cambria"/>
          <w:sz w:val="24"/>
          <w:szCs w:val="24"/>
          <w:lang w:val="en-US"/>
        </w:rPr>
      </w:pPr>
      <w:r w:rsidRPr="00A824A8">
        <w:rPr>
          <w:rFonts w:ascii="Cambria" w:hAnsi="Cambria"/>
          <w:bCs/>
          <w:sz w:val="24"/>
          <w:szCs w:val="24"/>
          <w:lang w:val="en-US"/>
        </w:rPr>
        <w:t>Increase investment in, availability of, and access to comprehensive harm reduction services throughout the country, particularly gender-sensitive services tailored to the specific needs of women who use drugs.</w:t>
      </w:r>
    </w:p>
    <w:p w14:paraId="5059BDAE" w14:textId="77777777" w:rsidR="00A824A8" w:rsidRPr="00A824A8" w:rsidRDefault="00A824A8" w:rsidP="00A824A8">
      <w:pPr>
        <w:pStyle w:val="ListParagraph"/>
        <w:numPr>
          <w:ilvl w:val="0"/>
          <w:numId w:val="4"/>
        </w:numPr>
        <w:spacing w:line="276" w:lineRule="auto"/>
        <w:jc w:val="both"/>
        <w:rPr>
          <w:rFonts w:ascii="Cambria" w:hAnsi="Cambria"/>
          <w:sz w:val="24"/>
          <w:szCs w:val="24"/>
          <w:lang w:val="en-US"/>
        </w:rPr>
      </w:pPr>
      <w:r w:rsidRPr="00A824A8">
        <w:rPr>
          <w:rFonts w:ascii="Cambria" w:hAnsi="Cambria"/>
          <w:sz w:val="24"/>
          <w:szCs w:val="24"/>
          <w:lang w:val="en-US"/>
        </w:rPr>
        <w:t xml:space="preserve">Align criminal justice practices with international human rights standards and promote equitable access for all marginalized individuals, particularly those facing </w:t>
      </w:r>
      <w:r w:rsidRPr="00A824A8">
        <w:rPr>
          <w:rFonts w:ascii="Cambria" w:hAnsi="Cambria"/>
          <w:sz w:val="24"/>
          <w:szCs w:val="24"/>
          <w:lang w:val="en-US"/>
        </w:rPr>
        <w:lastRenderedPageBreak/>
        <w:t xml:space="preserve">social and legal discrimination by implementing clear guidelines to limit pre-trial detention, enhance access to legal aid for marginalized populations and training law enforcement officers to effectively address violence targeting these groups.  </w:t>
      </w:r>
    </w:p>
    <w:p w14:paraId="1DCE98F9" w14:textId="77777777" w:rsidR="00A824A8" w:rsidRPr="00A824A8" w:rsidRDefault="00A824A8" w:rsidP="00A824A8">
      <w:pPr>
        <w:numPr>
          <w:ilvl w:val="0"/>
          <w:numId w:val="4"/>
        </w:numPr>
        <w:rPr>
          <w:lang w:val="en-US"/>
        </w:rPr>
      </w:pPr>
      <w:r w:rsidRPr="00A824A8">
        <w:rPr>
          <w:rFonts w:ascii="Cambria" w:hAnsi="Cambria"/>
          <w:sz w:val="24"/>
          <w:szCs w:val="24"/>
          <w:lang w:val="en-US"/>
        </w:rPr>
        <w:t>Guarantee the inclusion of civil society organizations and communities in the design, implementation, monitoring and evaluation of all drug laws and policies.</w:t>
      </w:r>
    </w:p>
    <w:p w14:paraId="19CF5D5A" w14:textId="77777777" w:rsidR="00A824A8" w:rsidRPr="00A824A8" w:rsidRDefault="00A824A8" w:rsidP="00A824A8">
      <w:pPr>
        <w:pStyle w:val="ListParagraph"/>
        <w:spacing w:line="276" w:lineRule="auto"/>
        <w:ind w:left="990"/>
        <w:jc w:val="both"/>
        <w:rPr>
          <w:rFonts w:ascii="Cambria" w:hAnsi="Cambria"/>
          <w:sz w:val="24"/>
          <w:szCs w:val="24"/>
          <w:lang w:val="en-US"/>
        </w:rPr>
      </w:pPr>
    </w:p>
    <w:p w14:paraId="433D17D1" w14:textId="77777777" w:rsidR="00A824A8" w:rsidRPr="00A824A8" w:rsidRDefault="00A824A8" w:rsidP="00A824A8">
      <w:pPr>
        <w:pStyle w:val="ListParagraph"/>
        <w:spacing w:line="276" w:lineRule="auto"/>
        <w:ind w:left="0"/>
        <w:jc w:val="both"/>
        <w:rPr>
          <w:rFonts w:ascii="Cambria" w:hAnsi="Cambria"/>
          <w:sz w:val="24"/>
          <w:szCs w:val="24"/>
          <w:lang w:val="en-US"/>
        </w:rPr>
      </w:pPr>
    </w:p>
    <w:p w14:paraId="255A05C6" w14:textId="77777777" w:rsidR="00EE1E07" w:rsidRPr="00A824A8" w:rsidRDefault="00EE1E07">
      <w:pPr>
        <w:rPr>
          <w:lang w:val="en-US"/>
        </w:rPr>
      </w:pPr>
    </w:p>
    <w:sectPr w:rsidR="00EE1E07" w:rsidRPr="00A824A8" w:rsidSect="00A824A8">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127F" w14:textId="77777777" w:rsidR="00E37ACD" w:rsidRDefault="00E37ACD" w:rsidP="00A824A8">
      <w:pPr>
        <w:spacing w:after="0" w:line="240" w:lineRule="auto"/>
      </w:pPr>
      <w:r>
        <w:separator/>
      </w:r>
    </w:p>
  </w:endnote>
  <w:endnote w:type="continuationSeparator" w:id="0">
    <w:p w14:paraId="6B4EB152" w14:textId="77777777" w:rsidR="00E37ACD" w:rsidRDefault="00E37ACD" w:rsidP="00A82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BE44E"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3C692" w14:textId="77777777" w:rsidR="00000000" w:rsidRPr="009C106D" w:rsidRDefault="00000000">
    <w:pPr>
      <w:pStyle w:val="Footer"/>
      <w:rPr>
        <w:lang w:val="en-US"/>
      </w:rPr>
    </w:pPr>
    <w:r>
      <w:rPr>
        <w:lang w:val="en-US"/>
      </w:rPr>
      <w:t>Compiled by NEXTGEN Lawyers Kenya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2688"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33AD4" w14:textId="77777777" w:rsidR="00E37ACD" w:rsidRDefault="00E37ACD" w:rsidP="00A824A8">
      <w:pPr>
        <w:spacing w:after="0" w:line="240" w:lineRule="auto"/>
      </w:pPr>
      <w:r>
        <w:separator/>
      </w:r>
    </w:p>
  </w:footnote>
  <w:footnote w:type="continuationSeparator" w:id="0">
    <w:p w14:paraId="520363A3" w14:textId="77777777" w:rsidR="00E37ACD" w:rsidRDefault="00E37ACD" w:rsidP="00A824A8">
      <w:pPr>
        <w:spacing w:after="0" w:line="240" w:lineRule="auto"/>
      </w:pPr>
      <w:r>
        <w:continuationSeparator/>
      </w:r>
    </w:p>
  </w:footnote>
  <w:footnote w:id="1">
    <w:p w14:paraId="3CE35770" w14:textId="77777777" w:rsidR="00A824A8" w:rsidRPr="00B733B6" w:rsidRDefault="00A824A8" w:rsidP="00A824A8">
      <w:pPr>
        <w:pStyle w:val="FootnoteText"/>
        <w:spacing w:after="0"/>
        <w:ind w:hanging="2"/>
        <w:rPr>
          <w:lang w:val="en-US"/>
        </w:rPr>
      </w:pPr>
      <w:r w:rsidRPr="00B733B6">
        <w:rPr>
          <w:rStyle w:val="FootnoteReference"/>
        </w:rPr>
        <w:footnoteRef/>
      </w:r>
      <w:r w:rsidRPr="00B733B6">
        <w:t xml:space="preserve"> </w:t>
      </w:r>
      <w:hyperlink r:id="rId1" w:history="1">
        <w:r w:rsidRPr="00351E77">
          <w:rPr>
            <w:rStyle w:val="Hyperlink"/>
          </w:rPr>
          <w:t>http://www.kenyalaw.org/lex//actview.xql?actid=CAP.%20245</w:t>
        </w:r>
      </w:hyperlink>
      <w:r>
        <w:t xml:space="preserve"> </w:t>
      </w:r>
    </w:p>
  </w:footnote>
  <w:footnote w:id="2">
    <w:p w14:paraId="789E264C" w14:textId="77777777" w:rsidR="00A824A8" w:rsidRPr="009C106D" w:rsidRDefault="00A824A8" w:rsidP="00A824A8">
      <w:pPr>
        <w:pStyle w:val="FootnoteText"/>
        <w:spacing w:after="0"/>
        <w:rPr>
          <w:lang w:val="en-US"/>
        </w:rPr>
      </w:pPr>
      <w:r w:rsidRPr="00B733B6">
        <w:rPr>
          <w:rStyle w:val="FootnoteReference"/>
        </w:rPr>
        <w:footnoteRef/>
      </w:r>
      <w:r w:rsidRPr="009C106D">
        <w:t xml:space="preserve"> </w:t>
      </w:r>
      <w:hyperlink r:id="rId2" w:history="1">
        <w:r w:rsidRPr="009C106D">
          <w:rPr>
            <w:rStyle w:val="Hyperlink"/>
          </w:rPr>
          <w:t>https://www.penalreform.org/global-prison-trends-2024/</w:t>
        </w:r>
      </w:hyperlink>
    </w:p>
  </w:footnote>
  <w:footnote w:id="3">
    <w:p w14:paraId="66301DCE" w14:textId="77777777" w:rsidR="00A824A8" w:rsidRPr="009C106D" w:rsidRDefault="00A824A8" w:rsidP="00A824A8">
      <w:pPr>
        <w:pStyle w:val="FootnoteText"/>
        <w:spacing w:after="0"/>
      </w:pPr>
      <w:r w:rsidRPr="009C106D">
        <w:rPr>
          <w:rStyle w:val="FootnoteReference"/>
        </w:rPr>
        <w:footnoteRef/>
      </w:r>
      <w:r w:rsidRPr="009C106D">
        <w:t xml:space="preserve"> </w:t>
      </w:r>
      <w:hyperlink r:id="rId3" w:history="1">
        <w:r w:rsidRPr="009C106D">
          <w:rPr>
            <w:rStyle w:val="Hyperlink"/>
          </w:rPr>
          <w:t>https://www.google.com/url?sa=t&amp;source=web&amp;rct=j&amp;opi=89978449&amp;url=https://www.unaids.org/en/Global-AIDS-Strategy-2021-2026&amp;ved=2ahUKEwi1osHQsvKKAxUjUkEAHcB9JcoQFnoECBgQAw&amp;usg=AOvVaw273n1af-E8InSql0RmtaWF</w:t>
        </w:r>
      </w:hyperlink>
    </w:p>
  </w:footnote>
  <w:footnote w:id="4">
    <w:p w14:paraId="5EF44CC3" w14:textId="77777777" w:rsidR="00A824A8" w:rsidRPr="00FE0051" w:rsidRDefault="00A824A8" w:rsidP="00A824A8">
      <w:pPr>
        <w:pStyle w:val="FootnoteText"/>
        <w:spacing w:after="0"/>
        <w:ind w:hanging="2"/>
      </w:pPr>
      <w:r w:rsidRPr="009C106D">
        <w:rPr>
          <w:rStyle w:val="FootnoteReference"/>
        </w:rPr>
        <w:footnoteRef/>
      </w:r>
      <w:r w:rsidRPr="009C106D">
        <w:t xml:space="preserve"> </w:t>
      </w:r>
      <w:hyperlink r:id="rId4" w:history="1">
        <w:r w:rsidRPr="00351E77">
          <w:rPr>
            <w:rStyle w:val="Hyperlink"/>
          </w:rPr>
          <w:t>https://www.differentiatedservicedelivery.org/wp-content/uploads/Kenya-ARV-Guidelines-2022-Final-1.pdf</w:t>
        </w:r>
      </w:hyperlink>
      <w:r>
        <w:t xml:space="preserve"> </w:t>
      </w:r>
    </w:p>
  </w:footnote>
  <w:footnote w:id="5">
    <w:p w14:paraId="5D31C861" w14:textId="77777777" w:rsidR="00A824A8" w:rsidRPr="009C106D" w:rsidRDefault="00A824A8" w:rsidP="00A824A8">
      <w:r>
        <w:rPr>
          <w:rStyle w:val="FootnoteReference"/>
        </w:rPr>
        <w:footnoteRef/>
      </w:r>
      <w:r>
        <w:t xml:space="preserve"> </w:t>
      </w:r>
      <w:hyperlink r:id="rId5" w:history="1">
        <w:r w:rsidRPr="003C0A52">
          <w:rPr>
            <w:rStyle w:val="Hyperlink"/>
            <w:sz w:val="20"/>
            <w:szCs w:val="20"/>
          </w:rPr>
          <w:t>https://www.ohchr.org/en/documents/thematic-reports/ahrc5652-drug-use-harm-reduction-and-right-health-report-special</w:t>
        </w:r>
      </w:hyperlink>
    </w:p>
  </w:footnote>
  <w:footnote w:id="6">
    <w:p w14:paraId="59E10E86" w14:textId="77777777" w:rsidR="00A824A8" w:rsidRPr="00FE0051" w:rsidRDefault="00A824A8" w:rsidP="00A824A8">
      <w:pPr>
        <w:pStyle w:val="FootnoteText"/>
        <w:spacing w:after="0"/>
      </w:pPr>
      <w:r w:rsidRPr="009C106D">
        <w:rPr>
          <w:rStyle w:val="FootnoteReference"/>
        </w:rPr>
        <w:footnoteRef/>
      </w:r>
      <w:r w:rsidRPr="009C106D">
        <w:t xml:space="preserve"> </w:t>
      </w:r>
      <w:hyperlink r:id="rId6" w:history="1">
        <w:r w:rsidRPr="00351E77">
          <w:rPr>
            <w:rStyle w:val="Hyperlink"/>
          </w:rPr>
          <w:t>https://www.unaids.org/sites/default/files/media_asset/JC2954_UNAIDS_drugs_report_2019_en.pdf</w:t>
        </w:r>
      </w:hyperlink>
      <w:r>
        <w:t xml:space="preserve"> </w:t>
      </w:r>
    </w:p>
  </w:footnote>
  <w:footnote w:id="7">
    <w:p w14:paraId="29F709FD" w14:textId="77777777" w:rsidR="00A824A8" w:rsidRPr="00FE0051" w:rsidRDefault="00A824A8" w:rsidP="00A824A8">
      <w:pPr>
        <w:pStyle w:val="FootnoteText"/>
        <w:spacing w:after="0"/>
        <w:ind w:hanging="2"/>
      </w:pPr>
      <w:r w:rsidRPr="009C106D">
        <w:rPr>
          <w:rStyle w:val="FootnoteReference"/>
        </w:rPr>
        <w:footnoteRef/>
      </w:r>
      <w:r w:rsidRPr="009C106D">
        <w:t xml:space="preserve"> </w:t>
      </w:r>
      <w:hyperlink r:id="rId7" w:history="1">
        <w:r w:rsidRPr="00351E77">
          <w:rPr>
            <w:rStyle w:val="Hyperlink"/>
          </w:rPr>
          <w:t>https://nacada.go.ke/kenya-ready-adoption-alternatives-incarceration-drug-offenders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70A8D" w14:textId="77777777" w:rsidR="00000000" w:rsidRDefault="00E37ACD">
    <w:pPr>
      <w:pStyle w:val="Header"/>
    </w:pPr>
    <w:r>
      <w:rPr>
        <w:noProof/>
      </w:rPr>
      <w:pict w14:anchorId="54E97E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618938" o:spid="_x0000_s2051" type="#_x0000_t75" style="position:absolute;margin-left:0;margin-top:0;width:453.55pt;height:453.55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gain="19661f" blacklevel="22938f"/>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1901" w14:textId="77777777" w:rsidR="00000000" w:rsidRDefault="00E37ACD">
    <w:pPr>
      <w:pStyle w:val="Header"/>
    </w:pPr>
    <w:r>
      <w:rPr>
        <w:noProof/>
      </w:rPr>
      <w:pict w14:anchorId="50DBA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618939" o:spid="_x0000_s2050" type="#_x0000_t75" style="position:absolute;margin-left:0;margin-top:0;width:453.55pt;height:453.55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gain="19661f" blacklevel="22938f"/>
          <o:lock v:ext="edit" rotation="t" cropping="t" verticies="t" grouping="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209A" w14:textId="77777777" w:rsidR="00000000" w:rsidRDefault="00E37ACD">
    <w:pPr>
      <w:pStyle w:val="Header"/>
    </w:pPr>
    <w:r>
      <w:rPr>
        <w:noProof/>
      </w:rPr>
      <w:pict w14:anchorId="3E4C6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618937" o:spid="_x0000_s2049" type="#_x0000_t75" style="position:absolute;margin-left:0;margin-top:0;width:453.55pt;height:453.55pt;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gain="19661f" blacklevel="22938f"/>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A206C"/>
    <w:multiLevelType w:val="hybridMultilevel"/>
    <w:tmpl w:val="9F4A43EA"/>
    <w:lvl w:ilvl="0" w:tplc="FEAA7C1A">
      <w:start w:val="1"/>
      <w:numFmt w:val="lowerRoman"/>
      <w:lvlText w:val="%1."/>
      <w:lvlJc w:val="left"/>
      <w:pPr>
        <w:ind w:left="1080" w:hanging="720"/>
      </w:pPr>
      <w:rPr>
        <w:rFonts w:hint="default"/>
        <w:b w:val="0"/>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1" w15:restartNumberingAfterBreak="0">
    <w:nsid w:val="32F939C3"/>
    <w:multiLevelType w:val="hybridMultilevel"/>
    <w:tmpl w:val="5AAAB8FC"/>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2" w15:restartNumberingAfterBreak="0">
    <w:nsid w:val="470606F2"/>
    <w:multiLevelType w:val="hybridMultilevel"/>
    <w:tmpl w:val="79BEDEFC"/>
    <w:lvl w:ilvl="0" w:tplc="04410015">
      <w:start w:val="1"/>
      <w:numFmt w:val="upperLetter"/>
      <w:lvlText w:val="%1."/>
      <w:lvlJc w:val="left"/>
      <w:pPr>
        <w:ind w:left="720" w:hanging="360"/>
      </w:pPr>
      <w:rPr>
        <w:rFonts w:hint="default"/>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3" w15:restartNumberingAfterBreak="0">
    <w:nsid w:val="6C57160C"/>
    <w:multiLevelType w:val="hybridMultilevel"/>
    <w:tmpl w:val="2F02ECC6"/>
    <w:lvl w:ilvl="0" w:tplc="2DE03596">
      <w:start w:val="1"/>
      <w:numFmt w:val="decimal"/>
      <w:lvlText w:val="%1."/>
      <w:lvlJc w:val="left"/>
      <w:pPr>
        <w:ind w:left="990" w:hanging="360"/>
      </w:pPr>
      <w:rPr>
        <w:rFonts w:hint="default"/>
        <w:b w:val="0"/>
      </w:rPr>
    </w:lvl>
    <w:lvl w:ilvl="1" w:tplc="04410019" w:tentative="1">
      <w:start w:val="1"/>
      <w:numFmt w:val="lowerLetter"/>
      <w:lvlText w:val="%2."/>
      <w:lvlJc w:val="left"/>
      <w:pPr>
        <w:ind w:left="1710" w:hanging="360"/>
      </w:pPr>
    </w:lvl>
    <w:lvl w:ilvl="2" w:tplc="0441001B" w:tentative="1">
      <w:start w:val="1"/>
      <w:numFmt w:val="lowerRoman"/>
      <w:lvlText w:val="%3."/>
      <w:lvlJc w:val="right"/>
      <w:pPr>
        <w:ind w:left="2430" w:hanging="180"/>
      </w:pPr>
    </w:lvl>
    <w:lvl w:ilvl="3" w:tplc="0441000F" w:tentative="1">
      <w:start w:val="1"/>
      <w:numFmt w:val="decimal"/>
      <w:lvlText w:val="%4."/>
      <w:lvlJc w:val="left"/>
      <w:pPr>
        <w:ind w:left="3150" w:hanging="360"/>
      </w:pPr>
    </w:lvl>
    <w:lvl w:ilvl="4" w:tplc="04410019" w:tentative="1">
      <w:start w:val="1"/>
      <w:numFmt w:val="lowerLetter"/>
      <w:lvlText w:val="%5."/>
      <w:lvlJc w:val="left"/>
      <w:pPr>
        <w:ind w:left="3870" w:hanging="360"/>
      </w:pPr>
    </w:lvl>
    <w:lvl w:ilvl="5" w:tplc="0441001B" w:tentative="1">
      <w:start w:val="1"/>
      <w:numFmt w:val="lowerRoman"/>
      <w:lvlText w:val="%6."/>
      <w:lvlJc w:val="right"/>
      <w:pPr>
        <w:ind w:left="4590" w:hanging="180"/>
      </w:pPr>
    </w:lvl>
    <w:lvl w:ilvl="6" w:tplc="0441000F" w:tentative="1">
      <w:start w:val="1"/>
      <w:numFmt w:val="decimal"/>
      <w:lvlText w:val="%7."/>
      <w:lvlJc w:val="left"/>
      <w:pPr>
        <w:ind w:left="5310" w:hanging="360"/>
      </w:pPr>
    </w:lvl>
    <w:lvl w:ilvl="7" w:tplc="04410019" w:tentative="1">
      <w:start w:val="1"/>
      <w:numFmt w:val="lowerLetter"/>
      <w:lvlText w:val="%8."/>
      <w:lvlJc w:val="left"/>
      <w:pPr>
        <w:ind w:left="6030" w:hanging="360"/>
      </w:pPr>
    </w:lvl>
    <w:lvl w:ilvl="8" w:tplc="0441001B" w:tentative="1">
      <w:start w:val="1"/>
      <w:numFmt w:val="lowerRoman"/>
      <w:lvlText w:val="%9."/>
      <w:lvlJc w:val="right"/>
      <w:pPr>
        <w:ind w:left="6750" w:hanging="180"/>
      </w:pPr>
    </w:lvl>
  </w:abstractNum>
  <w:num w:numId="1" w16cid:durableId="348680868">
    <w:abstractNumId w:val="2"/>
  </w:num>
  <w:num w:numId="2" w16cid:durableId="1558199317">
    <w:abstractNumId w:val="3"/>
  </w:num>
  <w:num w:numId="3" w16cid:durableId="989362638">
    <w:abstractNumId w:val="0"/>
  </w:num>
  <w:num w:numId="4" w16cid:durableId="1779789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A8"/>
    <w:rsid w:val="003C175D"/>
    <w:rsid w:val="00622ECB"/>
    <w:rsid w:val="007E624D"/>
    <w:rsid w:val="0083754B"/>
    <w:rsid w:val="008D0633"/>
    <w:rsid w:val="00A824A8"/>
    <w:rsid w:val="00DE52F7"/>
    <w:rsid w:val="00E37ACD"/>
    <w:rsid w:val="00EE1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F76BA82"/>
  <w15:chartTrackingRefBased/>
  <w15:docId w15:val="{508BE1FA-03BD-6043-93B4-9B02F2D92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4A8"/>
    <w:pPr>
      <w:spacing w:after="160" w:line="259" w:lineRule="auto"/>
    </w:pPr>
    <w:rPr>
      <w:rFonts w:ascii="Calibri" w:eastAsia="Calibri" w:hAnsi="Calibri" w:cs="Times New Roman"/>
      <w:kern w:val="0"/>
      <w:sz w:val="22"/>
      <w:szCs w:val="22"/>
      <w:lang w:val="sw-KE"/>
      <w14:ligatures w14:val="none"/>
    </w:rPr>
  </w:style>
  <w:style w:type="paragraph" w:styleId="Heading1">
    <w:name w:val="heading 1"/>
    <w:basedOn w:val="Normal"/>
    <w:next w:val="Normal"/>
    <w:link w:val="Heading1Char"/>
    <w:uiPriority w:val="9"/>
    <w:qFormat/>
    <w:rsid w:val="00A824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4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4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4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4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4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4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4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4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4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4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4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4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4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4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4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4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4A8"/>
    <w:rPr>
      <w:rFonts w:eastAsiaTheme="majorEastAsia" w:cstheme="majorBidi"/>
      <w:color w:val="272727" w:themeColor="text1" w:themeTint="D8"/>
    </w:rPr>
  </w:style>
  <w:style w:type="paragraph" w:styleId="Title">
    <w:name w:val="Title"/>
    <w:basedOn w:val="Normal"/>
    <w:next w:val="Normal"/>
    <w:link w:val="TitleChar"/>
    <w:uiPriority w:val="10"/>
    <w:qFormat/>
    <w:rsid w:val="00A824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4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4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4A8"/>
    <w:pPr>
      <w:spacing w:before="160"/>
      <w:jc w:val="center"/>
    </w:pPr>
    <w:rPr>
      <w:i/>
      <w:iCs/>
      <w:color w:val="404040" w:themeColor="text1" w:themeTint="BF"/>
    </w:rPr>
  </w:style>
  <w:style w:type="character" w:customStyle="1" w:styleId="QuoteChar">
    <w:name w:val="Quote Char"/>
    <w:basedOn w:val="DefaultParagraphFont"/>
    <w:link w:val="Quote"/>
    <w:uiPriority w:val="29"/>
    <w:rsid w:val="00A824A8"/>
    <w:rPr>
      <w:i/>
      <w:iCs/>
      <w:color w:val="404040" w:themeColor="text1" w:themeTint="BF"/>
    </w:rPr>
  </w:style>
  <w:style w:type="paragraph" w:styleId="ListParagraph">
    <w:name w:val="List Paragraph"/>
    <w:basedOn w:val="Normal"/>
    <w:uiPriority w:val="34"/>
    <w:qFormat/>
    <w:rsid w:val="00A824A8"/>
    <w:pPr>
      <w:ind w:left="720"/>
      <w:contextualSpacing/>
    </w:pPr>
  </w:style>
  <w:style w:type="character" w:styleId="IntenseEmphasis">
    <w:name w:val="Intense Emphasis"/>
    <w:basedOn w:val="DefaultParagraphFont"/>
    <w:uiPriority w:val="21"/>
    <w:qFormat/>
    <w:rsid w:val="00A824A8"/>
    <w:rPr>
      <w:i/>
      <w:iCs/>
      <w:color w:val="0F4761" w:themeColor="accent1" w:themeShade="BF"/>
    </w:rPr>
  </w:style>
  <w:style w:type="paragraph" w:styleId="IntenseQuote">
    <w:name w:val="Intense Quote"/>
    <w:basedOn w:val="Normal"/>
    <w:next w:val="Normal"/>
    <w:link w:val="IntenseQuoteChar"/>
    <w:uiPriority w:val="30"/>
    <w:qFormat/>
    <w:rsid w:val="00A824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4A8"/>
    <w:rPr>
      <w:i/>
      <w:iCs/>
      <w:color w:val="0F4761" w:themeColor="accent1" w:themeShade="BF"/>
    </w:rPr>
  </w:style>
  <w:style w:type="character" w:styleId="IntenseReference">
    <w:name w:val="Intense Reference"/>
    <w:basedOn w:val="DefaultParagraphFont"/>
    <w:uiPriority w:val="32"/>
    <w:qFormat/>
    <w:rsid w:val="00A824A8"/>
    <w:rPr>
      <w:b/>
      <w:bCs/>
      <w:smallCaps/>
      <w:color w:val="0F4761" w:themeColor="accent1" w:themeShade="BF"/>
      <w:spacing w:val="5"/>
    </w:rPr>
  </w:style>
  <w:style w:type="paragraph" w:styleId="FootnoteText">
    <w:name w:val="footnote text"/>
    <w:basedOn w:val="Normal"/>
    <w:link w:val="FootnoteTextChar"/>
    <w:uiPriority w:val="99"/>
    <w:semiHidden/>
    <w:unhideWhenUsed/>
    <w:rsid w:val="00A824A8"/>
    <w:rPr>
      <w:sz w:val="20"/>
      <w:szCs w:val="20"/>
    </w:rPr>
  </w:style>
  <w:style w:type="character" w:customStyle="1" w:styleId="FootnoteTextChar">
    <w:name w:val="Footnote Text Char"/>
    <w:basedOn w:val="DefaultParagraphFont"/>
    <w:link w:val="FootnoteText"/>
    <w:uiPriority w:val="99"/>
    <w:semiHidden/>
    <w:rsid w:val="00A824A8"/>
    <w:rPr>
      <w:rFonts w:ascii="Calibri" w:eastAsia="Calibri" w:hAnsi="Calibri" w:cs="Times New Roman"/>
      <w:kern w:val="0"/>
      <w:sz w:val="20"/>
      <w:szCs w:val="20"/>
      <w:lang w:val="sw-KE"/>
      <w14:ligatures w14:val="none"/>
    </w:rPr>
  </w:style>
  <w:style w:type="character" w:styleId="FootnoteReference">
    <w:name w:val="footnote reference"/>
    <w:uiPriority w:val="99"/>
    <w:semiHidden/>
    <w:unhideWhenUsed/>
    <w:rsid w:val="00A824A8"/>
    <w:rPr>
      <w:vertAlign w:val="superscript"/>
    </w:rPr>
  </w:style>
  <w:style w:type="character" w:styleId="Hyperlink">
    <w:name w:val="Hyperlink"/>
    <w:uiPriority w:val="99"/>
    <w:unhideWhenUsed/>
    <w:rsid w:val="00A824A8"/>
    <w:rPr>
      <w:color w:val="0563C1"/>
      <w:u w:val="single"/>
    </w:rPr>
  </w:style>
  <w:style w:type="paragraph" w:styleId="NoSpacing">
    <w:name w:val="No Spacing"/>
    <w:link w:val="NoSpacingChar"/>
    <w:uiPriority w:val="1"/>
    <w:qFormat/>
    <w:rsid w:val="00A824A8"/>
    <w:rPr>
      <w:rFonts w:ascii="Calibri" w:eastAsia="Times New Roman" w:hAnsi="Calibri" w:cs="Times New Roman"/>
      <w:kern w:val="0"/>
      <w:sz w:val="22"/>
      <w:szCs w:val="22"/>
      <w:lang w:val="en-US"/>
      <w14:ligatures w14:val="none"/>
    </w:rPr>
  </w:style>
  <w:style w:type="character" w:customStyle="1" w:styleId="NoSpacingChar">
    <w:name w:val="No Spacing Char"/>
    <w:link w:val="NoSpacing"/>
    <w:uiPriority w:val="1"/>
    <w:rsid w:val="00A824A8"/>
    <w:rPr>
      <w:rFonts w:ascii="Calibri" w:eastAsia="Times New Roman" w:hAnsi="Calibri" w:cs="Times New Roman"/>
      <w:kern w:val="0"/>
      <w:sz w:val="22"/>
      <w:szCs w:val="22"/>
      <w:lang w:val="en-US"/>
      <w14:ligatures w14:val="none"/>
    </w:rPr>
  </w:style>
  <w:style w:type="paragraph" w:styleId="Header">
    <w:name w:val="header"/>
    <w:basedOn w:val="Normal"/>
    <w:link w:val="HeaderChar"/>
    <w:uiPriority w:val="99"/>
    <w:unhideWhenUsed/>
    <w:rsid w:val="00A824A8"/>
    <w:pPr>
      <w:tabs>
        <w:tab w:val="center" w:pos="4536"/>
        <w:tab w:val="right" w:pos="9072"/>
      </w:tabs>
    </w:pPr>
  </w:style>
  <w:style w:type="character" w:customStyle="1" w:styleId="HeaderChar">
    <w:name w:val="Header Char"/>
    <w:basedOn w:val="DefaultParagraphFont"/>
    <w:link w:val="Header"/>
    <w:uiPriority w:val="99"/>
    <w:rsid w:val="00A824A8"/>
    <w:rPr>
      <w:rFonts w:ascii="Calibri" w:eastAsia="Calibri" w:hAnsi="Calibri" w:cs="Times New Roman"/>
      <w:kern w:val="0"/>
      <w:sz w:val="22"/>
      <w:szCs w:val="22"/>
      <w:lang w:val="sw-KE"/>
      <w14:ligatures w14:val="none"/>
    </w:rPr>
  </w:style>
  <w:style w:type="paragraph" w:styleId="Footer">
    <w:name w:val="footer"/>
    <w:basedOn w:val="Normal"/>
    <w:link w:val="FooterChar"/>
    <w:uiPriority w:val="99"/>
    <w:unhideWhenUsed/>
    <w:rsid w:val="00A824A8"/>
    <w:pPr>
      <w:tabs>
        <w:tab w:val="center" w:pos="4536"/>
        <w:tab w:val="right" w:pos="9072"/>
      </w:tabs>
    </w:pPr>
  </w:style>
  <w:style w:type="character" w:customStyle="1" w:styleId="FooterChar">
    <w:name w:val="Footer Char"/>
    <w:basedOn w:val="DefaultParagraphFont"/>
    <w:link w:val="Footer"/>
    <w:uiPriority w:val="99"/>
    <w:rsid w:val="00A824A8"/>
    <w:rPr>
      <w:rFonts w:ascii="Calibri" w:eastAsia="Calibri" w:hAnsi="Calibri" w:cs="Times New Roman"/>
      <w:kern w:val="0"/>
      <w:sz w:val="22"/>
      <w:szCs w:val="22"/>
      <w:lang w:val="sw-K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idpc.ne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theomariproject@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nextgenlawyers.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google.com/url?sa=t&amp;source=web&amp;rct=j&amp;opi=89978449&amp;url=https://www.unaids.org/en/Global-AIDS-Strategy-2021-2026&amp;ved=2ahUKEwi1osHQsvKKAxUjUkEAHcB9JcoQFnoECBgQAw&amp;usg=AOvVaw273n1af-E8InSql0RmtaWF" TargetMode="External"/><Relationship Id="rId7" Type="http://schemas.openxmlformats.org/officeDocument/2006/relationships/hyperlink" Target="https://nacada.go.ke/kenya-ready-adoption-alternatives-incarceration-drug-offenders" TargetMode="External"/><Relationship Id="rId2" Type="http://schemas.openxmlformats.org/officeDocument/2006/relationships/hyperlink" Target="https://www.penalreform.org/global-prison-trends-2024/" TargetMode="External"/><Relationship Id="rId1" Type="http://schemas.openxmlformats.org/officeDocument/2006/relationships/hyperlink" Target="http://www.kenyalaw.org/lex//actview.xql?actid=CAP.%20245" TargetMode="External"/><Relationship Id="rId6" Type="http://schemas.openxmlformats.org/officeDocument/2006/relationships/hyperlink" Target="https://www.unaids.org/sites/default/files/media_asset/JC2954_UNAIDS_drugs_report_2019_en.pdf" TargetMode="External"/><Relationship Id="rId5" Type="http://schemas.openxmlformats.org/officeDocument/2006/relationships/hyperlink" Target="https://www.ohchr.org/en/documents/thematic-reports/ahrc5652-drug-use-harm-reduction-and-right-health-report-special" TargetMode="External"/><Relationship Id="rId4" Type="http://schemas.openxmlformats.org/officeDocument/2006/relationships/hyperlink" Target="https://www.differentiatedservicedelivery.org/wp-content/uploads/Kenya-ARV-Guidelines-2022-Final-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5022</Words>
  <Characters>28627</Characters>
  <Application>Microsoft Office Word</Application>
  <DocSecurity>0</DocSecurity>
  <Lines>238</Lines>
  <Paragraphs>67</Paragraphs>
  <ScaleCrop>false</ScaleCrop>
  <Company/>
  <LinksUpToDate>false</LinksUpToDate>
  <CharactersWithSpaces>33582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Nougier</dc:creator>
  <cp:keywords/>
  <dc:description/>
  <cp:lastModifiedBy>Marie Nougier</cp:lastModifiedBy>
  <cp:revision>1</cp:revision>
  <dcterms:created xsi:type="dcterms:W3CDTF">2025-01-13T10:43:00Z</dcterms:created>
  <dcterms:modified xsi:type="dcterms:W3CDTF">2025-01-13T10:44:00Z</dcterms:modified>
</cp:coreProperties>
</file>