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68C910" w14:textId="77777777" w:rsidR="004118EA" w:rsidRPr="00D802FF" w:rsidRDefault="004118EA">
      <w:pPr>
        <w:rPr>
          <w:color w:val="auto"/>
          <w:sz w:val="24"/>
          <w:szCs w:val="24"/>
        </w:rPr>
      </w:pPr>
    </w:p>
    <w:p w14:paraId="3268C911" w14:textId="77777777" w:rsidR="004118EA" w:rsidRPr="00D802FF" w:rsidRDefault="004118EA">
      <w:pPr>
        <w:rPr>
          <w:color w:val="auto"/>
          <w:sz w:val="24"/>
          <w:szCs w:val="24"/>
        </w:rPr>
      </w:pPr>
    </w:p>
    <w:p w14:paraId="51349424" w14:textId="77777777" w:rsidR="000106E9" w:rsidRPr="00D802FF" w:rsidRDefault="008C261A">
      <w:pPr>
        <w:pStyle w:val="Default"/>
        <w:jc w:val="center"/>
        <w:rPr>
          <w:b/>
          <w:bCs/>
        </w:rPr>
      </w:pPr>
      <w:r w:rsidRPr="00D802FF">
        <w:rPr>
          <w:b/>
        </w:rPr>
        <w:t>Kuwait’s Compliance with</w:t>
      </w:r>
      <w:r w:rsidRPr="00D802FF">
        <w:t xml:space="preserve"> </w:t>
      </w:r>
      <w:r w:rsidRPr="00D802FF">
        <w:rPr>
          <w:b/>
          <w:bCs/>
        </w:rPr>
        <w:t xml:space="preserve">the Convention on the Elimination of All Forms of Discrimination Against Women </w:t>
      </w:r>
    </w:p>
    <w:p w14:paraId="3268C913" w14:textId="455F2F50" w:rsidR="004118EA" w:rsidRPr="00D802FF" w:rsidRDefault="008C261A">
      <w:pPr>
        <w:pStyle w:val="Default"/>
        <w:jc w:val="center"/>
      </w:pPr>
      <w:r w:rsidRPr="00D802FF">
        <w:rPr>
          <w:b/>
        </w:rPr>
        <w:t>Suggested List of Issues Relating to the Death Penalty</w:t>
      </w:r>
    </w:p>
    <w:p w14:paraId="3268C914" w14:textId="77777777" w:rsidR="004118EA" w:rsidRPr="00D802FF" w:rsidRDefault="004118EA">
      <w:pPr>
        <w:jc w:val="center"/>
        <w:rPr>
          <w:sz w:val="24"/>
          <w:szCs w:val="24"/>
        </w:rPr>
      </w:pPr>
    </w:p>
    <w:p w14:paraId="3268C915" w14:textId="77777777" w:rsidR="004118EA" w:rsidRPr="00D802FF" w:rsidRDefault="008C261A">
      <w:pPr>
        <w:jc w:val="center"/>
        <w:rPr>
          <w:b/>
          <w:sz w:val="24"/>
          <w:szCs w:val="24"/>
        </w:rPr>
      </w:pPr>
      <w:r w:rsidRPr="00D802FF">
        <w:rPr>
          <w:b/>
          <w:sz w:val="24"/>
          <w:szCs w:val="24"/>
        </w:rPr>
        <w:t>Submitted by The Advocates for Human Rights</w:t>
      </w:r>
    </w:p>
    <w:p w14:paraId="3268C917" w14:textId="52CD775B" w:rsidR="004118EA" w:rsidRPr="00D802FF" w:rsidRDefault="008C261A" w:rsidP="00713BC7">
      <w:pPr>
        <w:jc w:val="center"/>
        <w:rPr>
          <w:sz w:val="24"/>
          <w:szCs w:val="24"/>
        </w:rPr>
      </w:pPr>
      <w:r w:rsidRPr="00D802FF">
        <w:rPr>
          <w:sz w:val="24"/>
          <w:szCs w:val="24"/>
        </w:rPr>
        <w:t>a non-governmental organization in special consultative status with ECOSOC since 1996</w:t>
      </w:r>
    </w:p>
    <w:p w14:paraId="3268C918" w14:textId="77777777" w:rsidR="004118EA" w:rsidRPr="00D802FF" w:rsidRDefault="008C261A">
      <w:pPr>
        <w:jc w:val="center"/>
        <w:rPr>
          <w:b/>
          <w:bCs/>
          <w:sz w:val="24"/>
          <w:szCs w:val="24"/>
        </w:rPr>
      </w:pPr>
      <w:r w:rsidRPr="00D802FF">
        <w:rPr>
          <w:b/>
          <w:bCs/>
          <w:sz w:val="24"/>
          <w:szCs w:val="24"/>
        </w:rPr>
        <w:t>The World Coalition Against the Death Penalty</w:t>
      </w:r>
    </w:p>
    <w:p w14:paraId="61ED66FF" w14:textId="64806E25" w:rsidR="00713BC7" w:rsidRPr="00D802FF" w:rsidRDefault="00713BC7">
      <w:pPr>
        <w:jc w:val="center"/>
        <w:rPr>
          <w:b/>
          <w:bCs/>
          <w:sz w:val="24"/>
          <w:szCs w:val="24"/>
        </w:rPr>
      </w:pPr>
      <w:r w:rsidRPr="00D802FF">
        <w:rPr>
          <w:sz w:val="24"/>
          <w:szCs w:val="24"/>
        </w:rPr>
        <w:t>and</w:t>
      </w:r>
    </w:p>
    <w:p w14:paraId="7B939F80" w14:textId="23E498B6" w:rsidR="00713BC7" w:rsidRPr="00D802FF" w:rsidRDefault="00713BC7">
      <w:pPr>
        <w:jc w:val="center"/>
        <w:rPr>
          <w:b/>
          <w:bCs/>
          <w:sz w:val="24"/>
          <w:szCs w:val="24"/>
        </w:rPr>
      </w:pPr>
      <w:r w:rsidRPr="00D802FF">
        <w:rPr>
          <w:b/>
          <w:bCs/>
          <w:sz w:val="24"/>
          <w:szCs w:val="24"/>
        </w:rPr>
        <w:t>The Cornell Center on the Death Penalty Worldwide</w:t>
      </w:r>
    </w:p>
    <w:p w14:paraId="3268C919" w14:textId="77777777" w:rsidR="004118EA" w:rsidRPr="00D802FF" w:rsidRDefault="008C261A">
      <w:pPr>
        <w:jc w:val="center"/>
        <w:rPr>
          <w:sz w:val="24"/>
          <w:szCs w:val="24"/>
        </w:rPr>
      </w:pPr>
      <w:r w:rsidRPr="00D802FF">
        <w:rPr>
          <w:sz w:val="24"/>
          <w:szCs w:val="24"/>
        </w:rPr>
        <w:t>for the</w:t>
      </w:r>
    </w:p>
    <w:p w14:paraId="3268C91A" w14:textId="77777777" w:rsidR="004118EA" w:rsidRPr="00D802FF" w:rsidRDefault="008C261A">
      <w:pPr>
        <w:jc w:val="center"/>
        <w:rPr>
          <w:b/>
          <w:sz w:val="24"/>
          <w:szCs w:val="24"/>
        </w:rPr>
      </w:pPr>
      <w:r w:rsidRPr="00D802FF">
        <w:rPr>
          <w:b/>
          <w:sz w:val="24"/>
          <w:szCs w:val="24"/>
        </w:rPr>
        <w:t>86th Session of the Convention on the Elimination of All Forms of Discrimination Against Women Pre-Sessional Working Group</w:t>
      </w:r>
    </w:p>
    <w:p w14:paraId="3268C91B" w14:textId="6F17EF3A" w:rsidR="004118EA" w:rsidRPr="00D802FF" w:rsidRDefault="008C261A">
      <w:pPr>
        <w:jc w:val="center"/>
        <w:rPr>
          <w:b/>
          <w:sz w:val="24"/>
          <w:szCs w:val="24"/>
        </w:rPr>
      </w:pPr>
      <w:r w:rsidRPr="00D802FF">
        <w:rPr>
          <w:b/>
          <w:sz w:val="24"/>
          <w:szCs w:val="24"/>
        </w:rPr>
        <w:t>27 February–03 March 2023</w:t>
      </w:r>
    </w:p>
    <w:p w14:paraId="3268C91C" w14:textId="77777777" w:rsidR="004118EA" w:rsidRPr="00D802FF" w:rsidRDefault="004118EA">
      <w:pPr>
        <w:rPr>
          <w:sz w:val="24"/>
          <w:szCs w:val="24"/>
          <w:lang w:val="en-GB"/>
        </w:rPr>
      </w:pPr>
    </w:p>
    <w:p w14:paraId="3268C91D" w14:textId="4984D300" w:rsidR="004118EA" w:rsidRPr="00D802FF" w:rsidRDefault="008C261A">
      <w:pPr>
        <w:jc w:val="center"/>
        <w:rPr>
          <w:b/>
          <w:color w:val="auto"/>
          <w:sz w:val="24"/>
          <w:szCs w:val="24"/>
        </w:rPr>
      </w:pPr>
      <w:r w:rsidRPr="00D802FF">
        <w:rPr>
          <w:b/>
          <w:color w:val="auto"/>
          <w:sz w:val="24"/>
          <w:szCs w:val="24"/>
        </w:rPr>
        <w:t xml:space="preserve">Submitted </w:t>
      </w:r>
      <w:r w:rsidR="001D61FD" w:rsidRPr="00D802FF">
        <w:rPr>
          <w:b/>
          <w:color w:val="auto"/>
          <w:sz w:val="24"/>
          <w:szCs w:val="24"/>
        </w:rPr>
        <w:t>30 January 2023</w:t>
      </w:r>
    </w:p>
    <w:p w14:paraId="3268C91E" w14:textId="77777777" w:rsidR="004118EA" w:rsidRPr="00D802FF" w:rsidRDefault="004118EA">
      <w:pPr>
        <w:jc w:val="both"/>
        <w:rPr>
          <w:color w:val="auto"/>
          <w:sz w:val="24"/>
          <w:szCs w:val="24"/>
        </w:rPr>
      </w:pPr>
    </w:p>
    <w:p w14:paraId="3268C91F" w14:textId="77777777" w:rsidR="004118EA" w:rsidRPr="00D802FF" w:rsidRDefault="008C261A">
      <w:pPr>
        <w:jc w:val="both"/>
        <w:rPr>
          <w:sz w:val="24"/>
          <w:szCs w:val="24"/>
        </w:rPr>
      </w:pPr>
      <w:r w:rsidRPr="00D802FF">
        <w:rPr>
          <w:b/>
          <w:sz w:val="24"/>
          <w:szCs w:val="24"/>
        </w:rPr>
        <w:t xml:space="preserve">The Advocates for Human Rights </w:t>
      </w:r>
      <w:r w:rsidRPr="00D802FF">
        <w:rPr>
          <w:sz w:val="24"/>
          <w:szCs w:val="24"/>
        </w:rPr>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D802FF">
        <w:rPr>
          <w:sz w:val="24"/>
          <w:szCs w:val="24"/>
          <w:lang w:val="en-GB"/>
        </w:rPr>
        <w:t>including</w:t>
      </w:r>
      <w:r w:rsidRPr="00D802FF">
        <w:rPr>
          <w:sz w:val="24"/>
          <w:szCs w:val="24"/>
        </w:rPr>
        <w:t xml:space="preserve"> monitoring and fact finding, direct legal representation, education and training, and publications.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3268C920" w14:textId="77777777" w:rsidR="004118EA" w:rsidRPr="00D802FF" w:rsidRDefault="004118EA">
      <w:pPr>
        <w:jc w:val="both"/>
        <w:rPr>
          <w:sz w:val="24"/>
          <w:szCs w:val="24"/>
        </w:rPr>
      </w:pPr>
    </w:p>
    <w:p w14:paraId="1C9A0492" w14:textId="77777777" w:rsidR="005A23E7" w:rsidRPr="00D802FF" w:rsidRDefault="008C261A">
      <w:pPr>
        <w:jc w:val="both"/>
        <w:rPr>
          <w:rStyle w:val="normaltextrun"/>
          <w:sz w:val="24"/>
          <w:szCs w:val="24"/>
          <w:shd w:val="clear" w:color="auto" w:fill="FFFFFF"/>
        </w:rPr>
      </w:pPr>
      <w:r w:rsidRPr="00D802FF">
        <w:rPr>
          <w:rStyle w:val="normaltextrun"/>
          <w:b/>
          <w:bCs/>
          <w:sz w:val="24"/>
          <w:szCs w:val="24"/>
          <w:shd w:val="clear" w:color="auto" w:fill="FFFFFF"/>
        </w:rPr>
        <w:t>The World Coalition Against the Death Penalty</w:t>
      </w:r>
      <w:r w:rsidRPr="00D802FF">
        <w:rPr>
          <w:rStyle w:val="normaltextrun"/>
          <w:sz w:val="24"/>
          <w:szCs w:val="24"/>
          <w:shd w:val="clear" w:color="auto" w:fill="FFFFFF"/>
        </w:rPr>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 </w:t>
      </w:r>
    </w:p>
    <w:p w14:paraId="3E5E6391" w14:textId="77777777" w:rsidR="005A23E7" w:rsidRPr="00D802FF" w:rsidRDefault="005A23E7">
      <w:pPr>
        <w:jc w:val="both"/>
        <w:rPr>
          <w:rStyle w:val="normaltextrun"/>
          <w:sz w:val="24"/>
          <w:szCs w:val="24"/>
          <w:shd w:val="clear" w:color="auto" w:fill="FFFFFF"/>
        </w:rPr>
      </w:pPr>
    </w:p>
    <w:p w14:paraId="3268C921" w14:textId="4CE4EEC9" w:rsidR="004118EA" w:rsidRPr="00D802FF" w:rsidRDefault="00713BC7" w:rsidP="00713BC7">
      <w:pPr>
        <w:widowControl w:val="0"/>
        <w:autoSpaceDE w:val="0"/>
        <w:autoSpaceDN w:val="0"/>
        <w:adjustRightInd w:val="0"/>
        <w:jc w:val="both"/>
        <w:rPr>
          <w:sz w:val="24"/>
          <w:szCs w:val="24"/>
        </w:rPr>
      </w:pPr>
      <w:r w:rsidRPr="00D802FF">
        <w:rPr>
          <w:b/>
          <w:bCs/>
          <w:sz w:val="24"/>
          <w:szCs w:val="24"/>
        </w:rPr>
        <w:t>The Cornell Center on the Death Penalty Worldwide</w:t>
      </w:r>
      <w:r w:rsidRPr="00D802FF">
        <w:rPr>
          <w:sz w:val="24"/>
          <w:szCs w:val="24"/>
        </w:rPr>
        <w:t xml:space="preserve"> is a US-based research, advocacy, and training center focused on capital punishment and international law. It publishes reports and manuals on death penalty issues, provides transparent data on death penalty laws and practices around the world, trains capital lawyers in best practices, and engages in targeted advocacy and litigation. Its staff and faculty advisors have collectively spent more than eight decades representing hundreds of prisoners facing the death penalty. In 2019 it was awarded the World Justice Challenge Award in recognition for its work on behalf of death-sentenced prisoners in Malawi.</w:t>
      </w:r>
      <w:r w:rsidR="008C261A" w:rsidRPr="00D802FF">
        <w:rPr>
          <w:rStyle w:val="eop"/>
          <w:sz w:val="24"/>
          <w:szCs w:val="24"/>
          <w:shd w:val="clear" w:color="auto" w:fill="FFFFFF"/>
        </w:rPr>
        <w:t> </w:t>
      </w:r>
    </w:p>
    <w:p w14:paraId="3268C922" w14:textId="77777777" w:rsidR="004118EA" w:rsidRPr="00D802FF" w:rsidRDefault="004118EA">
      <w:pPr>
        <w:jc w:val="both"/>
        <w:rPr>
          <w:sz w:val="24"/>
          <w:szCs w:val="24"/>
        </w:rPr>
      </w:pPr>
    </w:p>
    <w:p w14:paraId="3268C923" w14:textId="77777777" w:rsidR="004118EA" w:rsidRPr="00D802FF" w:rsidRDefault="004118EA">
      <w:pPr>
        <w:jc w:val="both"/>
        <w:rPr>
          <w:b/>
          <w:bCs/>
          <w:sz w:val="24"/>
          <w:szCs w:val="24"/>
        </w:rPr>
      </w:pPr>
    </w:p>
    <w:p w14:paraId="3268C924" w14:textId="77777777" w:rsidR="004118EA" w:rsidRPr="00D802FF" w:rsidRDefault="004118EA">
      <w:pPr>
        <w:rPr>
          <w:b/>
          <w:bCs/>
          <w:color w:val="auto"/>
          <w:sz w:val="24"/>
          <w:szCs w:val="24"/>
        </w:rPr>
      </w:pPr>
    </w:p>
    <w:p w14:paraId="3268C925" w14:textId="77777777" w:rsidR="004118EA" w:rsidRPr="00D802FF" w:rsidRDefault="008C261A">
      <w:pPr>
        <w:jc w:val="center"/>
        <w:rPr>
          <w:b/>
          <w:caps/>
          <w:color w:val="auto"/>
          <w:sz w:val="24"/>
          <w:szCs w:val="24"/>
        </w:rPr>
      </w:pPr>
      <w:r w:rsidRPr="00D802FF">
        <w:rPr>
          <w:color w:val="auto"/>
          <w:sz w:val="24"/>
          <w:szCs w:val="24"/>
        </w:rPr>
        <w:br w:type="page"/>
      </w:r>
      <w:r w:rsidRPr="00D802FF">
        <w:rPr>
          <w:b/>
          <w:caps/>
          <w:color w:val="auto"/>
          <w:sz w:val="24"/>
          <w:szCs w:val="24"/>
        </w:rPr>
        <w:lastRenderedPageBreak/>
        <w:t>Executive Summary</w:t>
      </w:r>
    </w:p>
    <w:p w14:paraId="3268C926" w14:textId="77777777" w:rsidR="004118EA" w:rsidRPr="00D802FF" w:rsidRDefault="004118EA">
      <w:pPr>
        <w:jc w:val="both"/>
        <w:rPr>
          <w:b/>
          <w:caps/>
          <w:color w:val="auto"/>
          <w:sz w:val="24"/>
          <w:szCs w:val="24"/>
        </w:rPr>
      </w:pPr>
    </w:p>
    <w:p w14:paraId="71F52219" w14:textId="26CE7531" w:rsidR="00BC0E77" w:rsidRPr="00D802FF" w:rsidRDefault="008C261A" w:rsidP="00293E06">
      <w:pPr>
        <w:pStyle w:val="Default"/>
        <w:numPr>
          <w:ilvl w:val="0"/>
          <w:numId w:val="17"/>
        </w:numPr>
        <w:ind w:left="360"/>
        <w:jc w:val="both"/>
      </w:pPr>
      <w:r w:rsidRPr="00D802FF">
        <w:t xml:space="preserve">This report suggests questions that the Committee on the Elimination of Discrimination against Women should </w:t>
      </w:r>
      <w:r w:rsidR="004E39C7" w:rsidRPr="00D802FF">
        <w:t xml:space="preserve">pose </w:t>
      </w:r>
      <w:r w:rsidRPr="00D802FF">
        <w:t xml:space="preserve">to the Government of Kuwait in its List of Issues, particularly with respect to the death penalty. </w:t>
      </w:r>
      <w:r w:rsidR="00BB18CF" w:rsidRPr="00D802FF">
        <w:t xml:space="preserve">Kuwait carried out </w:t>
      </w:r>
      <w:r w:rsidR="00D4350B" w:rsidRPr="00D802FF">
        <w:t>approximately seven</w:t>
      </w:r>
      <w:r w:rsidR="00BB18CF" w:rsidRPr="00D802FF">
        <w:t xml:space="preserve"> executions in November 2022</w:t>
      </w:r>
      <w:r w:rsidR="00A04242" w:rsidRPr="00D802FF">
        <w:t>.</w:t>
      </w:r>
      <w:r w:rsidR="006B2E2B" w:rsidRPr="00D802FF">
        <w:t xml:space="preserve"> </w:t>
      </w:r>
      <w:r w:rsidR="003E2BA1" w:rsidRPr="00D802FF">
        <w:t xml:space="preserve">Since 2017, </w:t>
      </w:r>
      <w:r w:rsidR="00AB03A1" w:rsidRPr="00D802FF">
        <w:t xml:space="preserve">Kuwait has </w:t>
      </w:r>
      <w:r w:rsidR="004E39C7" w:rsidRPr="00D802FF">
        <w:t xml:space="preserve">abandoned </w:t>
      </w:r>
      <w:r w:rsidR="00AB03A1" w:rsidRPr="00D802FF">
        <w:t xml:space="preserve">its </w:t>
      </w:r>
      <w:r w:rsidR="00AB03A1" w:rsidRPr="00D802FF">
        <w:rPr>
          <w:rStyle w:val="normaltextrun"/>
          <w:bdr w:val="none" w:sz="0" w:space="0" w:color="auto" w:frame="1"/>
        </w:rPr>
        <w:t xml:space="preserve">de facto moratorium on </w:t>
      </w:r>
      <w:r w:rsidR="00A34B25" w:rsidRPr="00D802FF">
        <w:rPr>
          <w:rStyle w:val="normaltextrun"/>
          <w:bdr w:val="none" w:sz="0" w:space="0" w:color="auto" w:frame="1"/>
        </w:rPr>
        <w:t xml:space="preserve">the </w:t>
      </w:r>
      <w:r w:rsidR="00AB03A1" w:rsidRPr="00D802FF">
        <w:rPr>
          <w:rStyle w:val="normaltextrun"/>
          <w:bdr w:val="none" w:sz="0" w:space="0" w:color="auto" w:frame="1"/>
        </w:rPr>
        <w:t>death penalty</w:t>
      </w:r>
      <w:r w:rsidR="00DA18C0" w:rsidRPr="00D802FF">
        <w:rPr>
          <w:rStyle w:val="normaltextrun"/>
          <w:bdr w:val="none" w:sz="0" w:space="0" w:color="auto" w:frame="1"/>
        </w:rPr>
        <w:t xml:space="preserve"> and has</w:t>
      </w:r>
      <w:r w:rsidR="00AB03A1" w:rsidRPr="00D802FF">
        <w:rPr>
          <w:rStyle w:val="normaltextrun"/>
          <w:bdr w:val="none" w:sz="0" w:space="0" w:color="auto" w:frame="1"/>
        </w:rPr>
        <w:t xml:space="preserve"> </w:t>
      </w:r>
      <w:r w:rsidR="00DA18C0" w:rsidRPr="00D802FF">
        <w:rPr>
          <w:rStyle w:val="normaltextrun"/>
          <w:bdr w:val="none" w:sz="0" w:space="0" w:color="auto" w:frame="1"/>
        </w:rPr>
        <w:t>executed</w:t>
      </w:r>
      <w:r w:rsidR="00AB03A1" w:rsidRPr="00D802FF">
        <w:rPr>
          <w:rStyle w:val="normaltextrun"/>
          <w:bdr w:val="none" w:sz="0" w:space="0" w:color="auto" w:frame="1"/>
        </w:rPr>
        <w:t xml:space="preserve"> 14 people</w:t>
      </w:r>
      <w:r w:rsidR="00685317" w:rsidRPr="00D802FF">
        <w:rPr>
          <w:rStyle w:val="normaltextrun"/>
          <w:bdr w:val="none" w:sz="0" w:space="0" w:color="auto" w:frame="1"/>
        </w:rPr>
        <w:t xml:space="preserve">. </w:t>
      </w:r>
      <w:r w:rsidR="00BC0E77" w:rsidRPr="00D802FF">
        <w:rPr>
          <w:rStyle w:val="normaltextrun"/>
          <w:shd w:val="clear" w:color="auto" w:fill="FFFFFF"/>
        </w:rPr>
        <w:t xml:space="preserve">Women remain at risk of being sentenced to death, and Kuwait’s retention of the death penalty and its practices regarding the death penalty present an ongoing risk of discrimination against women. </w:t>
      </w:r>
    </w:p>
    <w:p w14:paraId="3268C928" w14:textId="77777777" w:rsidR="004118EA" w:rsidRPr="00D802FF" w:rsidRDefault="004118EA">
      <w:pPr>
        <w:pStyle w:val="Default"/>
        <w:ind w:left="360"/>
        <w:jc w:val="both"/>
      </w:pPr>
    </w:p>
    <w:p w14:paraId="3268C929" w14:textId="23ED73B2" w:rsidR="004118EA" w:rsidRPr="00D802FF" w:rsidRDefault="008C261A" w:rsidP="00711B11">
      <w:pPr>
        <w:spacing w:after="120"/>
        <w:jc w:val="center"/>
        <w:rPr>
          <w:b/>
          <w:color w:val="auto"/>
          <w:sz w:val="24"/>
          <w:szCs w:val="24"/>
        </w:rPr>
      </w:pPr>
      <w:r w:rsidRPr="00D802FF">
        <w:rPr>
          <w:b/>
          <w:color w:val="auto"/>
          <w:sz w:val="24"/>
          <w:szCs w:val="24"/>
        </w:rPr>
        <w:t xml:space="preserve">Kuwait fails to uphold its obligations under </w:t>
      </w:r>
      <w:r w:rsidRPr="00D802FF">
        <w:rPr>
          <w:b/>
          <w:bCs/>
          <w:sz w:val="24"/>
          <w:szCs w:val="24"/>
        </w:rPr>
        <w:t>the Convention on the Elimination of All Forms of Discrimination Against Women</w:t>
      </w:r>
      <w:r w:rsidR="00D57B72" w:rsidRPr="00D802FF">
        <w:rPr>
          <w:b/>
          <w:bCs/>
          <w:sz w:val="24"/>
          <w:szCs w:val="24"/>
        </w:rPr>
        <w:t>.</w:t>
      </w:r>
    </w:p>
    <w:p w14:paraId="3268C92A" w14:textId="7C37ED0D" w:rsidR="004118EA" w:rsidRPr="00D802FF" w:rsidRDefault="008C261A" w:rsidP="00711B11">
      <w:pPr>
        <w:pStyle w:val="Default"/>
        <w:numPr>
          <w:ilvl w:val="0"/>
          <w:numId w:val="17"/>
        </w:numPr>
        <w:ind w:left="360"/>
        <w:jc w:val="both"/>
      </w:pPr>
      <w:r w:rsidRPr="00D802FF">
        <w:t>Kuwait</w:t>
      </w:r>
      <w:r w:rsidR="008713BF" w:rsidRPr="00D802FF">
        <w:t xml:space="preserve"> is a </w:t>
      </w:r>
      <w:r w:rsidR="00D74322" w:rsidRPr="00D802FF">
        <w:t>retentionist</w:t>
      </w:r>
      <w:r w:rsidR="008713BF" w:rsidRPr="00D802FF">
        <w:t xml:space="preserve"> </w:t>
      </w:r>
      <w:r w:rsidR="00A82647" w:rsidRPr="00D802FF">
        <w:t>country, and</w:t>
      </w:r>
      <w:r w:rsidR="00D74322" w:rsidRPr="00D802FF">
        <w:t xml:space="preserve"> since the end of a </w:t>
      </w:r>
      <w:r w:rsidR="00E20310" w:rsidRPr="00D802FF">
        <w:t xml:space="preserve">facto </w:t>
      </w:r>
      <w:r w:rsidR="00A82647" w:rsidRPr="00D802FF">
        <w:t xml:space="preserve">moratorium </w:t>
      </w:r>
      <w:r w:rsidR="00387D8C" w:rsidRPr="00D802FF">
        <w:t>i</w:t>
      </w:r>
      <w:r w:rsidR="00E20310" w:rsidRPr="00D802FF">
        <w:t xml:space="preserve">n 2017, </w:t>
      </w:r>
      <w:r w:rsidR="00A82647" w:rsidRPr="00D802FF">
        <w:t xml:space="preserve">the </w:t>
      </w:r>
      <w:r w:rsidR="00393F21" w:rsidRPr="00D802FF">
        <w:t>S</w:t>
      </w:r>
      <w:r w:rsidR="00A82647" w:rsidRPr="00D802FF">
        <w:t>tate</w:t>
      </w:r>
      <w:r w:rsidR="00393F21" w:rsidRPr="00D802FF">
        <w:t xml:space="preserve"> party</w:t>
      </w:r>
      <w:r w:rsidR="00E20310" w:rsidRPr="00D802FF">
        <w:t xml:space="preserve"> continues</w:t>
      </w:r>
      <w:r w:rsidRPr="00D802FF">
        <w:t xml:space="preserve"> to sentence women to death, violating the rights of women based on the crimes for which women are sentenced, the lack of protections entrenched in the </w:t>
      </w:r>
      <w:r w:rsidR="00C7311F" w:rsidRPr="00D802FF">
        <w:t>law</w:t>
      </w:r>
      <w:r w:rsidRPr="00D802FF">
        <w:t>, discriminatory penal provisions, and gender</w:t>
      </w:r>
      <w:r w:rsidR="00C7311F" w:rsidRPr="00D802FF">
        <w:t>-based</w:t>
      </w:r>
      <w:r w:rsidRPr="00D802FF">
        <w:t xml:space="preserve"> violence.</w:t>
      </w:r>
    </w:p>
    <w:p w14:paraId="3906EF92" w14:textId="5F2C6A37" w:rsidR="0009432D" w:rsidRPr="00D802FF" w:rsidRDefault="00477C2A" w:rsidP="00477C2A">
      <w:pPr>
        <w:pStyle w:val="Default"/>
        <w:numPr>
          <w:ilvl w:val="0"/>
          <w:numId w:val="38"/>
        </w:numPr>
        <w:spacing w:before="120" w:after="120"/>
        <w:ind w:left="360" w:hanging="360"/>
        <w:jc w:val="both"/>
      </w:pPr>
      <w:r w:rsidRPr="00D802FF">
        <w:rPr>
          <w:rStyle w:val="normaltextrun"/>
          <w:b/>
          <w:bCs/>
          <w:shd w:val="clear" w:color="auto" w:fill="FFFFFF"/>
        </w:rPr>
        <w:t>Kuwait</w:t>
      </w:r>
      <w:r w:rsidR="0009432D" w:rsidRPr="00D802FF">
        <w:rPr>
          <w:rStyle w:val="normaltextrun"/>
          <w:b/>
          <w:bCs/>
          <w:shd w:val="clear" w:color="auto" w:fill="FFFFFF"/>
        </w:rPr>
        <w:t xml:space="preserve"> </w:t>
      </w:r>
      <w:r w:rsidR="002770E9" w:rsidRPr="00D802FF">
        <w:rPr>
          <w:rStyle w:val="normaltextrun"/>
          <w:b/>
          <w:bCs/>
          <w:shd w:val="clear" w:color="auto" w:fill="FFFFFF"/>
        </w:rPr>
        <w:t xml:space="preserve">retains </w:t>
      </w:r>
      <w:r w:rsidR="0009432D" w:rsidRPr="00D802FF">
        <w:rPr>
          <w:rStyle w:val="normaltextrun"/>
          <w:b/>
          <w:bCs/>
          <w:shd w:val="clear" w:color="auto" w:fill="FFFFFF"/>
        </w:rPr>
        <w:t xml:space="preserve">the death </w:t>
      </w:r>
      <w:proofErr w:type="gramStart"/>
      <w:r w:rsidR="0009432D" w:rsidRPr="00D802FF">
        <w:rPr>
          <w:rStyle w:val="normaltextrun"/>
          <w:b/>
          <w:bCs/>
          <w:shd w:val="clear" w:color="auto" w:fill="FFFFFF"/>
        </w:rPr>
        <w:t>penalty</w:t>
      </w:r>
      <w:proofErr w:type="gramEnd"/>
      <w:r w:rsidR="0009432D" w:rsidRPr="00D802FF">
        <w:rPr>
          <w:rStyle w:val="normaltextrun"/>
          <w:b/>
          <w:bCs/>
          <w:shd w:val="clear" w:color="auto" w:fill="FFFFFF"/>
        </w:rPr>
        <w:t xml:space="preserve"> and the mandatory death penalty continues to place women at risk of being sentenced to death.</w:t>
      </w:r>
      <w:r w:rsidR="0009432D" w:rsidRPr="00D802FF">
        <w:rPr>
          <w:rStyle w:val="eop"/>
          <w:shd w:val="clear" w:color="auto" w:fill="FFFFFF"/>
        </w:rPr>
        <w:t> </w:t>
      </w:r>
    </w:p>
    <w:p w14:paraId="3268C92D" w14:textId="4AE40A4D" w:rsidR="004118EA" w:rsidRPr="00D802FF" w:rsidRDefault="008C261A" w:rsidP="00711B11">
      <w:pPr>
        <w:pStyle w:val="Default"/>
        <w:numPr>
          <w:ilvl w:val="0"/>
          <w:numId w:val="17"/>
        </w:numPr>
        <w:spacing w:after="120"/>
        <w:ind w:left="360"/>
        <w:jc w:val="both"/>
      </w:pPr>
      <w:bookmarkStart w:id="0" w:name="_Ref125607557"/>
      <w:r w:rsidRPr="00D802FF">
        <w:t xml:space="preserve">The death penalty is available in Kuwait for </w:t>
      </w:r>
      <w:r w:rsidR="000E5E81" w:rsidRPr="00D802FF">
        <w:t>murder</w:t>
      </w:r>
      <w:r w:rsidRPr="00D802FF">
        <w:t xml:space="preserve"> as </w:t>
      </w:r>
      <w:r w:rsidR="008B62ED" w:rsidRPr="00D802FF">
        <w:t xml:space="preserve">well as for </w:t>
      </w:r>
      <w:r w:rsidRPr="00D802FF">
        <w:t>drug-related offenses that do not involve intentional killing</w:t>
      </w:r>
      <w:r w:rsidR="00207446" w:rsidRPr="00D802FF">
        <w:t>,</w:t>
      </w:r>
      <w:r w:rsidRPr="00D802FF">
        <w:t xml:space="preserve"> and therefore do not constitute the “most serious crimes” under Article 6 of the International Covenant on Civil and Political Rights.</w:t>
      </w:r>
      <w:r w:rsidRPr="00D802FF">
        <w:rPr>
          <w:rStyle w:val="FootnoteReference"/>
        </w:rPr>
        <w:footnoteReference w:id="2"/>
      </w:r>
      <w:r w:rsidRPr="00D802FF">
        <w:t xml:space="preserve"> </w:t>
      </w:r>
      <w:r w:rsidR="00D7724F" w:rsidRPr="00D802FF">
        <w:t xml:space="preserve">After a five-year </w:t>
      </w:r>
      <w:r w:rsidR="003E2BA1" w:rsidRPr="00D802FF">
        <w:rPr>
          <w:rStyle w:val="normaltextrun"/>
          <w:bdr w:val="none" w:sz="0" w:space="0" w:color="auto" w:frame="1"/>
        </w:rPr>
        <w:t>de facto moratorium,</w:t>
      </w:r>
      <w:r w:rsidR="00630236" w:rsidRPr="00D802FF">
        <w:t xml:space="preserve"> </w:t>
      </w:r>
      <w:r w:rsidR="00D7724F" w:rsidRPr="00D802FF">
        <w:t xml:space="preserve">in 2017 </w:t>
      </w:r>
      <w:r w:rsidR="001253B3" w:rsidRPr="00D802FF">
        <w:t xml:space="preserve">Kuwait carried out two mass </w:t>
      </w:r>
      <w:r w:rsidR="00630236" w:rsidRPr="00D802FF">
        <w:t>executions.</w:t>
      </w:r>
      <w:r w:rsidR="007912ED" w:rsidRPr="00D802FF">
        <w:rPr>
          <w:rStyle w:val="FootnoteReference"/>
        </w:rPr>
        <w:footnoteReference w:id="3"/>
      </w:r>
      <w:r w:rsidR="00A34B25" w:rsidRPr="00D802FF">
        <w:t xml:space="preserve"> Kuwait hung </w:t>
      </w:r>
      <w:r w:rsidR="000A766F" w:rsidRPr="00D802FF">
        <w:t>seven</w:t>
      </w:r>
      <w:r w:rsidR="00A34B25" w:rsidRPr="00D802FF">
        <w:t xml:space="preserve"> people in January 2017, and </w:t>
      </w:r>
      <w:r w:rsidR="000A766F" w:rsidRPr="00D802FF">
        <w:t>another seven</w:t>
      </w:r>
      <w:r w:rsidR="00A34B25" w:rsidRPr="00D802FF">
        <w:t xml:space="preserve"> people in November 2022</w:t>
      </w:r>
      <w:r w:rsidR="000A766F" w:rsidRPr="00D802FF">
        <w:t>;</w:t>
      </w:r>
      <w:r w:rsidR="00DD0733" w:rsidRPr="00D802FF">
        <w:t xml:space="preserve"> </w:t>
      </w:r>
      <w:r w:rsidR="004C2A5E" w:rsidRPr="00D802FF">
        <w:t xml:space="preserve">at least </w:t>
      </w:r>
      <w:r w:rsidR="000A766F" w:rsidRPr="00D802FF">
        <w:t>five</w:t>
      </w:r>
      <w:r w:rsidR="00DD0733" w:rsidRPr="00D802FF">
        <w:t xml:space="preserve"> </w:t>
      </w:r>
      <w:r w:rsidR="00ED2999" w:rsidRPr="00D802FF">
        <w:t xml:space="preserve">of </w:t>
      </w:r>
      <w:r w:rsidR="000A766F" w:rsidRPr="00D802FF">
        <w:t xml:space="preserve">the fourteen </w:t>
      </w:r>
      <w:r w:rsidR="00ED2999" w:rsidRPr="00D802FF">
        <w:t>were women.</w:t>
      </w:r>
      <w:bookmarkEnd w:id="0"/>
      <w:r w:rsidR="00ED2999" w:rsidRPr="00D802FF">
        <w:t xml:space="preserve"> </w:t>
      </w:r>
    </w:p>
    <w:p w14:paraId="5DC78938" w14:textId="398B697F" w:rsidR="00C2710E" w:rsidRPr="00D802FF" w:rsidRDefault="00916B44" w:rsidP="00711B11">
      <w:pPr>
        <w:pStyle w:val="Default"/>
        <w:numPr>
          <w:ilvl w:val="0"/>
          <w:numId w:val="17"/>
        </w:numPr>
        <w:spacing w:after="120"/>
        <w:ind w:left="360"/>
        <w:jc w:val="both"/>
      </w:pPr>
      <w:r w:rsidRPr="00D802FF">
        <w:t xml:space="preserve">The Kuwaiti </w:t>
      </w:r>
      <w:r w:rsidR="000A766F" w:rsidRPr="00D802FF">
        <w:t>G</w:t>
      </w:r>
      <w:r w:rsidRPr="00D802FF">
        <w:t xml:space="preserve">overnment </w:t>
      </w:r>
      <w:r w:rsidR="003B3C37" w:rsidRPr="00D802FF">
        <w:t>lacks transparency regarding</w:t>
      </w:r>
      <w:r w:rsidRPr="00D802FF">
        <w:t xml:space="preserve"> the number of women sentenced to deat</w:t>
      </w:r>
      <w:r w:rsidR="00FC13D1" w:rsidRPr="00D802FF">
        <w:t>h. I</w:t>
      </w:r>
      <w:r w:rsidR="003A14A5" w:rsidRPr="00D802FF">
        <w:t xml:space="preserve">n </w:t>
      </w:r>
      <w:r w:rsidRPr="00D802FF">
        <w:t>2021 at least five individuals were placed on death row</w:t>
      </w:r>
      <w:r w:rsidR="00CC696B" w:rsidRPr="00D802FF">
        <w:t>, and</w:t>
      </w:r>
      <w:r w:rsidR="003A4A0E" w:rsidRPr="00D802FF">
        <w:t xml:space="preserve"> as mentioned in the preceding paragraph,</w:t>
      </w:r>
      <w:r w:rsidR="00CC696B" w:rsidRPr="00D802FF">
        <w:t xml:space="preserve"> in</w:t>
      </w:r>
      <w:r w:rsidRPr="00D802FF">
        <w:t xml:space="preserve"> November 2022, Kuwait </w:t>
      </w:r>
      <w:r w:rsidR="002E574C" w:rsidRPr="00D802FF">
        <w:t xml:space="preserve">executed </w:t>
      </w:r>
      <w:r w:rsidRPr="00D802FF">
        <w:t xml:space="preserve">seven </w:t>
      </w:r>
      <w:r w:rsidR="002E574C" w:rsidRPr="00D802FF">
        <w:t xml:space="preserve">people—five </w:t>
      </w:r>
      <w:r w:rsidRPr="00D802FF">
        <w:t>men and two women.</w:t>
      </w:r>
      <w:r w:rsidRPr="00D802FF">
        <w:rPr>
          <w:rStyle w:val="FootnoteReference"/>
        </w:rPr>
        <w:footnoteReference w:id="4"/>
      </w:r>
      <w:r w:rsidRPr="00D802FF">
        <w:t xml:space="preserve"> </w:t>
      </w:r>
      <w:r w:rsidR="00196517" w:rsidRPr="00D802FF">
        <w:rPr>
          <w:color w:val="000000" w:themeColor="text1"/>
        </w:rPr>
        <w:t>The</w:t>
      </w:r>
      <w:r w:rsidR="00683E46" w:rsidRPr="00D802FF">
        <w:rPr>
          <w:color w:val="000000" w:themeColor="text1"/>
        </w:rPr>
        <w:t xml:space="preserve"> Office of the High Commissioner for Human Rights and Amnesty International</w:t>
      </w:r>
      <w:r w:rsidR="00196517" w:rsidRPr="00D802FF">
        <w:rPr>
          <w:color w:val="000000" w:themeColor="text1"/>
        </w:rPr>
        <w:t xml:space="preserve"> identified the individuals as </w:t>
      </w:r>
      <w:r w:rsidR="004F39A7" w:rsidRPr="00D802FF">
        <w:rPr>
          <w:color w:val="000000" w:themeColor="text1"/>
        </w:rPr>
        <w:t>“</w:t>
      </w:r>
      <w:r w:rsidR="00947C36" w:rsidRPr="00D802FF">
        <w:rPr>
          <w:color w:val="000000" w:themeColor="text1"/>
          <w:spacing w:val="4"/>
        </w:rPr>
        <w:t>four Kuwaiti nationals</w:t>
      </w:r>
      <w:r w:rsidR="00205F69" w:rsidRPr="00D802FF">
        <w:rPr>
          <w:color w:val="000000" w:themeColor="text1"/>
          <w:spacing w:val="4"/>
        </w:rPr>
        <w:t>—</w:t>
      </w:r>
      <w:r w:rsidR="00947C36" w:rsidRPr="00D802FF">
        <w:rPr>
          <w:color w:val="000000" w:themeColor="text1"/>
          <w:spacing w:val="4"/>
        </w:rPr>
        <w:t>three men and a woman</w:t>
      </w:r>
      <w:r w:rsidR="00205F69" w:rsidRPr="00D802FF">
        <w:rPr>
          <w:color w:val="000000" w:themeColor="text1"/>
          <w:spacing w:val="4"/>
        </w:rPr>
        <w:t>—</w:t>
      </w:r>
      <w:r w:rsidR="00947C36" w:rsidRPr="00D802FF">
        <w:rPr>
          <w:color w:val="000000" w:themeColor="text1"/>
          <w:spacing w:val="4"/>
        </w:rPr>
        <w:t>an Ethiopian woman, a Pakistani man and a man from Syria</w:t>
      </w:r>
      <w:r w:rsidR="00205F69" w:rsidRPr="00D802FF">
        <w:rPr>
          <w:color w:val="000000" w:themeColor="text1"/>
          <w:spacing w:val="4"/>
        </w:rPr>
        <w:t>.</w:t>
      </w:r>
      <w:r w:rsidR="004F39A7" w:rsidRPr="00D802FF">
        <w:rPr>
          <w:color w:val="000000" w:themeColor="text1"/>
          <w:spacing w:val="4"/>
        </w:rPr>
        <w:t>”</w:t>
      </w:r>
      <w:r w:rsidR="00196517" w:rsidRPr="00D802FF">
        <w:rPr>
          <w:rStyle w:val="FootnoteReference"/>
          <w:color w:val="000000" w:themeColor="text1"/>
          <w:spacing w:val="4"/>
        </w:rPr>
        <w:footnoteReference w:id="5"/>
      </w:r>
    </w:p>
    <w:p w14:paraId="29F4EF0D" w14:textId="625844C8" w:rsidR="00DD73D3" w:rsidRPr="00D802FF" w:rsidRDefault="00722CB3" w:rsidP="002B12E7">
      <w:pPr>
        <w:pStyle w:val="Default"/>
        <w:numPr>
          <w:ilvl w:val="0"/>
          <w:numId w:val="17"/>
        </w:numPr>
        <w:spacing w:after="120"/>
        <w:ind w:left="360"/>
        <w:jc w:val="both"/>
        <w:rPr>
          <w:color w:val="auto"/>
        </w:rPr>
      </w:pPr>
      <w:r w:rsidRPr="00D802FF">
        <w:t xml:space="preserve">Official </w:t>
      </w:r>
      <w:r w:rsidR="00916B44" w:rsidRPr="00D802FF">
        <w:t xml:space="preserve">information about the </w:t>
      </w:r>
      <w:r w:rsidR="00916B44" w:rsidRPr="00D802FF">
        <w:rPr>
          <w:color w:val="000000" w:themeColor="text1"/>
        </w:rPr>
        <w:t xml:space="preserve">charges </w:t>
      </w:r>
      <w:r w:rsidR="00F94F33" w:rsidRPr="00D802FF">
        <w:rPr>
          <w:color w:val="000000" w:themeColor="text1"/>
        </w:rPr>
        <w:t xml:space="preserve">that </w:t>
      </w:r>
      <w:r w:rsidR="00C2710E" w:rsidRPr="00D802FF">
        <w:rPr>
          <w:color w:val="000000" w:themeColor="text1"/>
        </w:rPr>
        <w:t>led</w:t>
      </w:r>
      <w:r w:rsidR="00F94F33" w:rsidRPr="00D802FF">
        <w:rPr>
          <w:color w:val="000000" w:themeColor="text1"/>
        </w:rPr>
        <w:t xml:space="preserve"> to the execution</w:t>
      </w:r>
      <w:r w:rsidRPr="00D802FF">
        <w:rPr>
          <w:color w:val="000000" w:themeColor="text1"/>
        </w:rPr>
        <w:t>s</w:t>
      </w:r>
      <w:r w:rsidR="00F94F33" w:rsidRPr="00D802FF">
        <w:rPr>
          <w:color w:val="000000" w:themeColor="text1"/>
        </w:rPr>
        <w:t xml:space="preserve"> is </w:t>
      </w:r>
      <w:r w:rsidR="00440104" w:rsidRPr="00D802FF">
        <w:rPr>
          <w:color w:val="000000" w:themeColor="text1"/>
        </w:rPr>
        <w:t>lacking</w:t>
      </w:r>
      <w:r w:rsidR="00F94F33" w:rsidRPr="00D802FF">
        <w:rPr>
          <w:color w:val="000000" w:themeColor="text1"/>
        </w:rPr>
        <w:t xml:space="preserve">. In the cases </w:t>
      </w:r>
      <w:r w:rsidR="001D1067" w:rsidRPr="00D802FF">
        <w:rPr>
          <w:color w:val="000000" w:themeColor="text1"/>
        </w:rPr>
        <w:t>of</w:t>
      </w:r>
      <w:r w:rsidR="00F94F33" w:rsidRPr="00D802FF">
        <w:rPr>
          <w:color w:val="000000" w:themeColor="text1"/>
        </w:rPr>
        <w:t xml:space="preserve"> the women executed in 2022</w:t>
      </w:r>
      <w:r w:rsidR="00BA694B" w:rsidRPr="00D802FF">
        <w:rPr>
          <w:color w:val="000000" w:themeColor="text1"/>
        </w:rPr>
        <w:t xml:space="preserve">, </w:t>
      </w:r>
      <w:r w:rsidR="00F330E9" w:rsidRPr="00D802FF">
        <w:rPr>
          <w:color w:val="000000" w:themeColor="text1"/>
        </w:rPr>
        <w:t xml:space="preserve">a government spokesperson provided </w:t>
      </w:r>
      <w:r w:rsidR="00BA694B" w:rsidRPr="00D802FF">
        <w:rPr>
          <w:color w:val="000000" w:themeColor="text1"/>
        </w:rPr>
        <w:t xml:space="preserve">the only </w:t>
      </w:r>
      <w:r w:rsidR="00B14C4D" w:rsidRPr="00D802FF">
        <w:rPr>
          <w:color w:val="000000" w:themeColor="text1"/>
        </w:rPr>
        <w:t xml:space="preserve">official </w:t>
      </w:r>
      <w:r w:rsidR="00BA694B" w:rsidRPr="00D802FF">
        <w:rPr>
          <w:color w:val="000000" w:themeColor="text1"/>
        </w:rPr>
        <w:t xml:space="preserve">information </w:t>
      </w:r>
      <w:r w:rsidR="001D1067" w:rsidRPr="00D802FF">
        <w:rPr>
          <w:color w:val="000000" w:themeColor="text1"/>
        </w:rPr>
        <w:t xml:space="preserve">to </w:t>
      </w:r>
      <w:r w:rsidRPr="00D802FF">
        <w:rPr>
          <w:color w:val="000000" w:themeColor="text1"/>
        </w:rPr>
        <w:t xml:space="preserve">the </w:t>
      </w:r>
      <w:r w:rsidR="004B01BB" w:rsidRPr="00D802FF">
        <w:rPr>
          <w:color w:val="000000" w:themeColor="text1"/>
          <w:shd w:val="clear" w:color="auto" w:fill="FFFFFF"/>
        </w:rPr>
        <w:t>state-run KUNA news agency</w:t>
      </w:r>
      <w:r w:rsidR="00547072" w:rsidRPr="00D802FF">
        <w:rPr>
          <w:color w:val="000000" w:themeColor="text1"/>
          <w:shd w:val="clear" w:color="auto" w:fill="FFFFFF"/>
        </w:rPr>
        <w:t>:</w:t>
      </w:r>
      <w:r w:rsidR="004B01BB" w:rsidRPr="00D802FF">
        <w:rPr>
          <w:color w:val="000000" w:themeColor="text1"/>
        </w:rPr>
        <w:t xml:space="preserve"> </w:t>
      </w:r>
      <w:r w:rsidR="008E21C1" w:rsidRPr="00D802FF">
        <w:rPr>
          <w:color w:val="000000" w:themeColor="text1"/>
        </w:rPr>
        <w:t xml:space="preserve">“The Ethiopian woman was executed for intentional </w:t>
      </w:r>
      <w:r w:rsidR="008E21C1" w:rsidRPr="00D802FF">
        <w:rPr>
          <w:color w:val="000000" w:themeColor="text1"/>
        </w:rPr>
        <w:lastRenderedPageBreak/>
        <w:t>killing” and the</w:t>
      </w:r>
      <w:r w:rsidR="00BA694B" w:rsidRPr="00D802FF">
        <w:rPr>
          <w:color w:val="000000" w:themeColor="text1"/>
        </w:rPr>
        <w:t xml:space="preserve"> female Kuwaiti was found “guilty of premeditated crime</w:t>
      </w:r>
      <w:r w:rsidR="006D7305" w:rsidRPr="00D802FF">
        <w:rPr>
          <w:color w:val="000000" w:themeColor="text1"/>
        </w:rPr>
        <w:t>.</w:t>
      </w:r>
      <w:r w:rsidR="00BA694B" w:rsidRPr="00D802FF">
        <w:rPr>
          <w:color w:val="000000" w:themeColor="text1"/>
        </w:rPr>
        <w:t>”</w:t>
      </w:r>
      <w:r w:rsidR="00BA694B" w:rsidRPr="00D802FF">
        <w:rPr>
          <w:rStyle w:val="FootnoteReference"/>
          <w:color w:val="000000" w:themeColor="text1"/>
        </w:rPr>
        <w:footnoteReference w:id="6"/>
      </w:r>
      <w:r w:rsidR="002B12E7" w:rsidRPr="00D802FF">
        <w:rPr>
          <w:color w:val="000000" w:themeColor="text1"/>
        </w:rPr>
        <w:t xml:space="preserve"> </w:t>
      </w:r>
      <w:bookmarkStart w:id="1" w:name="_Ref125607095"/>
      <w:r w:rsidR="002307F1" w:rsidRPr="00D802FF">
        <w:rPr>
          <w:color w:val="auto"/>
        </w:rPr>
        <w:t>R</w:t>
      </w:r>
      <w:r w:rsidR="00DD73D3" w:rsidRPr="00D802FF">
        <w:rPr>
          <w:color w:val="auto"/>
        </w:rPr>
        <w:t xml:space="preserve">egarding </w:t>
      </w:r>
      <w:r w:rsidR="00925655" w:rsidRPr="00D802FF">
        <w:rPr>
          <w:color w:val="auto"/>
        </w:rPr>
        <w:t xml:space="preserve">the </w:t>
      </w:r>
      <w:r w:rsidR="00DD73D3" w:rsidRPr="00D802FF">
        <w:rPr>
          <w:color w:val="auto"/>
        </w:rPr>
        <w:t xml:space="preserve">2017 executions, </w:t>
      </w:r>
      <w:r w:rsidR="005F1675" w:rsidRPr="00D802FF">
        <w:rPr>
          <w:color w:val="auto"/>
        </w:rPr>
        <w:t xml:space="preserve">Human Rights Watch reported </w:t>
      </w:r>
      <w:r w:rsidR="004C2A5E" w:rsidRPr="00D802FF">
        <w:rPr>
          <w:color w:val="auto"/>
        </w:rPr>
        <w:t xml:space="preserve">that </w:t>
      </w:r>
      <w:r w:rsidR="00C73B84" w:rsidRPr="00D802FF">
        <w:rPr>
          <w:color w:val="auto"/>
        </w:rPr>
        <w:t>“the Filipina and Ethiopian women, migrant domestic workers, were convicted of murdering members of their employers’ families.”</w:t>
      </w:r>
      <w:r w:rsidR="00C73B84" w:rsidRPr="00D802FF">
        <w:rPr>
          <w:rStyle w:val="FootnoteReference"/>
          <w:color w:val="auto"/>
        </w:rPr>
        <w:footnoteReference w:id="7"/>
      </w:r>
      <w:bookmarkEnd w:id="1"/>
      <w:r w:rsidR="00DC110D" w:rsidRPr="00D802FF">
        <w:rPr>
          <w:color w:val="auto"/>
        </w:rPr>
        <w:t xml:space="preserve"> </w:t>
      </w:r>
    </w:p>
    <w:p w14:paraId="0ADD2C8E" w14:textId="2B852B26" w:rsidR="005F16A7" w:rsidRPr="00D802FF" w:rsidRDefault="005F16A7" w:rsidP="005F16A7">
      <w:pPr>
        <w:pStyle w:val="Default"/>
        <w:numPr>
          <w:ilvl w:val="0"/>
          <w:numId w:val="17"/>
        </w:numPr>
        <w:spacing w:before="120" w:after="120"/>
        <w:ind w:left="360"/>
        <w:jc w:val="both"/>
      </w:pPr>
      <w:r w:rsidRPr="00D802FF">
        <w:t>Women at risk of being sentenced to death in Kuwait face gender bias throughout the criminal legal process. The legal system fails to account for the context in which women commit crimes and often holds them to higher standards than their male codefendants.</w:t>
      </w:r>
      <w:r w:rsidRPr="00D802FF">
        <w:rPr>
          <w:rStyle w:val="FootnoteReference"/>
        </w:rPr>
        <w:footnoteReference w:id="8"/>
      </w:r>
      <w:r w:rsidRPr="00D802FF">
        <w:t xml:space="preserve"> Courts reportedly fail to consider gender-specific mitigation.</w:t>
      </w:r>
    </w:p>
    <w:p w14:paraId="62030778" w14:textId="77777777" w:rsidR="005F16A7" w:rsidRPr="00D802FF" w:rsidRDefault="005F16A7" w:rsidP="005F16A7">
      <w:pPr>
        <w:pStyle w:val="Default"/>
        <w:numPr>
          <w:ilvl w:val="0"/>
          <w:numId w:val="17"/>
        </w:numPr>
        <w:spacing w:after="120"/>
        <w:ind w:left="360"/>
        <w:jc w:val="both"/>
      </w:pPr>
      <w:r w:rsidRPr="00D802FF">
        <w:t>Women who face extensive gender-based violence are disproportionately affected by the death penalty, including those who seek to protect themselves against their abusers.</w:t>
      </w:r>
      <w:r w:rsidRPr="00D802FF">
        <w:rPr>
          <w:rStyle w:val="FootnoteReference"/>
        </w:rPr>
        <w:footnoteReference w:id="9"/>
      </w:r>
      <w:r w:rsidRPr="00D802FF">
        <w:t xml:space="preserve"> Long histories of gender-based violence can result in complex trauma and can exacerbate psycho-social or intellectual disabilities.</w:t>
      </w:r>
      <w:r w:rsidRPr="00D802FF">
        <w:rPr>
          <w:rStyle w:val="FootnoteReference"/>
        </w:rPr>
        <w:footnoteReference w:id="10"/>
      </w:r>
      <w:r w:rsidRPr="00D802FF">
        <w:t xml:space="preserve"> </w:t>
      </w:r>
    </w:p>
    <w:p w14:paraId="71850FF0" w14:textId="77777777" w:rsidR="00D92CF3" w:rsidRPr="00D802FF" w:rsidRDefault="00D92CF3" w:rsidP="00711B11">
      <w:pPr>
        <w:pStyle w:val="Default"/>
        <w:numPr>
          <w:ilvl w:val="0"/>
          <w:numId w:val="17"/>
        </w:numPr>
        <w:spacing w:after="120"/>
        <w:ind w:left="360"/>
        <w:jc w:val="both"/>
        <w:rPr>
          <w:spacing w:val="-2"/>
        </w:rPr>
      </w:pPr>
      <w:r w:rsidRPr="00D802FF">
        <w:rPr>
          <w:spacing w:val="-2"/>
        </w:rPr>
        <w:t xml:space="preserve">In a </w:t>
      </w:r>
      <w:r w:rsidRPr="00D802FF">
        <w:rPr>
          <w:color w:val="auto"/>
        </w:rPr>
        <w:t>groundbreaking</w:t>
      </w:r>
      <w:r w:rsidRPr="00D802FF">
        <w:rPr>
          <w:spacing w:val="-2"/>
        </w:rPr>
        <w:t xml:space="preserve"> 2018 study, the Cornell Center on the Death Penalty Worldwide found that, in the global context, women are more vulnerable and most likely to be sentenced to death for criminal offenses committed within the context of gender-based violence</w:t>
      </w:r>
      <w:r w:rsidRPr="00D802FF">
        <w:rPr>
          <w:rStyle w:val="FootnoteReference"/>
          <w:spacing w:val="-2"/>
        </w:rPr>
        <w:footnoteReference w:id="11"/>
      </w:r>
      <w:r w:rsidRPr="00D802FF">
        <w:rPr>
          <w:spacing w:val="-2"/>
        </w:rPr>
        <w:t xml:space="preserve"> and manipulative or coercive relationships with male co-defendants.</w:t>
      </w:r>
      <w:r w:rsidRPr="00D802FF">
        <w:rPr>
          <w:rStyle w:val="FootnoteReference"/>
          <w:spacing w:val="-2"/>
        </w:rPr>
        <w:footnoteReference w:id="12"/>
      </w:r>
      <w:r w:rsidRPr="00D802FF">
        <w:rPr>
          <w:spacing w:val="-2"/>
        </w:rPr>
        <w:t xml:space="preserve"> Cornell’s data </w:t>
      </w:r>
      <w:r w:rsidRPr="00D802FF">
        <w:t>indicate that most women under sentence of death have been sentenced to death for the crime of murder.</w:t>
      </w:r>
      <w:r w:rsidRPr="00D802FF">
        <w:rPr>
          <w:rStyle w:val="FootnoteReference"/>
        </w:rPr>
        <w:footnoteReference w:id="13"/>
      </w:r>
      <w:r w:rsidRPr="00D802FF">
        <w:t xml:space="preserve"> These women have overwhelmingly experienced prolonged domestic violence at the hands of a partner, spouse, or another family member.</w:t>
      </w:r>
      <w:r w:rsidRPr="00D802FF">
        <w:rPr>
          <w:vertAlign w:val="superscript"/>
          <w:lang w:eastAsia="zh-CN"/>
        </w:rPr>
        <w:footnoteReference w:id="14"/>
      </w:r>
      <w:r w:rsidRPr="00D802FF">
        <w:t xml:space="preserve"> In many cases, the abuse has occurred repeatedly. </w:t>
      </w:r>
      <w:r w:rsidRPr="00D802FF">
        <w:rPr>
          <w:lang w:eastAsia="zh-CN"/>
        </w:rPr>
        <w:t>Many women under sentence of death are survivors of gender-based violence and come from disadvantaged socio-economic backgrounds.</w:t>
      </w:r>
      <w:r w:rsidRPr="00D802FF">
        <w:rPr>
          <w:vertAlign w:val="superscript"/>
          <w:lang w:eastAsia="zh-CN"/>
        </w:rPr>
        <w:footnoteReference w:id="15"/>
      </w:r>
      <w:r w:rsidRPr="00D802FF">
        <w:t xml:space="preserve"> At a global level, sentencing </w:t>
      </w:r>
      <w:r w:rsidRPr="00D802FF">
        <w:rPr>
          <w:spacing w:val="-2"/>
        </w:rPr>
        <w:t xml:space="preserve">courts typically fail to take into account a defendant’s experience as a survivor of gender-based violence or a victim of a manipulative or coercive relationship (for example in cases where women are </w:t>
      </w:r>
      <w:r w:rsidRPr="00D802FF">
        <w:rPr>
          <w:spacing w:val="-2"/>
        </w:rPr>
        <w:lastRenderedPageBreak/>
        <w:t>pressured or tricked into transporting drugs) as mitigating factors during sentencing.</w:t>
      </w:r>
      <w:r w:rsidRPr="00D802FF">
        <w:rPr>
          <w:rStyle w:val="FootnoteReference"/>
          <w:spacing w:val="-2"/>
        </w:rPr>
        <w:footnoteReference w:id="16"/>
      </w:r>
      <w:r w:rsidRPr="00D802FF">
        <w:rPr>
          <w:spacing w:val="-2"/>
        </w:rPr>
        <w:t xml:space="preserve"> </w:t>
      </w:r>
      <w:r w:rsidRPr="00D802FF">
        <w:t xml:space="preserve">Research also indicates that courts also fail to account for power dynamics and tactics of coercive control that may affect a woman’s involvement in and culpability for a crime. </w:t>
      </w:r>
    </w:p>
    <w:p w14:paraId="18C55F12" w14:textId="77777777" w:rsidR="00DF2977" w:rsidRPr="00D802FF" w:rsidRDefault="00DF2977" w:rsidP="00711B11">
      <w:pPr>
        <w:pStyle w:val="Default"/>
        <w:numPr>
          <w:ilvl w:val="0"/>
          <w:numId w:val="17"/>
        </w:numPr>
        <w:spacing w:after="120"/>
        <w:ind w:left="360"/>
        <w:jc w:val="both"/>
        <w:rPr>
          <w:color w:val="auto"/>
        </w:rPr>
      </w:pPr>
      <w:r w:rsidRPr="00D802FF">
        <w:rPr>
          <w:spacing w:val="-2"/>
        </w:rPr>
        <w:t xml:space="preserve">Cases documented by the Cornell Center have shown violations of </w:t>
      </w:r>
      <w:r w:rsidRPr="00D802FF">
        <w:rPr>
          <w:lang w:eastAsia="zh-CN"/>
        </w:rPr>
        <w:t>women’s</w:t>
      </w:r>
      <w:r w:rsidRPr="00D802FF">
        <w:rPr>
          <w:spacing w:val="-2"/>
        </w:rPr>
        <w:t xml:space="preserve"> right to a fair trial. A 2021 follow-up study demonstrated that “fair trial principles dictate that courts should consider all relevant mitigating circumstances before imposing a sentence. In practice, however, many courts neglect gender-specific mitigation.</w:t>
      </w:r>
      <w:r w:rsidRPr="00D802FF">
        <w:rPr>
          <w:rStyle w:val="FootnoteReference"/>
          <w:spacing w:val="-2"/>
        </w:rPr>
        <w:footnoteReference w:id="17"/>
      </w:r>
      <w:r w:rsidRPr="00D802FF">
        <w:rPr>
          <w:spacing w:val="-2"/>
        </w:rPr>
        <w:t xml:space="preserve"> </w:t>
      </w:r>
    </w:p>
    <w:p w14:paraId="66DD0423" w14:textId="77777777" w:rsidR="00DF2977" w:rsidRPr="00D802FF" w:rsidRDefault="00DF2977" w:rsidP="00711B11">
      <w:pPr>
        <w:pStyle w:val="Default"/>
        <w:numPr>
          <w:ilvl w:val="0"/>
          <w:numId w:val="17"/>
        </w:numPr>
        <w:spacing w:after="120"/>
        <w:ind w:left="360"/>
        <w:jc w:val="both"/>
        <w:rPr>
          <w:color w:val="auto"/>
        </w:rPr>
      </w:pPr>
      <w:r w:rsidRPr="00D802FF">
        <w:rPr>
          <w:lang w:eastAsia="zh-CN"/>
        </w:rPr>
        <w:t xml:space="preserve">Moreover, the Cornell </w:t>
      </w:r>
      <w:r w:rsidRPr="00D802FF">
        <w:rPr>
          <w:spacing w:val="-2"/>
        </w:rPr>
        <w:t>Center</w:t>
      </w:r>
      <w:r w:rsidRPr="00D802FF">
        <w:rPr>
          <w:lang w:eastAsia="zh-CN"/>
        </w:rPr>
        <w:t xml:space="preserve"> found that women are more likely to receive a death sentence when the </w:t>
      </w:r>
      <w:r w:rsidRPr="00D802FF">
        <w:rPr>
          <w:spacing w:val="-2"/>
        </w:rPr>
        <w:t>adjudicating</w:t>
      </w:r>
      <w:r w:rsidRPr="00D802FF">
        <w:rPr>
          <w:lang w:eastAsia="zh-CN"/>
        </w:rPr>
        <w:t xml:space="preserve"> authority perceives that they are violating entrenched gender norms, being cast as the “female fatale” or the “witch.” Women are often put on trial not only for acts they performed but also for allegedly being “a bad wife, a bad mother, and a bad woman.”</w:t>
      </w:r>
      <w:r w:rsidRPr="00D802FF">
        <w:rPr>
          <w:vertAlign w:val="superscript"/>
          <w:lang w:eastAsia="zh-CN"/>
        </w:rPr>
        <w:footnoteReference w:id="18"/>
      </w:r>
    </w:p>
    <w:p w14:paraId="590E74B5" w14:textId="77777777" w:rsidR="00C35D1A" w:rsidRPr="00D802FF" w:rsidRDefault="00C35D1A" w:rsidP="00C35D1A">
      <w:pPr>
        <w:pStyle w:val="Default"/>
        <w:numPr>
          <w:ilvl w:val="0"/>
          <w:numId w:val="17"/>
        </w:numPr>
        <w:spacing w:after="120"/>
        <w:ind w:left="360"/>
        <w:jc w:val="both"/>
      </w:pPr>
      <w:r w:rsidRPr="00D802FF">
        <w:t>Women perceived as the perpetrator of the crime are more likely to receive a harsher punishment than men accused of similar offenses.</w:t>
      </w:r>
      <w:r w:rsidRPr="00D802FF">
        <w:rPr>
          <w:rStyle w:val="FootnoteReference"/>
        </w:rPr>
        <w:footnoteReference w:id="19"/>
      </w:r>
      <w:r w:rsidRPr="00D802FF">
        <w:t xml:space="preserve"> The death penalty disproportionally effects those individuals who face “gender stereotypes, stigma, harmful and patriarchal cultural norms, and gender-based violence.”</w:t>
      </w:r>
      <w:r w:rsidRPr="00D802FF">
        <w:rPr>
          <w:rStyle w:val="FootnoteReference"/>
        </w:rPr>
        <w:footnoteReference w:id="20"/>
      </w:r>
      <w:r w:rsidRPr="00D802FF">
        <w:t xml:space="preserve"> This has an “adverse impact on the ability of women to gain access to justice on an equal basis with men.”</w:t>
      </w:r>
      <w:r w:rsidRPr="00D802FF">
        <w:rPr>
          <w:rStyle w:val="FootnoteReference"/>
        </w:rPr>
        <w:footnoteReference w:id="21"/>
      </w:r>
      <w:r w:rsidRPr="00D802FF">
        <w:t xml:space="preserve"> </w:t>
      </w:r>
    </w:p>
    <w:p w14:paraId="75BBEE7D" w14:textId="1919F077" w:rsidR="005F16A7" w:rsidRPr="00D802FF" w:rsidRDefault="005F16A7" w:rsidP="005F16A7">
      <w:pPr>
        <w:pStyle w:val="Default"/>
        <w:numPr>
          <w:ilvl w:val="0"/>
          <w:numId w:val="17"/>
        </w:numPr>
        <w:spacing w:after="120"/>
        <w:ind w:left="360"/>
        <w:jc w:val="both"/>
        <w:rPr>
          <w:rStyle w:val="normaltextrun"/>
        </w:rPr>
      </w:pPr>
      <w:r w:rsidRPr="00D802FF">
        <w:rPr>
          <w:rStyle w:val="normaltextrun"/>
        </w:rPr>
        <w:t>Global trends show that women sentenced to death face intersectional discrimination.</w:t>
      </w:r>
      <w:r w:rsidR="004C41C6" w:rsidRPr="00D802FF">
        <w:rPr>
          <w:rStyle w:val="normaltextrun"/>
        </w:rPr>
        <w:t xml:space="preserve"> </w:t>
      </w:r>
      <w:r w:rsidRPr="00D802FF">
        <w:rPr>
          <w:rStyle w:val="normaltextrun"/>
        </w:rPr>
        <w:t>According to Cornell’s 2018</w:t>
      </w:r>
      <w:r w:rsidR="00F44A2C" w:rsidRPr="00D802FF">
        <w:rPr>
          <w:rStyle w:val="normaltextrun"/>
        </w:rPr>
        <w:t xml:space="preserve"> report</w:t>
      </w:r>
      <w:r w:rsidRPr="00D802FF">
        <w:rPr>
          <w:rStyle w:val="normaltextrun"/>
        </w:rPr>
        <w:t>, most women on death row come from backgrounds of severe socio-economic deprivation and many are illiterate, which can reinforce unequal access to effective legal representation.</w:t>
      </w:r>
      <w:r w:rsidRPr="00D802FF">
        <w:rPr>
          <w:rStyle w:val="superscript"/>
          <w:vertAlign w:val="superscript"/>
        </w:rPr>
        <w:t>42</w:t>
      </w:r>
      <w:r w:rsidRPr="00D802FF">
        <w:rPr>
          <w:rStyle w:val="normaltextrun"/>
        </w:rPr>
        <w:t xml:space="preserve"> These women are more likely to be illiterate and unaware of their legal rights.</w:t>
      </w:r>
      <w:r w:rsidRPr="00D802FF">
        <w:rPr>
          <w:rStyle w:val="superscript"/>
          <w:vertAlign w:val="superscript"/>
        </w:rPr>
        <w:t>43</w:t>
      </w:r>
      <w:r w:rsidRPr="00D802FF">
        <w:rPr>
          <w:rStyle w:val="normaltextrun"/>
        </w:rPr>
        <w:t xml:space="preserve"> Illiteracy and lack of education among poor women leave them more vulnerable to discrimination, coercion, and exploitation.</w:t>
      </w:r>
      <w:r w:rsidRPr="00D802FF">
        <w:rPr>
          <w:rStyle w:val="superscript"/>
          <w:vertAlign w:val="superscript"/>
        </w:rPr>
        <w:t>44</w:t>
      </w:r>
      <w:r w:rsidRPr="00D802FF">
        <w:rPr>
          <w:rStyle w:val="normaltextrun"/>
        </w:rPr>
        <w:t xml:space="preserve"> This intersectional discrimination exacerbates the risk that a woman charged with a capital crime will be subjected to an unfair trial. </w:t>
      </w:r>
    </w:p>
    <w:p w14:paraId="16EC0A69" w14:textId="784F0B4F" w:rsidR="00546E06" w:rsidRPr="00D802FF" w:rsidRDefault="00546E06" w:rsidP="00711B11">
      <w:pPr>
        <w:pStyle w:val="Default"/>
        <w:numPr>
          <w:ilvl w:val="0"/>
          <w:numId w:val="38"/>
        </w:numPr>
        <w:spacing w:before="120" w:after="120"/>
        <w:ind w:left="360" w:hanging="360"/>
        <w:jc w:val="both"/>
        <w:rPr>
          <w:rStyle w:val="normaltextrun"/>
          <w:b/>
          <w:bCs/>
          <w:shd w:val="clear" w:color="auto" w:fill="FFFFFF"/>
        </w:rPr>
      </w:pPr>
      <w:r w:rsidRPr="00D802FF">
        <w:rPr>
          <w:rStyle w:val="normaltextrun"/>
          <w:b/>
          <w:bCs/>
          <w:shd w:val="clear" w:color="auto" w:fill="FFFFFF"/>
        </w:rPr>
        <w:t>Migrant domestic workers are at particular risk of being sentenced to death</w:t>
      </w:r>
      <w:r w:rsidR="003C056C" w:rsidRPr="00D802FF">
        <w:rPr>
          <w:rStyle w:val="normaltextrun"/>
          <w:b/>
          <w:bCs/>
          <w:shd w:val="clear" w:color="auto" w:fill="FFFFFF"/>
        </w:rPr>
        <w:t xml:space="preserve"> (Concluding Observations para. 37(</w:t>
      </w:r>
      <w:r w:rsidR="00322324" w:rsidRPr="00D802FF">
        <w:rPr>
          <w:rStyle w:val="normaltextrun"/>
          <w:b/>
          <w:bCs/>
          <w:shd w:val="clear" w:color="auto" w:fill="FFFFFF"/>
        </w:rPr>
        <w:t>d)</w:t>
      </w:r>
      <w:r w:rsidR="0072305B" w:rsidRPr="00D802FF">
        <w:rPr>
          <w:rStyle w:val="normaltextrun"/>
          <w:b/>
          <w:bCs/>
          <w:shd w:val="clear" w:color="auto" w:fill="FFFFFF"/>
        </w:rPr>
        <w:t>, (f)</w:t>
      </w:r>
      <w:r w:rsidR="00542998" w:rsidRPr="00D802FF">
        <w:rPr>
          <w:rStyle w:val="normaltextrun"/>
          <w:b/>
          <w:bCs/>
          <w:shd w:val="clear" w:color="auto" w:fill="FFFFFF"/>
        </w:rPr>
        <w:t>)</w:t>
      </w:r>
      <w:r w:rsidRPr="00D802FF">
        <w:rPr>
          <w:rStyle w:val="normaltextrun"/>
          <w:b/>
          <w:bCs/>
          <w:shd w:val="clear" w:color="auto" w:fill="FFFFFF"/>
        </w:rPr>
        <w:t>.</w:t>
      </w:r>
    </w:p>
    <w:p w14:paraId="28D1B2FA" w14:textId="16FE1118" w:rsidR="00546E06" w:rsidRPr="00D802FF" w:rsidRDefault="006C2AE9" w:rsidP="00322324">
      <w:pPr>
        <w:pStyle w:val="Default"/>
        <w:numPr>
          <w:ilvl w:val="0"/>
          <w:numId w:val="17"/>
        </w:numPr>
        <w:spacing w:after="120"/>
        <w:ind w:left="360"/>
        <w:jc w:val="both"/>
        <w:rPr>
          <w:color w:val="auto"/>
        </w:rPr>
      </w:pPr>
      <w:r w:rsidRPr="00D802FF">
        <w:rPr>
          <w:color w:val="auto"/>
        </w:rPr>
        <w:t xml:space="preserve">In its 2017 Concluding Observations, the Committee recommended that Kuwait </w:t>
      </w:r>
      <w:r w:rsidR="00DD5672" w:rsidRPr="00D802FF">
        <w:rPr>
          <w:color w:val="auto"/>
        </w:rPr>
        <w:t>“[a]</w:t>
      </w:r>
      <w:proofErr w:type="spellStart"/>
      <w:r w:rsidR="00DD5672" w:rsidRPr="00D802FF">
        <w:rPr>
          <w:color w:val="auto"/>
        </w:rPr>
        <w:t>dopt</w:t>
      </w:r>
      <w:proofErr w:type="spellEnd"/>
      <w:r w:rsidR="00DD5672" w:rsidRPr="00D802FF">
        <w:rPr>
          <w:color w:val="auto"/>
        </w:rPr>
        <w:t xml:space="preserve"> and enforce laws and regulations that include adequate legal remedies and complaints mechanisms, </w:t>
      </w:r>
      <w:r w:rsidR="00DD5672" w:rsidRPr="00D802FF">
        <w:rPr>
          <w:color w:val="auto"/>
        </w:rPr>
        <w:lastRenderedPageBreak/>
        <w:t xml:space="preserve">to protect documented and undocumented women migrant workers from abuse, sexual harassment and forced </w:t>
      </w:r>
      <w:proofErr w:type="spellStart"/>
      <w:r w:rsidR="00DD5672" w:rsidRPr="00D802FF">
        <w:rPr>
          <w:color w:val="auto"/>
        </w:rPr>
        <w:t>labour</w:t>
      </w:r>
      <w:proofErr w:type="spellEnd"/>
      <w:r w:rsidR="00DD5672" w:rsidRPr="00D802FF">
        <w:rPr>
          <w:color w:val="auto"/>
        </w:rPr>
        <w:t xml:space="preserve">,” </w:t>
      </w:r>
      <w:proofErr w:type="gramStart"/>
      <w:r w:rsidR="00DD5672" w:rsidRPr="00D802FF">
        <w:rPr>
          <w:color w:val="auto"/>
        </w:rPr>
        <w:t>and also</w:t>
      </w:r>
      <w:proofErr w:type="gramEnd"/>
      <w:r w:rsidR="00DD5672" w:rsidRPr="00D802FF">
        <w:rPr>
          <w:color w:val="auto"/>
        </w:rPr>
        <w:t xml:space="preserve"> “[c]</w:t>
      </w:r>
      <w:proofErr w:type="spellStart"/>
      <w:r w:rsidR="00DD5672" w:rsidRPr="00D802FF">
        <w:rPr>
          <w:color w:val="auto"/>
        </w:rPr>
        <w:t>ontinue</w:t>
      </w:r>
      <w:proofErr w:type="spellEnd"/>
      <w:r w:rsidR="00DD5672" w:rsidRPr="00D802FF">
        <w:rPr>
          <w:color w:val="auto"/>
        </w:rPr>
        <w:t xml:space="preserve"> efforts to completely abolish the </w:t>
      </w:r>
      <w:r w:rsidR="00DD5672" w:rsidRPr="00D802FF">
        <w:rPr>
          <w:i/>
          <w:iCs/>
          <w:color w:val="auto"/>
        </w:rPr>
        <w:t xml:space="preserve">kafala </w:t>
      </w:r>
      <w:r w:rsidR="00DD5672" w:rsidRPr="00D802FF">
        <w:rPr>
          <w:color w:val="auto"/>
        </w:rPr>
        <w:t>(sponsorship) system.”</w:t>
      </w:r>
      <w:r w:rsidR="0072305B" w:rsidRPr="00D802FF">
        <w:rPr>
          <w:rStyle w:val="FootnoteReference"/>
          <w:color w:val="auto"/>
        </w:rPr>
        <w:footnoteReference w:id="22"/>
      </w:r>
    </w:p>
    <w:p w14:paraId="2EB98094" w14:textId="4BBFBD25" w:rsidR="00431645" w:rsidRPr="00D802FF" w:rsidRDefault="00431645" w:rsidP="00322324">
      <w:pPr>
        <w:pStyle w:val="Default"/>
        <w:numPr>
          <w:ilvl w:val="0"/>
          <w:numId w:val="17"/>
        </w:numPr>
        <w:spacing w:after="120"/>
        <w:ind w:left="360"/>
        <w:jc w:val="both"/>
        <w:rPr>
          <w:color w:val="auto"/>
        </w:rPr>
      </w:pPr>
      <w:r w:rsidRPr="00D802FF">
        <w:rPr>
          <w:color w:val="auto"/>
        </w:rPr>
        <w:t xml:space="preserve">The Sixth Periodic Report </w:t>
      </w:r>
      <w:r w:rsidR="00AC0CD1" w:rsidRPr="00D802FF">
        <w:rPr>
          <w:color w:val="auto"/>
        </w:rPr>
        <w:t xml:space="preserve">states that Kuwait has enacted laws and regulations “to ensure legal remedies and complaints mechanisms to protect migrant workers from any kind of abuse or sexual harassment in forced </w:t>
      </w:r>
      <w:proofErr w:type="spellStart"/>
      <w:r w:rsidR="00AC0CD1" w:rsidRPr="00D802FF">
        <w:rPr>
          <w:color w:val="auto"/>
        </w:rPr>
        <w:t>labour</w:t>
      </w:r>
      <w:proofErr w:type="spellEnd"/>
      <w:r w:rsidR="00AC0CD1" w:rsidRPr="00D802FF">
        <w:rPr>
          <w:color w:val="auto"/>
        </w:rPr>
        <w:t>.”</w:t>
      </w:r>
      <w:r w:rsidR="00AC0CD1" w:rsidRPr="00D802FF">
        <w:rPr>
          <w:rStyle w:val="FootnoteReference"/>
          <w:color w:val="auto"/>
        </w:rPr>
        <w:footnoteReference w:id="23"/>
      </w:r>
      <w:r w:rsidR="00676D53" w:rsidRPr="00D802FF">
        <w:rPr>
          <w:color w:val="auto"/>
        </w:rPr>
        <w:t xml:space="preserve"> It describes a process by which </w:t>
      </w:r>
      <w:r w:rsidR="0077641D" w:rsidRPr="00D802FF">
        <w:rPr>
          <w:color w:val="auto"/>
        </w:rPr>
        <w:t xml:space="preserve">the government can receive such complaints, but it does not provide data as to the number of complaints, how they are resolved, </w:t>
      </w:r>
      <w:r w:rsidR="00D83D79" w:rsidRPr="00D802FF">
        <w:rPr>
          <w:color w:val="auto"/>
        </w:rPr>
        <w:t xml:space="preserve">or whether the perpetrators are held accountable. </w:t>
      </w:r>
      <w:r w:rsidR="00104162" w:rsidRPr="00D802FF">
        <w:rPr>
          <w:color w:val="auto"/>
        </w:rPr>
        <w:t xml:space="preserve">The report further states that “the General Workforce Authority has </w:t>
      </w:r>
      <w:r w:rsidR="000A75D8" w:rsidRPr="00D802FF">
        <w:rPr>
          <w:color w:val="auto"/>
        </w:rPr>
        <w:t xml:space="preserve">been </w:t>
      </w:r>
      <w:r w:rsidR="00104162" w:rsidRPr="00D802FF">
        <w:rPr>
          <w:color w:val="auto"/>
        </w:rPr>
        <w:t xml:space="preserve">conducting a review of all </w:t>
      </w:r>
      <w:r w:rsidR="00127AAF" w:rsidRPr="00D802FF">
        <w:rPr>
          <w:color w:val="auto"/>
        </w:rPr>
        <w:t>laws and regulations governing [the domestic employment sector] with a view to aligning them with international standards.”</w:t>
      </w:r>
      <w:r w:rsidR="001E3F9A" w:rsidRPr="00D802FF">
        <w:rPr>
          <w:rStyle w:val="FootnoteReference"/>
          <w:color w:val="auto"/>
        </w:rPr>
        <w:footnoteReference w:id="24"/>
      </w:r>
      <w:r w:rsidR="00E91F3E" w:rsidRPr="00D802FF">
        <w:rPr>
          <w:color w:val="auto"/>
        </w:rPr>
        <w:t xml:space="preserve"> The report also notes that the term </w:t>
      </w:r>
      <w:proofErr w:type="spellStart"/>
      <w:r w:rsidR="00E91F3E" w:rsidRPr="00D802FF">
        <w:rPr>
          <w:i/>
          <w:iCs/>
          <w:color w:val="auto"/>
        </w:rPr>
        <w:t>kafil</w:t>
      </w:r>
      <w:proofErr w:type="spellEnd"/>
      <w:r w:rsidR="00E91F3E" w:rsidRPr="00D802FF">
        <w:rPr>
          <w:color w:val="auto"/>
        </w:rPr>
        <w:t xml:space="preserve"> (sponsor) is not in Kuwait’s labor code</w:t>
      </w:r>
      <w:r w:rsidR="008D775F" w:rsidRPr="00D802FF">
        <w:rPr>
          <w:color w:val="auto"/>
        </w:rPr>
        <w:t>, The labor code “gives the worker</w:t>
      </w:r>
      <w:r w:rsidR="0083215C" w:rsidRPr="00D802FF">
        <w:rPr>
          <w:color w:val="auto"/>
        </w:rPr>
        <w:t xml:space="preserve"> the freedom and space to move from one employer to another within certain guidelines.”</w:t>
      </w:r>
      <w:r w:rsidR="0083215C" w:rsidRPr="00D802FF">
        <w:rPr>
          <w:rStyle w:val="FootnoteReference"/>
          <w:color w:val="auto"/>
        </w:rPr>
        <w:footnoteReference w:id="25"/>
      </w:r>
    </w:p>
    <w:p w14:paraId="37EF6B65" w14:textId="48176BC2" w:rsidR="000A64C8" w:rsidRPr="00D802FF" w:rsidRDefault="000A64C8" w:rsidP="00322324">
      <w:pPr>
        <w:pStyle w:val="Default"/>
        <w:numPr>
          <w:ilvl w:val="0"/>
          <w:numId w:val="17"/>
        </w:numPr>
        <w:spacing w:after="120"/>
        <w:ind w:left="360"/>
        <w:jc w:val="both"/>
        <w:rPr>
          <w:color w:val="auto"/>
        </w:rPr>
      </w:pPr>
      <w:r w:rsidRPr="00D802FF">
        <w:rPr>
          <w:color w:val="auto"/>
        </w:rPr>
        <w:t xml:space="preserve">As discussed in paragraph </w:t>
      </w:r>
      <w:r w:rsidR="0090715F" w:rsidRPr="00D802FF">
        <w:rPr>
          <w:color w:val="auto"/>
        </w:rPr>
        <w:fldChar w:fldCharType="begin"/>
      </w:r>
      <w:r w:rsidR="0090715F" w:rsidRPr="00D802FF">
        <w:rPr>
          <w:color w:val="auto"/>
        </w:rPr>
        <w:instrText xml:space="preserve"> REF _Ref125607095 \r \h </w:instrText>
      </w:r>
      <w:r w:rsidR="00192E33" w:rsidRPr="00D802FF">
        <w:rPr>
          <w:color w:val="auto"/>
        </w:rPr>
        <w:instrText xml:space="preserve"> \* MERGEFORMAT </w:instrText>
      </w:r>
      <w:r w:rsidR="0090715F" w:rsidRPr="00D802FF">
        <w:rPr>
          <w:color w:val="auto"/>
        </w:rPr>
      </w:r>
      <w:r w:rsidR="0090715F" w:rsidRPr="00D802FF">
        <w:rPr>
          <w:color w:val="auto"/>
        </w:rPr>
        <w:fldChar w:fldCharType="separate"/>
      </w:r>
      <w:r w:rsidR="0090715F" w:rsidRPr="00D802FF">
        <w:rPr>
          <w:color w:val="auto"/>
        </w:rPr>
        <w:t>5</w:t>
      </w:r>
      <w:r w:rsidR="0090715F" w:rsidRPr="00D802FF">
        <w:rPr>
          <w:color w:val="auto"/>
        </w:rPr>
        <w:fldChar w:fldCharType="end"/>
      </w:r>
      <w:r w:rsidR="0090715F" w:rsidRPr="00D802FF">
        <w:rPr>
          <w:color w:val="auto"/>
        </w:rPr>
        <w:t xml:space="preserve"> above, several of the women </w:t>
      </w:r>
      <w:r w:rsidR="00AC3DAD" w:rsidRPr="00D802FF">
        <w:rPr>
          <w:color w:val="auto"/>
        </w:rPr>
        <w:t xml:space="preserve">executed </w:t>
      </w:r>
      <w:r w:rsidR="0090715F" w:rsidRPr="00D802FF">
        <w:rPr>
          <w:color w:val="auto"/>
        </w:rPr>
        <w:t xml:space="preserve">since 2017 </w:t>
      </w:r>
      <w:r w:rsidR="00AC3DAD" w:rsidRPr="00D802FF">
        <w:rPr>
          <w:color w:val="auto"/>
        </w:rPr>
        <w:t xml:space="preserve">were migrant domestic workers, and two of them were executed </w:t>
      </w:r>
      <w:r w:rsidR="00C17AD2" w:rsidRPr="00D802FF">
        <w:rPr>
          <w:color w:val="auto"/>
        </w:rPr>
        <w:t>for murdering members of their employers’ families.</w:t>
      </w:r>
    </w:p>
    <w:p w14:paraId="1B21D024" w14:textId="60C3D844" w:rsidR="00166DFD" w:rsidRPr="00D802FF" w:rsidRDefault="00B2686A" w:rsidP="008E5A1C">
      <w:pPr>
        <w:pStyle w:val="Default"/>
        <w:numPr>
          <w:ilvl w:val="0"/>
          <w:numId w:val="17"/>
        </w:numPr>
        <w:spacing w:after="120"/>
        <w:ind w:left="360"/>
        <w:jc w:val="both"/>
      </w:pPr>
      <w:r w:rsidRPr="00D802FF">
        <w:t>Despite nominal protections provided under a 2015 domestic workers law,</w:t>
      </w:r>
      <w:r w:rsidRPr="00D802FF">
        <w:rPr>
          <w:rStyle w:val="FootnoteReference"/>
        </w:rPr>
        <w:footnoteReference w:id="26"/>
      </w:r>
      <w:r w:rsidRPr="00D802FF">
        <w:t xml:space="preserve"> migrant domestic workers continue to face exploitation, forced confinement to their employers’ houses, and physical and sexual abuse. Many domestic workers said they have not been able to claim their rights under the new law, in part because of the </w:t>
      </w:r>
      <w:r w:rsidRPr="00D802FF">
        <w:rPr>
          <w:i/>
          <w:iCs/>
        </w:rPr>
        <w:t>kafala</w:t>
      </w:r>
      <w:r w:rsidRPr="00D802FF">
        <w:t xml:space="preserve"> (sponsorship) system under which they cannot leave or change employers without their employers’ consent. Those who flee their employers can be arrested for “absconding.”</w:t>
      </w:r>
      <w:r w:rsidR="008E5A1C" w:rsidRPr="00D802FF">
        <w:t xml:space="preserve"> </w:t>
      </w:r>
    </w:p>
    <w:p w14:paraId="0EF09931" w14:textId="6A32C105" w:rsidR="00FC13D1" w:rsidRPr="00D802FF" w:rsidRDefault="00FC13D1" w:rsidP="00D351A1">
      <w:pPr>
        <w:pStyle w:val="Default"/>
        <w:numPr>
          <w:ilvl w:val="0"/>
          <w:numId w:val="17"/>
        </w:numPr>
        <w:spacing w:after="120"/>
        <w:ind w:left="360"/>
        <w:jc w:val="both"/>
      </w:pPr>
      <w:r w:rsidRPr="00D802FF">
        <w:t xml:space="preserve">Human Rights Watch in </w:t>
      </w:r>
      <w:r w:rsidR="004729E7" w:rsidRPr="00D802FF">
        <w:t xml:space="preserve">a </w:t>
      </w:r>
      <w:r w:rsidRPr="00D802FF">
        <w:t>202</w:t>
      </w:r>
      <w:r w:rsidR="004729E7" w:rsidRPr="00D802FF">
        <w:t>2</w:t>
      </w:r>
      <w:r w:rsidRPr="00D802FF">
        <w:t xml:space="preserve"> report observed that migrant worker</w:t>
      </w:r>
      <w:r w:rsidR="00C3507C" w:rsidRPr="00D802FF">
        <w:t>s</w:t>
      </w:r>
      <w:r w:rsidRPr="00D802FF">
        <w:t xml:space="preserve"> </w:t>
      </w:r>
      <w:r w:rsidR="00C3507C" w:rsidRPr="00D802FF">
        <w:t xml:space="preserve">remain </w:t>
      </w:r>
      <w:r w:rsidRPr="00D802FF">
        <w:t xml:space="preserve">vulnerable to abuse due to the </w:t>
      </w:r>
      <w:r w:rsidRPr="00D802FF">
        <w:rPr>
          <w:i/>
          <w:iCs/>
        </w:rPr>
        <w:t>kafala</w:t>
      </w:r>
      <w:r w:rsidRPr="00D802FF">
        <w:t xml:space="preserve"> </w:t>
      </w:r>
      <w:r w:rsidR="005E666B" w:rsidRPr="00D802FF">
        <w:t xml:space="preserve">system, particularly migrant domestic workers. The organization </w:t>
      </w:r>
      <w:r w:rsidR="005E666B" w:rsidRPr="00D802FF">
        <w:rPr>
          <w:color w:val="000000" w:themeColor="text1"/>
        </w:rPr>
        <w:t>reports “</w:t>
      </w:r>
      <w:r w:rsidR="00F31C2A" w:rsidRPr="00D802FF">
        <w:rPr>
          <w:color w:val="000000" w:themeColor="text1"/>
        </w:rPr>
        <w:t>m</w:t>
      </w:r>
      <w:r w:rsidR="00C3507C" w:rsidRPr="00D802FF">
        <w:rPr>
          <w:color w:val="000000" w:themeColor="text1"/>
        </w:rPr>
        <w:t xml:space="preserve">igrant domestic workers face additional forms of abuse, including being forcibly confined in their </w:t>
      </w:r>
      <w:r w:rsidR="00C3507C" w:rsidRPr="00D802FF">
        <w:t>employers’</w:t>
      </w:r>
      <w:r w:rsidR="00C3507C" w:rsidRPr="00D802FF">
        <w:rPr>
          <w:color w:val="000000" w:themeColor="text1"/>
        </w:rPr>
        <w:t xml:space="preserve"> homes, and verbal, physical and sexual abuse. While government shelters and complaint procedures exist for victims, there are serious barriers to accessing them, particularly for abuses like owed or delayed wages.”</w:t>
      </w:r>
      <w:r w:rsidR="00F31C2A" w:rsidRPr="00D802FF">
        <w:rPr>
          <w:rStyle w:val="FootnoteReference"/>
          <w:color w:val="000000" w:themeColor="text1"/>
        </w:rPr>
        <w:footnoteReference w:id="27"/>
      </w:r>
      <w:r w:rsidR="004729E7" w:rsidRPr="00D802FF">
        <w:rPr>
          <w:color w:val="000000" w:themeColor="text1"/>
        </w:rPr>
        <w:t xml:space="preserve"> </w:t>
      </w:r>
      <w:r w:rsidR="004729E7" w:rsidRPr="00D802FF">
        <w:rPr>
          <w:color w:val="auto"/>
        </w:rPr>
        <w:t>Many domestic workers attempt to escape their workplace or die from suicide.</w:t>
      </w:r>
      <w:r w:rsidR="004729E7" w:rsidRPr="00D802FF">
        <w:rPr>
          <w:rStyle w:val="FootnoteReference"/>
          <w:color w:val="auto"/>
        </w:rPr>
        <w:footnoteReference w:id="28"/>
      </w:r>
    </w:p>
    <w:p w14:paraId="4DBC7D63" w14:textId="6CC29DF8" w:rsidR="00E967F7" w:rsidRPr="00D802FF" w:rsidRDefault="00E967F7" w:rsidP="00711B11">
      <w:pPr>
        <w:pStyle w:val="Default"/>
        <w:numPr>
          <w:ilvl w:val="0"/>
          <w:numId w:val="17"/>
        </w:numPr>
        <w:spacing w:after="120"/>
        <w:ind w:left="360"/>
        <w:jc w:val="both"/>
      </w:pPr>
      <w:r w:rsidRPr="00D802FF">
        <w:t xml:space="preserve">While there is no </w:t>
      </w:r>
      <w:r w:rsidRPr="00D802FF">
        <w:rPr>
          <w:color w:val="auto"/>
        </w:rPr>
        <w:t>specific</w:t>
      </w:r>
      <w:r w:rsidRPr="00D802FF">
        <w:t xml:space="preserve"> information available regarding Kuwait, the 2018 Cornell study referenced</w:t>
      </w:r>
      <w:r w:rsidR="004C41C6" w:rsidRPr="00D802FF">
        <w:t xml:space="preserve"> </w:t>
      </w:r>
      <w:r w:rsidRPr="00D802FF">
        <w:t xml:space="preserve">above observed that in other countries in the region, many women on death row are </w:t>
      </w:r>
      <w:r w:rsidRPr="00D802FF">
        <w:lastRenderedPageBreak/>
        <w:t>migrant domestic workers.</w:t>
      </w:r>
      <w:r w:rsidRPr="00D802FF">
        <w:rPr>
          <w:rStyle w:val="FootnoteReference"/>
        </w:rPr>
        <w:footnoteReference w:id="29"/>
      </w:r>
      <w:r w:rsidRPr="00D802FF">
        <w:t xml:space="preserve"> In many cases</w:t>
      </w:r>
      <w:r w:rsidR="00FF6119" w:rsidRPr="00D802FF">
        <w:t xml:space="preserve">, such as the two cases described in paragraph </w:t>
      </w:r>
      <w:r w:rsidR="00FF6119" w:rsidRPr="00D802FF">
        <w:rPr>
          <w:color w:val="auto"/>
        </w:rPr>
        <w:fldChar w:fldCharType="begin"/>
      </w:r>
      <w:r w:rsidR="00FF6119" w:rsidRPr="00D802FF">
        <w:rPr>
          <w:color w:val="auto"/>
        </w:rPr>
        <w:instrText xml:space="preserve"> REF _Ref125607095 \r \h </w:instrText>
      </w:r>
      <w:r w:rsidR="00192E33" w:rsidRPr="00D802FF">
        <w:rPr>
          <w:color w:val="auto"/>
        </w:rPr>
        <w:instrText xml:space="preserve"> \* MERGEFORMAT </w:instrText>
      </w:r>
      <w:r w:rsidR="00FF6119" w:rsidRPr="00D802FF">
        <w:rPr>
          <w:color w:val="auto"/>
        </w:rPr>
      </w:r>
      <w:r w:rsidR="00FF6119" w:rsidRPr="00D802FF">
        <w:rPr>
          <w:color w:val="auto"/>
        </w:rPr>
        <w:fldChar w:fldCharType="separate"/>
      </w:r>
      <w:r w:rsidR="00FF6119" w:rsidRPr="00D802FF">
        <w:rPr>
          <w:color w:val="auto"/>
        </w:rPr>
        <w:t>5</w:t>
      </w:r>
      <w:r w:rsidR="00FF6119" w:rsidRPr="00D802FF">
        <w:rPr>
          <w:color w:val="auto"/>
        </w:rPr>
        <w:fldChar w:fldCharType="end"/>
      </w:r>
      <w:r w:rsidRPr="00D802FF">
        <w:t>, the female domestic worker was accused of killing her employer</w:t>
      </w:r>
      <w:r w:rsidR="00166847" w:rsidRPr="00D802FF">
        <w:t xml:space="preserve"> or a family member of her employer</w:t>
      </w:r>
      <w:r w:rsidRPr="00D802FF">
        <w:t>, suggesting a “pattern of female migrant domestic workers sentenced to death in . . . Middle Eastern countries, who suffer from intersecting forms of oppression based on class, foreign nationality, precarious immigration status, and gender.”</w:t>
      </w:r>
      <w:r w:rsidRPr="00D802FF">
        <w:rPr>
          <w:rStyle w:val="FootnoteReference"/>
        </w:rPr>
        <w:footnoteReference w:id="30"/>
      </w:r>
      <w:r w:rsidRPr="00D802FF">
        <w:t xml:space="preserve"> </w:t>
      </w:r>
    </w:p>
    <w:p w14:paraId="09E89A1F" w14:textId="77777777" w:rsidR="002A0602" w:rsidRPr="00D802FF" w:rsidRDefault="00E967F7" w:rsidP="00166847">
      <w:pPr>
        <w:pStyle w:val="Default"/>
        <w:numPr>
          <w:ilvl w:val="0"/>
          <w:numId w:val="17"/>
        </w:numPr>
        <w:spacing w:after="120"/>
        <w:ind w:left="360"/>
        <w:jc w:val="both"/>
      </w:pPr>
      <w:r w:rsidRPr="00D802FF">
        <w:t xml:space="preserve">There is no information to suggest that courts in </w:t>
      </w:r>
      <w:r w:rsidR="00166847" w:rsidRPr="00D802FF">
        <w:t xml:space="preserve">Kuwait </w:t>
      </w:r>
      <w:r w:rsidRPr="00D802FF">
        <w:t>take these multifaceted forms of oppression, including sexual harassment and gender-based violence, into account in capital cases against foreign domestic workers.</w:t>
      </w:r>
    </w:p>
    <w:p w14:paraId="4CB3CBB9" w14:textId="365D64CF" w:rsidR="002A0602" w:rsidRPr="00D802FF" w:rsidRDefault="002A0602" w:rsidP="00711B11">
      <w:pPr>
        <w:pStyle w:val="ListParagraph"/>
        <w:keepNext/>
        <w:numPr>
          <w:ilvl w:val="0"/>
          <w:numId w:val="38"/>
        </w:numPr>
        <w:spacing w:before="240" w:after="240"/>
        <w:jc w:val="both"/>
        <w:rPr>
          <w:rFonts w:ascii="Times New Roman" w:hAnsi="Times New Roman"/>
          <w:b/>
          <w:sz w:val="24"/>
          <w:szCs w:val="24"/>
        </w:rPr>
      </w:pPr>
      <w:r w:rsidRPr="00D802FF">
        <w:rPr>
          <w:rFonts w:ascii="Times New Roman" w:hAnsi="Times New Roman"/>
          <w:b/>
          <w:sz w:val="24"/>
          <w:szCs w:val="24"/>
        </w:rPr>
        <w:t>Women are at risk of being sentenced to death for drug-related offenses.</w:t>
      </w:r>
    </w:p>
    <w:p w14:paraId="7FA4296F" w14:textId="6B89F66C" w:rsidR="00C61E1F" w:rsidRPr="00D802FF" w:rsidRDefault="00E967F7" w:rsidP="00711B11">
      <w:pPr>
        <w:pStyle w:val="Default"/>
        <w:numPr>
          <w:ilvl w:val="0"/>
          <w:numId w:val="17"/>
        </w:numPr>
        <w:spacing w:after="120"/>
        <w:ind w:left="360"/>
        <w:jc w:val="both"/>
        <w:rPr>
          <w:color w:val="auto"/>
        </w:rPr>
      </w:pPr>
      <w:r w:rsidRPr="00D802FF">
        <w:t xml:space="preserve"> </w:t>
      </w:r>
      <w:r w:rsidR="002A0602" w:rsidRPr="00D802FF">
        <w:t xml:space="preserve">As mentioned in paragraph </w:t>
      </w:r>
      <w:r w:rsidR="002A0602" w:rsidRPr="00D802FF">
        <w:fldChar w:fldCharType="begin"/>
      </w:r>
      <w:r w:rsidR="002A0602" w:rsidRPr="00D802FF">
        <w:instrText xml:space="preserve"> REF _Ref125607557 \r \h </w:instrText>
      </w:r>
      <w:r w:rsidR="00192E33" w:rsidRPr="00D802FF">
        <w:instrText xml:space="preserve"> \* MERGEFORMAT </w:instrText>
      </w:r>
      <w:r w:rsidR="002A0602" w:rsidRPr="00D802FF">
        <w:fldChar w:fldCharType="separate"/>
      </w:r>
      <w:r w:rsidR="002A0602" w:rsidRPr="00D802FF">
        <w:t>3</w:t>
      </w:r>
      <w:r w:rsidR="002A0602" w:rsidRPr="00D802FF">
        <w:fldChar w:fldCharType="end"/>
      </w:r>
      <w:r w:rsidR="002A0602" w:rsidRPr="00D802FF">
        <w:t xml:space="preserve">, Kuwait maintains the death penalty for drug-related offenses. </w:t>
      </w:r>
      <w:r w:rsidR="00C61E1F" w:rsidRPr="00D802FF">
        <w:rPr>
          <w:lang w:eastAsia="zh-CN"/>
        </w:rPr>
        <w:t xml:space="preserve">Kuwait’s authorization of the death penalty for drug-related offenses places women at heightened risk. </w:t>
      </w:r>
      <w:r w:rsidR="00C61E1F" w:rsidRPr="00D802FF">
        <w:rPr>
          <w:color w:val="auto"/>
        </w:rPr>
        <w:t>The Executive Director of Harm Reduction International has observed that “[p]</w:t>
      </w:r>
      <w:proofErr w:type="spellStart"/>
      <w:r w:rsidR="00C61E1F" w:rsidRPr="00D802FF">
        <w:rPr>
          <w:color w:val="auto"/>
        </w:rPr>
        <w:t>eople</w:t>
      </w:r>
      <w:proofErr w:type="spellEnd"/>
      <w:r w:rsidR="00C61E1F" w:rsidRPr="00D802FF">
        <w:rPr>
          <w:color w:val="auto"/>
        </w:rPr>
        <w:t xml:space="preserve"> on death row for drug offences tend to be involved at the lowest level of the drug </w:t>
      </w:r>
      <w:proofErr w:type="gramStart"/>
      <w:r w:rsidR="00C61E1F" w:rsidRPr="00D802FF">
        <w:rPr>
          <w:color w:val="auto"/>
        </w:rPr>
        <w:t>trade, and</w:t>
      </w:r>
      <w:proofErr w:type="gramEnd"/>
      <w:r w:rsidR="00C61E1F" w:rsidRPr="00D802FF">
        <w:rPr>
          <w:color w:val="auto"/>
        </w:rPr>
        <w:t xml:space="preserve"> are generally </w:t>
      </w:r>
      <w:r w:rsidR="00C61E1F" w:rsidRPr="00D802FF">
        <w:t>marginalized</w:t>
      </w:r>
      <w:r w:rsidR="00C61E1F" w:rsidRPr="00D802FF">
        <w:rPr>
          <w:color w:val="auto"/>
        </w:rPr>
        <w:t xml:space="preserve"> in society. Gender, socio-economic position, ethnicity and foreign status in a country add intersectional vulnerability to this context.”</w:t>
      </w:r>
      <w:r w:rsidR="00C61E1F" w:rsidRPr="00D802FF">
        <w:rPr>
          <w:rStyle w:val="FootnoteReference"/>
          <w:color w:val="auto"/>
        </w:rPr>
        <w:footnoteReference w:id="31"/>
      </w:r>
      <w:r w:rsidR="00C61E1F" w:rsidRPr="00D802FF">
        <w:rPr>
          <w:color w:val="auto"/>
        </w:rPr>
        <w:t xml:space="preserve"> She explains that although “some women engage in the drug trade through their own volition, for others, a narrower range of choices, along with poverty, coercion, violence, manipulation, and the survival needs of a family play a significant factor in their involvement.”</w:t>
      </w:r>
      <w:r w:rsidR="00C61E1F" w:rsidRPr="00D802FF">
        <w:rPr>
          <w:rStyle w:val="FootnoteReference"/>
          <w:color w:val="auto"/>
        </w:rPr>
        <w:footnoteReference w:id="32"/>
      </w:r>
      <w:r w:rsidR="00C61E1F" w:rsidRPr="00D802FF">
        <w:rPr>
          <w:color w:val="auto"/>
        </w:rPr>
        <w:t xml:space="preserve"> Research from the Cornell Center illustrates “the alarming extent to which women sentenced to death for drug offences experienced gender bias in criminal proceedings and violations of their right to a fair trial.”</w:t>
      </w:r>
      <w:r w:rsidR="00C61E1F" w:rsidRPr="00D802FF">
        <w:rPr>
          <w:rStyle w:val="FootnoteReference"/>
          <w:color w:val="auto"/>
        </w:rPr>
        <w:footnoteReference w:id="33"/>
      </w:r>
      <w:r w:rsidR="00C61E1F" w:rsidRPr="00D802FF">
        <w:rPr>
          <w:color w:val="auto"/>
        </w:rPr>
        <w:t xml:space="preserve"> </w:t>
      </w:r>
    </w:p>
    <w:p w14:paraId="0B39C39D" w14:textId="10CBBC28" w:rsidR="00106338" w:rsidRPr="00D802FF" w:rsidRDefault="00C61E1F" w:rsidP="00711B11">
      <w:pPr>
        <w:pStyle w:val="Default"/>
        <w:numPr>
          <w:ilvl w:val="0"/>
          <w:numId w:val="17"/>
        </w:numPr>
        <w:spacing w:after="120"/>
        <w:ind w:left="360"/>
        <w:jc w:val="both"/>
      </w:pPr>
      <w:r w:rsidRPr="00D802FF">
        <w:rPr>
          <w:lang w:eastAsia="zh-CN"/>
        </w:rPr>
        <w:t xml:space="preserve">The Cornell Center’s research has found that foreign nationals are over-represented among women sentenced to </w:t>
      </w:r>
      <w:r w:rsidRPr="00D802FF">
        <w:rPr>
          <w:color w:val="auto"/>
        </w:rPr>
        <w:t>death</w:t>
      </w:r>
      <w:r w:rsidRPr="00D802FF">
        <w:rPr>
          <w:lang w:eastAsia="zh-CN"/>
        </w:rPr>
        <w:t xml:space="preserve"> for drug-related offenses.</w:t>
      </w:r>
      <w:r w:rsidRPr="00D802FF">
        <w:rPr>
          <w:rStyle w:val="FootnoteReference"/>
          <w:color w:val="auto"/>
        </w:rPr>
        <w:footnoteReference w:id="34"/>
      </w:r>
      <w:r w:rsidRPr="00D802FF">
        <w:rPr>
          <w:lang w:eastAsia="zh-CN"/>
        </w:rPr>
        <w:t xml:space="preserve"> Rule 66 of the Bangkok Rules specifically addresses the need to take measures to avoid secondary victimization of many foreign-national women.</w:t>
      </w:r>
      <w:r w:rsidRPr="00D802FF">
        <w:rPr>
          <w:rStyle w:val="FootnoteReference"/>
          <w:lang w:eastAsia="zh-CN"/>
        </w:rPr>
        <w:footnoteReference w:id="35"/>
      </w:r>
      <w:r w:rsidRPr="00D802FF">
        <w:rPr>
          <w:lang w:eastAsia="zh-CN"/>
        </w:rPr>
        <w:t xml:space="preserve"> </w:t>
      </w:r>
      <w:r w:rsidR="00E45C83" w:rsidRPr="00D802FF">
        <w:rPr>
          <w:lang w:eastAsia="zh-CN"/>
        </w:rPr>
        <w:t>T</w:t>
      </w:r>
      <w:r w:rsidRPr="00D802FF">
        <w:rPr>
          <w:lang w:eastAsia="zh-CN"/>
        </w:rPr>
        <w:t>he Cornell Center’s research</w:t>
      </w:r>
      <w:r w:rsidR="00E45C83" w:rsidRPr="00D802FF">
        <w:rPr>
          <w:lang w:eastAsia="zh-CN"/>
        </w:rPr>
        <w:t xml:space="preserve"> also revealed that</w:t>
      </w:r>
      <w:r w:rsidRPr="00D802FF">
        <w:rPr>
          <w:lang w:eastAsia="zh-CN"/>
        </w:rPr>
        <w:t xml:space="preserve"> in many cases, </w:t>
      </w:r>
      <w:r w:rsidRPr="00D802FF">
        <w:rPr>
          <w:lang w:eastAsia="zh-CN"/>
        </w:rPr>
        <w:lastRenderedPageBreak/>
        <w:t>women become involved with the drug trade under the influence or pressure of a male partner, and that partner typically suffers fewer criminal consequences than the woman.</w:t>
      </w:r>
      <w:r w:rsidRPr="00D802FF">
        <w:rPr>
          <w:rStyle w:val="FootnoteReference"/>
          <w:color w:val="auto"/>
        </w:rPr>
        <w:footnoteReference w:id="36"/>
      </w:r>
    </w:p>
    <w:p w14:paraId="7EBF3B23" w14:textId="794CA8E1" w:rsidR="00F23A00" w:rsidRPr="00D802FF" w:rsidRDefault="000E739E" w:rsidP="00711B11">
      <w:pPr>
        <w:pStyle w:val="ListParagraph"/>
        <w:keepNext/>
        <w:numPr>
          <w:ilvl w:val="0"/>
          <w:numId w:val="38"/>
        </w:numPr>
        <w:spacing w:before="240" w:after="240"/>
        <w:jc w:val="both"/>
        <w:rPr>
          <w:rFonts w:ascii="Times New Roman" w:hAnsi="Times New Roman"/>
          <w:b/>
          <w:sz w:val="24"/>
          <w:szCs w:val="24"/>
        </w:rPr>
      </w:pPr>
      <w:r w:rsidRPr="00D802FF">
        <w:rPr>
          <w:rFonts w:ascii="Times New Roman" w:hAnsi="Times New Roman"/>
          <w:b/>
          <w:sz w:val="24"/>
          <w:szCs w:val="24"/>
        </w:rPr>
        <w:t>T</w:t>
      </w:r>
      <w:r w:rsidR="00F23A00" w:rsidRPr="00D802FF">
        <w:rPr>
          <w:rFonts w:ascii="Times New Roman" w:hAnsi="Times New Roman"/>
          <w:b/>
          <w:sz w:val="24"/>
          <w:szCs w:val="24"/>
        </w:rPr>
        <w:t xml:space="preserve">he Criminal Code </w:t>
      </w:r>
      <w:r w:rsidRPr="00D802FF">
        <w:rPr>
          <w:rFonts w:ascii="Times New Roman" w:hAnsi="Times New Roman"/>
          <w:b/>
          <w:sz w:val="24"/>
          <w:szCs w:val="24"/>
        </w:rPr>
        <w:t>includes</w:t>
      </w:r>
      <w:r w:rsidR="00270CB9" w:rsidRPr="00D802FF">
        <w:rPr>
          <w:rFonts w:ascii="Times New Roman" w:hAnsi="Times New Roman"/>
          <w:b/>
          <w:sz w:val="24"/>
          <w:szCs w:val="24"/>
        </w:rPr>
        <w:t xml:space="preserve"> a</w:t>
      </w:r>
      <w:r w:rsidRPr="00D802FF">
        <w:rPr>
          <w:rFonts w:ascii="Times New Roman" w:hAnsi="Times New Roman"/>
          <w:b/>
          <w:sz w:val="24"/>
          <w:szCs w:val="24"/>
        </w:rPr>
        <w:t xml:space="preserve"> discriminatory provision related to so-called honor killings</w:t>
      </w:r>
      <w:r w:rsidR="00271075" w:rsidRPr="00D802FF">
        <w:rPr>
          <w:rFonts w:ascii="Times New Roman" w:hAnsi="Times New Roman"/>
          <w:b/>
          <w:sz w:val="24"/>
          <w:szCs w:val="24"/>
        </w:rPr>
        <w:t xml:space="preserve"> (Concluding Observations paragraphs 15(c), 16)</w:t>
      </w:r>
      <w:r w:rsidR="00F23A00" w:rsidRPr="00D802FF">
        <w:rPr>
          <w:rFonts w:ascii="Times New Roman" w:hAnsi="Times New Roman"/>
          <w:b/>
          <w:sz w:val="24"/>
          <w:szCs w:val="24"/>
        </w:rPr>
        <w:t xml:space="preserve">. </w:t>
      </w:r>
    </w:p>
    <w:p w14:paraId="3BCC3679" w14:textId="77777777" w:rsidR="000E739E" w:rsidRPr="00D802FF" w:rsidRDefault="000E739E" w:rsidP="000E739E">
      <w:pPr>
        <w:pStyle w:val="Default"/>
        <w:numPr>
          <w:ilvl w:val="0"/>
          <w:numId w:val="17"/>
        </w:numPr>
        <w:spacing w:after="120"/>
        <w:ind w:left="360"/>
        <w:jc w:val="both"/>
      </w:pPr>
      <w:r w:rsidRPr="00D802FF">
        <w:t>In its 2017 Concluding Observations, recommended that Kuwait abolish Article 153 of the Criminal Code, which reduces the sentence for a man who kills a woman in the name of so-called honor.</w:t>
      </w:r>
      <w:r w:rsidRPr="00D802FF">
        <w:rPr>
          <w:rStyle w:val="FootnoteReference"/>
        </w:rPr>
        <w:footnoteReference w:id="37"/>
      </w:r>
      <w:r w:rsidRPr="00D802FF">
        <w:t xml:space="preserve"> Any penal provisions which permit honor killings violate Kuwait’s obligations under the Convention.</w:t>
      </w:r>
      <w:r w:rsidRPr="00D802FF">
        <w:rPr>
          <w:rStyle w:val="FootnoteReference"/>
        </w:rPr>
        <w:footnoteReference w:id="38"/>
      </w:r>
    </w:p>
    <w:p w14:paraId="7059DE5E" w14:textId="7362C828" w:rsidR="006817AF" w:rsidRPr="00D802FF" w:rsidRDefault="000E739E" w:rsidP="00711B11">
      <w:pPr>
        <w:pStyle w:val="Default"/>
        <w:numPr>
          <w:ilvl w:val="0"/>
          <w:numId w:val="17"/>
        </w:numPr>
        <w:spacing w:after="120"/>
        <w:ind w:left="360"/>
        <w:jc w:val="both"/>
      </w:pPr>
      <w:r w:rsidRPr="00D802FF">
        <w:t>In its Sixth Periodic Report, Kuwait stated: “with regard to the allegation that penalties provided for in article 153 of the Criminal Code (No. 16 of 1960) create inequality because mitigating circumstances may be granted to a man but not to a woman, it should be underscored that the mitigating circumstances are not unconditional.”</w:t>
      </w:r>
      <w:r w:rsidRPr="00D802FF">
        <w:rPr>
          <w:rStyle w:val="FootnoteReference"/>
        </w:rPr>
        <w:footnoteReference w:id="39"/>
      </w:r>
    </w:p>
    <w:p w14:paraId="3268C931" w14:textId="23A88357" w:rsidR="004118EA" w:rsidRPr="00D802FF" w:rsidRDefault="00EF78A0" w:rsidP="00711B11">
      <w:pPr>
        <w:pStyle w:val="ListParagraph"/>
        <w:numPr>
          <w:ilvl w:val="0"/>
          <w:numId w:val="38"/>
        </w:numPr>
        <w:rPr>
          <w:rFonts w:ascii="Times New Roman" w:eastAsia="Times New Roman" w:hAnsi="Times New Roman"/>
          <w:b/>
          <w:bCs/>
          <w:sz w:val="24"/>
          <w:szCs w:val="24"/>
          <w:lang w:eastAsia="ja-JP"/>
        </w:rPr>
      </w:pPr>
      <w:r w:rsidRPr="00D802FF">
        <w:rPr>
          <w:rFonts w:ascii="Times New Roman" w:eastAsia="Times New Roman" w:hAnsi="Times New Roman"/>
          <w:b/>
          <w:bCs/>
          <w:sz w:val="24"/>
          <w:szCs w:val="24"/>
          <w:lang w:eastAsia="ja-JP"/>
        </w:rPr>
        <w:t xml:space="preserve">The exclusion of women from </w:t>
      </w:r>
      <w:r w:rsidR="00271075" w:rsidRPr="00D802FF">
        <w:rPr>
          <w:rFonts w:ascii="Times New Roman" w:eastAsia="Times New Roman" w:hAnsi="Times New Roman"/>
          <w:b/>
          <w:bCs/>
          <w:sz w:val="24"/>
          <w:szCs w:val="24"/>
          <w:lang w:eastAsia="ja-JP"/>
        </w:rPr>
        <w:t>leadership positions</w:t>
      </w:r>
      <w:r w:rsidR="00192E33" w:rsidRPr="00D802FF">
        <w:rPr>
          <w:rFonts w:ascii="Times New Roman" w:eastAsia="Times New Roman" w:hAnsi="Times New Roman"/>
          <w:b/>
          <w:bCs/>
          <w:sz w:val="24"/>
          <w:szCs w:val="24"/>
          <w:lang w:eastAsia="ja-JP"/>
        </w:rPr>
        <w:t>, particularly</w:t>
      </w:r>
      <w:r w:rsidR="00271075" w:rsidRPr="00D802FF">
        <w:rPr>
          <w:rFonts w:ascii="Times New Roman" w:eastAsia="Times New Roman" w:hAnsi="Times New Roman"/>
          <w:b/>
          <w:bCs/>
          <w:sz w:val="24"/>
          <w:szCs w:val="24"/>
          <w:lang w:eastAsia="ja-JP"/>
        </w:rPr>
        <w:t xml:space="preserve"> in </w:t>
      </w:r>
      <w:r w:rsidR="00E53E0F" w:rsidRPr="00D802FF">
        <w:rPr>
          <w:rFonts w:ascii="Times New Roman" w:eastAsia="Times New Roman" w:hAnsi="Times New Roman"/>
          <w:b/>
          <w:bCs/>
          <w:sz w:val="24"/>
          <w:szCs w:val="24"/>
          <w:lang w:eastAsia="ja-JP"/>
        </w:rPr>
        <w:t>the judiciary</w:t>
      </w:r>
      <w:r w:rsidR="00192E33" w:rsidRPr="00D802FF">
        <w:rPr>
          <w:rFonts w:ascii="Times New Roman" w:eastAsia="Times New Roman" w:hAnsi="Times New Roman"/>
          <w:b/>
          <w:bCs/>
          <w:sz w:val="24"/>
          <w:szCs w:val="24"/>
          <w:lang w:eastAsia="ja-JP"/>
        </w:rPr>
        <w:t>,</w:t>
      </w:r>
      <w:r w:rsidR="00E53E0F" w:rsidRPr="00D802FF">
        <w:rPr>
          <w:rFonts w:ascii="Times New Roman" w:eastAsia="Times New Roman" w:hAnsi="Times New Roman"/>
          <w:b/>
          <w:bCs/>
          <w:sz w:val="24"/>
          <w:szCs w:val="24"/>
          <w:lang w:eastAsia="ja-JP"/>
        </w:rPr>
        <w:t xml:space="preserve"> exacerbates gender bias in capital proceedings (Concluding Observations paragraph </w:t>
      </w:r>
      <w:r w:rsidR="00271075" w:rsidRPr="00D802FF">
        <w:rPr>
          <w:rFonts w:ascii="Times New Roman" w:eastAsia="Times New Roman" w:hAnsi="Times New Roman"/>
          <w:b/>
          <w:bCs/>
          <w:sz w:val="24"/>
          <w:szCs w:val="24"/>
          <w:lang w:eastAsia="ja-JP"/>
        </w:rPr>
        <w:t>30)</w:t>
      </w:r>
      <w:r w:rsidR="008C261A" w:rsidRPr="00D802FF">
        <w:rPr>
          <w:rFonts w:ascii="Times New Roman" w:eastAsia="Times New Roman" w:hAnsi="Times New Roman"/>
          <w:b/>
          <w:bCs/>
          <w:sz w:val="24"/>
          <w:szCs w:val="24"/>
          <w:lang w:eastAsia="ja-JP"/>
        </w:rPr>
        <w:t>.</w:t>
      </w:r>
      <w:r w:rsidR="004C41C6" w:rsidRPr="00D802FF">
        <w:rPr>
          <w:rFonts w:ascii="Times New Roman" w:eastAsia="Times New Roman" w:hAnsi="Times New Roman"/>
          <w:b/>
          <w:bCs/>
          <w:sz w:val="24"/>
          <w:szCs w:val="24"/>
          <w:lang w:eastAsia="ja-JP"/>
        </w:rPr>
        <w:t xml:space="preserve"> </w:t>
      </w:r>
    </w:p>
    <w:p w14:paraId="3268C934" w14:textId="057C4C02" w:rsidR="004118EA" w:rsidRPr="00D802FF" w:rsidRDefault="006F72E4" w:rsidP="00711B11">
      <w:pPr>
        <w:pStyle w:val="Default"/>
        <w:numPr>
          <w:ilvl w:val="0"/>
          <w:numId w:val="17"/>
        </w:numPr>
        <w:spacing w:after="120"/>
        <w:ind w:left="360"/>
        <w:jc w:val="both"/>
        <w:rPr>
          <w:color w:val="auto"/>
        </w:rPr>
      </w:pPr>
      <w:r w:rsidRPr="00D802FF">
        <w:rPr>
          <w:color w:val="auto"/>
        </w:rPr>
        <w:t>In its Concluding Observations, t</w:t>
      </w:r>
      <w:r w:rsidR="008C261A" w:rsidRPr="00D802FF">
        <w:rPr>
          <w:color w:val="auto"/>
        </w:rPr>
        <w:t xml:space="preserve">he Committee noted with concern the low participation of women in leadership positions, including in executive positions, and their limited roles as ambassadors, </w:t>
      </w:r>
      <w:proofErr w:type="gramStart"/>
      <w:r w:rsidR="008C261A" w:rsidRPr="00D802FF">
        <w:rPr>
          <w:color w:val="auto"/>
        </w:rPr>
        <w:t>ministers</w:t>
      </w:r>
      <w:proofErr w:type="gramEnd"/>
      <w:r w:rsidR="008C261A" w:rsidRPr="00D802FF">
        <w:rPr>
          <w:color w:val="auto"/>
        </w:rPr>
        <w:t xml:space="preserve"> or parliamentarians.</w:t>
      </w:r>
      <w:r w:rsidR="008C261A" w:rsidRPr="00D802FF">
        <w:rPr>
          <w:rStyle w:val="FootnoteReference"/>
          <w:color w:val="auto"/>
        </w:rPr>
        <w:footnoteReference w:id="40"/>
      </w:r>
      <w:r w:rsidR="008C261A" w:rsidRPr="00D802FF">
        <w:rPr>
          <w:color w:val="auto"/>
        </w:rPr>
        <w:t xml:space="preserve"> The Committee pointed out as an example the lack of participation by women in the Women’s Affairs Committee, in which only one of the five participating parliamentarians is a woman.</w:t>
      </w:r>
      <w:r w:rsidR="008C261A" w:rsidRPr="00D802FF">
        <w:rPr>
          <w:rStyle w:val="FootnoteReference"/>
          <w:color w:val="auto"/>
        </w:rPr>
        <w:t xml:space="preserve"> </w:t>
      </w:r>
      <w:r w:rsidR="008C261A" w:rsidRPr="00D802FF">
        <w:rPr>
          <w:rStyle w:val="FootnoteReference"/>
          <w:color w:val="auto"/>
        </w:rPr>
        <w:footnoteReference w:id="41"/>
      </w:r>
      <w:r w:rsidR="008C261A" w:rsidRPr="00D802FF">
        <w:rPr>
          <w:color w:val="auto"/>
        </w:rPr>
        <w:t xml:space="preserve"> </w:t>
      </w:r>
    </w:p>
    <w:p w14:paraId="3268C935" w14:textId="06002A97" w:rsidR="004118EA" w:rsidRPr="00D802FF" w:rsidRDefault="008C261A" w:rsidP="00711B11">
      <w:pPr>
        <w:pStyle w:val="Default"/>
        <w:numPr>
          <w:ilvl w:val="0"/>
          <w:numId w:val="17"/>
        </w:numPr>
        <w:spacing w:after="120"/>
        <w:ind w:left="360"/>
        <w:jc w:val="both"/>
        <w:rPr>
          <w:color w:val="auto"/>
        </w:rPr>
      </w:pPr>
      <w:r w:rsidRPr="00D802FF">
        <w:rPr>
          <w:color w:val="auto"/>
        </w:rPr>
        <w:t xml:space="preserve">The </w:t>
      </w:r>
      <w:r w:rsidR="00323AFE" w:rsidRPr="00D802FF">
        <w:rPr>
          <w:color w:val="auto"/>
        </w:rPr>
        <w:t xml:space="preserve">Sixth Periodic Report states </w:t>
      </w:r>
      <w:r w:rsidRPr="00D802FF">
        <w:rPr>
          <w:color w:val="auto"/>
        </w:rPr>
        <w:t xml:space="preserve">that women enjoy the same right of access as men to all posts without legal obstacles. The State Party alleged that women contribute actively to decision-making at the level of minister in the Council of Ministers, deputy minister, public agency director, </w:t>
      </w:r>
      <w:proofErr w:type="gramStart"/>
      <w:r w:rsidRPr="00D802FF">
        <w:rPr>
          <w:color w:val="auto"/>
        </w:rPr>
        <w:t>ambassador</w:t>
      </w:r>
      <w:proofErr w:type="gramEnd"/>
      <w:r w:rsidRPr="00D802FF">
        <w:rPr>
          <w:color w:val="auto"/>
        </w:rPr>
        <w:t xml:space="preserve"> and Municipal Council member. The Sixth Periodic report limits itself to confirming women do not face </w:t>
      </w:r>
      <w:r w:rsidRPr="00D802FF">
        <w:rPr>
          <w:i/>
          <w:iCs/>
          <w:color w:val="auto"/>
        </w:rPr>
        <w:t>legal</w:t>
      </w:r>
      <w:r w:rsidRPr="00D802FF">
        <w:rPr>
          <w:color w:val="auto"/>
        </w:rPr>
        <w:t xml:space="preserve"> obstacles in accessing posts but stays silent about any practical obstacles due to traditions or stereotypes. </w:t>
      </w:r>
    </w:p>
    <w:p w14:paraId="3268C936" w14:textId="4FC76B3A" w:rsidR="004118EA" w:rsidRPr="00D802FF" w:rsidRDefault="008C261A" w:rsidP="00711B11">
      <w:pPr>
        <w:pStyle w:val="Default"/>
        <w:numPr>
          <w:ilvl w:val="0"/>
          <w:numId w:val="17"/>
        </w:numPr>
        <w:spacing w:after="120"/>
        <w:ind w:left="360"/>
        <w:jc w:val="both"/>
        <w:rPr>
          <w:color w:val="auto"/>
        </w:rPr>
      </w:pPr>
      <w:r w:rsidRPr="00D802FF">
        <w:rPr>
          <w:color w:val="auto"/>
        </w:rPr>
        <w:lastRenderedPageBreak/>
        <w:t>Out of fifty elected members of the National Assembly</w:t>
      </w:r>
      <w:r w:rsidR="00685317" w:rsidRPr="00D802FF">
        <w:rPr>
          <w:color w:val="auto"/>
        </w:rPr>
        <w:t>,</w:t>
      </w:r>
      <w:r w:rsidRPr="00D802FF">
        <w:rPr>
          <w:color w:val="auto"/>
        </w:rPr>
        <w:t xml:space="preserve"> only two are female. There have never been more than four female members of the National Assembly.</w:t>
      </w:r>
      <w:r w:rsidRPr="00D802FF">
        <w:rPr>
          <w:rStyle w:val="FootnoteReference"/>
          <w:color w:val="auto"/>
        </w:rPr>
        <w:footnoteReference w:id="42"/>
      </w:r>
      <w:r w:rsidRPr="00D802FF">
        <w:rPr>
          <w:color w:val="auto"/>
        </w:rPr>
        <w:t xml:space="preserve"> The participation of women in the justice system remains low. The Sixth State Party report sets out there are currently 55 Kuwaiti female prosecutors. As of 1 September 2020, </w:t>
      </w:r>
      <w:proofErr w:type="gramStart"/>
      <w:r w:rsidRPr="00D802FF">
        <w:rPr>
          <w:color w:val="auto"/>
        </w:rPr>
        <w:t>As</w:t>
      </w:r>
      <w:proofErr w:type="gramEnd"/>
      <w:r w:rsidRPr="00D802FF">
        <w:rPr>
          <w:color w:val="auto"/>
        </w:rPr>
        <w:t xml:space="preserve"> recently as 2021 only fifteen Kuwaiti judges were women.</w:t>
      </w:r>
      <w:r w:rsidRPr="00D802FF">
        <w:rPr>
          <w:rStyle w:val="FootnoteReference"/>
        </w:rPr>
        <w:footnoteReference w:id="43"/>
      </w:r>
      <w:r w:rsidRPr="00D802FF">
        <w:rPr>
          <w:color w:val="auto"/>
        </w:rPr>
        <w:t xml:space="preserve"> The absence of women making key decisions over the course of criminal prosecutions contributes to a justice system’s failure to take into account women’s experiences.</w:t>
      </w:r>
      <w:r w:rsidRPr="00D802FF">
        <w:rPr>
          <w:rStyle w:val="FootnoteReference"/>
          <w:color w:val="auto"/>
        </w:rPr>
        <w:footnoteReference w:id="44"/>
      </w:r>
      <w:r w:rsidRPr="00D802FF">
        <w:rPr>
          <w:color w:val="auto"/>
        </w:rPr>
        <w:t xml:space="preserve"> The exclusion of women from positions of power in the Kuwaiti penal system exacerbates the effects of gender bias at every stage of capital proceedings. </w:t>
      </w:r>
    </w:p>
    <w:p w14:paraId="3268C941" w14:textId="05125053" w:rsidR="004118EA" w:rsidRPr="00D802FF" w:rsidRDefault="008C261A" w:rsidP="00711B11">
      <w:pPr>
        <w:pStyle w:val="ListParagraph"/>
        <w:numPr>
          <w:ilvl w:val="0"/>
          <w:numId w:val="38"/>
        </w:numPr>
        <w:rPr>
          <w:rFonts w:ascii="Times New Roman" w:eastAsia="Times New Roman" w:hAnsi="Times New Roman"/>
          <w:b/>
          <w:bCs/>
          <w:sz w:val="24"/>
          <w:szCs w:val="24"/>
          <w:lang w:eastAsia="ja-JP"/>
        </w:rPr>
      </w:pPr>
      <w:r w:rsidRPr="00D802FF">
        <w:rPr>
          <w:rFonts w:ascii="Times New Roman" w:eastAsia="Times New Roman" w:hAnsi="Times New Roman"/>
          <w:b/>
          <w:bCs/>
          <w:sz w:val="24"/>
          <w:szCs w:val="24"/>
          <w:lang w:eastAsia="ja-JP"/>
        </w:rPr>
        <w:t>The Government of Kuwait fails to combat gender</w:t>
      </w:r>
      <w:r w:rsidR="00CA13BB" w:rsidRPr="00D802FF">
        <w:rPr>
          <w:rFonts w:ascii="Times New Roman" w:eastAsia="Times New Roman" w:hAnsi="Times New Roman"/>
          <w:b/>
          <w:bCs/>
          <w:sz w:val="24"/>
          <w:szCs w:val="24"/>
          <w:lang w:eastAsia="ja-JP"/>
        </w:rPr>
        <w:t>-based</w:t>
      </w:r>
      <w:r w:rsidRPr="00D802FF">
        <w:rPr>
          <w:rFonts w:ascii="Times New Roman" w:eastAsia="Times New Roman" w:hAnsi="Times New Roman"/>
          <w:b/>
          <w:bCs/>
          <w:sz w:val="24"/>
          <w:szCs w:val="24"/>
          <w:lang w:eastAsia="ja-JP"/>
        </w:rPr>
        <w:t xml:space="preserve"> violence and stereotypes</w:t>
      </w:r>
      <w:r w:rsidR="0061122F" w:rsidRPr="00D802FF">
        <w:rPr>
          <w:rFonts w:ascii="Times New Roman" w:eastAsia="Times New Roman" w:hAnsi="Times New Roman"/>
          <w:b/>
          <w:bCs/>
          <w:sz w:val="24"/>
          <w:szCs w:val="24"/>
          <w:lang w:eastAsia="ja-JP"/>
        </w:rPr>
        <w:t>, placing women at further risk of being sentenced to death</w:t>
      </w:r>
      <w:r w:rsidR="00882108" w:rsidRPr="00D802FF">
        <w:rPr>
          <w:rFonts w:ascii="Times New Roman" w:eastAsia="Times New Roman" w:hAnsi="Times New Roman"/>
          <w:b/>
          <w:bCs/>
          <w:sz w:val="24"/>
          <w:szCs w:val="24"/>
          <w:lang w:eastAsia="ja-JP"/>
        </w:rPr>
        <w:t xml:space="preserve"> (Concluding Observations paragraphs 24-27)</w:t>
      </w:r>
      <w:r w:rsidRPr="00D802FF">
        <w:rPr>
          <w:rFonts w:ascii="Times New Roman" w:eastAsia="Times New Roman" w:hAnsi="Times New Roman"/>
          <w:b/>
          <w:bCs/>
          <w:sz w:val="24"/>
          <w:szCs w:val="24"/>
          <w:lang w:eastAsia="ja-JP"/>
        </w:rPr>
        <w:t>.</w:t>
      </w:r>
    </w:p>
    <w:p w14:paraId="0984A755" w14:textId="0A1AA0C5" w:rsidR="00CA2339" w:rsidRPr="00D802FF" w:rsidRDefault="00CA2339" w:rsidP="00CA2339">
      <w:pPr>
        <w:pStyle w:val="Default"/>
        <w:numPr>
          <w:ilvl w:val="0"/>
          <w:numId w:val="17"/>
        </w:numPr>
        <w:spacing w:after="120"/>
        <w:ind w:left="360"/>
        <w:jc w:val="both"/>
        <w:rPr>
          <w:color w:val="auto"/>
        </w:rPr>
      </w:pPr>
      <w:r w:rsidRPr="00D802FF">
        <w:t xml:space="preserve">As described in greater detail above, </w:t>
      </w:r>
      <w:r w:rsidRPr="00D802FF">
        <w:rPr>
          <w:color w:val="auto"/>
        </w:rPr>
        <w:t xml:space="preserve">gender-based violence is often one component of the profiles of women sentenced to death and a contributing factor to the circumstances leading to the crimes for which women are </w:t>
      </w:r>
      <w:r w:rsidR="006B42B3" w:rsidRPr="00D802FF">
        <w:rPr>
          <w:color w:val="auto"/>
        </w:rPr>
        <w:t>sentenced to death</w:t>
      </w:r>
      <w:r w:rsidRPr="00D802FF">
        <w:rPr>
          <w:color w:val="auto"/>
        </w:rPr>
        <w:t xml:space="preserve">, particularly in the context of the murder of family members </w:t>
      </w:r>
      <w:r w:rsidR="006B42B3" w:rsidRPr="00D802FF">
        <w:rPr>
          <w:color w:val="auto"/>
        </w:rPr>
        <w:t xml:space="preserve">who have perpetrated </w:t>
      </w:r>
      <w:r w:rsidRPr="00D802FF">
        <w:rPr>
          <w:color w:val="auto"/>
        </w:rPr>
        <w:t>gender-based violence.</w:t>
      </w:r>
      <w:r w:rsidRPr="00D802FF">
        <w:rPr>
          <w:rStyle w:val="FootnoteReference"/>
          <w:color w:val="auto"/>
        </w:rPr>
        <w:footnoteReference w:id="45"/>
      </w:r>
    </w:p>
    <w:p w14:paraId="3268C942" w14:textId="59E60BAF" w:rsidR="004118EA" w:rsidRPr="00D802FF" w:rsidRDefault="008C261A" w:rsidP="00711B11">
      <w:pPr>
        <w:pStyle w:val="Default"/>
        <w:numPr>
          <w:ilvl w:val="0"/>
          <w:numId w:val="17"/>
        </w:numPr>
        <w:spacing w:after="120"/>
        <w:ind w:left="360"/>
        <w:jc w:val="both"/>
      </w:pPr>
      <w:r w:rsidRPr="00D802FF">
        <w:t>Women who face extensive gender-based violence are disproportionately affected by the death penalty, including those who seek to protect themselves against their abusers.</w:t>
      </w:r>
      <w:r w:rsidRPr="00D802FF">
        <w:rPr>
          <w:rStyle w:val="FootnoteReference"/>
        </w:rPr>
        <w:footnoteReference w:id="46"/>
      </w:r>
      <w:r w:rsidRPr="00D802FF">
        <w:t xml:space="preserve"> Long histories of gender-based violence can result in complex trauma and can exacerbate psycho-social or intellectual disabilities.</w:t>
      </w:r>
      <w:r w:rsidRPr="00D802FF">
        <w:rPr>
          <w:rStyle w:val="FootnoteReference"/>
        </w:rPr>
        <w:footnoteReference w:id="47"/>
      </w:r>
      <w:r w:rsidRPr="00D802FF">
        <w:t xml:space="preserve"> Yet the police present a bottleneck for </w:t>
      </w:r>
      <w:r w:rsidR="0089296D" w:rsidRPr="00D802FF">
        <w:t>women reporting gender-based violence</w:t>
      </w:r>
      <w:r w:rsidRPr="00D802FF">
        <w:t>,</w:t>
      </w:r>
      <w:r w:rsidRPr="00D802FF">
        <w:rPr>
          <w:rStyle w:val="FootnoteReference"/>
        </w:rPr>
        <w:footnoteReference w:id="48"/>
      </w:r>
      <w:r w:rsidRPr="00D802FF">
        <w:t xml:space="preserve"> </w:t>
      </w:r>
      <w:r w:rsidR="006A5C6F" w:rsidRPr="00D802FF">
        <w:t xml:space="preserve">and </w:t>
      </w:r>
      <w:r w:rsidRPr="00D802FF">
        <w:t>the law requires two male witnesses</w:t>
      </w:r>
      <w:r w:rsidR="006A5C6F" w:rsidRPr="00D802FF">
        <w:t>.</w:t>
      </w:r>
      <w:r w:rsidRPr="00D802FF">
        <w:rPr>
          <w:rStyle w:val="FootnoteReference"/>
        </w:rPr>
        <w:footnoteReference w:id="49"/>
      </w:r>
      <w:r w:rsidRPr="00D802FF">
        <w:t xml:space="preserve"> </w:t>
      </w:r>
      <w:r w:rsidR="006A5C6F" w:rsidRPr="00D802FF">
        <w:t xml:space="preserve">When survivors of gender-based violence kill their abusers, </w:t>
      </w:r>
      <w:r w:rsidRPr="00D802FF">
        <w:t xml:space="preserve">sentencing courts </w:t>
      </w:r>
      <w:r w:rsidR="006A5C6F" w:rsidRPr="00D802FF">
        <w:t xml:space="preserve">often </w:t>
      </w:r>
      <w:r w:rsidRPr="00D802FF">
        <w:t xml:space="preserve">fail to take </w:t>
      </w:r>
      <w:r w:rsidR="005364B0" w:rsidRPr="00D802FF">
        <w:t xml:space="preserve">the history of </w:t>
      </w:r>
      <w:r w:rsidRPr="00D802FF">
        <w:t>gender</w:t>
      </w:r>
      <w:r w:rsidR="005364B0" w:rsidRPr="00D802FF">
        <w:t>-based</w:t>
      </w:r>
      <w:r w:rsidRPr="00D802FF">
        <w:t xml:space="preserve"> violence into account in mitigation of a death sentence. </w:t>
      </w:r>
    </w:p>
    <w:p w14:paraId="3268C943" w14:textId="24179CC3" w:rsidR="004118EA" w:rsidRPr="00D802FF" w:rsidRDefault="008C261A" w:rsidP="00711B11">
      <w:pPr>
        <w:pStyle w:val="Default"/>
        <w:numPr>
          <w:ilvl w:val="0"/>
          <w:numId w:val="17"/>
        </w:numPr>
        <w:spacing w:after="120"/>
        <w:ind w:left="360"/>
        <w:jc w:val="both"/>
      </w:pPr>
      <w:r w:rsidRPr="00D802FF">
        <w:t xml:space="preserve">In its </w:t>
      </w:r>
      <w:r w:rsidR="00FA436D" w:rsidRPr="00D802FF">
        <w:t>C</w:t>
      </w:r>
      <w:r w:rsidRPr="00D802FF">
        <w:t xml:space="preserve">oncluding </w:t>
      </w:r>
      <w:r w:rsidR="00FA436D" w:rsidRPr="00D802FF">
        <w:t>O</w:t>
      </w:r>
      <w:r w:rsidRPr="00D802FF">
        <w:t xml:space="preserve">bservations, </w:t>
      </w:r>
      <w:r w:rsidR="00FA436D" w:rsidRPr="00D802FF">
        <w:t xml:space="preserve">the </w:t>
      </w:r>
      <w:r w:rsidRPr="00D802FF">
        <w:t>Committee expressed concern with the discriminatory stereotypes that persist towards women</w:t>
      </w:r>
      <w:r w:rsidR="00A63C3C" w:rsidRPr="00D802FF">
        <w:t>.</w:t>
      </w:r>
      <w:r w:rsidRPr="00D802FF">
        <w:rPr>
          <w:rStyle w:val="FootnoteReference"/>
        </w:rPr>
        <w:footnoteReference w:id="50"/>
      </w:r>
      <w:r w:rsidRPr="00D802FF">
        <w:t xml:space="preserve"> The Government of Kuwait has been silent on the </w:t>
      </w:r>
      <w:r w:rsidRPr="00D802FF">
        <w:lastRenderedPageBreak/>
        <w:t>role of men perpetuating these harmful stereotypes and has not created opportunities to educate men otherwise.</w:t>
      </w:r>
      <w:r w:rsidRPr="00D802FF">
        <w:rPr>
          <w:rStyle w:val="FootnoteReference"/>
        </w:rPr>
        <w:footnoteReference w:id="51"/>
      </w:r>
      <w:r w:rsidRPr="00D802FF">
        <w:t xml:space="preserve"> Discriminatory divorce laws trap women, sometimes requiring years of process to obtain separation despite documentation of abuse.</w:t>
      </w:r>
      <w:r w:rsidRPr="00D802FF">
        <w:rPr>
          <w:rStyle w:val="FootnoteReference"/>
        </w:rPr>
        <w:footnoteReference w:id="52"/>
      </w:r>
      <w:r w:rsidRPr="00D802FF">
        <w:t xml:space="preserve"> </w:t>
      </w:r>
    </w:p>
    <w:p w14:paraId="3268C944" w14:textId="70122686" w:rsidR="004118EA" w:rsidRPr="00D802FF" w:rsidRDefault="00E826F1" w:rsidP="00711B11">
      <w:pPr>
        <w:pStyle w:val="Default"/>
        <w:numPr>
          <w:ilvl w:val="0"/>
          <w:numId w:val="17"/>
        </w:numPr>
        <w:spacing w:after="120"/>
        <w:ind w:left="360"/>
        <w:jc w:val="both"/>
      </w:pPr>
      <w:r w:rsidRPr="00D802FF">
        <w:t>Kuwait</w:t>
      </w:r>
      <w:r w:rsidR="008C261A" w:rsidRPr="00D802FF">
        <w:t xml:space="preserve"> has made some efforts to combat domestic violence, including the creation of family courts to deal with domestic violence cases and the drafting of a law that</w:t>
      </w:r>
      <w:r w:rsidR="00077EF6" w:rsidRPr="00D802FF">
        <w:t>:</w:t>
      </w:r>
      <w:r w:rsidR="008C261A" w:rsidRPr="00D802FF">
        <w:t xml:space="preserve"> (1) Defines “domestic violence”; (2) Provides for shelters, psychological counselling and legal assistance to victims; and (3) Establishes a domestic violence hotline for complaints.</w:t>
      </w:r>
      <w:r w:rsidR="008C261A" w:rsidRPr="00D802FF">
        <w:rPr>
          <w:rStyle w:val="FootnoteReference"/>
        </w:rPr>
        <w:footnoteReference w:id="53"/>
      </w:r>
      <w:r w:rsidR="008C261A" w:rsidRPr="00D802FF">
        <w:t xml:space="preserve"> </w:t>
      </w:r>
      <w:r w:rsidR="00077EF6" w:rsidRPr="00D802FF">
        <w:t>T</w:t>
      </w:r>
      <w:r w:rsidR="008C261A" w:rsidRPr="00D802FF">
        <w:t>he new law</w:t>
      </w:r>
      <w:r w:rsidR="00077EF6" w:rsidRPr="00D802FF">
        <w:t>, however,</w:t>
      </w:r>
      <w:r w:rsidR="008C261A" w:rsidRPr="00D802FF">
        <w:t xml:space="preserve"> does not set out penalties for domestic violence as a crime on its own, and does not include </w:t>
      </w:r>
      <w:r w:rsidR="00077EF6" w:rsidRPr="00D802FF">
        <w:t xml:space="preserve">violence perpetrated by </w:t>
      </w:r>
      <w:r w:rsidR="008C261A" w:rsidRPr="00D802FF">
        <w:t xml:space="preserve">former </w:t>
      </w:r>
      <w:r w:rsidR="00077EF6" w:rsidRPr="00D802FF">
        <w:t xml:space="preserve">intimate </w:t>
      </w:r>
      <w:r w:rsidR="008C261A" w:rsidRPr="00D802FF">
        <w:t xml:space="preserve">partners or protect women engaged in relationships outside of wedlock, including </w:t>
      </w:r>
      <w:r w:rsidR="001F39B1" w:rsidRPr="00D802FF">
        <w:t xml:space="preserve">women who are </w:t>
      </w:r>
      <w:r w:rsidR="008C261A" w:rsidRPr="00D802FF">
        <w:t>engaged or unofficially married.</w:t>
      </w:r>
      <w:r w:rsidR="008C261A" w:rsidRPr="00D802FF">
        <w:rPr>
          <w:rStyle w:val="FootnoteReference"/>
        </w:rPr>
        <w:footnoteReference w:id="54"/>
      </w:r>
      <w:r w:rsidR="008C261A" w:rsidRPr="00D802FF">
        <w:t xml:space="preserve"> Furthermore</w:t>
      </w:r>
      <w:r w:rsidR="001F39B1" w:rsidRPr="00D802FF">
        <w:t>,</w:t>
      </w:r>
      <w:r w:rsidR="008C261A" w:rsidRPr="00D802FF">
        <w:t xml:space="preserve"> a woman must produce a report from a government hospital describing her injuries and have two male witnesses.</w:t>
      </w:r>
      <w:r w:rsidR="004C41C6" w:rsidRPr="00D802FF">
        <w:t xml:space="preserve"> </w:t>
      </w:r>
      <w:r w:rsidR="008C261A" w:rsidRPr="00D802FF">
        <w:t xml:space="preserve">Although a woman may petition for divorce based on injury from </w:t>
      </w:r>
      <w:r w:rsidR="001F39B1" w:rsidRPr="00D802FF">
        <w:t>domestic violence</w:t>
      </w:r>
      <w:r w:rsidR="008C261A" w:rsidRPr="00D802FF">
        <w:t>, the law does not provide a clear legal standard for what constitutes injury.</w:t>
      </w:r>
      <w:r w:rsidR="008C261A" w:rsidRPr="00D802FF">
        <w:rPr>
          <w:rStyle w:val="FootnoteReference"/>
        </w:rPr>
        <w:footnoteReference w:id="55"/>
      </w:r>
      <w:r w:rsidR="008C261A" w:rsidRPr="00D802FF">
        <w:t xml:space="preserve"> </w:t>
      </w:r>
    </w:p>
    <w:p w14:paraId="3268C945" w14:textId="19805FFB" w:rsidR="004118EA" w:rsidRPr="00D802FF" w:rsidRDefault="008C261A" w:rsidP="00711B11">
      <w:pPr>
        <w:pStyle w:val="Default"/>
        <w:numPr>
          <w:ilvl w:val="0"/>
          <w:numId w:val="17"/>
        </w:numPr>
        <w:spacing w:after="120"/>
        <w:ind w:left="360"/>
        <w:jc w:val="both"/>
      </w:pPr>
      <w:r w:rsidRPr="00D802FF">
        <w:t>The Government of Kuwait is falling short of its obligation to eradicate gender</w:t>
      </w:r>
      <w:r w:rsidR="00CA13BB" w:rsidRPr="00D802FF">
        <w:t>-based</w:t>
      </w:r>
      <w:r w:rsidRPr="00D802FF">
        <w:t xml:space="preserve"> violence, including sexual violence. A 2018 study found that 53.1% of women </w:t>
      </w:r>
      <w:r w:rsidR="00516ACC" w:rsidRPr="00D802FF">
        <w:t xml:space="preserve">in country </w:t>
      </w:r>
      <w:r w:rsidRPr="00D802FF">
        <w:t>have experienced gender-based violence.</w:t>
      </w:r>
      <w:r w:rsidRPr="00D802FF">
        <w:rPr>
          <w:rStyle w:val="FootnoteReference"/>
        </w:rPr>
        <w:footnoteReference w:id="56"/>
      </w:r>
      <w:r w:rsidRPr="00D802FF">
        <w:t xml:space="preserve"> Women in Kuwait report that police stations do not take seriously reports by both citizens and non-citizens of domestic violence and sexual assault.</w:t>
      </w:r>
      <w:r w:rsidRPr="00D802FF">
        <w:rPr>
          <w:rStyle w:val="FootnoteReference"/>
        </w:rPr>
        <w:footnoteReference w:id="57"/>
      </w:r>
      <w:r w:rsidRPr="00D802FF">
        <w:t xml:space="preserve"> As a result </w:t>
      </w:r>
      <w:r w:rsidR="00484B93" w:rsidRPr="00D802FF">
        <w:t xml:space="preserve">of this lack of protection, </w:t>
      </w:r>
      <w:r w:rsidRPr="00D802FF">
        <w:t>incidents of gendered violence are significantly under-reported.</w:t>
      </w:r>
      <w:r w:rsidRPr="00D802FF">
        <w:rPr>
          <w:rStyle w:val="FootnoteReference"/>
        </w:rPr>
        <w:footnoteReference w:id="58"/>
      </w:r>
      <w:r w:rsidRPr="00D802FF">
        <w:t xml:space="preserve"> Simmering tensions based on a culture of impunity around gender violence </w:t>
      </w:r>
      <w:r w:rsidR="004F530D" w:rsidRPr="00D802FF">
        <w:t xml:space="preserve">prompted </w:t>
      </w:r>
      <w:r w:rsidRPr="00D802FF">
        <w:t xml:space="preserve">activists to launch a countrywide social-media campaign called Lan </w:t>
      </w:r>
      <w:proofErr w:type="spellStart"/>
      <w:r w:rsidRPr="00D802FF">
        <w:t>Asket</w:t>
      </w:r>
      <w:proofErr w:type="spellEnd"/>
      <w:r w:rsidRPr="00D802FF">
        <w:t xml:space="preserve"> (“I will not be silenced”) in 2021.</w:t>
      </w:r>
      <w:r w:rsidRPr="00D802FF">
        <w:rPr>
          <w:rStyle w:val="FootnoteReference"/>
        </w:rPr>
        <w:footnoteReference w:id="59"/>
      </w:r>
      <w:r w:rsidRPr="00D802FF">
        <w:t xml:space="preserve"> The campaign documented countless reports of violence and harassment </w:t>
      </w:r>
      <w:r w:rsidR="00AB1465" w:rsidRPr="00D802FF">
        <w:t xml:space="preserve">that </w:t>
      </w:r>
      <w:r w:rsidRPr="00D802FF">
        <w:t>never gained legal traction, including abuses suffered by female foreign workers seeking to leave abusive situations.</w:t>
      </w:r>
      <w:r w:rsidRPr="00D802FF">
        <w:rPr>
          <w:rStyle w:val="FootnoteReference"/>
        </w:rPr>
        <w:footnoteReference w:id="60"/>
      </w:r>
      <w:r w:rsidRPr="00D802FF">
        <w:t xml:space="preserve"> In February 2022</w:t>
      </w:r>
      <w:r w:rsidR="00AB1465" w:rsidRPr="00D802FF">
        <w:t>,</w:t>
      </w:r>
      <w:r w:rsidRPr="00D802FF">
        <w:t xml:space="preserve"> women </w:t>
      </w:r>
      <w:r w:rsidR="00484B93" w:rsidRPr="00D802FF">
        <w:t>protested</w:t>
      </w:r>
      <w:r w:rsidRPr="00D802FF">
        <w:t xml:space="preserve"> the backsliding of the Government on the rights of women including new male-guardianship rules.</w:t>
      </w:r>
      <w:r w:rsidRPr="00D802FF">
        <w:rPr>
          <w:rStyle w:val="FootnoteReference"/>
        </w:rPr>
        <w:footnoteReference w:id="61"/>
      </w:r>
    </w:p>
    <w:p w14:paraId="3268C948" w14:textId="0B26ADCA" w:rsidR="004118EA" w:rsidRPr="00D802FF" w:rsidRDefault="008C261A" w:rsidP="00711B11">
      <w:pPr>
        <w:pStyle w:val="ListParagraph"/>
        <w:keepNext/>
        <w:numPr>
          <w:ilvl w:val="0"/>
          <w:numId w:val="38"/>
        </w:numPr>
        <w:rPr>
          <w:rFonts w:ascii="Times New Roman" w:eastAsia="Times New Roman" w:hAnsi="Times New Roman"/>
          <w:b/>
          <w:bCs/>
          <w:sz w:val="24"/>
          <w:szCs w:val="24"/>
          <w:lang w:eastAsia="ja-JP"/>
        </w:rPr>
      </w:pPr>
      <w:r w:rsidRPr="00D802FF">
        <w:rPr>
          <w:rFonts w:ascii="Times New Roman" w:eastAsia="Times New Roman" w:hAnsi="Times New Roman"/>
          <w:b/>
          <w:bCs/>
          <w:sz w:val="24"/>
          <w:szCs w:val="24"/>
          <w:lang w:eastAsia="ja-JP"/>
        </w:rPr>
        <w:lastRenderedPageBreak/>
        <w:t>Suggested Questions for the Government of Kuwait</w:t>
      </w:r>
    </w:p>
    <w:p w14:paraId="2755C790" w14:textId="3CDB6B84" w:rsidR="00D351A1" w:rsidRPr="00D802FF" w:rsidRDefault="00D351A1" w:rsidP="00711B11">
      <w:pPr>
        <w:pStyle w:val="Default"/>
        <w:numPr>
          <w:ilvl w:val="0"/>
          <w:numId w:val="17"/>
        </w:numPr>
        <w:spacing w:after="120"/>
        <w:ind w:left="360"/>
        <w:jc w:val="both"/>
        <w:rPr>
          <w:color w:val="auto"/>
        </w:rPr>
      </w:pPr>
      <w:r w:rsidRPr="00D802FF">
        <w:rPr>
          <w:color w:val="auto"/>
        </w:rPr>
        <w:t xml:space="preserve">The coauthors suggest the </w:t>
      </w:r>
      <w:r w:rsidRPr="00D802FF">
        <w:t>following</w:t>
      </w:r>
      <w:r w:rsidRPr="00D802FF">
        <w:rPr>
          <w:color w:val="auto"/>
        </w:rPr>
        <w:t xml:space="preserve"> questions for the Government of Kuwait:</w:t>
      </w:r>
    </w:p>
    <w:p w14:paraId="650C61CA" w14:textId="30FBC726" w:rsidR="00403AC9" w:rsidRPr="00D802FF" w:rsidRDefault="00403AC9" w:rsidP="00403AC9">
      <w:pPr>
        <w:pStyle w:val="ListParagraph"/>
        <w:numPr>
          <w:ilvl w:val="1"/>
          <w:numId w:val="17"/>
        </w:numPr>
        <w:spacing w:after="120" w:line="240" w:lineRule="auto"/>
        <w:jc w:val="both"/>
        <w:rPr>
          <w:rFonts w:ascii="Times New Roman" w:eastAsia="Times New Roman" w:hAnsi="Times New Roman"/>
          <w:sz w:val="24"/>
          <w:szCs w:val="24"/>
        </w:rPr>
      </w:pPr>
      <w:r w:rsidRPr="00D802FF">
        <w:rPr>
          <w:rFonts w:ascii="Times New Roman" w:eastAsia="Times New Roman" w:hAnsi="Times New Roman"/>
          <w:sz w:val="24"/>
          <w:szCs w:val="24"/>
        </w:rPr>
        <w:t>What steps has Kuwait taken to abolish the death penalty and replace it with a penalty that is fair, proportionate, and consistent with international human rights standards?</w:t>
      </w:r>
    </w:p>
    <w:p w14:paraId="27107C5E" w14:textId="609E06C6" w:rsidR="00403AC9" w:rsidRPr="00D802FF" w:rsidRDefault="00403AC9" w:rsidP="00403AC9">
      <w:pPr>
        <w:pStyle w:val="ListParagraph"/>
        <w:numPr>
          <w:ilvl w:val="1"/>
          <w:numId w:val="17"/>
        </w:numPr>
        <w:spacing w:after="120" w:line="240" w:lineRule="auto"/>
        <w:jc w:val="both"/>
        <w:rPr>
          <w:rFonts w:ascii="Times New Roman" w:eastAsia="Times New Roman" w:hAnsi="Times New Roman"/>
          <w:sz w:val="24"/>
          <w:szCs w:val="24"/>
        </w:rPr>
      </w:pPr>
      <w:r w:rsidRPr="00D802FF">
        <w:rPr>
          <w:rFonts w:ascii="Times New Roman" w:eastAsia="Times New Roman" w:hAnsi="Times New Roman"/>
          <w:sz w:val="24"/>
          <w:szCs w:val="24"/>
        </w:rPr>
        <w:t>Please provide data about the number of women charged with capital crimes, sentenced to death, under sentence of death, or executed in Kuwait since 2017, disaggregated by age, race, nationality, crime of conviction, date of conviction, relationship to the victim (if any), number and age of minor children (if any), status of any appeals or petitions for mercy, current sentence, and current location.</w:t>
      </w:r>
    </w:p>
    <w:p w14:paraId="3E7FF0E6" w14:textId="71D456D6" w:rsidR="00403AC9" w:rsidRPr="00D802FF" w:rsidRDefault="00403AC9" w:rsidP="00403AC9">
      <w:pPr>
        <w:pStyle w:val="ListParagraph"/>
        <w:numPr>
          <w:ilvl w:val="1"/>
          <w:numId w:val="17"/>
        </w:numPr>
        <w:spacing w:after="120" w:line="240" w:lineRule="auto"/>
        <w:jc w:val="both"/>
        <w:rPr>
          <w:rFonts w:ascii="Times New Roman" w:hAnsi="Times New Roman"/>
          <w:sz w:val="24"/>
          <w:szCs w:val="24"/>
        </w:rPr>
      </w:pPr>
      <w:r w:rsidRPr="00D802FF">
        <w:rPr>
          <w:rFonts w:ascii="Times New Roman" w:hAnsi="Times New Roman"/>
          <w:sz w:val="24"/>
          <w:szCs w:val="24"/>
        </w:rPr>
        <w:t xml:space="preserve">What standards do courts apply regarding the immediacy and intensity of the threat </w:t>
      </w:r>
      <w:proofErr w:type="gramStart"/>
      <w:r w:rsidRPr="00D802FF">
        <w:rPr>
          <w:rFonts w:ascii="Times New Roman" w:hAnsi="Times New Roman"/>
          <w:sz w:val="24"/>
          <w:szCs w:val="24"/>
        </w:rPr>
        <w:t>in order for</w:t>
      </w:r>
      <w:proofErr w:type="gramEnd"/>
      <w:r w:rsidRPr="00D802FF">
        <w:rPr>
          <w:rFonts w:ascii="Times New Roman" w:hAnsi="Times New Roman"/>
          <w:sz w:val="24"/>
          <w:szCs w:val="24"/>
        </w:rPr>
        <w:t xml:space="preserve"> a </w:t>
      </w:r>
      <w:r w:rsidRPr="00D802FF">
        <w:rPr>
          <w:rFonts w:ascii="Times New Roman" w:eastAsia="Times New Roman" w:hAnsi="Times New Roman"/>
          <w:sz w:val="24"/>
          <w:szCs w:val="24"/>
        </w:rPr>
        <w:t>defendant charged with murder to successfully plead self</w:t>
      </w:r>
      <w:r w:rsidR="00BF4F5F" w:rsidRPr="00D802FF">
        <w:rPr>
          <w:rFonts w:ascii="Times New Roman" w:eastAsia="Times New Roman" w:hAnsi="Times New Roman"/>
          <w:sz w:val="24"/>
          <w:szCs w:val="24"/>
        </w:rPr>
        <w:t>-</w:t>
      </w:r>
      <w:r w:rsidRPr="00D802FF">
        <w:rPr>
          <w:rFonts w:ascii="Times New Roman" w:eastAsia="Times New Roman" w:hAnsi="Times New Roman"/>
          <w:sz w:val="24"/>
          <w:szCs w:val="24"/>
        </w:rPr>
        <w:t>defense? Are those standards subjective (belief of the defendant at that point in time) or objective (belief of a reasonable person in similar circumstances)?</w:t>
      </w:r>
    </w:p>
    <w:p w14:paraId="4D497DB9" w14:textId="77777777" w:rsidR="00403AC9" w:rsidRPr="00D802FF" w:rsidRDefault="00403AC9" w:rsidP="00403AC9">
      <w:pPr>
        <w:pStyle w:val="ListParagraph"/>
        <w:numPr>
          <w:ilvl w:val="1"/>
          <w:numId w:val="17"/>
        </w:numPr>
        <w:spacing w:after="120" w:line="240" w:lineRule="auto"/>
        <w:jc w:val="both"/>
        <w:rPr>
          <w:rFonts w:ascii="Times New Roman" w:hAnsi="Times New Roman"/>
          <w:sz w:val="24"/>
          <w:szCs w:val="24"/>
        </w:rPr>
      </w:pPr>
      <w:r w:rsidRPr="00D802FF">
        <w:rPr>
          <w:rFonts w:ascii="Times New Roman" w:eastAsia="Times New Roman" w:hAnsi="Times New Roman"/>
          <w:sz w:val="24"/>
          <w:szCs w:val="24"/>
        </w:rPr>
        <w:t>To what extent do law enforcement, prosecutors, or defense counsel in capital cases receive training on gender sensitivity as it relates to criminal procedure and sentencing outcomes?</w:t>
      </w:r>
    </w:p>
    <w:p w14:paraId="1768F7B4" w14:textId="77777777" w:rsidR="00403AC9" w:rsidRPr="00D802FF" w:rsidRDefault="00403AC9" w:rsidP="00403AC9">
      <w:pPr>
        <w:pStyle w:val="ListParagraph"/>
        <w:numPr>
          <w:ilvl w:val="1"/>
          <w:numId w:val="17"/>
        </w:numPr>
        <w:spacing w:after="120" w:line="240" w:lineRule="auto"/>
        <w:jc w:val="both"/>
        <w:rPr>
          <w:rFonts w:ascii="Times New Roman" w:eastAsia="Times New Roman" w:hAnsi="Times New Roman"/>
          <w:sz w:val="24"/>
          <w:szCs w:val="24"/>
        </w:rPr>
      </w:pPr>
      <w:r w:rsidRPr="00D802FF">
        <w:rPr>
          <w:rFonts w:ascii="Times New Roman" w:eastAsia="Times New Roman" w:hAnsi="Times New Roman"/>
          <w:sz w:val="24"/>
          <w:szCs w:val="24"/>
        </w:rPr>
        <w:t xml:space="preserve">How do authorities ensure that all women accused of capital crimes have access to free and effective legal representation by attorneys who specialize in death penalty cases, </w:t>
      </w:r>
      <w:proofErr w:type="gramStart"/>
      <w:r w:rsidRPr="00D802FF">
        <w:rPr>
          <w:rFonts w:ascii="Times New Roman" w:eastAsia="Times New Roman" w:hAnsi="Times New Roman"/>
          <w:sz w:val="24"/>
          <w:szCs w:val="24"/>
        </w:rPr>
        <w:t>ensure access to counsel at all times</w:t>
      </w:r>
      <w:proofErr w:type="gramEnd"/>
      <w:r w:rsidRPr="00D802FF">
        <w:rPr>
          <w:rFonts w:ascii="Times New Roman" w:eastAsia="Times New Roman" w:hAnsi="Times New Roman"/>
          <w:sz w:val="24"/>
          <w:szCs w:val="24"/>
        </w:rPr>
        <w:t>, from the start of the investigation through any appeals, and ensure that the defense team has sufficient funding to conduct a thorough investigation and to secure relevant expert witnesses, particularly regarding gender-specific defenses?</w:t>
      </w:r>
    </w:p>
    <w:p w14:paraId="30F37189" w14:textId="1C8D9AD1" w:rsidR="00403AC9" w:rsidRPr="00D802FF" w:rsidRDefault="00403AC9" w:rsidP="00403AC9">
      <w:pPr>
        <w:pStyle w:val="ListParagraph"/>
        <w:numPr>
          <w:ilvl w:val="1"/>
          <w:numId w:val="17"/>
        </w:numPr>
        <w:spacing w:after="120" w:line="240" w:lineRule="auto"/>
        <w:jc w:val="both"/>
        <w:rPr>
          <w:rFonts w:ascii="Times New Roman" w:eastAsia="Times New Roman" w:hAnsi="Times New Roman"/>
          <w:sz w:val="24"/>
          <w:szCs w:val="24"/>
        </w:rPr>
      </w:pPr>
      <w:r w:rsidRPr="00D802FF">
        <w:rPr>
          <w:rFonts w:ascii="Times New Roman" w:hAnsi="Times New Roman"/>
          <w:sz w:val="24"/>
          <w:szCs w:val="24"/>
        </w:rPr>
        <w:t xml:space="preserve">What training does the </w:t>
      </w:r>
      <w:r w:rsidR="00BF4F5F" w:rsidRPr="00D802FF">
        <w:rPr>
          <w:rFonts w:ascii="Times New Roman" w:hAnsi="Times New Roman"/>
          <w:sz w:val="24"/>
          <w:szCs w:val="24"/>
        </w:rPr>
        <w:t>g</w:t>
      </w:r>
      <w:r w:rsidRPr="00D802FF">
        <w:rPr>
          <w:rFonts w:ascii="Times New Roman" w:hAnsi="Times New Roman"/>
          <w:sz w:val="24"/>
          <w:szCs w:val="24"/>
        </w:rPr>
        <w:t>overnment provide to defense counsel who take on capital cases regarding gender-specific</w:t>
      </w:r>
      <w:r w:rsidRPr="00D802FF">
        <w:rPr>
          <w:rFonts w:ascii="Times New Roman" w:eastAsia="Times New Roman" w:hAnsi="Times New Roman"/>
          <w:sz w:val="24"/>
          <w:szCs w:val="24"/>
        </w:rPr>
        <w:t xml:space="preserve"> mitigation and how to raise discrimination against clients </w:t>
      </w:r>
      <w:proofErr w:type="gramStart"/>
      <w:r w:rsidRPr="00D802FF">
        <w:rPr>
          <w:rFonts w:ascii="Times New Roman" w:eastAsia="Times New Roman" w:hAnsi="Times New Roman"/>
          <w:sz w:val="24"/>
          <w:szCs w:val="24"/>
        </w:rPr>
        <w:t>on the basis of</w:t>
      </w:r>
      <w:proofErr w:type="gramEnd"/>
      <w:r w:rsidRPr="00D802FF">
        <w:rPr>
          <w:rFonts w:ascii="Times New Roman" w:eastAsia="Times New Roman" w:hAnsi="Times New Roman"/>
          <w:sz w:val="24"/>
          <w:szCs w:val="24"/>
        </w:rPr>
        <w:t xml:space="preserve"> their gender, when appropriate?</w:t>
      </w:r>
    </w:p>
    <w:p w14:paraId="065750A4" w14:textId="6E6AC1FE" w:rsidR="00403AC9" w:rsidRPr="00D802FF" w:rsidRDefault="00403AC9" w:rsidP="00403AC9">
      <w:pPr>
        <w:pStyle w:val="ListParagraph"/>
        <w:numPr>
          <w:ilvl w:val="1"/>
          <w:numId w:val="17"/>
        </w:numPr>
        <w:spacing w:after="120" w:line="240" w:lineRule="auto"/>
        <w:jc w:val="both"/>
        <w:rPr>
          <w:rFonts w:ascii="Times New Roman" w:eastAsia="Times New Roman" w:hAnsi="Times New Roman"/>
          <w:sz w:val="24"/>
          <w:szCs w:val="24"/>
        </w:rPr>
      </w:pPr>
      <w:r w:rsidRPr="00D802FF">
        <w:rPr>
          <w:rFonts w:ascii="Times New Roman" w:eastAsia="Times New Roman" w:hAnsi="Times New Roman"/>
          <w:sz w:val="24"/>
          <w:szCs w:val="24"/>
        </w:rPr>
        <w:t xml:space="preserve">What steps, if any, has the State </w:t>
      </w:r>
      <w:r w:rsidR="00BF4F5F" w:rsidRPr="00D802FF">
        <w:rPr>
          <w:rFonts w:ascii="Times New Roman" w:eastAsia="Times New Roman" w:hAnsi="Times New Roman"/>
          <w:sz w:val="24"/>
          <w:szCs w:val="24"/>
        </w:rPr>
        <w:t>p</w:t>
      </w:r>
      <w:r w:rsidRPr="00D802FF">
        <w:rPr>
          <w:rFonts w:ascii="Times New Roman" w:eastAsia="Times New Roman" w:hAnsi="Times New Roman"/>
          <w:sz w:val="24"/>
          <w:szCs w:val="24"/>
        </w:rPr>
        <w:t>arty taken to codify gender-specific defenses and mitigation in capital cases, encompassing women’s experiences of trauma, poverty, and gender-based violence?</w:t>
      </w:r>
    </w:p>
    <w:p w14:paraId="5EBD5C13" w14:textId="77777777" w:rsidR="00403AC9" w:rsidRPr="00D802FF" w:rsidRDefault="00403AC9" w:rsidP="00403AC9">
      <w:pPr>
        <w:pStyle w:val="ListParagraph"/>
        <w:numPr>
          <w:ilvl w:val="1"/>
          <w:numId w:val="17"/>
        </w:numPr>
        <w:spacing w:after="120" w:line="240" w:lineRule="auto"/>
        <w:jc w:val="both"/>
        <w:rPr>
          <w:rFonts w:ascii="Times New Roman" w:hAnsi="Times New Roman"/>
          <w:sz w:val="24"/>
          <w:szCs w:val="24"/>
        </w:rPr>
      </w:pPr>
      <w:r w:rsidRPr="00D802FF">
        <w:rPr>
          <w:rFonts w:ascii="Times New Roman" w:eastAsia="Times New Roman" w:hAnsi="Times New Roman"/>
          <w:sz w:val="24"/>
          <w:szCs w:val="24"/>
        </w:rPr>
        <w:t>What measures has the government implemented to ensure that all judicial officers responsible for sentencing in capital cases receive comprehensive training on gender-based discrimination, domestic violence, and tactics of coercive control that may influence or prompt a woman to commit a death-eligible offense?</w:t>
      </w:r>
    </w:p>
    <w:p w14:paraId="6165DC75" w14:textId="77777777" w:rsidR="00403AC9" w:rsidRPr="00D802FF" w:rsidRDefault="00403AC9" w:rsidP="00403AC9">
      <w:pPr>
        <w:pStyle w:val="ListParagraph"/>
        <w:numPr>
          <w:ilvl w:val="1"/>
          <w:numId w:val="17"/>
        </w:numPr>
        <w:spacing w:after="120" w:line="240" w:lineRule="auto"/>
        <w:jc w:val="both"/>
        <w:rPr>
          <w:rFonts w:ascii="Times New Roman" w:eastAsia="Times New Roman" w:hAnsi="Times New Roman"/>
          <w:sz w:val="24"/>
          <w:szCs w:val="24"/>
        </w:rPr>
      </w:pPr>
      <w:r w:rsidRPr="00D802FF">
        <w:rPr>
          <w:rFonts w:ascii="Times New Roman" w:eastAsia="Times New Roman" w:hAnsi="Times New Roman"/>
          <w:sz w:val="24"/>
          <w:szCs w:val="24"/>
        </w:rPr>
        <w:t>How does the prison service ensure compliance with the Bangkok Rules?</w:t>
      </w:r>
    </w:p>
    <w:p w14:paraId="1BC760DA" w14:textId="77777777" w:rsidR="00403AC9" w:rsidRPr="00D802FF" w:rsidRDefault="00403AC9" w:rsidP="00403AC9">
      <w:pPr>
        <w:pStyle w:val="ListParagraph"/>
        <w:numPr>
          <w:ilvl w:val="1"/>
          <w:numId w:val="17"/>
        </w:numPr>
        <w:spacing w:after="120" w:line="240" w:lineRule="auto"/>
        <w:jc w:val="both"/>
        <w:rPr>
          <w:rFonts w:ascii="Times New Roman" w:eastAsia="Times New Roman" w:hAnsi="Times New Roman"/>
          <w:sz w:val="24"/>
          <w:szCs w:val="24"/>
        </w:rPr>
      </w:pPr>
      <w:r w:rsidRPr="00D802FF">
        <w:rPr>
          <w:rFonts w:ascii="Times New Roman" w:eastAsia="Times New Roman" w:hAnsi="Times New Roman"/>
          <w:sz w:val="24"/>
          <w:szCs w:val="24"/>
        </w:rPr>
        <w:t xml:space="preserve">What mechanisms are in place to ensure that women in police custody are free from coercion, sexual harassment, and gender-based violence, and how are perpetrators held accountable? </w:t>
      </w:r>
    </w:p>
    <w:p w14:paraId="4ADB57B2" w14:textId="77777777" w:rsidR="00403AC9" w:rsidRPr="00D802FF" w:rsidRDefault="00403AC9" w:rsidP="00403AC9">
      <w:pPr>
        <w:pStyle w:val="ListParagraph"/>
        <w:numPr>
          <w:ilvl w:val="1"/>
          <w:numId w:val="17"/>
        </w:numPr>
        <w:spacing w:after="120" w:line="240" w:lineRule="auto"/>
        <w:jc w:val="both"/>
        <w:rPr>
          <w:rFonts w:ascii="Times New Roman" w:eastAsia="Times New Roman" w:hAnsi="Times New Roman"/>
          <w:sz w:val="24"/>
          <w:szCs w:val="24"/>
        </w:rPr>
      </w:pPr>
      <w:r w:rsidRPr="00D802FF">
        <w:rPr>
          <w:rFonts w:ascii="Times New Roman" w:eastAsia="Times New Roman" w:hAnsi="Times New Roman"/>
          <w:sz w:val="24"/>
          <w:szCs w:val="24"/>
        </w:rPr>
        <w:t>What remedies are available to women who allege that they experienced gender-based violence while in police custody and/or during the investigation stage of criminal proceedings?</w:t>
      </w:r>
    </w:p>
    <w:p w14:paraId="5BC032F6" w14:textId="59F30B1F" w:rsidR="00403AC9" w:rsidRPr="00D802FF" w:rsidRDefault="00403AC9" w:rsidP="00403AC9">
      <w:pPr>
        <w:pStyle w:val="ListParagraph"/>
        <w:numPr>
          <w:ilvl w:val="1"/>
          <w:numId w:val="17"/>
        </w:numPr>
        <w:spacing w:after="120" w:line="240" w:lineRule="auto"/>
        <w:jc w:val="both"/>
        <w:rPr>
          <w:rFonts w:ascii="Times New Roman" w:eastAsia="Times New Roman" w:hAnsi="Times New Roman"/>
          <w:sz w:val="24"/>
          <w:szCs w:val="24"/>
        </w:rPr>
      </w:pPr>
      <w:r w:rsidRPr="00D802FF">
        <w:rPr>
          <w:rFonts w:ascii="Times New Roman" w:eastAsia="Times New Roman" w:hAnsi="Times New Roman"/>
          <w:sz w:val="24"/>
          <w:szCs w:val="24"/>
        </w:rPr>
        <w:t xml:space="preserve">What measures are in place to ensure that any woman charged with a capital crime fully understands the charges against her and </w:t>
      </w:r>
      <w:proofErr w:type="gramStart"/>
      <w:r w:rsidRPr="00D802FF">
        <w:rPr>
          <w:rFonts w:ascii="Times New Roman" w:eastAsia="Times New Roman" w:hAnsi="Times New Roman"/>
          <w:sz w:val="24"/>
          <w:szCs w:val="24"/>
        </w:rPr>
        <w:t>is able to</w:t>
      </w:r>
      <w:proofErr w:type="gramEnd"/>
      <w:r w:rsidRPr="00D802FF">
        <w:rPr>
          <w:rFonts w:ascii="Times New Roman" w:eastAsia="Times New Roman" w:hAnsi="Times New Roman"/>
          <w:sz w:val="24"/>
          <w:szCs w:val="24"/>
        </w:rPr>
        <w:t xml:space="preserve"> participate actively and meaningfully in preparing her defense? How does the criminal legal system </w:t>
      </w:r>
      <w:r w:rsidRPr="00D802FF">
        <w:rPr>
          <w:rFonts w:ascii="Times New Roman" w:eastAsia="Times New Roman" w:hAnsi="Times New Roman"/>
          <w:sz w:val="24"/>
          <w:szCs w:val="24"/>
        </w:rPr>
        <w:lastRenderedPageBreak/>
        <w:t xml:space="preserve">accommodate </w:t>
      </w:r>
      <w:r w:rsidR="00F772AC" w:rsidRPr="00D802FF">
        <w:rPr>
          <w:rFonts w:ascii="Times New Roman" w:eastAsia="Times New Roman" w:hAnsi="Times New Roman"/>
          <w:sz w:val="24"/>
          <w:szCs w:val="24"/>
        </w:rPr>
        <w:t xml:space="preserve">foreign nationals and other </w:t>
      </w:r>
      <w:r w:rsidRPr="00D802FF">
        <w:rPr>
          <w:rFonts w:ascii="Times New Roman" w:eastAsia="Times New Roman" w:hAnsi="Times New Roman"/>
          <w:sz w:val="24"/>
          <w:szCs w:val="24"/>
        </w:rPr>
        <w:t xml:space="preserve">female defendants who do not understand Arabic or women with psycho-social or intellectual disabilities? </w:t>
      </w:r>
    </w:p>
    <w:p w14:paraId="64E2AA83" w14:textId="77777777" w:rsidR="00403AC9" w:rsidRPr="00D802FF" w:rsidRDefault="00403AC9" w:rsidP="00403AC9">
      <w:pPr>
        <w:pStyle w:val="ListParagraph"/>
        <w:numPr>
          <w:ilvl w:val="1"/>
          <w:numId w:val="17"/>
        </w:numPr>
        <w:spacing w:after="120" w:line="240" w:lineRule="auto"/>
        <w:jc w:val="both"/>
        <w:rPr>
          <w:rFonts w:ascii="Times New Roman" w:eastAsia="Times New Roman" w:hAnsi="Times New Roman"/>
          <w:sz w:val="24"/>
          <w:szCs w:val="24"/>
        </w:rPr>
      </w:pPr>
      <w:r w:rsidRPr="00D802FF">
        <w:rPr>
          <w:rFonts w:ascii="Times New Roman" w:eastAsia="Times New Roman" w:hAnsi="Times New Roman"/>
          <w:sz w:val="24"/>
          <w:szCs w:val="24"/>
        </w:rPr>
        <w:t>How does the State Party ensure that judges, prosecutors, defense counsel, police, and other individuals in positions of power within the criminal legal system are knowledgeable about gender-based discrimination, domestic violence, and tactics of coercive control that may lead women to commit death-eligible offenses? Specifically, what training programs are available for judges and other actors within the criminal legal system?</w:t>
      </w:r>
    </w:p>
    <w:p w14:paraId="66B454BB" w14:textId="77777777" w:rsidR="00403AC9" w:rsidRPr="00D802FF" w:rsidRDefault="00403AC9" w:rsidP="00403AC9">
      <w:pPr>
        <w:pStyle w:val="ListParagraph"/>
        <w:numPr>
          <w:ilvl w:val="1"/>
          <w:numId w:val="17"/>
        </w:numPr>
        <w:spacing w:after="120" w:line="240" w:lineRule="auto"/>
        <w:jc w:val="both"/>
        <w:rPr>
          <w:rFonts w:ascii="Times New Roman" w:eastAsia="Times New Roman" w:hAnsi="Times New Roman"/>
          <w:sz w:val="24"/>
          <w:szCs w:val="24"/>
        </w:rPr>
      </w:pPr>
      <w:r w:rsidRPr="00D802FF">
        <w:rPr>
          <w:rFonts w:ascii="Times New Roman" w:eastAsia="Times New Roman" w:hAnsi="Times New Roman"/>
          <w:sz w:val="24"/>
          <w:szCs w:val="24"/>
        </w:rPr>
        <w:t>Do the women facing the death penalty have access to qualified legal counsel? Are adequate resources available?</w:t>
      </w:r>
    </w:p>
    <w:p w14:paraId="2F236E6A" w14:textId="77777777" w:rsidR="00403AC9" w:rsidRPr="00D802FF" w:rsidRDefault="00403AC9" w:rsidP="00403AC9">
      <w:pPr>
        <w:pStyle w:val="ListParagraph"/>
        <w:numPr>
          <w:ilvl w:val="1"/>
          <w:numId w:val="17"/>
        </w:numPr>
        <w:spacing w:after="120" w:line="240" w:lineRule="auto"/>
        <w:jc w:val="both"/>
        <w:rPr>
          <w:rFonts w:ascii="Times New Roman" w:eastAsia="Times New Roman" w:hAnsi="Times New Roman"/>
          <w:sz w:val="24"/>
          <w:szCs w:val="24"/>
        </w:rPr>
      </w:pPr>
      <w:r w:rsidRPr="00D802FF">
        <w:rPr>
          <w:rFonts w:ascii="Times New Roman" w:eastAsia="Times New Roman" w:hAnsi="Times New Roman"/>
          <w:sz w:val="24"/>
          <w:szCs w:val="24"/>
        </w:rPr>
        <w:t xml:space="preserve">What training is available to judges and other judicial officers presiding over criminal proceedings, particularly in capital cases, to educate them about the importance of considering gender-specific defenses and gender-specific mitigation in capital trials, including trauma, gender-based violence, economic pressures, and family caretaking responsibilities? </w:t>
      </w:r>
      <w:r w:rsidRPr="00D802FF">
        <w:rPr>
          <w:rFonts w:ascii="Times New Roman" w:eastAsia="Times New Roman" w:hAnsi="Times New Roman"/>
          <w:color w:val="000000" w:themeColor="text1"/>
          <w:sz w:val="24"/>
          <w:szCs w:val="24"/>
        </w:rPr>
        <w:t>What training is available for judges and other judicial officers presiding over criminal proceedings, particularly in capital cases, regarding gender-based discrimination, domestic violence, gender-based violence, and tactics of coercive control that can lead to women committing death-eligible offenses?</w:t>
      </w:r>
      <w:r w:rsidRPr="00D802FF">
        <w:rPr>
          <w:rFonts w:ascii="Times New Roman" w:eastAsia="Times New Roman" w:hAnsi="Times New Roman"/>
          <w:sz w:val="24"/>
          <w:szCs w:val="24"/>
        </w:rPr>
        <w:t xml:space="preserve"> Does the State Party provide funding for expert witnesses on these topics if they are relevant to a woman’s defense?</w:t>
      </w:r>
    </w:p>
    <w:p w14:paraId="7D4FA23C" w14:textId="365EDAE4" w:rsidR="00403AC9" w:rsidRPr="00D802FF" w:rsidRDefault="00403AC9" w:rsidP="00403AC9">
      <w:pPr>
        <w:pStyle w:val="ListParagraph"/>
        <w:numPr>
          <w:ilvl w:val="1"/>
          <w:numId w:val="17"/>
        </w:numPr>
        <w:spacing w:after="120" w:line="240" w:lineRule="auto"/>
        <w:jc w:val="both"/>
        <w:rPr>
          <w:rFonts w:ascii="Times New Roman" w:eastAsia="Times New Roman" w:hAnsi="Times New Roman"/>
          <w:sz w:val="24"/>
          <w:szCs w:val="24"/>
        </w:rPr>
      </w:pPr>
      <w:r w:rsidRPr="00D802FF">
        <w:rPr>
          <w:rFonts w:ascii="Times New Roman" w:eastAsia="Times New Roman" w:hAnsi="Times New Roman"/>
          <w:sz w:val="24"/>
          <w:szCs w:val="24"/>
        </w:rPr>
        <w:t>What measures are being taken to facilitate the employment of women in the judiciary</w:t>
      </w:r>
      <w:r w:rsidR="00B06B82" w:rsidRPr="00D802FF">
        <w:rPr>
          <w:rFonts w:ascii="Times New Roman" w:eastAsia="Times New Roman" w:hAnsi="Times New Roman"/>
          <w:sz w:val="24"/>
          <w:szCs w:val="24"/>
        </w:rPr>
        <w:t xml:space="preserve"> and in other government leadership roles</w:t>
      </w:r>
      <w:r w:rsidRPr="00D802FF">
        <w:rPr>
          <w:rFonts w:ascii="Times New Roman" w:eastAsia="Times New Roman" w:hAnsi="Times New Roman"/>
          <w:sz w:val="24"/>
          <w:szCs w:val="24"/>
        </w:rPr>
        <w:t xml:space="preserve">? </w:t>
      </w:r>
    </w:p>
    <w:p w14:paraId="730FCDCE" w14:textId="77777777" w:rsidR="00403AC9" w:rsidRPr="00D802FF" w:rsidRDefault="00403AC9" w:rsidP="00403AC9">
      <w:pPr>
        <w:pStyle w:val="ListParagraph"/>
        <w:numPr>
          <w:ilvl w:val="1"/>
          <w:numId w:val="17"/>
        </w:numPr>
        <w:spacing w:after="120" w:line="240" w:lineRule="auto"/>
        <w:jc w:val="both"/>
        <w:rPr>
          <w:rFonts w:ascii="Times New Roman" w:eastAsia="Times New Roman" w:hAnsi="Times New Roman"/>
          <w:sz w:val="24"/>
          <w:szCs w:val="24"/>
        </w:rPr>
      </w:pPr>
      <w:r w:rsidRPr="00D802FF">
        <w:rPr>
          <w:rFonts w:ascii="Times New Roman" w:eastAsia="Times New Roman" w:hAnsi="Times New Roman"/>
          <w:sz w:val="24"/>
          <w:szCs w:val="24"/>
        </w:rPr>
        <w:t>What policies are in place to ensure that women under sentence of death have timely and free access to general and female-specific healthcare and counseling, including psycho-social care and menstrual health (e.g., access to sanitary products, soap, etc.)?</w:t>
      </w:r>
    </w:p>
    <w:p w14:paraId="40575B56" w14:textId="77777777" w:rsidR="00403AC9" w:rsidRPr="00D802FF" w:rsidRDefault="00403AC9" w:rsidP="00403AC9">
      <w:pPr>
        <w:pStyle w:val="ListParagraph"/>
        <w:numPr>
          <w:ilvl w:val="1"/>
          <w:numId w:val="17"/>
        </w:numPr>
        <w:spacing w:after="120" w:line="240" w:lineRule="auto"/>
        <w:jc w:val="both"/>
        <w:rPr>
          <w:rFonts w:ascii="Times New Roman" w:eastAsia="Times New Roman" w:hAnsi="Times New Roman"/>
          <w:sz w:val="24"/>
          <w:szCs w:val="24"/>
        </w:rPr>
      </w:pPr>
      <w:r w:rsidRPr="00D802FF">
        <w:rPr>
          <w:rFonts w:ascii="Times New Roman" w:eastAsia="Times New Roman" w:hAnsi="Times New Roman"/>
          <w:sz w:val="24"/>
          <w:szCs w:val="24"/>
        </w:rPr>
        <w:t>To what extent does the criminal legal system accommodate the language needs of foreign nationals charged with capital offenses, including, for example, interpreters, reading materials in their first language, access to case documents in their first language, and the ability to make additional telephone calls with family members living in other countries?</w:t>
      </w:r>
    </w:p>
    <w:p w14:paraId="7257C3B0" w14:textId="77777777" w:rsidR="00403AC9" w:rsidRPr="00D802FF" w:rsidRDefault="00403AC9" w:rsidP="00403AC9">
      <w:pPr>
        <w:pStyle w:val="ListParagraph"/>
        <w:numPr>
          <w:ilvl w:val="1"/>
          <w:numId w:val="17"/>
        </w:numPr>
        <w:spacing w:after="120" w:line="240" w:lineRule="auto"/>
        <w:jc w:val="both"/>
        <w:rPr>
          <w:rFonts w:ascii="Times New Roman" w:hAnsi="Times New Roman"/>
          <w:sz w:val="24"/>
          <w:szCs w:val="24"/>
        </w:rPr>
      </w:pPr>
      <w:r w:rsidRPr="00D802FF">
        <w:rPr>
          <w:rFonts w:ascii="Times New Roman" w:eastAsia="Times New Roman" w:hAnsi="Times New Roman"/>
          <w:sz w:val="24"/>
          <w:szCs w:val="24"/>
        </w:rPr>
        <w:t>Please describe the procedures in place to ensure compliance with the Vienna Convention on Consular Relations when women are suspected of committing capital offenses.</w:t>
      </w:r>
    </w:p>
    <w:p w14:paraId="2BFB21C9" w14:textId="77777777" w:rsidR="00403AC9" w:rsidRPr="00D802FF" w:rsidRDefault="00403AC9" w:rsidP="00403AC9">
      <w:pPr>
        <w:pStyle w:val="ListParagraph"/>
        <w:numPr>
          <w:ilvl w:val="1"/>
          <w:numId w:val="17"/>
        </w:numPr>
        <w:spacing w:after="120" w:line="240" w:lineRule="auto"/>
        <w:jc w:val="both"/>
        <w:rPr>
          <w:rFonts w:ascii="Times New Roman" w:eastAsia="Times New Roman" w:hAnsi="Times New Roman"/>
          <w:sz w:val="24"/>
          <w:szCs w:val="24"/>
        </w:rPr>
      </w:pPr>
      <w:r w:rsidRPr="00D802FF">
        <w:rPr>
          <w:rFonts w:ascii="Times New Roman" w:eastAsia="Times New Roman" w:hAnsi="Times New Roman"/>
          <w:sz w:val="24"/>
          <w:szCs w:val="24"/>
        </w:rPr>
        <w:t xml:space="preserve">What efforts has the State Party undertaken to engage civil society in discussions around abolition of the death penalty and alternatives to the death penalty? </w:t>
      </w:r>
      <w:r w:rsidRPr="00D802FF">
        <w:rPr>
          <w:rFonts w:ascii="Times New Roman" w:hAnsi="Times New Roman"/>
          <w:sz w:val="24"/>
          <w:szCs w:val="24"/>
        </w:rPr>
        <w:t>Please describe any measures taken to eliminate intersecting forms of discrimination in the criminal legal system against women with disabilities, migrant and refugee women, women from disadvantaged socio-economic backgrounds, and women belonging to minority groups.</w:t>
      </w:r>
    </w:p>
    <w:p w14:paraId="3268C958" w14:textId="1372F6AB" w:rsidR="004118EA" w:rsidRPr="00D802FF" w:rsidRDefault="004118EA" w:rsidP="00711B11">
      <w:pPr>
        <w:ind w:left="1080"/>
        <w:jc w:val="both"/>
        <w:rPr>
          <w:sz w:val="24"/>
          <w:szCs w:val="24"/>
        </w:rPr>
      </w:pPr>
    </w:p>
    <w:sectPr w:rsidR="004118EA" w:rsidRPr="00D802FF">
      <w:headerReference w:type="default" r:id="rId11"/>
      <w:footerReference w:type="default" r:id="rId12"/>
      <w:headerReference w:type="first" r:id="rId13"/>
      <w:footerReference w:type="first" r:id="rId14"/>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B48A1" w14:textId="77777777" w:rsidR="006F42E7" w:rsidRDefault="006F42E7">
      <w:r>
        <w:separator/>
      </w:r>
    </w:p>
  </w:endnote>
  <w:endnote w:type="continuationSeparator" w:id="0">
    <w:p w14:paraId="07A998C0" w14:textId="77777777" w:rsidR="006F42E7" w:rsidRDefault="006F42E7">
      <w:r>
        <w:continuationSeparator/>
      </w:r>
    </w:p>
  </w:endnote>
  <w:endnote w:type="continuationNotice" w:id="1">
    <w:p w14:paraId="4354660B" w14:textId="77777777" w:rsidR="006F42E7" w:rsidRDefault="006F42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8C961" w14:textId="77777777" w:rsidR="004118EA" w:rsidRPr="008C261A" w:rsidRDefault="008C261A">
    <w:pPr>
      <w:pStyle w:val="Footer"/>
      <w:jc w:val="center"/>
      <w:rPr>
        <w:sz w:val="24"/>
        <w:szCs w:val="24"/>
      </w:rPr>
    </w:pPr>
    <w:r w:rsidRPr="008C261A">
      <w:rPr>
        <w:sz w:val="24"/>
        <w:szCs w:val="24"/>
      </w:rPr>
      <w:fldChar w:fldCharType="begin"/>
    </w:r>
    <w:r w:rsidRPr="008C261A">
      <w:rPr>
        <w:sz w:val="24"/>
        <w:szCs w:val="24"/>
      </w:rPr>
      <w:instrText xml:space="preserve"> PAGE   \* MERGEFORMAT </w:instrText>
    </w:r>
    <w:r w:rsidRPr="008C261A">
      <w:rPr>
        <w:sz w:val="24"/>
        <w:szCs w:val="24"/>
      </w:rPr>
      <w:fldChar w:fldCharType="separate"/>
    </w:r>
    <w:r w:rsidRPr="008C261A">
      <w:rPr>
        <w:noProof/>
        <w:sz w:val="24"/>
        <w:szCs w:val="24"/>
      </w:rPr>
      <w:t>9</w:t>
    </w:r>
    <w:r w:rsidRPr="008C261A">
      <w:rPr>
        <w:noProof/>
        <w:sz w:val="24"/>
        <w:szCs w:val="24"/>
      </w:rPr>
      <w:fldChar w:fldCharType="end"/>
    </w:r>
  </w:p>
  <w:p w14:paraId="3268C962" w14:textId="77777777" w:rsidR="004118EA" w:rsidRDefault="004118EA">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8C964" w14:textId="77777777" w:rsidR="004118EA" w:rsidRDefault="008C261A">
    <w:pPr>
      <w:widowControl w:val="0"/>
      <w:jc w:val="center"/>
      <w:rPr>
        <w:color w:val="333333"/>
        <w:lang w:val="en"/>
      </w:rPr>
    </w:pPr>
    <w:r>
      <w:rPr>
        <w:noProof/>
        <w:color w:val="800080"/>
      </w:rPr>
      <mc:AlternateContent>
        <mc:Choice Requires="wps">
          <w:drawing>
            <wp:anchor distT="0" distB="0" distL="114300" distR="114300" simplePos="0" relativeHeight="251658241" behindDoc="0" locked="0" layoutInCell="1" allowOverlap="1" wp14:anchorId="3268C969" wp14:editId="3268C96A">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FA0DDE" id="Line 20"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268C965" w14:textId="77777777" w:rsidR="004118EA" w:rsidRDefault="008C261A">
    <w:pPr>
      <w:widowControl w:val="0"/>
      <w:jc w:val="center"/>
      <w:rPr>
        <w:i/>
        <w:iCs/>
        <w:color w:val="542344"/>
        <w:lang w:val="en"/>
      </w:rPr>
    </w:pPr>
    <w:r>
      <w:rPr>
        <w:color w:val="333333"/>
        <w:lang w:val="en"/>
      </w:rPr>
      <w:t>The Advocates for Human Rights • 330 Second Avenue South • Suite 800 • Minneapolis, MN 55401 • USA</w:t>
    </w:r>
  </w:p>
  <w:p w14:paraId="3268C966" w14:textId="2207FD41" w:rsidR="004118EA" w:rsidRDefault="008C261A">
    <w:pPr>
      <w:widowControl w:val="0"/>
      <w:jc w:val="center"/>
      <w:rPr>
        <w:color w:val="333333"/>
        <w:lang w:val="en"/>
      </w:rPr>
    </w:pPr>
    <w:r>
      <w:rPr>
        <w:color w:val="333333"/>
        <w:lang w:val="en"/>
      </w:rPr>
      <w:t>Tel: 612-341-3302 • Fax:</w:t>
    </w:r>
    <w:r w:rsidR="004C41C6">
      <w:rPr>
        <w:color w:val="333333"/>
        <w:lang w:val="en"/>
      </w:rPr>
      <w:t xml:space="preserve"> </w:t>
    </w:r>
    <w:r>
      <w:rPr>
        <w:color w:val="333333"/>
        <w:lang w:val="en"/>
      </w:rPr>
      <w:t>612-341-2971 • Email: hrights@advrights.org • www.TheAdvocatesForHumanRights.org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42F1D" w14:textId="77777777" w:rsidR="006F42E7" w:rsidRDefault="006F42E7">
      <w:r>
        <w:separator/>
      </w:r>
    </w:p>
  </w:footnote>
  <w:footnote w:type="continuationSeparator" w:id="0">
    <w:p w14:paraId="3916D078" w14:textId="77777777" w:rsidR="006F42E7" w:rsidRDefault="006F42E7">
      <w:r>
        <w:continuationSeparator/>
      </w:r>
    </w:p>
  </w:footnote>
  <w:footnote w:type="continuationNotice" w:id="1">
    <w:p w14:paraId="6068A786" w14:textId="77777777" w:rsidR="006F42E7" w:rsidRDefault="006F42E7"/>
  </w:footnote>
  <w:footnote w:id="2">
    <w:p w14:paraId="3268C96D" w14:textId="18674FD7" w:rsidR="004118EA" w:rsidRPr="00D802FF" w:rsidRDefault="008C261A">
      <w:pPr>
        <w:pStyle w:val="FootnoteText"/>
      </w:pPr>
      <w:r w:rsidRPr="00D802FF">
        <w:rPr>
          <w:rStyle w:val="FootnoteReference"/>
        </w:rPr>
        <w:footnoteRef/>
      </w:r>
      <w:r w:rsidRPr="00D802FF">
        <w:t xml:space="preserve"> Amnesty International, </w:t>
      </w:r>
      <w:r w:rsidRPr="00D802FF">
        <w:rPr>
          <w:i/>
          <w:iCs/>
        </w:rPr>
        <w:t>Death Sentences and Executions 2018</w:t>
      </w:r>
      <w:r w:rsidRPr="00D802FF">
        <w:t xml:space="preserve"> (2019), </w:t>
      </w:r>
      <w:r w:rsidR="00D25862" w:rsidRPr="00D802FF">
        <w:t xml:space="preserve">12. Available online at: </w:t>
      </w:r>
      <w:r w:rsidRPr="00D802FF">
        <w:t>https://www.amnesty.org/download/Documents/ACT5098702019ENGLISH.PDF</w:t>
      </w:r>
      <w:r w:rsidR="00D25862" w:rsidRPr="00D802FF">
        <w:t>.</w:t>
      </w:r>
    </w:p>
  </w:footnote>
  <w:footnote w:id="3">
    <w:p w14:paraId="516C8393" w14:textId="4CB22102" w:rsidR="007912ED" w:rsidRPr="00D802FF" w:rsidRDefault="007912ED">
      <w:pPr>
        <w:pStyle w:val="FootnoteText"/>
      </w:pPr>
      <w:r w:rsidRPr="00D802FF">
        <w:rPr>
          <w:rStyle w:val="FootnoteReference"/>
        </w:rPr>
        <w:footnoteRef/>
      </w:r>
      <w:r w:rsidRPr="00D802FF">
        <w:t xml:space="preserve"> Amnesty International, </w:t>
      </w:r>
      <w:r w:rsidR="00B04FF0" w:rsidRPr="00D802FF">
        <w:rPr>
          <w:i/>
          <w:iCs/>
        </w:rPr>
        <w:t>Kuwait: Authorities must halt imminent execution of seven prisoners</w:t>
      </w:r>
      <w:r w:rsidR="00B04FF0" w:rsidRPr="00D802FF">
        <w:t xml:space="preserve"> </w:t>
      </w:r>
      <w:r w:rsidR="00D25862" w:rsidRPr="00D802FF">
        <w:t>(</w:t>
      </w:r>
      <w:r w:rsidR="00B04FF0" w:rsidRPr="00D802FF">
        <w:t>Nov</w:t>
      </w:r>
      <w:r w:rsidR="00D25862" w:rsidRPr="00D802FF">
        <w:t>.</w:t>
      </w:r>
      <w:r w:rsidR="00B04FF0" w:rsidRPr="00D802FF">
        <w:t xml:space="preserve"> 15, 2022</w:t>
      </w:r>
      <w:r w:rsidR="00D25862" w:rsidRPr="00D802FF">
        <w:t>)</w:t>
      </w:r>
      <w:r w:rsidR="00D67B22" w:rsidRPr="00D802FF">
        <w:t>, https://www.amnesty.org/en/latest/news/2022/11/kuwait-authorities-must-halt-imminent-execution-of-seven-prisoners/.</w:t>
      </w:r>
    </w:p>
  </w:footnote>
  <w:footnote w:id="4">
    <w:p w14:paraId="3268C96F" w14:textId="68A927C2" w:rsidR="004118EA" w:rsidRPr="00D802FF" w:rsidRDefault="008C261A">
      <w:pPr>
        <w:pStyle w:val="FootnoteText"/>
      </w:pPr>
      <w:r w:rsidRPr="00D802FF">
        <w:rPr>
          <w:rStyle w:val="FootnoteReference"/>
        </w:rPr>
        <w:footnoteRef/>
      </w:r>
      <w:r w:rsidRPr="00D802FF">
        <w:t xml:space="preserve"> </w:t>
      </w:r>
      <w:r w:rsidRPr="00D802FF">
        <w:rPr>
          <w:i/>
          <w:iCs/>
        </w:rPr>
        <w:t>Kuwait Hangs Seven People in First Executions Since 2017</w:t>
      </w:r>
      <w:r w:rsidRPr="00D802FF">
        <w:t>, Al Jazeera, (Nov. 16, 2022)</w:t>
      </w:r>
      <w:r w:rsidR="00D67B22" w:rsidRPr="00D802FF">
        <w:t>, https://www.aljazeera.com/news/2022/11/16/kuwait-executes-seven-people-despite-international-outcry.</w:t>
      </w:r>
    </w:p>
  </w:footnote>
  <w:footnote w:id="5">
    <w:p w14:paraId="5B55DF90" w14:textId="5A78C0C9" w:rsidR="00196517" w:rsidRPr="00D802FF" w:rsidRDefault="00196517">
      <w:pPr>
        <w:pStyle w:val="FootnoteText"/>
      </w:pPr>
      <w:r w:rsidRPr="00D802FF">
        <w:rPr>
          <w:rStyle w:val="FootnoteReference"/>
        </w:rPr>
        <w:footnoteRef/>
      </w:r>
      <w:r w:rsidRPr="00D802FF">
        <w:t xml:space="preserve"> </w:t>
      </w:r>
      <w:r w:rsidR="007908F3" w:rsidRPr="00D802FF">
        <w:t xml:space="preserve">Amnesty International, </w:t>
      </w:r>
      <w:r w:rsidR="007908F3" w:rsidRPr="00D802FF">
        <w:rPr>
          <w:i/>
          <w:iCs/>
        </w:rPr>
        <w:t>Kuwait: Authorities must halt imminent execution of seven prisoners</w:t>
      </w:r>
      <w:r w:rsidR="007908F3" w:rsidRPr="00D802FF">
        <w:t xml:space="preserve"> (Nov. 15, 2022), https://www.amnesty.org/en/latest/news/2022/11/kuwait-authorities-must-halt-imminent-execution-of-seven-prisoners/.</w:t>
      </w:r>
    </w:p>
  </w:footnote>
  <w:footnote w:id="6">
    <w:p w14:paraId="7415E445" w14:textId="6588CBBD" w:rsidR="00BA694B" w:rsidRPr="00D802FF" w:rsidRDefault="00BA694B">
      <w:pPr>
        <w:pStyle w:val="FootnoteText"/>
      </w:pPr>
      <w:r w:rsidRPr="00D802FF">
        <w:rPr>
          <w:rStyle w:val="FootnoteReference"/>
        </w:rPr>
        <w:footnoteRef/>
      </w:r>
      <w:r w:rsidRPr="00D802FF">
        <w:t xml:space="preserve"> </w:t>
      </w:r>
      <w:r w:rsidR="00D67B22" w:rsidRPr="00D802FF">
        <w:rPr>
          <w:i/>
          <w:iCs/>
        </w:rPr>
        <w:t>Kuwait prosecution oversees execution of 7 convicts,</w:t>
      </w:r>
      <w:r w:rsidR="00D67B22" w:rsidRPr="00D802FF">
        <w:t xml:space="preserve"> Kuwait News Agency (Nov. 16, 2022), https://www.kuna.net.kw/ArticleDetails.aspx?id=3069030&amp;Language=en</w:t>
      </w:r>
      <w:r w:rsidR="00213E61" w:rsidRPr="00D802FF">
        <w:t>.</w:t>
      </w:r>
    </w:p>
  </w:footnote>
  <w:footnote w:id="7">
    <w:p w14:paraId="6D8D2D88" w14:textId="4F75FB56" w:rsidR="00C73B84" w:rsidRPr="00D802FF" w:rsidRDefault="00C73B84">
      <w:pPr>
        <w:pStyle w:val="FootnoteText"/>
      </w:pPr>
      <w:r w:rsidRPr="00D802FF">
        <w:rPr>
          <w:rStyle w:val="FootnoteReference"/>
        </w:rPr>
        <w:footnoteRef/>
      </w:r>
      <w:r w:rsidRPr="00D802FF">
        <w:t xml:space="preserve"> </w:t>
      </w:r>
      <w:r w:rsidR="00CE53FD" w:rsidRPr="00D802FF">
        <w:t xml:space="preserve">Amnesty International, </w:t>
      </w:r>
      <w:r w:rsidR="00CE53FD" w:rsidRPr="00D802FF">
        <w:rPr>
          <w:i/>
          <w:iCs/>
        </w:rPr>
        <w:t>Kuwait: First Executions in 4 Year</w:t>
      </w:r>
      <w:r w:rsidR="00CE53FD" w:rsidRPr="00D802FF">
        <w:t>s</w:t>
      </w:r>
      <w:r w:rsidR="00D25862" w:rsidRPr="00D802FF">
        <w:t xml:space="preserve"> (</w:t>
      </w:r>
      <w:r w:rsidR="00CE53FD" w:rsidRPr="00D802FF">
        <w:t>Jan</w:t>
      </w:r>
      <w:r w:rsidR="00D25862" w:rsidRPr="00D802FF">
        <w:t>.</w:t>
      </w:r>
      <w:r w:rsidR="00CE53FD" w:rsidRPr="00D802FF">
        <w:t xml:space="preserve"> 26, 2017</w:t>
      </w:r>
      <w:r w:rsidR="00D25862" w:rsidRPr="00D802FF">
        <w:t xml:space="preserve">), https://www.hrw.org/news/2017/01/26/kuwait-first-executions-4-years. </w:t>
      </w:r>
    </w:p>
  </w:footnote>
  <w:footnote w:id="8">
    <w:p w14:paraId="33E88B33" w14:textId="6C2FDBCD" w:rsidR="005F16A7" w:rsidRPr="00D802FF" w:rsidRDefault="005F16A7" w:rsidP="005F16A7">
      <w:pPr>
        <w:rPr>
          <w:color w:val="auto"/>
          <w:kern w:val="0"/>
        </w:rPr>
      </w:pPr>
      <w:r w:rsidRPr="00D802FF">
        <w:rPr>
          <w:rStyle w:val="FootnoteReference"/>
        </w:rPr>
        <w:footnoteRef/>
      </w:r>
      <w:r w:rsidRPr="00D802FF">
        <w:t xml:space="preserve"> </w:t>
      </w:r>
      <w:r w:rsidR="007908F3" w:rsidRPr="00D802FF">
        <w:t xml:space="preserve">U.S. State Department, </w:t>
      </w:r>
      <w:r w:rsidR="007908F3" w:rsidRPr="00D802FF">
        <w:rPr>
          <w:i/>
          <w:iCs/>
        </w:rPr>
        <w:t>2021 Country</w:t>
      </w:r>
      <w:r w:rsidR="007908F3" w:rsidRPr="00D802FF">
        <w:rPr>
          <w:i/>
        </w:rPr>
        <w:t xml:space="preserve"> Reports on Human Rights Practices: Kuwait. </w:t>
      </w:r>
      <w:r w:rsidR="007908F3" w:rsidRPr="00D802FF">
        <w:t xml:space="preserve">Available online at: https://www.state.gov/wp-content/uploads/2022/03/313615_KUWAIT-2021-HUMAN-RIGHTS-REPORT.pdf. </w:t>
      </w:r>
    </w:p>
  </w:footnote>
  <w:footnote w:id="9">
    <w:p w14:paraId="7B30F4AC" w14:textId="665E6E7D" w:rsidR="005F16A7" w:rsidRPr="00D802FF" w:rsidRDefault="005F16A7" w:rsidP="005F16A7">
      <w:pPr>
        <w:pStyle w:val="FootnoteText"/>
      </w:pPr>
      <w:r w:rsidRPr="00D802FF">
        <w:rPr>
          <w:rStyle w:val="FootnoteReference"/>
        </w:rPr>
        <w:footnoteRef/>
      </w:r>
      <w:r w:rsidRPr="00D802FF">
        <w:t xml:space="preserve"> </w:t>
      </w:r>
      <w:r w:rsidR="007908F3" w:rsidRPr="00D802FF">
        <w:t>World Coalition Against the Death Penalty and The Advocates for Human Rights</w:t>
      </w:r>
      <w:r w:rsidR="007908F3" w:rsidRPr="00D802FF">
        <w:rPr>
          <w:i/>
          <w:iCs/>
        </w:rPr>
        <w:t xml:space="preserve">, </w:t>
      </w:r>
      <w:r w:rsidRPr="00D802FF">
        <w:rPr>
          <w:i/>
          <w:iCs/>
        </w:rPr>
        <w:t>Detailed Fact Sheet, Women Sentenced to Death: An Invisible Reality</w:t>
      </w:r>
      <w:r w:rsidRPr="00D802FF">
        <w:t xml:space="preserve">, (Oct. 10, 2021). </w:t>
      </w:r>
    </w:p>
  </w:footnote>
  <w:footnote w:id="10">
    <w:p w14:paraId="20275FD3" w14:textId="4FC194FD" w:rsidR="005F16A7" w:rsidRPr="00D802FF" w:rsidRDefault="005F16A7" w:rsidP="005F16A7">
      <w:pPr>
        <w:pStyle w:val="FootnoteText"/>
      </w:pPr>
      <w:r w:rsidRPr="00D802FF">
        <w:rPr>
          <w:rStyle w:val="FootnoteReference"/>
        </w:rPr>
        <w:footnoteRef/>
      </w:r>
      <w:r w:rsidRPr="00D802FF">
        <w:t xml:space="preserve"> </w:t>
      </w:r>
      <w:r w:rsidR="007908F3" w:rsidRPr="00D802FF">
        <w:t xml:space="preserve">World Coalition Against the Death Penalty and The Advocates for Human Rights, </w:t>
      </w:r>
      <w:r w:rsidRPr="00D802FF">
        <w:rPr>
          <w:i/>
          <w:iCs/>
        </w:rPr>
        <w:t xml:space="preserve">Detailed Fact Sheet, Women Sentenced to Death: An Invisible Reality, </w:t>
      </w:r>
      <w:r w:rsidRPr="00D802FF">
        <w:t>(Oct. 10, 2021).</w:t>
      </w:r>
    </w:p>
  </w:footnote>
  <w:footnote w:id="11">
    <w:p w14:paraId="18C15CE8" w14:textId="507D971C" w:rsidR="00D92CF3" w:rsidRPr="00D802FF" w:rsidRDefault="00D92CF3" w:rsidP="00D92CF3">
      <w:pPr>
        <w:pStyle w:val="FootnoteText"/>
      </w:pPr>
      <w:r w:rsidRPr="00D802FF">
        <w:rPr>
          <w:rStyle w:val="FootnoteReference"/>
        </w:rPr>
        <w:footnoteRef/>
      </w:r>
      <w:r w:rsidRPr="00D802FF">
        <w:t xml:space="preserve"> Cornell Center on the Death Penalty Worldwide, </w:t>
      </w:r>
      <w:r w:rsidRPr="00D802FF">
        <w:rPr>
          <w:i/>
          <w:iCs/>
        </w:rPr>
        <w:t>Judged for More Than Her Crime: A Global Overview of Women Facing the Death Penalty</w:t>
      </w:r>
      <w:r w:rsidR="00D67B22" w:rsidRPr="00D802FF">
        <w:t xml:space="preserve"> (</w:t>
      </w:r>
      <w:r w:rsidRPr="00D802FF">
        <w:t xml:space="preserve">Sept. </w:t>
      </w:r>
      <w:r w:rsidR="00D67B22" w:rsidRPr="00D802FF">
        <w:t xml:space="preserve">4, </w:t>
      </w:r>
      <w:r w:rsidRPr="00D802FF">
        <w:t>2018</w:t>
      </w:r>
      <w:r w:rsidR="00D67B22" w:rsidRPr="00D802FF">
        <w:t>)</w:t>
      </w:r>
      <w:r w:rsidRPr="00D802FF">
        <w:t xml:space="preserve">. Available online at https://www.deathpenaltyworldwide.org/wp-content/uploads/2019/12/Judged-More-Than-Her-Crime.pdf. </w:t>
      </w:r>
    </w:p>
  </w:footnote>
  <w:footnote w:id="12">
    <w:p w14:paraId="4D15E75A" w14:textId="0C3FAE37" w:rsidR="00D92CF3" w:rsidRPr="00D802FF" w:rsidRDefault="00D92CF3" w:rsidP="00D92CF3">
      <w:pPr>
        <w:pStyle w:val="FootnoteText"/>
      </w:pPr>
      <w:r w:rsidRPr="00D802FF">
        <w:rPr>
          <w:rStyle w:val="FootnoteReference"/>
        </w:rPr>
        <w:footnoteRef/>
      </w:r>
      <w:r w:rsidRPr="00D802FF">
        <w:t xml:space="preserve"> Cornell Center on the Death Penalty Worldwide, </w:t>
      </w:r>
      <w:r w:rsidRPr="00D802FF">
        <w:rPr>
          <w:i/>
          <w:iCs/>
        </w:rPr>
        <w:t>“No One Believed Me”: A Global Overview of Women Facing the Death Penalty for Drug Offenses</w:t>
      </w:r>
      <w:r w:rsidR="00D25862" w:rsidRPr="00D802FF">
        <w:t xml:space="preserve"> (</w:t>
      </w:r>
      <w:r w:rsidRPr="00D802FF">
        <w:t xml:space="preserve">Sept. </w:t>
      </w:r>
      <w:r w:rsidR="00D25862" w:rsidRPr="00D802FF">
        <w:t xml:space="preserve">6, </w:t>
      </w:r>
      <w:r w:rsidRPr="00D802FF">
        <w:t>2021</w:t>
      </w:r>
      <w:r w:rsidR="00D25862" w:rsidRPr="00D802FF">
        <w:t>).</w:t>
      </w:r>
      <w:r w:rsidRPr="00D802FF">
        <w:t xml:space="preserve"> Available online at</w:t>
      </w:r>
      <w:r w:rsidR="00D25862" w:rsidRPr="00D802FF">
        <w:t>:</w:t>
      </w:r>
      <w:r w:rsidRPr="00D802FF">
        <w:t xml:space="preserve"> https://deathpenaltyworldwide.org/publication/no-one-believed-me-a-global-overview-of-women-facing-the-death-penalty-for-drug-offenses/.</w:t>
      </w:r>
    </w:p>
  </w:footnote>
  <w:footnote w:id="13">
    <w:p w14:paraId="5C5954F0" w14:textId="77777777" w:rsidR="00D92CF3" w:rsidRPr="00D802FF" w:rsidRDefault="00D92CF3" w:rsidP="00D92CF3">
      <w:pPr>
        <w:pStyle w:val="FootnoteText"/>
      </w:pPr>
      <w:r w:rsidRPr="00D802FF">
        <w:rPr>
          <w:rStyle w:val="FootnoteReference"/>
        </w:rPr>
        <w:footnoteRef/>
      </w:r>
      <w:r w:rsidRPr="00D802FF">
        <w:t xml:space="preserve"> </w:t>
      </w:r>
      <w:r w:rsidRPr="00D802FF">
        <w:rPr>
          <w:i/>
          <w:iCs/>
        </w:rPr>
        <w:t>Id.</w:t>
      </w:r>
      <w:r w:rsidRPr="00D802FF">
        <w:t xml:space="preserve"> at 11. </w:t>
      </w:r>
    </w:p>
  </w:footnote>
  <w:footnote w:id="14">
    <w:p w14:paraId="6A1C74F2" w14:textId="2357E112" w:rsidR="00D92CF3" w:rsidRPr="00D802FF" w:rsidRDefault="00D92CF3" w:rsidP="00D92CF3">
      <w:pPr>
        <w:pStyle w:val="NormalWeb"/>
        <w:spacing w:before="0" w:beforeAutospacing="0" w:after="0" w:afterAutospacing="0"/>
        <w:rPr>
          <w:sz w:val="20"/>
          <w:szCs w:val="20"/>
          <w:lang w:eastAsia="zh-CN"/>
        </w:rPr>
      </w:pPr>
      <w:r w:rsidRPr="00D802FF">
        <w:rPr>
          <w:rStyle w:val="FootnoteReference"/>
          <w:sz w:val="20"/>
          <w:szCs w:val="20"/>
        </w:rPr>
        <w:footnoteRef/>
      </w:r>
      <w:r w:rsidRPr="00D802FF">
        <w:rPr>
          <w:i/>
          <w:iCs/>
          <w:sz w:val="20"/>
          <w:szCs w:val="20"/>
        </w:rPr>
        <w:t xml:space="preserve"> </w:t>
      </w:r>
      <w:r w:rsidR="00D67B22" w:rsidRPr="00D802FF">
        <w:rPr>
          <w:sz w:val="20"/>
          <w:szCs w:val="20"/>
        </w:rPr>
        <w:t xml:space="preserve">Cornell Center on the Death Penalty Worldwide, </w:t>
      </w:r>
      <w:r w:rsidRPr="00D802FF">
        <w:rPr>
          <w:i/>
          <w:iCs/>
          <w:sz w:val="20"/>
          <w:szCs w:val="20"/>
        </w:rPr>
        <w:t>Judged for More Than Her Crime: A Global Overview of Women Facing the Death Penalty</w:t>
      </w:r>
      <w:r w:rsidR="00D67B22" w:rsidRPr="00D802FF">
        <w:rPr>
          <w:sz w:val="20"/>
          <w:szCs w:val="20"/>
        </w:rPr>
        <w:t xml:space="preserve"> </w:t>
      </w:r>
      <w:r w:rsidR="00D25862" w:rsidRPr="00D802FF">
        <w:rPr>
          <w:sz w:val="20"/>
          <w:szCs w:val="20"/>
        </w:rPr>
        <w:t>(</w:t>
      </w:r>
      <w:r w:rsidRPr="00D802FF">
        <w:rPr>
          <w:sz w:val="20"/>
          <w:szCs w:val="20"/>
        </w:rPr>
        <w:t>Sept. 2018</w:t>
      </w:r>
      <w:r w:rsidR="00D25862" w:rsidRPr="00D802FF">
        <w:rPr>
          <w:sz w:val="20"/>
          <w:szCs w:val="20"/>
        </w:rPr>
        <w:t>),</w:t>
      </w:r>
      <w:r w:rsidRPr="00D802FF">
        <w:rPr>
          <w:sz w:val="20"/>
          <w:szCs w:val="20"/>
        </w:rPr>
        <w:t xml:space="preserve"> 4</w:t>
      </w:r>
      <w:r w:rsidR="00D25862" w:rsidRPr="00D802FF">
        <w:rPr>
          <w:sz w:val="20"/>
          <w:szCs w:val="20"/>
        </w:rPr>
        <w:t>. Available online at:</w:t>
      </w:r>
      <w:r w:rsidRPr="00D802FF">
        <w:rPr>
          <w:sz w:val="20"/>
          <w:szCs w:val="20"/>
        </w:rPr>
        <w:t xml:space="preserve"> https://www.deathpenaltyworldwide.org/wp- content/uploads/2019/12/Judged-More-Than-Her-Crime.pdf. </w:t>
      </w:r>
    </w:p>
  </w:footnote>
  <w:footnote w:id="15">
    <w:p w14:paraId="60BF481F" w14:textId="7D623080" w:rsidR="00D92CF3" w:rsidRPr="00D802FF" w:rsidRDefault="00D92CF3" w:rsidP="00D92CF3">
      <w:pPr>
        <w:pStyle w:val="NormalWeb"/>
        <w:spacing w:before="0" w:beforeAutospacing="0" w:after="0" w:afterAutospacing="0"/>
        <w:rPr>
          <w:sz w:val="20"/>
          <w:szCs w:val="20"/>
          <w:lang w:eastAsia="zh-CN"/>
        </w:rPr>
      </w:pPr>
      <w:r w:rsidRPr="00D802FF">
        <w:rPr>
          <w:rStyle w:val="FootnoteReference"/>
          <w:sz w:val="20"/>
          <w:szCs w:val="20"/>
        </w:rPr>
        <w:footnoteRef/>
      </w:r>
      <w:r w:rsidRPr="00D802FF">
        <w:rPr>
          <w:sz w:val="20"/>
          <w:szCs w:val="20"/>
        </w:rPr>
        <w:t xml:space="preserve"> </w:t>
      </w:r>
      <w:r w:rsidR="00D25862" w:rsidRPr="00D802FF">
        <w:rPr>
          <w:i/>
          <w:iCs/>
          <w:sz w:val="20"/>
          <w:szCs w:val="20"/>
        </w:rPr>
        <w:t>Id</w:t>
      </w:r>
      <w:r w:rsidRPr="00D802FF">
        <w:rPr>
          <w:i/>
          <w:iCs/>
          <w:sz w:val="20"/>
          <w:szCs w:val="20"/>
        </w:rPr>
        <w:t>.</w:t>
      </w:r>
      <w:r w:rsidRPr="00D802FF">
        <w:rPr>
          <w:sz w:val="20"/>
          <w:szCs w:val="20"/>
        </w:rPr>
        <w:t xml:space="preserve"> </w:t>
      </w:r>
    </w:p>
  </w:footnote>
  <w:footnote w:id="16">
    <w:p w14:paraId="253EAFCB" w14:textId="41ADC350" w:rsidR="00D92CF3" w:rsidRPr="00D802FF" w:rsidRDefault="00D92CF3" w:rsidP="00D92CF3">
      <w:pPr>
        <w:pStyle w:val="FootnoteText"/>
      </w:pPr>
      <w:r w:rsidRPr="00D802FF">
        <w:rPr>
          <w:rStyle w:val="FootnoteReference"/>
        </w:rPr>
        <w:footnoteRef/>
      </w:r>
      <w:r w:rsidRPr="00D802FF">
        <w:t xml:space="preserve"> Cornell Center on the Death Penalty Worldwide, </w:t>
      </w:r>
      <w:r w:rsidRPr="00D802FF">
        <w:rPr>
          <w:i/>
          <w:iCs/>
        </w:rPr>
        <w:t>“No One Believed Me”: A Global Overview of Women Facing the Death Penalty for Drug Offenses</w:t>
      </w:r>
      <w:r w:rsidR="00D25862" w:rsidRPr="00D802FF">
        <w:t xml:space="preserve"> (Sept. 20120), </w:t>
      </w:r>
      <w:r w:rsidRPr="00D802FF">
        <w:t>6</w:t>
      </w:r>
      <w:r w:rsidR="00D25862" w:rsidRPr="00D802FF">
        <w:t>.</w:t>
      </w:r>
      <w:r w:rsidRPr="00D802FF">
        <w:t xml:space="preserve"> Available online </w:t>
      </w:r>
      <w:proofErr w:type="gramStart"/>
      <w:r w:rsidRPr="00D802FF">
        <w:t>at</w:t>
      </w:r>
      <w:r w:rsidR="00D25862" w:rsidRPr="00D802FF">
        <w:t>:</w:t>
      </w:r>
      <w:r w:rsidRPr="00D802FF">
        <w:t>https://deathpenaltyworldwide.org/publication/no-one-believed-me-a-global-overview-of-women-facing-the-death-penalty-for-drug-offenses/</w:t>
      </w:r>
      <w:proofErr w:type="gramEnd"/>
      <w:r w:rsidRPr="00D802FF">
        <w:t>.</w:t>
      </w:r>
    </w:p>
  </w:footnote>
  <w:footnote w:id="17">
    <w:p w14:paraId="47F4A14F" w14:textId="7C5551F4" w:rsidR="00DF2977" w:rsidRPr="00D802FF" w:rsidRDefault="00DF2977" w:rsidP="00DF2977">
      <w:pPr>
        <w:pStyle w:val="FootnoteText"/>
      </w:pPr>
      <w:r w:rsidRPr="00D802FF">
        <w:rPr>
          <w:rStyle w:val="FootnoteReference"/>
        </w:rPr>
        <w:footnoteRef/>
      </w:r>
      <w:r w:rsidRPr="00D802FF">
        <w:t xml:space="preserve"> Cornell Center on the Death Penalty Worldwide, </w:t>
      </w:r>
      <w:r w:rsidRPr="00D802FF">
        <w:rPr>
          <w:i/>
          <w:iCs/>
        </w:rPr>
        <w:t>“No One Believed Me”: A Global Overview of Women Facing the Death Penalty for Drug Offenses</w:t>
      </w:r>
      <w:r w:rsidR="00D25862" w:rsidRPr="00D802FF">
        <w:t xml:space="preserve"> (</w:t>
      </w:r>
      <w:r w:rsidRPr="00D802FF">
        <w:t xml:space="preserve">Sept. </w:t>
      </w:r>
      <w:r w:rsidR="00D25862" w:rsidRPr="00D802FF">
        <w:t xml:space="preserve">6, </w:t>
      </w:r>
      <w:r w:rsidRPr="00D802FF">
        <w:t>2021</w:t>
      </w:r>
      <w:r w:rsidR="00D25862" w:rsidRPr="00D802FF">
        <w:t>).</w:t>
      </w:r>
      <w:r w:rsidRPr="00D802FF">
        <w:t xml:space="preserve"> Available online at</w:t>
      </w:r>
      <w:r w:rsidR="00D25862" w:rsidRPr="00D802FF">
        <w:t>:</w:t>
      </w:r>
      <w:r w:rsidRPr="00D802FF">
        <w:t xml:space="preserve"> https://deathpenaltyworldwide.org/publication/no-one-believed-me-a-global-overview-of-women-facing-the-death-penalty-for-drug-offenses/. </w:t>
      </w:r>
    </w:p>
  </w:footnote>
  <w:footnote w:id="18">
    <w:p w14:paraId="0EDD3170" w14:textId="4E81345B" w:rsidR="00DF2977" w:rsidRPr="00D802FF" w:rsidRDefault="00DF2977" w:rsidP="00DF2977">
      <w:pPr>
        <w:pStyle w:val="NormalWeb"/>
        <w:spacing w:before="0" w:beforeAutospacing="0" w:after="0" w:afterAutospacing="0"/>
        <w:rPr>
          <w:sz w:val="20"/>
          <w:szCs w:val="20"/>
          <w:lang w:eastAsia="zh-CN"/>
        </w:rPr>
      </w:pPr>
      <w:r w:rsidRPr="00D802FF">
        <w:rPr>
          <w:rStyle w:val="FootnoteReference"/>
          <w:sz w:val="20"/>
          <w:szCs w:val="20"/>
        </w:rPr>
        <w:footnoteRef/>
      </w:r>
      <w:r w:rsidRPr="00D802FF">
        <w:rPr>
          <w:sz w:val="20"/>
          <w:szCs w:val="20"/>
        </w:rPr>
        <w:t xml:space="preserve"> </w:t>
      </w:r>
      <w:r w:rsidR="00D67B22" w:rsidRPr="00D802FF">
        <w:rPr>
          <w:sz w:val="20"/>
          <w:szCs w:val="20"/>
        </w:rPr>
        <w:t xml:space="preserve">Cornell Center on the Death Penalty Worldwide, </w:t>
      </w:r>
      <w:r w:rsidRPr="00D802FF">
        <w:rPr>
          <w:i/>
          <w:iCs/>
          <w:sz w:val="20"/>
          <w:szCs w:val="20"/>
        </w:rPr>
        <w:t>Judged for More Than Her Crime: A Global Overview of Women Facing the Death Penalty</w:t>
      </w:r>
      <w:r w:rsidR="00D67B22" w:rsidRPr="00D802FF">
        <w:rPr>
          <w:sz w:val="20"/>
          <w:szCs w:val="20"/>
        </w:rPr>
        <w:t xml:space="preserve"> (</w:t>
      </w:r>
      <w:r w:rsidRPr="00D802FF">
        <w:rPr>
          <w:sz w:val="20"/>
          <w:szCs w:val="20"/>
        </w:rPr>
        <w:t>Sept. 2018</w:t>
      </w:r>
      <w:r w:rsidR="00D67B22" w:rsidRPr="00D802FF">
        <w:rPr>
          <w:sz w:val="20"/>
          <w:szCs w:val="20"/>
        </w:rPr>
        <w:t>),</w:t>
      </w:r>
      <w:r w:rsidRPr="00D802FF">
        <w:rPr>
          <w:sz w:val="20"/>
          <w:szCs w:val="20"/>
        </w:rPr>
        <w:t xml:space="preserve"> 4</w:t>
      </w:r>
      <w:r w:rsidR="00D67B22" w:rsidRPr="00D802FF">
        <w:rPr>
          <w:sz w:val="20"/>
          <w:szCs w:val="20"/>
        </w:rPr>
        <w:t xml:space="preserve">. Available online at: </w:t>
      </w:r>
      <w:r w:rsidRPr="00D802FF">
        <w:rPr>
          <w:sz w:val="20"/>
          <w:szCs w:val="20"/>
        </w:rPr>
        <w:t xml:space="preserve">https://www.deathpenaltyworldwide.org/wp- content/uploads/2019/12/Judged-More-Than-Her-Crime.pdf. </w:t>
      </w:r>
    </w:p>
  </w:footnote>
  <w:footnote w:id="19">
    <w:p w14:paraId="1AA03546" w14:textId="750A7092" w:rsidR="00C35D1A" w:rsidRPr="00D802FF" w:rsidRDefault="00C35D1A" w:rsidP="00C35D1A">
      <w:pPr>
        <w:pStyle w:val="FootnoteText"/>
      </w:pPr>
      <w:r w:rsidRPr="00D802FF">
        <w:rPr>
          <w:rStyle w:val="FootnoteReference"/>
        </w:rPr>
        <w:footnoteRef/>
      </w:r>
      <w:r w:rsidRPr="00D802FF">
        <w:t xml:space="preserve"> Emma Milne </w:t>
      </w:r>
      <w:r w:rsidR="00D67B22" w:rsidRPr="00D802FF">
        <w:t xml:space="preserve">&amp; </w:t>
      </w:r>
      <w:r w:rsidRPr="00D802FF">
        <w:t xml:space="preserve">Jackie Turton, </w:t>
      </w:r>
      <w:r w:rsidRPr="00D802FF">
        <w:rPr>
          <w:i/>
          <w:iCs/>
        </w:rPr>
        <w:t>Understanding Violent Women</w:t>
      </w:r>
      <w:r w:rsidR="00D67B22" w:rsidRPr="00D802FF">
        <w:t xml:space="preserve">, </w:t>
      </w:r>
      <w:r w:rsidR="00D67B22" w:rsidRPr="00D802FF">
        <w:rPr>
          <w:i/>
          <w:iCs/>
        </w:rPr>
        <w:t xml:space="preserve">in </w:t>
      </w:r>
      <w:r w:rsidRPr="00D802FF">
        <w:rPr>
          <w:smallCaps/>
        </w:rPr>
        <w:t>Women and the Criminal Justice System: Falling Victim and Offenders?</w:t>
      </w:r>
      <w:r w:rsidRPr="00D802FF">
        <w:t xml:space="preserve"> </w:t>
      </w:r>
      <w:r w:rsidR="00D67B22" w:rsidRPr="00D802FF">
        <w:t xml:space="preserve">119, </w:t>
      </w:r>
      <w:r w:rsidRPr="00D802FF">
        <w:t>124-25</w:t>
      </w:r>
      <w:r w:rsidR="00D67B22" w:rsidRPr="00D802FF">
        <w:t xml:space="preserve"> (Palgrave Macmillan, 2018).</w:t>
      </w:r>
    </w:p>
  </w:footnote>
  <w:footnote w:id="20">
    <w:p w14:paraId="0F287907" w14:textId="1D5D7B0B" w:rsidR="00C35D1A" w:rsidRPr="00D802FF" w:rsidRDefault="00C35D1A" w:rsidP="00C35D1A">
      <w:pPr>
        <w:pStyle w:val="FootnoteText"/>
        <w:rPr>
          <w:color w:val="000000" w:themeColor="text1"/>
        </w:rPr>
      </w:pPr>
      <w:r w:rsidRPr="00D802FF">
        <w:rPr>
          <w:rStyle w:val="FootnoteReference"/>
        </w:rPr>
        <w:footnoteRef/>
      </w:r>
      <w:r w:rsidRPr="00D802FF">
        <w:t xml:space="preserve"> </w:t>
      </w:r>
      <w:r w:rsidR="00D67B22" w:rsidRPr="00D802FF">
        <w:t>OHCHR</w:t>
      </w:r>
      <w:r w:rsidRPr="00D802FF">
        <w:rPr>
          <w:color w:val="000000" w:themeColor="text1"/>
        </w:rPr>
        <w:t xml:space="preserve">, </w:t>
      </w:r>
      <w:r w:rsidRPr="00D802FF">
        <w:rPr>
          <w:i/>
          <w:iCs/>
          <w:color w:val="000000" w:themeColor="text1"/>
        </w:rPr>
        <w:t>Death penalty disproportionately affects the poor, U.N. rights experts warn</w:t>
      </w:r>
      <w:r w:rsidR="00D67B22" w:rsidRPr="00D802FF">
        <w:rPr>
          <w:color w:val="000000" w:themeColor="text1"/>
        </w:rPr>
        <w:t xml:space="preserve"> (Oct. 10, 2017), http://www.ohchr.org/EN/NewsEvents/Pages/DisplayNews.aspx?NewsID=22208&amp;LangID=E.</w:t>
      </w:r>
      <w:r w:rsidR="004C41C6" w:rsidRPr="00D802FF">
        <w:rPr>
          <w:color w:val="000000" w:themeColor="text1"/>
        </w:rPr>
        <w:t xml:space="preserve"> </w:t>
      </w:r>
    </w:p>
  </w:footnote>
  <w:footnote w:id="21">
    <w:p w14:paraId="1EB7B6AB" w14:textId="2BEBC06A" w:rsidR="00C35D1A" w:rsidRPr="00D802FF" w:rsidRDefault="00C35D1A" w:rsidP="00C35D1A">
      <w:pPr>
        <w:pStyle w:val="FootnoteText"/>
        <w:rPr>
          <w:color w:val="000000" w:themeColor="text1"/>
        </w:rPr>
      </w:pPr>
      <w:r w:rsidRPr="00D802FF">
        <w:rPr>
          <w:rStyle w:val="FootnoteReference"/>
          <w:color w:val="000000" w:themeColor="text1"/>
        </w:rPr>
        <w:footnoteRef/>
      </w:r>
      <w:r w:rsidRPr="00D802FF">
        <w:rPr>
          <w:color w:val="000000" w:themeColor="text1"/>
        </w:rPr>
        <w:t xml:space="preserve"> U.N. Office of the High Commissioner for Human Rights, </w:t>
      </w:r>
      <w:r w:rsidRPr="00D802FF">
        <w:rPr>
          <w:i/>
          <w:iCs/>
          <w:color w:val="000000" w:themeColor="text1"/>
        </w:rPr>
        <w:t>Death penalty disproportionately affects the poor, U.N. rights experts warn</w:t>
      </w:r>
      <w:r w:rsidR="00D67B22" w:rsidRPr="00D802FF">
        <w:rPr>
          <w:color w:val="000000" w:themeColor="text1"/>
        </w:rPr>
        <w:t xml:space="preserve"> (Oct. 10, 2017), http://www.ohchr.org/EN/NewsEvents/Pages/DisplayNews.aspx?NewsID=22208&amp;LangID=E.</w:t>
      </w:r>
      <w:r w:rsidR="004C41C6" w:rsidRPr="00D802FF">
        <w:rPr>
          <w:color w:val="000000" w:themeColor="text1"/>
        </w:rPr>
        <w:t xml:space="preserve"> </w:t>
      </w:r>
    </w:p>
  </w:footnote>
  <w:footnote w:id="22">
    <w:p w14:paraId="2BE2730D" w14:textId="5ABA9C25" w:rsidR="0072305B" w:rsidRPr="00D802FF" w:rsidRDefault="0072305B">
      <w:pPr>
        <w:pStyle w:val="FootnoteText"/>
      </w:pPr>
      <w:r w:rsidRPr="00D802FF">
        <w:rPr>
          <w:rStyle w:val="FootnoteReference"/>
        </w:rPr>
        <w:footnoteRef/>
      </w:r>
      <w:r w:rsidRPr="00D802FF">
        <w:t xml:space="preserve"> Committee on the Elimination of Discrimination against Women, </w:t>
      </w:r>
      <w:r w:rsidRPr="00D802FF">
        <w:rPr>
          <w:i/>
        </w:rPr>
        <w:t xml:space="preserve">Concluding observations on the fifth periodic report of Kuwait </w:t>
      </w:r>
      <w:r w:rsidRPr="00D802FF">
        <w:t>(Nov. 22, 2017), U.N. Doc. CEDAW/C/KWT/CO/5, ¶ 37</w:t>
      </w:r>
      <w:r w:rsidR="00BD78F3" w:rsidRPr="00D802FF">
        <w:t>(d), (f).</w:t>
      </w:r>
    </w:p>
  </w:footnote>
  <w:footnote w:id="23">
    <w:p w14:paraId="1B43091C" w14:textId="03E190E4" w:rsidR="00AC0CD1" w:rsidRPr="00D802FF" w:rsidRDefault="00AC0CD1">
      <w:pPr>
        <w:pStyle w:val="FootnoteText"/>
      </w:pPr>
      <w:r w:rsidRPr="00D802FF">
        <w:rPr>
          <w:rStyle w:val="FootnoteReference"/>
        </w:rPr>
        <w:footnoteRef/>
      </w:r>
      <w:r w:rsidRPr="00D802FF">
        <w:t xml:space="preserve"> </w:t>
      </w:r>
      <w:r w:rsidR="003C4952" w:rsidRPr="00D802FF">
        <w:t xml:space="preserve">United Nations Committee on the Elimination of Discrimination against Women, </w:t>
      </w:r>
      <w:proofErr w:type="gramStart"/>
      <w:r w:rsidR="003C4952" w:rsidRPr="00D802FF">
        <w:rPr>
          <w:i/>
        </w:rPr>
        <w:t>Sixth</w:t>
      </w:r>
      <w:proofErr w:type="gramEnd"/>
      <w:r w:rsidR="003C4952" w:rsidRPr="00D802FF">
        <w:rPr>
          <w:i/>
        </w:rPr>
        <w:t xml:space="preserve"> periodic report submitted by Kuwait under article 18 of the Convention, due in 2021 </w:t>
      </w:r>
      <w:r w:rsidR="003C4952" w:rsidRPr="00D802FF">
        <w:t>(Dec. 29, 2021), U.N. Doc. CEDAW/C/KWT/6, ¶</w:t>
      </w:r>
      <w:r w:rsidR="003C4952" w:rsidRPr="00D802FF">
        <w:rPr>
          <w:lang w:val="en-GB"/>
        </w:rPr>
        <w:t> 103.</w:t>
      </w:r>
    </w:p>
  </w:footnote>
  <w:footnote w:id="24">
    <w:p w14:paraId="613AD755" w14:textId="105BA317" w:rsidR="001E3F9A" w:rsidRPr="00D802FF" w:rsidRDefault="001E3F9A" w:rsidP="001E3F9A">
      <w:pPr>
        <w:pStyle w:val="FootnoteText"/>
      </w:pPr>
      <w:r w:rsidRPr="00D802FF">
        <w:rPr>
          <w:rStyle w:val="FootnoteReference"/>
        </w:rPr>
        <w:footnoteRef/>
      </w:r>
      <w:r w:rsidRPr="00D802FF">
        <w:t xml:space="preserve"> United Nations Committee on the Elimination of Discrimination against Women, </w:t>
      </w:r>
      <w:proofErr w:type="gramStart"/>
      <w:r w:rsidRPr="00D802FF">
        <w:rPr>
          <w:i/>
        </w:rPr>
        <w:t>Sixth</w:t>
      </w:r>
      <w:proofErr w:type="gramEnd"/>
      <w:r w:rsidRPr="00D802FF">
        <w:rPr>
          <w:i/>
        </w:rPr>
        <w:t xml:space="preserve"> periodic report submitted by Kuwait under article 18 of the Convention, due in 2021 </w:t>
      </w:r>
      <w:r w:rsidRPr="00D802FF">
        <w:t>(Dec. 29, 2021), U.N. Doc. CEDAW/C/KWT/6, ¶</w:t>
      </w:r>
      <w:r w:rsidRPr="00D802FF">
        <w:rPr>
          <w:lang w:val="en-GB"/>
        </w:rPr>
        <w:t> 104(e).</w:t>
      </w:r>
    </w:p>
  </w:footnote>
  <w:footnote w:id="25">
    <w:p w14:paraId="2F66F938" w14:textId="13298E1D" w:rsidR="0083215C" w:rsidRPr="00D802FF" w:rsidRDefault="0083215C" w:rsidP="0083215C">
      <w:pPr>
        <w:pStyle w:val="FootnoteText"/>
      </w:pPr>
      <w:r w:rsidRPr="00D802FF">
        <w:rPr>
          <w:rStyle w:val="FootnoteReference"/>
        </w:rPr>
        <w:footnoteRef/>
      </w:r>
      <w:r w:rsidRPr="00D802FF">
        <w:t xml:space="preserve"> United Nations Committee on the Elimination of Discrimination against Women, </w:t>
      </w:r>
      <w:proofErr w:type="gramStart"/>
      <w:r w:rsidRPr="00D802FF">
        <w:rPr>
          <w:i/>
        </w:rPr>
        <w:t>Sixth</w:t>
      </w:r>
      <w:proofErr w:type="gramEnd"/>
      <w:r w:rsidRPr="00D802FF">
        <w:rPr>
          <w:i/>
        </w:rPr>
        <w:t xml:space="preserve"> periodic report submitted by Kuwait under article 18 of the Convention, due in 2021 </w:t>
      </w:r>
      <w:r w:rsidRPr="00D802FF">
        <w:t>(Dec. 29, 2021), U.N. Doc. CEDAW/C/KWT/6, ¶</w:t>
      </w:r>
      <w:r w:rsidRPr="00D802FF">
        <w:rPr>
          <w:lang w:val="en-GB"/>
        </w:rPr>
        <w:t> 10</w:t>
      </w:r>
      <w:r w:rsidR="0034465E" w:rsidRPr="00D802FF">
        <w:rPr>
          <w:lang w:val="en-GB"/>
        </w:rPr>
        <w:t>4(f)</w:t>
      </w:r>
      <w:r w:rsidRPr="00D802FF">
        <w:rPr>
          <w:lang w:val="en-GB"/>
        </w:rPr>
        <w:t>.</w:t>
      </w:r>
    </w:p>
  </w:footnote>
  <w:footnote w:id="26">
    <w:p w14:paraId="2A8296A2" w14:textId="77777777" w:rsidR="00B2686A" w:rsidRPr="00D802FF" w:rsidRDefault="00B2686A" w:rsidP="00B2686A">
      <w:pPr>
        <w:pStyle w:val="FootnoteText"/>
      </w:pPr>
      <w:r w:rsidRPr="00D802FF">
        <w:rPr>
          <w:rStyle w:val="FootnoteReference"/>
        </w:rPr>
        <w:footnoteRef/>
      </w:r>
      <w:r w:rsidRPr="00D802FF">
        <w:t xml:space="preserve"> United Nations Committee on the Elimination of Discrimination against Women, </w:t>
      </w:r>
      <w:r w:rsidRPr="00D802FF">
        <w:rPr>
          <w:i/>
        </w:rPr>
        <w:t xml:space="preserve">Sixth periodic report submitted by Kuwait under article 18 of the Convention, due in 2021 </w:t>
      </w:r>
      <w:r w:rsidRPr="00D802FF">
        <w:t>(Dec. 29, 2021), U.N. Doc. CEDAW/C/KWT/</w:t>
      </w:r>
      <w:proofErr w:type="gramStart"/>
      <w:r w:rsidRPr="00D802FF">
        <w:t>6,¶</w:t>
      </w:r>
      <w:proofErr w:type="gramEnd"/>
      <w:r w:rsidRPr="00D802FF">
        <w:t>103</w:t>
      </w:r>
      <w:r w:rsidRPr="00D802FF">
        <w:rPr>
          <w:lang w:val="en-GB"/>
        </w:rPr>
        <w:t>.</w:t>
      </w:r>
    </w:p>
  </w:footnote>
  <w:footnote w:id="27">
    <w:p w14:paraId="13A4E8B9" w14:textId="032B6E21" w:rsidR="00F31C2A" w:rsidRPr="00D802FF" w:rsidRDefault="00F31C2A">
      <w:pPr>
        <w:pStyle w:val="FootnoteText"/>
        <w:rPr>
          <w:i/>
          <w:iCs/>
        </w:rPr>
      </w:pPr>
      <w:r w:rsidRPr="00D802FF">
        <w:rPr>
          <w:rStyle w:val="FootnoteReference"/>
        </w:rPr>
        <w:footnoteRef/>
      </w:r>
      <w:r w:rsidRPr="00D802FF">
        <w:t xml:space="preserve"> Human Rights Watch, </w:t>
      </w:r>
      <w:r w:rsidRPr="00D802FF">
        <w:rPr>
          <w:i/>
          <w:iCs/>
        </w:rPr>
        <w:t>Kuwait: Events 2022</w:t>
      </w:r>
      <w:r w:rsidR="00D67B22" w:rsidRPr="00D802FF">
        <w:t xml:space="preserve"> (accessed Jan. </w:t>
      </w:r>
      <w:r w:rsidR="002A2E98" w:rsidRPr="00D802FF">
        <w:t>25</w:t>
      </w:r>
      <w:r w:rsidR="00D67B22" w:rsidRPr="00D802FF">
        <w:t xml:space="preserve">, </w:t>
      </w:r>
      <w:r w:rsidR="002A2E98" w:rsidRPr="00D802FF">
        <w:t>2022</w:t>
      </w:r>
      <w:r w:rsidR="00D67B22" w:rsidRPr="00D802FF">
        <w:t>)</w:t>
      </w:r>
      <w:r w:rsidR="002A2E98" w:rsidRPr="00D802FF">
        <w:t xml:space="preserve">, </w:t>
      </w:r>
      <w:r w:rsidR="00D67B22" w:rsidRPr="00D802FF">
        <w:t xml:space="preserve">https://www.hrw.org/world-report/2023/country-chapters/kuwait. </w:t>
      </w:r>
    </w:p>
  </w:footnote>
  <w:footnote w:id="28">
    <w:p w14:paraId="3030C167" w14:textId="6B7EFE59" w:rsidR="004729E7" w:rsidRPr="00D802FF" w:rsidRDefault="004729E7" w:rsidP="004729E7">
      <w:pPr>
        <w:pStyle w:val="FootnoteText"/>
      </w:pPr>
      <w:r w:rsidRPr="00D802FF">
        <w:rPr>
          <w:rStyle w:val="FootnoteReference"/>
        </w:rPr>
        <w:footnoteRef/>
      </w:r>
      <w:r w:rsidRPr="00D802FF">
        <w:t xml:space="preserve"> Human Rights Watch, </w:t>
      </w:r>
      <w:r w:rsidR="00D67B22" w:rsidRPr="00D802FF">
        <w:rPr>
          <w:i/>
          <w:iCs/>
        </w:rPr>
        <w:t xml:space="preserve">Slow Reform: </w:t>
      </w:r>
      <w:r w:rsidRPr="00D802FF">
        <w:rPr>
          <w:i/>
          <w:iCs/>
        </w:rPr>
        <w:t>Protection of Migrant Domestic Workers in Asia and the Middle East</w:t>
      </w:r>
      <w:r w:rsidRPr="00D802FF">
        <w:t>, (Ap</w:t>
      </w:r>
      <w:r w:rsidR="00D25862" w:rsidRPr="00D802FF">
        <w:t>r.</w:t>
      </w:r>
      <w:r w:rsidRPr="00D802FF">
        <w:t xml:space="preserve"> 27</w:t>
      </w:r>
      <w:r w:rsidR="00D25862" w:rsidRPr="00D802FF">
        <w:t>,</w:t>
      </w:r>
      <w:r w:rsidRPr="00D802FF">
        <w:t xml:space="preserve"> 2010)</w:t>
      </w:r>
      <w:r w:rsidR="00D67B22" w:rsidRPr="00D802FF">
        <w:t xml:space="preserve">, https://www.hrw.org/report/2010/04/27/slow-reform/protection-migrant-domestic-workers-asia-and-middle-east. </w:t>
      </w:r>
    </w:p>
  </w:footnote>
  <w:footnote w:id="29">
    <w:p w14:paraId="059ADB94" w14:textId="6AD603BB" w:rsidR="00E967F7" w:rsidRPr="00D802FF" w:rsidRDefault="00E967F7" w:rsidP="00E967F7">
      <w:pPr>
        <w:pStyle w:val="FootnoteText"/>
      </w:pPr>
      <w:r w:rsidRPr="00D802FF">
        <w:rPr>
          <w:rStyle w:val="FootnoteReference"/>
        </w:rPr>
        <w:footnoteRef/>
      </w:r>
      <w:r w:rsidRPr="00D802FF">
        <w:t xml:space="preserve"> Cornell Center on the Death Penalty Worldwide, </w:t>
      </w:r>
      <w:r w:rsidRPr="00D802FF">
        <w:rPr>
          <w:i/>
          <w:iCs/>
        </w:rPr>
        <w:t>Judged for More Than Her Crime: A Global Overview of Women Facing the Death Penalty</w:t>
      </w:r>
      <w:r w:rsidR="00D25862" w:rsidRPr="00D802FF">
        <w:t xml:space="preserve"> (</w:t>
      </w:r>
      <w:r w:rsidRPr="00D802FF">
        <w:t>Sept. 2018</w:t>
      </w:r>
      <w:r w:rsidR="00D25862" w:rsidRPr="00D802FF">
        <w:t>)</w:t>
      </w:r>
      <w:r w:rsidR="00D67B22" w:rsidRPr="00D802FF">
        <w:t>,</w:t>
      </w:r>
      <w:r w:rsidRPr="00D802FF">
        <w:t xml:space="preserve"> 17-18</w:t>
      </w:r>
      <w:r w:rsidR="00D67B22" w:rsidRPr="00D802FF">
        <w:t>. A</w:t>
      </w:r>
      <w:r w:rsidRPr="00D802FF">
        <w:t xml:space="preserve">vailable </w:t>
      </w:r>
      <w:r w:rsidR="00D67B22" w:rsidRPr="00D802FF">
        <w:t xml:space="preserve">online </w:t>
      </w:r>
      <w:r w:rsidRPr="00D802FF">
        <w:t>at</w:t>
      </w:r>
      <w:r w:rsidR="00D67B22" w:rsidRPr="00D802FF">
        <w:t xml:space="preserve">: </w:t>
      </w:r>
      <w:r w:rsidRPr="00D802FF">
        <w:t>https://www.deathpenaltyworldwide.org/wp-content/uploads/2019/12/Judged-More-Than-Her-Crime.pdf.</w:t>
      </w:r>
    </w:p>
  </w:footnote>
  <w:footnote w:id="30">
    <w:p w14:paraId="20E679AF" w14:textId="0E5D8069" w:rsidR="00E967F7" w:rsidRPr="00D802FF" w:rsidRDefault="00E967F7" w:rsidP="00E967F7">
      <w:pPr>
        <w:pStyle w:val="FootnoteText"/>
      </w:pPr>
      <w:r w:rsidRPr="00D802FF">
        <w:rPr>
          <w:rStyle w:val="FootnoteReference"/>
        </w:rPr>
        <w:footnoteRef/>
      </w:r>
      <w:r w:rsidRPr="00D802FF">
        <w:t xml:space="preserve"> Cornell Center on the Death Penalty Worldwide, </w:t>
      </w:r>
      <w:r w:rsidRPr="00D802FF">
        <w:rPr>
          <w:i/>
          <w:iCs/>
        </w:rPr>
        <w:t>Judged for More Than Her Crime: A Global Overview of Women Facing the Death Penalty</w:t>
      </w:r>
      <w:r w:rsidR="00D25862" w:rsidRPr="00D802FF">
        <w:t xml:space="preserve"> (</w:t>
      </w:r>
      <w:r w:rsidRPr="00D802FF">
        <w:t>Sept. 2018</w:t>
      </w:r>
      <w:r w:rsidR="00D25862" w:rsidRPr="00D802FF">
        <w:t>),</w:t>
      </w:r>
      <w:r w:rsidRPr="00D802FF">
        <w:t xml:space="preserve"> 28</w:t>
      </w:r>
      <w:r w:rsidR="00D25862" w:rsidRPr="00D802FF">
        <w:t>.</w:t>
      </w:r>
      <w:r w:rsidRPr="00D802FF">
        <w:t xml:space="preserve"> </w:t>
      </w:r>
      <w:r w:rsidR="00D25862" w:rsidRPr="00D802FF">
        <w:t>A</w:t>
      </w:r>
      <w:r w:rsidRPr="00D802FF">
        <w:t>vailable at</w:t>
      </w:r>
      <w:r w:rsidR="00D25862" w:rsidRPr="00D802FF">
        <w:t>:</w:t>
      </w:r>
      <w:r w:rsidRPr="00D802FF">
        <w:t xml:space="preserve"> https://www.deathpenaltyworldwide.org/wp-content/uploads/2019/12/Judged-More-Than-Her-Crime.pdf</w:t>
      </w:r>
      <w:r w:rsidR="00D25862" w:rsidRPr="00D802FF">
        <w:t>.</w:t>
      </w:r>
    </w:p>
  </w:footnote>
  <w:footnote w:id="31">
    <w:p w14:paraId="4132FC24" w14:textId="7A2A6BF5" w:rsidR="00C61E1F" w:rsidRPr="00D802FF" w:rsidRDefault="00C61E1F" w:rsidP="00C61E1F">
      <w:pPr>
        <w:pStyle w:val="FootnoteText"/>
      </w:pPr>
      <w:r w:rsidRPr="00D802FF">
        <w:rPr>
          <w:rStyle w:val="FootnoteReference"/>
        </w:rPr>
        <w:footnoteRef/>
      </w:r>
      <w:r w:rsidRPr="00D802FF">
        <w:t xml:space="preserve"> Cornell Center on the Death Penalty Worldwide, </w:t>
      </w:r>
      <w:r w:rsidRPr="00D802FF">
        <w:rPr>
          <w:i/>
          <w:iCs/>
        </w:rPr>
        <w:t>“No One Believed Me”: A Global Overview of Women Facing the Death Penalty for Drug Offenses</w:t>
      </w:r>
      <w:r w:rsidR="00D25862" w:rsidRPr="00D802FF">
        <w:t xml:space="preserve"> </w:t>
      </w:r>
      <w:r w:rsidRPr="00D802FF">
        <w:t xml:space="preserve">(Sept. 2021), </w:t>
      </w:r>
      <w:r w:rsidR="00D25862" w:rsidRPr="00D802FF">
        <w:t xml:space="preserve">5. Available online at: </w:t>
      </w:r>
      <w:r w:rsidRPr="00D802FF">
        <w:t>http://fileserver.idpc.net/library/No-One-Believed-Me.pdf</w:t>
      </w:r>
      <w:r w:rsidR="00853B51" w:rsidRPr="00D802FF">
        <w:t>.</w:t>
      </w:r>
    </w:p>
  </w:footnote>
  <w:footnote w:id="32">
    <w:p w14:paraId="5BFFB7BC" w14:textId="6FCED33C" w:rsidR="00C61E1F" w:rsidRPr="00D802FF" w:rsidRDefault="00C61E1F" w:rsidP="00C61E1F">
      <w:pPr>
        <w:pStyle w:val="FootnoteText"/>
      </w:pPr>
      <w:r w:rsidRPr="00D802FF">
        <w:rPr>
          <w:rStyle w:val="FootnoteReference"/>
        </w:rPr>
        <w:footnoteRef/>
      </w:r>
      <w:r w:rsidRPr="00D802FF">
        <w:t xml:space="preserve"> Cornell Center on the Death Penalty Worldwide, </w:t>
      </w:r>
      <w:r w:rsidRPr="00D802FF">
        <w:rPr>
          <w:i/>
          <w:iCs/>
        </w:rPr>
        <w:t>“No One Believed Me”: A Global Overview of Women Facing the Death Penalty for Drug Offenses</w:t>
      </w:r>
      <w:r w:rsidR="00D25862" w:rsidRPr="00D802FF">
        <w:t xml:space="preserve"> </w:t>
      </w:r>
      <w:r w:rsidRPr="00D802FF">
        <w:t xml:space="preserve">(Sept. 2021), </w:t>
      </w:r>
      <w:r w:rsidR="00D25862" w:rsidRPr="00D802FF">
        <w:t xml:space="preserve">5. Available online at: </w:t>
      </w:r>
      <w:r w:rsidRPr="00D802FF">
        <w:t>http://fileserver.idpc.net/library/No-One-Believed-Me.pdf</w:t>
      </w:r>
      <w:r w:rsidR="00853B51" w:rsidRPr="00D802FF">
        <w:t>.</w:t>
      </w:r>
    </w:p>
  </w:footnote>
  <w:footnote w:id="33">
    <w:p w14:paraId="7C388C26" w14:textId="1372A7AD" w:rsidR="00C61E1F" w:rsidRPr="00D802FF" w:rsidRDefault="00C61E1F" w:rsidP="00C61E1F">
      <w:pPr>
        <w:pStyle w:val="FootnoteText"/>
      </w:pPr>
      <w:r w:rsidRPr="00D802FF">
        <w:rPr>
          <w:rStyle w:val="FootnoteReference"/>
        </w:rPr>
        <w:footnoteRef/>
      </w:r>
      <w:r w:rsidRPr="00D802FF">
        <w:t xml:space="preserve"> Cornell Center on the Death Penalty Worldwide, </w:t>
      </w:r>
      <w:r w:rsidRPr="00D802FF">
        <w:rPr>
          <w:i/>
          <w:iCs/>
        </w:rPr>
        <w:t>“No One Believed Me”: A Global Overview of Women Facing the Death Penalty for Drug Offenses</w:t>
      </w:r>
      <w:r w:rsidRPr="00D802FF">
        <w:t xml:space="preserve"> (Sept. 2021)</w:t>
      </w:r>
      <w:r w:rsidR="00D25862" w:rsidRPr="00D802FF">
        <w:t>, 5. Available online at:</w:t>
      </w:r>
      <w:r w:rsidRPr="00D802FF">
        <w:t xml:space="preserve"> http://fileserver.idpc.net/library/No-One-Believed-Me.pdf</w:t>
      </w:r>
      <w:r w:rsidR="00853B51" w:rsidRPr="00D802FF">
        <w:t>.</w:t>
      </w:r>
    </w:p>
  </w:footnote>
  <w:footnote w:id="34">
    <w:p w14:paraId="20657A61" w14:textId="3C47A0C7" w:rsidR="00C61E1F" w:rsidRPr="00D802FF" w:rsidRDefault="00C61E1F" w:rsidP="00C61E1F">
      <w:pPr>
        <w:pStyle w:val="FootnoteText"/>
      </w:pPr>
      <w:r w:rsidRPr="00D802FF">
        <w:rPr>
          <w:rStyle w:val="FootnoteReference"/>
        </w:rPr>
        <w:footnoteRef/>
      </w:r>
      <w:r w:rsidRPr="00D802FF">
        <w:t xml:space="preserve"> Cornell Center on the Death Penalty Worldwide, </w:t>
      </w:r>
      <w:r w:rsidRPr="00D802FF">
        <w:rPr>
          <w:i/>
          <w:iCs/>
        </w:rPr>
        <w:t>“No One Believed Me”: A Global Overview of Women Facing the Death Penalty for Drug Offenses</w:t>
      </w:r>
      <w:r w:rsidR="00D25862" w:rsidRPr="00D802FF">
        <w:t xml:space="preserve"> </w:t>
      </w:r>
      <w:r w:rsidRPr="00D802FF">
        <w:t xml:space="preserve">(Sept. 2021), </w:t>
      </w:r>
      <w:r w:rsidR="00D25862" w:rsidRPr="00D802FF">
        <w:t xml:space="preserve">6. Available online at: </w:t>
      </w:r>
      <w:r w:rsidRPr="00D802FF">
        <w:t>http://fileserver.idpc.net/library/No-One-Believed-Me.pdf</w:t>
      </w:r>
      <w:r w:rsidR="00853B51" w:rsidRPr="00D802FF">
        <w:t>.</w:t>
      </w:r>
    </w:p>
  </w:footnote>
  <w:footnote w:id="35">
    <w:p w14:paraId="7014965B" w14:textId="013BB291" w:rsidR="00C61E1F" w:rsidRPr="00D802FF" w:rsidRDefault="00C61E1F" w:rsidP="00C61E1F">
      <w:pPr>
        <w:pStyle w:val="FootnoteText"/>
      </w:pPr>
      <w:r w:rsidRPr="00D802FF">
        <w:rPr>
          <w:rStyle w:val="FootnoteReference"/>
        </w:rPr>
        <w:footnoteRef/>
      </w:r>
      <w:r w:rsidRPr="00D802FF">
        <w:t xml:space="preserve"> Bangkok Rules, Rule 66</w:t>
      </w:r>
      <w:r w:rsidR="00D67B22" w:rsidRPr="00D802FF">
        <w:t>, (last visited Sept. 29, 2022). A</w:t>
      </w:r>
      <w:r w:rsidRPr="00D802FF">
        <w:t>vailable at</w:t>
      </w:r>
      <w:r w:rsidR="00D67B22" w:rsidRPr="00D802FF">
        <w:t>:</w:t>
      </w:r>
      <w:r w:rsidRPr="00D802FF">
        <w:t xml:space="preserve"> </w:t>
      </w:r>
      <w:r w:rsidR="00D67B22" w:rsidRPr="00D802FF">
        <w:t xml:space="preserve">https://cdn.penalreform.org/wp-content/uploads/2016/07/BangkokRules-Updated-2016-with-renumbering-SMR.pdf. </w:t>
      </w:r>
    </w:p>
  </w:footnote>
  <w:footnote w:id="36">
    <w:p w14:paraId="60D906F6" w14:textId="1C18E84F" w:rsidR="00C61E1F" w:rsidRPr="00D802FF" w:rsidRDefault="00C61E1F" w:rsidP="00C61E1F">
      <w:pPr>
        <w:pStyle w:val="FootnoteText"/>
      </w:pPr>
      <w:r w:rsidRPr="00D802FF">
        <w:rPr>
          <w:rStyle w:val="FootnoteReference"/>
        </w:rPr>
        <w:footnoteRef/>
      </w:r>
      <w:r w:rsidRPr="00D802FF">
        <w:t xml:space="preserve"> Cornell Center on the Death Penalty Worldwide, </w:t>
      </w:r>
      <w:r w:rsidRPr="00D802FF">
        <w:rPr>
          <w:i/>
          <w:iCs/>
        </w:rPr>
        <w:t>“No One Believed Me”: A Global Overview of Women Facing the Death Penalty for Drug Offenses</w:t>
      </w:r>
      <w:r w:rsidRPr="00D802FF">
        <w:t>,</w:t>
      </w:r>
      <w:r w:rsidR="004C41C6" w:rsidRPr="00D802FF">
        <w:t xml:space="preserve"> </w:t>
      </w:r>
      <w:r w:rsidRPr="00D802FF">
        <w:t xml:space="preserve">(Sept. 2021), </w:t>
      </w:r>
      <w:r w:rsidR="00D25862" w:rsidRPr="00D802FF">
        <w:t xml:space="preserve">6. Available online at: </w:t>
      </w:r>
      <w:r w:rsidRPr="00D802FF">
        <w:t>http://fileserver.idpc.net/library/No-One-Believed-Me.pdf</w:t>
      </w:r>
      <w:r w:rsidR="00853B51" w:rsidRPr="00D802FF">
        <w:t>.</w:t>
      </w:r>
    </w:p>
  </w:footnote>
  <w:footnote w:id="37">
    <w:p w14:paraId="0CD51BF6" w14:textId="77777777" w:rsidR="000E739E" w:rsidRPr="00D802FF" w:rsidRDefault="000E739E" w:rsidP="000E739E">
      <w:pPr>
        <w:pStyle w:val="FootnoteText"/>
      </w:pPr>
      <w:r w:rsidRPr="00D802FF">
        <w:rPr>
          <w:rStyle w:val="FootnoteReference"/>
        </w:rPr>
        <w:footnoteRef/>
      </w:r>
      <w:r w:rsidRPr="00D802FF">
        <w:t xml:space="preserve"> Committee on the Elimination of Discrimination against Women, </w:t>
      </w:r>
      <w:r w:rsidRPr="00D802FF">
        <w:rPr>
          <w:i/>
        </w:rPr>
        <w:t xml:space="preserve">Concluding observations on the fifth periodic report of Kuwait </w:t>
      </w:r>
      <w:r w:rsidRPr="00D802FF">
        <w:t>(Nov. 22, 2017), U.N. Doc. CEDAW/C/KWT/CO/5, ¶ 15(c).</w:t>
      </w:r>
    </w:p>
  </w:footnote>
  <w:footnote w:id="38">
    <w:p w14:paraId="669E67C9" w14:textId="77777777" w:rsidR="000E739E" w:rsidRPr="00D802FF" w:rsidRDefault="000E739E" w:rsidP="000E739E">
      <w:pPr>
        <w:pStyle w:val="FootnoteText"/>
        <w:rPr>
          <w:lang w:val="en-GB"/>
        </w:rPr>
      </w:pPr>
      <w:r w:rsidRPr="00D802FF">
        <w:rPr>
          <w:rStyle w:val="FootnoteReference"/>
        </w:rPr>
        <w:footnoteRef/>
      </w:r>
      <w:r w:rsidRPr="00D802FF">
        <w:t xml:space="preserve"> United Nations Committee on the Elimination of Discrimination against Women, </w:t>
      </w:r>
      <w:r w:rsidRPr="00D802FF">
        <w:rPr>
          <w:i/>
        </w:rPr>
        <w:t xml:space="preserve">Concluding observations on the fifth periodic report of Kuwait </w:t>
      </w:r>
      <w:r w:rsidRPr="00D802FF">
        <w:t>(Nov. 22, 2017), U.N. Doc. CEDAW/C/KWT/CO/5, ¶ 14.</w:t>
      </w:r>
    </w:p>
  </w:footnote>
  <w:footnote w:id="39">
    <w:p w14:paraId="6600656E" w14:textId="1181928B" w:rsidR="000E739E" w:rsidRPr="00D802FF" w:rsidRDefault="000E739E" w:rsidP="000E739E">
      <w:pPr>
        <w:pStyle w:val="FootnoteText"/>
      </w:pPr>
      <w:r w:rsidRPr="00D802FF">
        <w:rPr>
          <w:rStyle w:val="FootnoteReference"/>
        </w:rPr>
        <w:footnoteRef/>
      </w:r>
      <w:r w:rsidRPr="00D802FF">
        <w:t xml:space="preserve"> </w:t>
      </w:r>
      <w:r w:rsidR="00D25862" w:rsidRPr="00D802FF">
        <w:t xml:space="preserve">United Nations Committee on the Elimination of Discrimination against Women, </w:t>
      </w:r>
      <w:r w:rsidR="00D25862" w:rsidRPr="00D802FF">
        <w:rPr>
          <w:i/>
        </w:rPr>
        <w:t xml:space="preserve">Concluding observations on the fifth periodic report of Kuwait </w:t>
      </w:r>
      <w:r w:rsidR="00D25862" w:rsidRPr="00D802FF">
        <w:t xml:space="preserve">(Nov. 22, 2017), U.N. Doc. CEDAW/C/KWT/CO/5, </w:t>
      </w:r>
      <w:r w:rsidRPr="00D802FF">
        <w:t>¶ 16</w:t>
      </w:r>
      <w:r w:rsidR="00A01C94" w:rsidRPr="00D802FF">
        <w:t>.</w:t>
      </w:r>
    </w:p>
  </w:footnote>
  <w:footnote w:id="40">
    <w:p w14:paraId="3268C97A" w14:textId="03AD8E2D" w:rsidR="004118EA" w:rsidRPr="00D802FF" w:rsidRDefault="008C261A">
      <w:pPr>
        <w:pStyle w:val="FootnoteText"/>
        <w:rPr>
          <w:lang w:val="en-GB"/>
        </w:rPr>
      </w:pPr>
      <w:r w:rsidRPr="00D802FF">
        <w:rPr>
          <w:rStyle w:val="FootnoteReference"/>
        </w:rPr>
        <w:footnoteRef/>
      </w:r>
      <w:r w:rsidRPr="00D802FF">
        <w:t xml:space="preserve"> Committee on the Elimination of Discrimination against Women, </w:t>
      </w:r>
      <w:proofErr w:type="gramStart"/>
      <w:r w:rsidRPr="00D802FF">
        <w:rPr>
          <w:i/>
        </w:rPr>
        <w:t>Concluding</w:t>
      </w:r>
      <w:proofErr w:type="gramEnd"/>
      <w:r w:rsidRPr="00D802FF">
        <w:rPr>
          <w:i/>
        </w:rPr>
        <w:t xml:space="preserve"> observations on the fifth periodic report submitted by Kuwait under article 18 of the Convention, due in 2021 </w:t>
      </w:r>
      <w:r w:rsidRPr="00D802FF">
        <w:t>(Dec. 29, 2021), U.N. Doc. CEDAW/C/KWT/CO/5,</w:t>
      </w:r>
      <w:r w:rsidR="00136F36" w:rsidRPr="00D802FF">
        <w:t xml:space="preserve"> </w:t>
      </w:r>
      <w:r w:rsidRPr="00D802FF">
        <w:t>¶ 30</w:t>
      </w:r>
      <w:r w:rsidRPr="00D802FF">
        <w:rPr>
          <w:lang w:val="en-GB"/>
        </w:rPr>
        <w:t>.</w:t>
      </w:r>
    </w:p>
  </w:footnote>
  <w:footnote w:id="41">
    <w:p w14:paraId="3268C97B" w14:textId="47B75DF7" w:rsidR="004118EA" w:rsidRPr="00D802FF" w:rsidRDefault="008C261A">
      <w:pPr>
        <w:pStyle w:val="FootnoteText"/>
        <w:rPr>
          <w:lang w:val="en-GB"/>
        </w:rPr>
      </w:pPr>
      <w:r w:rsidRPr="00D802FF">
        <w:rPr>
          <w:rStyle w:val="FootnoteReference"/>
        </w:rPr>
        <w:footnoteRef/>
      </w:r>
      <w:r w:rsidRPr="00D802FF">
        <w:t xml:space="preserve"> Committee on the Elimination of Discrimination against Women, </w:t>
      </w:r>
      <w:proofErr w:type="gramStart"/>
      <w:r w:rsidRPr="00D802FF">
        <w:rPr>
          <w:i/>
        </w:rPr>
        <w:t>Concluding</w:t>
      </w:r>
      <w:proofErr w:type="gramEnd"/>
      <w:r w:rsidRPr="00D802FF">
        <w:rPr>
          <w:i/>
        </w:rPr>
        <w:t xml:space="preserve"> observations on the fifth periodic report submitted by Kuwait under article 18 of the Convention, due in 2021 </w:t>
      </w:r>
      <w:r w:rsidRPr="00D802FF">
        <w:t>(Dec. 29, 2021), U.N. Doc. CEDAW/C/KWT/CO/5,</w:t>
      </w:r>
      <w:r w:rsidR="00136F36" w:rsidRPr="00D802FF">
        <w:t xml:space="preserve"> </w:t>
      </w:r>
      <w:r w:rsidRPr="00D802FF">
        <w:t>¶ 18</w:t>
      </w:r>
      <w:r w:rsidRPr="00D802FF">
        <w:rPr>
          <w:lang w:val="en-GB"/>
        </w:rPr>
        <w:t>.</w:t>
      </w:r>
    </w:p>
  </w:footnote>
  <w:footnote w:id="42">
    <w:p w14:paraId="3268C97C" w14:textId="26901524" w:rsidR="004118EA" w:rsidRPr="00D802FF" w:rsidRDefault="008C261A">
      <w:pPr>
        <w:pStyle w:val="FootnoteText"/>
        <w:rPr>
          <w:lang w:val="en-GB"/>
        </w:rPr>
      </w:pPr>
      <w:r w:rsidRPr="00D802FF">
        <w:rPr>
          <w:rStyle w:val="FootnoteReference"/>
        </w:rPr>
        <w:footnoteRef/>
      </w:r>
      <w:r w:rsidRPr="00D802FF">
        <w:t xml:space="preserve"> </w:t>
      </w:r>
      <w:r w:rsidRPr="00D802FF">
        <w:rPr>
          <w:i/>
          <w:iCs/>
        </w:rPr>
        <w:t>Women return to Kuwait parliament for first time since 2020</w:t>
      </w:r>
      <w:r w:rsidRPr="00D802FF">
        <w:t>, The National UAE (Sep. 30, 2022)</w:t>
      </w:r>
      <w:r w:rsidRPr="00D802FF">
        <w:rPr>
          <w:lang w:val="en-GB"/>
        </w:rPr>
        <w:t>, https://www.thenationalnews.com/gulf-news/2022/09/30/women-return-to-kuwait-parliament-for-first-time-since-2020/.</w:t>
      </w:r>
    </w:p>
  </w:footnote>
  <w:footnote w:id="43">
    <w:p w14:paraId="3268C97D" w14:textId="11AA50DC" w:rsidR="004118EA" w:rsidRPr="00D802FF" w:rsidRDefault="008C261A">
      <w:pPr>
        <w:pStyle w:val="FootnoteText"/>
        <w:rPr>
          <w:lang w:val="en-GB"/>
        </w:rPr>
      </w:pPr>
      <w:r w:rsidRPr="00D802FF">
        <w:rPr>
          <w:rStyle w:val="FootnoteReference"/>
        </w:rPr>
        <w:footnoteRef/>
      </w:r>
      <w:r w:rsidRPr="00D802FF">
        <w:t xml:space="preserve"> United Nations Committee on the Elimination of Discrimination against Women, </w:t>
      </w:r>
      <w:proofErr w:type="gramStart"/>
      <w:r w:rsidRPr="00D802FF">
        <w:rPr>
          <w:i/>
        </w:rPr>
        <w:t>Sixth</w:t>
      </w:r>
      <w:proofErr w:type="gramEnd"/>
      <w:r w:rsidRPr="00D802FF">
        <w:rPr>
          <w:i/>
        </w:rPr>
        <w:t xml:space="preserve"> periodic report submitted by Kuwait under article 18 of the Convention, due in 2021 </w:t>
      </w:r>
      <w:r w:rsidRPr="00D802FF">
        <w:t>(Dec. 29, 2021), U.N. Doc. CEDAW/C/KWT/6,</w:t>
      </w:r>
      <w:r w:rsidR="00A01C94" w:rsidRPr="00D802FF">
        <w:t xml:space="preserve"> </w:t>
      </w:r>
      <w:r w:rsidRPr="00D802FF">
        <w:t>¶ 50</w:t>
      </w:r>
      <w:r w:rsidRPr="00D802FF">
        <w:rPr>
          <w:lang w:val="en-GB"/>
        </w:rPr>
        <w:t>.</w:t>
      </w:r>
    </w:p>
  </w:footnote>
  <w:footnote w:id="44">
    <w:p w14:paraId="3268C97E" w14:textId="72116C51" w:rsidR="004118EA" w:rsidRPr="00D802FF" w:rsidRDefault="008C261A">
      <w:pPr>
        <w:pStyle w:val="FootnoteText"/>
      </w:pPr>
      <w:r w:rsidRPr="00D802FF">
        <w:rPr>
          <w:rStyle w:val="FootnoteReference"/>
        </w:rPr>
        <w:footnoteRef/>
      </w:r>
      <w:r w:rsidRPr="00D802FF">
        <w:t xml:space="preserve"> The Cornell Center on the Death Penalty Worldwide, </w:t>
      </w:r>
      <w:r w:rsidRPr="00D802FF">
        <w:rPr>
          <w:i/>
          <w:iCs/>
        </w:rPr>
        <w:t>Judged for More Than Her Crime - A Global Overview of Women Facing the Death Penalty</w:t>
      </w:r>
      <w:r w:rsidR="00D25862" w:rsidRPr="00D802FF">
        <w:t xml:space="preserve"> (</w:t>
      </w:r>
      <w:r w:rsidRPr="00D802FF">
        <w:t>Sept. 2018</w:t>
      </w:r>
      <w:r w:rsidR="00D25862" w:rsidRPr="00D802FF">
        <w:t>),</w:t>
      </w:r>
      <w:r w:rsidRPr="00D802FF">
        <w:t xml:space="preserve"> 8. Available online at</w:t>
      </w:r>
      <w:r w:rsidR="00D25862" w:rsidRPr="00D802FF">
        <w:t>:</w:t>
      </w:r>
      <w:r w:rsidRPr="00D802FF">
        <w:t xml:space="preserve"> https://www.deathpenaltyworldwide.org/wp-content/uploads/2019/12/Judged-More-Than-Her-Crime.pdf. </w:t>
      </w:r>
    </w:p>
  </w:footnote>
  <w:footnote w:id="45">
    <w:p w14:paraId="39FA5449" w14:textId="2B4D89F5" w:rsidR="00CA2339" w:rsidRPr="00D802FF" w:rsidRDefault="00CA2339" w:rsidP="00CA2339">
      <w:pPr>
        <w:pStyle w:val="FootnoteText"/>
        <w:rPr>
          <w:lang w:val="en-GB"/>
        </w:rPr>
      </w:pPr>
      <w:r w:rsidRPr="00D802FF">
        <w:rPr>
          <w:rStyle w:val="FootnoteReference"/>
          <w:color w:val="000000" w:themeColor="text1"/>
        </w:rPr>
        <w:footnoteRef/>
      </w:r>
      <w:r w:rsidRPr="00D802FF">
        <w:rPr>
          <w:color w:val="000000" w:themeColor="text1"/>
        </w:rPr>
        <w:t xml:space="preserve"> World Coalition Against the Death Penalty, </w:t>
      </w:r>
      <w:r w:rsidRPr="00D802FF">
        <w:rPr>
          <w:i/>
          <w:iCs/>
          <w:color w:val="000000" w:themeColor="text1"/>
        </w:rPr>
        <w:t xml:space="preserve">Reflecting on </w:t>
      </w:r>
      <w:r w:rsidRPr="00D802FF">
        <w:rPr>
          <w:i/>
          <w:iCs/>
        </w:rPr>
        <w:t>the links between the death penalty and gender-based violence</w:t>
      </w:r>
      <w:r w:rsidR="00D25862" w:rsidRPr="00D802FF">
        <w:t xml:space="preserve"> (</w:t>
      </w:r>
      <w:r w:rsidRPr="00D802FF">
        <w:t>Nov. 25, 2022</w:t>
      </w:r>
      <w:r w:rsidR="00D25862" w:rsidRPr="00D802FF">
        <w:t xml:space="preserve">), </w:t>
      </w:r>
      <w:r w:rsidRPr="00D802FF">
        <w:t>https://worldcoalition.org/2022/11/25/reflecting-on-the-links-between-the-death-penalty-and-gender-based-violence/.</w:t>
      </w:r>
    </w:p>
  </w:footnote>
  <w:footnote w:id="46">
    <w:p w14:paraId="3268C98F" w14:textId="58B2383F" w:rsidR="004118EA" w:rsidRPr="00D802FF" w:rsidRDefault="008C261A">
      <w:pPr>
        <w:pStyle w:val="FootnoteText"/>
      </w:pPr>
      <w:r w:rsidRPr="00D802FF">
        <w:rPr>
          <w:rStyle w:val="FootnoteReference"/>
        </w:rPr>
        <w:footnoteRef/>
      </w:r>
      <w:r w:rsidRPr="00D802FF">
        <w:t xml:space="preserve"> The Cornell Center on the Death Penalty Worldwide, </w:t>
      </w:r>
      <w:r w:rsidRPr="00D802FF">
        <w:rPr>
          <w:i/>
          <w:iCs/>
        </w:rPr>
        <w:t>Judged for More Than Her Crime - A Global Overview of Women Facing the Death Penalty</w:t>
      </w:r>
      <w:r w:rsidR="00D25862" w:rsidRPr="00D802FF">
        <w:t xml:space="preserve"> (</w:t>
      </w:r>
      <w:r w:rsidRPr="00D802FF">
        <w:t>Sept. 2018</w:t>
      </w:r>
      <w:r w:rsidR="00D25862" w:rsidRPr="00D802FF">
        <w:t>)</w:t>
      </w:r>
      <w:r w:rsidRPr="00D802FF">
        <w:t>, 8. Available online at</w:t>
      </w:r>
      <w:r w:rsidR="00D25862" w:rsidRPr="00D802FF">
        <w:t>:</w:t>
      </w:r>
      <w:r w:rsidRPr="00D802FF">
        <w:t xml:space="preserve"> https://www.deathpenaltyworldwide.org/wp-content/uploads/2019/12/Judged-More-Than-Her-Crime.pdf.</w:t>
      </w:r>
    </w:p>
  </w:footnote>
  <w:footnote w:id="47">
    <w:p w14:paraId="3268C990" w14:textId="40BD08A8" w:rsidR="004118EA" w:rsidRPr="00D802FF" w:rsidRDefault="008C261A">
      <w:pPr>
        <w:pStyle w:val="FootnoteText"/>
      </w:pPr>
      <w:r w:rsidRPr="00D802FF">
        <w:rPr>
          <w:rStyle w:val="FootnoteReference"/>
        </w:rPr>
        <w:footnoteRef/>
      </w:r>
      <w:r w:rsidRPr="00D802FF">
        <w:t xml:space="preserve"> The Cornell Center on the Death Penalty Worldwide, </w:t>
      </w:r>
      <w:r w:rsidRPr="00D802FF">
        <w:rPr>
          <w:i/>
          <w:iCs/>
        </w:rPr>
        <w:t>Judged for More Than Her Crime - A Global Overview of Women Facing the Death Penalty</w:t>
      </w:r>
      <w:r w:rsidR="00D25862" w:rsidRPr="00D802FF">
        <w:t xml:space="preserve"> (</w:t>
      </w:r>
      <w:r w:rsidRPr="00D802FF">
        <w:t>Sept. 2018</w:t>
      </w:r>
      <w:r w:rsidR="00D25862" w:rsidRPr="00D802FF">
        <w:t>),</w:t>
      </w:r>
      <w:r w:rsidRPr="00D802FF">
        <w:t xml:space="preserve"> 8. Available online at</w:t>
      </w:r>
      <w:r w:rsidR="00D25862" w:rsidRPr="00D802FF">
        <w:t>:</w:t>
      </w:r>
      <w:r w:rsidRPr="00D802FF">
        <w:t xml:space="preserve"> https://www.deathpenaltyworldwide.org/wp-content/uploads/2019/12/Judged-More-Than-Her-Crime.pdf.</w:t>
      </w:r>
    </w:p>
  </w:footnote>
  <w:footnote w:id="48">
    <w:p w14:paraId="3268C991" w14:textId="71FBB14F" w:rsidR="004118EA" w:rsidRPr="00D802FF" w:rsidRDefault="008C261A">
      <w:pPr>
        <w:rPr>
          <w:color w:val="auto"/>
          <w:kern w:val="0"/>
        </w:rPr>
      </w:pPr>
      <w:r w:rsidRPr="00D802FF">
        <w:rPr>
          <w:rStyle w:val="FootnoteReference"/>
        </w:rPr>
        <w:footnoteRef/>
      </w:r>
      <w:r w:rsidRPr="00D802FF">
        <w:t xml:space="preserve"> </w:t>
      </w:r>
      <w:r w:rsidR="00C30724" w:rsidRPr="00D802FF">
        <w:t xml:space="preserve">U.S. State Department, </w:t>
      </w:r>
      <w:r w:rsidR="00C30724" w:rsidRPr="00D802FF">
        <w:rPr>
          <w:i/>
          <w:iCs/>
        </w:rPr>
        <w:t xml:space="preserve">2021 </w:t>
      </w:r>
      <w:r w:rsidRPr="00D802FF">
        <w:rPr>
          <w:i/>
          <w:iCs/>
        </w:rPr>
        <w:t>Country</w:t>
      </w:r>
      <w:r w:rsidRPr="00D802FF">
        <w:rPr>
          <w:i/>
        </w:rPr>
        <w:t xml:space="preserve"> Reports on Human Rights Practices</w:t>
      </w:r>
      <w:r w:rsidR="00C30724" w:rsidRPr="00D802FF">
        <w:rPr>
          <w:i/>
        </w:rPr>
        <w:t>: Kuwait,</w:t>
      </w:r>
      <w:r w:rsidRPr="00D802FF">
        <w:t xml:space="preserve"> 29-30. </w:t>
      </w:r>
      <w:r w:rsidR="00C30724" w:rsidRPr="00D802FF">
        <w:t xml:space="preserve">Available online at: https://www.state.gov/wp-content/uploads/2022/03/313615_KUWAIT-2021-HUMAN-RIGHTS-REPORT.pdf. </w:t>
      </w:r>
    </w:p>
  </w:footnote>
  <w:footnote w:id="49">
    <w:p w14:paraId="3268C992" w14:textId="27F74909" w:rsidR="004118EA" w:rsidRPr="00D802FF" w:rsidRDefault="008C261A">
      <w:pPr>
        <w:pStyle w:val="FootnoteText"/>
      </w:pPr>
      <w:r w:rsidRPr="00D802FF">
        <w:rPr>
          <w:rStyle w:val="FootnoteReference"/>
        </w:rPr>
        <w:footnoteRef/>
      </w:r>
      <w:r w:rsidRPr="00D802FF">
        <w:t xml:space="preserve"> </w:t>
      </w:r>
      <w:r w:rsidR="00C30724" w:rsidRPr="00D802FF">
        <w:t xml:space="preserve">U.S. State Department, </w:t>
      </w:r>
      <w:r w:rsidR="00C30724" w:rsidRPr="00D802FF">
        <w:rPr>
          <w:i/>
          <w:iCs/>
        </w:rPr>
        <w:t>2021 Country</w:t>
      </w:r>
      <w:r w:rsidR="00C30724" w:rsidRPr="00D802FF">
        <w:rPr>
          <w:i/>
        </w:rPr>
        <w:t xml:space="preserve"> Reports on Human Rights Practices: Kuwait,</w:t>
      </w:r>
      <w:r w:rsidR="00C30724" w:rsidRPr="00D802FF">
        <w:t xml:space="preserve"> 29-30. Available online at: https://www.state.gov/wp-content/uploads/2022/03/313615_KUWAIT-2021-HUMAN-RIGHTS-REPORT.pdf.</w:t>
      </w:r>
    </w:p>
  </w:footnote>
  <w:footnote w:id="50">
    <w:p w14:paraId="3268C993" w14:textId="20CCE3B8" w:rsidR="004118EA" w:rsidRPr="00D802FF" w:rsidRDefault="008C261A">
      <w:pPr>
        <w:pStyle w:val="FootnoteText"/>
      </w:pPr>
      <w:r w:rsidRPr="00D802FF">
        <w:rPr>
          <w:rStyle w:val="FootnoteReference"/>
        </w:rPr>
        <w:footnoteRef/>
      </w:r>
      <w:r w:rsidRPr="00D802FF">
        <w:t xml:space="preserve"> Committee on the Elimination of Discrimination against Women, </w:t>
      </w:r>
      <w:r w:rsidRPr="00D802FF">
        <w:rPr>
          <w:i/>
        </w:rPr>
        <w:t xml:space="preserve">Concluding observations on the fifth periodic report of Kuwait </w:t>
      </w:r>
      <w:r w:rsidRPr="00D802FF">
        <w:t>(Nov. 22, 2017), U.N. Doc. CEDAW/C/KWT/CO/5, ¶</w:t>
      </w:r>
      <w:r w:rsidR="00D25862" w:rsidRPr="00D802FF">
        <w:t>¶</w:t>
      </w:r>
      <w:r w:rsidRPr="00D802FF">
        <w:t xml:space="preserve"> 24-27.</w:t>
      </w:r>
    </w:p>
  </w:footnote>
  <w:footnote w:id="51">
    <w:p w14:paraId="3268C994" w14:textId="61604529" w:rsidR="004118EA" w:rsidRPr="00D802FF" w:rsidRDefault="008C261A">
      <w:pPr>
        <w:pStyle w:val="FootnoteText"/>
      </w:pPr>
      <w:r w:rsidRPr="00D802FF">
        <w:rPr>
          <w:rStyle w:val="FootnoteReference"/>
        </w:rPr>
        <w:footnoteRef/>
      </w:r>
      <w:r w:rsidRPr="00D802FF">
        <w:t xml:space="preserve"> </w:t>
      </w:r>
      <w:r w:rsidR="00D25862" w:rsidRPr="00D802FF">
        <w:t xml:space="preserve">Committee on the Elimination of Discrimination against </w:t>
      </w:r>
      <w:r w:rsidR="00D25862" w:rsidRPr="00D802FF">
        <w:rPr>
          <w:iCs/>
        </w:rPr>
        <w:t xml:space="preserve">Women, </w:t>
      </w:r>
      <w:r w:rsidRPr="00D802FF">
        <w:rPr>
          <w:i/>
          <w:iCs/>
        </w:rPr>
        <w:t>Concluding</w:t>
      </w:r>
      <w:r w:rsidRPr="00D802FF">
        <w:rPr>
          <w:i/>
        </w:rPr>
        <w:t xml:space="preserve"> </w:t>
      </w:r>
      <w:r w:rsidR="00D25862" w:rsidRPr="00D802FF">
        <w:rPr>
          <w:i/>
        </w:rPr>
        <w:t>o</w:t>
      </w:r>
      <w:r w:rsidRPr="00D802FF">
        <w:rPr>
          <w:i/>
        </w:rPr>
        <w:t xml:space="preserve">bservations on the </w:t>
      </w:r>
      <w:r w:rsidR="00D25862" w:rsidRPr="00D802FF">
        <w:rPr>
          <w:i/>
        </w:rPr>
        <w:t>f</w:t>
      </w:r>
      <w:r w:rsidRPr="00D802FF">
        <w:rPr>
          <w:i/>
        </w:rPr>
        <w:t xml:space="preserve">ifth </w:t>
      </w:r>
      <w:r w:rsidR="00D25862" w:rsidRPr="00D802FF">
        <w:rPr>
          <w:i/>
        </w:rPr>
        <w:t>p</w:t>
      </w:r>
      <w:r w:rsidRPr="00D802FF">
        <w:rPr>
          <w:i/>
        </w:rPr>
        <w:t>eriodic report of Kuwait</w:t>
      </w:r>
      <w:r w:rsidR="00D25862" w:rsidRPr="00D802FF">
        <w:rPr>
          <w:i/>
        </w:rPr>
        <w:t xml:space="preserve"> </w:t>
      </w:r>
      <w:r w:rsidR="00D25862" w:rsidRPr="00D802FF">
        <w:rPr>
          <w:iCs/>
        </w:rPr>
        <w:t>(Nov. 22, 2017)</w:t>
      </w:r>
      <w:r w:rsidR="00C30724" w:rsidRPr="00D802FF">
        <w:rPr>
          <w:iCs/>
        </w:rPr>
        <w:t>,</w:t>
      </w:r>
      <w:r w:rsidR="00D25862" w:rsidRPr="00D802FF">
        <w:rPr>
          <w:iCs/>
        </w:rPr>
        <w:t xml:space="preserve"> </w:t>
      </w:r>
      <w:r w:rsidR="00D25862" w:rsidRPr="00D802FF">
        <w:t>U.N. Doc. CEDAW/C/KWT/CO/5</w:t>
      </w:r>
      <w:r w:rsidR="00393C51" w:rsidRPr="00D802FF">
        <w:t>.</w:t>
      </w:r>
    </w:p>
  </w:footnote>
  <w:footnote w:id="52">
    <w:p w14:paraId="3268C995" w14:textId="77777777" w:rsidR="004118EA" w:rsidRPr="00D802FF" w:rsidRDefault="008C261A">
      <w:pPr>
        <w:pStyle w:val="FootnoteText"/>
      </w:pPr>
      <w:r w:rsidRPr="00D802FF">
        <w:rPr>
          <w:rStyle w:val="FootnoteReference"/>
        </w:rPr>
        <w:footnoteRef/>
      </w:r>
      <w:r w:rsidRPr="00D802FF">
        <w:t xml:space="preserve"> World Report 2021 Kuwait, </w:t>
      </w:r>
      <w:r w:rsidRPr="00D802FF">
        <w:rPr>
          <w:i/>
        </w:rPr>
        <w:t>Country Chapters</w:t>
      </w:r>
      <w:r w:rsidRPr="00D802FF">
        <w:t>, Human Rights Watch.</w:t>
      </w:r>
    </w:p>
  </w:footnote>
  <w:footnote w:id="53">
    <w:p w14:paraId="3268C996" w14:textId="08CB3B9A" w:rsidR="004118EA" w:rsidRPr="00D802FF" w:rsidRDefault="008C261A">
      <w:pPr>
        <w:pStyle w:val="FootnoteText"/>
      </w:pPr>
      <w:r w:rsidRPr="00D802FF">
        <w:rPr>
          <w:rStyle w:val="FootnoteReference"/>
        </w:rPr>
        <w:footnoteRef/>
      </w:r>
      <w:r w:rsidRPr="00D802FF">
        <w:t xml:space="preserve"> </w:t>
      </w:r>
      <w:r w:rsidR="00C30724" w:rsidRPr="00D802FF">
        <w:t>Committee on the Elimination of Discrimination Against Women</w:t>
      </w:r>
      <w:r w:rsidR="00C30724" w:rsidRPr="00D802FF">
        <w:rPr>
          <w:i/>
        </w:rPr>
        <w:t xml:space="preserve">, </w:t>
      </w:r>
      <w:r w:rsidRPr="00D802FF">
        <w:rPr>
          <w:i/>
        </w:rPr>
        <w:t>Concluding Observations on the fifth period</w:t>
      </w:r>
      <w:r w:rsidR="00C30724" w:rsidRPr="00D802FF">
        <w:rPr>
          <w:i/>
        </w:rPr>
        <w:t>ic</w:t>
      </w:r>
      <w:r w:rsidRPr="00D802FF">
        <w:rPr>
          <w:i/>
        </w:rPr>
        <w:t xml:space="preserve"> report of Kuwait</w:t>
      </w:r>
      <w:r w:rsidR="00C30724" w:rsidRPr="00D802FF">
        <w:rPr>
          <w:i/>
        </w:rPr>
        <w:t xml:space="preserve"> </w:t>
      </w:r>
      <w:r w:rsidR="00C30724" w:rsidRPr="00D802FF">
        <w:rPr>
          <w:iCs/>
        </w:rPr>
        <w:t xml:space="preserve">(Nov. 22, 2017), </w:t>
      </w:r>
      <w:r w:rsidR="00C30724" w:rsidRPr="00D802FF">
        <w:t xml:space="preserve">U.N. Doc. CEDAW/C/KWT/CO/5, </w:t>
      </w:r>
    </w:p>
  </w:footnote>
  <w:footnote w:id="54">
    <w:p w14:paraId="3268C997" w14:textId="45791AA0" w:rsidR="004118EA" w:rsidRPr="00D802FF" w:rsidRDefault="008C261A">
      <w:pPr>
        <w:pStyle w:val="FootnoteText"/>
      </w:pPr>
      <w:r w:rsidRPr="00D802FF">
        <w:rPr>
          <w:rStyle w:val="FootnoteReference"/>
        </w:rPr>
        <w:footnoteRef/>
      </w:r>
      <w:r w:rsidRPr="00D802FF">
        <w:t xml:space="preserve"> </w:t>
      </w:r>
      <w:r w:rsidRPr="00D802FF">
        <w:rPr>
          <w:i/>
          <w:iCs/>
        </w:rPr>
        <w:t xml:space="preserve">Dignity, Freedom, and Justice </w:t>
      </w:r>
      <w:proofErr w:type="gramStart"/>
      <w:r w:rsidRPr="00D802FF">
        <w:rPr>
          <w:i/>
          <w:iCs/>
        </w:rPr>
        <w:t>For</w:t>
      </w:r>
      <w:proofErr w:type="gramEnd"/>
      <w:r w:rsidRPr="00D802FF">
        <w:rPr>
          <w:i/>
          <w:iCs/>
        </w:rPr>
        <w:t xml:space="preserve"> All</w:t>
      </w:r>
      <w:r w:rsidRPr="00D802FF">
        <w:t xml:space="preserve">, </w:t>
      </w:r>
      <w:r w:rsidRPr="00D802FF">
        <w:rPr>
          <w:smallCaps/>
        </w:rPr>
        <w:t xml:space="preserve">Times of </w:t>
      </w:r>
      <w:r w:rsidRPr="00D802FF">
        <w:t>Kuwait, (Dec. 10, 2022)</w:t>
      </w:r>
      <w:r w:rsidR="00C30724" w:rsidRPr="00D802FF">
        <w:t>,</w:t>
      </w:r>
      <w:r w:rsidRPr="00D802FF">
        <w:t xml:space="preserve"> </w:t>
      </w:r>
      <w:r w:rsidR="00C30724" w:rsidRPr="00D802FF">
        <w:t xml:space="preserve">https://timeskuwait.com/news/dignity-freedom-and-justice-for-all/. </w:t>
      </w:r>
    </w:p>
  </w:footnote>
  <w:footnote w:id="55">
    <w:p w14:paraId="3268C998" w14:textId="48403102" w:rsidR="004118EA" w:rsidRPr="00D802FF" w:rsidRDefault="008C261A">
      <w:pPr>
        <w:pStyle w:val="FootnoteText"/>
      </w:pPr>
      <w:r w:rsidRPr="00D802FF">
        <w:rPr>
          <w:rStyle w:val="FootnoteReference"/>
        </w:rPr>
        <w:footnoteRef/>
      </w:r>
      <w:r w:rsidRPr="00D802FF">
        <w:t xml:space="preserve"> </w:t>
      </w:r>
      <w:r w:rsidR="00C30724" w:rsidRPr="00D802FF">
        <w:t xml:space="preserve">U.S. State Department, </w:t>
      </w:r>
      <w:r w:rsidR="00C30724" w:rsidRPr="00D802FF">
        <w:rPr>
          <w:i/>
          <w:iCs/>
        </w:rPr>
        <w:t>2021 Country</w:t>
      </w:r>
      <w:r w:rsidR="00C30724" w:rsidRPr="00D802FF">
        <w:rPr>
          <w:i/>
        </w:rPr>
        <w:t xml:space="preserve"> Reports on Human Rights Practices: Kuwait,</w:t>
      </w:r>
      <w:r w:rsidR="00C30724" w:rsidRPr="00D802FF">
        <w:t xml:space="preserve"> 29-30. Available online at: https://www.state.gov/wp-content/uploads/2022/03/313615_KUWAIT-2021-HUMAN-RIGHTS-REPORT.pdf. </w:t>
      </w:r>
    </w:p>
  </w:footnote>
  <w:footnote w:id="56">
    <w:p w14:paraId="3268C999" w14:textId="29FFC297" w:rsidR="004118EA" w:rsidRPr="00D802FF" w:rsidRDefault="008C261A">
      <w:pPr>
        <w:pStyle w:val="FootnoteText"/>
      </w:pPr>
      <w:r w:rsidRPr="00D802FF">
        <w:rPr>
          <w:rStyle w:val="FootnoteReference"/>
        </w:rPr>
        <w:footnoteRef/>
      </w:r>
      <w:r w:rsidRPr="00D802FF">
        <w:t xml:space="preserve"> Fatima Al-Salem, </w:t>
      </w:r>
      <w:r w:rsidRPr="00D802FF">
        <w:rPr>
          <w:i/>
          <w:iCs/>
        </w:rPr>
        <w:t>Fifty-three Percent of Kuwaiti Women are Abused by Men</w:t>
      </w:r>
      <w:r w:rsidRPr="00D802FF">
        <w:t>,</w:t>
      </w:r>
      <w:r w:rsidR="00C30724" w:rsidRPr="00D802FF">
        <w:t xml:space="preserve"> </w:t>
      </w:r>
      <w:r w:rsidRPr="00D802FF">
        <w:rPr>
          <w:smallCaps/>
        </w:rPr>
        <w:t xml:space="preserve">Al </w:t>
      </w:r>
      <w:proofErr w:type="spellStart"/>
      <w:r w:rsidRPr="00D802FF">
        <w:rPr>
          <w:smallCaps/>
        </w:rPr>
        <w:t>Qabas</w:t>
      </w:r>
      <w:proofErr w:type="spellEnd"/>
      <w:r w:rsidRPr="00D802FF">
        <w:rPr>
          <w:smallCaps/>
        </w:rPr>
        <w:t>, (</w:t>
      </w:r>
      <w:r w:rsidRPr="00D802FF">
        <w:t>Nov. 23</w:t>
      </w:r>
      <w:r w:rsidRPr="00D802FF">
        <w:rPr>
          <w:smallCaps/>
        </w:rPr>
        <w:t>, 2018)</w:t>
      </w:r>
      <w:r w:rsidR="00D07EA7" w:rsidRPr="00D802FF">
        <w:rPr>
          <w:smallCaps/>
        </w:rPr>
        <w:t>,</w:t>
      </w:r>
      <w:r w:rsidRPr="00D802FF">
        <w:rPr>
          <w:smallCaps/>
        </w:rPr>
        <w:t xml:space="preserve"> </w:t>
      </w:r>
      <w:r w:rsidR="00AF0ED1" w:rsidRPr="00D802FF">
        <w:t xml:space="preserve">%53 </w:t>
      </w:r>
      <w:proofErr w:type="spellStart"/>
      <w:r w:rsidR="00AF0ED1" w:rsidRPr="00D802FF">
        <w:t>من</w:t>
      </w:r>
      <w:proofErr w:type="spellEnd"/>
      <w:r w:rsidR="00AF0ED1" w:rsidRPr="00D802FF">
        <w:t xml:space="preserve"> </w:t>
      </w:r>
      <w:proofErr w:type="spellStart"/>
      <w:r w:rsidR="00AF0ED1" w:rsidRPr="00D802FF">
        <w:t>الكويتيات</w:t>
      </w:r>
      <w:proofErr w:type="spellEnd"/>
      <w:r w:rsidR="00AF0ED1" w:rsidRPr="00D802FF">
        <w:t xml:space="preserve"> </w:t>
      </w:r>
      <w:proofErr w:type="spellStart"/>
      <w:r w:rsidR="00AF0ED1" w:rsidRPr="00D802FF">
        <w:t>معنَّفات</w:t>
      </w:r>
      <w:proofErr w:type="spellEnd"/>
      <w:r w:rsidR="00AF0ED1" w:rsidRPr="00D802FF">
        <w:t xml:space="preserve"> </w:t>
      </w:r>
      <w:proofErr w:type="spellStart"/>
      <w:r w:rsidR="00AF0ED1" w:rsidRPr="00D802FF">
        <w:t>من</w:t>
      </w:r>
      <w:proofErr w:type="spellEnd"/>
      <w:r w:rsidR="00AF0ED1" w:rsidRPr="00D802FF">
        <w:t xml:space="preserve"> </w:t>
      </w:r>
      <w:proofErr w:type="spellStart"/>
      <w:r w:rsidR="00AF0ED1" w:rsidRPr="00D802FF">
        <w:t>الرجل</w:t>
      </w:r>
      <w:proofErr w:type="spellEnd"/>
      <w:r w:rsidR="00AF0ED1" w:rsidRPr="00D802FF">
        <w:t xml:space="preserve"> (alqabas.com)</w:t>
      </w:r>
      <w:r w:rsidRPr="00D802FF">
        <w:rPr>
          <w:rStyle w:val="Hyperlink"/>
        </w:rPr>
        <w:t>.</w:t>
      </w:r>
    </w:p>
  </w:footnote>
  <w:footnote w:id="57">
    <w:p w14:paraId="3268C99A" w14:textId="0EF5E0CD" w:rsidR="004118EA" w:rsidRPr="00D802FF" w:rsidRDefault="008C261A">
      <w:pPr>
        <w:pStyle w:val="FootnoteText"/>
      </w:pPr>
      <w:r w:rsidRPr="00D802FF">
        <w:rPr>
          <w:rStyle w:val="FootnoteReference"/>
        </w:rPr>
        <w:footnoteRef/>
      </w:r>
      <w:r w:rsidRPr="00D802FF">
        <w:t xml:space="preserve"> </w:t>
      </w:r>
      <w:r w:rsidR="00C30724" w:rsidRPr="00D802FF">
        <w:t xml:space="preserve">U.S. State Department, </w:t>
      </w:r>
      <w:r w:rsidR="00C30724" w:rsidRPr="00D802FF">
        <w:rPr>
          <w:i/>
          <w:iCs/>
        </w:rPr>
        <w:t>2021 Country</w:t>
      </w:r>
      <w:r w:rsidR="00C30724" w:rsidRPr="00D802FF">
        <w:rPr>
          <w:i/>
        </w:rPr>
        <w:t xml:space="preserve"> Reports on Human Rights Practices: Kuwait,</w:t>
      </w:r>
      <w:r w:rsidR="00C30724" w:rsidRPr="00D802FF">
        <w:t xml:space="preserve"> 29-30. Available online at: https://www.state.gov/wp-content/uploads/2022/03/313615_KUWAIT-2021-HUMAN-RIGHTS-REPORT.pdf. </w:t>
      </w:r>
    </w:p>
  </w:footnote>
  <w:footnote w:id="58">
    <w:p w14:paraId="3268C99B" w14:textId="5231B058" w:rsidR="004118EA" w:rsidRPr="00D802FF" w:rsidRDefault="008C261A">
      <w:pPr>
        <w:pStyle w:val="FootnoteText"/>
      </w:pPr>
      <w:r w:rsidRPr="00D802FF">
        <w:rPr>
          <w:rStyle w:val="FootnoteReference"/>
        </w:rPr>
        <w:footnoteRef/>
      </w:r>
      <w:r w:rsidRPr="00D802FF">
        <w:t xml:space="preserve"> </w:t>
      </w:r>
      <w:r w:rsidR="00C30724" w:rsidRPr="00D802FF">
        <w:t xml:space="preserve">U.S. State Department, </w:t>
      </w:r>
      <w:r w:rsidR="00C30724" w:rsidRPr="00D802FF">
        <w:rPr>
          <w:i/>
          <w:iCs/>
        </w:rPr>
        <w:t>2021 Country</w:t>
      </w:r>
      <w:r w:rsidR="00C30724" w:rsidRPr="00D802FF">
        <w:rPr>
          <w:i/>
        </w:rPr>
        <w:t xml:space="preserve"> Reports on Human Rights Practices: Kuwait,</w:t>
      </w:r>
      <w:r w:rsidR="00C30724" w:rsidRPr="00D802FF">
        <w:t xml:space="preserve"> 29-30. Available online at: https://www.state.gov/wp-content/uploads/2022/03/313615_KUWAIT-2021-HUMAN-RIGHTS-REPORT.pdf. </w:t>
      </w:r>
    </w:p>
  </w:footnote>
  <w:footnote w:id="59">
    <w:p w14:paraId="3268C99C" w14:textId="59F2BFF9" w:rsidR="004118EA" w:rsidRPr="00D802FF" w:rsidRDefault="008C261A">
      <w:pPr>
        <w:pStyle w:val="FootnoteText"/>
      </w:pPr>
      <w:r w:rsidRPr="00D802FF">
        <w:rPr>
          <w:rStyle w:val="FootnoteReference"/>
        </w:rPr>
        <w:footnoteRef/>
      </w:r>
      <w:r w:rsidRPr="00D802FF">
        <w:t xml:space="preserve"> </w:t>
      </w:r>
      <w:r w:rsidR="00C30724" w:rsidRPr="00D802FF">
        <w:t xml:space="preserve">U.S. State Department, </w:t>
      </w:r>
      <w:r w:rsidR="00C30724" w:rsidRPr="00D802FF">
        <w:rPr>
          <w:i/>
          <w:iCs/>
        </w:rPr>
        <w:t>2021 Country</w:t>
      </w:r>
      <w:r w:rsidR="00C30724" w:rsidRPr="00D802FF">
        <w:rPr>
          <w:i/>
        </w:rPr>
        <w:t xml:space="preserve"> Reports on Human Rights Practices: Kuwait,</w:t>
      </w:r>
      <w:r w:rsidR="00C30724" w:rsidRPr="00D802FF">
        <w:t xml:space="preserve"> 29-30. Available online at: https://www.state.gov/wp-content/uploads/2022/03/313615_KUWAIT-2021-HUMAN-RIGHTS-REPORT.pdf. </w:t>
      </w:r>
    </w:p>
  </w:footnote>
  <w:footnote w:id="60">
    <w:p w14:paraId="3268C99D" w14:textId="46C3A74C" w:rsidR="004118EA" w:rsidRPr="00D802FF" w:rsidRDefault="008C261A">
      <w:pPr>
        <w:pStyle w:val="FootnoteText"/>
      </w:pPr>
      <w:r w:rsidRPr="00D802FF">
        <w:rPr>
          <w:rStyle w:val="FootnoteReference"/>
        </w:rPr>
        <w:footnoteRef/>
      </w:r>
      <w:r w:rsidRPr="00D802FF">
        <w:t xml:space="preserve"> </w:t>
      </w:r>
      <w:r w:rsidR="00C30724" w:rsidRPr="00D802FF">
        <w:t xml:space="preserve">U.S. State Department, </w:t>
      </w:r>
      <w:r w:rsidR="00C30724" w:rsidRPr="00D802FF">
        <w:rPr>
          <w:i/>
          <w:iCs/>
        </w:rPr>
        <w:t>2021 Country</w:t>
      </w:r>
      <w:r w:rsidR="00C30724" w:rsidRPr="00D802FF">
        <w:rPr>
          <w:i/>
        </w:rPr>
        <w:t xml:space="preserve"> Reports on Human Rights Practices: Kuwait,</w:t>
      </w:r>
      <w:r w:rsidR="00C30724" w:rsidRPr="00D802FF">
        <w:t xml:space="preserve"> 29-30. Available online at: https://www.state.gov/wp-content/uploads/2022/03/313615_KUWAIT-2021-HUMAN-RIGHTS-REPORT.pdf. </w:t>
      </w:r>
    </w:p>
  </w:footnote>
  <w:footnote w:id="61">
    <w:p w14:paraId="3268C99E" w14:textId="11575678" w:rsidR="004118EA" w:rsidRPr="00D802FF" w:rsidRDefault="008C261A">
      <w:pPr>
        <w:pStyle w:val="FootnoteText"/>
      </w:pPr>
      <w:r w:rsidRPr="00D802FF">
        <w:rPr>
          <w:rStyle w:val="FootnoteReference"/>
        </w:rPr>
        <w:footnoteRef/>
      </w:r>
      <w:r w:rsidRPr="00D802FF">
        <w:t xml:space="preserve"> </w:t>
      </w:r>
      <w:r w:rsidR="00C30724" w:rsidRPr="00D802FF">
        <w:t xml:space="preserve">Human Rights Watch, </w:t>
      </w:r>
      <w:r w:rsidRPr="00D802FF">
        <w:rPr>
          <w:i/>
          <w:iCs/>
        </w:rPr>
        <w:t>Kuwait</w:t>
      </w:r>
      <w:r w:rsidR="00C30724" w:rsidRPr="00D802FF">
        <w:rPr>
          <w:i/>
          <w:iCs/>
        </w:rPr>
        <w:t>: Events of 2022</w:t>
      </w:r>
      <w:r w:rsidR="00D25862" w:rsidRPr="00D802FF">
        <w:t>,</w:t>
      </w:r>
      <w:r w:rsidR="00C30724" w:rsidRPr="00D802FF">
        <w:t xml:space="preserve"> </w:t>
      </w:r>
      <w:r w:rsidR="00AF0ED1" w:rsidRPr="00D802FF">
        <w:t>https://www.hrw.org/world-report/2023/country-chapters/kuwait</w:t>
      </w:r>
      <w:r w:rsidRPr="00D802FF">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8C960" w14:textId="77777777" w:rsidR="004118EA" w:rsidRDefault="008C261A">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8C963" w14:textId="37BE9646" w:rsidR="004118EA" w:rsidRDefault="00B6493D">
    <w:pPr>
      <w:pStyle w:val="Header"/>
    </w:pPr>
    <w:r>
      <w:rPr>
        <w:noProof/>
      </w:rPr>
      <w:drawing>
        <wp:anchor distT="0" distB="0" distL="114300" distR="114300" simplePos="0" relativeHeight="251662337" behindDoc="0" locked="0" layoutInCell="1" allowOverlap="1" wp14:anchorId="2597CD2E" wp14:editId="5D2D89F0">
          <wp:simplePos x="0" y="0"/>
          <wp:positionH relativeFrom="column">
            <wp:posOffset>-190500</wp:posOffset>
          </wp:positionH>
          <wp:positionV relativeFrom="paragraph">
            <wp:posOffset>-123825</wp:posOffset>
          </wp:positionV>
          <wp:extent cx="1647825" cy="796936"/>
          <wp:effectExtent l="0" t="0" r="0" b="3175"/>
          <wp:wrapNone/>
          <wp:docPr id="8" name="Picture 8"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647825" cy="796936"/>
                  </a:xfrm>
                  <a:prstGeom prst="rect">
                    <a:avLst/>
                  </a:prstGeom>
                </pic:spPr>
              </pic:pic>
            </a:graphicData>
          </a:graphic>
          <wp14:sizeRelH relativeFrom="page">
            <wp14:pctWidth>0</wp14:pctWidth>
          </wp14:sizeRelH>
          <wp14:sizeRelV relativeFrom="page">
            <wp14:pctHeight>0</wp14:pctHeight>
          </wp14:sizeRelV>
        </wp:anchor>
      </w:drawing>
    </w:r>
    <w:r w:rsidR="005A23E7">
      <w:rPr>
        <w:noProof/>
      </w:rPr>
      <w:drawing>
        <wp:anchor distT="0" distB="0" distL="114300" distR="114300" simplePos="0" relativeHeight="251660289" behindDoc="0" locked="0" layoutInCell="1" allowOverlap="1" wp14:anchorId="3E5FB87F" wp14:editId="4431A898">
          <wp:simplePos x="0" y="0"/>
          <wp:positionH relativeFrom="column">
            <wp:posOffset>1809750</wp:posOffset>
          </wp:positionH>
          <wp:positionV relativeFrom="paragraph">
            <wp:posOffset>-66675</wp:posOffset>
          </wp:positionV>
          <wp:extent cx="2667000" cy="491067"/>
          <wp:effectExtent l="0" t="0" r="0" b="4445"/>
          <wp:wrapNone/>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phic 12"/>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a:off x="0" y="0"/>
                    <a:ext cx="2667000" cy="491067"/>
                  </a:xfrm>
                  <a:prstGeom prst="rect">
                    <a:avLst/>
                  </a:prstGeom>
                </pic:spPr>
              </pic:pic>
            </a:graphicData>
          </a:graphic>
          <wp14:sizeRelH relativeFrom="margin">
            <wp14:pctWidth>0</wp14:pctWidth>
          </wp14:sizeRelH>
          <wp14:sizeRelV relativeFrom="margin">
            <wp14:pctHeight>0</wp14:pctHeight>
          </wp14:sizeRelV>
        </wp:anchor>
      </w:drawing>
    </w:r>
    <w:r w:rsidR="005A23E7">
      <w:rPr>
        <w:noProof/>
      </w:rPr>
      <w:drawing>
        <wp:anchor distT="0" distB="0" distL="114300" distR="114300" simplePos="0" relativeHeight="251658240" behindDoc="0" locked="0" layoutInCell="1" allowOverlap="1" wp14:anchorId="3268C967" wp14:editId="1377FA14">
          <wp:simplePos x="0" y="0"/>
          <wp:positionH relativeFrom="column">
            <wp:posOffset>4509170</wp:posOffset>
          </wp:positionH>
          <wp:positionV relativeFrom="paragraph">
            <wp:posOffset>-85725</wp:posOffset>
          </wp:positionV>
          <wp:extent cx="1913855" cy="73342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16467" cy="734426"/>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E689A"/>
    <w:multiLevelType w:val="hybridMultilevel"/>
    <w:tmpl w:val="1E727DBA"/>
    <w:lvl w:ilvl="0" w:tplc="FD98666E">
      <w:start w:val="6"/>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8B419D4"/>
    <w:multiLevelType w:val="multilevel"/>
    <w:tmpl w:val="2CA65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FA6C53"/>
    <w:multiLevelType w:val="hybridMultilevel"/>
    <w:tmpl w:val="F3407B72"/>
    <w:lvl w:ilvl="0" w:tplc="5928AFFC">
      <w:start w:val="1"/>
      <w:numFmt w:val="decimal"/>
      <w:lvlText w:val="%1."/>
      <w:lvlJc w:val="left"/>
      <w:pPr>
        <w:ind w:left="360" w:hanging="360"/>
      </w:pPr>
      <w:rPr>
        <w:b w:val="0"/>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035CF9"/>
    <w:multiLevelType w:val="hybridMultilevel"/>
    <w:tmpl w:val="6212A3F4"/>
    <w:lvl w:ilvl="0" w:tplc="AB9E3C94">
      <w:start w:val="3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7" w15:restartNumberingAfterBreak="0">
    <w:nsid w:val="194E0B0F"/>
    <w:multiLevelType w:val="multilevel"/>
    <w:tmpl w:val="C5921ED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84410F"/>
    <w:multiLevelType w:val="hybridMultilevel"/>
    <w:tmpl w:val="FCAAC014"/>
    <w:lvl w:ilvl="0" w:tplc="C26EA8B4">
      <w:start w:val="9"/>
      <w:numFmt w:val="decimal"/>
      <w:lvlText w:val="%1."/>
      <w:lvlJc w:val="left"/>
      <w:pPr>
        <w:ind w:left="720" w:hanging="360"/>
      </w:pPr>
      <w:rPr>
        <w:rFonts w:hint="default"/>
        <w:sz w:val="24"/>
        <w:szCs w:val="24"/>
      </w:r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6A0BEC"/>
    <w:multiLevelType w:val="hybridMultilevel"/>
    <w:tmpl w:val="D5CCA2EE"/>
    <w:lvl w:ilvl="0" w:tplc="339C318C">
      <w:start w:val="1"/>
      <w:numFmt w:val="upperRoman"/>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8C13AA"/>
    <w:multiLevelType w:val="hybridMultilevel"/>
    <w:tmpl w:val="8ED4CE44"/>
    <w:lvl w:ilvl="0" w:tplc="FFFFFFFF">
      <w:start w:val="1"/>
      <w:numFmt w:val="decimal"/>
      <w:lvlText w:val="%1."/>
      <w:lvlJc w:val="left"/>
      <w:pPr>
        <w:ind w:left="720" w:hanging="360"/>
      </w:pPr>
      <w:rPr>
        <w:sz w:val="23"/>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3516E4B"/>
    <w:multiLevelType w:val="hybridMultilevel"/>
    <w:tmpl w:val="0BBEE2DA"/>
    <w:lvl w:ilvl="0" w:tplc="AE14AC5A">
      <w:start w:val="4"/>
      <w:numFmt w:val="decimal"/>
      <w:lvlText w:val="%1."/>
      <w:lvlJc w:val="left"/>
      <w:pPr>
        <w:ind w:left="360" w:hanging="360"/>
      </w:pPr>
      <w:rPr>
        <w:rFonts w:hint="default"/>
        <w:color w:val="auto"/>
      </w:rPr>
    </w:lvl>
    <w:lvl w:ilvl="1" w:tplc="03007266">
      <w:start w:val="1"/>
      <w:numFmt w:val="bullet"/>
      <w:lvlText w:val="-"/>
      <w:lvlJc w:val="left"/>
      <w:pPr>
        <w:ind w:left="1080" w:hanging="360"/>
      </w:pPr>
      <w:rPr>
        <w:rFonts w:ascii="Times New Roman" w:eastAsia="Times New Roman" w:hAnsi="Times New Roman" w:cs="Times New Roman"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581C65"/>
    <w:multiLevelType w:val="hybridMultilevel"/>
    <w:tmpl w:val="CD048E60"/>
    <w:lvl w:ilvl="0" w:tplc="B04E469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B41C55"/>
    <w:multiLevelType w:val="multilevel"/>
    <w:tmpl w:val="2B7A4ED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A4C07BE"/>
    <w:multiLevelType w:val="hybridMultilevel"/>
    <w:tmpl w:val="EBEC802C"/>
    <w:lvl w:ilvl="0" w:tplc="AE14AC5A">
      <w:start w:val="4"/>
      <w:numFmt w:val="decimal"/>
      <w:lvlText w:val="%1."/>
      <w:lvlJc w:val="left"/>
      <w:pPr>
        <w:ind w:left="360" w:hanging="360"/>
      </w:pPr>
      <w:rPr>
        <w:rFonts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DB55DA3"/>
    <w:multiLevelType w:val="hybridMultilevel"/>
    <w:tmpl w:val="9B3A90EA"/>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F1E71D0"/>
    <w:multiLevelType w:val="hybridMultilevel"/>
    <w:tmpl w:val="2E782CF6"/>
    <w:lvl w:ilvl="0" w:tplc="C708311A">
      <w:start w:val="3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6960B7"/>
    <w:multiLevelType w:val="hybridMultilevel"/>
    <w:tmpl w:val="E844F5B0"/>
    <w:lvl w:ilvl="0" w:tplc="CC9ABA8A">
      <w:start w:val="1"/>
      <w:numFmt w:val="upperRoman"/>
      <w:lvlText w:val="%1."/>
      <w:lvlJc w:val="righ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A280C15"/>
    <w:multiLevelType w:val="hybridMultilevel"/>
    <w:tmpl w:val="21F04B92"/>
    <w:lvl w:ilvl="0" w:tplc="0300726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C8E0915"/>
    <w:multiLevelType w:val="hybridMultilevel"/>
    <w:tmpl w:val="B96C1BA0"/>
    <w:lvl w:ilvl="0" w:tplc="113EEDC2">
      <w:start w:val="1"/>
      <w:numFmt w:val="decimal"/>
      <w:lvlText w:val="%1."/>
      <w:lvlJc w:val="left"/>
      <w:pPr>
        <w:ind w:left="720" w:hanging="360"/>
      </w:pPr>
      <w:rPr>
        <w:color w:val="auto"/>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5F145123"/>
    <w:multiLevelType w:val="hybridMultilevel"/>
    <w:tmpl w:val="B82E3EFC"/>
    <w:lvl w:ilvl="0" w:tplc="2AAA1F72">
      <w:start w:val="3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E72E71"/>
    <w:multiLevelType w:val="hybridMultilevel"/>
    <w:tmpl w:val="1AA44B18"/>
    <w:lvl w:ilvl="0" w:tplc="73646066">
      <w:start w:val="1"/>
      <w:numFmt w:val="decimal"/>
      <w:lvlText w:val="%1."/>
      <w:lvlJc w:val="left"/>
      <w:pPr>
        <w:ind w:left="720" w:hanging="360"/>
      </w:pPr>
      <w:rPr>
        <w:sz w:val="23"/>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F23CA"/>
    <w:multiLevelType w:val="hybridMultilevel"/>
    <w:tmpl w:val="B858BA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6AFF0199"/>
    <w:multiLevelType w:val="hybridMultilevel"/>
    <w:tmpl w:val="CEA40C2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0" w15:restartNumberingAfterBreak="0">
    <w:nsid w:val="7C3B2A5B"/>
    <w:multiLevelType w:val="hybridMultilevel"/>
    <w:tmpl w:val="49B2A5A8"/>
    <w:lvl w:ilvl="0" w:tplc="AE14AC5A">
      <w:start w:val="4"/>
      <w:numFmt w:val="decimal"/>
      <w:lvlText w:val="%1."/>
      <w:lvlJc w:val="left"/>
      <w:pPr>
        <w:ind w:left="360" w:hanging="360"/>
      </w:pPr>
      <w:rPr>
        <w:rFonts w:hint="default"/>
        <w:color w:val="auto"/>
      </w:r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D5A3B1A"/>
    <w:multiLevelType w:val="hybridMultilevel"/>
    <w:tmpl w:val="F6F499EC"/>
    <w:lvl w:ilvl="0" w:tplc="A09E5FA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16cid:durableId="1362828669">
    <w:abstractNumId w:val="13"/>
  </w:num>
  <w:num w:numId="2" w16cid:durableId="2036730381">
    <w:abstractNumId w:val="12"/>
  </w:num>
  <w:num w:numId="3" w16cid:durableId="1591966364">
    <w:abstractNumId w:val="22"/>
  </w:num>
  <w:num w:numId="4" w16cid:durableId="9291945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22575438">
    <w:abstractNumId w:val="15"/>
  </w:num>
  <w:num w:numId="6" w16cid:durableId="1579484749">
    <w:abstractNumId w:val="3"/>
  </w:num>
  <w:num w:numId="7" w16cid:durableId="784038043">
    <w:abstractNumId w:val="9"/>
  </w:num>
  <w:num w:numId="8" w16cid:durableId="623275539">
    <w:abstractNumId w:val="27"/>
  </w:num>
  <w:num w:numId="9" w16cid:durableId="1331717494">
    <w:abstractNumId w:val="5"/>
  </w:num>
  <w:num w:numId="10" w16cid:durableId="2116364348">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740">
    <w:abstractNumId w:val="29"/>
  </w:num>
  <w:num w:numId="12" w16cid:durableId="197482533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75897149">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9436241">
    <w:abstractNumId w:val="16"/>
  </w:num>
  <w:num w:numId="15" w16cid:durableId="200943034">
    <w:abstractNumId w:val="23"/>
  </w:num>
  <w:num w:numId="16" w16cid:durableId="82177867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5514391">
    <w:abstractNumId w:val="26"/>
  </w:num>
  <w:num w:numId="18" w16cid:durableId="1447234913">
    <w:abstractNumId w:val="18"/>
  </w:num>
  <w:num w:numId="19" w16cid:durableId="793672390">
    <w:abstractNumId w:val="19"/>
  </w:num>
  <w:num w:numId="20" w16cid:durableId="537009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8667951">
    <w:abstractNumId w:val="24"/>
  </w:num>
  <w:num w:numId="22" w16cid:durableId="696925708">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29298189">
    <w:abstractNumId w:val="29"/>
  </w:num>
  <w:num w:numId="24" w16cid:durableId="441805563">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08548656">
    <w:abstractNumId w:val="14"/>
  </w:num>
  <w:num w:numId="26" w16cid:durableId="1485929812">
    <w:abstractNumId w:val="30"/>
  </w:num>
  <w:num w:numId="27" w16cid:durableId="193733122">
    <w:abstractNumId w:val="20"/>
  </w:num>
  <w:num w:numId="28" w16cid:durableId="342822487">
    <w:abstractNumId w:val="4"/>
  </w:num>
  <w:num w:numId="29" w16cid:durableId="1376007305">
    <w:abstractNumId w:val="0"/>
  </w:num>
  <w:num w:numId="30" w16cid:durableId="1720662844">
    <w:abstractNumId w:val="25"/>
  </w:num>
  <w:num w:numId="31" w16cid:durableId="1913079157">
    <w:abstractNumId w:val="21"/>
  </w:num>
  <w:num w:numId="32" w16cid:durableId="1935480397">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121488946">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98275729">
    <w:abstractNumId w:val="29"/>
  </w:num>
  <w:num w:numId="35" w16cid:durableId="2034719114">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88125451">
    <w:abstractNumId w:val="17"/>
  </w:num>
  <w:num w:numId="37" w16cid:durableId="1923836637">
    <w:abstractNumId w:val="7"/>
  </w:num>
  <w:num w:numId="38" w16cid:durableId="2099515700">
    <w:abstractNumId w:val="10"/>
  </w:num>
  <w:num w:numId="39" w16cid:durableId="1788812150">
    <w:abstractNumId w:val="26"/>
  </w:num>
  <w:num w:numId="40" w16cid:durableId="477577729">
    <w:abstractNumId w:val="11"/>
  </w:num>
  <w:num w:numId="41" w16cid:durableId="1585531909">
    <w:abstractNumId w:val="1"/>
  </w:num>
  <w:num w:numId="42" w16cid:durableId="925964647">
    <w:abstractNumId w:val="8"/>
  </w:num>
  <w:num w:numId="43" w16cid:durableId="16391466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US" w:vendorID="64" w:dllVersion="6" w:nlCheck="1" w:checkStyle="0"/>
  <w:activeWritingStyle w:appName="MSWord" w:lang="en-US" w:vendorID="64" w:dllVersion="0" w:nlCheck="1" w:checkStyle="0"/>
  <w:activeWritingStyle w:appName="MSWord" w:lang="fr-F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18EA"/>
    <w:rsid w:val="000106E9"/>
    <w:rsid w:val="00015359"/>
    <w:rsid w:val="00055A58"/>
    <w:rsid w:val="000640FE"/>
    <w:rsid w:val="00077EF6"/>
    <w:rsid w:val="0009432D"/>
    <w:rsid w:val="000A64C8"/>
    <w:rsid w:val="000A75D8"/>
    <w:rsid w:val="000A766F"/>
    <w:rsid w:val="000B1C3A"/>
    <w:rsid w:val="000B69B1"/>
    <w:rsid w:val="000D0185"/>
    <w:rsid w:val="000E5E81"/>
    <w:rsid w:val="000E739E"/>
    <w:rsid w:val="000F58DA"/>
    <w:rsid w:val="00104162"/>
    <w:rsid w:val="00105999"/>
    <w:rsid w:val="00106338"/>
    <w:rsid w:val="001253B3"/>
    <w:rsid w:val="00127AAF"/>
    <w:rsid w:val="00136F36"/>
    <w:rsid w:val="0014574C"/>
    <w:rsid w:val="00145BA1"/>
    <w:rsid w:val="00166847"/>
    <w:rsid w:val="00166DFD"/>
    <w:rsid w:val="0018318D"/>
    <w:rsid w:val="00192E33"/>
    <w:rsid w:val="00196517"/>
    <w:rsid w:val="001B6F7D"/>
    <w:rsid w:val="001C38CA"/>
    <w:rsid w:val="001C395E"/>
    <w:rsid w:val="001D1067"/>
    <w:rsid w:val="001D61FD"/>
    <w:rsid w:val="001E3F9A"/>
    <w:rsid w:val="001F39B1"/>
    <w:rsid w:val="00205F69"/>
    <w:rsid w:val="00207446"/>
    <w:rsid w:val="00213E61"/>
    <w:rsid w:val="002307F1"/>
    <w:rsid w:val="00253DBB"/>
    <w:rsid w:val="00270CB9"/>
    <w:rsid w:val="00271075"/>
    <w:rsid w:val="002770E9"/>
    <w:rsid w:val="002918B9"/>
    <w:rsid w:val="00293E06"/>
    <w:rsid w:val="002A0602"/>
    <w:rsid w:val="002A2E98"/>
    <w:rsid w:val="002B12E7"/>
    <w:rsid w:val="002D2863"/>
    <w:rsid w:val="002D7D40"/>
    <w:rsid w:val="002E574C"/>
    <w:rsid w:val="002E60A6"/>
    <w:rsid w:val="003016AB"/>
    <w:rsid w:val="0030200F"/>
    <w:rsid w:val="003117E0"/>
    <w:rsid w:val="003169A7"/>
    <w:rsid w:val="00322324"/>
    <w:rsid w:val="00323AFE"/>
    <w:rsid w:val="00326C7F"/>
    <w:rsid w:val="00336129"/>
    <w:rsid w:val="0034188C"/>
    <w:rsid w:val="0034465E"/>
    <w:rsid w:val="00356E92"/>
    <w:rsid w:val="003738BB"/>
    <w:rsid w:val="003741E5"/>
    <w:rsid w:val="00387D8C"/>
    <w:rsid w:val="00393C51"/>
    <w:rsid w:val="00393F21"/>
    <w:rsid w:val="003A14A5"/>
    <w:rsid w:val="003A4A0E"/>
    <w:rsid w:val="003B3C37"/>
    <w:rsid w:val="003B6A7D"/>
    <w:rsid w:val="003C056C"/>
    <w:rsid w:val="003C4952"/>
    <w:rsid w:val="003E0590"/>
    <w:rsid w:val="003E2BA1"/>
    <w:rsid w:val="003E386F"/>
    <w:rsid w:val="003F2CED"/>
    <w:rsid w:val="00403383"/>
    <w:rsid w:val="00403AC9"/>
    <w:rsid w:val="004118EA"/>
    <w:rsid w:val="00431645"/>
    <w:rsid w:val="00440104"/>
    <w:rsid w:val="00461E42"/>
    <w:rsid w:val="004729E7"/>
    <w:rsid w:val="00477C2A"/>
    <w:rsid w:val="00480F1E"/>
    <w:rsid w:val="00484B93"/>
    <w:rsid w:val="004A1D33"/>
    <w:rsid w:val="004B01BB"/>
    <w:rsid w:val="004B5647"/>
    <w:rsid w:val="004B6A28"/>
    <w:rsid w:val="004C1340"/>
    <w:rsid w:val="004C2504"/>
    <w:rsid w:val="004C2A5E"/>
    <w:rsid w:val="004C41C6"/>
    <w:rsid w:val="004E0EEF"/>
    <w:rsid w:val="004E39C7"/>
    <w:rsid w:val="004E76B1"/>
    <w:rsid w:val="004F177E"/>
    <w:rsid w:val="004F39A7"/>
    <w:rsid w:val="004F530D"/>
    <w:rsid w:val="00516ACC"/>
    <w:rsid w:val="00532D86"/>
    <w:rsid w:val="005364B0"/>
    <w:rsid w:val="00542998"/>
    <w:rsid w:val="00546E06"/>
    <w:rsid w:val="00547072"/>
    <w:rsid w:val="00573477"/>
    <w:rsid w:val="005959F0"/>
    <w:rsid w:val="005A23E7"/>
    <w:rsid w:val="005C0061"/>
    <w:rsid w:val="005E666B"/>
    <w:rsid w:val="005F1675"/>
    <w:rsid w:val="005F16A7"/>
    <w:rsid w:val="005F6B24"/>
    <w:rsid w:val="0061122F"/>
    <w:rsid w:val="0062059D"/>
    <w:rsid w:val="00630236"/>
    <w:rsid w:val="00661223"/>
    <w:rsid w:val="00676D53"/>
    <w:rsid w:val="006817AF"/>
    <w:rsid w:val="006825E8"/>
    <w:rsid w:val="00683E46"/>
    <w:rsid w:val="00684A8A"/>
    <w:rsid w:val="00685317"/>
    <w:rsid w:val="00697511"/>
    <w:rsid w:val="006A5C6F"/>
    <w:rsid w:val="006B2E2B"/>
    <w:rsid w:val="006B42B3"/>
    <w:rsid w:val="006B5E2E"/>
    <w:rsid w:val="006C2AE9"/>
    <w:rsid w:val="006D326D"/>
    <w:rsid w:val="006D65C3"/>
    <w:rsid w:val="006D7305"/>
    <w:rsid w:val="006E0405"/>
    <w:rsid w:val="006E1EB9"/>
    <w:rsid w:val="006F1C5D"/>
    <w:rsid w:val="006F3D77"/>
    <w:rsid w:val="006F42E7"/>
    <w:rsid w:val="006F72E4"/>
    <w:rsid w:val="00711B11"/>
    <w:rsid w:val="00711FC2"/>
    <w:rsid w:val="00712133"/>
    <w:rsid w:val="00713BC7"/>
    <w:rsid w:val="00721E73"/>
    <w:rsid w:val="00722CB3"/>
    <w:rsid w:val="0072305B"/>
    <w:rsid w:val="00733AD9"/>
    <w:rsid w:val="0074353C"/>
    <w:rsid w:val="00775F80"/>
    <w:rsid w:val="0077641D"/>
    <w:rsid w:val="00777534"/>
    <w:rsid w:val="007908F3"/>
    <w:rsid w:val="007912ED"/>
    <w:rsid w:val="007A5981"/>
    <w:rsid w:val="007C457E"/>
    <w:rsid w:val="007D2232"/>
    <w:rsid w:val="00812C2B"/>
    <w:rsid w:val="0083215C"/>
    <w:rsid w:val="00853B51"/>
    <w:rsid w:val="00861751"/>
    <w:rsid w:val="00862A87"/>
    <w:rsid w:val="00870BFD"/>
    <w:rsid w:val="008713BF"/>
    <w:rsid w:val="00877DC8"/>
    <w:rsid w:val="00882108"/>
    <w:rsid w:val="00883F7E"/>
    <w:rsid w:val="00887537"/>
    <w:rsid w:val="008902A0"/>
    <w:rsid w:val="0089296D"/>
    <w:rsid w:val="008A1DD1"/>
    <w:rsid w:val="008B012D"/>
    <w:rsid w:val="008B62ED"/>
    <w:rsid w:val="008B794F"/>
    <w:rsid w:val="008C261A"/>
    <w:rsid w:val="008C518C"/>
    <w:rsid w:val="008D775F"/>
    <w:rsid w:val="008E0E12"/>
    <w:rsid w:val="008E21C1"/>
    <w:rsid w:val="008E5A1C"/>
    <w:rsid w:val="00901AD6"/>
    <w:rsid w:val="0090715F"/>
    <w:rsid w:val="00916B44"/>
    <w:rsid w:val="00925655"/>
    <w:rsid w:val="00947C36"/>
    <w:rsid w:val="00980D77"/>
    <w:rsid w:val="009A6DA4"/>
    <w:rsid w:val="009B5517"/>
    <w:rsid w:val="009C672E"/>
    <w:rsid w:val="009D1754"/>
    <w:rsid w:val="009F1BB9"/>
    <w:rsid w:val="00A01C94"/>
    <w:rsid w:val="00A04242"/>
    <w:rsid w:val="00A23FCF"/>
    <w:rsid w:val="00A32069"/>
    <w:rsid w:val="00A34B25"/>
    <w:rsid w:val="00A47DA0"/>
    <w:rsid w:val="00A54226"/>
    <w:rsid w:val="00A56FDA"/>
    <w:rsid w:val="00A57814"/>
    <w:rsid w:val="00A62D2A"/>
    <w:rsid w:val="00A63C3C"/>
    <w:rsid w:val="00A7507D"/>
    <w:rsid w:val="00A82647"/>
    <w:rsid w:val="00A93EC1"/>
    <w:rsid w:val="00A946C0"/>
    <w:rsid w:val="00A9748F"/>
    <w:rsid w:val="00AA15CB"/>
    <w:rsid w:val="00AB03A1"/>
    <w:rsid w:val="00AB1465"/>
    <w:rsid w:val="00AB4326"/>
    <w:rsid w:val="00AC0CD1"/>
    <w:rsid w:val="00AC32A2"/>
    <w:rsid w:val="00AC3DAD"/>
    <w:rsid w:val="00AC4A1C"/>
    <w:rsid w:val="00AC600D"/>
    <w:rsid w:val="00AC6BCC"/>
    <w:rsid w:val="00AE3696"/>
    <w:rsid w:val="00AF025B"/>
    <w:rsid w:val="00AF0ED1"/>
    <w:rsid w:val="00B04FF0"/>
    <w:rsid w:val="00B06B82"/>
    <w:rsid w:val="00B14C4D"/>
    <w:rsid w:val="00B15BFE"/>
    <w:rsid w:val="00B2686A"/>
    <w:rsid w:val="00B33159"/>
    <w:rsid w:val="00B34649"/>
    <w:rsid w:val="00B45F74"/>
    <w:rsid w:val="00B6493D"/>
    <w:rsid w:val="00BA694B"/>
    <w:rsid w:val="00BB0839"/>
    <w:rsid w:val="00BB0E0F"/>
    <w:rsid w:val="00BB18CF"/>
    <w:rsid w:val="00BC0E77"/>
    <w:rsid w:val="00BD06A0"/>
    <w:rsid w:val="00BD78F3"/>
    <w:rsid w:val="00BF4F5F"/>
    <w:rsid w:val="00C10DC4"/>
    <w:rsid w:val="00C17AD2"/>
    <w:rsid w:val="00C2710E"/>
    <w:rsid w:val="00C30724"/>
    <w:rsid w:val="00C31769"/>
    <w:rsid w:val="00C3507C"/>
    <w:rsid w:val="00C35D1A"/>
    <w:rsid w:val="00C56AD0"/>
    <w:rsid w:val="00C61E1F"/>
    <w:rsid w:val="00C65941"/>
    <w:rsid w:val="00C7311F"/>
    <w:rsid w:val="00C73B84"/>
    <w:rsid w:val="00CA13BB"/>
    <w:rsid w:val="00CA2339"/>
    <w:rsid w:val="00CC696B"/>
    <w:rsid w:val="00CE53FD"/>
    <w:rsid w:val="00CF0785"/>
    <w:rsid w:val="00CF5BEF"/>
    <w:rsid w:val="00D07EA7"/>
    <w:rsid w:val="00D25862"/>
    <w:rsid w:val="00D351A1"/>
    <w:rsid w:val="00D4350B"/>
    <w:rsid w:val="00D57B72"/>
    <w:rsid w:val="00D64988"/>
    <w:rsid w:val="00D67B22"/>
    <w:rsid w:val="00D74322"/>
    <w:rsid w:val="00D7724F"/>
    <w:rsid w:val="00D802FF"/>
    <w:rsid w:val="00D83D79"/>
    <w:rsid w:val="00D92CF3"/>
    <w:rsid w:val="00DA18C0"/>
    <w:rsid w:val="00DA33A2"/>
    <w:rsid w:val="00DC110D"/>
    <w:rsid w:val="00DC336C"/>
    <w:rsid w:val="00DD0733"/>
    <w:rsid w:val="00DD5672"/>
    <w:rsid w:val="00DD5B71"/>
    <w:rsid w:val="00DD73D3"/>
    <w:rsid w:val="00DD7ED2"/>
    <w:rsid w:val="00DF2977"/>
    <w:rsid w:val="00DF3EEB"/>
    <w:rsid w:val="00E07AD8"/>
    <w:rsid w:val="00E11708"/>
    <w:rsid w:val="00E20310"/>
    <w:rsid w:val="00E313F6"/>
    <w:rsid w:val="00E42671"/>
    <w:rsid w:val="00E45C83"/>
    <w:rsid w:val="00E53E0F"/>
    <w:rsid w:val="00E82467"/>
    <w:rsid w:val="00E826F1"/>
    <w:rsid w:val="00E91E43"/>
    <w:rsid w:val="00E91F3E"/>
    <w:rsid w:val="00E967F7"/>
    <w:rsid w:val="00EC0805"/>
    <w:rsid w:val="00EC75EA"/>
    <w:rsid w:val="00ED2999"/>
    <w:rsid w:val="00EF78A0"/>
    <w:rsid w:val="00F02B3B"/>
    <w:rsid w:val="00F03586"/>
    <w:rsid w:val="00F23A00"/>
    <w:rsid w:val="00F31C2A"/>
    <w:rsid w:val="00F330E9"/>
    <w:rsid w:val="00F372D0"/>
    <w:rsid w:val="00F401A9"/>
    <w:rsid w:val="00F44A2C"/>
    <w:rsid w:val="00F53497"/>
    <w:rsid w:val="00F65521"/>
    <w:rsid w:val="00F72F52"/>
    <w:rsid w:val="00F772AC"/>
    <w:rsid w:val="00F92F82"/>
    <w:rsid w:val="00F94F33"/>
    <w:rsid w:val="00FA436D"/>
    <w:rsid w:val="00FA5F4C"/>
    <w:rsid w:val="00FC13D1"/>
    <w:rsid w:val="00FC28E2"/>
    <w:rsid w:val="00FC5DF3"/>
    <w:rsid w:val="00FD5A0D"/>
    <w:rsid w:val="00FF611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68C910"/>
  <w15:chartTrackingRefBased/>
  <w15:docId w15:val="{EF630A57-40BE-4F0D-BFC6-20457A0DB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
    <w:name w:val="Body Text"/>
    <w:aliases w:val="bt"/>
    <w:basedOn w:val="Normal"/>
    <w:rPr>
      <w:color w:val="auto"/>
      <w:kern w:val="0"/>
      <w:sz w:val="24"/>
    </w:rPr>
  </w:style>
  <w:style w:type="character" w:styleId="Hyperlink">
    <w:name w:val="Hyperlink"/>
    <w:uiPriority w:val="99"/>
    <w:rPr>
      <w:color w:val="0000FF"/>
      <w:u w:val="single"/>
    </w:rPr>
  </w:style>
  <w:style w:type="paragraph" w:styleId="BalloonText">
    <w:name w:val="Balloon Text"/>
    <w:basedOn w:val="Normal"/>
    <w:semiHidden/>
    <w:rPr>
      <w:rFonts w:ascii="Tahoma" w:hAnsi="Tahoma" w:cs="Tahoma"/>
      <w:sz w:val="16"/>
      <w:szCs w:val="16"/>
    </w:rPr>
  </w:style>
  <w:style w:type="character" w:customStyle="1" w:styleId="cthomas">
    <w:name w:val="cthomas"/>
    <w:semiHidden/>
    <w:rPr>
      <w:rFonts w:ascii="Arial" w:hAnsi="Arial" w:cs="Arial"/>
      <w:color w:val="auto"/>
      <w:sz w:val="20"/>
      <w:szCs w:val="20"/>
    </w:rPr>
  </w:style>
  <w:style w:type="paragraph" w:styleId="NormalWeb">
    <w:name w:val="Normal (Web)"/>
    <w:basedOn w:val="Normal"/>
    <w:uiPriority w:val="99"/>
    <w:pPr>
      <w:spacing w:before="100" w:beforeAutospacing="1" w:after="100" w:afterAutospacing="1"/>
    </w:pPr>
    <w:rPr>
      <w:color w:val="auto"/>
      <w:kern w:val="0"/>
      <w:sz w:val="24"/>
      <w:szCs w:val="24"/>
    </w:rPr>
  </w:style>
  <w:style w:type="character" w:customStyle="1" w:styleId="apple-converted-space">
    <w:name w:val="apple-converted-space"/>
    <w:basedOn w:val="DefaultParagraphFont"/>
  </w:style>
  <w:style w:type="character" w:styleId="Strong">
    <w:name w:val="Strong"/>
    <w:qFormat/>
    <w:rPr>
      <w:b/>
      <w:bCs/>
    </w:rPr>
  </w:style>
  <w:style w:type="character" w:styleId="Emphasis">
    <w:name w:val="Emphasis"/>
    <w:uiPriority w:val="20"/>
    <w:qFormat/>
    <w:rPr>
      <w:i/>
      <w:iCs/>
    </w:rPr>
  </w:style>
  <w:style w:type="paragraph" w:styleId="BodyText2">
    <w:name w:val="Body Text 2"/>
    <w:basedOn w:val="Normal"/>
    <w:pPr>
      <w:spacing w:after="120" w:line="480" w:lineRule="auto"/>
    </w:pPr>
  </w:style>
  <w:style w:type="paragraph" w:styleId="ListParagraph">
    <w:name w:val="List Paragraph"/>
    <w:basedOn w:val="Normal"/>
    <w:uiPriority w:val="34"/>
    <w:qFormat/>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Pr>
      <w:color w:val="000000"/>
      <w:kern w:val="28"/>
    </w:rPr>
  </w:style>
  <w:style w:type="paragraph" w:styleId="FootnoteText">
    <w:name w:val="footnote text"/>
    <w:basedOn w:val="Normal"/>
    <w:link w:val="FootnoteTextChar"/>
  </w:style>
  <w:style w:type="character" w:customStyle="1" w:styleId="FootnoteTextChar">
    <w:name w:val="Footnote Text Char"/>
    <w:link w:val="FootnoteText"/>
    <w:rPr>
      <w:color w:val="000000"/>
      <w:kern w:val="28"/>
    </w:rPr>
  </w:style>
  <w:style w:type="character" w:styleId="FootnoteReference">
    <w:name w:val="footnote reference"/>
    <w:rPr>
      <w:vertAlign w:val="superscript"/>
    </w:rPr>
  </w:style>
  <w:style w:type="character" w:styleId="CommentReference">
    <w:name w:val="annotation reference"/>
    <w:rPr>
      <w:sz w:val="16"/>
      <w:szCs w:val="16"/>
    </w:rPr>
  </w:style>
  <w:style w:type="paragraph" w:styleId="CommentText">
    <w:name w:val="annotation text"/>
    <w:basedOn w:val="Normal"/>
    <w:link w:val="CommentTextChar"/>
  </w:style>
  <w:style w:type="character" w:customStyle="1" w:styleId="CommentTextChar">
    <w:name w:val="Comment Text Char"/>
    <w:link w:val="CommentText"/>
    <w:rPr>
      <w:color w:val="000000"/>
      <w:kern w:val="28"/>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color w:val="000000"/>
      <w:kern w:val="28"/>
    </w:rPr>
  </w:style>
  <w:style w:type="character" w:customStyle="1" w:styleId="normaltextrun">
    <w:name w:val="normaltextrun"/>
    <w:basedOn w:val="DefaultParagraphFont"/>
  </w:style>
  <w:style w:type="character" w:customStyle="1" w:styleId="eop">
    <w:name w:val="eop"/>
    <w:basedOn w:val="DefaultParagraphFont"/>
  </w:style>
  <w:style w:type="paragraph" w:customStyle="1" w:styleId="Default">
    <w:name w:val="Default"/>
    <w:pPr>
      <w:autoSpaceDE w:val="0"/>
      <w:autoSpaceDN w:val="0"/>
      <w:adjustRightInd w:val="0"/>
    </w:pPr>
    <w:rPr>
      <w:color w:val="000000"/>
      <w:sz w:val="24"/>
      <w:szCs w:val="24"/>
    </w:rPr>
  </w:style>
  <w:style w:type="character" w:styleId="FollowedHyperlink">
    <w:name w:val="FollowedHyperlink"/>
    <w:basedOn w:val="DefaultParagraphFont"/>
    <w:rPr>
      <w:color w:val="954F72" w:themeColor="followedHyperlink"/>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customStyle="1" w:styleId="paragraph">
    <w:name w:val="paragraph"/>
    <w:basedOn w:val="Normal"/>
    <w:rsid w:val="00F401A9"/>
    <w:pPr>
      <w:spacing w:before="100" w:beforeAutospacing="1" w:after="100" w:afterAutospacing="1"/>
    </w:pPr>
    <w:rPr>
      <w:color w:val="auto"/>
      <w:kern w:val="0"/>
      <w:sz w:val="24"/>
      <w:szCs w:val="24"/>
    </w:rPr>
  </w:style>
  <w:style w:type="character" w:customStyle="1" w:styleId="superscript">
    <w:name w:val="superscript"/>
    <w:basedOn w:val="DefaultParagraphFont"/>
    <w:rsid w:val="00F401A9"/>
  </w:style>
  <w:style w:type="paragraph" w:styleId="Revision">
    <w:name w:val="Revision"/>
    <w:hidden/>
    <w:uiPriority w:val="99"/>
    <w:semiHidden/>
    <w:rsid w:val="00AF0ED1"/>
    <w:rPr>
      <w:color w:val="000000"/>
      <w:kern w:val="28"/>
      <w:lang w:eastAsia="en-US"/>
    </w:rPr>
  </w:style>
  <w:style w:type="character" w:styleId="UnresolvedMention">
    <w:name w:val="Unresolved Mention"/>
    <w:basedOn w:val="DefaultParagraphFont"/>
    <w:uiPriority w:val="99"/>
    <w:semiHidden/>
    <w:unhideWhenUsed/>
    <w:rsid w:val="00D258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2526">
      <w:bodyDiv w:val="1"/>
      <w:marLeft w:val="0"/>
      <w:marRight w:val="0"/>
      <w:marTop w:val="0"/>
      <w:marBottom w:val="0"/>
      <w:divBdr>
        <w:top w:val="none" w:sz="0" w:space="0" w:color="auto"/>
        <w:left w:val="none" w:sz="0" w:space="0" w:color="auto"/>
        <w:bottom w:val="none" w:sz="0" w:space="0" w:color="auto"/>
        <w:right w:val="none" w:sz="0" w:space="0" w:color="auto"/>
      </w:divBdr>
    </w:div>
    <w:div w:id="18432157">
      <w:bodyDiv w:val="1"/>
      <w:marLeft w:val="0"/>
      <w:marRight w:val="0"/>
      <w:marTop w:val="0"/>
      <w:marBottom w:val="0"/>
      <w:divBdr>
        <w:top w:val="none" w:sz="0" w:space="0" w:color="auto"/>
        <w:left w:val="none" w:sz="0" w:space="0" w:color="auto"/>
        <w:bottom w:val="none" w:sz="0" w:space="0" w:color="auto"/>
        <w:right w:val="none" w:sz="0" w:space="0" w:color="auto"/>
      </w:divBdr>
    </w:div>
    <w:div w:id="54473653">
      <w:bodyDiv w:val="1"/>
      <w:marLeft w:val="0"/>
      <w:marRight w:val="0"/>
      <w:marTop w:val="0"/>
      <w:marBottom w:val="0"/>
      <w:divBdr>
        <w:top w:val="none" w:sz="0" w:space="0" w:color="auto"/>
        <w:left w:val="none" w:sz="0" w:space="0" w:color="auto"/>
        <w:bottom w:val="none" w:sz="0" w:space="0" w:color="auto"/>
        <w:right w:val="none" w:sz="0" w:space="0" w:color="auto"/>
      </w:divBdr>
    </w:div>
    <w:div w:id="148714289">
      <w:bodyDiv w:val="1"/>
      <w:marLeft w:val="0"/>
      <w:marRight w:val="0"/>
      <w:marTop w:val="0"/>
      <w:marBottom w:val="0"/>
      <w:divBdr>
        <w:top w:val="none" w:sz="0" w:space="0" w:color="auto"/>
        <w:left w:val="none" w:sz="0" w:space="0" w:color="auto"/>
        <w:bottom w:val="none" w:sz="0" w:space="0" w:color="auto"/>
        <w:right w:val="none" w:sz="0" w:space="0" w:color="auto"/>
      </w:divBdr>
    </w:div>
    <w:div w:id="153880553">
      <w:bodyDiv w:val="1"/>
      <w:marLeft w:val="0"/>
      <w:marRight w:val="0"/>
      <w:marTop w:val="0"/>
      <w:marBottom w:val="0"/>
      <w:divBdr>
        <w:top w:val="none" w:sz="0" w:space="0" w:color="auto"/>
        <w:left w:val="none" w:sz="0" w:space="0" w:color="auto"/>
        <w:bottom w:val="none" w:sz="0" w:space="0" w:color="auto"/>
        <w:right w:val="none" w:sz="0" w:space="0" w:color="auto"/>
      </w:divBdr>
    </w:div>
    <w:div w:id="311642179">
      <w:bodyDiv w:val="1"/>
      <w:marLeft w:val="0"/>
      <w:marRight w:val="0"/>
      <w:marTop w:val="0"/>
      <w:marBottom w:val="0"/>
      <w:divBdr>
        <w:top w:val="none" w:sz="0" w:space="0" w:color="auto"/>
        <w:left w:val="none" w:sz="0" w:space="0" w:color="auto"/>
        <w:bottom w:val="none" w:sz="0" w:space="0" w:color="auto"/>
        <w:right w:val="none" w:sz="0" w:space="0" w:color="auto"/>
      </w:divBdr>
    </w:div>
    <w:div w:id="332219787">
      <w:bodyDiv w:val="1"/>
      <w:marLeft w:val="0"/>
      <w:marRight w:val="0"/>
      <w:marTop w:val="0"/>
      <w:marBottom w:val="0"/>
      <w:divBdr>
        <w:top w:val="none" w:sz="0" w:space="0" w:color="auto"/>
        <w:left w:val="none" w:sz="0" w:space="0" w:color="auto"/>
        <w:bottom w:val="none" w:sz="0" w:space="0" w:color="auto"/>
        <w:right w:val="none" w:sz="0" w:space="0" w:color="auto"/>
      </w:divBdr>
    </w:div>
    <w:div w:id="351685117">
      <w:bodyDiv w:val="1"/>
      <w:marLeft w:val="0"/>
      <w:marRight w:val="0"/>
      <w:marTop w:val="0"/>
      <w:marBottom w:val="0"/>
      <w:divBdr>
        <w:top w:val="none" w:sz="0" w:space="0" w:color="auto"/>
        <w:left w:val="none" w:sz="0" w:space="0" w:color="auto"/>
        <w:bottom w:val="none" w:sz="0" w:space="0" w:color="auto"/>
        <w:right w:val="none" w:sz="0" w:space="0" w:color="auto"/>
      </w:divBdr>
    </w:div>
    <w:div w:id="380516515">
      <w:bodyDiv w:val="1"/>
      <w:marLeft w:val="0"/>
      <w:marRight w:val="0"/>
      <w:marTop w:val="0"/>
      <w:marBottom w:val="0"/>
      <w:divBdr>
        <w:top w:val="none" w:sz="0" w:space="0" w:color="auto"/>
        <w:left w:val="none" w:sz="0" w:space="0" w:color="auto"/>
        <w:bottom w:val="none" w:sz="0" w:space="0" w:color="auto"/>
        <w:right w:val="none" w:sz="0" w:space="0" w:color="auto"/>
      </w:divBdr>
    </w:div>
    <w:div w:id="449318922">
      <w:bodyDiv w:val="1"/>
      <w:marLeft w:val="0"/>
      <w:marRight w:val="0"/>
      <w:marTop w:val="0"/>
      <w:marBottom w:val="0"/>
      <w:divBdr>
        <w:top w:val="none" w:sz="0" w:space="0" w:color="auto"/>
        <w:left w:val="none" w:sz="0" w:space="0" w:color="auto"/>
        <w:bottom w:val="none" w:sz="0" w:space="0" w:color="auto"/>
        <w:right w:val="none" w:sz="0" w:space="0" w:color="auto"/>
      </w:divBdr>
    </w:div>
    <w:div w:id="465464865">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518545915">
      <w:bodyDiv w:val="1"/>
      <w:marLeft w:val="0"/>
      <w:marRight w:val="0"/>
      <w:marTop w:val="0"/>
      <w:marBottom w:val="0"/>
      <w:divBdr>
        <w:top w:val="none" w:sz="0" w:space="0" w:color="auto"/>
        <w:left w:val="none" w:sz="0" w:space="0" w:color="auto"/>
        <w:bottom w:val="none" w:sz="0" w:space="0" w:color="auto"/>
        <w:right w:val="none" w:sz="0" w:space="0" w:color="auto"/>
      </w:divBdr>
    </w:div>
    <w:div w:id="539241597">
      <w:bodyDiv w:val="1"/>
      <w:marLeft w:val="0"/>
      <w:marRight w:val="0"/>
      <w:marTop w:val="0"/>
      <w:marBottom w:val="0"/>
      <w:divBdr>
        <w:top w:val="none" w:sz="0" w:space="0" w:color="auto"/>
        <w:left w:val="none" w:sz="0" w:space="0" w:color="auto"/>
        <w:bottom w:val="none" w:sz="0" w:space="0" w:color="auto"/>
        <w:right w:val="none" w:sz="0" w:space="0" w:color="auto"/>
      </w:divBdr>
    </w:div>
    <w:div w:id="545220661">
      <w:bodyDiv w:val="1"/>
      <w:marLeft w:val="0"/>
      <w:marRight w:val="0"/>
      <w:marTop w:val="0"/>
      <w:marBottom w:val="0"/>
      <w:divBdr>
        <w:top w:val="none" w:sz="0" w:space="0" w:color="auto"/>
        <w:left w:val="none" w:sz="0" w:space="0" w:color="auto"/>
        <w:bottom w:val="none" w:sz="0" w:space="0" w:color="auto"/>
        <w:right w:val="none" w:sz="0" w:space="0" w:color="auto"/>
      </w:divBdr>
    </w:div>
    <w:div w:id="546722230">
      <w:bodyDiv w:val="1"/>
      <w:marLeft w:val="0"/>
      <w:marRight w:val="0"/>
      <w:marTop w:val="0"/>
      <w:marBottom w:val="0"/>
      <w:divBdr>
        <w:top w:val="none" w:sz="0" w:space="0" w:color="auto"/>
        <w:left w:val="none" w:sz="0" w:space="0" w:color="auto"/>
        <w:bottom w:val="none" w:sz="0" w:space="0" w:color="auto"/>
        <w:right w:val="none" w:sz="0" w:space="0" w:color="auto"/>
      </w:divBdr>
      <w:divsChild>
        <w:div w:id="204369742">
          <w:marLeft w:val="0"/>
          <w:marRight w:val="0"/>
          <w:marTop w:val="0"/>
          <w:marBottom w:val="0"/>
          <w:divBdr>
            <w:top w:val="none" w:sz="0" w:space="0" w:color="auto"/>
            <w:left w:val="none" w:sz="0" w:space="0" w:color="auto"/>
            <w:bottom w:val="none" w:sz="0" w:space="0" w:color="auto"/>
            <w:right w:val="none" w:sz="0" w:space="0" w:color="auto"/>
          </w:divBdr>
        </w:div>
      </w:divsChild>
    </w:div>
    <w:div w:id="603996580">
      <w:bodyDiv w:val="1"/>
      <w:marLeft w:val="0"/>
      <w:marRight w:val="0"/>
      <w:marTop w:val="0"/>
      <w:marBottom w:val="0"/>
      <w:divBdr>
        <w:top w:val="none" w:sz="0" w:space="0" w:color="auto"/>
        <w:left w:val="none" w:sz="0" w:space="0" w:color="auto"/>
        <w:bottom w:val="none" w:sz="0" w:space="0" w:color="auto"/>
        <w:right w:val="none" w:sz="0" w:space="0" w:color="auto"/>
      </w:divBdr>
    </w:div>
    <w:div w:id="606428246">
      <w:bodyDiv w:val="1"/>
      <w:marLeft w:val="0"/>
      <w:marRight w:val="0"/>
      <w:marTop w:val="0"/>
      <w:marBottom w:val="0"/>
      <w:divBdr>
        <w:top w:val="none" w:sz="0" w:space="0" w:color="auto"/>
        <w:left w:val="none" w:sz="0" w:space="0" w:color="auto"/>
        <w:bottom w:val="none" w:sz="0" w:space="0" w:color="auto"/>
        <w:right w:val="none" w:sz="0" w:space="0" w:color="auto"/>
      </w:divBdr>
    </w:div>
    <w:div w:id="615451970">
      <w:bodyDiv w:val="1"/>
      <w:marLeft w:val="0"/>
      <w:marRight w:val="0"/>
      <w:marTop w:val="0"/>
      <w:marBottom w:val="0"/>
      <w:divBdr>
        <w:top w:val="none" w:sz="0" w:space="0" w:color="auto"/>
        <w:left w:val="none" w:sz="0" w:space="0" w:color="auto"/>
        <w:bottom w:val="none" w:sz="0" w:space="0" w:color="auto"/>
        <w:right w:val="none" w:sz="0" w:space="0" w:color="auto"/>
      </w:divBdr>
    </w:div>
    <w:div w:id="624654508">
      <w:bodyDiv w:val="1"/>
      <w:marLeft w:val="0"/>
      <w:marRight w:val="0"/>
      <w:marTop w:val="0"/>
      <w:marBottom w:val="0"/>
      <w:divBdr>
        <w:top w:val="none" w:sz="0" w:space="0" w:color="auto"/>
        <w:left w:val="none" w:sz="0" w:space="0" w:color="auto"/>
        <w:bottom w:val="none" w:sz="0" w:space="0" w:color="auto"/>
        <w:right w:val="none" w:sz="0" w:space="0" w:color="auto"/>
      </w:divBdr>
    </w:div>
    <w:div w:id="810101799">
      <w:bodyDiv w:val="1"/>
      <w:marLeft w:val="0"/>
      <w:marRight w:val="0"/>
      <w:marTop w:val="0"/>
      <w:marBottom w:val="0"/>
      <w:divBdr>
        <w:top w:val="none" w:sz="0" w:space="0" w:color="auto"/>
        <w:left w:val="none" w:sz="0" w:space="0" w:color="auto"/>
        <w:bottom w:val="none" w:sz="0" w:space="0" w:color="auto"/>
        <w:right w:val="none" w:sz="0" w:space="0" w:color="auto"/>
      </w:divBdr>
    </w:div>
    <w:div w:id="882597304">
      <w:bodyDiv w:val="1"/>
      <w:marLeft w:val="0"/>
      <w:marRight w:val="0"/>
      <w:marTop w:val="0"/>
      <w:marBottom w:val="0"/>
      <w:divBdr>
        <w:top w:val="none" w:sz="0" w:space="0" w:color="auto"/>
        <w:left w:val="none" w:sz="0" w:space="0" w:color="auto"/>
        <w:bottom w:val="none" w:sz="0" w:space="0" w:color="auto"/>
        <w:right w:val="none" w:sz="0" w:space="0" w:color="auto"/>
      </w:divBdr>
    </w:div>
    <w:div w:id="887571572">
      <w:bodyDiv w:val="1"/>
      <w:marLeft w:val="0"/>
      <w:marRight w:val="0"/>
      <w:marTop w:val="0"/>
      <w:marBottom w:val="0"/>
      <w:divBdr>
        <w:top w:val="none" w:sz="0" w:space="0" w:color="auto"/>
        <w:left w:val="none" w:sz="0" w:space="0" w:color="auto"/>
        <w:bottom w:val="none" w:sz="0" w:space="0" w:color="auto"/>
        <w:right w:val="none" w:sz="0" w:space="0" w:color="auto"/>
      </w:divBdr>
    </w:div>
    <w:div w:id="913782844">
      <w:bodyDiv w:val="1"/>
      <w:marLeft w:val="0"/>
      <w:marRight w:val="0"/>
      <w:marTop w:val="0"/>
      <w:marBottom w:val="0"/>
      <w:divBdr>
        <w:top w:val="none" w:sz="0" w:space="0" w:color="auto"/>
        <w:left w:val="none" w:sz="0" w:space="0" w:color="auto"/>
        <w:bottom w:val="none" w:sz="0" w:space="0" w:color="auto"/>
        <w:right w:val="none" w:sz="0" w:space="0" w:color="auto"/>
      </w:divBdr>
    </w:div>
    <w:div w:id="926767432">
      <w:bodyDiv w:val="1"/>
      <w:marLeft w:val="0"/>
      <w:marRight w:val="0"/>
      <w:marTop w:val="0"/>
      <w:marBottom w:val="0"/>
      <w:divBdr>
        <w:top w:val="none" w:sz="0" w:space="0" w:color="auto"/>
        <w:left w:val="none" w:sz="0" w:space="0" w:color="auto"/>
        <w:bottom w:val="none" w:sz="0" w:space="0" w:color="auto"/>
        <w:right w:val="none" w:sz="0" w:space="0" w:color="auto"/>
      </w:divBdr>
    </w:div>
    <w:div w:id="956638648">
      <w:bodyDiv w:val="1"/>
      <w:marLeft w:val="0"/>
      <w:marRight w:val="0"/>
      <w:marTop w:val="0"/>
      <w:marBottom w:val="0"/>
      <w:divBdr>
        <w:top w:val="none" w:sz="0" w:space="0" w:color="auto"/>
        <w:left w:val="none" w:sz="0" w:space="0" w:color="auto"/>
        <w:bottom w:val="none" w:sz="0" w:space="0" w:color="auto"/>
        <w:right w:val="none" w:sz="0" w:space="0" w:color="auto"/>
      </w:divBdr>
    </w:div>
    <w:div w:id="988901379">
      <w:bodyDiv w:val="1"/>
      <w:marLeft w:val="0"/>
      <w:marRight w:val="0"/>
      <w:marTop w:val="0"/>
      <w:marBottom w:val="0"/>
      <w:divBdr>
        <w:top w:val="none" w:sz="0" w:space="0" w:color="auto"/>
        <w:left w:val="none" w:sz="0" w:space="0" w:color="auto"/>
        <w:bottom w:val="none" w:sz="0" w:space="0" w:color="auto"/>
        <w:right w:val="none" w:sz="0" w:space="0" w:color="auto"/>
      </w:divBdr>
    </w:div>
    <w:div w:id="1051080522">
      <w:bodyDiv w:val="1"/>
      <w:marLeft w:val="0"/>
      <w:marRight w:val="0"/>
      <w:marTop w:val="0"/>
      <w:marBottom w:val="0"/>
      <w:divBdr>
        <w:top w:val="none" w:sz="0" w:space="0" w:color="auto"/>
        <w:left w:val="none" w:sz="0" w:space="0" w:color="auto"/>
        <w:bottom w:val="none" w:sz="0" w:space="0" w:color="auto"/>
        <w:right w:val="none" w:sz="0" w:space="0" w:color="auto"/>
      </w:divBdr>
    </w:div>
    <w:div w:id="1077090298">
      <w:bodyDiv w:val="1"/>
      <w:marLeft w:val="0"/>
      <w:marRight w:val="0"/>
      <w:marTop w:val="0"/>
      <w:marBottom w:val="0"/>
      <w:divBdr>
        <w:top w:val="none" w:sz="0" w:space="0" w:color="auto"/>
        <w:left w:val="none" w:sz="0" w:space="0" w:color="auto"/>
        <w:bottom w:val="none" w:sz="0" w:space="0" w:color="auto"/>
        <w:right w:val="none" w:sz="0" w:space="0" w:color="auto"/>
      </w:divBdr>
    </w:div>
    <w:div w:id="1083069014">
      <w:bodyDiv w:val="1"/>
      <w:marLeft w:val="0"/>
      <w:marRight w:val="0"/>
      <w:marTop w:val="0"/>
      <w:marBottom w:val="0"/>
      <w:divBdr>
        <w:top w:val="none" w:sz="0" w:space="0" w:color="auto"/>
        <w:left w:val="none" w:sz="0" w:space="0" w:color="auto"/>
        <w:bottom w:val="none" w:sz="0" w:space="0" w:color="auto"/>
        <w:right w:val="none" w:sz="0" w:space="0" w:color="auto"/>
      </w:divBdr>
    </w:div>
    <w:div w:id="1242791382">
      <w:bodyDiv w:val="1"/>
      <w:marLeft w:val="0"/>
      <w:marRight w:val="0"/>
      <w:marTop w:val="0"/>
      <w:marBottom w:val="0"/>
      <w:divBdr>
        <w:top w:val="none" w:sz="0" w:space="0" w:color="auto"/>
        <w:left w:val="none" w:sz="0" w:space="0" w:color="auto"/>
        <w:bottom w:val="none" w:sz="0" w:space="0" w:color="auto"/>
        <w:right w:val="none" w:sz="0" w:space="0" w:color="auto"/>
      </w:divBdr>
    </w:div>
    <w:div w:id="1290941392">
      <w:bodyDiv w:val="1"/>
      <w:marLeft w:val="0"/>
      <w:marRight w:val="0"/>
      <w:marTop w:val="0"/>
      <w:marBottom w:val="0"/>
      <w:divBdr>
        <w:top w:val="none" w:sz="0" w:space="0" w:color="auto"/>
        <w:left w:val="none" w:sz="0" w:space="0" w:color="auto"/>
        <w:bottom w:val="none" w:sz="0" w:space="0" w:color="auto"/>
        <w:right w:val="none" w:sz="0" w:space="0" w:color="auto"/>
      </w:divBdr>
    </w:div>
    <w:div w:id="1300651231">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457214686">
      <w:bodyDiv w:val="1"/>
      <w:marLeft w:val="0"/>
      <w:marRight w:val="0"/>
      <w:marTop w:val="0"/>
      <w:marBottom w:val="0"/>
      <w:divBdr>
        <w:top w:val="none" w:sz="0" w:space="0" w:color="auto"/>
        <w:left w:val="none" w:sz="0" w:space="0" w:color="auto"/>
        <w:bottom w:val="none" w:sz="0" w:space="0" w:color="auto"/>
        <w:right w:val="none" w:sz="0" w:space="0" w:color="auto"/>
      </w:divBdr>
    </w:div>
    <w:div w:id="1466966692">
      <w:bodyDiv w:val="1"/>
      <w:marLeft w:val="0"/>
      <w:marRight w:val="0"/>
      <w:marTop w:val="0"/>
      <w:marBottom w:val="0"/>
      <w:divBdr>
        <w:top w:val="none" w:sz="0" w:space="0" w:color="auto"/>
        <w:left w:val="none" w:sz="0" w:space="0" w:color="auto"/>
        <w:bottom w:val="none" w:sz="0" w:space="0" w:color="auto"/>
        <w:right w:val="none" w:sz="0" w:space="0" w:color="auto"/>
      </w:divBdr>
    </w:div>
    <w:div w:id="1478689452">
      <w:bodyDiv w:val="1"/>
      <w:marLeft w:val="0"/>
      <w:marRight w:val="0"/>
      <w:marTop w:val="0"/>
      <w:marBottom w:val="0"/>
      <w:divBdr>
        <w:top w:val="none" w:sz="0" w:space="0" w:color="auto"/>
        <w:left w:val="none" w:sz="0" w:space="0" w:color="auto"/>
        <w:bottom w:val="none" w:sz="0" w:space="0" w:color="auto"/>
        <w:right w:val="none" w:sz="0" w:space="0" w:color="auto"/>
      </w:divBdr>
    </w:div>
    <w:div w:id="1551378748">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670596906">
      <w:bodyDiv w:val="1"/>
      <w:marLeft w:val="0"/>
      <w:marRight w:val="0"/>
      <w:marTop w:val="0"/>
      <w:marBottom w:val="0"/>
      <w:divBdr>
        <w:top w:val="none" w:sz="0" w:space="0" w:color="auto"/>
        <w:left w:val="none" w:sz="0" w:space="0" w:color="auto"/>
        <w:bottom w:val="none" w:sz="0" w:space="0" w:color="auto"/>
        <w:right w:val="none" w:sz="0" w:space="0" w:color="auto"/>
      </w:divBdr>
    </w:div>
    <w:div w:id="1715235216">
      <w:bodyDiv w:val="1"/>
      <w:marLeft w:val="0"/>
      <w:marRight w:val="0"/>
      <w:marTop w:val="0"/>
      <w:marBottom w:val="0"/>
      <w:divBdr>
        <w:top w:val="none" w:sz="0" w:space="0" w:color="auto"/>
        <w:left w:val="none" w:sz="0" w:space="0" w:color="auto"/>
        <w:bottom w:val="none" w:sz="0" w:space="0" w:color="auto"/>
        <w:right w:val="none" w:sz="0" w:space="0" w:color="auto"/>
      </w:divBdr>
    </w:div>
    <w:div w:id="1852721692">
      <w:bodyDiv w:val="1"/>
      <w:marLeft w:val="0"/>
      <w:marRight w:val="0"/>
      <w:marTop w:val="0"/>
      <w:marBottom w:val="0"/>
      <w:divBdr>
        <w:top w:val="none" w:sz="0" w:space="0" w:color="auto"/>
        <w:left w:val="none" w:sz="0" w:space="0" w:color="auto"/>
        <w:bottom w:val="none" w:sz="0" w:space="0" w:color="auto"/>
        <w:right w:val="none" w:sz="0" w:space="0" w:color="auto"/>
      </w:divBdr>
    </w:div>
    <w:div w:id="1855921365">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1936862664">
      <w:bodyDiv w:val="1"/>
      <w:marLeft w:val="0"/>
      <w:marRight w:val="0"/>
      <w:marTop w:val="0"/>
      <w:marBottom w:val="0"/>
      <w:divBdr>
        <w:top w:val="none" w:sz="0" w:space="0" w:color="auto"/>
        <w:left w:val="none" w:sz="0" w:space="0" w:color="auto"/>
        <w:bottom w:val="none" w:sz="0" w:space="0" w:color="auto"/>
        <w:right w:val="none" w:sz="0" w:space="0" w:color="auto"/>
      </w:divBdr>
    </w:div>
    <w:div w:id="1953122937">
      <w:bodyDiv w:val="1"/>
      <w:marLeft w:val="0"/>
      <w:marRight w:val="0"/>
      <w:marTop w:val="0"/>
      <w:marBottom w:val="0"/>
      <w:divBdr>
        <w:top w:val="none" w:sz="0" w:space="0" w:color="auto"/>
        <w:left w:val="none" w:sz="0" w:space="0" w:color="auto"/>
        <w:bottom w:val="none" w:sz="0" w:space="0" w:color="auto"/>
        <w:right w:val="none" w:sz="0" w:space="0" w:color="auto"/>
      </w:divBdr>
    </w:div>
    <w:div w:id="1965229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media/image3.svg"/><Relationship Id="rId2" Type="http://schemas.openxmlformats.org/officeDocument/2006/relationships/image" Target="media/image2.png"/><Relationship Id="rId1" Type="http://schemas.openxmlformats.org/officeDocument/2006/relationships/image" Target="media/image1.jp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2" ma:contentTypeDescription="Create a new document." ma:contentTypeScope="" ma:versionID="7213085b488133520041f96dea9f09e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5b2589d9bded401c9c02f96a3cf6f82"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66FAE0-1116-4333-AF6D-CA424160735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D7B0EDE-C735-4E4C-A67E-71AFB16BB9C2}">
  <ds:schemaRefs>
    <ds:schemaRef ds:uri="http://schemas.microsoft.com/sharepoint/v3/contenttype/forms"/>
  </ds:schemaRefs>
</ds:datastoreItem>
</file>

<file path=customXml/itemProps3.xml><?xml version="1.0" encoding="utf-8"?>
<ds:datastoreItem xmlns:ds="http://schemas.openxmlformats.org/officeDocument/2006/customXml" ds:itemID="{3F1EC74D-301C-409F-9838-14B24B946B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E52EE5-5B7B-1E49-8C43-3DC42BC64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3895</Words>
  <Characters>22204</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26047</CharactersWithSpaces>
  <SharedDoc>false</SharedDoc>
  <HLinks>
    <vt:vector size="6" baseType="variant">
      <vt:variant>
        <vt:i4>6160469</vt:i4>
      </vt:variant>
      <vt:variant>
        <vt:i4>0</vt:i4>
      </vt:variant>
      <vt:variant>
        <vt:i4>0</vt:i4>
      </vt:variant>
      <vt:variant>
        <vt:i4>5</vt:i4>
      </vt:variant>
      <vt:variant>
        <vt:lpwstr>https://www.state.gov/wp-content/uploads/2020/03/RUSSIA-2019-HUMAN-RIGHTS-REPORT.pdf</vt:lpwstr>
      </vt:variant>
      <vt:variant>
        <vt:lpwstr>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
  </dc:creator>
  <cp:keywords>
  </cp:keywords>
  <cp:lastModifiedBy>Amy Bergquist</cp:lastModifiedBy>
  <cp:revision>3</cp:revision>
  <dcterms:created xsi:type="dcterms:W3CDTF">2023-01-30T23:45:00Z</dcterms:created>
  <dcterms:modified xsi:type="dcterms:W3CDTF">2023-01-30T23:46:00Z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0x010100452BDADA77824941B327CDF72849C9BE</vt:lpwstr>
  </property>
  <property fmtid="{D5CDD505-2E9C-101B-9397-08002B2CF9AE}" pid="3" name="GrammarlyDocumentId">
    <vt:lpwstr>b7f771c047cd54b421f6f32241444f34b37e5d69191de28e2e594a673d584896</vt:lpwstr>
  </property>
</Properties>
</file>