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D331F" w:rsidP="00686B7F">
            <w:pPr>
              <w:suppressAutoHyphens w:val="0"/>
              <w:spacing w:after="20"/>
              <w:jc w:val="right"/>
            </w:pPr>
            <w:r w:rsidRPr="007D331F">
              <w:rPr>
                <w:sz w:val="40"/>
              </w:rPr>
              <w:t>CCPR</w:t>
            </w:r>
            <w:r>
              <w:t>/C/SR.3273</w:t>
            </w:r>
            <w:r w:rsidR="00686B7F">
              <w:t>-</w:t>
            </w:r>
            <w:r w:rsidRPr="00390396">
              <w:rPr>
                <w:sz w:val="40"/>
              </w:rPr>
              <w:t>E</w:t>
            </w:r>
            <w:r>
              <w:t>/C.12/2016/SR.48</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D331F" w:rsidRPr="00696CE7" w:rsidRDefault="007D331F" w:rsidP="00696CE7">
            <w:pPr>
              <w:spacing w:before="120" w:line="420" w:lineRule="exact"/>
              <w:rPr>
                <w:b/>
                <w:sz w:val="34"/>
                <w:szCs w:val="34"/>
              </w:rPr>
            </w:pPr>
            <w:r w:rsidRPr="00696CE7">
              <w:rPr>
                <w:b/>
                <w:sz w:val="34"/>
                <w:szCs w:val="34"/>
              </w:rPr>
              <w:t>International Covenant on</w:t>
            </w:r>
            <w:r w:rsidR="00696CE7" w:rsidRPr="00696CE7">
              <w:rPr>
                <w:b/>
                <w:sz w:val="34"/>
                <w:szCs w:val="34"/>
              </w:rPr>
              <w:br/>
            </w:r>
            <w:r w:rsidRPr="00696CE7">
              <w:rPr>
                <w:b/>
                <w:sz w:val="34"/>
                <w:szCs w:val="34"/>
              </w:rPr>
              <w:t>Civil and Political Rights</w:t>
            </w:r>
          </w:p>
          <w:p w:rsidR="00717266" w:rsidRPr="00D773DF" w:rsidRDefault="00717266" w:rsidP="007B1496">
            <w:pPr>
              <w:spacing w:before="120" w:line="420" w:lineRule="exact"/>
              <w:rPr>
                <w:sz w:val="40"/>
                <w:szCs w:val="40"/>
              </w:rPr>
            </w:pPr>
            <w:r w:rsidRPr="00696CE7">
              <w:rPr>
                <w:b/>
                <w:sz w:val="34"/>
                <w:szCs w:val="34"/>
              </w:rPr>
              <w:t>Economic and Social Council</w:t>
            </w:r>
          </w:p>
        </w:tc>
        <w:tc>
          <w:tcPr>
            <w:tcW w:w="2835" w:type="dxa"/>
            <w:tcBorders>
              <w:top w:val="single" w:sz="4" w:space="0" w:color="auto"/>
              <w:bottom w:val="single" w:sz="12" w:space="0" w:color="auto"/>
            </w:tcBorders>
          </w:tcPr>
          <w:p w:rsidR="00717266" w:rsidRDefault="007D331F" w:rsidP="007D331F">
            <w:pPr>
              <w:suppressAutoHyphens w:val="0"/>
              <w:spacing w:before="240" w:line="240" w:lineRule="exact"/>
            </w:pPr>
            <w:r>
              <w:t>Distr.: General</w:t>
            </w:r>
          </w:p>
          <w:p w:rsidR="007D331F" w:rsidRDefault="005B18CD" w:rsidP="007D331F">
            <w:pPr>
              <w:suppressAutoHyphens w:val="0"/>
            </w:pPr>
            <w:r>
              <w:t xml:space="preserve">29 </w:t>
            </w:r>
            <w:r w:rsidR="007D331F">
              <w:t>June 2016</w:t>
            </w:r>
            <w:r>
              <w:t xml:space="preserve"> </w:t>
            </w:r>
          </w:p>
          <w:p w:rsidR="007D331F" w:rsidRDefault="007D331F" w:rsidP="007D331F">
            <w:pPr>
              <w:suppressAutoHyphens w:val="0"/>
            </w:pPr>
          </w:p>
          <w:p w:rsidR="007D331F" w:rsidRDefault="007D331F" w:rsidP="007D331F">
            <w:pPr>
              <w:suppressAutoHyphens w:val="0"/>
            </w:pPr>
            <w:r>
              <w:t>Original: English</w:t>
            </w:r>
          </w:p>
        </w:tc>
      </w:tr>
    </w:tbl>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94"/>
      </w:tblGrid>
      <w:tr w:rsidR="007D331F" w:rsidTr="00F5379E">
        <w:tc>
          <w:tcPr>
            <w:tcW w:w="5245" w:type="dxa"/>
          </w:tcPr>
          <w:p w:rsidR="007D331F" w:rsidRPr="00AC5D9B" w:rsidRDefault="007D331F" w:rsidP="00686B7F">
            <w:pPr>
              <w:spacing w:before="120"/>
              <w:ind w:left="-108"/>
              <w:rPr>
                <w:b/>
                <w:sz w:val="24"/>
                <w:szCs w:val="24"/>
              </w:rPr>
            </w:pPr>
            <w:r>
              <w:rPr>
                <w:b/>
                <w:sz w:val="24"/>
                <w:szCs w:val="24"/>
              </w:rPr>
              <w:t>Human Rights Co</w:t>
            </w:r>
            <w:r w:rsidR="00686B7F">
              <w:rPr>
                <w:b/>
                <w:sz w:val="24"/>
                <w:szCs w:val="24"/>
              </w:rPr>
              <w:t>mmittee</w:t>
            </w:r>
          </w:p>
          <w:p w:rsidR="007D331F" w:rsidRPr="007D331F" w:rsidRDefault="007D331F" w:rsidP="00F5379E">
            <w:pPr>
              <w:ind w:left="-108"/>
              <w:rPr>
                <w:b/>
                <w:bCs/>
              </w:rPr>
            </w:pPr>
            <w:r w:rsidRPr="007D331F">
              <w:rPr>
                <w:b/>
                <w:bCs/>
              </w:rPr>
              <w:t>117th session</w:t>
            </w:r>
          </w:p>
          <w:p w:rsidR="007D331F" w:rsidRDefault="007D331F" w:rsidP="00F5379E">
            <w:pPr>
              <w:ind w:left="-108"/>
              <w:rPr>
                <w:b/>
                <w:sz w:val="24"/>
              </w:rPr>
            </w:pPr>
            <w:r w:rsidRPr="005766CF">
              <w:t>20 June</w:t>
            </w:r>
            <w:r>
              <w:t>-</w:t>
            </w:r>
            <w:r w:rsidRPr="005766CF">
              <w:t>15 July 2016</w:t>
            </w:r>
          </w:p>
        </w:tc>
        <w:tc>
          <w:tcPr>
            <w:tcW w:w="4394" w:type="dxa"/>
          </w:tcPr>
          <w:p w:rsidR="007D331F" w:rsidRDefault="007D331F" w:rsidP="007D331F">
            <w:pPr>
              <w:spacing w:before="120"/>
              <w:rPr>
                <w:b/>
                <w:sz w:val="24"/>
              </w:rPr>
            </w:pPr>
            <w:r>
              <w:rPr>
                <w:b/>
                <w:sz w:val="24"/>
              </w:rPr>
              <w:t>Committee on Economic, Social and Cultural Rights</w:t>
            </w:r>
          </w:p>
          <w:p w:rsidR="007D331F" w:rsidRDefault="007D331F" w:rsidP="007D331F">
            <w:pPr>
              <w:rPr>
                <w:b/>
              </w:rPr>
            </w:pPr>
            <w:r w:rsidRPr="007D331F">
              <w:rPr>
                <w:b/>
              </w:rPr>
              <w:t>Fifty-eighth session</w:t>
            </w:r>
          </w:p>
          <w:p w:rsidR="007D331F" w:rsidRPr="007D331F" w:rsidRDefault="007D331F" w:rsidP="007D331F">
            <w:r w:rsidRPr="005766CF">
              <w:t>6</w:t>
            </w:r>
            <w:r>
              <w:t>-</w:t>
            </w:r>
            <w:r w:rsidRPr="005766CF">
              <w:t>24 June 2016</w:t>
            </w:r>
          </w:p>
        </w:tc>
      </w:tr>
    </w:tbl>
    <w:p w:rsidR="00717266" w:rsidRDefault="00717266" w:rsidP="00F5379E">
      <w:pPr>
        <w:spacing w:before="240"/>
        <w:rPr>
          <w:b/>
        </w:rPr>
      </w:pPr>
      <w:r>
        <w:rPr>
          <w:b/>
        </w:rPr>
        <w:t xml:space="preserve">Summary </w:t>
      </w:r>
      <w:r w:rsidR="007D331F" w:rsidRPr="007D331F">
        <w:rPr>
          <w:b/>
        </w:rPr>
        <w:t>record of the joint meeting of the Human Rights</w:t>
      </w:r>
      <w:r w:rsidR="007D331F">
        <w:rPr>
          <w:b/>
        </w:rPr>
        <w:t xml:space="preserve"> Committee and the Committee on</w:t>
      </w:r>
      <w:r w:rsidR="007D331F">
        <w:rPr>
          <w:b/>
        </w:rPr>
        <w:br/>
      </w:r>
      <w:r w:rsidR="007D331F" w:rsidRPr="007D331F">
        <w:rPr>
          <w:b/>
        </w:rPr>
        <w:t>Economic, Social and Cultural Rights</w:t>
      </w:r>
    </w:p>
    <w:p w:rsidR="00717266" w:rsidRDefault="00717266" w:rsidP="007D331F">
      <w:pPr>
        <w:spacing w:after="120"/>
      </w:pPr>
      <w:r>
        <w:t xml:space="preserve">Held </w:t>
      </w:r>
      <w:r w:rsidR="007D331F" w:rsidRPr="007D331F">
        <w:t>at the Palais des Nations, Geneva, on Thursday, 23 June 2016, at 3 p.m.</w:t>
      </w:r>
    </w:p>
    <w:p w:rsidR="007D331F" w:rsidRDefault="00717266" w:rsidP="005B18CD">
      <w:pPr>
        <w:tabs>
          <w:tab w:val="right" w:pos="992"/>
          <w:tab w:val="left" w:pos="1134"/>
          <w:tab w:val="right" w:leader="dot" w:pos="8504"/>
        </w:tabs>
        <w:spacing w:after="120"/>
      </w:pPr>
      <w:r>
        <w:rPr>
          <w:i/>
        </w:rPr>
        <w:t>Chair</w:t>
      </w:r>
      <w:r>
        <w:t>:</w:t>
      </w:r>
      <w:r>
        <w:tab/>
      </w:r>
      <w:r w:rsidR="007D331F">
        <w:tab/>
      </w:r>
      <w:r w:rsidR="007D331F" w:rsidRPr="005766CF">
        <w:t>Mr. Sa</w:t>
      </w:r>
      <w:r w:rsidR="005B18CD">
        <w:t>l</w:t>
      </w:r>
      <w:r w:rsidR="007D331F" w:rsidRPr="005766CF">
        <w:t>violi (Chair, Human Rights Committee)</w:t>
      </w:r>
      <w:r w:rsidR="007D331F">
        <w:br/>
      </w:r>
      <w:r w:rsidR="007D331F">
        <w:rPr>
          <w:i/>
        </w:rPr>
        <w:t>l</w:t>
      </w:r>
      <w:r w:rsidR="007D331F" w:rsidRPr="007D331F">
        <w:rPr>
          <w:i/>
        </w:rPr>
        <w:t>ater</w:t>
      </w:r>
      <w:r w:rsidR="007D331F">
        <w:t>:</w:t>
      </w:r>
      <w:r w:rsidR="007D331F">
        <w:tab/>
      </w:r>
      <w:r w:rsidR="007D331F">
        <w:tab/>
      </w:r>
      <w:r w:rsidR="007D331F" w:rsidRPr="005766CF">
        <w:t>Mr. Sadi (Chair, Committee on Economic, Social and Cultural Rights)</w:t>
      </w:r>
    </w:p>
    <w:p w:rsidR="00717266" w:rsidRDefault="00717266" w:rsidP="00717266">
      <w:pPr>
        <w:tabs>
          <w:tab w:val="right" w:pos="992"/>
          <w:tab w:val="left" w:pos="1276"/>
          <w:tab w:val="right" w:leader="dot" w:pos="8504"/>
        </w:tabs>
        <w:spacing w:before="360" w:after="240"/>
        <w:rPr>
          <w:sz w:val="28"/>
        </w:rPr>
      </w:pPr>
      <w:r>
        <w:rPr>
          <w:sz w:val="28"/>
        </w:rPr>
        <w:t>Contents</w:t>
      </w:r>
    </w:p>
    <w:p w:rsidR="007268F9" w:rsidRDefault="00390396" w:rsidP="00F5379E">
      <w:pPr>
        <w:pStyle w:val="SingleTxtG"/>
        <w:jc w:val="left"/>
      </w:pPr>
      <w:r w:rsidRPr="005766CF">
        <w:t>Joint meeting of the Human Rights Committee and the Committee on Economic, Social and Cultural Rights on the occasion of the fiftieth anniversary of the International Covenants on Human Rights</w:t>
      </w:r>
    </w:p>
    <w:p w:rsidR="00390396" w:rsidRPr="00390396" w:rsidRDefault="00390396" w:rsidP="00390396">
      <w:pPr>
        <w:pStyle w:val="ParaNoG"/>
        <w:numPr>
          <w:ilvl w:val="0"/>
          <w:numId w:val="0"/>
        </w:numPr>
        <w:ind w:left="1134"/>
        <w:rPr>
          <w:i/>
          <w:iCs/>
        </w:rPr>
      </w:pPr>
      <w:r>
        <w:br w:type="page"/>
      </w:r>
      <w:r w:rsidRPr="00390396">
        <w:rPr>
          <w:i/>
          <w:iCs/>
        </w:rPr>
        <w:lastRenderedPageBreak/>
        <w:t>Mr. Salvioli (Chair of the Human Rights Committee) took the Chair.</w:t>
      </w:r>
    </w:p>
    <w:p w:rsidR="00390396" w:rsidRPr="00390396" w:rsidRDefault="00390396" w:rsidP="00390396">
      <w:pPr>
        <w:pStyle w:val="ParaNoG"/>
        <w:numPr>
          <w:ilvl w:val="0"/>
          <w:numId w:val="0"/>
        </w:numPr>
        <w:ind w:left="1134"/>
        <w:rPr>
          <w:i/>
          <w:iCs/>
        </w:rPr>
      </w:pPr>
      <w:r w:rsidRPr="00390396">
        <w:rPr>
          <w:i/>
          <w:iCs/>
        </w:rPr>
        <w:t>The meeting was called to order at 3.15 p.m.</w:t>
      </w:r>
    </w:p>
    <w:p w:rsidR="00390396" w:rsidRPr="005766CF" w:rsidRDefault="00390396" w:rsidP="00390396">
      <w:pPr>
        <w:pStyle w:val="H23G"/>
      </w:pPr>
      <w:r>
        <w:tab/>
      </w:r>
      <w:r>
        <w:tab/>
      </w:r>
      <w:r w:rsidRPr="005766CF">
        <w:t>Joint meeting of the Human Rights Committee and the Committee on Economic, Social and Cultural Rights on the occasion of the fiftieth anniversary of the International Covenants on Human Rights</w:t>
      </w:r>
    </w:p>
    <w:p w:rsidR="00390396" w:rsidRPr="005766CF" w:rsidRDefault="00390396" w:rsidP="00390396">
      <w:pPr>
        <w:pStyle w:val="ParaNoG"/>
      </w:pPr>
      <w:r w:rsidRPr="00390396">
        <w:rPr>
          <w:b/>
        </w:rPr>
        <w:t>The Chair</w:t>
      </w:r>
      <w:r w:rsidRPr="005766CF">
        <w:t xml:space="preserve"> said that he would like to welcome the members of both the Human Rights Committee and the Committee on Economic, Social and Cultural Rights to the historic, first ever joint meeting of the committees, to mark the fiftieth anniversary of the adoption of the International Covenants on Human Rights.</w:t>
      </w:r>
    </w:p>
    <w:p w:rsidR="00390396" w:rsidRPr="005766CF" w:rsidRDefault="00390396" w:rsidP="00390396">
      <w:pPr>
        <w:pStyle w:val="ParaNoG"/>
      </w:pPr>
      <w:r w:rsidRPr="00390396">
        <w:rPr>
          <w:b/>
          <w:bCs/>
        </w:rPr>
        <w:t>Mr. Sadi</w:t>
      </w:r>
      <w:r w:rsidRPr="005766CF">
        <w:t xml:space="preserve"> (Committee on Economic, Social and Cultural Rights) said that the two committees had come together to demonstrate that their respective covenants were </w:t>
      </w:r>
      <w:r w:rsidR="00BF15AD">
        <w:t>“</w:t>
      </w:r>
      <w:r w:rsidRPr="005766CF">
        <w:t>twins</w:t>
      </w:r>
      <w:r w:rsidR="00BF15AD">
        <w:t>”</w:t>
      </w:r>
      <w:r w:rsidRPr="005766CF">
        <w:t xml:space="preserve">. Although it could not be said that they were identical twins, they shared a number of characteristics. Both covenants were based on the Universal Declaration of Human Rights, which treated economic, social and cultural rights on the one hand, and civil and political rights on the other, as inseparable and complementary to each other. Many of the articles of the Universal Declaration featured in both covenants and the two committees consequently shared many goals. It would thus be in keeping with the Universal Declaration for the two committees to meet more frequently in the future to discuss substantive issues of mutual interest and make progress towards their common objectives. </w:t>
      </w:r>
    </w:p>
    <w:p w:rsidR="00390396" w:rsidRPr="005766CF" w:rsidRDefault="00390396" w:rsidP="00390396">
      <w:pPr>
        <w:pStyle w:val="ParaNoG"/>
      </w:pPr>
      <w:r w:rsidRPr="00390396">
        <w:rPr>
          <w:b/>
        </w:rPr>
        <w:t>The Chair</w:t>
      </w:r>
      <w:r w:rsidRPr="005766CF">
        <w:t xml:space="preserve"> said that the legal basis for the interdependency and indivisibility of all human rights was clear. The problem lay with how those rights could be protected in practice by the treaty monitoring bodies. It was important for the Committee on Economic, Social and Cultural Rights to keep in mind the impact of its actions on the enjoyment of civil and political rights when adopting concluding observations or when considering communications. The same applied, mutatis mutandis, to the Human Rights Committee, which should be conscious of how its decisions could affect the enjoyment of economic, social and cultural rights. The treaty monitoring bodies in general should strive to emphasize the indivisibility and interdependence of all human rights when working to address human rights violations.</w:t>
      </w:r>
    </w:p>
    <w:p w:rsidR="00390396" w:rsidRPr="005766CF" w:rsidRDefault="00390396" w:rsidP="00390396">
      <w:pPr>
        <w:pStyle w:val="ParaNoG"/>
      </w:pPr>
      <w:r w:rsidRPr="00390396">
        <w:rPr>
          <w:b/>
          <w:bCs/>
        </w:rPr>
        <w:t>Ms. Cleveland</w:t>
      </w:r>
      <w:r w:rsidRPr="005766CF">
        <w:t xml:space="preserve"> (Human Rights Committee) said that the Universal Declaration of Human Rights had holistically incorporated both economic, social and cultural rights and civil and political rights. Nonetheless, against the backdrop of cold war politics, the General Assembly had proceeded to divide the rights into two separate covenants in its resolution 543 (VI) of 1952, despite having affirmed in its resolution 421 E (V) of 1950 that the two sets of rights were interconnected and interdependent. The Covenant on Economic, Social and Cultural Rights initially differed in several important aspects from the Covenant on Civil and Political Rights, notably in that it lacked a treaty body to monitor implementation of the Covenant and an optional protocol to hear claims from individual victims of violations. In addition, the substantive obligations in each of the two covenants were defined differently. The International Covenant on Economic, Social and Cultural Rights required States parties to take steps to the maximum of their available resources to achieve the full realization of the rights recognized in the Covenant while the International Covenant on Civil and Political Rights placed an obligation on States parties to respect and to ensure to all individuals within their territory and jurisdiction the rights recognized in the Covenant. Despite those differences, the two covenants were adopted on the same day in 1966, through the same General Assembly resolution, to underscore their unity, indivisibility and equality of importance. Over the past 50 years, the inherent interdependence of the two covenants had become clear and the many perceived differences between them had been largely eroded. The indivisibility of all human rights had been reaffirmed in the outcomes of both the International Conference on Human Rights held in </w:t>
      </w:r>
      <w:r w:rsidRPr="00390396">
        <w:lastRenderedPageBreak/>
        <w:t>Teheran i</w:t>
      </w:r>
      <w:r w:rsidRPr="005766CF">
        <w:t>n 1968 and the World Conference on Human Rights held in Vienna in 1993. In addition, the covenants had largely been adopted in parallel, with most States having ratified both. With the establishment in 1985 of the Committee on Economic, Social and Cultural Rights and the entry into force in 2013 of the Optional Protocol to the International Covenant on Economic, Social and Cultural Rights, establishing a petition mechanism for individuals, the main initial differences between the two covenants had been eliminated.</w:t>
      </w:r>
    </w:p>
    <w:p w:rsidR="00390396" w:rsidRPr="005766CF" w:rsidRDefault="00390396" w:rsidP="00390396">
      <w:pPr>
        <w:pStyle w:val="ParaNoG"/>
      </w:pPr>
      <w:r w:rsidRPr="005766CF">
        <w:t xml:space="preserve">There had been significant developments in the conceptualization and implementation of economic, social and cultural rights. The Committee had helped to clarify the meaning of the obligation to </w:t>
      </w:r>
      <w:r w:rsidR="00BF15AD">
        <w:t>“</w:t>
      </w:r>
      <w:r w:rsidRPr="005766CF">
        <w:t>take steps</w:t>
      </w:r>
      <w:r w:rsidR="00BF15AD">
        <w:t>”</w:t>
      </w:r>
      <w:r w:rsidRPr="005766CF">
        <w:t xml:space="preserve"> under the Covenant, explaining that it imposed immediate and tangible obligations on States parties and that the rights in the Covenant should be understood as including a minimum core obligation. In parallel, the concept of due diligence and the recognition of positive State obligations to protect and fulfil civil and political rights had helped improve understanding of the commonalities between the two sets of rights.</w:t>
      </w:r>
    </w:p>
    <w:p w:rsidR="00390396" w:rsidRPr="005766CF" w:rsidRDefault="00390396" w:rsidP="00390396">
      <w:pPr>
        <w:pStyle w:val="ParaNoG"/>
      </w:pPr>
      <w:r w:rsidRPr="005766CF">
        <w:t xml:space="preserve">In </w:t>
      </w:r>
      <w:r w:rsidRPr="00390396">
        <w:rPr>
          <w:i/>
          <w:iCs/>
        </w:rPr>
        <w:t>Broeks v. The Netherlands</w:t>
      </w:r>
      <w:r w:rsidRPr="005766CF">
        <w:t>, the Human Rights Committee had recognized that discrimination in social security benefits could give rise to a violation of both civil and political rights and economic, social and cultural rights. The Human Rights Committee had frequently confirmed that article 26 of the International Covenant on Civil and Political Rights also protected against discrimination in relation to economic and social rights. Furthermore, numerous other articles of the Covenant, including article 27 on the right of ethnic, religious or linguistic minorities to enjoy their own culture, articles 17, 23 and 24 on privacy, family life and children respectively, and article 7 on torture and cruel, inhuman or degrading treatment or punishment, routinely implicated economic, social and cultural rights. The Committee</w:t>
      </w:r>
      <w:r w:rsidR="00BF15AD">
        <w:t>’</w:t>
      </w:r>
      <w:r w:rsidRPr="005766CF">
        <w:t>s draft general comment on the right to life reaffirmed the interrelationship between the right to life and other human rights.</w:t>
      </w:r>
    </w:p>
    <w:p w:rsidR="00390396" w:rsidRPr="005766CF" w:rsidRDefault="00390396" w:rsidP="00390396">
      <w:pPr>
        <w:pStyle w:val="ParaNoG"/>
      </w:pPr>
      <w:r w:rsidRPr="005766CF">
        <w:t xml:space="preserve">The concluding observations of both committees also reflected the inherent interdependence and indivisibility of civil and political and economic, social and cultural rights. For example, both committees had expressed concern in 2014 and 2015 that the criminalization of abortion in Ireland had a discriminatory impact on women who could not afford to travel abroad to obtain an abortion. The Human Rights Committee had reaffirmed that concern in 2016 in the case of </w:t>
      </w:r>
      <w:r w:rsidRPr="00390396">
        <w:rPr>
          <w:i/>
          <w:iCs/>
        </w:rPr>
        <w:t>Mellet v. Ireland</w:t>
      </w:r>
      <w:r w:rsidRPr="005766CF">
        <w:t xml:space="preserve">. </w:t>
      </w:r>
    </w:p>
    <w:p w:rsidR="00390396" w:rsidRPr="005766CF" w:rsidRDefault="00390396" w:rsidP="00390396">
      <w:pPr>
        <w:pStyle w:val="ParaNoG"/>
      </w:pPr>
      <w:r w:rsidRPr="005766CF">
        <w:t>Also reflected in the concluding observations issued by the two committees was the wide range of cross-cutting issues of concern. Some examples were the need for States to enact non-discrimination legislation, to provide free legal aid, to address poor living conditions for persons in detention, to eliminate gender pay gaps and gender stereotypes, to end forced labour and promote access to reproductive health care. The rights protected by each covenant were not identical but their commonalities were greater than was often appreciated. Recognizing their complementarity and interdependence could only enhance the work of both committees in protecting human rights victims and promoting compliance with international human rights law.</w:t>
      </w:r>
    </w:p>
    <w:p w:rsidR="00390396" w:rsidRPr="005766CF" w:rsidRDefault="00390396" w:rsidP="00390396">
      <w:pPr>
        <w:pStyle w:val="ParaNoG"/>
      </w:pPr>
      <w:r w:rsidRPr="00390396">
        <w:rPr>
          <w:b/>
          <w:bCs/>
        </w:rPr>
        <w:t>Mr. De Schutter</w:t>
      </w:r>
      <w:r w:rsidRPr="005766CF">
        <w:t xml:space="preserve"> (Committee on Economic, Social and Cultural Rights) said that the Committee on Economic, Social and Cultural Rights had endeavoured, since its establishment, not only to improve the understanding of economic, social and cultural rights but also to overcome the divide, already implicit in article 22 of the Universal Declaration, between the two sets of rights as set out in the two covenants. In particular, the Committee had sought to do so by emphasizing that, despite the wording of article 2 of the Covenant, not all the rights recognized in the Covenant were subject to the duty of progressive realization. As had been recalled in the Committee</w:t>
      </w:r>
      <w:r w:rsidR="00BF15AD">
        <w:t>’</w:t>
      </w:r>
      <w:r w:rsidRPr="005766CF">
        <w:t>s general comment No. 3 of 1990, on the nature of States parties</w:t>
      </w:r>
      <w:r w:rsidR="00BF15AD">
        <w:t>’</w:t>
      </w:r>
      <w:r w:rsidRPr="005766CF">
        <w:t xml:space="preserve"> obligations, certain obligations were of immediate effect, such as the guarantee of non-discrimination and the core obligation to ensure the satisfaction of minimum essential levels of each of the Covenant rights. Progressive </w:t>
      </w:r>
      <w:r w:rsidRPr="005766CF">
        <w:lastRenderedPageBreak/>
        <w:t>realization could not be a pretext for the infinite postponement of measures. Rather it meant that the steps taken towards the full realization of the rights should be deliberate, concrete and targeted as clearly as possible towards meeting the obligations recognized in the Covenant.</w:t>
      </w:r>
    </w:p>
    <w:p w:rsidR="00390396" w:rsidRPr="005766CF" w:rsidRDefault="00390396" w:rsidP="00390396">
      <w:pPr>
        <w:pStyle w:val="ParaNoG"/>
      </w:pPr>
      <w:r w:rsidRPr="005766CF">
        <w:t xml:space="preserve">The Committee had strengthened economic, social and cultural rights by stressing that the rights were subject to the jurisdiction of the courts, either by direct application of the Covenant or by other means, such as those described in general comment No. 9 of 1998, on the domestic application of the Covenant. The Committee systematically queried the application of the Covenant in domestic courts, and numerous States parties had provided positive examples in that regard. The Committee had also consolidated the normative content of economic, social and cultural rights, based on the three obligations of States parties to respect, protect and fulfil those rights, by defining the characteristics of the goods or services necessary to the enjoyment of Covenant rights, namely availability, accessibility, affordability, acceptability and adequacy. </w:t>
      </w:r>
    </w:p>
    <w:p w:rsidR="00390396" w:rsidRPr="005766CF" w:rsidRDefault="00390396" w:rsidP="00390396">
      <w:pPr>
        <w:pStyle w:val="ParaNoG"/>
      </w:pPr>
      <w:r w:rsidRPr="005766CF">
        <w:t>Those conceptual developments had been made by means of a number of general comments, which had clarified the content of specific rights of the Covenant, such as the Committee</w:t>
      </w:r>
      <w:r w:rsidR="00BF15AD">
        <w:t>’</w:t>
      </w:r>
      <w:r w:rsidRPr="005766CF">
        <w:t>s recent general comment No. 22 on the right to sexual and reproductive health. The authority of the general comments of both committees had been confirmed by the International Court of Justice</w:t>
      </w:r>
      <w:r w:rsidRPr="005766CF" w:rsidDel="00231EDE">
        <w:t xml:space="preserve"> </w:t>
      </w:r>
      <w:r w:rsidRPr="005766CF">
        <w:t xml:space="preserve">in the case of </w:t>
      </w:r>
      <w:r w:rsidRPr="00C86836">
        <w:rPr>
          <w:i/>
          <w:iCs/>
        </w:rPr>
        <w:t>Ahmadou Sadio Diallo (Republic of Guinea v. Democratic Republic of the Congo)</w:t>
      </w:r>
      <w:r w:rsidRPr="005766CF">
        <w:t>. In its judgment, the Court had made reference to the jurisprudence of the Human Rights Committee, stating that great weight should be ascribed to the Committee</w:t>
      </w:r>
      <w:r w:rsidR="00BF15AD">
        <w:t>’</w:t>
      </w:r>
      <w:r w:rsidRPr="005766CF">
        <w:t>s interpretation of the provisions of the International Covenant on Civil and Political Rights.</w:t>
      </w:r>
    </w:p>
    <w:p w:rsidR="00390396" w:rsidRPr="005766CF" w:rsidRDefault="00390396" w:rsidP="00390396">
      <w:pPr>
        <w:pStyle w:val="ParaNoG"/>
      </w:pPr>
      <w:r w:rsidRPr="005766CF">
        <w:t xml:space="preserve">The Committee on Economic, Social and Cultural Rights had long sought to ensure that economic, social and cultural rights were as concrete, well understood and justiciable as civil and political rights. The entry into force of the Optional Protocol to the International Covenant on Economic, Social and Cultural Rights in 2013 had been a positive development in that regard. The Committee was currently attempting to build on its strengths and to move international human rights law in a new direction. Economic, social and cultural rights should be developed so as to steer economic globalization towards human development and to guide States parties in reacting to economic and social crises. The financial crisis that had begun in 2008 and developed into a sovereign debt crisis in 2009, after massive government intervention to rescue financial institutions that had accumulated toxic assets, was to economic, social and cultural rights what the terrorist attacks on the United States of 11 September 2001 were to civil and political rights. The fiscal consolidation measures launched in 2009 and 2010 and the so-called war on terror in response to the terrorist attacks had put both covenants to the test. It appeared for the first time that the story of human rights was not one of infinite and apparently unstoppable progress. </w:t>
      </w:r>
    </w:p>
    <w:p w:rsidR="00390396" w:rsidRPr="005766CF" w:rsidRDefault="00390396" w:rsidP="00390396">
      <w:pPr>
        <w:pStyle w:val="ParaNoG"/>
      </w:pPr>
      <w:r w:rsidRPr="005766CF">
        <w:t>The foremost of the second generation of challenges facing the Committee on Economic, Social and Cultural Rights was the need to affirm the specific role of economic, social and cultural rights. That challenge was linked to economic globalization and the setting of global development goals. In particular there were four challenges to be overcome. Firstly, the fiscal consolidatio</w:t>
      </w:r>
      <w:r w:rsidR="0056414B">
        <w:t>n measures imposed on numerous S</w:t>
      </w:r>
      <w:r w:rsidRPr="005766CF">
        <w:t xml:space="preserve">tates by international financial institutions such as the International Monetary Fund and the European Central Bank, following the economic crisis of 2008 and 2009, had led to concerns about violations of the rights to health, social security and education. How were the respective responsibilities to protect those rights to be apportioned in such cases? It was also necessary to consider what could be done to ensure that States parties did not circumvent their obligations under the Covenant. Additionally, the way in which </w:t>
      </w:r>
      <w:r w:rsidRPr="005766CF">
        <w:lastRenderedPageBreak/>
        <w:t>international financial institutions could be held accountable for complying with human rights law was a challenge that needed to be addressed.</w:t>
      </w:r>
    </w:p>
    <w:p w:rsidR="00390396" w:rsidRPr="005766CF" w:rsidRDefault="00390396" w:rsidP="00390396">
      <w:pPr>
        <w:pStyle w:val="ParaNoG"/>
      </w:pPr>
      <w:r w:rsidRPr="005766CF">
        <w:t>The second major challenge facing the Committee concerned extraterritorial human rights obligations. The Maastricht Principles on Extraterritorial Obligations of States in the Area of Economic, Social and Cultural Rights were an attempt to progressively develop international law in an area with fragmented jurisprudence, decided on a case-by-case basis. The Maastricht Principles referred to a prohibition on measures that could negatively affect human rights outside a State</w:t>
      </w:r>
      <w:r w:rsidR="00BF15AD">
        <w:t>’</w:t>
      </w:r>
      <w:r w:rsidRPr="005766CF">
        <w:t xml:space="preserve">s territory, a duty on States to monitor corporations over which they could exercise influence, a need to ensure that trade and investment agreements fully complied with human rights and an obligation to cooperate internationally to fully realize the rights and freedoms of the Universal Declaration of Human Rights. </w:t>
      </w:r>
    </w:p>
    <w:p w:rsidR="00390396" w:rsidRPr="005766CF" w:rsidRDefault="00390396" w:rsidP="00390396">
      <w:pPr>
        <w:pStyle w:val="ParaNoG"/>
      </w:pPr>
      <w:r w:rsidRPr="005766CF">
        <w:t xml:space="preserve">The third challenge was to analyse public budgets, taxation policies and how States defined spending priorities, in light of the Covenant. Among other considerations, States needed to strike a balance between different spending priorities such as health, education, housing and social protection. </w:t>
      </w:r>
    </w:p>
    <w:p w:rsidR="00390396" w:rsidRPr="005766CF" w:rsidRDefault="00390396" w:rsidP="00390396">
      <w:pPr>
        <w:pStyle w:val="ParaNoG"/>
      </w:pPr>
      <w:r w:rsidRPr="005766CF">
        <w:t>The fourth, and last, major challenge was to promote a rights-based approach in working to achieve the Sustainable Development Goals. It was important to incorporate such goals into human rights law in order to encourage accountability in achieving time-bound targets and broad participation in setting targets at the national level and in monitoring progress towards them, and to ensure that the non-discrimination requirement was fully taken into account.</w:t>
      </w:r>
    </w:p>
    <w:p w:rsidR="00390396" w:rsidRPr="005766CF" w:rsidRDefault="00390396" w:rsidP="00390396">
      <w:pPr>
        <w:pStyle w:val="ParaNoG"/>
      </w:pPr>
      <w:r w:rsidRPr="005766CF">
        <w:t xml:space="preserve">To quote Nelson Mandela, </w:t>
      </w:r>
      <w:r w:rsidR="00BF15AD">
        <w:t>“</w:t>
      </w:r>
      <w:r w:rsidRPr="005766CF">
        <w:t>after climbing a great hill, one only finds that there are many more hills to climb</w:t>
      </w:r>
      <w:r w:rsidR="00BF15AD">
        <w:t>”</w:t>
      </w:r>
      <w:r w:rsidRPr="005766CF">
        <w:t>.</w:t>
      </w:r>
    </w:p>
    <w:p w:rsidR="00390396" w:rsidRPr="005766CF" w:rsidRDefault="00390396" w:rsidP="00390396">
      <w:pPr>
        <w:pStyle w:val="ParaNoG"/>
      </w:pPr>
      <w:r w:rsidRPr="00C86836">
        <w:rPr>
          <w:b/>
          <w:bCs/>
        </w:rPr>
        <w:t>Ms. Meraz</w:t>
      </w:r>
      <w:r w:rsidRPr="005766CF">
        <w:t xml:space="preserve"> (Centre for Civil and Political Rights) said that both committees had emphasized the importance of civil society participation in their work. However, the treaty bodies should harmonize their working methods in order to increase efficiency and facilitate the participation of civil society in the reporting process and the drafting of general comments. In that connection, she recommended that all the treaty bodies should allocate one hour of private meeting time to NGOs from each of the States parties under review, as was the practice of the Committee against Torture. She also recommended that they should resume reviews in the absence of a report. She thanked the members of the Human Rights Committee who had accompanied representatives of the Centre for Civil and Political Rights on follow-up visits, which had been well received by the countries concerned. She urged the members of different treaty bodies to take part together in visits organized by NGOs, as would be the case in September 2016 during a visit to Benin in which a member of the Human Rights Committee and another from the Committee on the Rights of the Child would be involved.</w:t>
      </w:r>
      <w:r w:rsidR="00BF15AD">
        <w:t xml:space="preserve"> </w:t>
      </w:r>
    </w:p>
    <w:p w:rsidR="00390396" w:rsidRPr="005766CF" w:rsidRDefault="00390396" w:rsidP="00390396">
      <w:pPr>
        <w:pStyle w:val="ParaNoG"/>
      </w:pPr>
      <w:r w:rsidRPr="00C86836">
        <w:rPr>
          <w:b/>
          <w:bCs/>
        </w:rPr>
        <w:t>Ms. Suarez Franco</w:t>
      </w:r>
      <w:r w:rsidRPr="005766CF">
        <w:t xml:space="preserve"> (FIAN International) said that the time the committees allotted to discussion with NGOs was crucial because it was often the only opportunity victims had to be heard, especially given the growing power of corporations at the expense of respect for human rights. She welcomed the progress made in the recognition of States parties</w:t>
      </w:r>
      <w:r w:rsidR="00BF15AD">
        <w:t>’</w:t>
      </w:r>
      <w:r w:rsidRPr="005766CF">
        <w:t xml:space="preserve"> extraterritorial obligations under the covenants and encouraged the committees to continue their work in that regard. She was concerned that the focus on the Sustainable Development Goals would distract from work to ensure respect for core human rights.</w:t>
      </w:r>
    </w:p>
    <w:p w:rsidR="00390396" w:rsidRPr="005766CF" w:rsidRDefault="00390396" w:rsidP="00390396">
      <w:pPr>
        <w:pStyle w:val="ParaNoG"/>
      </w:pPr>
      <w:r w:rsidRPr="00C86836">
        <w:rPr>
          <w:b/>
          <w:bCs/>
        </w:rPr>
        <w:t>Mr. Fathalla</w:t>
      </w:r>
      <w:r w:rsidRPr="005766CF">
        <w:t xml:space="preserve"> (Human Rights Committee), referring to Ms. Cleveland</w:t>
      </w:r>
      <w:r w:rsidR="00BF15AD">
        <w:t>’</w:t>
      </w:r>
      <w:r w:rsidRPr="005766CF">
        <w:t xml:space="preserve">s comments on the interrelationship between the right to life and other human rights, said that efforts to leverage the complementarity between the two covenants should continue. In light of the adoption of a further eight human rights instruments that dealt in more detail with the rights covered in the covenants, the committees should refrain as much as possible from asking </w:t>
      </w:r>
      <w:r w:rsidRPr="005766CF">
        <w:lastRenderedPageBreak/>
        <w:t>State</w:t>
      </w:r>
      <w:r w:rsidR="00474284">
        <w:t>s</w:t>
      </w:r>
      <w:r w:rsidRPr="005766CF">
        <w:t xml:space="preserve"> parties questions on issues that came under a specialized convention to which they were also a party.</w:t>
      </w:r>
    </w:p>
    <w:p w:rsidR="00390396" w:rsidRPr="005766CF" w:rsidRDefault="00390396" w:rsidP="00390396">
      <w:pPr>
        <w:pStyle w:val="ParaNoG"/>
      </w:pPr>
      <w:r w:rsidRPr="00C86836">
        <w:rPr>
          <w:b/>
          <w:bCs/>
        </w:rPr>
        <w:t>Mr. Schrijver</w:t>
      </w:r>
      <w:r w:rsidRPr="005766CF">
        <w:t xml:space="preserve"> (Committee on Economic, Social and Cultural Rights) said that, given the emphasis on the indivisibility of rights and the growing unworkability of a fragmented international monitoring system, the treaty bodies should take steps towards closer cooperation. He suggested that the committees could begin by streamlining their reporting procedures, issuing joint concluding observations on certain rights and combining their monitoring mechanisms and communications procedures.</w:t>
      </w:r>
    </w:p>
    <w:p w:rsidR="00390396" w:rsidRPr="005766CF" w:rsidRDefault="00390396" w:rsidP="00474284">
      <w:pPr>
        <w:pStyle w:val="ParaNoG"/>
      </w:pPr>
      <w:r w:rsidRPr="00C86836">
        <w:rPr>
          <w:b/>
          <w:bCs/>
        </w:rPr>
        <w:t>Mr. Ben Achour</w:t>
      </w:r>
      <w:r w:rsidRPr="005766CF">
        <w:t xml:space="preserve"> (Human Rights Committee) suggested that, without amending the rules of procedure or establishing new procedures, the committees could formalize their relations with NGOs such as the Centre for Civil and Political Rights and FIAN International, which provided invaluable support. He said that, while he agreed wholeheartedly with the principle of the </w:t>
      </w:r>
      <w:r w:rsidR="00474284">
        <w:t>indivisibility of rights, some —</w:t>
      </w:r>
      <w:r w:rsidRPr="005766CF">
        <w:t xml:space="preserve"> such as the right to physical integrity, freedom of expression and the right to participate in political life </w:t>
      </w:r>
      <w:r w:rsidR="00474284">
        <w:t>—</w:t>
      </w:r>
      <w:r w:rsidRPr="005766CF">
        <w:t xml:space="preserve"> should carry more weight than others.</w:t>
      </w:r>
    </w:p>
    <w:p w:rsidR="00390396" w:rsidRPr="005766CF" w:rsidRDefault="00390396" w:rsidP="00390396">
      <w:pPr>
        <w:pStyle w:val="ParaNoG"/>
      </w:pPr>
      <w:r w:rsidRPr="00C86836">
        <w:rPr>
          <w:b/>
          <w:bCs/>
        </w:rPr>
        <w:t>Mr. Zerbini Ribeiro Leão</w:t>
      </w:r>
      <w:r w:rsidRPr="005766CF">
        <w:t xml:space="preserve"> (Committee on Economic, Social and Cultural Rights) urged States parties that had not yet done so to ratify the optional protocols recognizing the committees</w:t>
      </w:r>
      <w:r w:rsidR="00BF15AD">
        <w:t>’</w:t>
      </w:r>
      <w:r w:rsidRPr="005766CF">
        <w:t xml:space="preserve"> competence to consider individual complaints, since giving victims of rights violations direct access to the committees would be the perfect way of marking the anniversary of the covenants.</w:t>
      </w:r>
    </w:p>
    <w:p w:rsidR="00390396" w:rsidRPr="00C86836" w:rsidRDefault="00390396" w:rsidP="00C86836">
      <w:pPr>
        <w:pStyle w:val="ParaNoG"/>
        <w:numPr>
          <w:ilvl w:val="0"/>
          <w:numId w:val="0"/>
        </w:numPr>
        <w:ind w:left="1134"/>
        <w:rPr>
          <w:i/>
          <w:iCs/>
        </w:rPr>
      </w:pPr>
      <w:r w:rsidRPr="00C86836">
        <w:rPr>
          <w:i/>
          <w:iCs/>
        </w:rPr>
        <w:t>Mr. Sadi (Chair of the Committee on Economic, Social and Cultural Rights) took the Chair.</w:t>
      </w:r>
    </w:p>
    <w:p w:rsidR="00390396" w:rsidRPr="005766CF" w:rsidRDefault="00390396" w:rsidP="00390396">
      <w:pPr>
        <w:pStyle w:val="ParaNoG"/>
      </w:pPr>
      <w:r w:rsidRPr="00C86836">
        <w:rPr>
          <w:b/>
          <w:bCs/>
        </w:rPr>
        <w:t>Mr. Rodríguez Rescia</w:t>
      </w:r>
      <w:r w:rsidRPr="005766CF">
        <w:t xml:space="preserve"> (Human Rights Committee) said that joint meetings between the two committees were an excellent way to find interconnections among the rights covered by the covenants. There was evidence from constitutional courts in Latin America that economic, social and cultural rights were being enforced, but States should set a baseline, through the adoption of policies and indicators, for measuring the progressive protection of those rights irrespective of their financial means. The task before the Committee on Economic, Social and Cultural Rights of ensuring, through the complaints mechanism, that victims of violations received compensation was very complex and would likely have </w:t>
      </w:r>
      <w:r w:rsidRPr="00BF15AD">
        <w:rPr>
          <w:i/>
          <w:iCs/>
        </w:rPr>
        <w:t>erga omnes</w:t>
      </w:r>
      <w:r w:rsidRPr="005766CF">
        <w:t xml:space="preserve"> implications; the Committee should rely on the litigation work done by civil society organizations in defence of victims when making its determinations in individual cases.</w:t>
      </w:r>
      <w:r w:rsidRPr="005766CF">
        <w:tab/>
      </w:r>
    </w:p>
    <w:p w:rsidR="00390396" w:rsidRPr="005766CF" w:rsidRDefault="00390396" w:rsidP="00390396">
      <w:pPr>
        <w:pStyle w:val="ParaNoG"/>
      </w:pPr>
      <w:r w:rsidRPr="00C86836">
        <w:rPr>
          <w:b/>
          <w:bCs/>
        </w:rPr>
        <w:t>Mr. Uprimny</w:t>
      </w:r>
      <w:r w:rsidRPr="005766CF">
        <w:t xml:space="preserve"> (Committee on Economic, Social and Cultural Rights) said that progress had been made in the enforcement of economic, social and cultural rights and that it was now recognized that both sets of rights were equally costly to protect and implied positive and negative obligations. However, the indivisibility and interdependence of rights remained an ideal, as demonstrated by the low number of ratifications of the Optional Protocol to the International Covenant on Economic, Social and Cultural Rights as compared with the Optional Protocol to the International Covenant on Civil and Political Rights and the failure to take economic, social and cultural rights into account in public policies. If States really took the anniversary seriously, there was no reason to ratify one optional protocol and not the other. He recommended that the committees should meet more frequently to discuss procedural and substantive issues and thereby strengthen the indivisibility, interdependence and complementarity of rights.</w:t>
      </w:r>
    </w:p>
    <w:p w:rsidR="00390396" w:rsidRPr="005766CF" w:rsidRDefault="00390396" w:rsidP="00390396">
      <w:pPr>
        <w:pStyle w:val="ParaNoG"/>
      </w:pPr>
      <w:r w:rsidRPr="00C86836">
        <w:rPr>
          <w:b/>
          <w:bCs/>
        </w:rPr>
        <w:t>Mr. de Frouville</w:t>
      </w:r>
      <w:r w:rsidRPr="005766CF">
        <w:t xml:space="preserve"> (Human Rights Committee) said that he was surprised that more States parties had not attended the meeting. The Committee on Economic, Social and Cultural Rights was to be commended on its pioneering work in garnering consensus among countries that had hitherto espoused divergent views on matters relating to economic, social and cultural rights. Its concluding observations and general comments, particularly those adopted at the beginning of the 1990s, had confirmed the status of </w:t>
      </w:r>
      <w:r w:rsidRPr="005766CF">
        <w:lastRenderedPageBreak/>
        <w:t>economic, social and cultural rights as fundamental human rights and not secondary human rights to be seen in opposition to other, more established, human rights. The Committee had also played a vital role in impressing upon States parties to the International Covenant on Economic, Social and Cultural Rights the immediate nature of the obligations that they had incurred upon ratifying it. It should be recalled that, at the beginning of the 1980s, many States were endeavouring to subsume economic, social and cultural rights and civil and political rights under the right to development, which, despite not having been established as an effective right at the time, had formed the basis of the subsequent rights-based approach to development. He proposed that both committees should continue to meet after the fiftieth anniversary of the adoption of the two covenants and join forces to promote the incorporation of the aforementioned approach into all global development policies.</w:t>
      </w:r>
    </w:p>
    <w:p w:rsidR="00390396" w:rsidRPr="005766CF" w:rsidRDefault="00390396" w:rsidP="00390396">
      <w:pPr>
        <w:pStyle w:val="ParaNoG"/>
      </w:pPr>
      <w:r w:rsidRPr="00C86836">
        <w:rPr>
          <w:b/>
          <w:bCs/>
        </w:rPr>
        <w:t>Mr. Abashidze</w:t>
      </w:r>
      <w:r w:rsidRPr="005766CF">
        <w:t xml:space="preserve"> (Committee on Economic, Social and Cultural Rights) said that the interrelation and interdependence of all human rights was enshrined in the Universal Declaration of Human Rights and confirmed by the Vienna Declaration and Programme of Action. Given that 20 States Members of the United Nations had yet to ratify either covenant, both committees should make the universal ratification of those instruments their highest priority, reminding States Members that, under the Charter of the United Nations, they had an obligation to encourage respect for and realize all human rights. </w:t>
      </w:r>
    </w:p>
    <w:p w:rsidR="00390396" w:rsidRPr="005766CF" w:rsidRDefault="00390396" w:rsidP="00390396">
      <w:pPr>
        <w:pStyle w:val="ParaNoG"/>
      </w:pPr>
      <w:r w:rsidRPr="005766CF">
        <w:t xml:space="preserve">Although they were both part of the United Nations human rights treaty body system, the Committee on Economic, Social and Cultural Rights and the Human Rights Committee could be considered to be the lead committees, as their work and jurisprudence in the area of economic, social and cultural rights, and civil and political rights, respectively, served as the foundation for the progressive development of human rights at the international level. </w:t>
      </w:r>
    </w:p>
    <w:p w:rsidR="00390396" w:rsidRPr="005766CF" w:rsidRDefault="00390396" w:rsidP="00390396">
      <w:pPr>
        <w:pStyle w:val="ParaNoG"/>
      </w:pPr>
      <w:r w:rsidRPr="005766CF">
        <w:t>Regrettably, the wishes of treaty body members had not been fully respected in General Assembly resolution 68/268 on strengthening and enhancing the effective functioning of the human rights treaty body system, which stipulated that the work of the treaty bodies could only be conducted in a maximum of three official working languages. He failed to understand how that restriction would serve to strengthen the work of the treaty bodies and questioned the feasibility of webcasting the treaty bodies</w:t>
      </w:r>
      <w:r w:rsidR="00BF15AD">
        <w:t>’</w:t>
      </w:r>
      <w:r w:rsidRPr="005766CF">
        <w:t xml:space="preserve"> public meetings, the aim of which was to enhance their accessibility and visibility, in only three working languages. Treaty body members were also facing increased administrative obstacles, such as delays in payment, which could impair their ability to perform their duties effectively. That situation needed to be remedied without delay. Without prejudice to holding further meetings with the Human Rights Committee in the future, he suggested reintroducing the practice of holding inter-committee meetings to allow members from all the treaty bodies to raise concerns and share experiences face to face. </w:t>
      </w:r>
    </w:p>
    <w:p w:rsidR="00390396" w:rsidRPr="005766CF" w:rsidRDefault="00390396" w:rsidP="00390396">
      <w:pPr>
        <w:pStyle w:val="ParaNoG"/>
      </w:pPr>
      <w:r w:rsidRPr="00C86836">
        <w:rPr>
          <w:b/>
          <w:bCs/>
        </w:rPr>
        <w:t>Mr. Uzunovski</w:t>
      </w:r>
      <w:r w:rsidRPr="005766CF">
        <w:t xml:space="preserve"> (The former Yugoslav Republic of Macedonia) said that he was pleased to have been invited to what was a historic meeting of the Human Rights Committee and the Committee on Economic, Social and Cultural Rights to mark the fiftieth anniversary of the adoption of their respective covenants. The fact that more States Members had ratified the International Covenant on Civil and Political Rights than the International Covenant on Economic, Social and Cultural Rights placed civil and political rights and economic, social and cultural rights on an unequal footing and subjected States Members to varying degrees of scrutiny by the two committees and by the Human Rights Council during their universal periodic review, depending on whether they had ratified one, both or neither of the covenants and on whether they had entered any reservations to or made any declarations under any of their articles. There were also marked regional discrepancies in the level of compliance with the international human rights obligations flowing from the two covenants. Serious thought should be given to how those discrepancies could be remedied with a view to improving the situation with respect to all </w:t>
      </w:r>
      <w:r w:rsidRPr="005766CF">
        <w:lastRenderedPageBreak/>
        <w:t xml:space="preserve">those rights on the ground. There was a clear need for both committees to promote the universal ratification of their respective covenants. </w:t>
      </w:r>
    </w:p>
    <w:p w:rsidR="00390396" w:rsidRPr="005766CF" w:rsidRDefault="00390396" w:rsidP="00390396">
      <w:pPr>
        <w:pStyle w:val="ParaNoG"/>
      </w:pPr>
      <w:r w:rsidRPr="00C86836">
        <w:rPr>
          <w:b/>
          <w:bCs/>
        </w:rPr>
        <w:t>Ms. Bras Gomes</w:t>
      </w:r>
      <w:r w:rsidRPr="005766CF">
        <w:t xml:space="preserve"> (Committee on Economic, Social and Cultural Rights) said that she was disappointed that so few States parties had attended the meeting, as they could have shared their unique perspective on how economic, social and cultural rights and civil and political rights were best realized on the ground. The shared recognition by States parties, NGOs and other relevant stakeholders of the rights enshrined in the International Covenant on Economic, Social and Cultural Rights as fundamental, realizable and enforceable human rights was undoubtedly one of the most notable achievements of the previous 50 years. It was to be hoped that more States parties would also ratify the Optional Protocol to the Covenant in the future. There was a need for both committees to transcend the artificial division created between economic, social and cultural rights and civil and political rights and to work together to address the serious obstacles impeding the full realization of all human rights. </w:t>
      </w:r>
    </w:p>
    <w:p w:rsidR="00390396" w:rsidRPr="005766CF" w:rsidRDefault="00390396" w:rsidP="00390396">
      <w:pPr>
        <w:pStyle w:val="ParaNoG"/>
      </w:pPr>
      <w:r w:rsidRPr="00C86836">
        <w:rPr>
          <w:b/>
          <w:bCs/>
        </w:rPr>
        <w:t>Mr. Kedzia</w:t>
      </w:r>
      <w:r w:rsidRPr="005766CF">
        <w:t xml:space="preserve"> (Committee on Economic, Social and Cultural Rights) said that the issues raised by the division between economic, social and cultural rights and civil and political rights had been largely resolved by the adoption of the Vienna Declaration and Programme of Action and the Optional Protocol to the International Covenant on Economic, Social and Cultural Rights. Now that all international human rights bodies had come to recognize that economic, social and cultural rights and civil and political rights coexisted on an equal footing, they needed to do more to ensure that those rights were realized on an equal footing in practice. The current meeting could serve as an opportunity to begin developing a framework for future cooperation between the two committees, as there was a clear need for them to develop a common jurisprudence to address the current challenges facing the full realization of all human rights, such as the issue of extraterritoriality, and to work in partnership to follow up on concluding observations. However, such cooperation would remain contingent upon the availability of adequate human and financial resources. He trusted that the members of both committees would support the Office of the United Nations High Commissioner for Human Rights in ensuring the availability of those resources. </w:t>
      </w:r>
    </w:p>
    <w:p w:rsidR="00390396" w:rsidRPr="005766CF" w:rsidRDefault="00390396" w:rsidP="00390396">
      <w:pPr>
        <w:pStyle w:val="ParaNoG"/>
      </w:pPr>
      <w:r w:rsidRPr="00C86836">
        <w:rPr>
          <w:b/>
          <w:bCs/>
        </w:rPr>
        <w:t>Mr. Silva Muñoz</w:t>
      </w:r>
      <w:r w:rsidRPr="005766CF">
        <w:t xml:space="preserve"> (Uruguay) said that he too welcomed the initiative to organize the present joint meeting and hoped that more joint meetings could be held in the future. The small number of State party representatives in attendance, which could be explained in part by the fact that the Human Rights Council was currently in session, should not be taken to indicate a lack of interest on their part in the matters being discussed. Notwithstanding the fact that the interrelation and indivisibility of economic, social and cultural rights and civil and political rights could perhaps have been made more explicit through the adoption of a single covenant, Uruguay remained committed to realizing those rights on an equal footing in practice. Uruguayan public policy duly reflected the interdependent, indivisible and cross-cutting nature of all human rights. </w:t>
      </w:r>
    </w:p>
    <w:p w:rsidR="00390396" w:rsidRPr="005766CF" w:rsidRDefault="00390396" w:rsidP="00390396">
      <w:pPr>
        <w:pStyle w:val="ParaNoG"/>
      </w:pPr>
      <w:r w:rsidRPr="005766CF">
        <w:t>Uruguay also viewed the annual meeting of the Chairs of the human rights treaty bodies as a useful forum and welcomed the nomination of a focal point on reprisals for each treaty body. It agreed that there was a need to promote the universal ratification of the two covenants and their optional protocols and would continue to do its part to achieve that. Both committees could consider ur</w:t>
      </w:r>
      <w:r w:rsidR="000D6440">
        <w:t>ging States parties that had</w:t>
      </w:r>
      <w:r w:rsidRPr="005766CF">
        <w:t xml:space="preserve"> not </w:t>
      </w:r>
      <w:r w:rsidR="000D6440">
        <w:t xml:space="preserve">yet </w:t>
      </w:r>
      <w:r w:rsidRPr="005766CF">
        <w:t xml:space="preserve">ratified both covenants and the corresponding optional protocols to do so when they considered their periodic reports. Human rights experts conducting country visits under the special procedures of the Human Rights Council could also make a recommendation to that effect if and when appropriate. </w:t>
      </w:r>
    </w:p>
    <w:p w:rsidR="00390396" w:rsidRPr="005766CF" w:rsidRDefault="00390396" w:rsidP="00390396">
      <w:pPr>
        <w:pStyle w:val="ParaNoG"/>
      </w:pPr>
      <w:r w:rsidRPr="005766CF">
        <w:t xml:space="preserve">Lastly, he wondered whether it would be possible to set up a coordination mechanism to ensure that the recommendations and jurisprudence of the Human Rights </w:t>
      </w:r>
      <w:r w:rsidRPr="005766CF">
        <w:lastRenderedPageBreak/>
        <w:t>Council and those of the two committees were mutually reinforcing but did not overlap unnecessarily, with a view to assisting States parties in the progressive realization of all human rights in their national territory.</w:t>
      </w:r>
      <w:r w:rsidR="00BF15AD">
        <w:t xml:space="preserve"> </w:t>
      </w:r>
      <w:r w:rsidRPr="005766CF">
        <w:t xml:space="preserve"> </w:t>
      </w:r>
    </w:p>
    <w:p w:rsidR="00390396" w:rsidRPr="005766CF" w:rsidRDefault="00390396" w:rsidP="00390396">
      <w:pPr>
        <w:pStyle w:val="ParaNoG"/>
      </w:pPr>
      <w:r w:rsidRPr="00C86836">
        <w:rPr>
          <w:b/>
          <w:bCs/>
        </w:rPr>
        <w:t>Sir Nigel Rodley</w:t>
      </w:r>
      <w:r w:rsidRPr="005766CF">
        <w:t xml:space="preserve"> (Human Rights Committee) said that, while cases of flagrant and gross violations of human rights in Urugu</w:t>
      </w:r>
      <w:r w:rsidR="0052499B">
        <w:t>ay during the dictatorship</w:t>
      </w:r>
      <w:r w:rsidRPr="005766CF">
        <w:t xml:space="preserve"> had initially been the source of much of the Human Rights Committee</w:t>
      </w:r>
      <w:r w:rsidR="00BF15AD">
        <w:t>’</w:t>
      </w:r>
      <w:r w:rsidRPr="005766CF">
        <w:t>s jurisprudence, since then Uruguay had proven to be a strong supporter of the international human rights system. He hoped that the outcome of the current meeting would include an appeal for universal ratification of the two covenants well before the sixtieth anniversary celebration. He found it shocking that the two committees had never met jointly before, and he hoped that there would be another joint meeting before 2026.</w:t>
      </w:r>
    </w:p>
    <w:p w:rsidR="00390396" w:rsidRPr="005766CF" w:rsidRDefault="00390396" w:rsidP="00390396">
      <w:pPr>
        <w:pStyle w:val="ParaNoG"/>
      </w:pPr>
      <w:r w:rsidRPr="005766CF">
        <w:t>Serious work needed to be done to coordinate not just among the various treaty bodies but also with the special procedures mandate holders. He regretted the loss of the annual meetings of special procedures and even more so the loss of the inter-committee meeting, which had been by far the most useful forum for cross-fertilization among treaty bodies. He hoped that the outcome of the current meeting would also include a recommendation to restore the inter-committee meeting.</w:t>
      </w:r>
    </w:p>
    <w:p w:rsidR="00390396" w:rsidRPr="005766CF" w:rsidRDefault="00390396" w:rsidP="00390396">
      <w:pPr>
        <w:pStyle w:val="ParaNoG"/>
      </w:pPr>
      <w:r w:rsidRPr="005766CF">
        <w:t>It was only in cooperation with civil society that the international human rights system would be able to effectively counter the pushback it was currently experiencing. Some Governments, including their representatives in international bodies, were launching targeted attacks on human rights defenders. The treaty bodies</w:t>
      </w:r>
      <w:r w:rsidR="00BF15AD">
        <w:t>’</w:t>
      </w:r>
      <w:r w:rsidRPr="005766CF">
        <w:t xml:space="preserve"> work on reprisals was one key element of the efforts that must be made in coordination with civil society, but it might not be the only aspect where such efforts were required.</w:t>
      </w:r>
    </w:p>
    <w:p w:rsidR="00390396" w:rsidRPr="005766CF" w:rsidRDefault="00390396" w:rsidP="00390396">
      <w:pPr>
        <w:pStyle w:val="ParaNoG"/>
      </w:pPr>
      <w:r w:rsidRPr="00C86836">
        <w:rPr>
          <w:b/>
          <w:bCs/>
        </w:rPr>
        <w:t>Ms. Martínez</w:t>
      </w:r>
      <w:r w:rsidRPr="005766CF">
        <w:t xml:space="preserve"> (Ecuador) said that the present meeting and other meetings between the committees and States parties were deeply meaningful, and the representatives of States parties attended them with the intention of listening and learning. Her Government shared the concerns expressed about the challenges facing the committees and the need for greater coordination. The fact that the current meeting was being held at the same time as a Human Rights Council session posed a challenge for delegations who wished to be present at both events.</w:t>
      </w:r>
    </w:p>
    <w:p w:rsidR="00390396" w:rsidRPr="005766CF" w:rsidRDefault="00390396" w:rsidP="00390396">
      <w:pPr>
        <w:pStyle w:val="ParaNoG"/>
      </w:pPr>
      <w:r w:rsidRPr="005766CF">
        <w:t>Ecuador was proud to have a rights-based Constitution, which was a direct result of the committees</w:t>
      </w:r>
      <w:r w:rsidR="00BF15AD">
        <w:t>’</w:t>
      </w:r>
      <w:r w:rsidRPr="005766CF">
        <w:t xml:space="preserve"> work over the years. She hoped that there would be further opportunities for informal dialogue between States and the committees with regard to the committees</w:t>
      </w:r>
      <w:r w:rsidR="00BF15AD">
        <w:t>’</w:t>
      </w:r>
      <w:r w:rsidRPr="005766CF">
        <w:t xml:space="preserve"> general comments.</w:t>
      </w:r>
    </w:p>
    <w:p w:rsidR="00390396" w:rsidRPr="005766CF" w:rsidRDefault="00390396" w:rsidP="00390396">
      <w:pPr>
        <w:pStyle w:val="ParaNoG"/>
      </w:pPr>
      <w:r w:rsidRPr="00C86836">
        <w:rPr>
          <w:b/>
          <w:bCs/>
        </w:rPr>
        <w:t xml:space="preserve">Mr. Chen </w:t>
      </w:r>
      <w:r w:rsidRPr="00BF15AD">
        <w:t>Shiqiu</w:t>
      </w:r>
      <w:r w:rsidRPr="005766CF">
        <w:t xml:space="preserve"> (Committee on Economic, Social and Cultural Rights) said that he was very pleased to finally be able to speak in his native tongue at a committee meeting. Even though in its dialogues with States parties the Committee on Economic, Social and Cultural Rights often emphasized the need to respect minority languages, in the United Nations system, Chinese, though not a minority language, was accorded even less respect than many minority languages as a result of the treaty body reforms. The fairness of those reforms should be reconsidered.</w:t>
      </w:r>
    </w:p>
    <w:p w:rsidR="00390396" w:rsidRPr="005766CF" w:rsidRDefault="00390396" w:rsidP="00390396">
      <w:pPr>
        <w:pStyle w:val="ParaNoG"/>
      </w:pPr>
      <w:r w:rsidRPr="005766CF">
        <w:t>Based on his experiences both in the treaty body system and in intergovernmental bodies such as the Human Rights Council, he had come to realize that there were major differences between the two. While discussions in intergovernmental bodies were often politicized, that was not the case in the treaty bodies. Treaty body experts were independent, and their objective was to help States parties give effect to human rights. The treaty bodies aimed to work in partnership with States parties, on an equal footing and in a spirit of cooperation, mutual respect and trust. They did not use language that condemned States. The treaty bodies were also patient and tolerant, particularly with developing countries, and recognized that human rights could not be realized overnight.</w:t>
      </w:r>
    </w:p>
    <w:p w:rsidR="00390396" w:rsidRPr="005766CF" w:rsidRDefault="00390396" w:rsidP="00390396">
      <w:pPr>
        <w:pStyle w:val="ParaNoG"/>
      </w:pPr>
      <w:r w:rsidRPr="00C86836">
        <w:rPr>
          <w:b/>
          <w:bCs/>
        </w:rPr>
        <w:lastRenderedPageBreak/>
        <w:t>Mr. Bouzid</w:t>
      </w:r>
      <w:r w:rsidRPr="005766CF">
        <w:t xml:space="preserve"> (Human Rights Committee) said that the current meeting was a historic event, as it was the first time that the two twin committees had met since their creation. He supported Mr. Chen Shiqiu</w:t>
      </w:r>
      <w:r w:rsidR="00BF15AD">
        <w:t>’</w:t>
      </w:r>
      <w:r w:rsidRPr="005766CF">
        <w:t>s comments about discrimination with respect to the languages used in the treaty bodies, and he pointed out that the three languages currently used were all from the same region of the world.</w:t>
      </w:r>
    </w:p>
    <w:p w:rsidR="00390396" w:rsidRPr="005766CF" w:rsidRDefault="00390396" w:rsidP="00390396">
      <w:pPr>
        <w:pStyle w:val="ParaNoG"/>
      </w:pPr>
      <w:r w:rsidRPr="005766CF">
        <w:t>As part of the celebration of the anniversary of the two covenants, he wished to pay tribute to former committee members, such as Mr. Rajsoomer Lallah and Ms. Christine Chanet, who had made great contributions to the promotion and protection of human rights. As it was Member States who had brought the two covenants into existence, he would have liked to have seen more of them represented at the meeting.</w:t>
      </w:r>
    </w:p>
    <w:p w:rsidR="00390396" w:rsidRPr="005766CF" w:rsidRDefault="00390396" w:rsidP="00390396">
      <w:pPr>
        <w:pStyle w:val="ParaNoG"/>
      </w:pPr>
      <w:r w:rsidRPr="00C86836">
        <w:rPr>
          <w:b/>
          <w:bCs/>
        </w:rPr>
        <w:t>Mr. Politi</w:t>
      </w:r>
      <w:r w:rsidRPr="005766CF">
        <w:t xml:space="preserve"> (Human Rights Committee) said that he welcomed the opportunity for the two committees to meet and hoped that in future there would be more regular, structured cooperation between them, particularly with regard to the evolution of their jurisprudence. He hoped that the Views of the two committees would complement each other, particularly with respect to the committees</w:t>
      </w:r>
      <w:r w:rsidR="00BF15AD">
        <w:t>’</w:t>
      </w:r>
      <w:r w:rsidRPr="005766CF">
        <w:t xml:space="preserve"> interpretation of covenant articles in which the link between civil and political rights and economic, social and cultural rights was most evident, as that would enhance the authority and credibility of both committees.</w:t>
      </w:r>
    </w:p>
    <w:p w:rsidR="00390396" w:rsidRPr="005766CF" w:rsidRDefault="00390396" w:rsidP="00390396">
      <w:pPr>
        <w:pStyle w:val="ParaNoG"/>
      </w:pPr>
      <w:r w:rsidRPr="00C86836">
        <w:rPr>
          <w:b/>
          <w:bCs/>
        </w:rPr>
        <w:t>Ms. Shin</w:t>
      </w:r>
      <w:r w:rsidRPr="005766CF">
        <w:t xml:space="preserve"> (Committee on Economic, Social and Cultural Rights) said that she supported Mr. Politi</w:t>
      </w:r>
      <w:r w:rsidR="00BF15AD">
        <w:t>’</w:t>
      </w:r>
      <w:r w:rsidRPr="005766CF">
        <w:t>s views and that she had been pleasantly surprised to learn that the Human Rights Committee was receiving individual communications about cases that overlapped with the mandate of the Committee on Economic, Social and Cultural Rights. She suggested that the theme of the next joint meeting of the two committees might be an exchange of views and experiences in dealing with individual communications.</w:t>
      </w:r>
    </w:p>
    <w:p w:rsidR="00390396" w:rsidRPr="005766CF" w:rsidRDefault="00390396" w:rsidP="00390396">
      <w:pPr>
        <w:pStyle w:val="ParaNoG"/>
      </w:pPr>
      <w:r w:rsidRPr="005766CF">
        <w:t>The Committee on Economic, Social and Cultural Rights had received several communications involving Ecuador, and the actions taken by that State in response to the Committee</w:t>
      </w:r>
      <w:r w:rsidR="00BF15AD">
        <w:t>’</w:t>
      </w:r>
      <w:r w:rsidRPr="005766CF">
        <w:t>s views could be an important contribution to the promotion and protection of human rights in Latin America and around the world, as Latin America was a pioneering region in the field of economic, social and cultural rights. The Committee on Economic, Social and Cultural Rights held at least two meetings with States parties each year, where issues such as the Committee</w:t>
      </w:r>
      <w:r w:rsidR="00BF15AD">
        <w:t>’</w:t>
      </w:r>
      <w:r w:rsidRPr="005766CF">
        <w:t>s working methods and the follow-up on its concluding observations were discussed.</w:t>
      </w:r>
    </w:p>
    <w:p w:rsidR="00390396" w:rsidRPr="005766CF" w:rsidRDefault="00390396" w:rsidP="00390396">
      <w:pPr>
        <w:pStyle w:val="ParaNoG"/>
      </w:pPr>
      <w:r w:rsidRPr="00C86836">
        <w:rPr>
          <w:b/>
          <w:bCs/>
        </w:rPr>
        <w:t>Mr. Salvioli</w:t>
      </w:r>
      <w:r w:rsidRPr="005766CF">
        <w:t xml:space="preserve"> (Human Rights Committee) said that the dialogue had been very valuable and fruitful. He wished to point out that both committees offered opportunities for States parties to participate in the process of drafting their general comments. In the field of human rights, it was important not to just repeat what had been done in the past but rather to constantly forge ahead. In the case of </w:t>
      </w:r>
      <w:r w:rsidRPr="00C86836">
        <w:rPr>
          <w:i/>
          <w:iCs/>
        </w:rPr>
        <w:t>Broeks v. The Netherlands</w:t>
      </w:r>
      <w:r w:rsidRPr="005766CF">
        <w:t xml:space="preserve">, for example, the principle of non-discrimination had been interpreted more broadly than in the past. </w:t>
      </w:r>
    </w:p>
    <w:p w:rsidR="00390396" w:rsidRPr="005766CF" w:rsidRDefault="00390396" w:rsidP="00390396">
      <w:pPr>
        <w:pStyle w:val="ParaNoG"/>
      </w:pPr>
      <w:r w:rsidRPr="005766CF">
        <w:t xml:space="preserve">The more recent human rights instruments, such as the Convention on the Rights of Persons with Disabilities, expressly referred to the interdependence and indivisibility of all human rights, and that was clearly the direction in which things were heading. All treaty bodies would need to harmonize their work with that in mind. All human rights were fundamental; it was not for the treaty bodies to decide which were fundamental and which were not. </w:t>
      </w:r>
    </w:p>
    <w:p w:rsidR="00390396" w:rsidRPr="005766CF" w:rsidRDefault="00390396" w:rsidP="00390396">
      <w:pPr>
        <w:pStyle w:val="ParaNoG"/>
      </w:pPr>
      <w:r w:rsidRPr="005766CF">
        <w:t xml:space="preserve">He commended the Committee on Economic, Social and Cultural Rights for its efforts to enshrine the interdependence and indivisibility of rights in its work. While the Human Rights Committee had also addressed related matters, it had never stated in any of its general comments that all human rights were interdependent and indivisible. In that regard, the Committee needed to move forward. Human rights must be subject to the jurisdiction of the courts; otherwise they simply would not exist. The treaty bodies had the </w:t>
      </w:r>
      <w:r w:rsidRPr="005766CF">
        <w:lastRenderedPageBreak/>
        <w:t>responsibility to interpret human rights instruments in whatever way would make them most effective.</w:t>
      </w:r>
    </w:p>
    <w:p w:rsidR="00390396" w:rsidRPr="005766CF" w:rsidRDefault="00390396" w:rsidP="00390396">
      <w:pPr>
        <w:pStyle w:val="ParaNoG"/>
      </w:pPr>
      <w:r w:rsidRPr="00390396">
        <w:rPr>
          <w:b/>
        </w:rPr>
        <w:t>The Chair</w:t>
      </w:r>
      <w:r w:rsidRPr="005766CF">
        <w:t xml:space="preserve"> said that there was a need to build bridges between the two committees, specifically by holding joint meetings more regularly. It was only through such meetings that the committees would be able to harmonize their jurisprudence and learn from each other. Otherwise, the present meeting would not bear any fruit and the momentum would be lost. Both committees shared the same mission and were working for the same cause; they should keep an open mind about ways to build on what was a modest step forward towards unifying their forces.</w:t>
      </w:r>
    </w:p>
    <w:p w:rsidR="00390396" w:rsidRPr="00342AC8" w:rsidRDefault="00390396" w:rsidP="00C86836">
      <w:pPr>
        <w:pStyle w:val="ParaNoG"/>
        <w:numPr>
          <w:ilvl w:val="0"/>
          <w:numId w:val="0"/>
        </w:numPr>
        <w:ind w:left="1134"/>
      </w:pPr>
      <w:r w:rsidRPr="00C86836">
        <w:rPr>
          <w:i/>
          <w:iCs/>
        </w:rPr>
        <w:t>The meeting rose at 5.45 p.m.</w:t>
      </w:r>
    </w:p>
    <w:sectPr w:rsidR="00390396" w:rsidRPr="00342AC8" w:rsidSect="007D331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C2C" w:rsidRDefault="00750C2C" w:rsidP="00247E2C">
      <w:pPr>
        <w:spacing w:line="240" w:lineRule="auto"/>
      </w:pPr>
      <w:r>
        <w:separator/>
      </w:r>
    </w:p>
  </w:endnote>
  <w:endnote w:type="continuationSeparator" w:id="0">
    <w:p w:rsidR="00750C2C" w:rsidRDefault="00750C2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31F" w:rsidRPr="007D331F" w:rsidRDefault="007D331F" w:rsidP="007D331F">
    <w:pPr>
      <w:pStyle w:val="Footer"/>
      <w:tabs>
        <w:tab w:val="right" w:pos="9598"/>
      </w:tabs>
    </w:pPr>
    <w:r w:rsidRPr="007D331F">
      <w:rPr>
        <w:b/>
        <w:sz w:val="18"/>
      </w:rPr>
      <w:fldChar w:fldCharType="begin"/>
    </w:r>
    <w:r w:rsidRPr="007D331F">
      <w:rPr>
        <w:b/>
        <w:sz w:val="18"/>
      </w:rPr>
      <w:instrText xml:space="preserve"> PAGE  \* MERGEFORMAT </w:instrText>
    </w:r>
    <w:r w:rsidRPr="007D331F">
      <w:rPr>
        <w:b/>
        <w:sz w:val="18"/>
      </w:rPr>
      <w:fldChar w:fldCharType="separate"/>
    </w:r>
    <w:r w:rsidR="002874C3">
      <w:rPr>
        <w:b/>
        <w:noProof/>
        <w:sz w:val="18"/>
      </w:rPr>
      <w:t>10</w:t>
    </w:r>
    <w:r w:rsidRPr="007D331F">
      <w:rPr>
        <w:b/>
        <w:sz w:val="18"/>
      </w:rPr>
      <w:fldChar w:fldCharType="end"/>
    </w:r>
    <w:r>
      <w:rPr>
        <w:sz w:val="18"/>
      </w:rPr>
      <w:tab/>
    </w:r>
    <w:r>
      <w:t>GE.16-10768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31F" w:rsidRPr="007D331F" w:rsidRDefault="007D331F" w:rsidP="007D331F">
    <w:pPr>
      <w:pStyle w:val="Footer"/>
      <w:tabs>
        <w:tab w:val="right" w:pos="9598"/>
      </w:tabs>
      <w:rPr>
        <w:b/>
        <w:sz w:val="18"/>
      </w:rPr>
    </w:pPr>
    <w:r>
      <w:t>GE.16-10768</w:t>
    </w:r>
    <w:r>
      <w:tab/>
    </w:r>
    <w:r w:rsidRPr="007D331F">
      <w:rPr>
        <w:b/>
        <w:sz w:val="18"/>
      </w:rPr>
      <w:fldChar w:fldCharType="begin"/>
    </w:r>
    <w:r w:rsidRPr="007D331F">
      <w:rPr>
        <w:b/>
        <w:sz w:val="18"/>
      </w:rPr>
      <w:instrText xml:space="preserve"> PAGE  \* MERGEFORMAT </w:instrText>
    </w:r>
    <w:r w:rsidRPr="007D331F">
      <w:rPr>
        <w:b/>
        <w:sz w:val="18"/>
      </w:rPr>
      <w:fldChar w:fldCharType="separate"/>
    </w:r>
    <w:r w:rsidR="002874C3">
      <w:rPr>
        <w:b/>
        <w:noProof/>
        <w:sz w:val="18"/>
      </w:rPr>
      <w:t>11</w:t>
    </w:r>
    <w:r w:rsidRPr="007D33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val="en-US" w:eastAsia="en-US"/>
      </w:rPr>
      <w:drawing>
        <wp:anchor distT="0" distB="0" distL="114300" distR="114300" simplePos="0" relativeHeight="251659264" behindDoc="0" locked="1" layoutInCell="1" allowOverlap="1" wp14:anchorId="7707AE8A" wp14:editId="7CBFE27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7D331F" w:rsidRDefault="007D331F" w:rsidP="007D331F">
    <w:pPr>
      <w:pStyle w:val="FootnoteText"/>
      <w:ind w:left="0" w:firstLine="0"/>
      <w:rPr>
        <w:sz w:val="20"/>
      </w:rPr>
    </w:pPr>
    <w:r>
      <w:rPr>
        <w:sz w:val="20"/>
      </w:rPr>
      <w:t>GE.16-10768  (E)</w:t>
    </w:r>
    <w:r w:rsidR="00E774D6">
      <w:rPr>
        <w:sz w:val="20"/>
      </w:rPr>
      <w:t xml:space="preserve"> </w:t>
    </w:r>
    <w:r w:rsidR="005B18CD">
      <w:rPr>
        <w:rFonts w:hint="eastAsia"/>
        <w:sz w:val="20"/>
      </w:rPr>
      <w:t xml:space="preserve">   280616    </w:t>
    </w:r>
    <w:r w:rsidR="005B18CD">
      <w:rPr>
        <w:sz w:val="20"/>
      </w:rPr>
      <w:t>29</w:t>
    </w:r>
    <w:r w:rsidR="006F050B">
      <w:rPr>
        <w:rFonts w:hint="eastAsia"/>
        <w:sz w:val="20"/>
      </w:rPr>
      <w:t>0616</w:t>
    </w:r>
  </w:p>
  <w:p w:rsidR="007D331F" w:rsidRPr="007D331F" w:rsidRDefault="007D331F" w:rsidP="007D331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en-US"/>
      </w:rPr>
      <w:drawing>
        <wp:anchor distT="0" distB="0" distL="114300" distR="114300" simplePos="0" relativeHeight="251660288" behindDoc="0" locked="0" layoutInCell="1" allowOverlap="1" wp14:anchorId="685FAC25" wp14:editId="395BFB3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73-E/C.12/2016/SR.4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3-E/C.12/2016/SR.4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C2C" w:rsidRPr="009F5CDC" w:rsidRDefault="00750C2C" w:rsidP="009F5CDC">
      <w:pPr>
        <w:tabs>
          <w:tab w:val="left" w:pos="2155"/>
        </w:tabs>
        <w:snapToGrid w:val="0"/>
        <w:spacing w:before="24" w:after="80" w:line="240" w:lineRule="exact"/>
        <w:rPr>
          <w:u w:val="single"/>
        </w:rPr>
      </w:pPr>
      <w:r w:rsidRPr="009F5CDC">
        <w:rPr>
          <w:u w:val="single"/>
        </w:rPr>
        <w:tab/>
      </w:r>
    </w:p>
  </w:footnote>
  <w:footnote w:type="continuationSeparator" w:id="0">
    <w:p w:rsidR="00750C2C" w:rsidRDefault="00750C2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31F" w:rsidRPr="007D331F" w:rsidRDefault="007D331F" w:rsidP="007D331F">
    <w:pPr>
      <w:pStyle w:val="Header"/>
    </w:pPr>
    <w:r w:rsidRPr="007D331F">
      <w:t>CCPR/C/SR.3273-E/C.12/2016/SR.48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31F" w:rsidRPr="007D331F" w:rsidRDefault="007D331F" w:rsidP="007D331F">
    <w:pPr>
      <w:pStyle w:val="Header"/>
      <w:jc w:val="right"/>
    </w:pPr>
    <w:r w:rsidRPr="007D331F">
      <w:t>CCPR/C/SR.3273-E/C.12/2016/SR.48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BDC26E9"/>
    <w:multiLevelType w:val="hybridMultilevel"/>
    <w:tmpl w:val="C6BA5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C0791"/>
    <w:rsid w:val="00046E92"/>
    <w:rsid w:val="000D6440"/>
    <w:rsid w:val="00100E2F"/>
    <w:rsid w:val="001170DC"/>
    <w:rsid w:val="0021002A"/>
    <w:rsid w:val="00247E2C"/>
    <w:rsid w:val="0028049B"/>
    <w:rsid w:val="002874C3"/>
    <w:rsid w:val="002D6C53"/>
    <w:rsid w:val="002F5595"/>
    <w:rsid w:val="00334F6A"/>
    <w:rsid w:val="00342AC8"/>
    <w:rsid w:val="00390396"/>
    <w:rsid w:val="003B4550"/>
    <w:rsid w:val="00461253"/>
    <w:rsid w:val="00474284"/>
    <w:rsid w:val="00487FD4"/>
    <w:rsid w:val="005042C2"/>
    <w:rsid w:val="0052499B"/>
    <w:rsid w:val="0056414B"/>
    <w:rsid w:val="005B18CD"/>
    <w:rsid w:val="006632C8"/>
    <w:rsid w:val="00671529"/>
    <w:rsid w:val="00686B7F"/>
    <w:rsid w:val="00696CE7"/>
    <w:rsid w:val="006E2A30"/>
    <w:rsid w:val="006F050B"/>
    <w:rsid w:val="00717266"/>
    <w:rsid w:val="007268F9"/>
    <w:rsid w:val="00750C2C"/>
    <w:rsid w:val="007C52B0"/>
    <w:rsid w:val="007D331F"/>
    <w:rsid w:val="008C0791"/>
    <w:rsid w:val="008E2A7F"/>
    <w:rsid w:val="009411B4"/>
    <w:rsid w:val="0095665C"/>
    <w:rsid w:val="009D0139"/>
    <w:rsid w:val="009F5CDC"/>
    <w:rsid w:val="00A775CF"/>
    <w:rsid w:val="00B06045"/>
    <w:rsid w:val="00BF15AD"/>
    <w:rsid w:val="00C35A27"/>
    <w:rsid w:val="00C86836"/>
    <w:rsid w:val="00CC468C"/>
    <w:rsid w:val="00E02C2B"/>
    <w:rsid w:val="00E326B7"/>
    <w:rsid w:val="00E774D6"/>
    <w:rsid w:val="00ED6C48"/>
    <w:rsid w:val="00F47A05"/>
    <w:rsid w:val="00F5379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AD0B08-4E87-4769-970D-CAEF660FF3EE}"/>
</file>

<file path=customXml/itemProps2.xml><?xml version="1.0" encoding="utf-8"?>
<ds:datastoreItem xmlns:ds="http://schemas.openxmlformats.org/officeDocument/2006/customXml" ds:itemID="{A2D1DE88-EF73-4F57-9A1A-A438B1D01A7D}"/>
</file>

<file path=customXml/itemProps3.xml><?xml version="1.0" encoding="utf-8"?>
<ds:datastoreItem xmlns:ds="http://schemas.openxmlformats.org/officeDocument/2006/customXml" ds:itemID="{5CA4EA77-85F8-4F6F-AB67-7B3C7FF61795}"/>
</file>

<file path=customXml/itemProps4.xml><?xml version="1.0" encoding="utf-8"?>
<ds:datastoreItem xmlns:ds="http://schemas.openxmlformats.org/officeDocument/2006/customXml" ds:itemID="{6B174920-D95C-4F7F-8366-DD0C549FC530}"/>
</file>

<file path=docProps/app.xml><?xml version="1.0" encoding="utf-8"?>
<Properties xmlns="http://schemas.openxmlformats.org/officeDocument/2006/extended-properties" xmlns:vt="http://schemas.openxmlformats.org/officeDocument/2006/docPropsVTypes">
  <Template>CESCR1.dotm</Template>
  <TotalTime>0</TotalTime>
  <Pages>11</Pages>
  <Words>5778</Words>
  <Characters>32936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1610768</vt:lpstr>
    </vt:vector>
  </TitlesOfParts>
  <Company>DCM</Company>
  <LinksUpToDate>false</LinksUpToDate>
  <CharactersWithSpaces>38637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1610768</dc:title>
  <dc:subject>CCPR/C/SR.3273-E/C.12/2016/SR.48</dc:subject>
  <dc:creator>Anni Vi Tirol</dc:creator>
  <cp:lastModifiedBy>Seceng</cp:lastModifiedBy>
  <cp:revision>2</cp:revision>
  <cp:lastPrinted>2016-06-28T11:50:00Z</cp:lastPrinted>
  <dcterms:created xsi:type="dcterms:W3CDTF">2016-07-21T09:26:00Z</dcterms:created>
  <dcterms:modified xsi:type="dcterms:W3CDTF">2016-07-21T09:26:00Z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