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75A" w:rsidRPr="0058775A" w:rsidRDefault="0058775A" w:rsidP="0058775A">
      <w:pPr>
        <w:shd w:val="clear" w:color="auto" w:fill="FFFFFF" w:themeFill="background1"/>
        <w:jc w:val="center"/>
        <w:rPr>
          <w:rFonts w:ascii="Times New Roman" w:hAnsi="Times New Roman" w:cs="Times New Roman"/>
          <w:sz w:val="36"/>
          <w:szCs w:val="36"/>
          <w:u w:val="single"/>
        </w:rPr>
      </w:pPr>
      <w:r w:rsidRPr="0058775A">
        <w:rPr>
          <w:rFonts w:ascii="Times New Roman" w:hAnsi="Times New Roman" w:cs="Times New Roman"/>
          <w:sz w:val="36"/>
          <w:szCs w:val="36"/>
          <w:u w:val="single"/>
        </w:rPr>
        <w:t>ANEXOS I - V</w:t>
      </w:r>
      <w:bookmarkStart w:id="0" w:name="_GoBack"/>
      <w:bookmarkEnd w:id="0"/>
    </w:p>
    <w:p w:rsidR="0058775A" w:rsidRDefault="0058775A" w:rsidP="0058775A">
      <w:pPr>
        <w:shd w:val="clear" w:color="auto" w:fill="FFFFFF" w:themeFill="background1"/>
        <w:jc w:val="center"/>
        <w:rPr>
          <w:rFonts w:ascii="Times New Roman" w:hAnsi="Times New Roman" w:cs="Times New Roman"/>
          <w:sz w:val="28"/>
          <w:szCs w:val="28"/>
          <w:u w:val="single"/>
        </w:rPr>
      </w:pPr>
    </w:p>
    <w:p w:rsidR="008D0CE1" w:rsidRPr="0058775A" w:rsidRDefault="003D2A00" w:rsidP="0058775A">
      <w:pPr>
        <w:shd w:val="clear" w:color="auto" w:fill="AEAAAA" w:themeFill="background2" w:themeFillShade="BF"/>
        <w:jc w:val="center"/>
        <w:rPr>
          <w:rFonts w:ascii="Times New Roman" w:hAnsi="Times New Roman" w:cs="Times New Roman"/>
          <w:sz w:val="28"/>
          <w:szCs w:val="28"/>
          <w:u w:val="single"/>
        </w:rPr>
      </w:pPr>
      <w:r w:rsidRPr="0058775A">
        <w:rPr>
          <w:rFonts w:ascii="Times New Roman" w:hAnsi="Times New Roman" w:cs="Times New Roman"/>
          <w:sz w:val="28"/>
          <w:szCs w:val="28"/>
          <w:u w:val="single"/>
        </w:rPr>
        <w:t>ANEXO I</w:t>
      </w:r>
    </w:p>
    <w:p w:rsidR="00F44A71" w:rsidRPr="00B259FD" w:rsidRDefault="00F44A71" w:rsidP="005B579A">
      <w:pPr>
        <w:jc w:val="center"/>
        <w:rPr>
          <w:rFonts w:ascii="Times New Roman" w:hAnsi="Times New Roman" w:cs="Times New Roman"/>
          <w:sz w:val="20"/>
          <w:szCs w:val="20"/>
          <w:u w:val="single"/>
        </w:rPr>
      </w:pPr>
      <w:r w:rsidRPr="00B259FD">
        <w:rPr>
          <w:rFonts w:ascii="Times New Roman" w:hAnsi="Times New Roman" w:cs="Times New Roman"/>
          <w:sz w:val="20"/>
          <w:szCs w:val="20"/>
          <w:u w:val="single"/>
        </w:rPr>
        <w:t>Sentencias Corte Suprema 2014-2021, que invocan disposiciones del Pacto de Derechos Civiles y Políticos</w:t>
      </w:r>
    </w:p>
    <w:p w:rsidR="005B579A" w:rsidRPr="00B259FD" w:rsidRDefault="005B579A" w:rsidP="005B579A">
      <w:pPr>
        <w:jc w:val="center"/>
        <w:rPr>
          <w:rFonts w:ascii="Times New Roman" w:hAnsi="Times New Roman" w:cs="Times New Roman"/>
          <w:sz w:val="20"/>
          <w:szCs w:val="20"/>
        </w:rPr>
      </w:pPr>
    </w:p>
    <w:p w:rsidR="003D2A00" w:rsidRPr="00B259FD" w:rsidRDefault="003D2A00" w:rsidP="005B579A">
      <w:pPr>
        <w:jc w:val="both"/>
        <w:rPr>
          <w:rFonts w:ascii="Times New Roman" w:hAnsi="Times New Roman" w:cs="Times New Roman"/>
          <w:sz w:val="20"/>
          <w:szCs w:val="20"/>
        </w:rPr>
      </w:pPr>
    </w:p>
    <w:p w:rsidR="005B579A" w:rsidRPr="00B259FD" w:rsidRDefault="005B579A" w:rsidP="005B579A">
      <w:pPr>
        <w:jc w:val="both"/>
        <w:rPr>
          <w:rFonts w:ascii="Times New Roman" w:hAnsi="Times New Roman" w:cs="Times New Roman"/>
          <w:sz w:val="20"/>
          <w:szCs w:val="20"/>
        </w:rPr>
      </w:pP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 xml:space="preserve">Como </w:t>
      </w:r>
      <w:r w:rsidR="005B579A" w:rsidRPr="00B259FD">
        <w:rPr>
          <w:rFonts w:ascii="Times New Roman" w:hAnsi="Times New Roman" w:cs="Times New Roman"/>
          <w:sz w:val="20"/>
          <w:szCs w:val="20"/>
        </w:rPr>
        <w:t xml:space="preserve">se indica en el Informe de respuesta a la lista </w:t>
      </w:r>
      <w:r w:rsidR="00347D6F" w:rsidRPr="00B259FD">
        <w:rPr>
          <w:rFonts w:ascii="Times New Roman" w:hAnsi="Times New Roman" w:cs="Times New Roman"/>
          <w:sz w:val="20"/>
          <w:szCs w:val="20"/>
        </w:rPr>
        <w:t>de</w:t>
      </w:r>
      <w:r w:rsidR="005B579A" w:rsidRPr="00B259FD">
        <w:rPr>
          <w:rFonts w:ascii="Times New Roman" w:hAnsi="Times New Roman" w:cs="Times New Roman"/>
          <w:sz w:val="20"/>
          <w:szCs w:val="20"/>
        </w:rPr>
        <w:t xml:space="preserve"> cuestiones previas</w:t>
      </w:r>
      <w:r w:rsidR="00261457" w:rsidRPr="00B259FD">
        <w:rPr>
          <w:rFonts w:ascii="Times New Roman" w:hAnsi="Times New Roman" w:cs="Times New Roman"/>
          <w:sz w:val="20"/>
          <w:szCs w:val="20"/>
        </w:rPr>
        <w:t>,</w:t>
      </w:r>
      <w:r w:rsidR="00347D6F" w:rsidRPr="00B259FD">
        <w:rPr>
          <w:rFonts w:ascii="Times New Roman" w:hAnsi="Times New Roman" w:cs="Times New Roman"/>
          <w:sz w:val="20"/>
          <w:szCs w:val="20"/>
        </w:rPr>
        <w:t xml:space="preserve"> 1186 sentencias de la Corte Suprema citan el Pacto Internacional de Derechos Civiles y Políticos (</w:t>
      </w:r>
      <w:r w:rsidRPr="00B259FD">
        <w:rPr>
          <w:rFonts w:ascii="Times New Roman" w:hAnsi="Times New Roman" w:cs="Times New Roman"/>
          <w:sz w:val="20"/>
          <w:szCs w:val="20"/>
        </w:rPr>
        <w:t xml:space="preserve">13 de agosto de 2014 </w:t>
      </w:r>
      <w:r w:rsidR="00347D6F" w:rsidRPr="00B259FD">
        <w:rPr>
          <w:rFonts w:ascii="Times New Roman" w:hAnsi="Times New Roman" w:cs="Times New Roman"/>
          <w:sz w:val="20"/>
          <w:szCs w:val="20"/>
        </w:rPr>
        <w:t>al</w:t>
      </w:r>
      <w:r w:rsidRPr="00B259FD">
        <w:rPr>
          <w:rFonts w:ascii="Times New Roman" w:hAnsi="Times New Roman" w:cs="Times New Roman"/>
          <w:sz w:val="20"/>
          <w:szCs w:val="20"/>
        </w:rPr>
        <w:t xml:space="preserve"> 1 de enero de 2021</w:t>
      </w:r>
      <w:r w:rsidR="00347D6F" w:rsidRPr="00B259FD">
        <w:rPr>
          <w:rFonts w:ascii="Times New Roman" w:hAnsi="Times New Roman" w:cs="Times New Roman"/>
          <w:sz w:val="20"/>
          <w:szCs w:val="20"/>
        </w:rPr>
        <w:t>)</w:t>
      </w:r>
      <w:r w:rsidRPr="00B259FD">
        <w:rPr>
          <w:rStyle w:val="FootnoteReference"/>
          <w:rFonts w:ascii="Times New Roman" w:hAnsi="Times New Roman" w:cs="Times New Roman"/>
          <w:sz w:val="20"/>
          <w:szCs w:val="20"/>
        </w:rPr>
        <w:footnoteReference w:id="1"/>
      </w:r>
      <w:r w:rsidR="00347D6F" w:rsidRPr="00B259FD">
        <w:rPr>
          <w:rFonts w:ascii="Times New Roman" w:hAnsi="Times New Roman" w:cs="Times New Roman"/>
          <w:sz w:val="20"/>
          <w:szCs w:val="20"/>
        </w:rPr>
        <w:t xml:space="preserve">, de las cuales </w:t>
      </w:r>
      <w:r w:rsidRPr="00B259FD">
        <w:rPr>
          <w:rFonts w:ascii="Times New Roman" w:hAnsi="Times New Roman" w:cs="Times New Roman"/>
          <w:sz w:val="20"/>
          <w:szCs w:val="20"/>
        </w:rPr>
        <w:t>470 sentencias se refieren a pronunciamientos respecto de apelaciones de sentencias de Cortes de Apelaciones que se pronuncian sobre recursos de protección; 251 se refieren a apelaciones de sentencias de Cortes de Apelaciones que resuelven recursos de amparo; 231 corresponden a recursos de nulidad respecto de sentencias penales; 132 se pronuncian respecto de recursos de casación en la forma y fondo en materia civil y 67 en materia penal. Las demás sentencias se refieren a casos de extradiciones pasivas y activas, recursos de hecho y otras acciones no registradas en la clasificación proporcionada por CENDOC.</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sz w:val="20"/>
          <w:szCs w:val="20"/>
        </w:rPr>
        <w:t>De las 470 sentencias relacionadas con acciones de protección, se observa que la mayoría de estos fallos fueron dictados en 2019 (443). En estas últimas sentencias, se observa que en los fallos se cita, en particular, el artículo 2.3, letra a) del Pacto que consagra el derecho a un recurso efectivo, para fundamentar la posición disidente de uno de los Ministros de la Tercera Sala de la Corte Suprema de acoger aquellas acciones de protección declaradas extemporáneas por presentarse más allá del plazo establecido en el Auto Acordado Sobre Tramitación y Fallo del Recurso de Protección de las Garantías Constitucionales</w:t>
      </w:r>
      <w:r w:rsidRPr="00B259FD">
        <w:rPr>
          <w:rStyle w:val="FootnoteReference"/>
          <w:rFonts w:ascii="Times New Roman" w:hAnsi="Times New Roman" w:cs="Times New Roman"/>
          <w:sz w:val="20"/>
          <w:szCs w:val="20"/>
        </w:rPr>
        <w:footnoteReference w:id="2"/>
      </w:r>
      <w:r w:rsidRPr="00B259FD">
        <w:rPr>
          <w:rFonts w:ascii="Times New Roman" w:hAnsi="Times New Roman" w:cs="Times New Roman"/>
          <w:sz w:val="20"/>
          <w:szCs w:val="20"/>
        </w:rPr>
        <w:t>.</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Una de las materias identificadas en las sentencias revisadas en las que la Corte cita el Pacto Internacional de Derechos Civiles y Políticos se refiere a la restricción del ejercicio del derecho a sufragio de personas privadas de libertad. En particular, se observa que trece de los fallos revisados se pronuncian sobre acciones de protección presentados en contra del Servicio Electoral y otras instituciones del Estado con la finalidad de que se adopten las medidas administrativas y de coordinación interinstitucional necesarias que garanticen el derecho a sufragio de las personas privadas de libertad. En estas sentencias se cita, en particular, el artículo 25, letra b) del Pacto, norma que consagra el derecho a “votar y ser elegidos en elecciones periódicas, auténticas, realizadas por sufragio universal e igual y por voto secreto que garantice la libre expresión de la voluntad de los electores”. En particular, la Corte Suprema, en su sentencia de 2 de febrero de 2017 (Rol N° 87748-2016) precisó:</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“Séptimo: Que el Pacto Internacional de Derechos Civiles y Políticos y la Convención Americana sobre Derechos Humanos son tratados internacionales suscritos por nuestro país y cuyo cumplimiento resulta obligatorio para el Estado de Chile.</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lastRenderedPageBreak/>
        <w:t>El Pacto Internacional de Derechos Civiles y Políticos establece en su artículo 25 que todos los ciudadanos, sin distinguir si se trata de personas privadas de libertad, gozan sin distinción de los siguientes derechos y oportunidades: “b) Votar y ser elegidos en elecciones periódicas, auténticas, realizadas por sufragio universal e igual y por voto secreto que garantice la libre expresión de la voluntad de los electores”.</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En este mismo sentido la Convención Americana sobre Derechos Humanos denominada en su artículo 23 reconoce el mismo derecho antes referido y agrega que: “La ley puede reglamentar el ejercicio de los derechos y oportunidades a que se refiere el inciso anterior, exclusivamente por razones de edad, nacionalidad, residencia, idioma, instrucción, capacidad civil o mental, o condena, por juez competente, en proceso penal”.</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Que las disposiciones referidas consideran el derecho a sufragio como un derecho ciudadano, que debe ser garantizado en su ejercicio por el Estado y puede estar sujeto a eventuales restricciones que no pueden extenderse más allá de las señaladas en el respectivo instrumento, quedando excluida la privación de libertad como medida cautelar o cuando la condena no lleva aparejada la pérdida del derecho a sufragio, como ocurre en el presente caso”.</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 xml:space="preserve">También, en cuanto a la protección de los derechos fundamentales de las personas privadas de libertad, pueden destacarse dos sentencias de la Corte Suprema, en las que se pronuncia sobre casos de malos tratos y apremios ilegítimos en contra de este grupo de personas, disponiendo de medidas destinadas a la protección y prevención de este tipo de agresiones. </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En este sentido, se destaca la sentencia de 30 de mayo de 2018 (Rol N°10.834-2018), en la que la Corte acoge una acción de protección en contra de Gendarmería por el uso de fuerza excesiva en contra de una persona privada de libertad y dispone de medidas para impedir que tal ilícito se reitere contra el recurrente o contra terceros que se encuentren en las mismas condiciones, fundando su decisión en lo que establece el artículo 10.1 del Pacto Internacional de Derechos Civiles y Políticos. Adicionalmente, en la sentencia de 1 de diciembre de 2016 (Rol N°92.795-2016), la Corte Suprema se pronunció adoptando medidas necesarias y urgente respecto de la situación de una mujer mapuche privada de libertad, quien antes y durante el nacimiento de su hija, habría sido sujeto de una “situación de presión y hostigamiento”, producto de la vigilancia constante de Gendarmería y “engrilletada por el pie izquierdo a la camilla de la ambulancia”. En esta sentencia la Corte funda su decisión en lo que disponen los artículos 10.1 y 9 del Pacto, considerando que las condiciones en que se desarrolló el parto de la persona afectada constituían una “</w:t>
      </w:r>
      <w:r w:rsidRPr="00B259FD">
        <w:rPr>
          <w:rFonts w:ascii="Times New Roman" w:hAnsi="Times New Roman" w:cs="Times New Roman"/>
          <w:i/>
          <w:sz w:val="20"/>
          <w:szCs w:val="20"/>
        </w:rPr>
        <w:t xml:space="preserve">situación paradigmática de </w:t>
      </w:r>
      <w:proofErr w:type="spellStart"/>
      <w:r w:rsidRPr="00B259FD">
        <w:rPr>
          <w:rFonts w:ascii="Times New Roman" w:hAnsi="Times New Roman" w:cs="Times New Roman"/>
          <w:i/>
          <w:sz w:val="20"/>
          <w:szCs w:val="20"/>
        </w:rPr>
        <w:t>interseccionalidad</w:t>
      </w:r>
      <w:proofErr w:type="spellEnd"/>
      <w:r w:rsidRPr="00B259FD">
        <w:rPr>
          <w:rFonts w:ascii="Times New Roman" w:hAnsi="Times New Roman" w:cs="Times New Roman"/>
          <w:i/>
          <w:sz w:val="20"/>
          <w:szCs w:val="20"/>
        </w:rPr>
        <w:t xml:space="preserve"> en la discriminación, donde se observa una confluencia de factores entrecruzados de discriminación que se potencian e impactan negativamente en la amparada, pues ésta recibió un trato injusto, denigrante y vejatorio, dada su condición de mujer, gestante y parturienta, privada de libertad y perteneciente a la etnia mapuche, lo que en forma innecesaria puso en riesgo su salud y vida, así como la de su hijo, todo ello, en contravención a la normativa nacional e internacional vigente en la materia”(considerando 16°).</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Otra materia recurrente en los fallos revisados que se pronuncian sobre apelaciones de sentencias que se pronuncian sobre recursos de amparo tiene relación con el rechazo del beneficio de libertad condicional de personas privadas de libertad. En particular, en estas sentencias se cita el artículo 10.3 del Pacto Internacional de Derechos Civiles y Políticos, que consagra la finalidad de reforma y readaptación del régimen penitenciario, para justificar la postura de acoger recursos de amparo presentados en contra de las Comisiones de Libertad Condicional por el rechazo del beneficio de libertad condicional en aquellos casos en los que se aplicó una norma reciente que aumentó el tiempo mínimo para solicitar el beneficio. Así se detalla en la siguiente sentencia de la Corte Suprema de 14 de enero de 2019 (Rol N°291-2019):</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 xml:space="preserve">“2°) Que la modificación del tiempo mínimo que introdujo la Ley N° 20.931 en el artículo 3 inciso tercero del Decreto Ley N° 321, es inaplicable a un caso como el presente, de acuerdo con lo dispuesto en los artículos 9 de la Convención Americana, 19 Nº 3° inciso penúltimo de la Constitución Política de la República y 18 del Código Penal, lo que unido a los elementos aportados por el recurso y por Gendarmería de Chile, permite sostener que el amparado ha alcanzado la rehabilitación ínsita a toda reclusión, </w:t>
      </w:r>
      <w:r w:rsidRPr="00B259FD">
        <w:rPr>
          <w:rFonts w:ascii="Times New Roman" w:hAnsi="Times New Roman" w:cs="Times New Roman"/>
          <w:i/>
          <w:sz w:val="20"/>
          <w:szCs w:val="20"/>
        </w:rPr>
        <w:lastRenderedPageBreak/>
        <w:t>conforme al artículo 10.3 del Pacto Internacional de Derechos Civiles y Políticos y el propio artículo 1 del mencionado decreto ley”.</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En cuanto a la protección de derechos de las personas no nacionales, se observa que 4 sentencias de las revisadas se refieren a acciones de protección presentadas en contra del Servicio de Registro Civil e Identificación por la negativa a celebrar matrimonios de personas extranjeras en situación migratoria irregular. En 2 de estas sentencias, la Corte consideró que este tipo de actos constituye una violación del artículo 23.2 del Pacto Internacional de Derechos Civiles Políticos que reconoce el derecho a contraer matrimonio y a fundar una familia, precisando lo siguiente:</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sz w:val="20"/>
          <w:szCs w:val="20"/>
        </w:rPr>
        <w:t xml:space="preserve"> </w:t>
      </w:r>
      <w:r w:rsidRPr="00B259FD">
        <w:rPr>
          <w:rFonts w:ascii="Times New Roman" w:hAnsi="Times New Roman" w:cs="Times New Roman"/>
          <w:i/>
          <w:sz w:val="20"/>
          <w:szCs w:val="20"/>
        </w:rPr>
        <w:t xml:space="preserve">“Tercero: Que el reconocimiento del derecho a contraer matrimonio – denominado también </w:t>
      </w:r>
      <w:proofErr w:type="spellStart"/>
      <w:r w:rsidRPr="00B259FD">
        <w:rPr>
          <w:rFonts w:ascii="Times New Roman" w:hAnsi="Times New Roman" w:cs="Times New Roman"/>
          <w:i/>
          <w:sz w:val="20"/>
          <w:szCs w:val="20"/>
        </w:rPr>
        <w:t>ius</w:t>
      </w:r>
      <w:proofErr w:type="spellEnd"/>
      <w:r w:rsidRPr="00B259FD">
        <w:rPr>
          <w:rFonts w:ascii="Times New Roman" w:hAnsi="Times New Roman" w:cs="Times New Roman"/>
          <w:i/>
          <w:sz w:val="20"/>
          <w:szCs w:val="20"/>
        </w:rPr>
        <w:t xml:space="preserve"> </w:t>
      </w:r>
      <w:proofErr w:type="spellStart"/>
      <w:r w:rsidRPr="00B259FD">
        <w:rPr>
          <w:rFonts w:ascii="Times New Roman" w:hAnsi="Times New Roman" w:cs="Times New Roman"/>
          <w:i/>
          <w:sz w:val="20"/>
          <w:szCs w:val="20"/>
        </w:rPr>
        <w:t>connubi</w:t>
      </w:r>
      <w:proofErr w:type="spellEnd"/>
      <w:r w:rsidRPr="00B259FD">
        <w:rPr>
          <w:rFonts w:ascii="Times New Roman" w:hAnsi="Times New Roman" w:cs="Times New Roman"/>
          <w:i/>
          <w:sz w:val="20"/>
          <w:szCs w:val="20"/>
        </w:rPr>
        <w:t xml:space="preserve"> - se encuentra en plena concordancia con lo dispuesto en diversas Convenciones Internacionales suscritas por nuestro país, tales como la Convención Americana sobre Derechos Humanos y el Pacto Internacional de Derechos Civiles y Políticos. En efecto, el artículo 17 del primer instrumento mencionado señala: “1.La familia es el elemento natural y fundamental de la sociedad y debe ser protegida por la sociedad y el Estado; 2. Se reconoce el derecho del hombre y la mujer a contraer matrimonio y a fundar una familia si tienen la edad y las condiciones requeridas para ello por las leyes internas, en la medida que éstas no afecten al principio de no discriminación establecido en esta Convención”, conceptos que el artículo 23 de la última de las nombradas repite en términos similares.</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En consecuencia, atendido lo dispuesto en el artículo 5° de la Constitución Política, que obliga al Estado a respetar y promover los derechos esenciales que emanan de la naturaleza humana, sea que estén garantizados por la Carta Fundamental o por Tratados Internacionales ratificados por Chile y que se encuentren vigentes, el derecho a contraer matrimonio se encuentra dentro de aquel elenco de derechos que todos los órganos del Estado deben respetar y promover.</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Cuarto: Que, por lo reflexionado, la negativa del Servicio de Registro Civil a celebrar el matrimonio de los recurrentes constituye un acto arbitrario, desde que se verifica “una carencia de razonabilidad en el actuar”, que es una de las situaciones en que reiterada jurisprudencia de nuestros tribunales afinca la existencia de arbitrariedad, por cuanto dicho órgano del Estado ha hecho una interpretación que desconoce la regla básica de la especialidad, que le habría permitido interpretar la norma de extranjería o darle un alcance que se ajuste al sistema matrimonial vigente en nuestro ordenamiento y que no menoscabe el derecho fundamental a contraer matrimonio que tienen todas las personas, sean nacionales o extranjeros. Asimismo, el acto arbitrario constituye una especie de antijuridicidad o situación contraria a derecho, por lo que también ha de predicarse ilegalidad a su respecto”</w:t>
      </w:r>
      <w:r w:rsidRPr="00B259FD">
        <w:rPr>
          <w:rStyle w:val="FootnoteReference"/>
          <w:rFonts w:ascii="Times New Roman" w:hAnsi="Times New Roman" w:cs="Times New Roman"/>
          <w:i/>
          <w:sz w:val="20"/>
          <w:szCs w:val="20"/>
        </w:rPr>
        <w:footnoteReference w:id="3"/>
      </w:r>
      <w:r w:rsidRPr="00B259FD">
        <w:rPr>
          <w:rFonts w:ascii="Times New Roman" w:hAnsi="Times New Roman" w:cs="Times New Roman"/>
          <w:i/>
          <w:sz w:val="20"/>
          <w:szCs w:val="20"/>
        </w:rPr>
        <w:t>.</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En materia de expulsión de personas extranjeras, se identificaron 5 sentencias</w:t>
      </w:r>
      <w:r w:rsidRPr="00B259FD">
        <w:rPr>
          <w:rStyle w:val="FootnoteReference"/>
          <w:rFonts w:ascii="Times New Roman" w:hAnsi="Times New Roman" w:cs="Times New Roman"/>
          <w:sz w:val="20"/>
          <w:szCs w:val="20"/>
        </w:rPr>
        <w:footnoteReference w:id="4"/>
      </w:r>
      <w:r w:rsidRPr="00B259FD">
        <w:rPr>
          <w:rFonts w:ascii="Times New Roman" w:hAnsi="Times New Roman" w:cs="Times New Roman"/>
          <w:sz w:val="20"/>
          <w:szCs w:val="20"/>
        </w:rPr>
        <w:t xml:space="preserve"> en las que se cita el Pacto Internacional de Derechos Civiles y Políticos, específicamente el artículo 13 de este instrumento. En particular, en la sentencia de 9 de septiembre de 2020 (Rol N° 50696-2020), la Corte Suprema dispuso acoger un recurso de protección en contra del Departamento de Extranjería y Migración por el rechazo de la solicitud de regularización migratoria de una persona migrante, solicitando se deje sin efecto la resolución que dispuso su expulsión, considerando los siguientes argumentos:</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“Tercero: Que, para resolver el asunto en examen, es preciso considerar que de acuerdo con el Derecho Internacional los Estados tienen la facultad para expulsar a los extranjeros que residen en su territorio, regla que se encuentra bien reconocida tanto en la doctrina como en la jurisprudencia internacional, así como en la jurisprudencia interna de la mayoría de los Estados (</w:t>
      </w:r>
      <w:proofErr w:type="spellStart"/>
      <w:r w:rsidRPr="00B259FD">
        <w:rPr>
          <w:rFonts w:ascii="Times New Roman" w:hAnsi="Times New Roman" w:cs="Times New Roman"/>
          <w:i/>
          <w:sz w:val="20"/>
          <w:szCs w:val="20"/>
        </w:rPr>
        <w:t>Vgr</w:t>
      </w:r>
      <w:proofErr w:type="spellEnd"/>
      <w:r w:rsidRPr="00B259FD">
        <w:rPr>
          <w:rFonts w:ascii="Times New Roman" w:hAnsi="Times New Roman" w:cs="Times New Roman"/>
          <w:i/>
          <w:sz w:val="20"/>
          <w:szCs w:val="20"/>
        </w:rPr>
        <w:t xml:space="preserve">. Corte Interamericana de Derechos Humanos, Opinión Consultiva OC-18/03 sobre Condición jurídica y derechos de los migrantes indocumentados, de 17 de septiembre de 2003; Corte Interamericana de Derechos Humanos, caso </w:t>
      </w:r>
      <w:proofErr w:type="spellStart"/>
      <w:r w:rsidRPr="00B259FD">
        <w:rPr>
          <w:rFonts w:ascii="Times New Roman" w:hAnsi="Times New Roman" w:cs="Times New Roman"/>
          <w:i/>
          <w:sz w:val="20"/>
          <w:szCs w:val="20"/>
        </w:rPr>
        <w:t>Nadege</w:t>
      </w:r>
      <w:proofErr w:type="spellEnd"/>
      <w:r w:rsidRPr="00B259FD">
        <w:rPr>
          <w:rFonts w:ascii="Times New Roman" w:hAnsi="Times New Roman" w:cs="Times New Roman"/>
          <w:i/>
          <w:sz w:val="20"/>
          <w:szCs w:val="20"/>
        </w:rPr>
        <w:t xml:space="preserve"> </w:t>
      </w:r>
      <w:proofErr w:type="spellStart"/>
      <w:r w:rsidRPr="00B259FD">
        <w:rPr>
          <w:rFonts w:ascii="Times New Roman" w:hAnsi="Times New Roman" w:cs="Times New Roman"/>
          <w:i/>
          <w:sz w:val="20"/>
          <w:szCs w:val="20"/>
        </w:rPr>
        <w:t>Dorzema</w:t>
      </w:r>
      <w:proofErr w:type="spellEnd"/>
      <w:r w:rsidRPr="00B259FD">
        <w:rPr>
          <w:rFonts w:ascii="Times New Roman" w:hAnsi="Times New Roman" w:cs="Times New Roman"/>
          <w:i/>
          <w:sz w:val="20"/>
          <w:szCs w:val="20"/>
        </w:rPr>
        <w:t xml:space="preserve"> y otros v. República Dominicana, sentencia (fondo, reparaciones y costas) de 24 de octubre de 2012; Corte Interamericana de Derechos Humanos, caso Vélez Loor v. Panamá, sentencia (excepciones preliminares, fondo, reparaciones y costas) de 23 de noviembre de 2010.</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Cuarto: Que, asimismo, se hace necesario destacar que la expulsión no tiene en sí misma la naturaleza de una sanción penal (aunque podría tenerla y, de hecho, la tiene en el caso del artículo 34 de la Ley N° 18.216), sino que se trata de un acto de carácter administrativo. Además, los Estados gozan respecto de la expulsión de un importante margen de discrecionalidad. Sin embargo, es incuestionable que la facultad de expulsar extranjeros está sometida a limitaciones que emergen tanto del derecho interno como del derecho internacional.</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 xml:space="preserve">Quinto: Que, tratándose del derecho internacional, algunos de esos límites dicen relación con “la prohibición del abuso de derecho, el principio de la buena fe, la prohibición de adoptar medidas arbitrarias, y el trato mínimo debido a los extranjeros. Igualmente, se ha afirmado que el derecho de expulsar debe ser ejercitado en los límites de su función y propósito, y que está sometido al requerimiento de justificación, aunque el Estado goce de un cierto margen de apreciación al respecto” (Fernando </w:t>
      </w:r>
      <w:proofErr w:type="spellStart"/>
      <w:r w:rsidRPr="00B259FD">
        <w:rPr>
          <w:rFonts w:ascii="Times New Roman" w:hAnsi="Times New Roman" w:cs="Times New Roman"/>
          <w:i/>
          <w:sz w:val="20"/>
          <w:szCs w:val="20"/>
        </w:rPr>
        <w:t>Arlettaz</w:t>
      </w:r>
      <w:proofErr w:type="spellEnd"/>
      <w:r w:rsidRPr="00B259FD">
        <w:rPr>
          <w:rFonts w:ascii="Times New Roman" w:hAnsi="Times New Roman" w:cs="Times New Roman"/>
          <w:i/>
          <w:sz w:val="20"/>
          <w:szCs w:val="20"/>
        </w:rPr>
        <w:t xml:space="preserve">, La expulsión de extranjeros en el Pacto Internacional de derechos civiles y políticos. Boletín Mexicano de Derecho Comparado. Volumen 49, </w:t>
      </w:r>
      <w:proofErr w:type="spellStart"/>
      <w:r w:rsidRPr="00B259FD">
        <w:rPr>
          <w:rFonts w:ascii="Times New Roman" w:hAnsi="Times New Roman" w:cs="Times New Roman"/>
          <w:i/>
          <w:sz w:val="20"/>
          <w:szCs w:val="20"/>
        </w:rPr>
        <w:t>Issue</w:t>
      </w:r>
      <w:proofErr w:type="spellEnd"/>
      <w:r w:rsidRPr="00B259FD">
        <w:rPr>
          <w:rFonts w:ascii="Times New Roman" w:hAnsi="Times New Roman" w:cs="Times New Roman"/>
          <w:i/>
          <w:sz w:val="20"/>
          <w:szCs w:val="20"/>
        </w:rPr>
        <w:t xml:space="preserve"> 2016, página 17).</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Otras limitaciones emanan del Derecho Internacional de los Derechos Humanos. Así, el artículo 22 N° 6 de la Convención Americana sobre Derechos Humanos dispone que “El extranjero que se halle legalmente en el territorio de un Estado parte en la presente Convención, sólo podrá ser expulsado de él en cumplimiento de una decisión adoptada conforme a la ley”. A su vez, el Pacto Internacional de Derechos Civiles y Políticos prescribe en su artículo 13 que “El extranjero que se halle legalmente en el territorio de un Estado Parte en el presente Pacto sólo podrá ser expulsado de él en cumplimiento de una decisión adoptada conforme a la ley; y, a menos que razones imperiosas de seguridad nacional se opongan a ello, 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p>
    <w:p w:rsidR="003D2A00" w:rsidRPr="00B259FD" w:rsidRDefault="003D2A00" w:rsidP="005B579A">
      <w:pPr>
        <w:spacing w:after="120" w:line="276" w:lineRule="auto"/>
        <w:jc w:val="both"/>
        <w:rPr>
          <w:rFonts w:ascii="Times New Roman" w:hAnsi="Times New Roman" w:cs="Times New Roman"/>
          <w:sz w:val="20"/>
          <w:szCs w:val="20"/>
        </w:rPr>
      </w:pPr>
      <w:r w:rsidRPr="00B259FD">
        <w:rPr>
          <w:rFonts w:ascii="Times New Roman" w:hAnsi="Times New Roman" w:cs="Times New Roman"/>
          <w:sz w:val="20"/>
          <w:szCs w:val="20"/>
        </w:rPr>
        <w:t>También se observa que una materia recurrente en los fallos revisados en los que se cita el Pacto tiene relación con la imprescriptibilidad de las acciones civiles (indemnización de perjuicios) y su vínculo con el deber del Estado de reparación a las víctimas de crímenes de lesa humanidad ocurridos en dictadura. En particular, en las sentencias en las que la Corte se pronuncia respecto de este asunto, funda su argumentación en el artículo 2.3 del Pacto que consagra el derecho a un recurso efectivo, del cual emanaría el deber de reparación de las víctimas de violaciones graves de derechos humanos, precisando que la aplicación de las normas internas que regulan la prescripción de acciones civiles contradice este deber de reparación. En este sentido, en la sentencia de 20 de enero de 2020 (Rol N° 23093-2019) la Corte precisó lo siguiente:</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 xml:space="preserve">Quinto: (…) De este modo, las normas del derecho interno previstas en el Código Civil sobre prescripción de las acciones civiles comunes de indemnización de perjuicios en las que los jueces del fondo asilan su decisión, en el presente caso, no resultan atingentes al estar en contradicción con las reglas del Derecho Internacional de los Derechos Humanos que protegen el derecho de las víctimas y familiares a recibir la reparación correspondiente, estatuto normativo internacional que ha sido reconocido por Chile y que, sin perjuicio de la data de su consagración y reconocimiento interno, corresponden a normas de </w:t>
      </w:r>
      <w:proofErr w:type="spellStart"/>
      <w:r w:rsidRPr="00B259FD">
        <w:rPr>
          <w:rFonts w:ascii="Times New Roman" w:hAnsi="Times New Roman" w:cs="Times New Roman"/>
          <w:i/>
          <w:sz w:val="20"/>
          <w:szCs w:val="20"/>
        </w:rPr>
        <w:t>ius</w:t>
      </w:r>
      <w:proofErr w:type="spellEnd"/>
      <w:r w:rsidRPr="00B259FD">
        <w:rPr>
          <w:rFonts w:ascii="Times New Roman" w:hAnsi="Times New Roman" w:cs="Times New Roman"/>
          <w:i/>
          <w:sz w:val="20"/>
          <w:szCs w:val="20"/>
        </w:rPr>
        <w:t xml:space="preserve"> </w:t>
      </w:r>
      <w:proofErr w:type="spellStart"/>
      <w:r w:rsidRPr="00B259FD">
        <w:rPr>
          <w:rFonts w:ascii="Times New Roman" w:hAnsi="Times New Roman" w:cs="Times New Roman"/>
          <w:i/>
          <w:sz w:val="20"/>
          <w:szCs w:val="20"/>
        </w:rPr>
        <w:t>cogens</w:t>
      </w:r>
      <w:proofErr w:type="spellEnd"/>
      <w:r w:rsidRPr="00B259FD">
        <w:rPr>
          <w:rFonts w:ascii="Times New Roman" w:hAnsi="Times New Roman" w:cs="Times New Roman"/>
          <w:i/>
          <w:sz w:val="20"/>
          <w:szCs w:val="20"/>
        </w:rPr>
        <w:t>, derecho imperativo internacional que protege valores esenciales compartidos por la comunidad internacional que ha debido ser reconocido por los jueces de la instancia al resolver la demanda intentada.</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Sexto: Que de lo que se ha venido señalando, se desprende que el Estado está sujeto a la regla de la responsabilidad, la que no es extraña a nuestra legislación, pues el artículo 3° del Reglamento de La Haya de 1907 señala que “La parte beligerante que viole las disposiciones de dicho Reglamento será condenada, si hubiere lugar, a pagar una indemnización. Será responsable de todos los actos cometidos por las personas que formen su ejército”. Complementa lo anterior, el artículo 2. 3 del Pacto Internacional de Derechos Civiles y Políticos, en cuanto señala que “Toda persona cuyos derechos o libertades reconocidos en el presente Pacto hayan sido violadas podrán interponer un recurso efectivo”, el que supone el derecho a buscar y conseguir plena reparación, incluida restitución, indemnización, satisfacción, rehabilitación y garantías de no repetición. En este contexto, encontramos también el principio 15 de los Principios y directrices básicos sobre el derecho de las víctimas de violaciones graves del derecho internacional humanitario a interponer recursos y obtener reparaciones, adoptados por la Comisión de Derechos Humanos en su Resolución 2005/35 de 19 de abril de 2005, el cual señala que “Conforme a su derecho interno y a sus obligaciones jurídicas internacionales, los Estados concederán reparación a las víctimas por las acciones u omisiones que puedan atribuirse al Estado y constituyan violaciones manifiestas de las normas internacionales de derechos humanos o violaciones graves del derecho internacional humanitario”.</w:t>
      </w:r>
    </w:p>
    <w:p w:rsidR="003D2A00" w:rsidRPr="00B259FD" w:rsidRDefault="003D2A00" w:rsidP="005B579A">
      <w:pPr>
        <w:spacing w:after="120" w:line="276" w:lineRule="auto"/>
        <w:jc w:val="both"/>
        <w:rPr>
          <w:rFonts w:ascii="Times New Roman" w:hAnsi="Times New Roman" w:cs="Times New Roman"/>
          <w:i/>
          <w:sz w:val="20"/>
          <w:szCs w:val="20"/>
        </w:rPr>
      </w:pPr>
      <w:r w:rsidRPr="00B259FD">
        <w:rPr>
          <w:rFonts w:ascii="Times New Roman" w:hAnsi="Times New Roman" w:cs="Times New Roman"/>
          <w:i/>
          <w:sz w:val="20"/>
          <w:szCs w:val="20"/>
        </w:rPr>
        <w:t>En síntesis, la obligación de reparación es una obligación que pesa sobre el Estado que ha violado los derechos humanos de sus ciudadanos, obligación que es parte del estatuto jurídico de Chile, conforme se viene señalando. (En este mismo sentido, SCS Rol N° 20.288-14, de 13 de abril de 2015; Rol N° 1.424, de 1 de abril de 2014; Rol N° 22.652, de 31 de marzo de 2015, Rol N° 15.402-18, de 21 de febrero de 2019 y Rol N° 29.448-18 de 27 de agosto de 2019, entre otras).”</w:t>
      </w:r>
    </w:p>
    <w:p w:rsidR="003D2A00" w:rsidRDefault="003D2A00" w:rsidP="005B579A">
      <w:pPr>
        <w:jc w:val="both"/>
        <w:rPr>
          <w:rFonts w:ascii="Times New Roman" w:hAnsi="Times New Roman" w:cs="Times New Roman"/>
          <w:sz w:val="20"/>
          <w:szCs w:val="20"/>
        </w:rPr>
      </w:pPr>
      <w:r w:rsidRPr="00B259FD">
        <w:rPr>
          <w:rFonts w:ascii="Times New Roman" w:hAnsi="Times New Roman" w:cs="Times New Roman"/>
          <w:sz w:val="20"/>
          <w:szCs w:val="20"/>
        </w:rPr>
        <w:t xml:space="preserve">Adicionalmente, también fue posible observar que la Corte Suprema cita el Pacto Internacional de Derechos Civiles y Políticos y, en particular, los artículos 2.1 y 26 que consagran el principio de no discriminación y de igualdad ante la ley, al resolver acciones que tienen relación con situaciones de discriminación de personas transexuales y </w:t>
      </w:r>
      <w:proofErr w:type="spellStart"/>
      <w:r w:rsidRPr="00B259FD">
        <w:rPr>
          <w:rFonts w:ascii="Times New Roman" w:hAnsi="Times New Roman" w:cs="Times New Roman"/>
          <w:sz w:val="20"/>
          <w:szCs w:val="20"/>
        </w:rPr>
        <w:t>transgénero</w:t>
      </w:r>
      <w:proofErr w:type="spellEnd"/>
      <w:r w:rsidRPr="00B259FD">
        <w:rPr>
          <w:rFonts w:ascii="Times New Roman" w:hAnsi="Times New Roman" w:cs="Times New Roman"/>
          <w:sz w:val="20"/>
          <w:szCs w:val="20"/>
        </w:rPr>
        <w:t>. En particular, puede destacarse la sentencia de 10 de noviembre de 2020, en la que la Corte decidió acoger una acción de protección en contra de una Institución de Salud Previsional, por la negativa de otorgar a una mujer transexual la cobertura financiera para la realización de las cirugías de reasignación sexual y las de reconstrucción corporal y facial</w:t>
      </w:r>
      <w:r w:rsidRPr="00B259FD">
        <w:rPr>
          <w:rStyle w:val="FootnoteReference"/>
          <w:rFonts w:ascii="Times New Roman" w:hAnsi="Times New Roman" w:cs="Times New Roman"/>
          <w:sz w:val="20"/>
          <w:szCs w:val="20"/>
        </w:rPr>
        <w:footnoteReference w:id="5"/>
      </w:r>
      <w:r w:rsidRPr="00B259FD">
        <w:rPr>
          <w:rFonts w:ascii="Times New Roman" w:hAnsi="Times New Roman" w:cs="Times New Roman"/>
          <w:sz w:val="20"/>
          <w:szCs w:val="20"/>
        </w:rPr>
        <w:t xml:space="preserve">. Así también, se pueden mencionar las sentencias de 14 de diciembre de 2020 (Rol N°4445-2019), de 27 de noviembre de 2018 (Rol N°18.252-2017) y de 29 de mayo de 2018 (Rol N°70.584-2016) en las que la Corte se pronunció estableciendo que el rechazo de las solicitudes de cambio de nombre y sexo registral de personas </w:t>
      </w:r>
      <w:proofErr w:type="spellStart"/>
      <w:r w:rsidRPr="00B259FD">
        <w:rPr>
          <w:rFonts w:ascii="Times New Roman" w:hAnsi="Times New Roman" w:cs="Times New Roman"/>
          <w:sz w:val="20"/>
          <w:szCs w:val="20"/>
        </w:rPr>
        <w:t>transgénero</w:t>
      </w:r>
      <w:proofErr w:type="spellEnd"/>
      <w:r w:rsidRPr="00B259FD">
        <w:rPr>
          <w:rFonts w:ascii="Times New Roman" w:hAnsi="Times New Roman" w:cs="Times New Roman"/>
          <w:sz w:val="20"/>
          <w:szCs w:val="20"/>
        </w:rPr>
        <w:t xml:space="preserve"> vulneraría el principio de igualdad y no discriminación que consagra el derecho internacional de los derechos humanos y en particular el artículo 2.1 del Pacto. </w:t>
      </w:r>
    </w:p>
    <w:p w:rsidR="0058775A" w:rsidRDefault="0058775A">
      <w:pPr>
        <w:rPr>
          <w:rFonts w:ascii="Times New Roman" w:hAnsi="Times New Roman" w:cs="Times New Roman"/>
          <w:sz w:val="20"/>
          <w:szCs w:val="20"/>
        </w:rPr>
      </w:pPr>
      <w:r>
        <w:rPr>
          <w:rFonts w:ascii="Times New Roman" w:hAnsi="Times New Roman" w:cs="Times New Roman"/>
          <w:sz w:val="20"/>
          <w:szCs w:val="20"/>
        </w:rPr>
        <w:br w:type="page"/>
      </w:r>
    </w:p>
    <w:p w:rsidR="0058775A" w:rsidRPr="0058775A" w:rsidRDefault="0058775A" w:rsidP="0058775A">
      <w:pPr>
        <w:shd w:val="clear" w:color="auto" w:fill="AEAAAA" w:themeFill="background2" w:themeFillShade="BF"/>
        <w:autoSpaceDE w:val="0"/>
        <w:autoSpaceDN w:val="0"/>
        <w:adjustRightInd w:val="0"/>
        <w:ind w:left="720" w:hanging="360"/>
        <w:jc w:val="center"/>
        <w:rPr>
          <w:rFonts w:ascii="Times New Roman" w:hAnsi="Times New Roman" w:cs="Times New Roman"/>
          <w:sz w:val="28"/>
          <w:szCs w:val="28"/>
          <w:u w:val="single"/>
        </w:rPr>
      </w:pPr>
      <w:r w:rsidRPr="0058775A">
        <w:rPr>
          <w:rFonts w:ascii="Times New Roman" w:hAnsi="Times New Roman" w:cs="Times New Roman"/>
          <w:sz w:val="28"/>
          <w:szCs w:val="28"/>
          <w:u w:val="single"/>
        </w:rPr>
        <w:t>ANEXO II</w:t>
      </w:r>
    </w:p>
    <w:p w:rsidR="0058775A" w:rsidRPr="008B0021" w:rsidRDefault="0058775A" w:rsidP="0058775A">
      <w:pPr>
        <w:autoSpaceDE w:val="0"/>
        <w:autoSpaceDN w:val="0"/>
        <w:adjustRightInd w:val="0"/>
        <w:ind w:left="720" w:hanging="360"/>
        <w:jc w:val="center"/>
        <w:rPr>
          <w:rFonts w:ascii="Times New Roman" w:hAnsi="Times New Roman" w:cs="Times New Roman"/>
          <w:sz w:val="20"/>
          <w:szCs w:val="20"/>
          <w:u w:val="single"/>
        </w:rPr>
      </w:pPr>
      <w:r w:rsidRPr="008B0021">
        <w:rPr>
          <w:rFonts w:ascii="Times New Roman" w:hAnsi="Times New Roman" w:cs="Times New Roman"/>
          <w:sz w:val="20"/>
          <w:szCs w:val="20"/>
          <w:u w:val="single"/>
        </w:rPr>
        <w:t>Causas Ley 18.314</w:t>
      </w:r>
    </w:p>
    <w:p w:rsidR="0058775A" w:rsidRPr="00EF0D54" w:rsidRDefault="0058775A" w:rsidP="0058775A">
      <w:pPr>
        <w:autoSpaceDE w:val="0"/>
        <w:autoSpaceDN w:val="0"/>
        <w:adjustRightInd w:val="0"/>
        <w:ind w:left="720" w:hanging="360"/>
        <w:jc w:val="both"/>
        <w:rPr>
          <w:rFonts w:ascii="Times New Roman" w:hAnsi="Times New Roman" w:cs="Times New Roman"/>
          <w:sz w:val="20"/>
          <w:szCs w:val="20"/>
        </w:rPr>
      </w:pPr>
    </w:p>
    <w:p w:rsidR="0058775A" w:rsidRPr="00EF0D54" w:rsidRDefault="0058775A" w:rsidP="0058775A">
      <w:pPr>
        <w:autoSpaceDE w:val="0"/>
        <w:autoSpaceDN w:val="0"/>
        <w:adjustRightInd w:val="0"/>
        <w:ind w:left="720" w:hanging="360"/>
        <w:jc w:val="both"/>
        <w:rPr>
          <w:rFonts w:ascii="Times New Roman" w:hAnsi="Times New Roman" w:cs="Times New Roman"/>
          <w:sz w:val="20"/>
          <w:szCs w:val="20"/>
        </w:rPr>
      </w:pPr>
    </w:p>
    <w:p w:rsidR="0058775A" w:rsidRPr="00EF0D54" w:rsidRDefault="0058775A" w:rsidP="0058775A">
      <w:pPr>
        <w:autoSpaceDE w:val="0"/>
        <w:autoSpaceDN w:val="0"/>
        <w:adjustRightInd w:val="0"/>
        <w:ind w:left="360"/>
        <w:jc w:val="both"/>
        <w:rPr>
          <w:rFonts w:ascii="Times New Roman" w:hAnsi="Times New Roman" w:cs="Times New Roman"/>
          <w:sz w:val="20"/>
          <w:szCs w:val="20"/>
        </w:rPr>
      </w:pPr>
      <w:r w:rsidRPr="00EF0D54">
        <w:rPr>
          <w:rFonts w:ascii="Times New Roman" w:hAnsi="Times New Roman" w:cs="Times New Roman"/>
          <w:sz w:val="20"/>
          <w:szCs w:val="20"/>
        </w:rPr>
        <w:t>El siguiente anexo contiene, en el punto a) la información entregada por el Ministerio Público relativo a la aplicación de la Ley 18.314. El punto b) contiene el desglose de información relacionada con delitos terroristas, entregada por la</w:t>
      </w:r>
      <w:r w:rsidRPr="00EF0D54">
        <w:rPr>
          <w:rFonts w:ascii="Times New Roman" w:hAnsi="Times New Roman" w:cs="Times New Roman"/>
          <w:sz w:val="20"/>
          <w:szCs w:val="20"/>
          <w:lang w:val="es-CL"/>
        </w:rPr>
        <w:t xml:space="preserve"> Corporación Administrativa del Poder Judicial</w:t>
      </w:r>
    </w:p>
    <w:p w:rsidR="0058775A" w:rsidRPr="00EF0D54" w:rsidRDefault="0058775A" w:rsidP="0058775A">
      <w:pPr>
        <w:autoSpaceDE w:val="0"/>
        <w:autoSpaceDN w:val="0"/>
        <w:adjustRightInd w:val="0"/>
        <w:ind w:left="720" w:hanging="360"/>
        <w:jc w:val="center"/>
        <w:rPr>
          <w:sz w:val="20"/>
          <w:szCs w:val="20"/>
        </w:rPr>
      </w:pPr>
    </w:p>
    <w:p w:rsidR="0058775A" w:rsidRPr="00EF0D54" w:rsidRDefault="0058775A" w:rsidP="0058775A">
      <w:pPr>
        <w:autoSpaceDE w:val="0"/>
        <w:autoSpaceDN w:val="0"/>
        <w:adjustRightInd w:val="0"/>
        <w:ind w:left="720" w:hanging="360"/>
        <w:jc w:val="center"/>
        <w:rPr>
          <w:sz w:val="20"/>
          <w:szCs w:val="20"/>
        </w:rPr>
      </w:pPr>
    </w:p>
    <w:p w:rsidR="0058775A" w:rsidRPr="00EF0D54" w:rsidRDefault="0058775A" w:rsidP="0058775A">
      <w:pPr>
        <w:pStyle w:val="ListParagraph"/>
        <w:numPr>
          <w:ilvl w:val="0"/>
          <w:numId w:val="2"/>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lang w:val="es-ES_tradnl"/>
        </w:rPr>
        <w:t>La siguiente información contiene el detalle de causas investigadas por el Ministerio Público en el periodo a examinar:</w:t>
      </w:r>
    </w:p>
    <w:p w:rsidR="0058775A" w:rsidRPr="00EF0D54" w:rsidRDefault="0058775A" w:rsidP="0058775A">
      <w:pPr>
        <w:pStyle w:val="ListParagraph"/>
        <w:autoSpaceDE w:val="0"/>
        <w:autoSpaceDN w:val="0"/>
        <w:adjustRightInd w:val="0"/>
        <w:jc w:val="both"/>
        <w:rPr>
          <w:rFonts w:ascii="Times New Roman" w:hAnsi="Times New Roman" w:cs="Times New Roman"/>
          <w:sz w:val="20"/>
          <w:szCs w:val="20"/>
          <w:lang w:val="es-ES_tradnl"/>
        </w:rPr>
      </w:pPr>
    </w:p>
    <w:p w:rsidR="0058775A" w:rsidRPr="00EF0D54" w:rsidRDefault="0058775A" w:rsidP="0058775A">
      <w:pPr>
        <w:pStyle w:val="ListParagraph"/>
        <w:numPr>
          <w:ilvl w:val="0"/>
          <w:numId w:val="1"/>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rPr>
        <w:t>Caso 1, ingresado año 2014, 4 personas, todas mayores de edad, 3 hombres y una mujer. Terminada por sentencia condenatoria por el delito de colocación, activación y detonación de artefacto explosivo previsto y sancionado en el artículo 2 N°4 en relación con los artículos 1 y 3 de la Ley 18.314 respecto de una persona (hombre), absolución respecto de 2 personas por delitos terroristas (un hombre y una mujer) y, se aplicó otras causales de término respecto de una cuarta persona (hombre). Investigación por hechos acaecidos en la Región Metropolitana.</w:t>
      </w:r>
    </w:p>
    <w:p w:rsidR="0058775A" w:rsidRPr="00EF0D54" w:rsidRDefault="0058775A" w:rsidP="0058775A">
      <w:pPr>
        <w:pStyle w:val="ListParagraph"/>
        <w:numPr>
          <w:ilvl w:val="0"/>
          <w:numId w:val="1"/>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rPr>
        <w:t>Caso 2, ingresado en 2013 pero en el cual el fallo se dictó dentro del período a informar, se dicta sentencia absolutoria por incendio terrorista con resultado de muerte respecto de 11 acusados, 10 hombres y una mujer, todos mayores de edad, y se dictó sentencia condenatoria por el delito de incendio con resultado de muerte respecto de tres personas (segundo juicio), todos hombres mayores de edad.</w:t>
      </w:r>
    </w:p>
    <w:p w:rsidR="0058775A" w:rsidRPr="00EF0D54" w:rsidRDefault="0058775A" w:rsidP="0058775A">
      <w:pPr>
        <w:pStyle w:val="ListParagraph"/>
        <w:numPr>
          <w:ilvl w:val="0"/>
          <w:numId w:val="1"/>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rPr>
        <w:t>Caso 3 ingresado en 2016, 4 hombres, todos mayores de edad, terminada por sentencia condenatoria por el delito de incendio en carácter común respecto de dos personas; absolución para otras dos personas. El tribunal recalificó de delito terrorista a delito común. Investigación por hechos acaecidos en la Araucanía.</w:t>
      </w:r>
    </w:p>
    <w:p w:rsidR="0058775A" w:rsidRPr="00EF0D54" w:rsidRDefault="0058775A" w:rsidP="0058775A">
      <w:pPr>
        <w:pStyle w:val="ListParagraph"/>
        <w:numPr>
          <w:ilvl w:val="0"/>
          <w:numId w:val="1"/>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rPr>
        <w:t>Caso 4, ingresado en 2014, 4 personas, 2 hombres y 2 mujeres, todos mayores de edad.  La Fiscalía formalizó por delitos de la ley 18314 pero luego recalificó a delitos de la ley de Control de Armas. Causa terminada e investigada en la Región Metropolitana. En este caso, se terminó la causa respecto de algunos imputados por sobreseimiento definitivo del art. 250 del CPP, otras causales de término, y respecto de 2 imputados por sentencia condenatoria por porte de arma prohibida.</w:t>
      </w:r>
    </w:p>
    <w:p w:rsidR="0058775A" w:rsidRPr="00EF0D54" w:rsidRDefault="0058775A" w:rsidP="0058775A">
      <w:pPr>
        <w:pStyle w:val="ListParagraph"/>
        <w:numPr>
          <w:ilvl w:val="0"/>
          <w:numId w:val="1"/>
        </w:numPr>
        <w:autoSpaceDE w:val="0"/>
        <w:autoSpaceDN w:val="0"/>
        <w:adjustRightInd w:val="0"/>
        <w:jc w:val="both"/>
        <w:rPr>
          <w:rFonts w:ascii="Times New Roman" w:hAnsi="Times New Roman" w:cs="Times New Roman"/>
          <w:sz w:val="20"/>
          <w:szCs w:val="20"/>
          <w:lang w:val="es-ES_tradnl"/>
        </w:rPr>
      </w:pPr>
      <w:bookmarkStart w:id="1" w:name="_Hlk68167535"/>
      <w:r w:rsidRPr="00EF0D54">
        <w:rPr>
          <w:rFonts w:ascii="Times New Roman" w:hAnsi="Times New Roman" w:cs="Times New Roman"/>
          <w:sz w:val="20"/>
          <w:szCs w:val="20"/>
        </w:rPr>
        <w:t xml:space="preserve">Caso 5, ingresado en 2017 respecto de 10 personas, </w:t>
      </w:r>
      <w:r>
        <w:rPr>
          <w:rFonts w:ascii="Times New Roman" w:hAnsi="Times New Roman" w:cs="Times New Roman"/>
          <w:sz w:val="20"/>
          <w:szCs w:val="20"/>
        </w:rPr>
        <w:t xml:space="preserve">4 hombres y 6 mujeres, </w:t>
      </w:r>
      <w:r w:rsidRPr="00EF0D54">
        <w:rPr>
          <w:rFonts w:ascii="Times New Roman" w:hAnsi="Times New Roman" w:cs="Times New Roman"/>
          <w:sz w:val="20"/>
          <w:szCs w:val="20"/>
        </w:rPr>
        <w:t>todos mayores de edad, formalizados por Asociación ilícita terrorista e incendio terrorista, y luego, se dictó sobreseimiento definitivo del art. 250 a) (por el tribunal) y decisión de no perseverar (por la Fiscalía, y aprobada por el tribunal) por los hechos imputados respecto de las 10 personas.</w:t>
      </w:r>
    </w:p>
    <w:bookmarkEnd w:id="1"/>
    <w:p w:rsidR="0058775A" w:rsidRPr="00EF0D54" w:rsidRDefault="0058775A" w:rsidP="0058775A">
      <w:pPr>
        <w:pStyle w:val="ListParagraph"/>
        <w:numPr>
          <w:ilvl w:val="0"/>
          <w:numId w:val="1"/>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rPr>
        <w:t xml:space="preserve">Caso 6, ingresado en 2017, se formalizó a un hombre mayor de 18 años por delitos de la ley 18314, pero en 2020 se le </w:t>
      </w:r>
      <w:proofErr w:type="spellStart"/>
      <w:r w:rsidRPr="00EF0D54">
        <w:rPr>
          <w:rFonts w:ascii="Times New Roman" w:hAnsi="Times New Roman" w:cs="Times New Roman"/>
          <w:sz w:val="20"/>
          <w:szCs w:val="20"/>
        </w:rPr>
        <w:t>reformaliza</w:t>
      </w:r>
      <w:proofErr w:type="spellEnd"/>
      <w:r w:rsidRPr="00EF0D54">
        <w:rPr>
          <w:rFonts w:ascii="Times New Roman" w:hAnsi="Times New Roman" w:cs="Times New Roman"/>
          <w:sz w:val="20"/>
          <w:szCs w:val="20"/>
        </w:rPr>
        <w:t xml:space="preserve"> a delitos de la ley de control de armas, causa vigente por hechos acaecidos en la Región Metropolitana.</w:t>
      </w:r>
    </w:p>
    <w:p w:rsidR="0058775A" w:rsidRPr="00EF0D54" w:rsidRDefault="0058775A" w:rsidP="0058775A">
      <w:pPr>
        <w:pStyle w:val="ListParagraph"/>
        <w:autoSpaceDE w:val="0"/>
        <w:autoSpaceDN w:val="0"/>
        <w:adjustRightInd w:val="0"/>
        <w:jc w:val="both"/>
        <w:rPr>
          <w:rFonts w:ascii="Times New Roman" w:hAnsi="Times New Roman" w:cs="Times New Roman"/>
          <w:sz w:val="20"/>
          <w:szCs w:val="20"/>
          <w:lang w:val="es-ES_tradnl"/>
        </w:rPr>
      </w:pPr>
    </w:p>
    <w:p w:rsidR="0058775A" w:rsidRPr="00EF0D54" w:rsidRDefault="0058775A" w:rsidP="0058775A">
      <w:pPr>
        <w:pStyle w:val="ListParagraph"/>
        <w:autoSpaceDE w:val="0"/>
        <w:autoSpaceDN w:val="0"/>
        <w:adjustRightInd w:val="0"/>
        <w:jc w:val="both"/>
        <w:rPr>
          <w:rFonts w:ascii="Times New Roman" w:hAnsi="Times New Roman" w:cs="Times New Roman"/>
          <w:sz w:val="20"/>
          <w:szCs w:val="20"/>
          <w:lang w:val="es-ES_tradnl"/>
        </w:rPr>
      </w:pPr>
    </w:p>
    <w:p w:rsidR="0058775A" w:rsidRPr="00EF0D54" w:rsidRDefault="0058775A" w:rsidP="0058775A">
      <w:pPr>
        <w:pStyle w:val="ListParagraph"/>
        <w:numPr>
          <w:ilvl w:val="0"/>
          <w:numId w:val="2"/>
        </w:numPr>
        <w:autoSpaceDE w:val="0"/>
        <w:autoSpaceDN w:val="0"/>
        <w:adjustRightInd w:val="0"/>
        <w:jc w:val="both"/>
        <w:rPr>
          <w:rFonts w:ascii="Times New Roman" w:hAnsi="Times New Roman" w:cs="Times New Roman"/>
          <w:sz w:val="20"/>
          <w:szCs w:val="20"/>
          <w:lang w:val="es-ES_tradnl"/>
        </w:rPr>
      </w:pPr>
      <w:r w:rsidRPr="00EF0D54">
        <w:rPr>
          <w:rFonts w:ascii="Times New Roman" w:hAnsi="Times New Roman" w:cs="Times New Roman"/>
          <w:sz w:val="20"/>
          <w:szCs w:val="20"/>
          <w:lang w:val="es-CL"/>
        </w:rPr>
        <w:t>La información incluida en este punto fue proporcionada por el Departamento de Desarrollo Institucional de la Corporación Administrativa del Poder Judicial y corresponde a ingresos y términos de causas en tribunales de primera instancia. Para efectos de este reporte, se consideraron los códigos informáticos que arrojaron coincidencias con glosas que incorporaran la palabra “terrorista”. Así, se da cuenta de un total de 36 términos durante el periodo 2014 – 2020 en tribunales de primera instancia, con una mayor incidencia durante el último año.</w:t>
      </w:r>
    </w:p>
    <w:p w:rsidR="0058775A" w:rsidRPr="00EF0D54" w:rsidRDefault="0058775A" w:rsidP="0058775A">
      <w:pPr>
        <w:rPr>
          <w:rFonts w:ascii="Times New Roman" w:hAnsi="Times New Roman" w:cs="Times New Roman"/>
          <w:sz w:val="20"/>
          <w:szCs w:val="20"/>
          <w:lang w:val="es-CL"/>
        </w:rPr>
      </w:pPr>
    </w:p>
    <w:tbl>
      <w:tblPr>
        <w:tblStyle w:val="TableGrid"/>
        <w:tblW w:w="0" w:type="auto"/>
        <w:jc w:val="center"/>
        <w:tblLayout w:type="fixed"/>
        <w:tblLook w:val="04A0" w:firstRow="1" w:lastRow="0" w:firstColumn="1" w:lastColumn="0" w:noHBand="0" w:noVBand="1"/>
      </w:tblPr>
      <w:tblGrid>
        <w:gridCol w:w="4624"/>
        <w:gridCol w:w="850"/>
        <w:gridCol w:w="680"/>
        <w:gridCol w:w="738"/>
        <w:gridCol w:w="688"/>
        <w:gridCol w:w="706"/>
        <w:gridCol w:w="697"/>
        <w:gridCol w:w="720"/>
      </w:tblGrid>
      <w:tr w:rsidR="0058775A" w:rsidRPr="00EF0D54" w:rsidTr="0058775A">
        <w:trPr>
          <w:trHeight w:val="225"/>
          <w:jc w:val="center"/>
        </w:trPr>
        <w:tc>
          <w:tcPr>
            <w:tcW w:w="4624"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DELITO</w:t>
            </w:r>
          </w:p>
        </w:tc>
        <w:tc>
          <w:tcPr>
            <w:tcW w:w="850"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2020</w:t>
            </w:r>
          </w:p>
        </w:tc>
        <w:tc>
          <w:tcPr>
            <w:tcW w:w="680"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2019</w:t>
            </w:r>
          </w:p>
        </w:tc>
        <w:tc>
          <w:tcPr>
            <w:tcW w:w="738"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2018</w:t>
            </w:r>
          </w:p>
        </w:tc>
        <w:tc>
          <w:tcPr>
            <w:tcW w:w="688"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2017</w:t>
            </w:r>
          </w:p>
        </w:tc>
        <w:tc>
          <w:tcPr>
            <w:tcW w:w="706"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2016</w:t>
            </w:r>
          </w:p>
        </w:tc>
        <w:tc>
          <w:tcPr>
            <w:tcW w:w="697"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2015</w:t>
            </w:r>
          </w:p>
        </w:tc>
        <w:tc>
          <w:tcPr>
            <w:tcW w:w="720"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2014</w:t>
            </w:r>
          </w:p>
        </w:tc>
      </w:tr>
      <w:tr w:rsidR="0058775A" w:rsidRPr="00EF0D54" w:rsidTr="0058775A">
        <w:trPr>
          <w:trHeight w:val="225"/>
          <w:jc w:val="center"/>
        </w:trPr>
        <w:tc>
          <w:tcPr>
            <w:tcW w:w="4624"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ASOCIACIÓN ILICITA TERRORISTA.</w:t>
            </w:r>
          </w:p>
        </w:tc>
        <w:tc>
          <w:tcPr>
            <w:tcW w:w="850"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680"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73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5</w:t>
            </w:r>
          </w:p>
        </w:tc>
        <w:tc>
          <w:tcPr>
            <w:tcW w:w="68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4</w:t>
            </w:r>
          </w:p>
        </w:tc>
        <w:tc>
          <w:tcPr>
            <w:tcW w:w="70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697"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720"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5</w:t>
            </w:r>
          </w:p>
        </w:tc>
      </w:tr>
      <w:tr w:rsidR="0058775A" w:rsidRPr="00EF0D54" w:rsidTr="0058775A">
        <w:trPr>
          <w:trHeight w:val="225"/>
          <w:jc w:val="center"/>
        </w:trPr>
        <w:tc>
          <w:tcPr>
            <w:tcW w:w="4624"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ENVIO EXPLOSIVOS, HOMICIDIO, LESIONES Y SECUESTRO TERRORISTA.</w:t>
            </w:r>
          </w:p>
        </w:tc>
        <w:tc>
          <w:tcPr>
            <w:tcW w:w="850"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8</w:t>
            </w:r>
          </w:p>
        </w:tc>
        <w:tc>
          <w:tcPr>
            <w:tcW w:w="680"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4</w:t>
            </w:r>
          </w:p>
        </w:tc>
        <w:tc>
          <w:tcPr>
            <w:tcW w:w="73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68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70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697"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720"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25"/>
          <w:jc w:val="center"/>
        </w:trPr>
        <w:tc>
          <w:tcPr>
            <w:tcW w:w="4624"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 xml:space="preserve">Total </w:t>
            </w:r>
          </w:p>
        </w:tc>
        <w:tc>
          <w:tcPr>
            <w:tcW w:w="850"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10</w:t>
            </w:r>
          </w:p>
        </w:tc>
        <w:tc>
          <w:tcPr>
            <w:tcW w:w="680"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6</w:t>
            </w:r>
          </w:p>
        </w:tc>
        <w:tc>
          <w:tcPr>
            <w:tcW w:w="738"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7</w:t>
            </w:r>
          </w:p>
        </w:tc>
        <w:tc>
          <w:tcPr>
            <w:tcW w:w="688"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4</w:t>
            </w:r>
          </w:p>
        </w:tc>
        <w:tc>
          <w:tcPr>
            <w:tcW w:w="706"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697"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720"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5</w:t>
            </w:r>
          </w:p>
        </w:tc>
      </w:tr>
    </w:tbl>
    <w:p w:rsidR="0058775A" w:rsidRPr="00EF0D54" w:rsidRDefault="0058775A" w:rsidP="0058775A">
      <w:pPr>
        <w:rPr>
          <w:rFonts w:ascii="Times New Roman" w:hAnsi="Times New Roman" w:cs="Times New Roman"/>
          <w:sz w:val="20"/>
          <w:szCs w:val="20"/>
          <w:lang w:val="es-CL"/>
        </w:rPr>
      </w:pPr>
    </w:p>
    <w:p w:rsidR="0058775A" w:rsidRPr="00EF0D54" w:rsidRDefault="0058775A" w:rsidP="0058775A">
      <w:pPr>
        <w:rPr>
          <w:rFonts w:ascii="Times New Roman" w:hAnsi="Times New Roman" w:cs="Times New Roman"/>
          <w:sz w:val="20"/>
          <w:szCs w:val="20"/>
          <w:lang w:val="es-CL"/>
        </w:rPr>
      </w:pPr>
    </w:p>
    <w:p w:rsidR="0058775A" w:rsidRPr="00EF0D54" w:rsidRDefault="0058775A" w:rsidP="0058775A">
      <w:pPr>
        <w:jc w:val="both"/>
        <w:rPr>
          <w:rFonts w:ascii="Times New Roman" w:hAnsi="Times New Roman" w:cs="Times New Roman"/>
          <w:sz w:val="20"/>
          <w:szCs w:val="20"/>
          <w:lang w:val="es-CL"/>
        </w:rPr>
      </w:pPr>
      <w:r w:rsidRPr="00EF0D54">
        <w:rPr>
          <w:rFonts w:ascii="Times New Roman" w:hAnsi="Times New Roman" w:cs="Times New Roman"/>
          <w:sz w:val="20"/>
          <w:szCs w:val="20"/>
          <w:lang w:val="es-CL"/>
        </w:rPr>
        <w:t>Previamente al año 2016 (año 2014 y 2015), todos los delitos relacionados con la aplicación de esta ley eran codificados en los sistemas informáticos como “Ley N°18.314 de conductas terroristas”, agrupando todos los delitos, salvo el de asociación ilícita terrorista. Durante esos años, el total fue de 2 casos, tanto el 2014, como el año 2015.</w:t>
      </w:r>
    </w:p>
    <w:p w:rsidR="0058775A" w:rsidRPr="00EF0D54" w:rsidRDefault="0058775A" w:rsidP="0058775A">
      <w:pPr>
        <w:rPr>
          <w:rFonts w:ascii="Times New Roman" w:hAnsi="Times New Roman" w:cs="Times New Roman"/>
          <w:sz w:val="20"/>
          <w:szCs w:val="20"/>
          <w:lang w:val="es-CL"/>
        </w:rPr>
      </w:pPr>
    </w:p>
    <w:tbl>
      <w:tblPr>
        <w:tblStyle w:val="TableGrid"/>
        <w:tblW w:w="0" w:type="auto"/>
        <w:jc w:val="center"/>
        <w:tblLayout w:type="fixed"/>
        <w:tblLook w:val="04A0" w:firstRow="1" w:lastRow="0" w:firstColumn="1" w:lastColumn="0" w:noHBand="0" w:noVBand="1"/>
      </w:tblPr>
      <w:tblGrid>
        <w:gridCol w:w="3323"/>
        <w:gridCol w:w="815"/>
        <w:gridCol w:w="695"/>
      </w:tblGrid>
      <w:tr w:rsidR="0058775A" w:rsidRPr="00EF0D54" w:rsidTr="0058775A">
        <w:trPr>
          <w:trHeight w:val="20"/>
          <w:jc w:val="center"/>
        </w:trPr>
        <w:tc>
          <w:tcPr>
            <w:tcW w:w="3323" w:type="dxa"/>
            <w:shd w:val="clear" w:color="auto" w:fill="4F81BD"/>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DELITO</w:t>
            </w:r>
          </w:p>
        </w:tc>
        <w:tc>
          <w:tcPr>
            <w:tcW w:w="815" w:type="dxa"/>
            <w:shd w:val="clear" w:color="auto" w:fill="4F81BD"/>
            <w:noWrap/>
            <w:hideMark/>
          </w:tcPr>
          <w:p w:rsidR="0058775A" w:rsidRPr="00EF0D54" w:rsidRDefault="0058775A" w:rsidP="0058775A">
            <w:pPr>
              <w:rPr>
                <w:rFonts w:ascii="Times New Roman" w:hAnsi="Times New Roman" w:cs="Times New Roman"/>
                <w:b/>
                <w:sz w:val="20"/>
                <w:szCs w:val="20"/>
                <w:lang w:val="es-CL"/>
              </w:rPr>
            </w:pPr>
            <w:r w:rsidRPr="00EF0D54">
              <w:rPr>
                <w:rFonts w:ascii="Times New Roman" w:hAnsi="Times New Roman" w:cs="Times New Roman"/>
                <w:b/>
                <w:sz w:val="20"/>
                <w:szCs w:val="20"/>
                <w:lang w:val="es-CL"/>
              </w:rPr>
              <w:t>2015</w:t>
            </w:r>
          </w:p>
        </w:tc>
        <w:tc>
          <w:tcPr>
            <w:tcW w:w="695" w:type="dxa"/>
            <w:shd w:val="clear" w:color="auto" w:fill="4F81BD"/>
            <w:noWrap/>
            <w:hideMark/>
          </w:tcPr>
          <w:p w:rsidR="0058775A" w:rsidRPr="00EF0D54" w:rsidRDefault="0058775A" w:rsidP="0058775A">
            <w:pPr>
              <w:rPr>
                <w:rFonts w:ascii="Times New Roman" w:hAnsi="Times New Roman" w:cs="Times New Roman"/>
                <w:b/>
                <w:sz w:val="20"/>
                <w:szCs w:val="20"/>
                <w:lang w:val="es-CL"/>
              </w:rPr>
            </w:pPr>
            <w:r w:rsidRPr="00EF0D54">
              <w:rPr>
                <w:rFonts w:ascii="Times New Roman" w:hAnsi="Times New Roman" w:cs="Times New Roman"/>
                <w:b/>
                <w:sz w:val="20"/>
                <w:szCs w:val="20"/>
                <w:lang w:val="es-CL"/>
              </w:rPr>
              <w:t>2014</w:t>
            </w:r>
          </w:p>
        </w:tc>
      </w:tr>
      <w:tr w:rsidR="0058775A" w:rsidRPr="00EF0D54" w:rsidTr="0058775A">
        <w:trPr>
          <w:trHeight w:val="20"/>
          <w:jc w:val="center"/>
        </w:trPr>
        <w:tc>
          <w:tcPr>
            <w:tcW w:w="3323"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 xml:space="preserve">   LEY N° 18.314 DE CONDUCTAS TERRORISTAS.</w:t>
            </w:r>
          </w:p>
        </w:tc>
        <w:tc>
          <w:tcPr>
            <w:tcW w:w="815"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695"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r>
    </w:tbl>
    <w:p w:rsidR="0058775A" w:rsidRPr="00EF0D54" w:rsidRDefault="0058775A" w:rsidP="0058775A">
      <w:pPr>
        <w:rPr>
          <w:rFonts w:ascii="Times New Roman" w:hAnsi="Times New Roman" w:cs="Times New Roman"/>
          <w:sz w:val="20"/>
          <w:szCs w:val="20"/>
          <w:lang w:val="es-CL"/>
        </w:rPr>
      </w:pPr>
    </w:p>
    <w:p w:rsidR="0058775A" w:rsidRDefault="0058775A" w:rsidP="0058775A">
      <w:pPr>
        <w:jc w:val="both"/>
        <w:rPr>
          <w:rFonts w:ascii="Times New Roman" w:hAnsi="Times New Roman" w:cs="Times New Roman"/>
          <w:sz w:val="20"/>
          <w:szCs w:val="20"/>
          <w:lang w:val="es-CL"/>
        </w:rPr>
      </w:pPr>
      <w:r w:rsidRPr="00EF0D54">
        <w:rPr>
          <w:rFonts w:ascii="Times New Roman" w:hAnsi="Times New Roman" w:cs="Times New Roman"/>
          <w:sz w:val="20"/>
          <w:szCs w:val="20"/>
          <w:lang w:val="es-CL"/>
        </w:rPr>
        <w:t xml:space="preserve">Respecto a los motivos de término registrados por cada delito o agrupación de delitos, en el caso del delito de </w:t>
      </w:r>
      <w:r w:rsidRPr="00EF0D54">
        <w:rPr>
          <w:rFonts w:ascii="Times New Roman" w:hAnsi="Times New Roman" w:cs="Times New Roman"/>
          <w:i/>
          <w:sz w:val="20"/>
          <w:szCs w:val="20"/>
          <w:lang w:val="es-CL"/>
        </w:rPr>
        <w:t>asociación ilícita terrorista</w:t>
      </w:r>
      <w:r w:rsidRPr="00EF0D54">
        <w:rPr>
          <w:rFonts w:ascii="Times New Roman" w:hAnsi="Times New Roman" w:cs="Times New Roman"/>
          <w:sz w:val="20"/>
          <w:szCs w:val="20"/>
          <w:lang w:val="es-CL"/>
        </w:rPr>
        <w:t xml:space="preserve"> se identificó como principal motivo de término la declaración de</w:t>
      </w:r>
      <w:r w:rsidRPr="00EF0D54">
        <w:rPr>
          <w:rFonts w:ascii="Times New Roman" w:hAnsi="Times New Roman" w:cs="Times New Roman"/>
          <w:i/>
          <w:sz w:val="20"/>
          <w:szCs w:val="20"/>
          <w:lang w:val="es-CL"/>
        </w:rPr>
        <w:t xml:space="preserve"> sobreseimiento definitivo</w:t>
      </w:r>
      <w:r w:rsidRPr="00EF0D54">
        <w:rPr>
          <w:rFonts w:ascii="Times New Roman" w:hAnsi="Times New Roman" w:cs="Times New Roman"/>
          <w:sz w:val="20"/>
          <w:szCs w:val="20"/>
          <w:lang w:val="es-CL"/>
        </w:rPr>
        <w:t xml:space="preserve">; mientras que en el caso de los delitos registrados como </w:t>
      </w:r>
      <w:r w:rsidRPr="00EF0D54">
        <w:rPr>
          <w:rFonts w:ascii="Times New Roman" w:hAnsi="Times New Roman" w:cs="Times New Roman"/>
          <w:i/>
          <w:sz w:val="20"/>
          <w:szCs w:val="20"/>
          <w:lang w:val="es-CL"/>
        </w:rPr>
        <w:t>envío de explosivos, homicidio, lesiones y secuestro terrorista</w:t>
      </w:r>
      <w:r w:rsidRPr="00EF0D54">
        <w:rPr>
          <w:rFonts w:ascii="Times New Roman" w:hAnsi="Times New Roman" w:cs="Times New Roman"/>
          <w:sz w:val="20"/>
          <w:szCs w:val="20"/>
          <w:lang w:val="es-CL"/>
        </w:rPr>
        <w:t xml:space="preserve"> se registra como el motivo de término más frecuente el de </w:t>
      </w:r>
      <w:r w:rsidRPr="00EF0D54">
        <w:rPr>
          <w:rFonts w:ascii="Times New Roman" w:hAnsi="Times New Roman" w:cs="Times New Roman"/>
          <w:i/>
          <w:sz w:val="20"/>
          <w:szCs w:val="20"/>
          <w:lang w:val="es-CL"/>
        </w:rPr>
        <w:t>no perseverar en el procedimiento</w:t>
      </w:r>
      <w:r w:rsidRPr="00EF0D54">
        <w:rPr>
          <w:rFonts w:ascii="Times New Roman" w:hAnsi="Times New Roman" w:cs="Times New Roman"/>
          <w:sz w:val="20"/>
          <w:szCs w:val="20"/>
          <w:lang w:val="es-CL"/>
        </w:rPr>
        <w:t>.</w:t>
      </w:r>
    </w:p>
    <w:p w:rsidR="0058775A" w:rsidRPr="00EF0D54" w:rsidRDefault="0058775A" w:rsidP="0058775A">
      <w:pPr>
        <w:jc w:val="both"/>
        <w:rPr>
          <w:rFonts w:ascii="Times New Roman" w:hAnsi="Times New Roman" w:cs="Times New Roman"/>
          <w:sz w:val="20"/>
          <w:szCs w:val="20"/>
          <w:lang w:val="es-CL"/>
        </w:rPr>
      </w:pPr>
    </w:p>
    <w:tbl>
      <w:tblPr>
        <w:tblStyle w:val="TableGrid"/>
        <w:tblW w:w="0" w:type="auto"/>
        <w:tblLayout w:type="fixed"/>
        <w:tblLook w:val="04A0" w:firstRow="1" w:lastRow="0" w:firstColumn="1" w:lastColumn="0" w:noHBand="0" w:noVBand="1"/>
      </w:tblPr>
      <w:tblGrid>
        <w:gridCol w:w="4908"/>
        <w:gridCol w:w="541"/>
        <w:gridCol w:w="546"/>
        <w:gridCol w:w="541"/>
        <w:gridCol w:w="546"/>
        <w:gridCol w:w="541"/>
        <w:gridCol w:w="546"/>
        <w:gridCol w:w="541"/>
      </w:tblGrid>
      <w:tr w:rsidR="0058775A" w:rsidRPr="00EF0D54" w:rsidTr="0058775A">
        <w:trPr>
          <w:trHeight w:val="20"/>
        </w:trPr>
        <w:tc>
          <w:tcPr>
            <w:tcW w:w="4908" w:type="dxa"/>
            <w:vMerge w:val="restart"/>
            <w:shd w:val="clear" w:color="auto" w:fill="4F81BD"/>
            <w:noWrap/>
            <w:hideMark/>
          </w:tcPr>
          <w:p w:rsidR="0058775A" w:rsidRPr="00EF0D54" w:rsidRDefault="0058775A" w:rsidP="0058775A">
            <w:pPr>
              <w:rPr>
                <w:rFonts w:ascii="Times New Roman" w:hAnsi="Times New Roman" w:cs="Times New Roman"/>
                <w:b/>
                <w:sz w:val="20"/>
                <w:szCs w:val="20"/>
                <w:lang w:val="es-CL"/>
              </w:rPr>
            </w:pPr>
            <w:r w:rsidRPr="00EF0D54">
              <w:rPr>
                <w:rFonts w:ascii="Times New Roman" w:hAnsi="Times New Roman" w:cs="Times New Roman"/>
                <w:b/>
                <w:sz w:val="20"/>
                <w:szCs w:val="20"/>
                <w:lang w:val="es-CL"/>
              </w:rPr>
              <w:t>Delito/Motivo de Término</w:t>
            </w:r>
          </w:p>
        </w:tc>
        <w:tc>
          <w:tcPr>
            <w:tcW w:w="3802" w:type="dxa"/>
            <w:gridSpan w:val="7"/>
            <w:shd w:val="clear" w:color="auto" w:fill="4F81BD"/>
            <w:noWrap/>
            <w:hideMark/>
          </w:tcPr>
          <w:p w:rsidR="0058775A" w:rsidRPr="00EF0D54" w:rsidRDefault="0058775A" w:rsidP="0058775A">
            <w:pPr>
              <w:rPr>
                <w:rFonts w:ascii="Times New Roman" w:hAnsi="Times New Roman" w:cs="Times New Roman"/>
                <w:b/>
                <w:sz w:val="20"/>
                <w:szCs w:val="20"/>
                <w:lang w:val="es-CL"/>
              </w:rPr>
            </w:pPr>
            <w:r w:rsidRPr="00EF0D54">
              <w:rPr>
                <w:rFonts w:ascii="Times New Roman" w:hAnsi="Times New Roman" w:cs="Times New Roman"/>
                <w:b/>
                <w:sz w:val="20"/>
                <w:szCs w:val="20"/>
                <w:lang w:val="es-CL"/>
              </w:rPr>
              <w:t>Años de Términos</w:t>
            </w:r>
          </w:p>
        </w:tc>
      </w:tr>
      <w:tr w:rsidR="0058775A" w:rsidRPr="00EF0D54" w:rsidTr="0058775A">
        <w:trPr>
          <w:trHeight w:val="20"/>
        </w:trPr>
        <w:tc>
          <w:tcPr>
            <w:tcW w:w="4908" w:type="dxa"/>
            <w:vMerge/>
            <w:shd w:val="clear" w:color="auto" w:fill="4F81BD"/>
            <w:hideMark/>
          </w:tcPr>
          <w:p w:rsidR="0058775A" w:rsidRPr="00EF0D54" w:rsidRDefault="0058775A" w:rsidP="0058775A">
            <w:pPr>
              <w:rPr>
                <w:rFonts w:ascii="Times New Roman" w:hAnsi="Times New Roman" w:cs="Times New Roman"/>
                <w:sz w:val="20"/>
                <w:szCs w:val="20"/>
                <w:lang w:val="es-CL"/>
              </w:rPr>
            </w:pP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2020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2019</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2018</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2017</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2016</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2015</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2014</w:t>
            </w:r>
          </w:p>
        </w:tc>
      </w:tr>
      <w:tr w:rsidR="0058775A" w:rsidRPr="00EF0D54" w:rsidTr="0058775A">
        <w:trPr>
          <w:trHeight w:val="20"/>
        </w:trPr>
        <w:tc>
          <w:tcPr>
            <w:tcW w:w="4908"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ASOCIACIÓN ILICITA TERRORISTA.</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6"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5</w:t>
            </w:r>
          </w:p>
        </w:tc>
        <w:tc>
          <w:tcPr>
            <w:tcW w:w="546"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4</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6"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5</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NO PERSEVERAR EN EL PROCEDIMIENTO.</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4</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DECLARA SOBRESEIMIENTO DEFINITIVO.</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APROBACIÓN NO INICIO INVESTIGACIÓN.</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DECLARA INCOMPETENCIA.</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ACUMULACIÓN.</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CERTIFICA CUMPLIMIENTO ART. 468</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SENTENCIA</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r w:rsidRPr="00EF0D54">
              <w:rPr>
                <w:rFonts w:ascii="Times New Roman" w:hAnsi="Times New Roman" w:cs="Times New Roman"/>
                <w:sz w:val="20"/>
                <w:szCs w:val="20"/>
                <w:vertAlign w:val="superscript"/>
                <w:lang w:val="es-CL"/>
              </w:rPr>
              <w:footnoteReference w:id="6"/>
            </w:r>
          </w:p>
        </w:tc>
      </w:tr>
      <w:tr w:rsidR="0058775A" w:rsidRPr="00EF0D54" w:rsidTr="0058775A">
        <w:trPr>
          <w:trHeight w:val="20"/>
        </w:trPr>
        <w:tc>
          <w:tcPr>
            <w:tcW w:w="4908"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ENVIO EXPLOSIVOS, HOMICIDIO, LESIONES Y SECUESTRO TERRORISTA.</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8</w:t>
            </w:r>
          </w:p>
        </w:tc>
        <w:tc>
          <w:tcPr>
            <w:tcW w:w="546"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4</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6"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0</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0</w:t>
            </w:r>
          </w:p>
        </w:tc>
        <w:tc>
          <w:tcPr>
            <w:tcW w:w="546"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0</w:t>
            </w:r>
          </w:p>
        </w:tc>
        <w:tc>
          <w:tcPr>
            <w:tcW w:w="541" w:type="dxa"/>
            <w:shd w:val="clear" w:color="auto" w:fill="DAEEF3"/>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NO PERSEVERAR EN EL PROCEDIMIENTO.</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4</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ACUMULACIÓN.</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DECLARA INCOMPETENCIA.</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2</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DECLARA INADMISIBILIDAD DE LA QUERELLA.</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SENTENCIA</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1</w:t>
            </w:r>
            <w:r w:rsidRPr="00EF0D54">
              <w:rPr>
                <w:rFonts w:ascii="Times New Roman" w:hAnsi="Times New Roman" w:cs="Times New Roman"/>
                <w:sz w:val="20"/>
                <w:szCs w:val="20"/>
                <w:vertAlign w:val="superscript"/>
                <w:lang w:val="es-CL"/>
              </w:rPr>
              <w:footnoteReference w:id="7"/>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6"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c>
          <w:tcPr>
            <w:tcW w:w="541" w:type="dxa"/>
            <w:noWrap/>
            <w:hideMark/>
          </w:tcPr>
          <w:p w:rsidR="0058775A" w:rsidRPr="00EF0D54" w:rsidRDefault="0058775A" w:rsidP="0058775A">
            <w:pPr>
              <w:rPr>
                <w:rFonts w:ascii="Times New Roman" w:hAnsi="Times New Roman" w:cs="Times New Roman"/>
                <w:sz w:val="20"/>
                <w:szCs w:val="20"/>
                <w:lang w:val="es-CL"/>
              </w:rPr>
            </w:pPr>
            <w:r w:rsidRPr="00EF0D54">
              <w:rPr>
                <w:rFonts w:ascii="Times New Roman" w:hAnsi="Times New Roman" w:cs="Times New Roman"/>
                <w:sz w:val="20"/>
                <w:szCs w:val="20"/>
                <w:lang w:val="es-CL"/>
              </w:rPr>
              <w:t>0</w:t>
            </w:r>
          </w:p>
        </w:tc>
      </w:tr>
      <w:tr w:rsidR="0058775A" w:rsidRPr="00EF0D54" w:rsidTr="0058775A">
        <w:trPr>
          <w:trHeight w:val="20"/>
        </w:trPr>
        <w:tc>
          <w:tcPr>
            <w:tcW w:w="4908"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Total</w:t>
            </w:r>
          </w:p>
        </w:tc>
        <w:tc>
          <w:tcPr>
            <w:tcW w:w="541"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10</w:t>
            </w:r>
          </w:p>
        </w:tc>
        <w:tc>
          <w:tcPr>
            <w:tcW w:w="546"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6</w:t>
            </w:r>
          </w:p>
        </w:tc>
        <w:tc>
          <w:tcPr>
            <w:tcW w:w="541"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7</w:t>
            </w:r>
          </w:p>
        </w:tc>
        <w:tc>
          <w:tcPr>
            <w:tcW w:w="546"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4</w:t>
            </w:r>
          </w:p>
        </w:tc>
        <w:tc>
          <w:tcPr>
            <w:tcW w:w="541"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6"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2</w:t>
            </w:r>
          </w:p>
        </w:tc>
        <w:tc>
          <w:tcPr>
            <w:tcW w:w="541" w:type="dxa"/>
            <w:noWrap/>
            <w:hideMark/>
          </w:tcPr>
          <w:p w:rsidR="0058775A" w:rsidRPr="00EF0D54" w:rsidRDefault="0058775A" w:rsidP="0058775A">
            <w:pPr>
              <w:rPr>
                <w:rFonts w:ascii="Times New Roman" w:hAnsi="Times New Roman" w:cs="Times New Roman"/>
                <w:b/>
                <w:bCs/>
                <w:sz w:val="20"/>
                <w:szCs w:val="20"/>
                <w:lang w:val="es-CL"/>
              </w:rPr>
            </w:pPr>
            <w:r w:rsidRPr="00EF0D54">
              <w:rPr>
                <w:rFonts w:ascii="Times New Roman" w:hAnsi="Times New Roman" w:cs="Times New Roman"/>
                <w:b/>
                <w:bCs/>
                <w:sz w:val="20"/>
                <w:szCs w:val="20"/>
                <w:lang w:val="es-CL"/>
              </w:rPr>
              <w:t>5</w:t>
            </w:r>
          </w:p>
        </w:tc>
      </w:tr>
    </w:tbl>
    <w:p w:rsidR="0058775A" w:rsidRPr="00EF0D54" w:rsidRDefault="0058775A" w:rsidP="0058775A">
      <w:pPr>
        <w:rPr>
          <w:rFonts w:ascii="Times New Roman" w:hAnsi="Times New Roman" w:cs="Times New Roman"/>
          <w:sz w:val="20"/>
          <w:szCs w:val="20"/>
          <w:lang w:val="es-CL"/>
        </w:rPr>
      </w:pPr>
    </w:p>
    <w:p w:rsidR="0058775A" w:rsidRPr="00EF0D54" w:rsidRDefault="0058775A" w:rsidP="0058775A">
      <w:pPr>
        <w:rPr>
          <w:rFonts w:ascii="Times New Roman" w:hAnsi="Times New Roman" w:cs="Times New Roman"/>
          <w:sz w:val="20"/>
          <w:szCs w:val="20"/>
          <w:lang w:val="es-CL"/>
        </w:rPr>
      </w:pPr>
    </w:p>
    <w:p w:rsidR="0058775A" w:rsidRPr="00EF0D54" w:rsidRDefault="0058775A" w:rsidP="0058775A">
      <w:pPr>
        <w:jc w:val="both"/>
        <w:rPr>
          <w:rFonts w:ascii="Times New Roman" w:hAnsi="Times New Roman" w:cs="Times New Roman"/>
          <w:sz w:val="20"/>
          <w:szCs w:val="20"/>
          <w:lang w:val="es-CL"/>
        </w:rPr>
      </w:pPr>
      <w:r w:rsidRPr="00EF0D54">
        <w:rPr>
          <w:rFonts w:ascii="Times New Roman" w:hAnsi="Times New Roman" w:cs="Times New Roman"/>
          <w:sz w:val="20"/>
          <w:szCs w:val="20"/>
          <w:lang w:val="es-CL"/>
        </w:rPr>
        <w:t xml:space="preserve">Por último, durante los años 2014 y 2015, el único caso asociado a delitos reportados en los sistemas informáticos como </w:t>
      </w:r>
      <w:r w:rsidRPr="00EF0D54">
        <w:rPr>
          <w:rFonts w:ascii="Times New Roman" w:hAnsi="Times New Roman" w:cs="Times New Roman"/>
          <w:i/>
          <w:sz w:val="20"/>
          <w:szCs w:val="20"/>
          <w:lang w:val="es-CL"/>
        </w:rPr>
        <w:t>Ley N° 18.314 de conductas terroristas</w:t>
      </w:r>
      <w:r w:rsidRPr="00EF0D54">
        <w:rPr>
          <w:rFonts w:ascii="Times New Roman" w:hAnsi="Times New Roman" w:cs="Times New Roman"/>
          <w:sz w:val="20"/>
          <w:szCs w:val="20"/>
          <w:lang w:val="es-CL"/>
        </w:rPr>
        <w:t xml:space="preserve"> registra como motivo de término la aprobación de la solicitud de no perseverar en la investigación, invocada por el Ministerio Público.</w:t>
      </w:r>
    </w:p>
    <w:p w:rsidR="0058775A" w:rsidRPr="00EF0D54" w:rsidRDefault="0058775A" w:rsidP="0058775A">
      <w:pPr>
        <w:rPr>
          <w:sz w:val="20"/>
          <w:szCs w:val="20"/>
          <w:lang w:val="es-CL"/>
        </w:rPr>
      </w:pPr>
    </w:p>
    <w:p w:rsidR="0058775A" w:rsidRPr="00EF0D54" w:rsidRDefault="0058775A" w:rsidP="0058775A">
      <w:pPr>
        <w:rPr>
          <w:sz w:val="20"/>
          <w:szCs w:val="20"/>
          <w:lang w:val="es-ES_tradnl"/>
        </w:rPr>
      </w:pPr>
    </w:p>
    <w:p w:rsidR="0058775A" w:rsidRPr="00EF0D54" w:rsidRDefault="0058775A" w:rsidP="0058775A">
      <w:pPr>
        <w:rPr>
          <w:sz w:val="20"/>
          <w:szCs w:val="20"/>
          <w:lang w:val="es-CL"/>
        </w:rPr>
      </w:pPr>
    </w:p>
    <w:p w:rsidR="0058775A" w:rsidRDefault="0058775A">
      <w:pPr>
        <w:rPr>
          <w:rFonts w:ascii="Times New Roman" w:hAnsi="Times New Roman" w:cs="Times New Roman"/>
          <w:sz w:val="20"/>
          <w:szCs w:val="20"/>
        </w:rPr>
      </w:pPr>
      <w:r>
        <w:rPr>
          <w:rFonts w:ascii="Times New Roman" w:hAnsi="Times New Roman" w:cs="Times New Roman"/>
          <w:sz w:val="20"/>
          <w:szCs w:val="20"/>
        </w:rPr>
        <w:br w:type="page"/>
      </w:r>
    </w:p>
    <w:p w:rsidR="0058775A" w:rsidRPr="0058775A" w:rsidRDefault="0058775A" w:rsidP="0058775A">
      <w:pPr>
        <w:shd w:val="clear" w:color="auto" w:fill="AEAAAA" w:themeFill="background2" w:themeFillShade="BF"/>
        <w:jc w:val="center"/>
        <w:rPr>
          <w:rFonts w:ascii="Times New Roman" w:hAnsi="Times New Roman" w:cs="Times New Roman"/>
          <w:sz w:val="28"/>
          <w:szCs w:val="28"/>
          <w:u w:val="single"/>
        </w:rPr>
      </w:pPr>
      <w:r w:rsidRPr="0058775A">
        <w:rPr>
          <w:rFonts w:ascii="Times New Roman" w:hAnsi="Times New Roman" w:cs="Times New Roman"/>
          <w:sz w:val="28"/>
          <w:szCs w:val="28"/>
          <w:u w:val="single"/>
        </w:rPr>
        <w:t>ANEXO III</w:t>
      </w:r>
    </w:p>
    <w:p w:rsidR="0058775A" w:rsidRPr="00FE1DC1" w:rsidRDefault="0058775A" w:rsidP="0058775A">
      <w:pPr>
        <w:jc w:val="center"/>
        <w:rPr>
          <w:rFonts w:ascii="Times New Roman" w:hAnsi="Times New Roman" w:cs="Times New Roman"/>
          <w:sz w:val="20"/>
          <w:szCs w:val="20"/>
          <w:u w:val="single"/>
        </w:rPr>
      </w:pPr>
      <w:r w:rsidRPr="00FE1DC1">
        <w:rPr>
          <w:rFonts w:ascii="Times New Roman" w:hAnsi="Times New Roman" w:cs="Times New Roman"/>
          <w:sz w:val="20"/>
          <w:szCs w:val="20"/>
          <w:u w:val="single"/>
        </w:rPr>
        <w:t>Detalle Causas Ley 20.609, Poder Judicial</w:t>
      </w:r>
    </w:p>
    <w:p w:rsidR="0058775A" w:rsidRPr="00FE1DC1" w:rsidRDefault="0058775A" w:rsidP="0058775A">
      <w:pPr>
        <w:jc w:val="both"/>
        <w:rPr>
          <w:rFonts w:ascii="Times New Roman" w:hAnsi="Times New Roman" w:cs="Times New Roman"/>
          <w:sz w:val="20"/>
          <w:szCs w:val="20"/>
        </w:rPr>
      </w:pPr>
    </w:p>
    <w:p w:rsidR="0058775A" w:rsidRPr="00FE1DC1" w:rsidRDefault="0058775A" w:rsidP="0058775A">
      <w:pPr>
        <w:jc w:val="both"/>
        <w:rPr>
          <w:rFonts w:ascii="Times New Roman" w:hAnsi="Times New Roman" w:cs="Times New Roman"/>
          <w:sz w:val="20"/>
          <w:szCs w:val="20"/>
        </w:rPr>
      </w:pPr>
    </w:p>
    <w:p w:rsidR="0058775A" w:rsidRPr="00FE1DC1" w:rsidRDefault="0058775A" w:rsidP="0058775A">
      <w:pPr>
        <w:jc w:val="both"/>
        <w:rPr>
          <w:rFonts w:ascii="Times New Roman" w:hAnsi="Times New Roman" w:cs="Times New Roman"/>
          <w:sz w:val="20"/>
          <w:szCs w:val="20"/>
        </w:rPr>
      </w:pPr>
    </w:p>
    <w:p w:rsidR="0058775A" w:rsidRPr="00FE1DC1" w:rsidRDefault="0058775A" w:rsidP="0058775A">
      <w:pPr>
        <w:jc w:val="both"/>
        <w:rPr>
          <w:rFonts w:ascii="Times New Roman" w:eastAsia="Times New Roman" w:hAnsi="Times New Roman" w:cs="Times New Roman"/>
          <w:bCs/>
          <w:color w:val="262626"/>
          <w:sz w:val="20"/>
          <w:szCs w:val="20"/>
        </w:rPr>
      </w:pPr>
      <w:r w:rsidRPr="00FE1DC1">
        <w:rPr>
          <w:rFonts w:ascii="Times New Roman" w:eastAsia="Times New Roman" w:hAnsi="Times New Roman" w:cs="Times New Roman"/>
          <w:bCs/>
          <w:color w:val="262626"/>
          <w:sz w:val="20"/>
          <w:szCs w:val="20"/>
        </w:rPr>
        <w:t>El siguiente cuadro contiene el detalle de las 37 causas ingresadas en la Corte Suprema, a febrero 2020, de acuerdo a información del Poder Judicial:</w:t>
      </w:r>
    </w:p>
    <w:p w:rsidR="0058775A" w:rsidRPr="00FE1DC1" w:rsidRDefault="0058775A" w:rsidP="0058775A">
      <w:pPr>
        <w:jc w:val="both"/>
        <w:rPr>
          <w:rFonts w:ascii="Times New Roman" w:hAnsi="Times New Roman" w:cs="Times New Roman"/>
          <w:sz w:val="20"/>
          <w:szCs w:val="20"/>
        </w:rPr>
      </w:pPr>
    </w:p>
    <w:tbl>
      <w:tblPr>
        <w:tblW w:w="5990" w:type="dxa"/>
        <w:jc w:val="center"/>
        <w:tblLayout w:type="fixed"/>
        <w:tblCellMar>
          <w:left w:w="70" w:type="dxa"/>
          <w:right w:w="70" w:type="dxa"/>
        </w:tblCellMar>
        <w:tblLook w:val="04A0" w:firstRow="1" w:lastRow="0" w:firstColumn="1" w:lastColumn="0" w:noHBand="0" w:noVBand="1"/>
      </w:tblPr>
      <w:tblGrid>
        <w:gridCol w:w="1240"/>
        <w:gridCol w:w="1240"/>
        <w:gridCol w:w="2180"/>
        <w:gridCol w:w="1330"/>
      </w:tblGrid>
      <w:tr w:rsidR="0058775A" w:rsidRPr="00FE1DC1" w:rsidTr="0058775A">
        <w:trPr>
          <w:trHeight w:val="170"/>
          <w:jc w:val="center"/>
        </w:trPr>
        <w:tc>
          <w:tcPr>
            <w:tcW w:w="5990" w:type="dxa"/>
            <w:gridSpan w:val="4"/>
            <w:tcBorders>
              <w:top w:val="nil"/>
              <w:left w:val="nil"/>
              <w:bottom w:val="single" w:sz="4" w:space="0" w:color="D9D9D9"/>
              <w:right w:val="nil"/>
            </w:tcBorders>
            <w:shd w:val="clear" w:color="auto" w:fill="4472C4" w:themeFill="accent1"/>
            <w:noWrap/>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Corte Suprema</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 xml:space="preserve">Rol </w:t>
            </w:r>
          </w:p>
        </w:tc>
        <w:tc>
          <w:tcPr>
            <w:tcW w:w="1240" w:type="dxa"/>
            <w:tcBorders>
              <w:top w:val="nil"/>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 xml:space="preserve">Año Ingreso </w:t>
            </w:r>
          </w:p>
        </w:tc>
        <w:tc>
          <w:tcPr>
            <w:tcW w:w="2180" w:type="dxa"/>
            <w:tcBorders>
              <w:top w:val="nil"/>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 xml:space="preserve">Glosa Recurso </w:t>
            </w:r>
          </w:p>
        </w:tc>
        <w:tc>
          <w:tcPr>
            <w:tcW w:w="1330" w:type="dxa"/>
            <w:tcBorders>
              <w:top w:val="nil"/>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 xml:space="preserve">Fecha Ingreso </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3709</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2015</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18-03-15</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4999</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2015</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Forma y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13-04-15</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8855</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2015</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Queja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15-07-15</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18453</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2015</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13-10-15</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21702</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2016</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13-04-16</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22249</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2016</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19-04-16</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47586</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2016</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01-08-16</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49671</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2016</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05-08-16</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92909</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2016</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23-11-16</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2847</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20-01-17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5098</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16-02-17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5984</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17-02-17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8063</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09-03-17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10328</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Forma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29-03-17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34640</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14-07-17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38521</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05-09-17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40155</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Forma y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04-10-17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41318</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Queja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16-10-17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41388</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18-10-17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41884</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30-10-17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42000</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02-11-17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42706</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2017</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Forma y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14-11-17</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1474</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2018</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26-01-18</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8034</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2018</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27-04-18</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11978</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2018</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28-05-18</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32667</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2018</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17-12-18</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33594</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2018</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Forma y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31-12-18</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8325</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02-04-19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11443</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29-04-19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12341</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09-05-19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13927</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Queja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25-05-19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19067</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08-07-19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20902</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Queja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28-07-19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24133</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26-08-19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29429</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2019</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21-10-19</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14735</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2020</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03-02-20</w:t>
            </w:r>
          </w:p>
        </w:tc>
      </w:tr>
      <w:tr w:rsidR="0058775A" w:rsidRPr="00FE1DC1" w:rsidTr="0058775A">
        <w:trPr>
          <w:trHeight w:val="170"/>
          <w:jc w:val="center"/>
        </w:trPr>
        <w:tc>
          <w:tcPr>
            <w:tcW w:w="1240"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14785</w:t>
            </w:r>
          </w:p>
        </w:tc>
        <w:tc>
          <w:tcPr>
            <w:tcW w:w="124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2020</w:t>
            </w:r>
          </w:p>
        </w:tc>
        <w:tc>
          <w:tcPr>
            <w:tcW w:w="218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 xml:space="preserve">(Civil) Casación Fondo </w:t>
            </w:r>
          </w:p>
        </w:tc>
        <w:tc>
          <w:tcPr>
            <w:tcW w:w="1330"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03-02-20</w:t>
            </w:r>
          </w:p>
        </w:tc>
      </w:tr>
    </w:tbl>
    <w:p w:rsidR="0058775A" w:rsidRPr="00FE1DC1" w:rsidRDefault="0058775A" w:rsidP="0058775A">
      <w:pPr>
        <w:jc w:val="both"/>
        <w:rPr>
          <w:rFonts w:ascii="Times New Roman" w:hAnsi="Times New Roman" w:cs="Times New Roman"/>
          <w:sz w:val="20"/>
          <w:szCs w:val="20"/>
        </w:rPr>
      </w:pPr>
    </w:p>
    <w:p w:rsidR="0058775A" w:rsidRPr="00FE1DC1" w:rsidRDefault="0058775A" w:rsidP="0058775A">
      <w:pPr>
        <w:jc w:val="both"/>
        <w:rPr>
          <w:rFonts w:ascii="Times New Roman" w:hAnsi="Times New Roman" w:cs="Times New Roman"/>
          <w:sz w:val="20"/>
          <w:szCs w:val="20"/>
        </w:rPr>
      </w:pPr>
    </w:p>
    <w:p w:rsidR="0058775A" w:rsidRPr="00FE1DC1" w:rsidRDefault="0058775A" w:rsidP="0058775A">
      <w:pPr>
        <w:jc w:val="both"/>
        <w:rPr>
          <w:rFonts w:ascii="Times New Roman" w:hAnsi="Times New Roman" w:cs="Times New Roman"/>
          <w:sz w:val="20"/>
          <w:szCs w:val="20"/>
        </w:rPr>
      </w:pPr>
      <w:r w:rsidRPr="00FE1DC1">
        <w:rPr>
          <w:rFonts w:ascii="Times New Roman" w:hAnsi="Times New Roman" w:cs="Times New Roman"/>
          <w:sz w:val="20"/>
          <w:szCs w:val="20"/>
        </w:rPr>
        <w:t>A continuación se incluye tabla, correspondiente a los casos que consideran la agravante</w:t>
      </w:r>
      <w:r w:rsidRPr="00FE1DC1">
        <w:rPr>
          <w:rStyle w:val="FootnoteReference"/>
          <w:rFonts w:ascii="Times New Roman" w:hAnsi="Times New Roman" w:cs="Times New Roman"/>
          <w:sz w:val="20"/>
          <w:szCs w:val="20"/>
        </w:rPr>
        <w:footnoteReference w:id="8"/>
      </w:r>
      <w:r w:rsidRPr="00FE1DC1">
        <w:rPr>
          <w:rFonts w:ascii="Times New Roman" w:hAnsi="Times New Roman" w:cs="Times New Roman"/>
          <w:sz w:val="20"/>
          <w:szCs w:val="20"/>
        </w:rPr>
        <w:t xml:space="preserve"> del Artículo 12, número 21 del Código Penal que introdujo la Ley N°20.609. Al 29 de febrero de 2020, el total de casos fue de 13:</w:t>
      </w:r>
    </w:p>
    <w:p w:rsidR="0058775A" w:rsidRPr="00FE1DC1" w:rsidRDefault="0058775A" w:rsidP="0058775A">
      <w:pPr>
        <w:jc w:val="both"/>
        <w:rPr>
          <w:rFonts w:ascii="Times New Roman" w:hAnsi="Times New Roman" w:cs="Times New Roman"/>
          <w:sz w:val="20"/>
          <w:szCs w:val="20"/>
        </w:rPr>
      </w:pPr>
    </w:p>
    <w:tbl>
      <w:tblPr>
        <w:tblW w:w="9743" w:type="dxa"/>
        <w:tblInd w:w="55" w:type="dxa"/>
        <w:tblLayout w:type="fixed"/>
        <w:tblCellMar>
          <w:left w:w="70" w:type="dxa"/>
          <w:right w:w="70" w:type="dxa"/>
        </w:tblCellMar>
        <w:tblLook w:val="04A0" w:firstRow="1" w:lastRow="0" w:firstColumn="1" w:lastColumn="0" w:noHBand="0" w:noVBand="1"/>
      </w:tblPr>
      <w:tblGrid>
        <w:gridCol w:w="1129"/>
        <w:gridCol w:w="3653"/>
        <w:gridCol w:w="546"/>
        <w:gridCol w:w="1013"/>
        <w:gridCol w:w="1134"/>
        <w:gridCol w:w="2268"/>
      </w:tblGrid>
      <w:tr w:rsidR="0058775A" w:rsidRPr="00FE1DC1" w:rsidTr="0058775A">
        <w:trPr>
          <w:trHeight w:val="20"/>
        </w:trPr>
        <w:tc>
          <w:tcPr>
            <w:tcW w:w="1129" w:type="dxa"/>
            <w:tcBorders>
              <w:top w:val="single" w:sz="4" w:space="0" w:color="D9D9D9"/>
              <w:left w:val="single" w:sz="4" w:space="0" w:color="D9D9D9"/>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Jurisdicción</w:t>
            </w:r>
          </w:p>
        </w:tc>
        <w:tc>
          <w:tcPr>
            <w:tcW w:w="3653" w:type="dxa"/>
            <w:tcBorders>
              <w:top w:val="single" w:sz="4" w:space="0" w:color="D9D9D9"/>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 xml:space="preserve">Nombre Tribunal </w:t>
            </w:r>
          </w:p>
        </w:tc>
        <w:tc>
          <w:tcPr>
            <w:tcW w:w="546" w:type="dxa"/>
            <w:tcBorders>
              <w:top w:val="single" w:sz="4" w:space="0" w:color="D9D9D9"/>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RIT</w:t>
            </w:r>
          </w:p>
        </w:tc>
        <w:tc>
          <w:tcPr>
            <w:tcW w:w="1013" w:type="dxa"/>
            <w:tcBorders>
              <w:top w:val="single" w:sz="4" w:space="0" w:color="D9D9D9"/>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Fecha Inicio</w:t>
            </w:r>
          </w:p>
        </w:tc>
        <w:tc>
          <w:tcPr>
            <w:tcW w:w="1134" w:type="dxa"/>
            <w:tcBorders>
              <w:top w:val="single" w:sz="4" w:space="0" w:color="D9D9D9"/>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Fecha Término</w:t>
            </w:r>
          </w:p>
        </w:tc>
        <w:tc>
          <w:tcPr>
            <w:tcW w:w="2268" w:type="dxa"/>
            <w:tcBorders>
              <w:top w:val="single" w:sz="4" w:space="0" w:color="D9D9D9"/>
              <w:left w:val="nil"/>
              <w:bottom w:val="single" w:sz="4" w:space="0" w:color="D9D9D9"/>
              <w:right w:val="single" w:sz="4" w:space="0" w:color="D9D9D9"/>
            </w:tcBorders>
            <w:shd w:val="clear" w:color="auto" w:fill="4472C4" w:themeFill="accent1"/>
            <w:vAlign w:val="center"/>
            <w:hideMark/>
          </w:tcPr>
          <w:p w:rsidR="0058775A" w:rsidRPr="00FE1DC1" w:rsidRDefault="0058775A" w:rsidP="0058775A">
            <w:pPr>
              <w:jc w:val="center"/>
              <w:rPr>
                <w:rFonts w:ascii="Times New Roman" w:eastAsia="Times New Roman" w:hAnsi="Times New Roman" w:cs="Times New Roman"/>
                <w:b/>
                <w:bCs/>
                <w:color w:val="FFFFFF"/>
                <w:sz w:val="20"/>
                <w:szCs w:val="20"/>
                <w:lang w:eastAsia="es-CL"/>
              </w:rPr>
            </w:pPr>
            <w:r w:rsidRPr="00FE1DC1">
              <w:rPr>
                <w:rFonts w:ascii="Times New Roman" w:eastAsia="Times New Roman" w:hAnsi="Times New Roman" w:cs="Times New Roman"/>
                <w:b/>
                <w:bCs/>
                <w:color w:val="FFFFFF"/>
                <w:sz w:val="20"/>
                <w:szCs w:val="20"/>
                <w:lang w:eastAsia="es-CL"/>
              </w:rPr>
              <w:t>Motivo de Término</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Valdivia.</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TRIBUNAL DE JUICIO ORAL EN LO PENAL DE OSORNO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71</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22-05-2015</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15-07-2015</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 Miguel.</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JUZGADO DE GARANTÍA DE MELIPILLA</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1046</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12-04-2015</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27-01-2016</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Santiago.</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13º JUZGADO DE GARANTÍA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4970</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23-06-2013</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10-03-2016</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Santiago.</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5º TRIBUNAL DE JUICIO ORAL EN LO PENAL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65</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11-04-2017</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23-06-2017</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Copiapó.</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JUZGADO DE GARANTÍA DE COPIAPO.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6525</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22-08-2017</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29-05-2018</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 Miguel.</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TRIBUNAL DE JUICIO ORAL EN LO PENAL SAN BERNARDO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114</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28-03-2018</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07-06-2018</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Santiago.</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5º TRIBUNAL DE JUICIO ORAL EN LO PENAL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106</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26-06-2018</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03-09-2018</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 Miguel.</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6º TRIBUNAL DE JUICIO ORAL EN LO PENAL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494</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28-08-2018</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10-12-2018</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 Miguel.</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11º JUZGADO DE GARANTÍA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10180</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18-12-2016</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18-12-2018</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 Miguel.</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6º TRIBUNAL DE JUICIO ORAL EN LO PENAL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170</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18-04-2019</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18-06-2019</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Santiago.</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7º JUZGADO DE GARANTÍA DE SANTIAGO</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4217</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10-03-2019</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04-12-2019</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Iquique.</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JUZGADO DE GARANTÍA DE IQUIQUE.</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75</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06-01-2019</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12-12-2019</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r w:rsidR="0058775A" w:rsidRPr="00FE1DC1" w:rsidTr="0058775A">
        <w:trPr>
          <w:trHeight w:val="20"/>
        </w:trPr>
        <w:tc>
          <w:tcPr>
            <w:tcW w:w="1129" w:type="dxa"/>
            <w:tcBorders>
              <w:top w:val="nil"/>
              <w:left w:val="single" w:sz="4" w:space="0" w:color="D9D9D9"/>
              <w:bottom w:val="single" w:sz="4" w:space="0" w:color="D9D9D9"/>
              <w:right w:val="single" w:sz="4" w:space="0" w:color="D9D9D9"/>
            </w:tcBorders>
            <w:shd w:val="clear" w:color="auto" w:fill="auto"/>
            <w:noWrap/>
            <w:vAlign w:val="center"/>
            <w:hideMark/>
          </w:tcPr>
          <w:p w:rsidR="0058775A" w:rsidRPr="00FE1DC1" w:rsidRDefault="0058775A" w:rsidP="0058775A">
            <w:pP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Punta Arenas.</w:t>
            </w:r>
          </w:p>
        </w:tc>
        <w:tc>
          <w:tcPr>
            <w:tcW w:w="365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TRIBUNAL DE JUICIO ORAL EN LO PENAL PUNTA ARENAS.</w:t>
            </w:r>
          </w:p>
        </w:tc>
        <w:tc>
          <w:tcPr>
            <w:tcW w:w="546"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133</w:t>
            </w:r>
          </w:p>
        </w:tc>
        <w:tc>
          <w:tcPr>
            <w:tcW w:w="1013"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04-12-2019</w:t>
            </w:r>
          </w:p>
        </w:tc>
        <w:tc>
          <w:tcPr>
            <w:tcW w:w="1134"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04-02-2020</w:t>
            </w:r>
          </w:p>
        </w:tc>
        <w:tc>
          <w:tcPr>
            <w:tcW w:w="2268" w:type="dxa"/>
            <w:tcBorders>
              <w:top w:val="nil"/>
              <w:left w:val="nil"/>
              <w:bottom w:val="single" w:sz="4" w:space="0" w:color="D9D9D9"/>
              <w:right w:val="single" w:sz="4" w:space="0" w:color="D9D9D9"/>
            </w:tcBorders>
            <w:shd w:val="clear" w:color="auto" w:fill="auto"/>
            <w:noWrap/>
            <w:vAlign w:val="center"/>
            <w:hideMark/>
          </w:tcPr>
          <w:p w:rsidR="0058775A" w:rsidRPr="00FE1DC1" w:rsidRDefault="0058775A" w:rsidP="0058775A">
            <w:pPr>
              <w:jc w:val="center"/>
              <w:rPr>
                <w:rFonts w:ascii="Times New Roman" w:eastAsia="Times New Roman" w:hAnsi="Times New Roman" w:cs="Times New Roman"/>
                <w:color w:val="000000"/>
                <w:sz w:val="20"/>
                <w:szCs w:val="20"/>
                <w:lang w:eastAsia="es-CL"/>
              </w:rPr>
            </w:pPr>
            <w:r w:rsidRPr="00FE1DC1">
              <w:rPr>
                <w:rFonts w:ascii="Times New Roman" w:eastAsia="Times New Roman" w:hAnsi="Times New Roman" w:cs="Times New Roman"/>
                <w:color w:val="000000"/>
                <w:sz w:val="20"/>
                <w:szCs w:val="20"/>
                <w:lang w:eastAsia="es-CL"/>
              </w:rPr>
              <w:t>SENTENCIA CONDENATORIA</w:t>
            </w:r>
          </w:p>
        </w:tc>
      </w:tr>
    </w:tbl>
    <w:p w:rsidR="0058775A" w:rsidRPr="00FE1DC1" w:rsidRDefault="0058775A" w:rsidP="0058775A">
      <w:pPr>
        <w:rPr>
          <w:sz w:val="20"/>
          <w:szCs w:val="20"/>
        </w:rPr>
      </w:pPr>
    </w:p>
    <w:p w:rsidR="0058775A" w:rsidRDefault="0058775A">
      <w:pPr>
        <w:rPr>
          <w:rFonts w:ascii="Times New Roman" w:hAnsi="Times New Roman" w:cs="Times New Roman"/>
          <w:sz w:val="20"/>
          <w:szCs w:val="20"/>
        </w:rPr>
      </w:pPr>
      <w:r>
        <w:rPr>
          <w:rFonts w:ascii="Times New Roman" w:hAnsi="Times New Roman" w:cs="Times New Roman"/>
          <w:sz w:val="20"/>
          <w:szCs w:val="20"/>
        </w:rPr>
        <w:br w:type="page"/>
      </w:r>
    </w:p>
    <w:p w:rsidR="0058775A" w:rsidRPr="0058775A" w:rsidRDefault="0058775A" w:rsidP="0058775A">
      <w:pPr>
        <w:shd w:val="clear" w:color="auto" w:fill="AEAAAA" w:themeFill="background2" w:themeFillShade="BF"/>
        <w:jc w:val="center"/>
        <w:rPr>
          <w:rFonts w:ascii="Times New Roman" w:eastAsia="Times New Roman" w:hAnsi="Times New Roman" w:cs="Times New Roman"/>
          <w:color w:val="000000"/>
          <w:sz w:val="28"/>
          <w:szCs w:val="28"/>
          <w:u w:val="single"/>
          <w:lang w:eastAsia="es-CL"/>
        </w:rPr>
      </w:pPr>
      <w:r w:rsidRPr="0058775A">
        <w:rPr>
          <w:rFonts w:ascii="Times New Roman" w:eastAsia="Times New Roman" w:hAnsi="Times New Roman" w:cs="Times New Roman"/>
          <w:color w:val="000000"/>
          <w:sz w:val="28"/>
          <w:szCs w:val="28"/>
          <w:u w:val="single"/>
          <w:lang w:eastAsia="es-CL"/>
        </w:rPr>
        <w:t>ANEXO IV</w:t>
      </w:r>
    </w:p>
    <w:p w:rsidR="0058775A" w:rsidRPr="006E0B8F" w:rsidRDefault="0058775A" w:rsidP="0058775A">
      <w:pPr>
        <w:jc w:val="center"/>
        <w:rPr>
          <w:rFonts w:ascii="Times New Roman" w:eastAsia="Times New Roman" w:hAnsi="Times New Roman" w:cs="Times New Roman"/>
          <w:color w:val="000000"/>
          <w:sz w:val="20"/>
          <w:szCs w:val="20"/>
          <w:u w:val="single"/>
          <w:lang w:eastAsia="es-CL"/>
        </w:rPr>
      </w:pPr>
      <w:r w:rsidRPr="006E0B8F">
        <w:rPr>
          <w:rFonts w:ascii="Times New Roman" w:eastAsia="Times New Roman" w:hAnsi="Times New Roman" w:cs="Times New Roman"/>
          <w:color w:val="000000"/>
          <w:sz w:val="20"/>
          <w:szCs w:val="20"/>
          <w:u w:val="single"/>
          <w:lang w:eastAsia="es-CL"/>
        </w:rPr>
        <w:t>Actividades desarrolladas durante los años 2019 y 2020 por la Academia Judicial y la Secretaría Técnica de Igualdad de Género y No Discriminación-Poder Judicial</w:t>
      </w:r>
    </w:p>
    <w:p w:rsidR="0058775A" w:rsidRPr="006E0B8F" w:rsidRDefault="0058775A" w:rsidP="0058775A">
      <w:pPr>
        <w:jc w:val="center"/>
        <w:rPr>
          <w:rFonts w:ascii="Times New Roman" w:eastAsia="Times New Roman" w:hAnsi="Times New Roman" w:cs="Times New Roman"/>
          <w:color w:val="000000"/>
          <w:sz w:val="20"/>
          <w:szCs w:val="20"/>
          <w:lang w:eastAsia="es-CL"/>
        </w:rPr>
      </w:pP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3"/>
        </w:numPr>
        <w:contextualSpacing w:val="0"/>
        <w:jc w:val="both"/>
        <w:rPr>
          <w:rFonts w:ascii="Times New Roman" w:eastAsia="Times New Roman" w:hAnsi="Times New Roman" w:cs="Times New Roman"/>
          <w:b/>
          <w:color w:val="000000"/>
          <w:sz w:val="20"/>
          <w:szCs w:val="20"/>
          <w:lang w:eastAsia="es-CL"/>
        </w:rPr>
      </w:pPr>
      <w:r w:rsidRPr="006E0B8F">
        <w:rPr>
          <w:rFonts w:ascii="Times New Roman" w:eastAsia="Times New Roman" w:hAnsi="Times New Roman" w:cs="Times New Roman"/>
          <w:b/>
          <w:color w:val="000000"/>
          <w:sz w:val="20"/>
          <w:szCs w:val="20"/>
          <w:lang w:eastAsia="es-CL"/>
        </w:rPr>
        <w:t>Academia Judicial</w:t>
      </w:r>
    </w:p>
    <w:p w:rsidR="0058775A" w:rsidRPr="006E0B8F" w:rsidRDefault="0058775A" w:rsidP="0058775A">
      <w:pPr>
        <w:jc w:val="both"/>
        <w:rPr>
          <w:rFonts w:ascii="Times New Roman" w:eastAsia="Times New Roman" w:hAnsi="Times New Roman" w:cs="Times New Roman"/>
          <w:b/>
          <w:color w:val="000000"/>
          <w:sz w:val="20"/>
          <w:szCs w:val="20"/>
          <w:lang w:eastAsia="es-CL"/>
        </w:rPr>
      </w:pP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El año 2019, la Academia Judicial definió el </w:t>
      </w:r>
      <w:r w:rsidRPr="006E0B8F">
        <w:rPr>
          <w:rFonts w:ascii="Times New Roman" w:eastAsia="Times New Roman" w:hAnsi="Times New Roman" w:cs="Times New Roman"/>
          <w:b/>
          <w:color w:val="000000"/>
          <w:sz w:val="20"/>
          <w:szCs w:val="20"/>
          <w:u w:val="single"/>
          <w:lang w:eastAsia="es-CL"/>
        </w:rPr>
        <w:t>“Plan en materia de igualdad y no discriminación por razón de género”</w:t>
      </w:r>
      <w:r w:rsidRPr="006E0B8F">
        <w:rPr>
          <w:rFonts w:ascii="Times New Roman" w:eastAsia="Times New Roman" w:hAnsi="Times New Roman" w:cs="Times New Roman"/>
          <w:color w:val="000000"/>
          <w:sz w:val="20"/>
          <w:szCs w:val="20"/>
          <w:lang w:eastAsia="es-CL"/>
        </w:rPr>
        <w:t>, el cual fue aprobado por el Consejo Directivo en sesión N° 387 de 26 de junio de 2019, con la recomendación que se implemente gradualmente, en particular en lo que dice relación a la incorporación de esta temática en forma transversal en toda la oferta docente de la institución</w:t>
      </w:r>
      <w:r w:rsidRPr="006E0B8F">
        <w:rPr>
          <w:rStyle w:val="FootnoteReference"/>
          <w:rFonts w:eastAsia="Times New Roman" w:cs="Times New Roman"/>
          <w:color w:val="000000"/>
          <w:lang w:eastAsia="es-CL"/>
        </w:rPr>
        <w:footnoteReference w:id="9"/>
      </w:r>
      <w:r w:rsidRPr="006E0B8F">
        <w:rPr>
          <w:rFonts w:ascii="Times New Roman" w:eastAsia="Times New Roman" w:hAnsi="Times New Roman" w:cs="Times New Roman"/>
          <w:color w:val="000000"/>
          <w:sz w:val="20"/>
          <w:szCs w:val="20"/>
          <w:lang w:eastAsia="es-CL"/>
        </w:rPr>
        <w:t>.</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el contexto del </w:t>
      </w:r>
      <w:r w:rsidRPr="006E0B8F">
        <w:rPr>
          <w:rFonts w:ascii="Times New Roman" w:eastAsia="Times New Roman" w:hAnsi="Times New Roman" w:cs="Times New Roman"/>
          <w:b/>
          <w:color w:val="000000"/>
          <w:sz w:val="20"/>
          <w:szCs w:val="20"/>
          <w:u w:val="single"/>
          <w:lang w:eastAsia="es-CL"/>
        </w:rPr>
        <w:t>Programa de Perfeccionamiento (PP)</w:t>
      </w:r>
      <w:r w:rsidRPr="006E0B8F">
        <w:rPr>
          <w:rFonts w:ascii="Times New Roman" w:eastAsia="Times New Roman" w:hAnsi="Times New Roman" w:cs="Times New Roman"/>
          <w:color w:val="000000"/>
          <w:sz w:val="20"/>
          <w:szCs w:val="20"/>
          <w:lang w:eastAsia="es-CL"/>
        </w:rPr>
        <w:t xml:space="preserve">, es posible destacar entre los años 2019 y 2020, la presencia de diversos cursos específicos en materia de género, igualdad y no discriminación. Cabe mencionar que, dada la emergencia sanitaria decretada a partir de marzo de 2020, los cursos presenciales del año 2020 fueron todos cancelados, ejecutándose sólo capacitaciones en línea en temas que se indicarán. Los cursos mencionados corresponden a: i) Principio de igualdad y prohibición de toda forma de discriminación, ii) Principio de igualdad, iii) Curso básico sobre cuestiones de género y sexualidad (cancelado 2020), iv) Debido proceso, v) Debido proceso en materia penal, vi) Convención contra la tortura y otros tratos o penas crueles inhumanos degradantes, vii) Obligaciones del Estado de Chile en virtud de convenciones internacionales, viii) Sistema interamericano de protección de derechos y control de convencionalidad, ix) Acoso y discriminación laboral, x) Sistema universal de protección de los derechos humanos, xi) Derechos económicos, sociales y culturales, xii) Análisis jurídico y prácticas judiciales en relación a los migrantes, el tráfico y trata de personas en Chile, xiii) Curso sobre estándares internacionales en materia de orientación sexual e identidad de género: El caso </w:t>
      </w:r>
      <w:proofErr w:type="spellStart"/>
      <w:r w:rsidRPr="006E0B8F">
        <w:rPr>
          <w:rFonts w:ascii="Times New Roman" w:eastAsia="Times New Roman" w:hAnsi="Times New Roman" w:cs="Times New Roman"/>
          <w:color w:val="000000"/>
          <w:sz w:val="20"/>
          <w:szCs w:val="20"/>
          <w:lang w:eastAsia="es-CL"/>
        </w:rPr>
        <w:t>Atala</w:t>
      </w:r>
      <w:proofErr w:type="spellEnd"/>
      <w:r w:rsidRPr="006E0B8F">
        <w:rPr>
          <w:rFonts w:ascii="Times New Roman" w:eastAsia="Times New Roman" w:hAnsi="Times New Roman" w:cs="Times New Roman"/>
          <w:color w:val="000000"/>
          <w:sz w:val="20"/>
          <w:szCs w:val="20"/>
          <w:lang w:eastAsia="es-CL"/>
        </w:rPr>
        <w:t xml:space="preserve"> (dictado en 2020), xix) Convención sobre los derechos de niños, niñas y adolescentes (dictado en 2020), xx) Tutela de derechos fundamentales (dictado en 2020), xxi) Contexto social y estatuto de los inmigrantes en Chile (dictado sólo en 2020), xxii) Derechos sexuales y reproductivos (dictado sólo en 2020), xxiii) Sensibilización en género (dictado sólo en 2020),  y xxiv) Curso introductorio sobre violencia de género y acoso sexual (dictado sólo en 2020). </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el marco del </w:t>
      </w:r>
      <w:r w:rsidRPr="006E0B8F">
        <w:rPr>
          <w:rFonts w:ascii="Times New Roman" w:eastAsia="Times New Roman" w:hAnsi="Times New Roman" w:cs="Times New Roman"/>
          <w:b/>
          <w:color w:val="000000"/>
          <w:sz w:val="20"/>
          <w:szCs w:val="20"/>
          <w:u w:val="single"/>
          <w:lang w:eastAsia="es-CL"/>
        </w:rPr>
        <w:t>Programa de Formación (PF)</w:t>
      </w:r>
      <w:r w:rsidRPr="006E0B8F">
        <w:rPr>
          <w:rFonts w:ascii="Times New Roman" w:eastAsia="Times New Roman" w:hAnsi="Times New Roman" w:cs="Times New Roman"/>
          <w:color w:val="000000"/>
          <w:sz w:val="20"/>
          <w:szCs w:val="20"/>
          <w:lang w:eastAsia="es-CL"/>
        </w:rPr>
        <w:t xml:space="preserve"> para postulantes al escalafón primario del Poder Judicial, a partir del curso Nº 69 de noviembre de 2015, ha sido incorporada la perspectiva de género en el currículo de dicho Programa, mediante un módulo que desde febrero de 2016 contempla 12 horas lectivas. Con este objeto, se han incorporado tres módulos, a saber: i) Género y Derecho/Diversidad sexual y no discriminación, ii) Teoría de Género,</w:t>
      </w:r>
      <w:r w:rsidRPr="006E0B8F">
        <w:rPr>
          <w:rFonts w:ascii="Times New Roman" w:hAnsi="Times New Roman" w:cs="Times New Roman"/>
          <w:sz w:val="20"/>
          <w:szCs w:val="20"/>
        </w:rPr>
        <w:t xml:space="preserve"> </w:t>
      </w:r>
      <w:r w:rsidRPr="006E0B8F">
        <w:rPr>
          <w:rFonts w:ascii="Times New Roman" w:eastAsia="Times New Roman" w:hAnsi="Times New Roman" w:cs="Times New Roman"/>
          <w:color w:val="000000"/>
          <w:sz w:val="20"/>
          <w:szCs w:val="20"/>
          <w:lang w:eastAsia="es-CL"/>
        </w:rPr>
        <w:t>Género y Derecho/Estereotipos de género, y iii) Imparcialidad y género. Durante el año 2020, dada la pandemia mundial, el PF también debió transformar y mutar desde una planificación de tipo presencial a una virtual. Es en ese contexto, que se trabajó en los syllabus, bibliografías y casos prácticos en dos cursos que integran la formación de jueces y juezas, en las que se aborda directamente los temas de género, igualdad y no discriminación: a) Derecho internacional de los Derechos Humanos y Grupos Vulnerables y b) La prueba.</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lo que respecta al </w:t>
      </w:r>
      <w:r w:rsidRPr="006E0B8F">
        <w:rPr>
          <w:rFonts w:ascii="Times New Roman" w:eastAsia="Times New Roman" w:hAnsi="Times New Roman" w:cs="Times New Roman"/>
          <w:b/>
          <w:color w:val="000000"/>
          <w:sz w:val="20"/>
          <w:szCs w:val="20"/>
          <w:u w:val="single"/>
          <w:lang w:eastAsia="es-CL"/>
        </w:rPr>
        <w:t>Programa de Extensión de la Academia Judicia</w:t>
      </w:r>
      <w:r w:rsidRPr="006E0B8F">
        <w:rPr>
          <w:rFonts w:ascii="Times New Roman" w:eastAsia="Times New Roman" w:hAnsi="Times New Roman" w:cs="Times New Roman"/>
          <w:color w:val="000000"/>
          <w:sz w:val="20"/>
          <w:szCs w:val="20"/>
          <w:lang w:eastAsia="es-CL"/>
        </w:rPr>
        <w:t xml:space="preserve">l, durante el año 2020 se efectuaron un ciclo de charlas en línea “Contingencia y Justicia: algunos temas para reflexionar” dirigido a funcionarios judiciales e integrantes de la comunidad legal. Algunas de las temáticas abordados dijeron relación con </w:t>
      </w:r>
      <w:r w:rsidRPr="006E0B8F">
        <w:rPr>
          <w:rFonts w:ascii="Times New Roman" w:hAnsi="Times New Roman" w:cs="Times New Roman"/>
          <w:sz w:val="20"/>
          <w:szCs w:val="20"/>
        </w:rPr>
        <w:t>v</w:t>
      </w:r>
      <w:r w:rsidRPr="006E0B8F">
        <w:rPr>
          <w:rFonts w:ascii="Times New Roman" w:eastAsia="Times New Roman" w:hAnsi="Times New Roman" w:cs="Times New Roman"/>
          <w:color w:val="000000"/>
          <w:sz w:val="20"/>
          <w:szCs w:val="20"/>
          <w:lang w:eastAsia="es-CL"/>
        </w:rPr>
        <w:t xml:space="preserve">iolencia intrafamiliar e Infancia, Derechos humanos y crisis carcelaria por Covid-19, Ley N° 21.120 de identidad de género, Problemas jurídicos asociados a la expulsión de migrantes, Personas refugiadas, su estatuto y derechos en Chile y la región, El papel de las juezas y jueces en la garantía de los Derechos Humanos, Acoso sexual laboral, Delitos asociados al tráfico ilícito de Migrantes, e Hitos jurisprudenciales de la jurisdicción civil alemana en materia de Derechos Humanos. </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Durante el año 2019, la Academia Judicial había tomado la decisión de potenciar su oferta de cursos en línea. Para ello, se estableció que el inicio de todo este proceso, sería la elaboración de un </w:t>
      </w:r>
      <w:r w:rsidRPr="006E0B8F">
        <w:rPr>
          <w:rFonts w:ascii="Times New Roman" w:eastAsia="Times New Roman" w:hAnsi="Times New Roman" w:cs="Times New Roman"/>
          <w:b/>
          <w:color w:val="000000"/>
          <w:sz w:val="20"/>
          <w:szCs w:val="20"/>
          <w:u w:val="single"/>
          <w:lang w:eastAsia="es-CL"/>
        </w:rPr>
        <w:t>material docente</w:t>
      </w:r>
      <w:r w:rsidRPr="006E0B8F">
        <w:rPr>
          <w:rFonts w:ascii="Times New Roman" w:eastAsia="Times New Roman" w:hAnsi="Times New Roman" w:cs="Times New Roman"/>
          <w:color w:val="000000"/>
          <w:sz w:val="20"/>
          <w:szCs w:val="20"/>
          <w:lang w:eastAsia="es-CL"/>
        </w:rPr>
        <w:t xml:space="preserve"> el que, para estos efectos, se definió como el texto en formato digital que es utilizado como base para la elaboración de videos, audios, presentaciones, cápsulas informativas, en forma separada, o bien servir de base para el desarrollo de guiones instruccionales que den lugar a cursos en línea. Específicamente en el tema de género, igualdad y no discriminación, se abordaron directamente dichas temáticas en los siguientes materiales docentes: 1. Curso sobre estándares internacionales en materia de orientación sexual e identidad de género: el caso </w:t>
      </w:r>
      <w:proofErr w:type="spellStart"/>
      <w:r w:rsidRPr="006E0B8F">
        <w:rPr>
          <w:rFonts w:ascii="Times New Roman" w:eastAsia="Times New Roman" w:hAnsi="Times New Roman" w:cs="Times New Roman"/>
          <w:color w:val="000000"/>
          <w:sz w:val="20"/>
          <w:szCs w:val="20"/>
          <w:lang w:eastAsia="es-CL"/>
        </w:rPr>
        <w:t>Atala</w:t>
      </w:r>
      <w:proofErr w:type="spellEnd"/>
      <w:r w:rsidRPr="006E0B8F">
        <w:rPr>
          <w:rFonts w:ascii="Times New Roman" w:eastAsia="Times New Roman" w:hAnsi="Times New Roman" w:cs="Times New Roman"/>
          <w:color w:val="000000"/>
          <w:sz w:val="20"/>
          <w:szCs w:val="20"/>
          <w:lang w:eastAsia="es-CL"/>
        </w:rPr>
        <w:t xml:space="preserve"> y 2. Derechos sexuales y reproductivos.</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Finalmente, durante los años 2019 y 2920 se efectuaron homologaciones de actividades de perfeccionamiento en materia de Derechos Humanos, y algunos específicamente en género, igualdad y no discriminación, organizadas por instituciones distintas a la Academia Judicial.</w:t>
      </w: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3"/>
        </w:numPr>
        <w:contextualSpacing w:val="0"/>
        <w:jc w:val="both"/>
        <w:rPr>
          <w:rFonts w:ascii="Times New Roman" w:eastAsia="Times New Roman" w:hAnsi="Times New Roman" w:cs="Times New Roman"/>
          <w:b/>
          <w:color w:val="000000"/>
          <w:sz w:val="20"/>
          <w:szCs w:val="20"/>
          <w:lang w:eastAsia="es-CL"/>
        </w:rPr>
      </w:pPr>
      <w:r w:rsidRPr="006E0B8F">
        <w:rPr>
          <w:rFonts w:ascii="Times New Roman" w:eastAsia="Times New Roman" w:hAnsi="Times New Roman" w:cs="Times New Roman"/>
          <w:b/>
          <w:color w:val="000000"/>
          <w:sz w:val="20"/>
          <w:szCs w:val="20"/>
          <w:lang w:eastAsia="es-CL"/>
        </w:rPr>
        <w:t>Secretaría Técnica de Igualdad de Género y No Discriminación de la Corte Suprema (STG)</w:t>
      </w:r>
    </w:p>
    <w:p w:rsidR="0058775A" w:rsidRPr="006E0B8F" w:rsidRDefault="0058775A" w:rsidP="0058775A">
      <w:pPr>
        <w:pStyle w:val="ListParagraph"/>
        <w:contextualSpacing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La STG durante el 2020 </w:t>
      </w:r>
      <w:r w:rsidRPr="006E0B8F">
        <w:rPr>
          <w:rFonts w:ascii="Times New Roman" w:eastAsia="Times New Roman" w:hAnsi="Times New Roman" w:cs="Times New Roman"/>
          <w:b/>
          <w:color w:val="000000"/>
          <w:sz w:val="20"/>
          <w:szCs w:val="20"/>
          <w:u w:val="single"/>
          <w:lang w:eastAsia="es-CL"/>
        </w:rPr>
        <w:t>continuó trabajando junto a la Academia Judicial</w:t>
      </w:r>
      <w:r w:rsidRPr="006E0B8F">
        <w:rPr>
          <w:rFonts w:ascii="Times New Roman" w:eastAsia="Times New Roman" w:hAnsi="Times New Roman" w:cs="Times New Roman"/>
          <w:color w:val="000000"/>
          <w:sz w:val="20"/>
          <w:szCs w:val="20"/>
          <w:lang w:eastAsia="es-CL"/>
        </w:rPr>
        <w:t>, realizando actividades como: cursos para el programa de Perfeccionamiento en modalidad e-</w:t>
      </w:r>
      <w:proofErr w:type="spellStart"/>
      <w:r w:rsidRPr="006E0B8F">
        <w:rPr>
          <w:rFonts w:ascii="Times New Roman" w:eastAsia="Times New Roman" w:hAnsi="Times New Roman" w:cs="Times New Roman"/>
          <w:color w:val="000000"/>
          <w:sz w:val="20"/>
          <w:szCs w:val="20"/>
          <w:lang w:eastAsia="es-CL"/>
        </w:rPr>
        <w:t>learning</w:t>
      </w:r>
      <w:proofErr w:type="spellEnd"/>
      <w:r w:rsidRPr="006E0B8F">
        <w:rPr>
          <w:rFonts w:ascii="Times New Roman" w:eastAsia="Times New Roman" w:hAnsi="Times New Roman" w:cs="Times New Roman"/>
          <w:color w:val="000000"/>
          <w:sz w:val="20"/>
          <w:szCs w:val="20"/>
          <w:lang w:eastAsia="es-CL"/>
        </w:rPr>
        <w:t>, y participación de la charla en línea “Contingencia y Justicia: algunos temas para la reflexión”, específicamente en materia de la Ley N° 21.120 que reconoce y da protección al derecho a la identidad de género, y, en materia de “Acoso Sexual”. Finalmente, junto a la Academia, la STG realizó el Taller “</w:t>
      </w:r>
      <w:proofErr w:type="spellStart"/>
      <w:r w:rsidRPr="006E0B8F">
        <w:rPr>
          <w:rFonts w:ascii="Times New Roman" w:eastAsia="Times New Roman" w:hAnsi="Times New Roman" w:cs="Times New Roman"/>
          <w:color w:val="000000"/>
          <w:sz w:val="20"/>
          <w:szCs w:val="20"/>
          <w:lang w:eastAsia="es-CL"/>
        </w:rPr>
        <w:t>Transversalización</w:t>
      </w:r>
      <w:proofErr w:type="spellEnd"/>
      <w:r w:rsidRPr="006E0B8F">
        <w:rPr>
          <w:rFonts w:ascii="Times New Roman" w:eastAsia="Times New Roman" w:hAnsi="Times New Roman" w:cs="Times New Roman"/>
          <w:color w:val="000000"/>
          <w:sz w:val="20"/>
          <w:szCs w:val="20"/>
          <w:lang w:eastAsia="es-CL"/>
        </w:rPr>
        <w:t xml:space="preserve"> de género” en el marco del Plan en materia de igualdad y no discriminación por razón de género aprobado por la Academia Judicial. </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Participación de integrantes del Poder Judicial en el curso de</w:t>
      </w:r>
      <w:r w:rsidRPr="006E0B8F">
        <w:rPr>
          <w:rFonts w:ascii="Times New Roman" w:eastAsia="Times New Roman" w:hAnsi="Times New Roman" w:cs="Times New Roman"/>
          <w:b/>
          <w:color w:val="000000"/>
          <w:sz w:val="20"/>
          <w:szCs w:val="20"/>
          <w:lang w:eastAsia="es-CL"/>
        </w:rPr>
        <w:t xml:space="preserve"> </w:t>
      </w:r>
      <w:r w:rsidRPr="006E0B8F">
        <w:rPr>
          <w:rFonts w:ascii="Times New Roman" w:eastAsia="Times New Roman" w:hAnsi="Times New Roman" w:cs="Times New Roman"/>
          <w:b/>
          <w:color w:val="000000"/>
          <w:sz w:val="20"/>
          <w:szCs w:val="20"/>
          <w:u w:val="single"/>
          <w:lang w:eastAsia="es-CL"/>
        </w:rPr>
        <w:t>Capacitación E-</w:t>
      </w:r>
      <w:proofErr w:type="spellStart"/>
      <w:r w:rsidRPr="006E0B8F">
        <w:rPr>
          <w:rFonts w:ascii="Times New Roman" w:eastAsia="Times New Roman" w:hAnsi="Times New Roman" w:cs="Times New Roman"/>
          <w:b/>
          <w:color w:val="000000"/>
          <w:sz w:val="20"/>
          <w:szCs w:val="20"/>
          <w:u w:val="single"/>
          <w:lang w:eastAsia="es-CL"/>
        </w:rPr>
        <w:t>Learning</w:t>
      </w:r>
      <w:proofErr w:type="spellEnd"/>
      <w:r w:rsidRPr="006E0B8F">
        <w:rPr>
          <w:rFonts w:ascii="Times New Roman" w:eastAsia="Times New Roman" w:hAnsi="Times New Roman" w:cs="Times New Roman"/>
          <w:b/>
          <w:color w:val="000000"/>
          <w:sz w:val="20"/>
          <w:szCs w:val="20"/>
          <w:u w:val="single"/>
          <w:lang w:eastAsia="es-CL"/>
        </w:rPr>
        <w:t xml:space="preserve"> “Herramientas para el abordaje de la violencia contra las Mujeres”,</w:t>
      </w:r>
      <w:r w:rsidRPr="006E0B8F">
        <w:rPr>
          <w:rFonts w:ascii="Times New Roman" w:eastAsia="Times New Roman" w:hAnsi="Times New Roman" w:cs="Times New Roman"/>
          <w:color w:val="000000"/>
          <w:sz w:val="20"/>
          <w:szCs w:val="20"/>
          <w:lang w:eastAsia="es-CL"/>
        </w:rPr>
        <w:t xml:space="preserve"> impartido por la Universidad de Concepción, en conjunto con el Servicio Nacional de la Mujer y la Equidad de Género.</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el marco de la implementación de la Ley N° 21.120, que reconoce y da protección al derecho a la identidad de género, la STG elaboró el documento titulado </w:t>
      </w:r>
      <w:r w:rsidRPr="006E0B8F">
        <w:rPr>
          <w:rFonts w:ascii="Times New Roman" w:eastAsia="Times New Roman" w:hAnsi="Times New Roman" w:cs="Times New Roman"/>
          <w:b/>
          <w:color w:val="000000"/>
          <w:sz w:val="20"/>
          <w:szCs w:val="20"/>
          <w:u w:val="single"/>
          <w:lang w:eastAsia="es-CL"/>
        </w:rPr>
        <w:t>“Guía para garantizar el ejercicio del derecho a la identidad de género de personas usuarias e integrantes del Poder Judicial”</w:t>
      </w:r>
      <w:r w:rsidRPr="006E0B8F">
        <w:rPr>
          <w:rFonts w:ascii="Times New Roman" w:eastAsia="Times New Roman" w:hAnsi="Times New Roman" w:cs="Times New Roman"/>
          <w:color w:val="000000"/>
          <w:sz w:val="20"/>
          <w:szCs w:val="20"/>
          <w:lang w:eastAsia="es-CL"/>
        </w:rPr>
        <w:t xml:space="preserve"> el cual explica los principales contenidos de la normativa, presenta algunos documentos y los principales estándares internacionales.</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Con el propósito de continuar desarrollando herramientas de sensibilización y capacitación a las personas integrantes del Poder Judicial, se contrató el diseño instruccional, montaje y prueba de </w:t>
      </w:r>
      <w:r w:rsidRPr="006E0B8F">
        <w:rPr>
          <w:rFonts w:ascii="Times New Roman" w:eastAsia="Times New Roman" w:hAnsi="Times New Roman" w:cs="Times New Roman"/>
          <w:b/>
          <w:color w:val="000000"/>
          <w:sz w:val="20"/>
          <w:szCs w:val="20"/>
          <w:u w:val="single"/>
          <w:lang w:eastAsia="es-CL"/>
        </w:rPr>
        <w:t>dos cursos en línea</w:t>
      </w:r>
      <w:r w:rsidRPr="006E0B8F">
        <w:rPr>
          <w:rFonts w:ascii="Times New Roman" w:eastAsia="Times New Roman" w:hAnsi="Times New Roman" w:cs="Times New Roman"/>
          <w:color w:val="000000"/>
          <w:sz w:val="20"/>
          <w:szCs w:val="20"/>
          <w:lang w:eastAsia="es-CL"/>
        </w:rPr>
        <w:t xml:space="preserve">: “Buenas Prácticas para incorporar la Perspectiva de Género en las sentencias” y, Curso “Ley 21.120 que reconoce y da protección al derecho a la identidad de género”. </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diciembre de 2020 se creó una </w:t>
      </w:r>
      <w:r w:rsidRPr="006E0B8F">
        <w:rPr>
          <w:rFonts w:ascii="Times New Roman" w:eastAsia="Times New Roman" w:hAnsi="Times New Roman" w:cs="Times New Roman"/>
          <w:b/>
          <w:color w:val="000000"/>
          <w:sz w:val="20"/>
          <w:szCs w:val="20"/>
          <w:u w:val="single"/>
          <w:lang w:eastAsia="es-CL"/>
        </w:rPr>
        <w:t>nueva categoría en la plataforma de estudios virtuales</w:t>
      </w:r>
      <w:r w:rsidRPr="006E0B8F">
        <w:rPr>
          <w:rFonts w:ascii="Times New Roman" w:eastAsia="Times New Roman" w:hAnsi="Times New Roman" w:cs="Times New Roman"/>
          <w:color w:val="000000"/>
          <w:sz w:val="20"/>
          <w:szCs w:val="20"/>
          <w:lang w:eastAsia="es-CL"/>
        </w:rPr>
        <w:t xml:space="preserve"> de la Corporación Administrativa del Poder Judicial titulada “Género y No Discriminación”. En ella se encuentran disponibles tres cursos: i) Sensibilización de Género: conceptos básicos que nos permitan reflexionar sobre la igualdad entre las mujeres y los hombres en distintos ámbitos, ii) Violencia de género y acoso sexual: relaciones humanas cada vez más respetuosas y equitativas y, iii) Curso Ley N° 21.120 que reconoce y da protección al derecho a la identidad de género.</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Finalmente, en 2020 fue elaborado el proyecto de una serie de publicaciones denominada </w:t>
      </w:r>
      <w:r w:rsidRPr="006E0B8F">
        <w:rPr>
          <w:rFonts w:ascii="Times New Roman" w:eastAsia="Times New Roman" w:hAnsi="Times New Roman" w:cs="Times New Roman"/>
          <w:b/>
          <w:color w:val="000000"/>
          <w:sz w:val="20"/>
          <w:szCs w:val="20"/>
          <w:u w:val="single"/>
          <w:lang w:eastAsia="es-CL"/>
        </w:rPr>
        <w:t>“Justicia con perspectiva de género”</w:t>
      </w:r>
      <w:r w:rsidRPr="006E0B8F">
        <w:rPr>
          <w:rFonts w:ascii="Times New Roman" w:eastAsia="Times New Roman" w:hAnsi="Times New Roman" w:cs="Times New Roman"/>
          <w:color w:val="000000"/>
          <w:sz w:val="20"/>
          <w:szCs w:val="20"/>
          <w:lang w:eastAsia="es-CL"/>
        </w:rPr>
        <w:t>, que tiene por objetivo promover la reflexión y análisis sobre la incorporación de la perspectiva de género y derechos humanos en la administración de justicia.</w:t>
      </w:r>
    </w:p>
    <w:p w:rsidR="0058775A" w:rsidRPr="006E0B8F" w:rsidRDefault="0058775A" w:rsidP="0058775A">
      <w:pPr>
        <w:jc w:val="both"/>
        <w:rPr>
          <w:rFonts w:ascii="Times New Roman" w:hAnsi="Times New Roman" w:cs="Times New Roman"/>
          <w:sz w:val="20"/>
          <w:szCs w:val="20"/>
        </w:rPr>
      </w:pPr>
    </w:p>
    <w:p w:rsidR="0058775A" w:rsidRPr="006E0B8F" w:rsidRDefault="0058775A" w:rsidP="0058775A">
      <w:pPr>
        <w:jc w:val="both"/>
        <w:rPr>
          <w:rFonts w:ascii="Times New Roman" w:hAnsi="Times New Roman" w:cs="Times New Roman"/>
          <w:sz w:val="20"/>
          <w:szCs w:val="20"/>
        </w:rPr>
      </w:pPr>
    </w:p>
    <w:p w:rsidR="0058775A" w:rsidRPr="006E0B8F" w:rsidRDefault="0058775A" w:rsidP="0058775A">
      <w:pPr>
        <w:jc w:val="both"/>
        <w:rPr>
          <w:rFonts w:ascii="Times New Roman" w:hAnsi="Times New Roman" w:cs="Times New Roman"/>
          <w:sz w:val="20"/>
          <w:szCs w:val="20"/>
        </w:rPr>
      </w:pPr>
    </w:p>
    <w:p w:rsidR="0058775A" w:rsidRPr="006E0B8F" w:rsidRDefault="0058775A" w:rsidP="0058775A">
      <w:pPr>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Respecto a las capacitaciones y actividades de sensibilización en materia de género al interior del Poder Judicial durante los años 2019 y 2020, tanto en la Academia Judicial como la Secretaría Técnica de Igualdad de Género y No Discriminación efectuaron una serie de actividades ya descritas. A continuación, se especificará el número de asistentes a cada una de dichas actividades:</w:t>
      </w: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jc w:val="both"/>
        <w:rPr>
          <w:rFonts w:ascii="Times New Roman" w:eastAsia="Times New Roman" w:hAnsi="Times New Roman" w:cs="Times New Roman"/>
          <w:b/>
          <w:color w:val="000000"/>
          <w:sz w:val="20"/>
          <w:szCs w:val="20"/>
          <w:lang w:eastAsia="es-CL"/>
        </w:rPr>
      </w:pPr>
    </w:p>
    <w:p w:rsidR="0058775A" w:rsidRPr="006E0B8F" w:rsidRDefault="0058775A" w:rsidP="0058775A">
      <w:pPr>
        <w:pStyle w:val="ListParagraph"/>
        <w:numPr>
          <w:ilvl w:val="0"/>
          <w:numId w:val="5"/>
        </w:numPr>
        <w:jc w:val="both"/>
        <w:rPr>
          <w:rFonts w:ascii="Times New Roman" w:eastAsia="Times New Roman" w:hAnsi="Times New Roman" w:cs="Times New Roman"/>
          <w:b/>
          <w:color w:val="000000"/>
          <w:sz w:val="20"/>
          <w:szCs w:val="20"/>
          <w:lang w:eastAsia="es-CL"/>
        </w:rPr>
      </w:pPr>
      <w:r w:rsidRPr="006E0B8F">
        <w:rPr>
          <w:rFonts w:ascii="Times New Roman" w:eastAsia="Times New Roman" w:hAnsi="Times New Roman" w:cs="Times New Roman"/>
          <w:b/>
          <w:color w:val="000000"/>
          <w:sz w:val="20"/>
          <w:szCs w:val="20"/>
          <w:lang w:eastAsia="es-CL"/>
        </w:rPr>
        <w:t>Academia Judicial:</w:t>
      </w:r>
    </w:p>
    <w:p w:rsidR="0058775A" w:rsidRPr="006E0B8F" w:rsidRDefault="0058775A" w:rsidP="0058775A">
      <w:pPr>
        <w:jc w:val="both"/>
        <w:rPr>
          <w:rFonts w:ascii="Times New Roman" w:eastAsia="Times New Roman" w:hAnsi="Times New Roman" w:cs="Times New Roman"/>
          <w:b/>
          <w:color w:val="000000"/>
          <w:sz w:val="20"/>
          <w:szCs w:val="20"/>
          <w:lang w:eastAsia="es-CL"/>
        </w:rPr>
      </w:pPr>
    </w:p>
    <w:p w:rsidR="0058775A" w:rsidRPr="006E0B8F" w:rsidRDefault="0058775A" w:rsidP="0058775A">
      <w:pPr>
        <w:pStyle w:val="ListParagraph"/>
        <w:numPr>
          <w:ilvl w:val="0"/>
          <w:numId w:val="6"/>
        </w:numPr>
        <w:jc w:val="both"/>
        <w:rPr>
          <w:rFonts w:ascii="Times New Roman" w:eastAsia="Times New Roman" w:hAnsi="Times New Roman" w:cs="Times New Roman"/>
          <w:b/>
          <w:color w:val="000000"/>
          <w:sz w:val="20"/>
          <w:szCs w:val="20"/>
          <w:lang w:eastAsia="es-CL"/>
        </w:rPr>
      </w:pPr>
      <w:r w:rsidRPr="006E0B8F">
        <w:rPr>
          <w:rFonts w:ascii="Times New Roman" w:eastAsia="Times New Roman" w:hAnsi="Times New Roman" w:cs="Times New Roman"/>
          <w:b/>
          <w:color w:val="000000"/>
          <w:sz w:val="20"/>
          <w:szCs w:val="20"/>
          <w:lang w:eastAsia="es-CL"/>
        </w:rPr>
        <w:t>Programa de perfeccionamiento.</w:t>
      </w:r>
      <w:r w:rsidRPr="006E0B8F">
        <w:rPr>
          <w:rFonts w:ascii="Times New Roman" w:eastAsia="Times New Roman" w:hAnsi="Times New Roman" w:cs="Times New Roman"/>
          <w:color w:val="000000"/>
          <w:sz w:val="20"/>
          <w:szCs w:val="20"/>
          <w:lang w:eastAsia="es-CL"/>
        </w:rPr>
        <w:t xml:space="preserve"> A continuación, se presentan los cursos en materia de género, igualdad y no discriminación dictados por la Academia Judicial durante 2019 y 2020, con las respectivas cifras de funcionarios judiciales capacitados:</w:t>
      </w: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Principio</w:t>
      </w:r>
      <w:r w:rsidRPr="006E0B8F">
        <w:rPr>
          <w:rFonts w:ascii="Times New Roman" w:hAnsi="Times New Roman" w:cs="Times New Roman"/>
          <w:b/>
          <w:bCs/>
          <w:sz w:val="20"/>
          <w:szCs w:val="20"/>
          <w:lang w:eastAsia="es-CL"/>
        </w:rPr>
        <w:t xml:space="preserve"> </w:t>
      </w:r>
      <w:r w:rsidRPr="006E0B8F">
        <w:rPr>
          <w:rFonts w:ascii="Times New Roman" w:eastAsia="Times New Roman" w:hAnsi="Times New Roman" w:cs="Times New Roman"/>
          <w:color w:val="000000"/>
          <w:sz w:val="20"/>
          <w:szCs w:val="20"/>
          <w:lang w:eastAsia="es-CL"/>
        </w:rPr>
        <w:t>de igualdad y prohibición de toda forma de discriminación</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632"/>
        <w:gridCol w:w="685"/>
        <w:gridCol w:w="1153"/>
      </w:tblGrid>
      <w:tr w:rsidR="0058775A" w:rsidRPr="006E0B8F" w:rsidTr="0058775A">
        <w:trPr>
          <w:trHeight w:val="243"/>
          <w:jc w:val="center"/>
        </w:trPr>
        <w:tc>
          <w:tcPr>
            <w:tcW w:w="16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685"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5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43"/>
          <w:jc w:val="center"/>
        </w:trPr>
        <w:tc>
          <w:tcPr>
            <w:tcW w:w="16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685"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21</w:t>
            </w:r>
          </w:p>
        </w:tc>
        <w:tc>
          <w:tcPr>
            <w:tcW w:w="1153"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43"/>
          <w:jc w:val="center"/>
        </w:trPr>
        <w:tc>
          <w:tcPr>
            <w:tcW w:w="16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685"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14</w:t>
            </w:r>
          </w:p>
        </w:tc>
        <w:tc>
          <w:tcPr>
            <w:tcW w:w="1153"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43"/>
          <w:jc w:val="center"/>
        </w:trPr>
        <w:tc>
          <w:tcPr>
            <w:tcW w:w="16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685"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7</w:t>
            </w:r>
          </w:p>
        </w:tc>
        <w:tc>
          <w:tcPr>
            <w:tcW w:w="1153"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Principio de igualdad</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738"/>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76</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39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37</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Curso básico sobre cuestiones de género y sexualidad</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581"/>
        <w:gridCol w:w="1149"/>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49"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75</w:t>
            </w:r>
          </w:p>
        </w:tc>
        <w:tc>
          <w:tcPr>
            <w:tcW w:w="1149"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49</w:t>
            </w:r>
          </w:p>
        </w:tc>
        <w:tc>
          <w:tcPr>
            <w:tcW w:w="1149"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26</w:t>
            </w:r>
          </w:p>
        </w:tc>
        <w:tc>
          <w:tcPr>
            <w:tcW w:w="1149"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Debido proceso</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663"/>
        <w:gridCol w:w="698"/>
        <w:gridCol w:w="1175"/>
      </w:tblGrid>
      <w:tr w:rsidR="0058775A" w:rsidRPr="006E0B8F" w:rsidTr="0058775A">
        <w:trPr>
          <w:trHeight w:val="240"/>
          <w:jc w:val="center"/>
        </w:trPr>
        <w:tc>
          <w:tcPr>
            <w:tcW w:w="166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69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75"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40"/>
          <w:jc w:val="center"/>
        </w:trPr>
        <w:tc>
          <w:tcPr>
            <w:tcW w:w="166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69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26</w:t>
            </w:r>
          </w:p>
        </w:tc>
        <w:tc>
          <w:tcPr>
            <w:tcW w:w="1175"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40"/>
          <w:jc w:val="center"/>
        </w:trPr>
        <w:tc>
          <w:tcPr>
            <w:tcW w:w="166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69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15</w:t>
            </w:r>
          </w:p>
        </w:tc>
        <w:tc>
          <w:tcPr>
            <w:tcW w:w="1175"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40"/>
          <w:jc w:val="center"/>
        </w:trPr>
        <w:tc>
          <w:tcPr>
            <w:tcW w:w="166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69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11</w:t>
            </w:r>
          </w:p>
        </w:tc>
        <w:tc>
          <w:tcPr>
            <w:tcW w:w="1175"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Debido proceso en materia penal </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581"/>
        <w:gridCol w:w="1291"/>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29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25</w:t>
            </w:r>
          </w:p>
        </w:tc>
        <w:tc>
          <w:tcPr>
            <w:tcW w:w="1291"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13</w:t>
            </w:r>
          </w:p>
        </w:tc>
        <w:tc>
          <w:tcPr>
            <w:tcW w:w="1291"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12</w:t>
            </w:r>
          </w:p>
        </w:tc>
        <w:tc>
          <w:tcPr>
            <w:tcW w:w="1291"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Convención contra la tortura y otros tratos o penas crueles inhumanos degradantes</w:t>
      </w:r>
    </w:p>
    <w:tbl>
      <w:tblPr>
        <w:tblStyle w:val="TableGrid"/>
        <w:tblW w:w="0" w:type="auto"/>
        <w:jc w:val="center"/>
        <w:tblLayout w:type="fixed"/>
        <w:tblLook w:val="04A0" w:firstRow="1" w:lastRow="0" w:firstColumn="1" w:lastColumn="0" w:noHBand="0" w:noVBand="1"/>
      </w:tblPr>
      <w:tblGrid>
        <w:gridCol w:w="1733"/>
        <w:gridCol w:w="727"/>
        <w:gridCol w:w="1224"/>
      </w:tblGrid>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2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19</w:t>
            </w:r>
          </w:p>
        </w:tc>
        <w:tc>
          <w:tcPr>
            <w:tcW w:w="1224"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w:t>
            </w:r>
          </w:p>
        </w:tc>
        <w:tc>
          <w:tcPr>
            <w:tcW w:w="122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11</w:t>
            </w:r>
          </w:p>
        </w:tc>
        <w:tc>
          <w:tcPr>
            <w:tcW w:w="122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Obligaciones del Estado de Chile en virtud de convenciones internacionales</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679"/>
        <w:gridCol w:w="704"/>
        <w:gridCol w:w="1186"/>
      </w:tblGrid>
      <w:tr w:rsidR="0058775A" w:rsidRPr="006E0B8F" w:rsidTr="0058775A">
        <w:trPr>
          <w:trHeight w:val="233"/>
          <w:jc w:val="center"/>
        </w:trPr>
        <w:tc>
          <w:tcPr>
            <w:tcW w:w="1679"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86"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33"/>
          <w:jc w:val="center"/>
        </w:trPr>
        <w:tc>
          <w:tcPr>
            <w:tcW w:w="1679"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13</w:t>
            </w:r>
          </w:p>
        </w:tc>
        <w:tc>
          <w:tcPr>
            <w:tcW w:w="1186"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33"/>
          <w:jc w:val="center"/>
        </w:trPr>
        <w:tc>
          <w:tcPr>
            <w:tcW w:w="1679"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6</w:t>
            </w:r>
          </w:p>
        </w:tc>
        <w:tc>
          <w:tcPr>
            <w:tcW w:w="1186"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33"/>
          <w:jc w:val="center"/>
        </w:trPr>
        <w:tc>
          <w:tcPr>
            <w:tcW w:w="1679"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w:t>
            </w:r>
          </w:p>
        </w:tc>
        <w:tc>
          <w:tcPr>
            <w:tcW w:w="1186"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Sistema interamericano de protección de derechos y control de convencionalidad</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733"/>
        <w:gridCol w:w="727"/>
        <w:gridCol w:w="1224"/>
      </w:tblGrid>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2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21</w:t>
            </w:r>
          </w:p>
        </w:tc>
        <w:tc>
          <w:tcPr>
            <w:tcW w:w="1224"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7</w:t>
            </w:r>
          </w:p>
        </w:tc>
        <w:tc>
          <w:tcPr>
            <w:tcW w:w="122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22"/>
          <w:jc w:val="center"/>
        </w:trPr>
        <w:tc>
          <w:tcPr>
            <w:tcW w:w="1733"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2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14</w:t>
            </w:r>
          </w:p>
        </w:tc>
        <w:tc>
          <w:tcPr>
            <w:tcW w:w="122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Acoso y discriminación laboral</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624"/>
        <w:gridCol w:w="682"/>
        <w:gridCol w:w="1148"/>
      </w:tblGrid>
      <w:tr w:rsidR="0058775A" w:rsidRPr="006E0B8F" w:rsidTr="0058775A">
        <w:trPr>
          <w:trHeight w:val="246"/>
          <w:jc w:val="center"/>
        </w:trPr>
        <w:tc>
          <w:tcPr>
            <w:tcW w:w="16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68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4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46"/>
          <w:jc w:val="center"/>
        </w:trPr>
        <w:tc>
          <w:tcPr>
            <w:tcW w:w="16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68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26</w:t>
            </w:r>
          </w:p>
        </w:tc>
        <w:tc>
          <w:tcPr>
            <w:tcW w:w="1148"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46"/>
          <w:jc w:val="center"/>
        </w:trPr>
        <w:tc>
          <w:tcPr>
            <w:tcW w:w="16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68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18</w:t>
            </w:r>
          </w:p>
        </w:tc>
        <w:tc>
          <w:tcPr>
            <w:tcW w:w="1148"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46"/>
          <w:jc w:val="center"/>
        </w:trPr>
        <w:tc>
          <w:tcPr>
            <w:tcW w:w="16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68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w:t>
            </w:r>
          </w:p>
        </w:tc>
        <w:tc>
          <w:tcPr>
            <w:tcW w:w="1148"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Sistema universal de protección de los derechos humanos</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647"/>
        <w:gridCol w:w="691"/>
        <w:gridCol w:w="1164"/>
      </w:tblGrid>
      <w:tr w:rsidR="0058775A" w:rsidRPr="006E0B8F" w:rsidTr="0058775A">
        <w:trPr>
          <w:trHeight w:val="246"/>
          <w:jc w:val="center"/>
        </w:trPr>
        <w:tc>
          <w:tcPr>
            <w:tcW w:w="164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69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6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46"/>
          <w:jc w:val="center"/>
        </w:trPr>
        <w:tc>
          <w:tcPr>
            <w:tcW w:w="164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69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28</w:t>
            </w:r>
          </w:p>
        </w:tc>
        <w:tc>
          <w:tcPr>
            <w:tcW w:w="1164"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46"/>
          <w:jc w:val="center"/>
        </w:trPr>
        <w:tc>
          <w:tcPr>
            <w:tcW w:w="164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69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21</w:t>
            </w:r>
          </w:p>
        </w:tc>
        <w:tc>
          <w:tcPr>
            <w:tcW w:w="116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46"/>
          <w:jc w:val="center"/>
        </w:trPr>
        <w:tc>
          <w:tcPr>
            <w:tcW w:w="1647"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69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7</w:t>
            </w:r>
          </w:p>
        </w:tc>
        <w:tc>
          <w:tcPr>
            <w:tcW w:w="116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Derechos económicos, sociales y culturales</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678"/>
        <w:gridCol w:w="704"/>
        <w:gridCol w:w="1185"/>
      </w:tblGrid>
      <w:tr w:rsidR="0058775A" w:rsidRPr="006E0B8F" w:rsidTr="0058775A">
        <w:trPr>
          <w:trHeight w:val="260"/>
          <w:jc w:val="center"/>
        </w:trPr>
        <w:tc>
          <w:tcPr>
            <w:tcW w:w="167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185"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60"/>
          <w:jc w:val="center"/>
        </w:trPr>
        <w:tc>
          <w:tcPr>
            <w:tcW w:w="167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86</w:t>
            </w:r>
          </w:p>
        </w:tc>
        <w:tc>
          <w:tcPr>
            <w:tcW w:w="1185"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60"/>
          <w:jc w:val="center"/>
        </w:trPr>
        <w:tc>
          <w:tcPr>
            <w:tcW w:w="167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40</w:t>
            </w:r>
          </w:p>
        </w:tc>
        <w:tc>
          <w:tcPr>
            <w:tcW w:w="1185"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60"/>
          <w:jc w:val="center"/>
        </w:trPr>
        <w:tc>
          <w:tcPr>
            <w:tcW w:w="167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46</w:t>
            </w:r>
          </w:p>
        </w:tc>
        <w:tc>
          <w:tcPr>
            <w:tcW w:w="1185"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Análisis jurídico y prácticas judiciales en relación a los migrantes, el tráfico y trata de personas en Chile</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732"/>
        <w:gridCol w:w="726"/>
        <w:gridCol w:w="1224"/>
      </w:tblGrid>
      <w:tr w:rsidR="0058775A" w:rsidRPr="006E0B8F" w:rsidTr="0058775A">
        <w:trPr>
          <w:trHeight w:val="258"/>
          <w:jc w:val="center"/>
        </w:trPr>
        <w:tc>
          <w:tcPr>
            <w:tcW w:w="17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26"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22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w:t>
            </w:r>
          </w:p>
        </w:tc>
      </w:tr>
      <w:tr w:rsidR="0058775A" w:rsidRPr="006E0B8F" w:rsidTr="0058775A">
        <w:trPr>
          <w:trHeight w:val="258"/>
          <w:jc w:val="center"/>
        </w:trPr>
        <w:tc>
          <w:tcPr>
            <w:tcW w:w="17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26"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29</w:t>
            </w:r>
          </w:p>
        </w:tc>
        <w:tc>
          <w:tcPr>
            <w:tcW w:w="1224" w:type="dxa"/>
            <w:vMerge w:val="restart"/>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Cancelado</w:t>
            </w:r>
          </w:p>
        </w:tc>
      </w:tr>
      <w:tr w:rsidR="0058775A" w:rsidRPr="006E0B8F" w:rsidTr="0058775A">
        <w:trPr>
          <w:trHeight w:val="258"/>
          <w:jc w:val="center"/>
        </w:trPr>
        <w:tc>
          <w:tcPr>
            <w:tcW w:w="17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26"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21</w:t>
            </w:r>
          </w:p>
        </w:tc>
        <w:tc>
          <w:tcPr>
            <w:tcW w:w="122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r w:rsidR="0058775A" w:rsidRPr="006E0B8F" w:rsidTr="0058775A">
        <w:trPr>
          <w:trHeight w:val="258"/>
          <w:jc w:val="center"/>
        </w:trPr>
        <w:tc>
          <w:tcPr>
            <w:tcW w:w="1732"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26"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w:t>
            </w:r>
          </w:p>
        </w:tc>
        <w:tc>
          <w:tcPr>
            <w:tcW w:w="1224" w:type="dxa"/>
            <w:vMerge/>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Curso sobre estándares internacionales en materia de orientación sexual e identidad de género: El caso </w:t>
      </w:r>
      <w:proofErr w:type="spellStart"/>
      <w:r w:rsidRPr="006E0B8F">
        <w:rPr>
          <w:rFonts w:ascii="Times New Roman" w:eastAsia="Times New Roman" w:hAnsi="Times New Roman" w:cs="Times New Roman"/>
          <w:color w:val="000000"/>
          <w:sz w:val="20"/>
          <w:szCs w:val="20"/>
          <w:lang w:eastAsia="es-CL"/>
        </w:rPr>
        <w:t>Atala</w:t>
      </w:r>
      <w:proofErr w:type="spellEnd"/>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581"/>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17</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30</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14</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17</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3</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13</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Convención sobre los derechos de niños, niñas y adolescentes</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581"/>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22</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14</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62</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27</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Tutela de derechos fundamentales</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581"/>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18</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26</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10</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14</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581"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12</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Contexto social y estatuto de los inmigrantes en Chile</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91</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57</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34</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Derechos sexuales y reproductivos</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83</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55</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28</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Sensibilización en género</w:t>
      </w:r>
    </w:p>
    <w:p w:rsidR="0058775A" w:rsidRPr="006E0B8F" w:rsidRDefault="0058775A" w:rsidP="0058775A">
      <w:pPr>
        <w:pStyle w:val="ListParagraph"/>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91</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62</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29</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7"/>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Curso introductorio sobre violencia de género y acoso sexual</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1404"/>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2020 (en línea)</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47</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27</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140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w:t>
            </w:r>
          </w:p>
        </w:tc>
      </w:tr>
    </w:tbl>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6"/>
        </w:numPr>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b/>
          <w:color w:val="000000"/>
          <w:sz w:val="20"/>
          <w:szCs w:val="20"/>
          <w:lang w:eastAsia="es-CL"/>
        </w:rPr>
        <w:t>Programa de Formación.</w:t>
      </w:r>
      <w:r w:rsidRPr="006E0B8F">
        <w:rPr>
          <w:rFonts w:ascii="Times New Roman" w:eastAsia="Times New Roman" w:hAnsi="Times New Roman" w:cs="Times New Roman"/>
          <w:color w:val="000000"/>
          <w:sz w:val="20"/>
          <w:szCs w:val="20"/>
          <w:lang w:eastAsia="es-CL"/>
        </w:rPr>
        <w:t xml:space="preserve"> A continuación, se presentan los cursos en materia de género, igualdad y no discriminación dictados por la Academia Judicial durante 2019 y 2020, con las respectivas cifras de funcionarios judiciales capacitados:</w:t>
      </w: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8"/>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Género y Derecho/Diversidad sexual y no discriminación</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738"/>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42</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25</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17</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8"/>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Teoría de Género</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738"/>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42</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25</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17</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8"/>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Género y Derecho/Estereotipos de género</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738"/>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42</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25</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17</w:t>
            </w:r>
          </w:p>
        </w:tc>
      </w:tr>
    </w:tbl>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8"/>
        </w:num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Imparcialidad y género</w:t>
      </w:r>
    </w:p>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p>
    <w:tbl>
      <w:tblPr>
        <w:tblStyle w:val="TableGrid"/>
        <w:tblW w:w="0" w:type="auto"/>
        <w:jc w:val="center"/>
        <w:tblLayout w:type="fixed"/>
        <w:tblLook w:val="04A0" w:firstRow="1" w:lastRow="0" w:firstColumn="1" w:lastColumn="0" w:noHBand="0" w:noVBand="1"/>
      </w:tblPr>
      <w:tblGrid>
        <w:gridCol w:w="1384"/>
        <w:gridCol w:w="738"/>
      </w:tblGrid>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Año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2019</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N° de alumnos</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42</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Femenino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25</w:t>
            </w:r>
          </w:p>
        </w:tc>
      </w:tr>
      <w:tr w:rsidR="0058775A" w:rsidRPr="006E0B8F" w:rsidTr="0058775A">
        <w:trPr>
          <w:trHeight w:val="246"/>
          <w:jc w:val="center"/>
        </w:trPr>
        <w:tc>
          <w:tcPr>
            <w:tcW w:w="1384"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Masculino</w:t>
            </w:r>
          </w:p>
        </w:tc>
        <w:tc>
          <w:tcPr>
            <w:tcW w:w="738" w:type="dxa"/>
          </w:tcPr>
          <w:p w:rsidR="0058775A" w:rsidRPr="006E0B8F" w:rsidRDefault="0058775A" w:rsidP="0058775A">
            <w:pPr>
              <w:autoSpaceDE w:val="0"/>
              <w:autoSpaceDN w:val="0"/>
              <w:adjustRightInd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17</w:t>
            </w:r>
          </w:p>
        </w:tc>
      </w:tr>
    </w:tbl>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3"/>
        </w:numPr>
        <w:contextualSpacing w:val="0"/>
        <w:jc w:val="both"/>
        <w:rPr>
          <w:rFonts w:ascii="Times New Roman" w:eastAsia="Times New Roman" w:hAnsi="Times New Roman" w:cs="Times New Roman"/>
          <w:b/>
          <w:color w:val="000000"/>
          <w:sz w:val="20"/>
          <w:szCs w:val="20"/>
          <w:lang w:eastAsia="es-CL"/>
        </w:rPr>
      </w:pPr>
      <w:r w:rsidRPr="006E0B8F">
        <w:rPr>
          <w:rFonts w:ascii="Times New Roman" w:eastAsia="Times New Roman" w:hAnsi="Times New Roman" w:cs="Times New Roman"/>
          <w:b/>
          <w:color w:val="000000"/>
          <w:sz w:val="20"/>
          <w:szCs w:val="20"/>
          <w:lang w:eastAsia="es-CL"/>
        </w:rPr>
        <w:t>Secretaría Técnica de Igualdad de Género y No Discriminación (STG)</w:t>
      </w:r>
    </w:p>
    <w:p w:rsidR="0058775A" w:rsidRPr="006E0B8F" w:rsidRDefault="0058775A" w:rsidP="0058775A">
      <w:pPr>
        <w:pStyle w:val="ListParagraph"/>
        <w:contextualSpacing w:val="0"/>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4"/>
        </w:numPr>
        <w:spacing w:after="160" w:line="259" w:lineRule="auto"/>
        <w:ind w:left="5" w:firstLine="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Durante 2019 la STG</w:t>
      </w:r>
      <w:r w:rsidRPr="006E0B8F">
        <w:rPr>
          <w:rFonts w:ascii="Times New Roman" w:hAnsi="Times New Roman" w:cs="Times New Roman"/>
          <w:sz w:val="20"/>
          <w:szCs w:val="20"/>
        </w:rPr>
        <w:t xml:space="preserve"> </w:t>
      </w:r>
      <w:r w:rsidRPr="006E0B8F">
        <w:rPr>
          <w:rFonts w:ascii="Times New Roman" w:eastAsia="Times New Roman" w:hAnsi="Times New Roman" w:cs="Times New Roman"/>
          <w:color w:val="000000"/>
          <w:sz w:val="20"/>
          <w:szCs w:val="20"/>
          <w:lang w:eastAsia="es-CL"/>
        </w:rPr>
        <w:t>desarrolló dos cursos básicos sobre género y violencia de género contra las mujeres, en modalidad e-</w:t>
      </w:r>
      <w:proofErr w:type="spellStart"/>
      <w:r w:rsidRPr="006E0B8F">
        <w:rPr>
          <w:rFonts w:ascii="Times New Roman" w:eastAsia="Times New Roman" w:hAnsi="Times New Roman" w:cs="Times New Roman"/>
          <w:color w:val="000000"/>
          <w:sz w:val="20"/>
          <w:szCs w:val="20"/>
          <w:lang w:eastAsia="es-CL"/>
        </w:rPr>
        <w:t>learning</w:t>
      </w:r>
      <w:proofErr w:type="spellEnd"/>
      <w:r w:rsidRPr="006E0B8F">
        <w:rPr>
          <w:rFonts w:ascii="Times New Roman" w:eastAsia="Times New Roman" w:hAnsi="Times New Roman" w:cs="Times New Roman"/>
          <w:color w:val="000000"/>
          <w:sz w:val="20"/>
          <w:szCs w:val="20"/>
          <w:lang w:eastAsia="es-CL"/>
        </w:rPr>
        <w:t>, que fueron impartidos por la oferta del Programa de Perfeccionamiento de la Academia Judicial a partir de 2020. Los cursos se denominan: i) Sensibilización de Género ii) Violencia de Género y Acoso Sexual.</w:t>
      </w:r>
    </w:p>
    <w:p w:rsidR="0058775A" w:rsidRPr="006E0B8F" w:rsidRDefault="0058775A" w:rsidP="0058775A">
      <w:pPr>
        <w:pStyle w:val="ListParagraph"/>
        <w:numPr>
          <w:ilvl w:val="0"/>
          <w:numId w:val="4"/>
        </w:numPr>
        <w:ind w:left="5" w:firstLine="0"/>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Entre el 24 y 26 de junio de 2019, fueron formadas 33 personas integrantes del Poder Judicial pertenecientes a las jurisdicciones de las Cortes de Apelaciones de Santiago, San Miguel, Rancagua y Valparaíso, como Replicadores/as del Taller de Perspectiva de Género, Trata de Personas con fines de Explotación Sexual y Violencia Doméstica. Entre los meses de agosto y septiembre de 2019, las personas formadas, impartieron un taller acotado referido a estereotipos, roles de género y mandatos del lenguaje, en 22 unidades judiciales de </w:t>
      </w:r>
      <w:r>
        <w:rPr>
          <w:rFonts w:ascii="Times New Roman" w:eastAsia="Times New Roman" w:hAnsi="Times New Roman" w:cs="Times New Roman"/>
          <w:color w:val="000000"/>
          <w:sz w:val="20"/>
          <w:szCs w:val="20"/>
          <w:lang w:eastAsia="es-CL"/>
        </w:rPr>
        <w:t>cuatro</w:t>
      </w:r>
      <w:r w:rsidRPr="006E0B8F">
        <w:rPr>
          <w:rFonts w:ascii="Times New Roman" w:eastAsia="Times New Roman" w:hAnsi="Times New Roman" w:cs="Times New Roman"/>
          <w:color w:val="000000"/>
          <w:sz w:val="20"/>
          <w:szCs w:val="20"/>
          <w:lang w:eastAsia="es-CL"/>
        </w:rPr>
        <w:t xml:space="preserve"> jurisdicciones del país, donde</w:t>
      </w:r>
      <w:r w:rsidRPr="006E0B8F">
        <w:rPr>
          <w:rFonts w:ascii="Times New Roman" w:hAnsi="Times New Roman" w:cs="Times New Roman"/>
          <w:sz w:val="20"/>
          <w:szCs w:val="20"/>
        </w:rPr>
        <w:t xml:space="preserve"> </w:t>
      </w:r>
      <w:r w:rsidRPr="006E0B8F">
        <w:rPr>
          <w:rFonts w:ascii="Times New Roman" w:eastAsia="Times New Roman" w:hAnsi="Times New Roman" w:cs="Times New Roman"/>
          <w:color w:val="000000"/>
          <w:sz w:val="20"/>
          <w:szCs w:val="20"/>
          <w:lang w:eastAsia="es-CL"/>
        </w:rPr>
        <w:t>participaron un total de 404 integrantes del Poder Judicial, 64% mujeres y 36% hombres.</w:t>
      </w:r>
    </w:p>
    <w:p w:rsidR="0058775A" w:rsidRPr="006E0B8F" w:rsidRDefault="0058775A" w:rsidP="0058775A">
      <w:pPr>
        <w:pStyle w:val="ListParagraph"/>
        <w:numPr>
          <w:ilvl w:val="0"/>
          <w:numId w:val="4"/>
        </w:numPr>
        <w:ind w:left="5" w:firstLine="0"/>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Durante el 2019 se desarrolló la quinta versión del </w:t>
      </w:r>
      <w:r w:rsidRPr="006E0B8F">
        <w:rPr>
          <w:rFonts w:ascii="Times New Roman" w:eastAsia="Times New Roman" w:hAnsi="Times New Roman" w:cs="Times New Roman"/>
          <w:b/>
          <w:color w:val="000000"/>
          <w:sz w:val="20"/>
          <w:szCs w:val="20"/>
          <w:lang w:eastAsia="es-CL"/>
        </w:rPr>
        <w:t>Curso E-</w:t>
      </w:r>
      <w:proofErr w:type="spellStart"/>
      <w:r w:rsidRPr="006E0B8F">
        <w:rPr>
          <w:rFonts w:ascii="Times New Roman" w:eastAsia="Times New Roman" w:hAnsi="Times New Roman" w:cs="Times New Roman"/>
          <w:b/>
          <w:color w:val="000000"/>
          <w:sz w:val="20"/>
          <w:szCs w:val="20"/>
          <w:lang w:eastAsia="es-CL"/>
        </w:rPr>
        <w:t>learning</w:t>
      </w:r>
      <w:proofErr w:type="spellEnd"/>
      <w:r w:rsidRPr="006E0B8F">
        <w:rPr>
          <w:rFonts w:ascii="Times New Roman" w:eastAsia="Times New Roman" w:hAnsi="Times New Roman" w:cs="Times New Roman"/>
          <w:b/>
          <w:color w:val="000000"/>
          <w:sz w:val="20"/>
          <w:szCs w:val="20"/>
          <w:lang w:eastAsia="es-CL"/>
        </w:rPr>
        <w:t xml:space="preserve"> “Herramientas para el Abordaje de la Violencia contra las Mujeres”,</w:t>
      </w:r>
      <w:r w:rsidRPr="006E0B8F">
        <w:rPr>
          <w:rFonts w:ascii="Times New Roman" w:eastAsia="Times New Roman" w:hAnsi="Times New Roman" w:cs="Times New Roman"/>
          <w:color w:val="000000"/>
          <w:sz w:val="20"/>
          <w:szCs w:val="20"/>
          <w:lang w:eastAsia="es-CL"/>
        </w:rPr>
        <w:t xml:space="preserve"> que fue impartido por la Universidad de Concepción en colaboración con el Servicio Nacional de la Mujer y la Equidad de Género.</w:t>
      </w:r>
      <w:r w:rsidRPr="006E0B8F">
        <w:rPr>
          <w:rFonts w:ascii="Times New Roman" w:hAnsi="Times New Roman" w:cs="Times New Roman"/>
          <w:sz w:val="20"/>
          <w:szCs w:val="20"/>
        </w:rPr>
        <w:t xml:space="preserve"> </w:t>
      </w:r>
      <w:r w:rsidRPr="006E0B8F">
        <w:rPr>
          <w:rFonts w:ascii="Times New Roman" w:eastAsia="Times New Roman" w:hAnsi="Times New Roman" w:cs="Times New Roman"/>
          <w:color w:val="000000"/>
          <w:sz w:val="20"/>
          <w:szCs w:val="20"/>
          <w:lang w:eastAsia="es-CL"/>
        </w:rPr>
        <w:t>Los 40 cupos que el Poder Judicial financió para la versión del año 2019 fueron enfocados exclusivamente en integrantes del escalafón primario de las 17 Cortes de Apelaciones (39) y personas de la Corporación Administrativa (3), que con mayores probabilidades oficiarán como personas instructoras en investigaciones por denuncias de acoso sexual al interior del Poder Judicial. Se concedió una beca para 2 integrantes del Poder Judicial. Del total de 42 personas que hicieron el curso, el 60% fueron mujeres y el 40% hombres.</w:t>
      </w:r>
    </w:p>
    <w:p w:rsidR="0058775A" w:rsidRPr="006E0B8F" w:rsidRDefault="0058775A" w:rsidP="0058775A">
      <w:pPr>
        <w:pStyle w:val="ListParagraph"/>
        <w:numPr>
          <w:ilvl w:val="0"/>
          <w:numId w:val="4"/>
        </w:numPr>
        <w:ind w:left="5" w:firstLine="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b/>
          <w:color w:val="000000"/>
          <w:sz w:val="20"/>
          <w:szCs w:val="20"/>
          <w:lang w:eastAsia="es-CL"/>
        </w:rPr>
        <w:t>Taller “El rol del Poder Judicial en el abordaje de estereotipos negativos de género”, organizado en conjunto con la Oficina del Alto Comisionado de las Naciones Unidas para los Derechos Humanos (ACNUDH) y (UNFPA)</w:t>
      </w:r>
      <w:r w:rsidRPr="006E0B8F">
        <w:rPr>
          <w:rFonts w:ascii="Times New Roman" w:eastAsia="Times New Roman" w:hAnsi="Times New Roman" w:cs="Times New Roman"/>
          <w:color w:val="000000"/>
          <w:sz w:val="20"/>
          <w:szCs w:val="20"/>
          <w:lang w:eastAsia="es-CL"/>
        </w:rPr>
        <w:t>. Los días 30 y 31 de mayo de 2019 se desarrolló el taller de trabajo sobre el rol del Poder Judicial en el abordaje de estereotipos negativos de género en el cual participaron 34 jueces y juezas representantes de las distintas regiones del país. Durante la actividad se analizaron conceptos relacionados con la igualdad de género, no discriminación y estereotipos en la labor jurisdiccional.</w:t>
      </w:r>
      <w:r w:rsidRPr="006E0B8F">
        <w:rPr>
          <w:rFonts w:ascii="Times New Roman" w:hAnsi="Times New Roman" w:cs="Times New Roman"/>
          <w:sz w:val="20"/>
          <w:szCs w:val="20"/>
        </w:rPr>
        <w:t xml:space="preserve"> </w:t>
      </w:r>
      <w:r w:rsidRPr="006E0B8F">
        <w:rPr>
          <w:rFonts w:ascii="Times New Roman" w:eastAsia="Times New Roman" w:hAnsi="Times New Roman" w:cs="Times New Roman"/>
          <w:color w:val="000000"/>
          <w:sz w:val="20"/>
          <w:szCs w:val="20"/>
          <w:lang w:eastAsia="es-CL"/>
        </w:rPr>
        <w:t>Este taller se realizó con la presencia de 34 integrantes del escalafón primario de las jurisdicciones de las 17 Cortes de Apelaciones del país, donde el 74% fueron mujeres y el 26% hombres.</w:t>
      </w:r>
    </w:p>
    <w:p w:rsidR="0058775A" w:rsidRPr="006E0B8F" w:rsidRDefault="0058775A" w:rsidP="0058775A">
      <w:pPr>
        <w:pStyle w:val="ListParagraph"/>
        <w:numPr>
          <w:ilvl w:val="0"/>
          <w:numId w:val="4"/>
        </w:numPr>
        <w:ind w:left="5" w:firstLine="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Seminario “Jurisprudencia de la Corte Suprema en materia de igualdad de género, no discriminación y diversidad sexual”. A solicitud del Presidente del Comité de Comunicaciones de la Corte Suprema, en colaboración con la Dirección de Estudios de la Corte Suprema y la Dirección de Comunicaciones del Poder Judicial, la Secretaría Técnica de Igualdad de Género  y No Discriminación participó en la organización del seminario “Jurisprudencia de la Corte Suprema en materia de igualdad de género, no discriminación y diversidad sexual”, que se desarrolló el miércoles 4 de septiembre de 2019 en el Salón de Honor del Palacio de Tribunales</w:t>
      </w:r>
    </w:p>
    <w:p w:rsidR="0058775A" w:rsidRPr="006E0B8F" w:rsidRDefault="0058775A" w:rsidP="0058775A">
      <w:pPr>
        <w:pStyle w:val="ListParagraph"/>
        <w:numPr>
          <w:ilvl w:val="0"/>
          <w:numId w:val="4"/>
        </w:numPr>
        <w:spacing w:after="160" w:line="259" w:lineRule="auto"/>
        <w:ind w:left="5" w:firstLine="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b/>
          <w:color w:val="000000"/>
          <w:sz w:val="20"/>
          <w:szCs w:val="20"/>
          <w:lang w:eastAsia="es-CL"/>
        </w:rPr>
        <w:t>El taller</w:t>
      </w:r>
      <w:r w:rsidRPr="006E0B8F">
        <w:rPr>
          <w:rFonts w:ascii="Times New Roman" w:hAnsi="Times New Roman" w:cs="Times New Roman"/>
          <w:b/>
          <w:sz w:val="20"/>
          <w:szCs w:val="20"/>
        </w:rPr>
        <w:t xml:space="preserve"> </w:t>
      </w:r>
      <w:r w:rsidRPr="006E0B8F">
        <w:rPr>
          <w:rFonts w:ascii="Times New Roman" w:eastAsia="Times New Roman" w:hAnsi="Times New Roman" w:cs="Times New Roman"/>
          <w:b/>
          <w:color w:val="000000"/>
          <w:sz w:val="20"/>
          <w:szCs w:val="20"/>
          <w:lang w:eastAsia="es-CL"/>
        </w:rPr>
        <w:t>de uso del Cuaderno de Buenas Prácticas para incorporar la perspectiva de género en las sentencias para integrantes del escalafón primario correspondiente a la Zona Norte (</w:t>
      </w:r>
      <w:r w:rsidRPr="006E0B8F">
        <w:rPr>
          <w:rFonts w:ascii="Times New Roman" w:eastAsia="Times New Roman" w:hAnsi="Times New Roman" w:cs="Times New Roman"/>
          <w:color w:val="000000"/>
          <w:sz w:val="20"/>
          <w:szCs w:val="20"/>
          <w:lang w:eastAsia="es-CL"/>
        </w:rPr>
        <w:t>Jurisdicción Arica, Iquique, Antofagasta, Copiapó, La Serena) se desarrolló el 14 de octubre en la ciudad de la Serena, en modalidad presencial de jornada completa, teniendo un total de 15 participantes.</w:t>
      </w:r>
    </w:p>
    <w:p w:rsidR="0058775A" w:rsidRPr="006E0B8F" w:rsidRDefault="0058775A" w:rsidP="0058775A">
      <w:pPr>
        <w:pStyle w:val="ListParagraph"/>
        <w:numPr>
          <w:ilvl w:val="0"/>
          <w:numId w:val="4"/>
        </w:numPr>
        <w:spacing w:after="160" w:line="259" w:lineRule="auto"/>
        <w:ind w:left="5" w:firstLine="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b/>
          <w:color w:val="000000"/>
          <w:sz w:val="20"/>
          <w:szCs w:val="20"/>
          <w:lang w:eastAsia="es-CL"/>
        </w:rPr>
        <w:t>Aprobación y constitución de Institucionalidad sobre Igualdad de Género y No Discriminación en el Poder Judicial chileno</w:t>
      </w:r>
      <w:r w:rsidRPr="006E0B8F">
        <w:rPr>
          <w:rFonts w:ascii="Times New Roman" w:eastAsia="Times New Roman" w:hAnsi="Times New Roman" w:cs="Times New Roman"/>
          <w:color w:val="000000"/>
          <w:sz w:val="20"/>
          <w:szCs w:val="20"/>
          <w:lang w:eastAsia="es-CL"/>
        </w:rPr>
        <w:t>. De acuerdo a la resolución de 18 de junio de 2019 del Pleno de la Corte Suprema en AD 1450-2017, se aprobó la implementación de una nueva Institucionalidad de Género y No Discriminación del Poder Judicial chileno que consiste en:</w:t>
      </w:r>
    </w:p>
    <w:p w:rsidR="0058775A" w:rsidRPr="006E0B8F" w:rsidRDefault="0058775A" w:rsidP="0058775A">
      <w:pPr>
        <w:pStyle w:val="ListParagraph"/>
        <w:numPr>
          <w:ilvl w:val="0"/>
          <w:numId w:val="9"/>
        </w:numPr>
        <w:spacing w:after="160" w:line="259" w:lineRule="auto"/>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Comités de Género y No Discriminación de las Cortes de Apelaciones, cuya función será la de articular y facilitar al nivel local, las acciones promovidas por el/la Ministra/o Encargada/o de los Asuntos de Género, y la Secretaría Técnica de Igualdad de Género y No Discriminación, para la implementación de la Política, además de otras iniciativas que cada Corte de Apelaciones promueva, en el marco de la referida Política.</w:t>
      </w:r>
    </w:p>
    <w:p w:rsidR="0058775A" w:rsidRPr="006E0B8F" w:rsidRDefault="0058775A" w:rsidP="0058775A">
      <w:pPr>
        <w:pStyle w:val="ListParagraph"/>
        <w:numPr>
          <w:ilvl w:val="0"/>
          <w:numId w:val="9"/>
        </w:numPr>
        <w:spacing w:after="160" w:line="259" w:lineRule="auto"/>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Consejo Consultivo de Igualdad de Género y No Discriminación del Poder Judicial, cuya función principal es constituirse en un órgano consultivo asesor para la implementación de las acciones que se desarrollen al alero de la Política, la resolución indica que se encuentra conformado por las siguientes personas: El Ministro o la Ministra encargado/a de los Asuntos de Género de la Corte Suprema, quien lo presidirá, un o una representante titular y uno o una suplente de la Corporación Administrativa del Poder Judicial, designado/a por su Consejo, por un período de dos años, Tres ministros o ministras titulares y tres suplentes de Cortes de Apelaciones que representen la zona norte, centro y sur del país, elegidos por un período de dos años, un o una representante titular y uno o una suplente de las asociaciones gremiales del Poder Judicial, elegidos/as según el procedimiento que cada cual defina, por un período de dos años, un o una representante titular y uno o una suplente de la Asociación de Magistradas de Chile, elegidos/as según el procedimiento que ésta establezca, por un período de dos años, un o una representante titular y uno o una suplente de la Academia Judicial, designado/a por</w:t>
      </w:r>
    </w:p>
    <w:p w:rsidR="0058775A" w:rsidRPr="006E0B8F" w:rsidRDefault="0058775A" w:rsidP="0058775A">
      <w:pPr>
        <w:pStyle w:val="ListParagraph"/>
        <w:numPr>
          <w:ilvl w:val="0"/>
          <w:numId w:val="4"/>
        </w:numPr>
        <w:ind w:left="5" w:firstLine="0"/>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Meta de Eficiencia Institucional: “Difusión en materia de género”: en coordinación con el Departamento de Planificación de la Corporación Administrativa del Poder Judicial, se trabajó en una propuesta de meta de eficiencia institucional en temas de género, la que fue aprobada por la Comisión Resolutiva de Metas del Poder Judicial y el Pleno de la Corte Suprema a través del Auto Acordado de Metas de Eficiencia Institucional y de Desempeño Colectivo Año 2019. La meta incorporada es “Difusión en Materia de Género: Difusión y socialización de la materia de Igualdad de género y no discriminación, al interior del Poder Judicial” y se encuadra en el Eje calidad, Foco usuarios, del Programa Marco de metas 2019.</w:t>
      </w:r>
    </w:p>
    <w:p w:rsidR="0058775A" w:rsidRPr="006E0B8F" w:rsidRDefault="0058775A" w:rsidP="0058775A">
      <w:pPr>
        <w:pStyle w:val="ListParagraph"/>
        <w:ind w:left="5"/>
        <w:jc w:val="both"/>
        <w:rPr>
          <w:rFonts w:ascii="Times New Roman" w:eastAsia="Times New Roman" w:hAnsi="Times New Roman" w:cs="Times New Roman"/>
          <w:color w:val="000000"/>
          <w:sz w:val="20"/>
          <w:szCs w:val="20"/>
          <w:lang w:eastAsia="es-CL"/>
        </w:rPr>
      </w:pP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La STG durante el 2020 </w:t>
      </w:r>
      <w:r w:rsidRPr="006E0B8F">
        <w:rPr>
          <w:rFonts w:ascii="Times New Roman" w:eastAsia="Times New Roman" w:hAnsi="Times New Roman" w:cs="Times New Roman"/>
          <w:b/>
          <w:color w:val="000000"/>
          <w:sz w:val="20"/>
          <w:szCs w:val="20"/>
          <w:u w:val="single"/>
          <w:lang w:eastAsia="es-CL"/>
        </w:rPr>
        <w:t>continuó trabajando junto la Academia Judicial</w:t>
      </w:r>
      <w:r w:rsidRPr="006E0B8F">
        <w:rPr>
          <w:rFonts w:ascii="Times New Roman" w:eastAsia="Times New Roman" w:hAnsi="Times New Roman" w:cs="Times New Roman"/>
          <w:color w:val="000000"/>
          <w:sz w:val="20"/>
          <w:szCs w:val="20"/>
          <w:lang w:eastAsia="es-CL"/>
        </w:rPr>
        <w:t>, realizando actividades como: cursos para el programa de Perfeccionamiento en modalidad e-</w:t>
      </w:r>
      <w:proofErr w:type="spellStart"/>
      <w:r w:rsidRPr="006E0B8F">
        <w:rPr>
          <w:rFonts w:ascii="Times New Roman" w:eastAsia="Times New Roman" w:hAnsi="Times New Roman" w:cs="Times New Roman"/>
          <w:color w:val="000000"/>
          <w:sz w:val="20"/>
          <w:szCs w:val="20"/>
          <w:lang w:eastAsia="es-CL"/>
        </w:rPr>
        <w:t>learning</w:t>
      </w:r>
      <w:proofErr w:type="spellEnd"/>
      <w:r w:rsidRPr="006E0B8F">
        <w:rPr>
          <w:rFonts w:ascii="Times New Roman" w:eastAsia="Times New Roman" w:hAnsi="Times New Roman" w:cs="Times New Roman"/>
          <w:color w:val="000000"/>
          <w:sz w:val="20"/>
          <w:szCs w:val="20"/>
          <w:lang w:eastAsia="es-CL"/>
        </w:rPr>
        <w:t>, y participación de la charla en línea “Contingencia y Justicia: algunos temas para la reflexión”, específicamente en materia de la Ley N° 21.120 que reconoce y da protección al derecho a la identidad de género, y, en materia de “Acoso Sexual”. Finalmente, junto a la Academia, la STG se realizó el Taller “</w:t>
      </w:r>
      <w:proofErr w:type="spellStart"/>
      <w:r w:rsidRPr="006E0B8F">
        <w:rPr>
          <w:rFonts w:ascii="Times New Roman" w:eastAsia="Times New Roman" w:hAnsi="Times New Roman" w:cs="Times New Roman"/>
          <w:color w:val="000000"/>
          <w:sz w:val="20"/>
          <w:szCs w:val="20"/>
          <w:lang w:eastAsia="es-CL"/>
        </w:rPr>
        <w:t>Tranversalización</w:t>
      </w:r>
      <w:proofErr w:type="spellEnd"/>
      <w:r w:rsidRPr="006E0B8F">
        <w:rPr>
          <w:rFonts w:ascii="Times New Roman" w:eastAsia="Times New Roman" w:hAnsi="Times New Roman" w:cs="Times New Roman"/>
          <w:color w:val="000000"/>
          <w:sz w:val="20"/>
          <w:szCs w:val="20"/>
          <w:lang w:eastAsia="es-CL"/>
        </w:rPr>
        <w:t xml:space="preserve"> de género” en el marco del Plan en materia de igualdad y no discriminación por razón de género aprobado por la Academia Judicial. </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Participación de integrantes del Poder Judicial en el curso de</w:t>
      </w:r>
      <w:r w:rsidRPr="006E0B8F">
        <w:rPr>
          <w:rFonts w:ascii="Times New Roman" w:eastAsia="Times New Roman" w:hAnsi="Times New Roman" w:cs="Times New Roman"/>
          <w:b/>
          <w:color w:val="000000"/>
          <w:sz w:val="20"/>
          <w:szCs w:val="20"/>
          <w:lang w:eastAsia="es-CL"/>
        </w:rPr>
        <w:t xml:space="preserve"> </w:t>
      </w:r>
      <w:r w:rsidRPr="006E0B8F">
        <w:rPr>
          <w:rFonts w:ascii="Times New Roman" w:eastAsia="Times New Roman" w:hAnsi="Times New Roman" w:cs="Times New Roman"/>
          <w:b/>
          <w:color w:val="000000"/>
          <w:sz w:val="20"/>
          <w:szCs w:val="20"/>
          <w:u w:val="single"/>
          <w:lang w:eastAsia="es-CL"/>
        </w:rPr>
        <w:t>Capacitación E-</w:t>
      </w:r>
      <w:proofErr w:type="spellStart"/>
      <w:r w:rsidRPr="006E0B8F">
        <w:rPr>
          <w:rFonts w:ascii="Times New Roman" w:eastAsia="Times New Roman" w:hAnsi="Times New Roman" w:cs="Times New Roman"/>
          <w:b/>
          <w:color w:val="000000"/>
          <w:sz w:val="20"/>
          <w:szCs w:val="20"/>
          <w:u w:val="single"/>
          <w:lang w:eastAsia="es-CL"/>
        </w:rPr>
        <w:t>Learning</w:t>
      </w:r>
      <w:proofErr w:type="spellEnd"/>
      <w:r w:rsidRPr="006E0B8F">
        <w:rPr>
          <w:rFonts w:ascii="Times New Roman" w:eastAsia="Times New Roman" w:hAnsi="Times New Roman" w:cs="Times New Roman"/>
          <w:b/>
          <w:color w:val="000000"/>
          <w:sz w:val="20"/>
          <w:szCs w:val="20"/>
          <w:u w:val="single"/>
          <w:lang w:eastAsia="es-CL"/>
        </w:rPr>
        <w:t xml:space="preserve"> “Herramientas para el abordaje de la violencia contra las Mujeres”</w:t>
      </w:r>
      <w:r w:rsidRPr="006E0B8F">
        <w:rPr>
          <w:rFonts w:ascii="Times New Roman" w:eastAsia="Times New Roman" w:hAnsi="Times New Roman" w:cs="Times New Roman"/>
          <w:color w:val="000000"/>
          <w:sz w:val="20"/>
          <w:szCs w:val="20"/>
          <w:lang w:eastAsia="es-CL"/>
        </w:rPr>
        <w:t xml:space="preserve"> impartido por la Universidad de Concepción, en conjunto con el Servicio Nacional de la Mujer y la Equidad de Género.</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el marco de la implementación de la Ley N° 21.120, que reconoce y da protección al derecho a la identidad de género, la STG elaboró el documento titulado </w:t>
      </w:r>
      <w:r w:rsidRPr="006E0B8F">
        <w:rPr>
          <w:rFonts w:ascii="Times New Roman" w:eastAsia="Times New Roman" w:hAnsi="Times New Roman" w:cs="Times New Roman"/>
          <w:b/>
          <w:color w:val="000000"/>
          <w:sz w:val="20"/>
          <w:szCs w:val="20"/>
          <w:u w:val="single"/>
          <w:lang w:eastAsia="es-CL"/>
        </w:rPr>
        <w:t>“Guía para garantizar el ejercicio del derecho a la identidad de género de personas usuarias e integrantes del Poder Judicial”</w:t>
      </w:r>
      <w:r w:rsidRPr="006E0B8F">
        <w:rPr>
          <w:rFonts w:ascii="Times New Roman" w:eastAsia="Times New Roman" w:hAnsi="Times New Roman" w:cs="Times New Roman"/>
          <w:color w:val="000000"/>
          <w:sz w:val="20"/>
          <w:szCs w:val="20"/>
          <w:lang w:eastAsia="es-CL"/>
        </w:rPr>
        <w:t xml:space="preserve"> el cual explica los principales contenidos de la normativa, presenta algunos documentos y los principales estándares internacionales.</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Con el propósito de continuar desarrollando herramientas de sensibilización y capacitación a las personas integrantes del Poder Judicial, se contrató el diseño instruccional, montaje y prueba de </w:t>
      </w:r>
      <w:r w:rsidRPr="006E0B8F">
        <w:rPr>
          <w:rFonts w:ascii="Times New Roman" w:eastAsia="Times New Roman" w:hAnsi="Times New Roman" w:cs="Times New Roman"/>
          <w:b/>
          <w:color w:val="000000"/>
          <w:sz w:val="20"/>
          <w:szCs w:val="20"/>
          <w:u w:val="single"/>
          <w:lang w:eastAsia="es-CL"/>
        </w:rPr>
        <w:t>dos cursos en línea</w:t>
      </w:r>
      <w:r w:rsidRPr="006E0B8F">
        <w:rPr>
          <w:rFonts w:ascii="Times New Roman" w:eastAsia="Times New Roman" w:hAnsi="Times New Roman" w:cs="Times New Roman"/>
          <w:color w:val="000000"/>
          <w:sz w:val="20"/>
          <w:szCs w:val="20"/>
          <w:lang w:eastAsia="es-CL"/>
        </w:rPr>
        <w:t xml:space="preserve">: “Buenas Prácticas para incorporar la Perspectiva de Género en las sentencias” y, Curso “Ley 21.120 que reconoce y da protección al derecho a la identidad de género”. </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En diciembre de 2020 se creó una </w:t>
      </w:r>
      <w:r w:rsidRPr="006E0B8F">
        <w:rPr>
          <w:rFonts w:ascii="Times New Roman" w:eastAsia="Times New Roman" w:hAnsi="Times New Roman" w:cs="Times New Roman"/>
          <w:b/>
          <w:color w:val="000000"/>
          <w:sz w:val="20"/>
          <w:szCs w:val="20"/>
          <w:u w:val="single"/>
          <w:lang w:eastAsia="es-CL"/>
        </w:rPr>
        <w:t>nueva categoría en la plataforma de estudios virtuales</w:t>
      </w:r>
      <w:r w:rsidRPr="006E0B8F">
        <w:rPr>
          <w:rFonts w:ascii="Times New Roman" w:eastAsia="Times New Roman" w:hAnsi="Times New Roman" w:cs="Times New Roman"/>
          <w:color w:val="000000"/>
          <w:sz w:val="20"/>
          <w:szCs w:val="20"/>
          <w:lang w:eastAsia="es-CL"/>
        </w:rPr>
        <w:t xml:space="preserve"> de la Corporación Administrativa del Poder Judicial titulada “Género y No Discriminación”. En ella se encuentran disponibles tres cursos: i) Sensibilización de Género: conceptos básicos que nos permitan reflexionar sobre la igualdad entre las mujeres y los hombres en distintos ámbitos, ii) Violencia de género y acoso sexual: relaciones humanas cada vez más respetuosas y equitativas y, iii) Curso Ley N° 21.120 que reconoce y da protección al derecho a la identidad de género.</w:t>
      </w:r>
    </w:p>
    <w:p w:rsidR="0058775A" w:rsidRPr="006E0B8F" w:rsidRDefault="0058775A" w:rsidP="0058775A">
      <w:pPr>
        <w:pStyle w:val="ListParagraph"/>
        <w:numPr>
          <w:ilvl w:val="0"/>
          <w:numId w:val="4"/>
        </w:numPr>
        <w:ind w:left="288" w:hanging="283"/>
        <w:contextualSpacing w:val="0"/>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Finalmente, en 2020 fue elaborado el proyecto de una serie de publicaciones denominada </w:t>
      </w:r>
      <w:r w:rsidRPr="006E0B8F">
        <w:rPr>
          <w:rFonts w:ascii="Times New Roman" w:eastAsia="Times New Roman" w:hAnsi="Times New Roman" w:cs="Times New Roman"/>
          <w:b/>
          <w:color w:val="000000"/>
          <w:sz w:val="20"/>
          <w:szCs w:val="20"/>
          <w:u w:val="single"/>
          <w:lang w:eastAsia="es-CL"/>
        </w:rPr>
        <w:t>“Justicia con perspectiva de género”</w:t>
      </w:r>
      <w:r w:rsidRPr="006E0B8F">
        <w:rPr>
          <w:rFonts w:ascii="Times New Roman" w:eastAsia="Times New Roman" w:hAnsi="Times New Roman" w:cs="Times New Roman"/>
          <w:color w:val="000000"/>
          <w:sz w:val="20"/>
          <w:szCs w:val="20"/>
          <w:lang w:eastAsia="es-CL"/>
        </w:rPr>
        <w:t>, que tiene por objetivo promover la reflexión y análisis sobre la incorporación de la perspectiva de género y derechos humanos en la administración de justicia.</w:t>
      </w:r>
    </w:p>
    <w:p w:rsidR="0058775A" w:rsidRPr="006E0B8F" w:rsidRDefault="0058775A" w:rsidP="0058775A">
      <w:pPr>
        <w:jc w:val="both"/>
        <w:rPr>
          <w:rFonts w:ascii="Times New Roman" w:eastAsia="Times New Roman" w:hAnsi="Times New Roman" w:cs="Times New Roman"/>
          <w:color w:val="000000"/>
          <w:sz w:val="20"/>
          <w:szCs w:val="20"/>
          <w:lang w:eastAsia="es-CL"/>
        </w:rPr>
      </w:pPr>
    </w:p>
    <w:p w:rsidR="0058775A" w:rsidRPr="006E0B8F" w:rsidRDefault="0058775A" w:rsidP="0058775A">
      <w:pPr>
        <w:jc w:val="both"/>
        <w:rPr>
          <w:rFonts w:ascii="Times New Roman" w:eastAsia="Times New Roman" w:hAnsi="Times New Roman" w:cs="Times New Roman"/>
          <w:color w:val="000000"/>
          <w:sz w:val="20"/>
          <w:szCs w:val="20"/>
          <w:lang w:eastAsia="es-CL"/>
        </w:rPr>
      </w:pPr>
      <w:r w:rsidRPr="006E0B8F">
        <w:rPr>
          <w:rFonts w:ascii="Times New Roman" w:eastAsia="Times New Roman" w:hAnsi="Times New Roman" w:cs="Times New Roman"/>
          <w:color w:val="000000"/>
          <w:sz w:val="20"/>
          <w:szCs w:val="20"/>
          <w:lang w:eastAsia="es-CL"/>
        </w:rPr>
        <w:t xml:space="preserve">Para el 2020 también fue aprobada una Meta de eficiencia Institucional (MEI) en “Difusión en materia de género”, específicamente lo aprobado por Auto acordado estableció que “A lo menos el 80% de las Cortes de Apelaciones cumplirán con al menos dos acciones de difusión y socialización en materia de igualdad de género y no discriminación en el Poder Judicial el año 2020”. Debido a la situación del país por la pandemia y el teletrabajo como consecuencia de ésta, las Metas de Eficiencia Institucional 2020 fueron adaptadas mediante el </w:t>
      </w:r>
      <w:proofErr w:type="spellStart"/>
      <w:r w:rsidRPr="006E0B8F">
        <w:rPr>
          <w:rFonts w:ascii="Times New Roman" w:eastAsia="Times New Roman" w:hAnsi="Times New Roman" w:cs="Times New Roman"/>
          <w:color w:val="000000"/>
          <w:sz w:val="20"/>
          <w:szCs w:val="20"/>
          <w:lang w:eastAsia="es-CL"/>
        </w:rPr>
        <w:t>Autoacordado</w:t>
      </w:r>
      <w:proofErr w:type="spellEnd"/>
      <w:r w:rsidRPr="006E0B8F">
        <w:rPr>
          <w:rFonts w:ascii="Times New Roman" w:eastAsia="Times New Roman" w:hAnsi="Times New Roman" w:cs="Times New Roman"/>
          <w:color w:val="000000"/>
          <w:sz w:val="20"/>
          <w:szCs w:val="20"/>
          <w:lang w:eastAsia="es-CL"/>
        </w:rPr>
        <w:t xml:space="preserve"> del 25 de mayo de 2020. En éste se disminuyó la exigencia del cumplimiento de las actividades comprometidas para esta meta, del siguiente modo: “se disminuyó la exigencia en cuanto al cumplimiento de las actividades comprometidas, puesto que la modificación de la meta establece como exigencia que cada Corte deberá dar cumplimiento al menos a 1 de las 2 acciones comprometidas en el programa de trabajo y/o actualización de éste”. Todas las jurisdicciones del país cumplieron con la MEI señalado, realizando a lo menos 1 actividad.</w:t>
      </w:r>
    </w:p>
    <w:p w:rsidR="0058775A" w:rsidRPr="006E0B8F" w:rsidRDefault="0058775A" w:rsidP="0058775A">
      <w:pPr>
        <w:jc w:val="both"/>
        <w:rPr>
          <w:rFonts w:ascii="Times New Roman" w:hAnsi="Times New Roman" w:cs="Times New Roman"/>
          <w:sz w:val="20"/>
          <w:szCs w:val="20"/>
        </w:rPr>
      </w:pPr>
    </w:p>
    <w:p w:rsidR="0058775A" w:rsidRPr="006E0B8F" w:rsidRDefault="0058775A" w:rsidP="0058775A">
      <w:pPr>
        <w:jc w:val="both"/>
        <w:rPr>
          <w:rFonts w:ascii="Times New Roman" w:hAnsi="Times New Roman" w:cs="Times New Roman"/>
          <w:sz w:val="20"/>
          <w:szCs w:val="20"/>
        </w:rPr>
      </w:pPr>
    </w:p>
    <w:p w:rsidR="0058775A" w:rsidRPr="006E0B8F" w:rsidRDefault="0058775A" w:rsidP="0058775A">
      <w:pPr>
        <w:jc w:val="both"/>
        <w:rPr>
          <w:rFonts w:ascii="Times New Roman" w:hAnsi="Times New Roman" w:cs="Times New Roman"/>
          <w:sz w:val="20"/>
          <w:szCs w:val="20"/>
        </w:rPr>
      </w:pPr>
    </w:p>
    <w:p w:rsidR="0058775A" w:rsidRPr="006E0B8F" w:rsidRDefault="0058775A" w:rsidP="0058775A">
      <w:pPr>
        <w:rPr>
          <w:rFonts w:ascii="Times New Roman" w:hAnsi="Times New Roman" w:cs="Times New Roman"/>
          <w:sz w:val="20"/>
          <w:szCs w:val="20"/>
        </w:rPr>
      </w:pPr>
    </w:p>
    <w:p w:rsidR="0058775A" w:rsidRPr="00B43D70" w:rsidRDefault="0058775A" w:rsidP="0058775A">
      <w:pPr>
        <w:rPr>
          <w:rFonts w:ascii="Times New Roman" w:hAnsi="Times New Roman" w:cs="Times New Roman"/>
          <w:lang w:val="es-CL"/>
        </w:rPr>
      </w:pPr>
    </w:p>
    <w:p w:rsidR="0058775A" w:rsidRDefault="0058775A">
      <w:pPr>
        <w:rPr>
          <w:rFonts w:ascii="Times New Roman" w:hAnsi="Times New Roman" w:cs="Times New Roman"/>
          <w:sz w:val="20"/>
          <w:szCs w:val="20"/>
        </w:rPr>
      </w:pPr>
      <w:r>
        <w:rPr>
          <w:rFonts w:ascii="Times New Roman" w:hAnsi="Times New Roman" w:cs="Times New Roman"/>
          <w:sz w:val="20"/>
          <w:szCs w:val="20"/>
        </w:rPr>
        <w:br w:type="page"/>
      </w:r>
    </w:p>
    <w:p w:rsidR="0058775A" w:rsidRPr="00BC562F" w:rsidRDefault="0058775A" w:rsidP="0058775A">
      <w:pPr>
        <w:rPr>
          <w:rFonts w:ascii="Times New Roman" w:hAnsi="Times New Roman" w:cs="Times New Roman"/>
          <w:sz w:val="20"/>
          <w:szCs w:val="20"/>
        </w:rPr>
      </w:pPr>
    </w:p>
    <w:p w:rsidR="0058775A" w:rsidRPr="0058775A" w:rsidRDefault="0058775A" w:rsidP="0058775A">
      <w:pPr>
        <w:shd w:val="clear" w:color="auto" w:fill="AEAAAA" w:themeFill="background2" w:themeFillShade="BF"/>
        <w:jc w:val="center"/>
        <w:rPr>
          <w:rFonts w:ascii="Times New Roman" w:hAnsi="Times New Roman" w:cs="Times New Roman"/>
          <w:sz w:val="28"/>
          <w:szCs w:val="28"/>
          <w:u w:val="single"/>
        </w:rPr>
      </w:pPr>
      <w:r w:rsidRPr="0058775A">
        <w:rPr>
          <w:rFonts w:ascii="Times New Roman" w:hAnsi="Times New Roman" w:cs="Times New Roman"/>
          <w:sz w:val="28"/>
          <w:szCs w:val="28"/>
          <w:u w:val="single"/>
        </w:rPr>
        <w:t>ANEXO V</w:t>
      </w:r>
    </w:p>
    <w:p w:rsidR="0058775A" w:rsidRPr="00BC562F" w:rsidRDefault="0058775A" w:rsidP="0058775A">
      <w:pPr>
        <w:jc w:val="center"/>
        <w:rPr>
          <w:rFonts w:ascii="Times New Roman" w:hAnsi="Times New Roman" w:cs="Times New Roman"/>
          <w:sz w:val="20"/>
          <w:szCs w:val="20"/>
          <w:u w:val="single"/>
        </w:rPr>
      </w:pPr>
      <w:r>
        <w:rPr>
          <w:rFonts w:ascii="Times New Roman" w:hAnsi="Times New Roman" w:cs="Times New Roman"/>
          <w:sz w:val="20"/>
          <w:szCs w:val="20"/>
          <w:u w:val="single"/>
        </w:rPr>
        <w:t>Cifras violencia intrafamiliar</w:t>
      </w:r>
    </w:p>
    <w:p w:rsidR="0058775A" w:rsidRPr="00BC562F" w:rsidRDefault="0058775A" w:rsidP="0058775A">
      <w:pPr>
        <w:rPr>
          <w:rFonts w:ascii="Times New Roman" w:hAnsi="Times New Roman" w:cs="Times New Roman"/>
          <w:sz w:val="20"/>
          <w:szCs w:val="20"/>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1.</w:t>
      </w:r>
      <w:r w:rsidRPr="00BC562F">
        <w:rPr>
          <w:rFonts w:ascii="Times New Roman" w:eastAsia="Times New Roman" w:hAnsi="Times New Roman" w:cs="Times New Roman"/>
          <w:color w:val="000000"/>
          <w:sz w:val="20"/>
          <w:szCs w:val="20"/>
          <w:lang w:eastAsia="es-CL"/>
        </w:rPr>
        <w:tab/>
        <w:t xml:space="preserve">Cifras de La Fiscalía de Chile desde el enero de 2014 hasta enero de 2021 respecto de la </w:t>
      </w:r>
      <w:r>
        <w:rPr>
          <w:rFonts w:ascii="Times New Roman" w:eastAsia="Times New Roman" w:hAnsi="Times New Roman" w:cs="Times New Roman"/>
          <w:color w:val="000000"/>
          <w:sz w:val="20"/>
          <w:szCs w:val="20"/>
          <w:lang w:eastAsia="es-CL"/>
        </w:rPr>
        <w:t>c</w:t>
      </w:r>
      <w:r w:rsidRPr="00BC562F">
        <w:rPr>
          <w:rFonts w:ascii="Times New Roman" w:eastAsia="Times New Roman" w:hAnsi="Times New Roman" w:cs="Times New Roman"/>
          <w:color w:val="000000"/>
          <w:sz w:val="20"/>
          <w:szCs w:val="20"/>
          <w:lang w:eastAsia="es-CL"/>
        </w:rPr>
        <w:t xml:space="preserve">antidad de delitos ingresados con marca VIF en los que la víctima sea MUJER y que la relación sea de pareja, ex pareja o padres de hijo en común, con indicación de encontrarse vigente o terminado. Los delitos considerados fueron: </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SECUESTRO. ART. 141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SUSTRACCIÓN DE MENORES. ART. 142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VIOLACIÓN DE MORADA. ART. 144</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DELITOS C/ LA VIDA Y PRIVACIDAD DE CONVERSACIONES 161 A Y B</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SECUESTRO CON VIOLACIÓN</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SECUESTRO CON LESIONES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AMENAZAS DE ATENTADOS CONTRA PERSONAS Y PROPIEDADES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AMENAZAS SIMPLES CONTRA PERSONAS Y PROPIEDADES ART. 296 Nº3.</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AMENAZAS CONDIC. CONTRA PERSONAS Y PROP. ART. 296 1 y 2, 297</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ABANDONO DE CÓNYUGE O DE PARIENTES ENFERMOS. ART. 352.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ESTUPRO</w:t>
      </w:r>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eastAsia="es-CL"/>
        </w:rPr>
        <w:t xml:space="preserve">PROMOVER O FACILITAR PROSTITUCIÓN DE </w:t>
      </w:r>
      <w:proofErr w:type="gramStart"/>
      <w:r w:rsidRPr="00BC562F">
        <w:rPr>
          <w:rFonts w:ascii="Times New Roman" w:eastAsia="Times New Roman" w:hAnsi="Times New Roman" w:cs="Times New Roman"/>
          <w:color w:val="000000"/>
          <w:sz w:val="20"/>
          <w:szCs w:val="20"/>
          <w:lang w:eastAsia="es-CL"/>
        </w:rPr>
        <w:t>MENORES .</w:t>
      </w:r>
      <w:proofErr w:type="gramEnd"/>
      <w:r w:rsidRPr="00BC562F">
        <w:rPr>
          <w:rFonts w:ascii="Times New Roman" w:eastAsia="Times New Roman" w:hAnsi="Times New Roman" w:cs="Times New Roman"/>
          <w:color w:val="000000"/>
          <w:sz w:val="20"/>
          <w:szCs w:val="20"/>
          <w:lang w:eastAsia="es-CL"/>
        </w:rPr>
        <w:t xml:space="preserve"> </w:t>
      </w:r>
      <w:r w:rsidRPr="00BC562F">
        <w:rPr>
          <w:rFonts w:ascii="Times New Roman" w:eastAsia="Times New Roman" w:hAnsi="Times New Roman" w:cs="Times New Roman"/>
          <w:color w:val="000000"/>
          <w:sz w:val="20"/>
          <w:szCs w:val="20"/>
          <w:lang w:val="en-US" w:eastAsia="es-CL"/>
        </w:rPr>
        <w:t>ART. 367.</w:t>
      </w:r>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val="en-US" w:eastAsia="es-CL"/>
        </w:rPr>
        <w:t>ABUSO SEX. S/CONTAC MAYOR 14 MENOR 18 ART 366 QUAT INC 3</w:t>
      </w:r>
      <w:proofErr w:type="gramStart"/>
      <w:r w:rsidRPr="00BC562F">
        <w:rPr>
          <w:rFonts w:ascii="Times New Roman" w:eastAsia="Times New Roman" w:hAnsi="Times New Roman" w:cs="Times New Roman"/>
          <w:color w:val="000000"/>
          <w:sz w:val="20"/>
          <w:szCs w:val="20"/>
          <w:lang w:val="en-US" w:eastAsia="es-CL"/>
        </w:rPr>
        <w:t>,4,5</w:t>
      </w:r>
      <w:proofErr w:type="gramEnd"/>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val="en-US" w:eastAsia="es-CL"/>
        </w:rPr>
        <w:t xml:space="preserve">ABUSO SEX. S/CONTACTO CORP. MENOR 14 ART 366 QUAT. INC </w:t>
      </w:r>
      <w:proofErr w:type="gramStart"/>
      <w:r w:rsidRPr="00BC562F">
        <w:rPr>
          <w:rFonts w:ascii="Times New Roman" w:eastAsia="Times New Roman" w:hAnsi="Times New Roman" w:cs="Times New Roman"/>
          <w:color w:val="000000"/>
          <w:sz w:val="20"/>
          <w:szCs w:val="20"/>
          <w:lang w:val="en-US" w:eastAsia="es-CL"/>
        </w:rPr>
        <w:t>1</w:t>
      </w:r>
      <w:proofErr w:type="gramEnd"/>
      <w:r w:rsidRPr="00BC562F">
        <w:rPr>
          <w:rFonts w:ascii="Times New Roman" w:eastAsia="Times New Roman" w:hAnsi="Times New Roman" w:cs="Times New Roman"/>
          <w:color w:val="000000"/>
          <w:sz w:val="20"/>
          <w:szCs w:val="20"/>
          <w:lang w:val="en-US" w:eastAsia="es-CL"/>
        </w:rPr>
        <w:t xml:space="preserve"> Y 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VIOLACIÓN DE MENOR DE 14 AÑOS. ART. 362.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ABUSO SEX C/CONTACTO CORP. A MENOR DE 14 AÑOS ART 366 BIS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PRODUCCIÓN MATERIAL PORNOGRÁFICO UTILIZANDO MENOR.DE 18 AÑOS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ABUSO SEXUAL CALIFICADO (CON OBJETOS O ANIMALES) ART.365 BIS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ABUSO SEX MAYOR 14/MENOR 18 CON CIRCUNS ESTUPRO ART 366 INC2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ABUSO SEXUAL DE MAYOR DE 14 (CON CIRC. DE VIOLACIÓN) ART 366</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VIOLACIÓN DE MAYOR DE 14 AÑOS. ART. 361.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CAPTACIÓN, GRAB Y DIFUS DE REGISTROS AUDIOVIS. PARTES ÍNTIMA</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ABUSO SEX MAYOR DE 14 AÑOS POR SORPRESA Y/O S/CONSENTIM. ART</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OTROS DEL C/ ORDEN FAMILIA, MORALIDAD Pº, INTEGRIDAD SEXUAL</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PARRICIDIO.ART. 390 inc.1°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HOMICIDIO</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LESIONES GRAVES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LESIONES MENOS GRAVES</w:t>
      </w:r>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eastAsia="es-CL"/>
        </w:rPr>
        <w:t xml:space="preserve">LESIONES GRAVES GRAVÍSIMAS. </w:t>
      </w:r>
      <w:r w:rsidRPr="00BC562F">
        <w:rPr>
          <w:rFonts w:ascii="Times New Roman" w:eastAsia="Times New Roman" w:hAnsi="Times New Roman" w:cs="Times New Roman"/>
          <w:color w:val="000000"/>
          <w:sz w:val="20"/>
          <w:szCs w:val="20"/>
          <w:lang w:val="en-US" w:eastAsia="es-CL"/>
        </w:rPr>
        <w:t xml:space="preserve">ART. </w:t>
      </w:r>
      <w:proofErr w:type="gramStart"/>
      <w:r w:rsidRPr="00BC562F">
        <w:rPr>
          <w:rFonts w:ascii="Times New Roman" w:eastAsia="Times New Roman" w:hAnsi="Times New Roman" w:cs="Times New Roman"/>
          <w:color w:val="000000"/>
          <w:sz w:val="20"/>
          <w:szCs w:val="20"/>
          <w:lang w:val="en-US" w:eastAsia="es-CL"/>
        </w:rPr>
        <w:t>397</w:t>
      </w:r>
      <w:proofErr w:type="gramEnd"/>
      <w:r w:rsidRPr="00BC562F">
        <w:rPr>
          <w:rFonts w:ascii="Times New Roman" w:eastAsia="Times New Roman" w:hAnsi="Times New Roman" w:cs="Times New Roman"/>
          <w:color w:val="000000"/>
          <w:sz w:val="20"/>
          <w:szCs w:val="20"/>
          <w:lang w:val="en-US" w:eastAsia="es-CL"/>
        </w:rPr>
        <w:t xml:space="preserve"> Nº1</w:t>
      </w:r>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val="en-US" w:eastAsia="es-CL"/>
        </w:rPr>
        <w:t xml:space="preserve">FEMICIDIO INTIMO ART. </w:t>
      </w:r>
      <w:proofErr w:type="gramStart"/>
      <w:r w:rsidRPr="00BC562F">
        <w:rPr>
          <w:rFonts w:ascii="Times New Roman" w:eastAsia="Times New Roman" w:hAnsi="Times New Roman" w:cs="Times New Roman"/>
          <w:color w:val="000000"/>
          <w:sz w:val="20"/>
          <w:szCs w:val="20"/>
          <w:lang w:val="en-US" w:eastAsia="es-CL"/>
        </w:rPr>
        <w:t>390</w:t>
      </w:r>
      <w:proofErr w:type="gramEnd"/>
      <w:r w:rsidRPr="00BC562F">
        <w:rPr>
          <w:rFonts w:ascii="Times New Roman" w:eastAsia="Times New Roman" w:hAnsi="Times New Roman" w:cs="Times New Roman"/>
          <w:color w:val="000000"/>
          <w:sz w:val="20"/>
          <w:szCs w:val="20"/>
          <w:lang w:val="en-US" w:eastAsia="es-CL"/>
        </w:rPr>
        <w:t xml:space="preserve"> BIS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MALTRATO CORPORAL A PERSONAS VULNERABLES ART 403 BIS INC 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MALTRATO COMETIDO POR GARANTE ART. 403 BIS INC FINAL</w:t>
      </w:r>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eastAsia="es-CL"/>
        </w:rPr>
        <w:t xml:space="preserve">TRATOS DEGRADANTES A PERSONAS VULNERABLES. </w:t>
      </w:r>
      <w:r w:rsidRPr="00BC562F">
        <w:rPr>
          <w:rFonts w:ascii="Times New Roman" w:eastAsia="Times New Roman" w:hAnsi="Times New Roman" w:cs="Times New Roman"/>
          <w:color w:val="000000"/>
          <w:sz w:val="20"/>
          <w:szCs w:val="20"/>
          <w:lang w:val="en-US" w:eastAsia="es-CL"/>
        </w:rPr>
        <w:t xml:space="preserve">ART. </w:t>
      </w:r>
      <w:proofErr w:type="gramStart"/>
      <w:r w:rsidRPr="00BC562F">
        <w:rPr>
          <w:rFonts w:ascii="Times New Roman" w:eastAsia="Times New Roman" w:hAnsi="Times New Roman" w:cs="Times New Roman"/>
          <w:color w:val="000000"/>
          <w:sz w:val="20"/>
          <w:szCs w:val="20"/>
          <w:lang w:val="en-US" w:eastAsia="es-CL"/>
        </w:rPr>
        <w:t>403</w:t>
      </w:r>
      <w:proofErr w:type="gramEnd"/>
      <w:r w:rsidRPr="00BC562F">
        <w:rPr>
          <w:rFonts w:ascii="Times New Roman" w:eastAsia="Times New Roman" w:hAnsi="Times New Roman" w:cs="Times New Roman"/>
          <w:color w:val="000000"/>
          <w:sz w:val="20"/>
          <w:szCs w:val="20"/>
          <w:lang w:val="en-US" w:eastAsia="es-CL"/>
        </w:rPr>
        <w:t xml:space="preserve"> TER.</w:t>
      </w:r>
    </w:p>
    <w:p w:rsidR="0058775A" w:rsidRPr="00BC562F" w:rsidRDefault="0058775A" w:rsidP="0058775A">
      <w:pPr>
        <w:jc w:val="both"/>
        <w:rPr>
          <w:rFonts w:ascii="Times New Roman" w:eastAsia="Times New Roman" w:hAnsi="Times New Roman" w:cs="Times New Roman"/>
          <w:color w:val="000000"/>
          <w:sz w:val="20"/>
          <w:szCs w:val="20"/>
          <w:lang w:val="en-US" w:eastAsia="es-CL"/>
        </w:rPr>
      </w:pPr>
      <w:r w:rsidRPr="00BC562F">
        <w:rPr>
          <w:rFonts w:ascii="Times New Roman" w:eastAsia="Times New Roman" w:hAnsi="Times New Roman" w:cs="Times New Roman"/>
          <w:color w:val="000000"/>
          <w:sz w:val="20"/>
          <w:szCs w:val="20"/>
          <w:lang w:val="en-US" w:eastAsia="es-CL"/>
        </w:rPr>
        <w:t>DAÑOS SIMPLES. ART. 487.</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INCENDIO CON PELIGRO PARA LAS PERSONAS (475 Y 476 N° 1 y 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INCENDIO SOLO CON DAÑOS O SIN PELIGRO DE PROP. ART.477 Y 478</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OTROS HECHOS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DESACATO (Art. 240 Código de Procedimiento Civil)</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LESIONES LEVES</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AMENAZA CON ARMA (FALTA) ART. 494 Nº4 CÓDIGO PENAL</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MALTRATO HABITUAL (VIOLENCIA INTRAFAMILIAR)</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1.1</w:t>
      </w:r>
      <w:r w:rsidRPr="00BC562F">
        <w:rPr>
          <w:rFonts w:ascii="Times New Roman" w:eastAsia="Times New Roman" w:hAnsi="Times New Roman" w:cs="Times New Roman"/>
          <w:color w:val="000000"/>
          <w:sz w:val="20"/>
          <w:szCs w:val="20"/>
          <w:lang w:eastAsia="es-CL"/>
        </w:rPr>
        <w:tab/>
        <w:t xml:space="preserve">Total delitos ingresados:  504.752 </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1.2</w:t>
      </w:r>
      <w:r w:rsidRPr="00BC562F">
        <w:rPr>
          <w:rFonts w:ascii="Times New Roman" w:eastAsia="Times New Roman" w:hAnsi="Times New Roman" w:cs="Times New Roman"/>
          <w:color w:val="000000"/>
          <w:sz w:val="20"/>
          <w:szCs w:val="20"/>
          <w:lang w:eastAsia="es-CL"/>
        </w:rPr>
        <w:tab/>
        <w:t>Total de víctimas ingresadas: 467.551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NNA: 4.442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ADULTAS: 446.981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ADULTAS MAYORES: 16.128</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1.3</w:t>
      </w:r>
      <w:r w:rsidRPr="00BC562F">
        <w:rPr>
          <w:rFonts w:ascii="Times New Roman" w:eastAsia="Times New Roman" w:hAnsi="Times New Roman" w:cs="Times New Roman"/>
          <w:color w:val="000000"/>
          <w:sz w:val="20"/>
          <w:szCs w:val="20"/>
          <w:lang w:eastAsia="es-CL"/>
        </w:rPr>
        <w:tab/>
        <w:t>Términos: 453. 061</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JUDICIALES:  211.186</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SENTENCIA DEFINITIVA CONDENATORIA: 52.329</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SENTENCIA DEFINITIVA ABSOLUTORIA: 18.563</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SOBRESEIMIENTO DEFINITIVO: 28.783</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SOBRESEIMIENTO TEMPORAL: 2.096</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SUSPENSION CONDICIONAL DEL PROCEDIMIENTO: 26.275</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SOBRESEIMIENTO DEFINITIVO 240: 51.442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ACUERDO REPARATORIO: 132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FACULTAD PARA NO INVESTIGAR: 31.566</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NO JUDICIALES: 204.274</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ARCHIVO PROVISIONAL: 137.158</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DECISION DE NO PERSEVERAR: 48.264</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PRINCIPIO DE OPORTUNIDAD: 15.598</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INCOMPETENCIA:  3.254</w:t>
      </w:r>
    </w:p>
    <w:p w:rsidR="0058775A" w:rsidRPr="00BC562F" w:rsidRDefault="0058775A" w:rsidP="0058775A">
      <w:pPr>
        <w:jc w:val="both"/>
        <w:rPr>
          <w:rFonts w:ascii="Times New Roman" w:eastAsia="Times New Roman" w:hAnsi="Times New Roman" w:cs="Times New Roman"/>
          <w:color w:val="000000"/>
          <w:sz w:val="20"/>
          <w:szCs w:val="20"/>
          <w:lang w:eastAsia="es-CL"/>
        </w:rPr>
      </w:pP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OTROS TERMINOS: 37.601</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ANULACION ADMINISTRATIVA: 410</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AGRUPACION A OTRO CASO: 36.442</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OTRAS CAUSALES DE TERMINO: 409</w:t>
      </w:r>
    </w:p>
    <w:p w:rsidR="0058775A" w:rsidRPr="00BC562F" w:rsidRDefault="0058775A" w:rsidP="0058775A">
      <w:pPr>
        <w:jc w:val="both"/>
        <w:rPr>
          <w:rFonts w:ascii="Times New Roman" w:eastAsia="Times New Roman" w:hAnsi="Times New Roman" w:cs="Times New Roman"/>
          <w:color w:val="000000"/>
          <w:sz w:val="20"/>
          <w:szCs w:val="20"/>
          <w:lang w:eastAsia="es-CL"/>
        </w:rPr>
      </w:pPr>
      <w:r w:rsidRPr="00BC562F">
        <w:rPr>
          <w:rFonts w:ascii="Times New Roman" w:eastAsia="Times New Roman" w:hAnsi="Times New Roman" w:cs="Times New Roman"/>
          <w:color w:val="000000"/>
          <w:sz w:val="20"/>
          <w:szCs w:val="20"/>
          <w:lang w:eastAsia="es-CL"/>
        </w:rPr>
        <w:t>-</w:t>
      </w:r>
      <w:r w:rsidRPr="00BC562F">
        <w:rPr>
          <w:rFonts w:ascii="Times New Roman" w:eastAsia="Times New Roman" w:hAnsi="Times New Roman" w:cs="Times New Roman"/>
          <w:color w:val="000000"/>
          <w:sz w:val="20"/>
          <w:szCs w:val="20"/>
          <w:lang w:eastAsia="es-CL"/>
        </w:rPr>
        <w:tab/>
        <w:t>OTRAS CAUSALES DE SUSPENSION: 340</w:t>
      </w:r>
    </w:p>
    <w:p w:rsidR="0058775A" w:rsidRPr="00BC562F" w:rsidRDefault="0058775A" w:rsidP="0058775A">
      <w:pPr>
        <w:rPr>
          <w:rFonts w:ascii="Times New Roman" w:hAnsi="Times New Roman" w:cs="Times New Roman"/>
          <w:sz w:val="20"/>
          <w:szCs w:val="20"/>
        </w:rPr>
      </w:pPr>
    </w:p>
    <w:p w:rsidR="0058775A" w:rsidRPr="00BC562F" w:rsidRDefault="0058775A" w:rsidP="0058775A">
      <w:pPr>
        <w:rPr>
          <w:rFonts w:ascii="Times New Roman" w:hAnsi="Times New Roman" w:cs="Times New Roman"/>
          <w:sz w:val="20"/>
          <w:szCs w:val="20"/>
        </w:rPr>
      </w:pPr>
    </w:p>
    <w:p w:rsidR="0058775A" w:rsidRPr="00BC562F" w:rsidRDefault="0058775A" w:rsidP="0058775A">
      <w:pPr>
        <w:jc w:val="both"/>
        <w:rPr>
          <w:rFonts w:ascii="Times New Roman" w:eastAsia="Times New Roman" w:hAnsi="Times New Roman" w:cs="Times New Roman"/>
          <w:bCs/>
          <w:sz w:val="20"/>
          <w:szCs w:val="20"/>
          <w:lang w:val="es-CL" w:eastAsia="es-ES"/>
        </w:rPr>
      </w:pPr>
      <w:r w:rsidRPr="00BC562F">
        <w:rPr>
          <w:rFonts w:ascii="Times New Roman" w:hAnsi="Times New Roman" w:cs="Times New Roman"/>
          <w:sz w:val="20"/>
          <w:szCs w:val="20"/>
        </w:rPr>
        <w:t xml:space="preserve">2. </w:t>
      </w:r>
      <w:r w:rsidRPr="00BC562F">
        <w:rPr>
          <w:rFonts w:ascii="Times New Roman" w:eastAsia="Times New Roman" w:hAnsi="Times New Roman" w:cs="Times New Roman"/>
          <w:color w:val="000000"/>
          <w:sz w:val="20"/>
          <w:szCs w:val="20"/>
          <w:lang w:eastAsia="es-CL"/>
        </w:rPr>
        <w:t>Detalle</w:t>
      </w:r>
      <w:r w:rsidRPr="00BC562F">
        <w:rPr>
          <w:rFonts w:ascii="Times New Roman" w:eastAsia="Times New Roman" w:hAnsi="Times New Roman" w:cs="Times New Roman"/>
          <w:bCs/>
          <w:sz w:val="20"/>
          <w:szCs w:val="20"/>
          <w:lang w:val="es-CL" w:eastAsia="es-ES"/>
        </w:rPr>
        <w:t xml:space="preserve"> estadístico de denuncias de violencia intrafamiliar en el periodo 2018-2020, Ministerio Público:</w:t>
      </w:r>
    </w:p>
    <w:p w:rsidR="0058775A" w:rsidRPr="00BC562F" w:rsidRDefault="0058775A" w:rsidP="0058775A">
      <w:pPr>
        <w:jc w:val="both"/>
        <w:rPr>
          <w:rFonts w:ascii="Times New Roman" w:hAnsi="Times New Roman" w:cs="Times New Roman"/>
          <w:sz w:val="20"/>
          <w:szCs w:val="20"/>
          <w:u w:val="single"/>
          <w:lang w:val="es-CL"/>
        </w:rPr>
      </w:pPr>
    </w:p>
    <w:p w:rsidR="0058775A" w:rsidRPr="00BC562F" w:rsidRDefault="0058775A" w:rsidP="0058775A">
      <w:pPr>
        <w:jc w:val="both"/>
        <w:rPr>
          <w:rFonts w:ascii="Times New Roman" w:hAnsi="Times New Roman" w:cs="Times New Roman"/>
          <w:sz w:val="20"/>
          <w:szCs w:val="20"/>
          <w:lang w:val="es-CL"/>
        </w:rPr>
      </w:pPr>
      <w:r w:rsidRPr="00BC562F">
        <w:rPr>
          <w:rFonts w:ascii="Times New Roman" w:hAnsi="Times New Roman" w:cs="Times New Roman"/>
          <w:sz w:val="20"/>
          <w:szCs w:val="20"/>
          <w:u w:val="single"/>
          <w:lang w:val="es-CL"/>
        </w:rPr>
        <w:t>2018</w:t>
      </w:r>
      <w:r w:rsidRPr="00BC562F">
        <w:rPr>
          <w:rFonts w:ascii="Times New Roman" w:hAnsi="Times New Roman" w:cs="Times New Roman"/>
          <w:sz w:val="20"/>
          <w:szCs w:val="20"/>
          <w:lang w:val="es-CL"/>
        </w:rPr>
        <w:t>: Fiscalía reportó 133.291 denuncias. 43,1% de las denuncias se ingresaron en la RM. Luego, 9,7% en la Región de Valparaíso, seguido de 6,8% en la Región del Biobío. Sobre el género de las personas víctimas de VIF que ingresaron denuncias, el 76,1% son del género femenino, 23,7% del masculino, y 0,1% de género no definido. Respecto a los tramos etarios de las víctimas, la Fiscalía permite diferenciar entre menos de 13 años, entre 14 y 17 años, y 18 años o más. El 4,8% de las víctimas fueron menores de 13 años, el 3,4% tenía entre 14 y 17 años, y el 91,3% 18 años o más. El 0,5% no cuenta con información al respecto.</w:t>
      </w:r>
    </w:p>
    <w:p w:rsidR="0058775A" w:rsidRPr="00BC562F" w:rsidRDefault="0058775A" w:rsidP="0058775A">
      <w:pPr>
        <w:jc w:val="both"/>
        <w:rPr>
          <w:rFonts w:ascii="Times New Roman" w:hAnsi="Times New Roman" w:cs="Times New Roman"/>
          <w:sz w:val="20"/>
          <w:szCs w:val="20"/>
          <w:lang w:val="es-CL"/>
        </w:rPr>
      </w:pPr>
      <w:r w:rsidRPr="00BC562F">
        <w:rPr>
          <w:rFonts w:ascii="Times New Roman" w:hAnsi="Times New Roman" w:cs="Times New Roman"/>
          <w:sz w:val="20"/>
          <w:szCs w:val="20"/>
          <w:lang w:val="es-CL"/>
        </w:rPr>
        <w:t>En cuanto al lugar de ingreso de la denuncia, el 76,3% fue ingresada en Carabineros, el 8% en Otro Tribunal de Competencia Criminal, el 5% en la Fiscalía, el 4,9% en Otras Instituciones, el 3% en Juzgados de Garantía, el 2,4% en la PDI, y el 0,3% como Querella o Denuncia de Instituciones. Respecto al término de las denuncias, se tramitaron 146.825 términos, donde el 47,3% son de Salida no judicial, el 46,4% de Salida judicial, y el 6,3% con Otros términos. Respecto al término aplicado, el 33% corresponde a Archivo provisional, el 11,6% a Sobreseimiento definitivo 240, el 10,2% a Decisión de no perseverar y el 9,2% a Sentencia definitiva condenatoria.</w:t>
      </w:r>
    </w:p>
    <w:p w:rsidR="0058775A" w:rsidRPr="00BC562F" w:rsidRDefault="0058775A" w:rsidP="0058775A">
      <w:pPr>
        <w:jc w:val="both"/>
        <w:rPr>
          <w:rFonts w:ascii="Times New Roman" w:hAnsi="Times New Roman" w:cs="Times New Roman"/>
          <w:sz w:val="20"/>
          <w:szCs w:val="20"/>
          <w:u w:val="single"/>
          <w:lang w:val="es-CL"/>
        </w:rPr>
      </w:pPr>
    </w:p>
    <w:p w:rsidR="0058775A" w:rsidRPr="00BC562F" w:rsidRDefault="0058775A" w:rsidP="0058775A">
      <w:pPr>
        <w:jc w:val="both"/>
        <w:rPr>
          <w:rFonts w:ascii="Times New Roman" w:hAnsi="Times New Roman" w:cs="Times New Roman"/>
          <w:sz w:val="20"/>
          <w:szCs w:val="20"/>
          <w:lang w:val="es-CL"/>
        </w:rPr>
      </w:pPr>
      <w:r w:rsidRPr="00BC562F">
        <w:rPr>
          <w:rFonts w:ascii="Times New Roman" w:hAnsi="Times New Roman" w:cs="Times New Roman"/>
          <w:sz w:val="20"/>
          <w:szCs w:val="20"/>
          <w:u w:val="single"/>
          <w:lang w:val="es-CL"/>
        </w:rPr>
        <w:t>2019</w:t>
      </w:r>
      <w:r w:rsidRPr="00BC562F">
        <w:rPr>
          <w:rFonts w:ascii="Times New Roman" w:hAnsi="Times New Roman" w:cs="Times New Roman"/>
          <w:sz w:val="20"/>
          <w:szCs w:val="20"/>
          <w:lang w:val="es-CL"/>
        </w:rPr>
        <w:t>: se ingresaron 145.570 denuncias. El 42,2% de ellas fueron ingresadas en la RM, seguidas de la Región de Valparaíso con el 9,9% y 7% en la Región del Biobío, manteniendo la tendencia de 2018. El 75,7% son víctimas de género femenino, el 24,3% de género masculino y el 0,1% de género no identificado. En cuanto a la edad, el 91,2% tienen 18 años o más, el 5,1% son menores de 13 años, el 3,4% tiene entre 14 y 17 años, y el 0,4% no cuenta con información al respecto.</w:t>
      </w:r>
    </w:p>
    <w:p w:rsidR="0058775A" w:rsidRPr="00BC562F" w:rsidRDefault="0058775A" w:rsidP="0058775A">
      <w:pPr>
        <w:jc w:val="both"/>
        <w:rPr>
          <w:rFonts w:ascii="Times New Roman" w:hAnsi="Times New Roman" w:cs="Times New Roman"/>
          <w:sz w:val="20"/>
          <w:szCs w:val="20"/>
          <w:lang w:val="es-CL"/>
        </w:rPr>
      </w:pPr>
      <w:r w:rsidRPr="00BC562F">
        <w:rPr>
          <w:rFonts w:ascii="Times New Roman" w:hAnsi="Times New Roman" w:cs="Times New Roman"/>
          <w:sz w:val="20"/>
          <w:szCs w:val="20"/>
          <w:lang w:val="es-CL"/>
        </w:rPr>
        <w:t>Respecto al origen, el 75,7% fueron ingresadas en Carabineros, el 7,7% en Otro Tribunal de Competencia Criminal, el 6% en Otras Instituciones, el 4,3% en la misma Fiscalía, el 3,3% en Juzgado de Garantía, y el 2,8% en la PDI. Respecto a los términos, se notificaron 170.381, donde el 48,1% corresponde a términos de Salida no judicial, el 44,9% a Salida judicial y el 7% a Otro tipo de término. Sobre el término aplicado, el 34,2% corresponde a Archivo provisional, el 12,1% a Suspensión condicional del procedimiento, el 9,8% a Decisión de no perseverar, el 8,9% a Sobreseimiento definitivo 240 y el 8,3% a Sentencia definitiva condenatoria.</w:t>
      </w:r>
    </w:p>
    <w:p w:rsidR="0058775A" w:rsidRPr="00BC562F" w:rsidRDefault="0058775A" w:rsidP="0058775A">
      <w:pPr>
        <w:jc w:val="both"/>
        <w:rPr>
          <w:rFonts w:ascii="Times New Roman" w:hAnsi="Times New Roman" w:cs="Times New Roman"/>
          <w:sz w:val="20"/>
          <w:szCs w:val="20"/>
          <w:u w:val="single"/>
          <w:lang w:val="es-CL"/>
        </w:rPr>
      </w:pPr>
    </w:p>
    <w:p w:rsidR="0058775A" w:rsidRPr="00BC562F" w:rsidRDefault="0058775A" w:rsidP="0058775A">
      <w:pPr>
        <w:jc w:val="both"/>
        <w:rPr>
          <w:rFonts w:ascii="Times New Roman" w:hAnsi="Times New Roman" w:cs="Times New Roman"/>
          <w:sz w:val="20"/>
          <w:szCs w:val="20"/>
          <w:lang w:val="es-CL"/>
        </w:rPr>
      </w:pPr>
      <w:r w:rsidRPr="00BC562F">
        <w:rPr>
          <w:rFonts w:ascii="Times New Roman" w:hAnsi="Times New Roman" w:cs="Times New Roman"/>
          <w:sz w:val="20"/>
          <w:szCs w:val="20"/>
          <w:u w:val="single"/>
          <w:lang w:val="es-CL"/>
        </w:rPr>
        <w:t>2020</w:t>
      </w:r>
      <w:r w:rsidRPr="00BC562F">
        <w:rPr>
          <w:rFonts w:ascii="Times New Roman" w:hAnsi="Times New Roman" w:cs="Times New Roman"/>
          <w:sz w:val="20"/>
          <w:szCs w:val="20"/>
          <w:lang w:val="es-CL"/>
        </w:rPr>
        <w:t>: A la fecha, se cuenta con información con corte el 31 de octubre de 2020, reportando 112.179 denuncias ingresadas. El 39,2% fueron ingresadas en la RM, seguido de la Región de Valparaíso con 10,2% y la Región del Biobío con 7,1%. El 67,5% de las víctimas son del género femenino, 28,4% del masculino, 1,2% no definido, y 2,9% no posee información al respecto. En cuanto a la edad, el 92,2% corresponde al tramo etario de 18 años o más, el 4,2% a menores de 13 años, el 3,2% entre los 14 y 17 años, y el 0,4% no posee información al respecto.</w:t>
      </w:r>
    </w:p>
    <w:p w:rsidR="0058775A" w:rsidRPr="00BC562F" w:rsidRDefault="0058775A" w:rsidP="0058775A">
      <w:pPr>
        <w:jc w:val="both"/>
        <w:rPr>
          <w:rFonts w:ascii="Times New Roman" w:hAnsi="Times New Roman" w:cs="Times New Roman"/>
          <w:sz w:val="20"/>
          <w:szCs w:val="20"/>
          <w:lang w:val="es-CL"/>
        </w:rPr>
      </w:pPr>
    </w:p>
    <w:p w:rsidR="0058775A" w:rsidRPr="00BC562F" w:rsidRDefault="0058775A" w:rsidP="0058775A">
      <w:pPr>
        <w:jc w:val="both"/>
        <w:rPr>
          <w:rFonts w:ascii="Times New Roman" w:hAnsi="Times New Roman" w:cs="Times New Roman"/>
          <w:sz w:val="20"/>
          <w:szCs w:val="20"/>
        </w:rPr>
      </w:pPr>
      <w:r w:rsidRPr="00BC562F">
        <w:rPr>
          <w:rFonts w:ascii="Times New Roman" w:hAnsi="Times New Roman" w:cs="Times New Roman"/>
          <w:sz w:val="20"/>
          <w:szCs w:val="20"/>
          <w:lang w:val="es-CL"/>
        </w:rPr>
        <w:t>Sobre el origen de la denuncia, el 75,2% fueron ingresadas en Carabineros, el 7,4% en Otras Instituciones, el 5,4% en Otro Tribunal de Competencia Criminal, el 3,7% en el Juzgado de Garantía, el 3,3% en la misma Fiscalía, el 2,5% en PDI, el 1,3% en Otra Fiscalía, y el 1,1% en el Ministerio de Relaciones Exteriores. Respecto a los términos, se reportaron 107.797 términos, donde el 47,5% corresponde a Salidas no judiciales, el 41,4% a Salidas judiciales, y el 11,1% a Otros términos de salida. Sobre el tipo de término registrado, el 26,9% corresponde a Archivo provisional, el 10,8% a Decisión de no perseverar, el 9,7% a Sobreseimiento definitivo 240, y el 9,4% a Agrupación a otro caso.</w:t>
      </w:r>
    </w:p>
    <w:p w:rsidR="0058775A" w:rsidRPr="00760AF5" w:rsidRDefault="0058775A" w:rsidP="0058775A">
      <w:pPr>
        <w:jc w:val="both"/>
        <w:rPr>
          <w:lang w:val="es-CL"/>
        </w:rPr>
      </w:pPr>
    </w:p>
    <w:p w:rsidR="0058775A" w:rsidRPr="004D21A4" w:rsidRDefault="0058775A" w:rsidP="0058775A">
      <w:pPr>
        <w:jc w:val="both"/>
        <w:rPr>
          <w:lang w:val="es-CL"/>
        </w:rPr>
      </w:pPr>
    </w:p>
    <w:p w:rsidR="0058775A" w:rsidRPr="00E54949" w:rsidRDefault="0058775A" w:rsidP="0058775A">
      <w:pPr>
        <w:jc w:val="both"/>
        <w:rPr>
          <w:lang w:val="es-CL"/>
        </w:rPr>
      </w:pPr>
    </w:p>
    <w:p w:rsidR="0058775A" w:rsidRPr="00B259FD" w:rsidRDefault="0058775A" w:rsidP="005B579A">
      <w:pPr>
        <w:jc w:val="both"/>
        <w:rPr>
          <w:rFonts w:ascii="Times New Roman" w:hAnsi="Times New Roman" w:cs="Times New Roman"/>
          <w:sz w:val="20"/>
          <w:szCs w:val="20"/>
        </w:rPr>
      </w:pPr>
    </w:p>
    <w:sectPr w:rsidR="0058775A" w:rsidRPr="00B259FD" w:rsidSect="003011FF">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75A" w:rsidRDefault="0058775A" w:rsidP="003D2A00">
      <w:r>
        <w:separator/>
      </w:r>
    </w:p>
  </w:endnote>
  <w:endnote w:type="continuationSeparator" w:id="0">
    <w:p w:rsidR="0058775A" w:rsidRDefault="0058775A" w:rsidP="003D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75A" w:rsidRDefault="0058775A" w:rsidP="003D2A00">
      <w:r>
        <w:separator/>
      </w:r>
    </w:p>
  </w:footnote>
  <w:footnote w:type="continuationSeparator" w:id="0">
    <w:p w:rsidR="0058775A" w:rsidRDefault="0058775A" w:rsidP="003D2A00">
      <w:r>
        <w:continuationSeparator/>
      </w:r>
    </w:p>
  </w:footnote>
  <w:footnote w:id="1">
    <w:p w:rsidR="0058775A" w:rsidRPr="00B259FD" w:rsidRDefault="0058775A" w:rsidP="003D2A00">
      <w:pPr>
        <w:pStyle w:val="FootnoteText"/>
        <w:jc w:val="both"/>
        <w:rPr>
          <w:rFonts w:ascii="Times New Roman" w:hAnsi="Times New Roman" w:cs="Times New Roman"/>
          <w:sz w:val="16"/>
          <w:szCs w:val="16"/>
        </w:rPr>
      </w:pPr>
      <w:r w:rsidRPr="00B259FD">
        <w:rPr>
          <w:rStyle w:val="FootnoteReference"/>
          <w:rFonts w:ascii="Times New Roman" w:hAnsi="Times New Roman" w:cs="Times New Roman"/>
          <w:sz w:val="16"/>
          <w:szCs w:val="16"/>
        </w:rPr>
        <w:footnoteRef/>
      </w:r>
      <w:r w:rsidRPr="00B259FD">
        <w:rPr>
          <w:rFonts w:ascii="Times New Roman" w:hAnsi="Times New Roman" w:cs="Times New Roman"/>
          <w:sz w:val="16"/>
          <w:szCs w:val="16"/>
        </w:rPr>
        <w:t xml:space="preserve"> Centro Documental de la Corte Suprema. Fallos Corte Suprema. Búsqueda por datos (i) Fecha: entre 13 agosto 2014 (fecha en que el Comité de Derechos Humanos emitió sus observaciones finales sobre el sexto informe periódico de Chile) y 01 de enero de 2021. Búsqueda en el contenido del documento (i) Todas: Pacto Internacional de Derechos Civiles y Políticos.</w:t>
      </w:r>
    </w:p>
  </w:footnote>
  <w:footnote w:id="2">
    <w:p w:rsidR="0058775A" w:rsidRPr="00B259FD" w:rsidRDefault="0058775A" w:rsidP="003D2A00">
      <w:pPr>
        <w:pStyle w:val="FootnoteText"/>
        <w:jc w:val="both"/>
        <w:rPr>
          <w:rFonts w:ascii="Times New Roman" w:hAnsi="Times New Roman" w:cs="Times New Roman"/>
          <w:sz w:val="16"/>
          <w:szCs w:val="16"/>
        </w:rPr>
      </w:pPr>
      <w:r w:rsidRPr="00B259FD">
        <w:rPr>
          <w:rStyle w:val="FootnoteReference"/>
          <w:rFonts w:ascii="Times New Roman" w:hAnsi="Times New Roman" w:cs="Times New Roman"/>
          <w:sz w:val="16"/>
          <w:szCs w:val="16"/>
        </w:rPr>
        <w:footnoteRef/>
      </w:r>
      <w:r w:rsidRPr="00B259FD">
        <w:rPr>
          <w:rFonts w:ascii="Times New Roman" w:hAnsi="Times New Roman" w:cs="Times New Roman"/>
          <w:sz w:val="16"/>
          <w:szCs w:val="16"/>
        </w:rPr>
        <w:t xml:space="preserve"> En este sentido argumenta el Ministro señor Muñoz en sentencia de la Corte Suprema de 12 de septiembre de 2019 (Rol N°25694-2019):</w:t>
      </w:r>
    </w:p>
    <w:p w:rsidR="0058775A" w:rsidRPr="00B259FD" w:rsidRDefault="0058775A" w:rsidP="003D2A00">
      <w:pPr>
        <w:pStyle w:val="FootnoteText"/>
        <w:jc w:val="both"/>
        <w:rPr>
          <w:rFonts w:ascii="Times New Roman" w:hAnsi="Times New Roman" w:cs="Times New Roman"/>
          <w:sz w:val="16"/>
          <w:szCs w:val="16"/>
        </w:rPr>
      </w:pPr>
      <w:r w:rsidRPr="00B259FD">
        <w:rPr>
          <w:rFonts w:ascii="Times New Roman" w:hAnsi="Times New Roman" w:cs="Times New Roman"/>
          <w:sz w:val="16"/>
          <w:szCs w:val="16"/>
        </w:rPr>
        <w:t>“1.- En el sistema de fuentes del derecho al conocer de los conflictos particulares, no resulta posible desatender las normas generales impartidas por la autoridad, sea que versen sobre materias sustanciales o procesales, principio que se denomina inderogabilidad singular del reglamento;</w:t>
      </w:r>
    </w:p>
    <w:p w:rsidR="0058775A" w:rsidRPr="00B259FD" w:rsidRDefault="0058775A" w:rsidP="003D2A00">
      <w:pPr>
        <w:pStyle w:val="FootnoteText"/>
        <w:jc w:val="both"/>
        <w:rPr>
          <w:rFonts w:ascii="Times New Roman" w:hAnsi="Times New Roman" w:cs="Times New Roman"/>
          <w:sz w:val="16"/>
          <w:szCs w:val="16"/>
        </w:rPr>
      </w:pPr>
      <w:r w:rsidRPr="00B259FD">
        <w:rPr>
          <w:rFonts w:ascii="Times New Roman" w:hAnsi="Times New Roman" w:cs="Times New Roman"/>
          <w:sz w:val="16"/>
          <w:szCs w:val="16"/>
        </w:rPr>
        <w:t>2.- La Corte Suprema ha regulado por Auto Acordado diferentes materias, tanto sobre la base de la habilitación general dada por la Constitución y la ley, como por encargos específicos entregados al efecto. Reglamentación que está llamada a tenerse en consideración respecto de las materias que regula, en tanto se encuentren vigentes, no se les derogue y no exista una determinación que impida reconocerle sus efectos; determinación que siempre debe adoptarse con carácter general, nunca en relación y solamente respecto de un caso concreto del cual se esté conociendo;</w:t>
      </w:r>
    </w:p>
    <w:p w:rsidR="0058775A" w:rsidRPr="00B259FD" w:rsidRDefault="0058775A" w:rsidP="003D2A00">
      <w:pPr>
        <w:pStyle w:val="FootnoteText"/>
        <w:jc w:val="both"/>
        <w:rPr>
          <w:rFonts w:ascii="Times New Roman" w:hAnsi="Times New Roman" w:cs="Times New Roman"/>
          <w:sz w:val="16"/>
          <w:szCs w:val="16"/>
        </w:rPr>
      </w:pPr>
      <w:r w:rsidRPr="00B259FD">
        <w:rPr>
          <w:rFonts w:ascii="Times New Roman" w:hAnsi="Times New Roman" w:cs="Times New Roman"/>
          <w:sz w:val="16"/>
          <w:szCs w:val="16"/>
        </w:rPr>
        <w:t>3.- Sin embargo, en diferentes ocasiones, ya de manera reiterada, el Tribunal Pleno de esta Corte Suprema ha desconocido lo normado en los autos acordados por ella dictados, resolviendo lo contrario de la disposición general en el caso particular, reconociendo, incluso, la posibilidad que se efectúe tal ponderación por los jueces de la instancia;</w:t>
      </w:r>
    </w:p>
    <w:p w:rsidR="0058775A" w:rsidRPr="00B259FD" w:rsidRDefault="0058775A" w:rsidP="003D2A00">
      <w:pPr>
        <w:pStyle w:val="FootnoteText"/>
        <w:jc w:val="both"/>
        <w:rPr>
          <w:rFonts w:ascii="Times New Roman" w:hAnsi="Times New Roman" w:cs="Times New Roman"/>
          <w:sz w:val="16"/>
          <w:szCs w:val="16"/>
        </w:rPr>
      </w:pPr>
      <w:r w:rsidRPr="00B259FD">
        <w:rPr>
          <w:rFonts w:ascii="Times New Roman" w:hAnsi="Times New Roman" w:cs="Times New Roman"/>
          <w:sz w:val="16"/>
          <w:szCs w:val="16"/>
        </w:rPr>
        <w:t>4.- Ante tal proceder surge con toda su fuerza el mandato del Artículo 8.2 letra h) de la Convención Americana de Derechos Humanos que dispone el derecho al recurso judicial ante un tribunal superior, como lo normado en el artículo 2.3 letra a) del Pacto Internacional de Derechos Civiles y Políticos que reconoce el derecho a una acción efectiva ante los tribunales a las personas cuyos derechos y libertades hayan sido violados;</w:t>
      </w:r>
    </w:p>
    <w:p w:rsidR="0058775A" w:rsidRDefault="0058775A" w:rsidP="003D2A00">
      <w:pPr>
        <w:pStyle w:val="FootnoteText"/>
        <w:jc w:val="both"/>
      </w:pPr>
      <w:r w:rsidRPr="00B259FD">
        <w:rPr>
          <w:rFonts w:ascii="Times New Roman" w:hAnsi="Times New Roman" w:cs="Times New Roman"/>
          <w:sz w:val="16"/>
          <w:szCs w:val="16"/>
        </w:rPr>
        <w:t>5.- Es por lo anterior que, en tanto esta situación se mantenga, quien suscribe este parecer particular considera que no puede restringir el acceso a la justicia de quienes recurren a los tribunales, por así disponerlo una determinación de la Corte Suprema, puesto que entiende que el principio de igualdad ante la ley y la justicia, el de no discriminación y el de dignidad de todas las personas así se lo impone, por lo cual, en tales casos, se abstendrá de reconocer aplicación a dicha normativa”.</w:t>
      </w:r>
    </w:p>
  </w:footnote>
  <w:footnote w:id="3">
    <w:p w:rsidR="0058775A" w:rsidRPr="00B259FD" w:rsidRDefault="0058775A" w:rsidP="003D2A00">
      <w:pPr>
        <w:pStyle w:val="FootnoteText"/>
        <w:jc w:val="both"/>
        <w:rPr>
          <w:rFonts w:ascii="Times New Roman" w:hAnsi="Times New Roman" w:cs="Times New Roman"/>
          <w:sz w:val="16"/>
          <w:szCs w:val="16"/>
        </w:rPr>
      </w:pPr>
      <w:r w:rsidRPr="00B259FD">
        <w:rPr>
          <w:rStyle w:val="FootnoteReference"/>
          <w:rFonts w:ascii="Times New Roman" w:hAnsi="Times New Roman" w:cs="Times New Roman"/>
          <w:sz w:val="16"/>
          <w:szCs w:val="16"/>
        </w:rPr>
        <w:footnoteRef/>
      </w:r>
      <w:r w:rsidRPr="00B259FD">
        <w:rPr>
          <w:rFonts w:ascii="Times New Roman" w:hAnsi="Times New Roman" w:cs="Times New Roman"/>
          <w:sz w:val="16"/>
          <w:szCs w:val="16"/>
        </w:rPr>
        <w:t xml:space="preserve"> Corte Suprema. Sentencia de 6 de julio de 2017 (Rol N°5067-2017). En el mismo sentido sentencia de 6 de julio de 2017 (Rol N°5073-2017)</w:t>
      </w:r>
    </w:p>
  </w:footnote>
  <w:footnote w:id="4">
    <w:p w:rsidR="0058775A" w:rsidRDefault="0058775A" w:rsidP="003D2A00">
      <w:pPr>
        <w:pStyle w:val="FootnoteText"/>
        <w:jc w:val="both"/>
      </w:pPr>
      <w:r w:rsidRPr="00B259FD">
        <w:rPr>
          <w:rStyle w:val="FootnoteReference"/>
          <w:rFonts w:ascii="Times New Roman" w:hAnsi="Times New Roman" w:cs="Times New Roman"/>
          <w:sz w:val="16"/>
          <w:szCs w:val="16"/>
        </w:rPr>
        <w:footnoteRef/>
      </w:r>
      <w:r w:rsidRPr="00B259FD">
        <w:rPr>
          <w:rFonts w:ascii="Times New Roman" w:hAnsi="Times New Roman" w:cs="Times New Roman"/>
          <w:sz w:val="16"/>
          <w:szCs w:val="16"/>
        </w:rPr>
        <w:t xml:space="preserve"> Corte Suprema. Sentencias de 20 de enero de 2015 (Rol N°1059-2015); 16 de febrero de 2017 (Rol N°3990-2017); 21 de marzo de 2018 (Rol N°4292-2018); 30 de julio de 2020 (20791-2020</w:t>
      </w:r>
      <w:proofErr w:type="gramStart"/>
      <w:r w:rsidRPr="00B259FD">
        <w:rPr>
          <w:rFonts w:ascii="Times New Roman" w:hAnsi="Times New Roman" w:cs="Times New Roman"/>
          <w:sz w:val="16"/>
          <w:szCs w:val="16"/>
        </w:rPr>
        <w:t>),y</w:t>
      </w:r>
      <w:proofErr w:type="gramEnd"/>
      <w:r w:rsidRPr="00B259FD">
        <w:rPr>
          <w:rFonts w:ascii="Times New Roman" w:hAnsi="Times New Roman" w:cs="Times New Roman"/>
          <w:sz w:val="16"/>
          <w:szCs w:val="16"/>
        </w:rPr>
        <w:t xml:space="preserve"> de 9 de septiembre de 2020 (Rol N°50696-2020)</w:t>
      </w:r>
    </w:p>
  </w:footnote>
  <w:footnote w:id="5">
    <w:p w:rsidR="0058775A" w:rsidRPr="00B259FD" w:rsidRDefault="0058775A" w:rsidP="003D2A00">
      <w:pPr>
        <w:pStyle w:val="FootnoteText"/>
        <w:jc w:val="both"/>
        <w:rPr>
          <w:rFonts w:ascii="Times New Roman" w:hAnsi="Times New Roman" w:cs="Times New Roman"/>
          <w:sz w:val="16"/>
          <w:szCs w:val="16"/>
        </w:rPr>
      </w:pPr>
      <w:r w:rsidRPr="00B259FD">
        <w:rPr>
          <w:rStyle w:val="FootnoteReference"/>
          <w:rFonts w:ascii="Times New Roman" w:hAnsi="Times New Roman" w:cs="Times New Roman"/>
          <w:sz w:val="16"/>
          <w:szCs w:val="16"/>
        </w:rPr>
        <w:footnoteRef/>
      </w:r>
      <w:r w:rsidRPr="00B259FD">
        <w:rPr>
          <w:rFonts w:ascii="Times New Roman" w:hAnsi="Times New Roman" w:cs="Times New Roman"/>
          <w:sz w:val="16"/>
          <w:szCs w:val="16"/>
        </w:rPr>
        <w:t xml:space="preserve"> Corte Suprema. Sentencia de 10 de noviembre de 2020. Rol N° 97.283-2020</w:t>
      </w:r>
    </w:p>
  </w:footnote>
  <w:footnote w:id="6">
    <w:p w:rsidR="0058775A" w:rsidRPr="00EF0D54" w:rsidRDefault="0058775A" w:rsidP="0058775A">
      <w:pPr>
        <w:pStyle w:val="FootnoteText"/>
        <w:rPr>
          <w:rFonts w:ascii="Times New Roman" w:hAnsi="Times New Roman" w:cs="Times New Roman"/>
          <w:sz w:val="16"/>
          <w:szCs w:val="16"/>
        </w:rPr>
      </w:pPr>
      <w:r w:rsidRPr="00EF0D54">
        <w:rPr>
          <w:rStyle w:val="FootnoteReference"/>
          <w:rFonts w:ascii="Times New Roman" w:hAnsi="Times New Roman" w:cs="Times New Roman"/>
          <w:sz w:val="16"/>
          <w:szCs w:val="16"/>
        </w:rPr>
        <w:footnoteRef/>
      </w:r>
      <w:r w:rsidRPr="00EF0D54">
        <w:rPr>
          <w:rFonts w:ascii="Times New Roman" w:hAnsi="Times New Roman" w:cs="Times New Roman"/>
          <w:sz w:val="16"/>
          <w:szCs w:val="16"/>
        </w:rPr>
        <w:t xml:space="preserve"> Corresponde a una sentencia absolutoria (sentencia de 17 de febrero de 2014, Tribunal de Juicio Oral de Angol, RIT 91-2013, confirmada por sentencia de Corte de Apelaciones de Temuco de 24 de abril de 2014, Rol N°315-2014).</w:t>
      </w:r>
    </w:p>
  </w:footnote>
  <w:footnote w:id="7">
    <w:p w:rsidR="0058775A" w:rsidRDefault="0058775A" w:rsidP="0058775A">
      <w:pPr>
        <w:pStyle w:val="FootnoteText"/>
      </w:pPr>
      <w:r w:rsidRPr="00EF0D54">
        <w:rPr>
          <w:rStyle w:val="FootnoteReference"/>
          <w:rFonts w:ascii="Times New Roman" w:hAnsi="Times New Roman" w:cs="Times New Roman"/>
          <w:sz w:val="16"/>
          <w:szCs w:val="16"/>
        </w:rPr>
        <w:footnoteRef/>
      </w:r>
      <w:r w:rsidRPr="00EF0D54">
        <w:rPr>
          <w:rFonts w:ascii="Times New Roman" w:hAnsi="Times New Roman" w:cs="Times New Roman"/>
          <w:sz w:val="16"/>
          <w:szCs w:val="16"/>
        </w:rPr>
        <w:t xml:space="preserve"> Esta sentencia corresponde a una condenatoria por el delito de incendio con resultado de muerte, en la que se estableció que no correspondía aplicar la Ley N°18.</w:t>
      </w:r>
      <w:proofErr w:type="gramStart"/>
      <w:r w:rsidRPr="00EF0D54">
        <w:rPr>
          <w:rFonts w:ascii="Times New Roman" w:hAnsi="Times New Roman" w:cs="Times New Roman"/>
          <w:sz w:val="16"/>
          <w:szCs w:val="16"/>
        </w:rPr>
        <w:t>314  (</w:t>
      </w:r>
      <w:proofErr w:type="gramEnd"/>
      <w:r w:rsidRPr="00EF0D54">
        <w:rPr>
          <w:rFonts w:ascii="Times New Roman" w:hAnsi="Times New Roman" w:cs="Times New Roman"/>
          <w:sz w:val="16"/>
          <w:szCs w:val="16"/>
        </w:rPr>
        <w:t>Corte Suprema, sentencia de reemplazo de 10 de octubre de 2018, Rol 15.163-2018)</w:t>
      </w:r>
    </w:p>
  </w:footnote>
  <w:footnote w:id="8">
    <w:p w:rsidR="0058775A" w:rsidRPr="00FF2A47" w:rsidRDefault="0058775A" w:rsidP="0058775A">
      <w:pPr>
        <w:pStyle w:val="FootnoteText"/>
        <w:rPr>
          <w:rFonts w:ascii="Times New Roman" w:hAnsi="Times New Roman" w:cs="Times New Roman"/>
          <w:lang w:val="es-ES"/>
        </w:rPr>
      </w:pPr>
      <w:r w:rsidRPr="00FF2A47">
        <w:rPr>
          <w:rStyle w:val="FootnoteReference"/>
          <w:rFonts w:ascii="Times New Roman" w:hAnsi="Times New Roman" w:cs="Times New Roman"/>
        </w:rPr>
        <w:footnoteRef/>
      </w:r>
      <w:r w:rsidRPr="00FF2A47">
        <w:rPr>
          <w:rFonts w:ascii="Times New Roman" w:hAnsi="Times New Roman" w:cs="Times New Roman"/>
        </w:rPr>
        <w:t xml:space="preserve"> A contar de julio 2015 se incorporó en el sistema informático penal esta agravante</w:t>
      </w:r>
      <w:r>
        <w:rPr>
          <w:rFonts w:ascii="Times New Roman" w:hAnsi="Times New Roman" w:cs="Times New Roman"/>
        </w:rPr>
        <w:t>.</w:t>
      </w:r>
    </w:p>
  </w:footnote>
  <w:footnote w:id="9">
    <w:p w:rsidR="0058775A" w:rsidRPr="006E0B8F" w:rsidRDefault="0058775A" w:rsidP="0058775A">
      <w:pPr>
        <w:pStyle w:val="FootnoteText"/>
        <w:jc w:val="both"/>
        <w:rPr>
          <w:rFonts w:ascii="Times New Roman" w:hAnsi="Times New Roman" w:cs="Times New Roman"/>
          <w:sz w:val="16"/>
          <w:szCs w:val="16"/>
        </w:rPr>
      </w:pPr>
      <w:r w:rsidRPr="006E0B8F">
        <w:rPr>
          <w:rStyle w:val="FootnoteReference"/>
          <w:rFonts w:cs="Times New Roman"/>
          <w:sz w:val="16"/>
          <w:szCs w:val="16"/>
        </w:rPr>
        <w:footnoteRef/>
      </w:r>
      <w:r w:rsidRPr="006E0B8F">
        <w:rPr>
          <w:rFonts w:ascii="Times New Roman" w:hAnsi="Times New Roman" w:cs="Times New Roman"/>
          <w:sz w:val="16"/>
          <w:szCs w:val="16"/>
        </w:rPr>
        <w:t xml:space="preserve"> El Plan puede ser consultado en la siguiente página web https://intranet.academiajudicial.cl/Imagenes/Temp/Plan_de_igualdad_y_no_discrim</w:t>
      </w:r>
    </w:p>
    <w:p w:rsidR="0058775A" w:rsidRPr="00D6737D" w:rsidRDefault="0058775A" w:rsidP="0058775A">
      <w:pPr>
        <w:pStyle w:val="FootnoteText"/>
        <w:jc w:val="both"/>
        <w:rPr>
          <w:lang w:val="es-MX"/>
        </w:rPr>
      </w:pPr>
      <w:r w:rsidRPr="006E0B8F">
        <w:rPr>
          <w:rFonts w:ascii="Times New Roman" w:hAnsi="Times New Roman" w:cs="Times New Roman"/>
          <w:sz w:val="16"/>
          <w:szCs w:val="16"/>
        </w:rPr>
        <w:t>inaci%C3%B3n_AJ.pdf.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2A71"/>
    <w:multiLevelType w:val="hybridMultilevel"/>
    <w:tmpl w:val="D368CBE0"/>
    <w:lvl w:ilvl="0" w:tplc="34203ED4">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20E105A0"/>
    <w:multiLevelType w:val="hybridMultilevel"/>
    <w:tmpl w:val="1A2207AA"/>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71849DB"/>
    <w:multiLevelType w:val="hybridMultilevel"/>
    <w:tmpl w:val="F614E66E"/>
    <w:lvl w:ilvl="0" w:tplc="C94E4AD6">
      <w:start w:val="1"/>
      <w:numFmt w:val="upperRoman"/>
      <w:lvlText w:val="%1."/>
      <w:lvlJc w:val="left"/>
      <w:pPr>
        <w:ind w:left="1080" w:hanging="72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73D3837"/>
    <w:multiLevelType w:val="hybridMultilevel"/>
    <w:tmpl w:val="5DBC8A14"/>
    <w:lvl w:ilvl="0" w:tplc="04B60168">
      <w:start w:val="2"/>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48C61026"/>
    <w:multiLevelType w:val="hybridMultilevel"/>
    <w:tmpl w:val="D9926A9E"/>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AF26A95"/>
    <w:multiLevelType w:val="hybridMultilevel"/>
    <w:tmpl w:val="56CC4022"/>
    <w:lvl w:ilvl="0" w:tplc="292E27BA">
      <w:start w:val="1"/>
      <w:numFmt w:val="bullet"/>
      <w:lvlText w:val="-"/>
      <w:lvlJc w:val="left"/>
      <w:pPr>
        <w:ind w:left="365" w:hanging="360"/>
      </w:pPr>
      <w:rPr>
        <w:rFonts w:ascii="Calibri" w:eastAsia="Times New Roman" w:hAnsi="Calibri" w:cs="Times New Roman" w:hint="default"/>
      </w:rPr>
    </w:lvl>
    <w:lvl w:ilvl="1" w:tplc="340A0003" w:tentative="1">
      <w:start w:val="1"/>
      <w:numFmt w:val="bullet"/>
      <w:lvlText w:val="o"/>
      <w:lvlJc w:val="left"/>
      <w:pPr>
        <w:ind w:left="1085" w:hanging="360"/>
      </w:pPr>
      <w:rPr>
        <w:rFonts w:ascii="Courier New" w:hAnsi="Courier New" w:cs="Courier New" w:hint="default"/>
      </w:rPr>
    </w:lvl>
    <w:lvl w:ilvl="2" w:tplc="340A0005" w:tentative="1">
      <w:start w:val="1"/>
      <w:numFmt w:val="bullet"/>
      <w:lvlText w:val=""/>
      <w:lvlJc w:val="left"/>
      <w:pPr>
        <w:ind w:left="1805" w:hanging="360"/>
      </w:pPr>
      <w:rPr>
        <w:rFonts w:ascii="Wingdings" w:hAnsi="Wingdings" w:hint="default"/>
      </w:rPr>
    </w:lvl>
    <w:lvl w:ilvl="3" w:tplc="340A0001" w:tentative="1">
      <w:start w:val="1"/>
      <w:numFmt w:val="bullet"/>
      <w:lvlText w:val=""/>
      <w:lvlJc w:val="left"/>
      <w:pPr>
        <w:ind w:left="2525" w:hanging="360"/>
      </w:pPr>
      <w:rPr>
        <w:rFonts w:ascii="Symbol" w:hAnsi="Symbol" w:hint="default"/>
      </w:rPr>
    </w:lvl>
    <w:lvl w:ilvl="4" w:tplc="340A0003" w:tentative="1">
      <w:start w:val="1"/>
      <w:numFmt w:val="bullet"/>
      <w:lvlText w:val="o"/>
      <w:lvlJc w:val="left"/>
      <w:pPr>
        <w:ind w:left="3245" w:hanging="360"/>
      </w:pPr>
      <w:rPr>
        <w:rFonts w:ascii="Courier New" w:hAnsi="Courier New" w:cs="Courier New" w:hint="default"/>
      </w:rPr>
    </w:lvl>
    <w:lvl w:ilvl="5" w:tplc="340A0005" w:tentative="1">
      <w:start w:val="1"/>
      <w:numFmt w:val="bullet"/>
      <w:lvlText w:val=""/>
      <w:lvlJc w:val="left"/>
      <w:pPr>
        <w:ind w:left="3965" w:hanging="360"/>
      </w:pPr>
      <w:rPr>
        <w:rFonts w:ascii="Wingdings" w:hAnsi="Wingdings" w:hint="default"/>
      </w:rPr>
    </w:lvl>
    <w:lvl w:ilvl="6" w:tplc="340A0001" w:tentative="1">
      <w:start w:val="1"/>
      <w:numFmt w:val="bullet"/>
      <w:lvlText w:val=""/>
      <w:lvlJc w:val="left"/>
      <w:pPr>
        <w:ind w:left="4685" w:hanging="360"/>
      </w:pPr>
      <w:rPr>
        <w:rFonts w:ascii="Symbol" w:hAnsi="Symbol" w:hint="default"/>
      </w:rPr>
    </w:lvl>
    <w:lvl w:ilvl="7" w:tplc="340A0003" w:tentative="1">
      <w:start w:val="1"/>
      <w:numFmt w:val="bullet"/>
      <w:lvlText w:val="o"/>
      <w:lvlJc w:val="left"/>
      <w:pPr>
        <w:ind w:left="5405" w:hanging="360"/>
      </w:pPr>
      <w:rPr>
        <w:rFonts w:ascii="Courier New" w:hAnsi="Courier New" w:cs="Courier New" w:hint="default"/>
      </w:rPr>
    </w:lvl>
    <w:lvl w:ilvl="8" w:tplc="340A0005" w:tentative="1">
      <w:start w:val="1"/>
      <w:numFmt w:val="bullet"/>
      <w:lvlText w:val=""/>
      <w:lvlJc w:val="left"/>
      <w:pPr>
        <w:ind w:left="6125" w:hanging="360"/>
      </w:pPr>
      <w:rPr>
        <w:rFonts w:ascii="Wingdings" w:hAnsi="Wingdings" w:hint="default"/>
      </w:rPr>
    </w:lvl>
  </w:abstractNum>
  <w:abstractNum w:abstractNumId="6" w15:restartNumberingAfterBreak="0">
    <w:nsid w:val="4D3B08AB"/>
    <w:multiLevelType w:val="hybridMultilevel"/>
    <w:tmpl w:val="5D7A63B0"/>
    <w:lvl w:ilvl="0" w:tplc="340A001B">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C7F50A3"/>
    <w:multiLevelType w:val="hybridMultilevel"/>
    <w:tmpl w:val="7BF4C1A8"/>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62396307"/>
    <w:multiLevelType w:val="hybridMultilevel"/>
    <w:tmpl w:val="E46E1476"/>
    <w:lvl w:ilvl="0" w:tplc="E8F6E9DA">
      <w:start w:val="1"/>
      <w:numFmt w:val="lowerRoman"/>
      <w:lvlText w:val="%1."/>
      <w:lvlJc w:val="left"/>
      <w:pPr>
        <w:ind w:left="1080" w:hanging="720"/>
      </w:pPr>
      <w:rPr>
        <w:rFonts w:cs="Times New Roman"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7"/>
  </w:num>
  <w:num w:numId="5">
    <w:abstractNumId w:val="1"/>
  </w:num>
  <w:num w:numId="6">
    <w:abstractNumId w:val="2"/>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A00"/>
    <w:rsid w:val="001F7521"/>
    <w:rsid w:val="00261457"/>
    <w:rsid w:val="002F0A73"/>
    <w:rsid w:val="003011FF"/>
    <w:rsid w:val="00314DDE"/>
    <w:rsid w:val="00347D6F"/>
    <w:rsid w:val="003D2A00"/>
    <w:rsid w:val="0045146F"/>
    <w:rsid w:val="0058775A"/>
    <w:rsid w:val="005B579A"/>
    <w:rsid w:val="0064722D"/>
    <w:rsid w:val="00875ABD"/>
    <w:rsid w:val="008D0CE1"/>
    <w:rsid w:val="00907BCB"/>
    <w:rsid w:val="00982C0E"/>
    <w:rsid w:val="00B259FD"/>
    <w:rsid w:val="00E5143B"/>
    <w:rsid w:val="00F44A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2B89F"/>
  <w15:chartTrackingRefBased/>
  <w15:docId w15:val="{38A6BBFE-265F-014C-B599-C56EB60E1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ar1,Texto nota pie Car Car,Car1 Car1"/>
    <w:basedOn w:val="Normal"/>
    <w:link w:val="FootnoteTextChar"/>
    <w:uiPriority w:val="99"/>
    <w:unhideWhenUsed/>
    <w:rsid w:val="003D2A00"/>
    <w:rPr>
      <w:sz w:val="20"/>
      <w:szCs w:val="20"/>
      <w:lang w:val="es-CL"/>
    </w:rPr>
  </w:style>
  <w:style w:type="character" w:customStyle="1" w:styleId="FootnoteTextChar">
    <w:name w:val="Footnote Text Char"/>
    <w:aliases w:val="Car1 Char,Texto nota pie Car Car Char,Car1 Car1 Char"/>
    <w:basedOn w:val="DefaultParagraphFont"/>
    <w:link w:val="FootnoteText"/>
    <w:uiPriority w:val="99"/>
    <w:rsid w:val="003D2A00"/>
    <w:rPr>
      <w:sz w:val="20"/>
      <w:szCs w:val="20"/>
      <w:lang w:val="es-CL"/>
    </w:rPr>
  </w:style>
  <w:style w:type="character" w:styleId="FootnoteReference">
    <w:name w:val="footnote reference"/>
    <w:aliases w:val="Footnote Reference.SES,16 Point,Superscript 6 Point,Superscript 6 Point + 11 ...,Referencia nota al pie,Ref,de nota al pie,Footnotes refss,Ref. de nota al pie.,Texto de nota al pie,Appel note de bas de page,referencia nota al pie,f,4_G"/>
    <w:basedOn w:val="DefaultParagraphFont"/>
    <w:uiPriority w:val="99"/>
    <w:unhideWhenUsed/>
    <w:qFormat/>
    <w:rsid w:val="003D2A00"/>
    <w:rPr>
      <w:vertAlign w:val="superscript"/>
    </w:rPr>
  </w:style>
  <w:style w:type="paragraph" w:styleId="ListParagraph">
    <w:name w:val="List Paragraph"/>
    <w:basedOn w:val="Normal"/>
    <w:uiPriority w:val="34"/>
    <w:qFormat/>
    <w:rsid w:val="0058775A"/>
    <w:pPr>
      <w:ind w:left="720"/>
      <w:contextualSpacing/>
    </w:pPr>
  </w:style>
  <w:style w:type="table" w:styleId="TableGrid">
    <w:name w:val="Table Grid"/>
    <w:basedOn w:val="TableNormal"/>
    <w:uiPriority w:val="59"/>
    <w:rsid w:val="00587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87CE70-C588-4082-A134-549E08A1B589}"/>
</file>

<file path=customXml/itemProps2.xml><?xml version="1.0" encoding="utf-8"?>
<ds:datastoreItem xmlns:ds="http://schemas.openxmlformats.org/officeDocument/2006/customXml" ds:itemID="{7AB6D5C5-858F-41A6-AA20-7302FF2D09C3}"/>
</file>

<file path=customXml/itemProps3.xml><?xml version="1.0" encoding="utf-8"?>
<ds:datastoreItem xmlns:ds="http://schemas.openxmlformats.org/officeDocument/2006/customXml" ds:itemID="{6D2CEFAB-5673-493E-B05C-00B71D61F643}"/>
</file>

<file path=docProps/app.xml><?xml version="1.0" encoding="utf-8"?>
<Properties xmlns="http://schemas.openxmlformats.org/officeDocument/2006/extended-properties" xmlns:vt="http://schemas.openxmlformats.org/officeDocument/2006/docPropsVTypes">
  <Template>Normal.dotm</Template>
  <TotalTime>1</TotalTime>
  <Pages>19</Pages>
  <Words>8883</Words>
  <Characters>47528</Characters>
  <Application>Microsoft Office Word</Application>
  <DocSecurity>0</DocSecurity>
  <Lines>848</Lines>
  <Paragraphs>318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Zegers</dc:creator>
  <cp:keywords/>
  <dc:description/>
  <cp:lastModifiedBy>ROSNIANSKY Cherry Lou</cp:lastModifiedBy>
  <cp:revision>2</cp:revision>
  <dcterms:created xsi:type="dcterms:W3CDTF">2021-04-23T09:24:00Z</dcterms:created>
  <dcterms:modified xsi:type="dcterms:W3CDTF">2021-04-23T09:24:00Z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