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E34CB" w14:textId="77777777" w:rsidR="00C324FE" w:rsidRDefault="00C324FE" w:rsidP="00C324FE">
      <w:pPr>
        <w:spacing w:after="0" w:line="240" w:lineRule="auto"/>
        <w:jc w:val="center"/>
        <w:rPr>
          <w:b/>
          <w:bCs/>
          <w:sz w:val="36"/>
          <w:szCs w:val="36"/>
          <w:lang w:val="en-US"/>
        </w:rPr>
      </w:pPr>
    </w:p>
    <w:p w14:paraId="3BCEB1E3" w14:textId="77777777" w:rsidR="00C324FE" w:rsidRDefault="00C324FE" w:rsidP="00C324FE">
      <w:pPr>
        <w:spacing w:after="0" w:line="240" w:lineRule="auto"/>
        <w:jc w:val="center"/>
        <w:rPr>
          <w:b/>
          <w:bCs/>
          <w:sz w:val="36"/>
          <w:szCs w:val="36"/>
          <w:lang w:val="en-US"/>
        </w:rPr>
      </w:pPr>
    </w:p>
    <w:p w14:paraId="0E763096" w14:textId="77777777" w:rsidR="00C324FE" w:rsidRDefault="00C324FE" w:rsidP="00C324FE">
      <w:pPr>
        <w:spacing w:after="0" w:line="240" w:lineRule="auto"/>
        <w:jc w:val="center"/>
        <w:rPr>
          <w:b/>
          <w:bCs/>
          <w:sz w:val="36"/>
          <w:szCs w:val="36"/>
          <w:lang w:val="en-US"/>
        </w:rPr>
      </w:pPr>
    </w:p>
    <w:p w14:paraId="0A62E79D" w14:textId="77777777" w:rsidR="00C324FE" w:rsidRDefault="00C324FE" w:rsidP="00C324FE">
      <w:pPr>
        <w:spacing w:after="0" w:line="240" w:lineRule="auto"/>
        <w:jc w:val="center"/>
        <w:rPr>
          <w:b/>
          <w:bCs/>
          <w:sz w:val="36"/>
          <w:szCs w:val="36"/>
          <w:lang w:val="en-US"/>
        </w:rPr>
      </w:pPr>
    </w:p>
    <w:p w14:paraId="5FDDE451" w14:textId="77777777" w:rsidR="00C324FE" w:rsidRDefault="00C324FE" w:rsidP="00C324FE">
      <w:pPr>
        <w:spacing w:after="0" w:line="240" w:lineRule="auto"/>
        <w:jc w:val="center"/>
        <w:rPr>
          <w:b/>
          <w:bCs/>
          <w:sz w:val="36"/>
          <w:szCs w:val="36"/>
          <w:lang w:val="en-US"/>
        </w:rPr>
      </w:pPr>
    </w:p>
    <w:p w14:paraId="5DE2B13E" w14:textId="77777777" w:rsidR="00C324FE" w:rsidRDefault="00C324FE" w:rsidP="00C324FE">
      <w:pPr>
        <w:spacing w:after="0" w:line="240" w:lineRule="auto"/>
        <w:jc w:val="center"/>
        <w:rPr>
          <w:b/>
          <w:bCs/>
          <w:sz w:val="36"/>
          <w:szCs w:val="36"/>
          <w:lang w:val="en-US"/>
        </w:rPr>
      </w:pPr>
    </w:p>
    <w:p w14:paraId="2988A257" w14:textId="77777777" w:rsidR="00287CF8" w:rsidRDefault="00287CF8" w:rsidP="00C324FE">
      <w:pPr>
        <w:spacing w:after="0" w:line="240" w:lineRule="auto"/>
        <w:jc w:val="center"/>
        <w:rPr>
          <w:b/>
          <w:bCs/>
          <w:sz w:val="72"/>
          <w:szCs w:val="72"/>
          <w:lang w:val="en-US"/>
        </w:rPr>
      </w:pPr>
      <w:bookmarkStart w:id="0" w:name="_Hlk195538432"/>
    </w:p>
    <w:p w14:paraId="065876FF" w14:textId="26BFDCDC" w:rsidR="00C324FE" w:rsidRPr="006A6632" w:rsidRDefault="00C324FE" w:rsidP="00C324FE">
      <w:pPr>
        <w:spacing w:after="0" w:line="240" w:lineRule="auto"/>
        <w:jc w:val="center"/>
        <w:rPr>
          <w:b/>
          <w:bCs/>
          <w:sz w:val="72"/>
          <w:szCs w:val="72"/>
          <w:lang w:val="en-US"/>
        </w:rPr>
      </w:pPr>
      <w:bookmarkStart w:id="1" w:name="_Hlk195638276"/>
      <w:r w:rsidRPr="006A6632">
        <w:rPr>
          <w:b/>
          <w:bCs/>
          <w:sz w:val="72"/>
          <w:szCs w:val="72"/>
          <w:lang w:val="en-US"/>
        </w:rPr>
        <w:t>“What About Us?”</w:t>
      </w:r>
    </w:p>
    <w:p w14:paraId="0AD9CB1D" w14:textId="77777777" w:rsidR="00C324FE" w:rsidRDefault="00C324FE" w:rsidP="00C324FE">
      <w:pPr>
        <w:spacing w:after="0" w:line="240" w:lineRule="auto"/>
        <w:jc w:val="center"/>
        <w:rPr>
          <w:b/>
          <w:bCs/>
          <w:sz w:val="36"/>
          <w:szCs w:val="36"/>
          <w:lang w:val="en-US"/>
        </w:rPr>
      </w:pPr>
      <w:r w:rsidRPr="00C324FE">
        <w:rPr>
          <w:b/>
          <w:bCs/>
          <w:sz w:val="36"/>
          <w:szCs w:val="36"/>
          <w:lang w:val="en-US"/>
        </w:rPr>
        <w:t>Children’s Rights and Local Governance in Norway</w:t>
      </w:r>
    </w:p>
    <w:bookmarkEnd w:id="0"/>
    <w:p w14:paraId="1DDFCDE1" w14:textId="77777777" w:rsidR="00C324FE" w:rsidRDefault="00C324FE" w:rsidP="00C324FE">
      <w:pPr>
        <w:spacing w:after="0" w:line="240" w:lineRule="auto"/>
        <w:jc w:val="center"/>
        <w:rPr>
          <w:b/>
          <w:bCs/>
          <w:sz w:val="36"/>
          <w:szCs w:val="36"/>
          <w:lang w:val="en-US"/>
        </w:rPr>
      </w:pPr>
    </w:p>
    <w:p w14:paraId="70CBCFA6" w14:textId="650F4133" w:rsidR="00E65581" w:rsidRPr="0025513E" w:rsidRDefault="00E65581" w:rsidP="00E65581">
      <w:pPr>
        <w:spacing w:after="0" w:line="240" w:lineRule="auto"/>
        <w:jc w:val="center"/>
        <w:rPr>
          <w:sz w:val="28"/>
          <w:szCs w:val="28"/>
          <w:lang w:val="en-US"/>
        </w:rPr>
      </w:pPr>
      <w:r w:rsidRPr="0025513E">
        <w:rPr>
          <w:sz w:val="28"/>
          <w:szCs w:val="28"/>
          <w:lang w:val="en-US"/>
        </w:rPr>
        <w:t>Summary Report from a National Survey on the Convention on the Rights of the Child (CRC) in Norwegian Municipalities:</w:t>
      </w:r>
      <w:r w:rsidRPr="0025513E">
        <w:rPr>
          <w:rFonts w:ascii="Aptos" w:hAnsi="Aptos" w:cs="Arial"/>
          <w:b/>
          <w:bCs/>
          <w:color w:val="222222"/>
          <w:sz w:val="28"/>
          <w:szCs w:val="28"/>
          <w:shd w:val="clear" w:color="auto" w:fill="FFFFFF"/>
          <w:lang w:val="en-US"/>
        </w:rPr>
        <w:t xml:space="preserve"> </w:t>
      </w:r>
      <w:r w:rsidRPr="0025513E">
        <w:rPr>
          <w:rFonts w:ascii="Aptos" w:hAnsi="Aptos" w:cs="Arial"/>
          <w:color w:val="222222"/>
          <w:sz w:val="28"/>
          <w:szCs w:val="28"/>
          <w:shd w:val="clear" w:color="auto" w:fill="FFFFFF"/>
          <w:lang w:val="en-US"/>
        </w:rPr>
        <w:t>Awareness, Application, and Gaps in Implementation</w:t>
      </w:r>
    </w:p>
    <w:p w14:paraId="7592A677" w14:textId="77777777" w:rsidR="00C324FE" w:rsidRPr="00E65581" w:rsidRDefault="00C324FE" w:rsidP="00C324FE">
      <w:pPr>
        <w:spacing w:after="0" w:line="240" w:lineRule="auto"/>
        <w:jc w:val="center"/>
        <w:rPr>
          <w:sz w:val="36"/>
          <w:szCs w:val="36"/>
          <w:lang w:val="en-US"/>
        </w:rPr>
      </w:pPr>
    </w:p>
    <w:bookmarkEnd w:id="1"/>
    <w:p w14:paraId="640C51F9" w14:textId="77777777" w:rsidR="00CB78CD" w:rsidRDefault="00CB78CD" w:rsidP="00C324FE">
      <w:pPr>
        <w:spacing w:after="0" w:line="240" w:lineRule="auto"/>
        <w:jc w:val="center"/>
        <w:rPr>
          <w:b/>
          <w:bCs/>
          <w:sz w:val="28"/>
          <w:szCs w:val="28"/>
          <w:lang w:val="en-US"/>
        </w:rPr>
      </w:pPr>
    </w:p>
    <w:p w14:paraId="0619F6BC" w14:textId="43189D51" w:rsidR="00C324FE" w:rsidRPr="00CB78CD" w:rsidRDefault="00C324FE" w:rsidP="00C324FE">
      <w:pPr>
        <w:spacing w:after="0" w:line="240" w:lineRule="auto"/>
        <w:jc w:val="center"/>
        <w:rPr>
          <w:b/>
          <w:bCs/>
          <w:sz w:val="28"/>
          <w:szCs w:val="28"/>
          <w:lang w:val="en-US"/>
        </w:rPr>
      </w:pPr>
      <w:r w:rsidRPr="00CB78CD">
        <w:rPr>
          <w:b/>
          <w:bCs/>
          <w:sz w:val="28"/>
          <w:szCs w:val="28"/>
          <w:lang w:val="en-US"/>
        </w:rPr>
        <w:t>Elise Kipperberg</w:t>
      </w:r>
    </w:p>
    <w:p w14:paraId="46B5EFF8" w14:textId="19E67A6E" w:rsidR="00C324FE" w:rsidRPr="00CB78CD" w:rsidRDefault="00C324FE" w:rsidP="00C324FE">
      <w:pPr>
        <w:spacing w:after="0" w:line="240" w:lineRule="auto"/>
        <w:jc w:val="center"/>
        <w:rPr>
          <w:sz w:val="28"/>
          <w:szCs w:val="28"/>
          <w:lang w:val="en-US"/>
        </w:rPr>
      </w:pPr>
      <w:r w:rsidRPr="00CB78CD">
        <w:rPr>
          <w:sz w:val="28"/>
          <w:szCs w:val="28"/>
          <w:lang w:val="en-US"/>
        </w:rPr>
        <w:t>Docent emerita</w:t>
      </w:r>
    </w:p>
    <w:p w14:paraId="47D20ADF" w14:textId="751AFAB4" w:rsidR="00C324FE" w:rsidRPr="00CB78CD" w:rsidRDefault="00C324FE" w:rsidP="00C324FE">
      <w:pPr>
        <w:spacing w:after="0" w:line="240" w:lineRule="auto"/>
        <w:jc w:val="center"/>
        <w:rPr>
          <w:sz w:val="28"/>
          <w:szCs w:val="28"/>
          <w:lang w:val="en-US"/>
        </w:rPr>
      </w:pPr>
      <w:r w:rsidRPr="00CB78CD">
        <w:rPr>
          <w:sz w:val="28"/>
          <w:szCs w:val="28"/>
          <w:lang w:val="en-US"/>
        </w:rPr>
        <w:t>University of Stavanger</w:t>
      </w:r>
    </w:p>
    <w:p w14:paraId="48BBAAD9" w14:textId="77777777" w:rsidR="00C324FE" w:rsidRPr="00CB78CD" w:rsidRDefault="00C324FE" w:rsidP="00C324FE">
      <w:pPr>
        <w:spacing w:after="0" w:line="240" w:lineRule="auto"/>
        <w:jc w:val="center"/>
        <w:rPr>
          <w:sz w:val="28"/>
          <w:szCs w:val="28"/>
          <w:lang w:val="en-US"/>
        </w:rPr>
      </w:pPr>
    </w:p>
    <w:p w14:paraId="1C40E088" w14:textId="2B07382F" w:rsidR="00C324FE" w:rsidRPr="00CB78CD" w:rsidRDefault="00C324FE" w:rsidP="00C324FE">
      <w:pPr>
        <w:spacing w:after="0" w:line="240" w:lineRule="auto"/>
        <w:jc w:val="center"/>
        <w:rPr>
          <w:b/>
          <w:bCs/>
          <w:sz w:val="28"/>
          <w:szCs w:val="28"/>
          <w:lang w:val="en-US"/>
        </w:rPr>
      </w:pPr>
      <w:r w:rsidRPr="00CB78CD">
        <w:rPr>
          <w:b/>
          <w:bCs/>
          <w:sz w:val="28"/>
          <w:szCs w:val="28"/>
          <w:lang w:val="en-US"/>
        </w:rPr>
        <w:t>Gorm Kipperberg</w:t>
      </w:r>
    </w:p>
    <w:p w14:paraId="4D1E3E58" w14:textId="7C62C290" w:rsidR="00C324FE" w:rsidRPr="00CB78CD" w:rsidRDefault="00C324FE" w:rsidP="00C324FE">
      <w:pPr>
        <w:spacing w:after="0" w:line="240" w:lineRule="auto"/>
        <w:jc w:val="center"/>
        <w:rPr>
          <w:sz w:val="28"/>
          <w:szCs w:val="28"/>
          <w:lang w:val="en-US"/>
        </w:rPr>
      </w:pPr>
      <w:r w:rsidRPr="00CB78CD">
        <w:rPr>
          <w:sz w:val="28"/>
          <w:szCs w:val="28"/>
          <w:lang w:val="en-US"/>
        </w:rPr>
        <w:t>Professor</w:t>
      </w:r>
    </w:p>
    <w:p w14:paraId="4E4B5932" w14:textId="077B0647" w:rsidR="0025513E" w:rsidRDefault="00C324FE" w:rsidP="0025513E">
      <w:pPr>
        <w:spacing w:after="0" w:line="240" w:lineRule="auto"/>
        <w:jc w:val="center"/>
        <w:rPr>
          <w:sz w:val="28"/>
          <w:szCs w:val="28"/>
          <w:lang w:val="en-US"/>
        </w:rPr>
      </w:pPr>
      <w:r w:rsidRPr="00CB78CD">
        <w:rPr>
          <w:sz w:val="28"/>
          <w:szCs w:val="28"/>
          <w:lang w:val="en-US"/>
        </w:rPr>
        <w:t>University of Stavanger</w:t>
      </w:r>
    </w:p>
    <w:p w14:paraId="08DDBACF" w14:textId="77777777" w:rsidR="0025513E" w:rsidRDefault="0025513E" w:rsidP="0025513E">
      <w:pPr>
        <w:spacing w:after="0" w:line="240" w:lineRule="auto"/>
        <w:jc w:val="center"/>
        <w:rPr>
          <w:sz w:val="28"/>
          <w:szCs w:val="28"/>
          <w:lang w:val="en-US"/>
        </w:rPr>
      </w:pPr>
    </w:p>
    <w:p w14:paraId="674B6ECD" w14:textId="77777777" w:rsidR="0025513E" w:rsidRDefault="0025513E" w:rsidP="0025513E">
      <w:pPr>
        <w:spacing w:after="0" w:line="240" w:lineRule="auto"/>
        <w:jc w:val="center"/>
        <w:rPr>
          <w:sz w:val="28"/>
          <w:szCs w:val="28"/>
          <w:lang w:val="en-US"/>
        </w:rPr>
      </w:pPr>
    </w:p>
    <w:p w14:paraId="4F97C4C2" w14:textId="77777777" w:rsidR="0025513E" w:rsidRDefault="0025513E" w:rsidP="0025513E">
      <w:pPr>
        <w:spacing w:after="0" w:line="240" w:lineRule="auto"/>
        <w:jc w:val="center"/>
        <w:rPr>
          <w:sz w:val="28"/>
          <w:szCs w:val="28"/>
          <w:lang w:val="en-US"/>
        </w:rPr>
      </w:pPr>
    </w:p>
    <w:p w14:paraId="788BF158" w14:textId="77777777" w:rsidR="0025513E" w:rsidRDefault="0025513E" w:rsidP="0025513E">
      <w:pPr>
        <w:spacing w:after="0" w:line="240" w:lineRule="auto"/>
        <w:jc w:val="center"/>
        <w:rPr>
          <w:sz w:val="28"/>
          <w:szCs w:val="28"/>
          <w:lang w:val="en-US"/>
        </w:rPr>
      </w:pPr>
    </w:p>
    <w:p w14:paraId="1BC93B37" w14:textId="77777777" w:rsidR="0025513E" w:rsidRDefault="0025513E" w:rsidP="0025513E">
      <w:pPr>
        <w:spacing w:after="0" w:line="240" w:lineRule="auto"/>
        <w:jc w:val="center"/>
        <w:rPr>
          <w:sz w:val="28"/>
          <w:szCs w:val="28"/>
          <w:lang w:val="en-US"/>
        </w:rPr>
      </w:pPr>
    </w:p>
    <w:p w14:paraId="75F9C40F" w14:textId="77777777" w:rsidR="0025513E" w:rsidRDefault="0025513E" w:rsidP="0025513E">
      <w:pPr>
        <w:spacing w:after="0" w:line="240" w:lineRule="auto"/>
        <w:jc w:val="center"/>
        <w:rPr>
          <w:sz w:val="28"/>
          <w:szCs w:val="28"/>
          <w:lang w:val="en-US"/>
        </w:rPr>
      </w:pPr>
    </w:p>
    <w:p w14:paraId="73A8188E" w14:textId="77777777" w:rsidR="0025513E" w:rsidRDefault="0025513E" w:rsidP="0025513E">
      <w:pPr>
        <w:spacing w:after="0" w:line="240" w:lineRule="auto"/>
        <w:jc w:val="center"/>
        <w:rPr>
          <w:sz w:val="28"/>
          <w:szCs w:val="28"/>
          <w:lang w:val="en-US"/>
        </w:rPr>
      </w:pPr>
    </w:p>
    <w:p w14:paraId="5D7CDE79" w14:textId="77777777" w:rsidR="0025513E" w:rsidRDefault="0025513E" w:rsidP="0025513E">
      <w:pPr>
        <w:spacing w:after="0" w:line="240" w:lineRule="auto"/>
        <w:jc w:val="center"/>
        <w:rPr>
          <w:sz w:val="28"/>
          <w:szCs w:val="28"/>
          <w:lang w:val="en-US"/>
        </w:rPr>
      </w:pPr>
    </w:p>
    <w:p w14:paraId="4D1A29D6" w14:textId="77777777" w:rsidR="0025513E" w:rsidRDefault="0025513E" w:rsidP="0025513E">
      <w:pPr>
        <w:spacing w:after="0" w:line="240" w:lineRule="auto"/>
        <w:jc w:val="center"/>
        <w:rPr>
          <w:sz w:val="28"/>
          <w:szCs w:val="28"/>
          <w:lang w:val="en-US"/>
        </w:rPr>
      </w:pPr>
    </w:p>
    <w:p w14:paraId="2DB443D3" w14:textId="5AC09D7D" w:rsidR="0025513E" w:rsidRPr="0025513E" w:rsidRDefault="0025513E" w:rsidP="0025513E">
      <w:pPr>
        <w:pBdr>
          <w:top w:val="single" w:sz="4" w:space="1" w:color="auto"/>
          <w:left w:val="single" w:sz="4" w:space="4" w:color="auto"/>
          <w:bottom w:val="single" w:sz="4" w:space="1" w:color="auto"/>
          <w:right w:val="single" w:sz="4" w:space="4" w:color="auto"/>
        </w:pBdr>
        <w:spacing w:after="0" w:line="240" w:lineRule="auto"/>
        <w:jc w:val="center"/>
        <w:rPr>
          <w:b/>
          <w:bCs/>
          <w:sz w:val="20"/>
          <w:szCs w:val="20"/>
          <w:lang w:val="en-US"/>
        </w:rPr>
      </w:pPr>
      <w:r w:rsidRPr="0025513E">
        <w:rPr>
          <w:b/>
          <w:bCs/>
          <w:sz w:val="20"/>
          <w:szCs w:val="20"/>
          <w:lang w:val="en-US"/>
        </w:rPr>
        <w:t>Please cite as:</w:t>
      </w:r>
    </w:p>
    <w:p w14:paraId="1902B4D3" w14:textId="666BD884" w:rsidR="0025513E" w:rsidRPr="0025513E" w:rsidRDefault="0025513E" w:rsidP="0025513E">
      <w:pPr>
        <w:pBdr>
          <w:top w:val="single" w:sz="4" w:space="1" w:color="auto"/>
          <w:left w:val="single" w:sz="4" w:space="4" w:color="auto"/>
          <w:bottom w:val="single" w:sz="4" w:space="1" w:color="auto"/>
          <w:right w:val="single" w:sz="4" w:space="4" w:color="auto"/>
        </w:pBdr>
        <w:spacing w:after="0" w:line="240" w:lineRule="auto"/>
        <w:jc w:val="both"/>
        <w:rPr>
          <w:sz w:val="20"/>
          <w:szCs w:val="20"/>
          <w:lang w:val="en-US"/>
        </w:rPr>
      </w:pPr>
      <w:r w:rsidRPr="0025513E">
        <w:rPr>
          <w:sz w:val="20"/>
          <w:szCs w:val="20"/>
          <w:lang w:val="en-US"/>
        </w:rPr>
        <w:t xml:space="preserve">Kipperberg, E., Kipperberg, G. (2025). </w:t>
      </w:r>
      <w:r w:rsidRPr="0025513E">
        <w:rPr>
          <w:i/>
          <w:iCs/>
          <w:sz w:val="20"/>
          <w:szCs w:val="20"/>
          <w:lang w:val="en-US"/>
        </w:rPr>
        <w:t xml:space="preserve">What About Us? Children Rights and Local Governance in Norway. A </w:t>
      </w:r>
      <w:r>
        <w:rPr>
          <w:i/>
          <w:iCs/>
          <w:sz w:val="20"/>
          <w:szCs w:val="20"/>
          <w:lang w:val="en-US"/>
        </w:rPr>
        <w:t>Survey S</w:t>
      </w:r>
      <w:r w:rsidRPr="0025513E">
        <w:rPr>
          <w:i/>
          <w:iCs/>
          <w:sz w:val="20"/>
          <w:szCs w:val="20"/>
          <w:lang w:val="en-US"/>
        </w:rPr>
        <w:t>ummary Report.</w:t>
      </w:r>
      <w:r>
        <w:rPr>
          <w:sz w:val="20"/>
          <w:szCs w:val="20"/>
          <w:lang w:val="en-US"/>
        </w:rPr>
        <w:t xml:space="preserve"> University of Stavanger (Norway). </w:t>
      </w:r>
    </w:p>
    <w:p w14:paraId="753FA6B6" w14:textId="747D29DC" w:rsidR="00287CF8" w:rsidRDefault="00C324FE" w:rsidP="00287CF8">
      <w:pPr>
        <w:spacing w:before="100" w:beforeAutospacing="1" w:after="100" w:afterAutospacing="1" w:line="240" w:lineRule="auto"/>
        <w:jc w:val="both"/>
        <w:rPr>
          <w:b/>
          <w:bCs/>
          <w:sz w:val="36"/>
          <w:szCs w:val="36"/>
          <w:lang w:val="en-US"/>
        </w:rPr>
      </w:pPr>
      <w:r w:rsidRPr="0025513E">
        <w:rPr>
          <w:b/>
          <w:bCs/>
          <w:sz w:val="36"/>
          <w:szCs w:val="36"/>
          <w:lang w:val="en-US"/>
        </w:rPr>
        <w:br w:type="page"/>
      </w:r>
    </w:p>
    <w:p w14:paraId="0D02CC39" w14:textId="4EB79E45" w:rsidR="00245FEA" w:rsidRPr="00C324FE" w:rsidRDefault="00245FEA" w:rsidP="0025513E">
      <w:pPr>
        <w:spacing w:after="0" w:line="240" w:lineRule="auto"/>
        <w:jc w:val="center"/>
        <w:rPr>
          <w:b/>
          <w:bCs/>
          <w:sz w:val="36"/>
          <w:szCs w:val="36"/>
          <w:lang w:val="en-US"/>
        </w:rPr>
      </w:pPr>
      <w:r w:rsidRPr="00C324FE">
        <w:rPr>
          <w:b/>
          <w:bCs/>
          <w:sz w:val="36"/>
          <w:szCs w:val="36"/>
          <w:lang w:val="en-US"/>
        </w:rPr>
        <w:lastRenderedPageBreak/>
        <w:t>“What About Us?”</w:t>
      </w:r>
    </w:p>
    <w:p w14:paraId="0C848FCA" w14:textId="3F616A25" w:rsidR="002A40AF" w:rsidRPr="00C324FE" w:rsidRDefault="00245FEA" w:rsidP="0025513E">
      <w:pPr>
        <w:spacing w:after="0" w:line="240" w:lineRule="auto"/>
        <w:jc w:val="center"/>
        <w:rPr>
          <w:b/>
          <w:bCs/>
          <w:sz w:val="36"/>
          <w:szCs w:val="36"/>
          <w:lang w:val="en-US"/>
        </w:rPr>
      </w:pPr>
      <w:r w:rsidRPr="00C324FE">
        <w:rPr>
          <w:b/>
          <w:bCs/>
          <w:sz w:val="36"/>
          <w:szCs w:val="36"/>
          <w:lang w:val="en-US"/>
        </w:rPr>
        <w:t>Children’s Rights and Local Governance in Norway</w:t>
      </w:r>
    </w:p>
    <w:p w14:paraId="6D80297C" w14:textId="77777777" w:rsidR="00245FEA" w:rsidRPr="00245FEA" w:rsidRDefault="00245FEA" w:rsidP="0025513E">
      <w:pPr>
        <w:spacing w:after="0" w:line="240" w:lineRule="auto"/>
        <w:jc w:val="both"/>
        <w:rPr>
          <w:lang w:val="en-US"/>
        </w:rPr>
      </w:pPr>
    </w:p>
    <w:p w14:paraId="584BA155" w14:textId="114E1EBA" w:rsidR="002A40AF" w:rsidRPr="00C324FE" w:rsidRDefault="002A40AF" w:rsidP="0025513E">
      <w:pPr>
        <w:spacing w:after="0" w:line="240" w:lineRule="auto"/>
        <w:jc w:val="both"/>
        <w:rPr>
          <w:b/>
          <w:bCs/>
          <w:i/>
          <w:iCs/>
          <w:lang w:val="en-US"/>
        </w:rPr>
      </w:pPr>
      <w:r w:rsidRPr="00C324FE">
        <w:rPr>
          <w:b/>
          <w:bCs/>
          <w:i/>
          <w:iCs/>
          <w:lang w:val="en-US"/>
        </w:rPr>
        <w:t xml:space="preserve">How well do elected </w:t>
      </w:r>
      <w:r w:rsidR="00CF7189" w:rsidRPr="00C324FE">
        <w:rPr>
          <w:b/>
          <w:bCs/>
          <w:i/>
          <w:iCs/>
          <w:lang w:val="en-US"/>
        </w:rPr>
        <w:t>local politicians</w:t>
      </w:r>
      <w:r w:rsidRPr="00C324FE">
        <w:rPr>
          <w:b/>
          <w:bCs/>
          <w:i/>
          <w:iCs/>
          <w:lang w:val="en-US"/>
        </w:rPr>
        <w:t xml:space="preserve"> understand the Convention on the Rights of the Child, and to what extent do they actively use it as a governance tool in municipal decision-making processes affecting children’s upbringing and living conditions?</w:t>
      </w:r>
    </w:p>
    <w:p w14:paraId="5753F913" w14:textId="77777777" w:rsidR="002A40AF" w:rsidRPr="00C32FEE" w:rsidRDefault="002A40AF" w:rsidP="0025513E">
      <w:pPr>
        <w:spacing w:after="0" w:line="240" w:lineRule="auto"/>
        <w:jc w:val="both"/>
        <w:rPr>
          <w:b/>
          <w:bCs/>
          <w:lang w:val="en-US"/>
        </w:rPr>
      </w:pPr>
    </w:p>
    <w:p w14:paraId="1AFC3719" w14:textId="3B809F58" w:rsidR="002A40AF" w:rsidRPr="00C32FEE" w:rsidRDefault="00D72AB4" w:rsidP="0025513E">
      <w:pPr>
        <w:spacing w:after="0" w:line="240" w:lineRule="auto"/>
        <w:jc w:val="both"/>
        <w:rPr>
          <w:b/>
          <w:bCs/>
          <w:sz w:val="28"/>
          <w:szCs w:val="28"/>
          <w:lang w:val="en-US"/>
        </w:rPr>
      </w:pPr>
      <w:r w:rsidRPr="00C32FEE">
        <w:rPr>
          <w:b/>
          <w:bCs/>
          <w:sz w:val="28"/>
          <w:szCs w:val="28"/>
          <w:lang w:val="en-US"/>
        </w:rPr>
        <w:t>INTRODUCTION</w:t>
      </w:r>
    </w:p>
    <w:p w14:paraId="58DA8037" w14:textId="77777777" w:rsidR="002A40AF" w:rsidRPr="00C32FEE" w:rsidRDefault="002A40AF" w:rsidP="0025513E">
      <w:pPr>
        <w:spacing w:after="0" w:line="240" w:lineRule="auto"/>
        <w:jc w:val="both"/>
        <w:rPr>
          <w:lang w:val="en-US"/>
        </w:rPr>
      </w:pPr>
      <w:r w:rsidRPr="00C32FEE">
        <w:rPr>
          <w:lang w:val="en-US"/>
        </w:rPr>
        <w:t>This report presents the results of the first national survey in Norway examining local politicians’ knowledge of the Convention on the Rights of the Child (CRC) and related governance tools</w:t>
      </w:r>
      <w:r w:rsidRPr="00983473">
        <w:rPr>
          <w:lang w:val="en-US"/>
        </w:rPr>
        <w:t>—</w:t>
      </w:r>
      <w:r w:rsidRPr="00C32FEE">
        <w:rPr>
          <w:lang w:val="en-US"/>
        </w:rPr>
        <w:t xml:space="preserve">and the extent to which they actively apply the CRC in municipal decision-making processes in the best interest of children. The study is </w:t>
      </w:r>
      <w:r w:rsidRPr="00374945">
        <w:rPr>
          <w:lang w:val="en-US"/>
        </w:rPr>
        <w:t>grounded in</w:t>
      </w:r>
      <w:r w:rsidRPr="00C32FEE">
        <w:rPr>
          <w:lang w:val="en-US"/>
        </w:rPr>
        <w:t xml:space="preserve"> the recommendations made by the UN Committee on the Rights of the Child (CRC Committee) to Norway following its review of Norway’s combined fifth and sixth state report on children’s rights in 2018 (CRC/C/NOR/CO/5-6).</w:t>
      </w:r>
    </w:p>
    <w:p w14:paraId="1C5426F4" w14:textId="77777777" w:rsidR="002A40AF" w:rsidRPr="00C32FEE" w:rsidRDefault="002A40AF" w:rsidP="002A40AF">
      <w:pPr>
        <w:spacing w:after="0" w:line="240" w:lineRule="auto"/>
        <w:jc w:val="both"/>
        <w:rPr>
          <w:lang w:val="en-US"/>
        </w:rPr>
      </w:pPr>
    </w:p>
    <w:p w14:paraId="276523EE" w14:textId="523EDAA1" w:rsidR="002A40AF" w:rsidRPr="00C32FEE" w:rsidRDefault="002A40AF" w:rsidP="002A40AF">
      <w:pPr>
        <w:spacing w:after="0" w:line="240" w:lineRule="auto"/>
        <w:jc w:val="both"/>
        <w:rPr>
          <w:lang w:val="en-US"/>
        </w:rPr>
      </w:pPr>
      <w:r w:rsidRPr="00C32FEE">
        <w:rPr>
          <w:lang w:val="en-US"/>
        </w:rPr>
        <w:t xml:space="preserve">The Committee issued a total of 98 recommendations aimed at further strengthening the protection and realization of children’s human rights. Several of these recommendations require follow-up at the municipal level, and Norway is expected to report on this progress during the dialogue </w:t>
      </w:r>
      <w:r w:rsidR="00374945">
        <w:rPr>
          <w:lang w:val="en-US"/>
        </w:rPr>
        <w:t xml:space="preserve">in UN about the </w:t>
      </w:r>
      <w:r w:rsidRPr="00C32FEE">
        <w:rPr>
          <w:lang w:val="en-US"/>
        </w:rPr>
        <w:t>seventh periodic report in May 2025.</w:t>
      </w:r>
    </w:p>
    <w:p w14:paraId="6E2019E1" w14:textId="77777777" w:rsidR="002A40AF" w:rsidRPr="00C32FEE" w:rsidRDefault="002A40AF" w:rsidP="002A40AF">
      <w:pPr>
        <w:spacing w:after="0" w:line="240" w:lineRule="auto"/>
        <w:jc w:val="both"/>
        <w:rPr>
          <w:lang w:val="en-US"/>
        </w:rPr>
      </w:pPr>
    </w:p>
    <w:p w14:paraId="608DC452" w14:textId="77777777" w:rsidR="002A40AF" w:rsidRPr="00C32FEE" w:rsidRDefault="002A40AF" w:rsidP="002A40AF">
      <w:pPr>
        <w:spacing w:after="0" w:line="240" w:lineRule="auto"/>
        <w:jc w:val="both"/>
        <w:rPr>
          <w:lang w:val="en-US"/>
        </w:rPr>
      </w:pPr>
      <w:r w:rsidRPr="00C32FEE">
        <w:rPr>
          <w:lang w:val="en-US"/>
        </w:rPr>
        <w:t>The reporting process between Norwegian authorities and the CRC Committee serves as a unique accountability mechanism. It provides a structured way to document the implementation of children’s human rights and acts as an important “measuring instrument” across different areas of rights. This survey addresses a subset of the recommendations under Cluster A: General measures of implementation (Articles 4, 42, and 44.6). The recommendation to “</w:t>
      </w:r>
      <w:proofErr w:type="gramStart"/>
      <w:r w:rsidRPr="00C32FEE">
        <w:rPr>
          <w:b/>
          <w:bCs/>
          <w:i/>
          <w:iCs/>
          <w:lang w:val="en-US"/>
        </w:rPr>
        <w:t>increase</w:t>
      </w:r>
      <w:proofErr w:type="gramEnd"/>
      <w:r w:rsidRPr="00C32FEE">
        <w:rPr>
          <w:b/>
          <w:bCs/>
          <w:i/>
          <w:iCs/>
          <w:lang w:val="en-US"/>
        </w:rPr>
        <w:t xml:space="preserve"> awareness of children’s rights in policymaking bodies and municipal administrations</w:t>
      </w:r>
      <w:r w:rsidRPr="00C32FEE">
        <w:rPr>
          <w:lang w:val="en-US"/>
        </w:rPr>
        <w:t>” (CRC/C/NOR/CO/5-6, point 10c) is central to this effort.</w:t>
      </w:r>
    </w:p>
    <w:p w14:paraId="39B17A19" w14:textId="77777777" w:rsidR="002A40AF" w:rsidRPr="00C32FEE" w:rsidRDefault="002A40AF" w:rsidP="002A40AF">
      <w:pPr>
        <w:spacing w:after="0" w:line="240" w:lineRule="auto"/>
        <w:jc w:val="both"/>
        <w:rPr>
          <w:lang w:val="en-US"/>
        </w:rPr>
      </w:pPr>
    </w:p>
    <w:p w14:paraId="68A5D1AB" w14:textId="77777777" w:rsidR="002A40AF" w:rsidRPr="00C32FEE" w:rsidRDefault="002A40AF" w:rsidP="002A40AF">
      <w:pPr>
        <w:spacing w:after="0" w:line="240" w:lineRule="auto"/>
        <w:jc w:val="both"/>
        <w:rPr>
          <w:lang w:val="en-US"/>
        </w:rPr>
      </w:pPr>
      <w:r w:rsidRPr="00C32FEE">
        <w:rPr>
          <w:lang w:val="en-US"/>
        </w:rPr>
        <w:t>Specifically, the survey explores:</w:t>
      </w:r>
    </w:p>
    <w:p w14:paraId="7EF7631E" w14:textId="77777777" w:rsidR="002A40AF" w:rsidRPr="00C32FEE" w:rsidRDefault="002A40AF" w:rsidP="002A40AF">
      <w:pPr>
        <w:spacing w:after="0" w:line="240" w:lineRule="auto"/>
        <w:jc w:val="both"/>
        <w:rPr>
          <w:lang w:val="en-US"/>
        </w:rPr>
      </w:pPr>
    </w:p>
    <w:p w14:paraId="5B9AEF55" w14:textId="77777777" w:rsidR="00287CF8" w:rsidRDefault="002A40AF" w:rsidP="00287CF8">
      <w:pPr>
        <w:pStyle w:val="Listeavsnitt"/>
        <w:numPr>
          <w:ilvl w:val="0"/>
          <w:numId w:val="1"/>
        </w:numPr>
        <w:spacing w:after="0" w:line="240" w:lineRule="auto"/>
        <w:contextualSpacing w:val="0"/>
        <w:jc w:val="both"/>
        <w:rPr>
          <w:lang w:val="en-US"/>
        </w:rPr>
      </w:pPr>
      <w:r w:rsidRPr="00C32FEE">
        <w:rPr>
          <w:lang w:val="en-US"/>
        </w:rPr>
        <w:t>Local politicians’ knowledge of the CRC’s legal status as part of national law (point 10c)</w:t>
      </w:r>
    </w:p>
    <w:p w14:paraId="6506929E" w14:textId="77777777" w:rsidR="00287CF8" w:rsidRDefault="00287CF8" w:rsidP="00287CF8">
      <w:pPr>
        <w:pStyle w:val="Listeavsnitt"/>
        <w:spacing w:after="0" w:line="240" w:lineRule="auto"/>
        <w:ind w:left="360"/>
        <w:contextualSpacing w:val="0"/>
        <w:jc w:val="both"/>
        <w:rPr>
          <w:lang w:val="en-US"/>
        </w:rPr>
      </w:pPr>
    </w:p>
    <w:p w14:paraId="55A8450B" w14:textId="77777777" w:rsidR="00287CF8" w:rsidRDefault="002A40AF" w:rsidP="00287CF8">
      <w:pPr>
        <w:pStyle w:val="Listeavsnitt"/>
        <w:numPr>
          <w:ilvl w:val="0"/>
          <w:numId w:val="1"/>
        </w:numPr>
        <w:spacing w:after="0" w:line="240" w:lineRule="auto"/>
        <w:contextualSpacing w:val="0"/>
        <w:jc w:val="both"/>
        <w:rPr>
          <w:lang w:val="en-US"/>
        </w:rPr>
      </w:pPr>
      <w:r w:rsidRPr="00287CF8">
        <w:rPr>
          <w:lang w:val="en-US"/>
        </w:rPr>
        <w:t>How well local politicians are familiar with core tools for implementation, such as General Comment No. 5 (2003) on general measures of implementation, and General Comment No. 19 (2016) on public budgeting for the realization of children’s rights—including, among other issues, the use of child impact assessments (point 10c)</w:t>
      </w:r>
    </w:p>
    <w:p w14:paraId="336DAB83" w14:textId="77777777" w:rsidR="00287CF8" w:rsidRPr="00287CF8" w:rsidRDefault="00287CF8" w:rsidP="00287CF8">
      <w:pPr>
        <w:pStyle w:val="Listeavsnitt"/>
        <w:rPr>
          <w:lang w:val="en-US"/>
        </w:rPr>
      </w:pPr>
    </w:p>
    <w:p w14:paraId="3DDCE832" w14:textId="77777777" w:rsidR="00287CF8" w:rsidRDefault="002A40AF" w:rsidP="00287CF8">
      <w:pPr>
        <w:pStyle w:val="Listeavsnitt"/>
        <w:numPr>
          <w:ilvl w:val="0"/>
          <w:numId w:val="1"/>
        </w:numPr>
        <w:spacing w:after="0" w:line="240" w:lineRule="auto"/>
        <w:contextualSpacing w:val="0"/>
        <w:jc w:val="both"/>
        <w:rPr>
          <w:lang w:val="en-US"/>
        </w:rPr>
      </w:pPr>
      <w:r w:rsidRPr="00287CF8">
        <w:rPr>
          <w:lang w:val="en-US"/>
        </w:rPr>
        <w:t>The extent to which the CRC Committee’s concluding observations and recommendations to Norway are known and used by local politicians (point 10c)</w:t>
      </w:r>
    </w:p>
    <w:p w14:paraId="5EC4A7A5" w14:textId="77777777" w:rsidR="00287CF8" w:rsidRPr="00287CF8" w:rsidRDefault="00287CF8" w:rsidP="00287CF8">
      <w:pPr>
        <w:pStyle w:val="Listeavsnitt"/>
        <w:rPr>
          <w:lang w:val="en-US"/>
        </w:rPr>
      </w:pPr>
    </w:p>
    <w:p w14:paraId="6A5C20FA" w14:textId="080EE110" w:rsidR="002A40AF" w:rsidRPr="00287CF8" w:rsidRDefault="002A40AF" w:rsidP="00287CF8">
      <w:pPr>
        <w:pStyle w:val="Listeavsnitt"/>
        <w:numPr>
          <w:ilvl w:val="0"/>
          <w:numId w:val="1"/>
        </w:numPr>
        <w:spacing w:after="0" w:line="240" w:lineRule="auto"/>
        <w:contextualSpacing w:val="0"/>
        <w:jc w:val="both"/>
        <w:rPr>
          <w:lang w:val="en-US"/>
        </w:rPr>
      </w:pPr>
      <w:r w:rsidRPr="00287CF8">
        <w:rPr>
          <w:lang w:val="en-US"/>
        </w:rPr>
        <w:t xml:space="preserve">Whether municipal administrations refer to the CRC when preparing cases for political committees that address matters affecting children—and whether the rights </w:t>
      </w:r>
      <w:r w:rsidRPr="00287CF8">
        <w:rPr>
          <w:lang w:val="en-US"/>
        </w:rPr>
        <w:lastRenderedPageBreak/>
        <w:t>of the child are discussed by these committees in their deliberations and recommendations to municipal councils (point 10c)</w:t>
      </w:r>
    </w:p>
    <w:p w14:paraId="6B69FDB2" w14:textId="77777777" w:rsidR="002A40AF" w:rsidRPr="00C32FEE" w:rsidRDefault="002A40AF" w:rsidP="002A40AF">
      <w:pPr>
        <w:spacing w:after="0" w:line="240" w:lineRule="auto"/>
        <w:jc w:val="both"/>
        <w:rPr>
          <w:lang w:val="en-US"/>
        </w:rPr>
      </w:pPr>
    </w:p>
    <w:p w14:paraId="5C367E90" w14:textId="77777777" w:rsidR="002A40AF" w:rsidRPr="00C32FEE" w:rsidRDefault="002A40AF" w:rsidP="002A40AF">
      <w:pPr>
        <w:spacing w:after="0" w:line="240" w:lineRule="auto"/>
        <w:jc w:val="both"/>
        <w:rPr>
          <w:lang w:val="en-US"/>
        </w:rPr>
      </w:pPr>
      <w:r w:rsidRPr="00C32FEE">
        <w:rPr>
          <w:lang w:val="en-US"/>
        </w:rPr>
        <w:t>In addition, the survey examines local politicians’ experiences and perspectives related to specific 2018 recommendations, including:</w:t>
      </w:r>
    </w:p>
    <w:p w14:paraId="31A23F8B" w14:textId="77777777" w:rsidR="002A40AF" w:rsidRPr="00C32FEE" w:rsidRDefault="002A40AF" w:rsidP="00CF7189">
      <w:pPr>
        <w:spacing w:after="0" w:line="240" w:lineRule="auto"/>
        <w:jc w:val="both"/>
        <w:rPr>
          <w:lang w:val="en-US"/>
        </w:rPr>
      </w:pPr>
    </w:p>
    <w:p w14:paraId="386C7A2F" w14:textId="77777777" w:rsidR="002A40AF" w:rsidRPr="00C32FEE" w:rsidRDefault="002A40AF" w:rsidP="00CF7189">
      <w:pPr>
        <w:pStyle w:val="Listeavsnitt"/>
        <w:numPr>
          <w:ilvl w:val="0"/>
          <w:numId w:val="1"/>
        </w:numPr>
        <w:spacing w:after="0" w:line="240" w:lineRule="auto"/>
        <w:contextualSpacing w:val="0"/>
        <w:jc w:val="both"/>
        <w:rPr>
          <w:lang w:val="en-US"/>
        </w:rPr>
      </w:pPr>
      <w:r w:rsidRPr="00C32FEE">
        <w:rPr>
          <w:lang w:val="en-US"/>
        </w:rPr>
        <w:t>Assessment of budgetary needs for children at the municipal level, with particular attention to vulnerable and marginalized groups (point 6a)</w:t>
      </w:r>
    </w:p>
    <w:p w14:paraId="349829E0" w14:textId="77777777" w:rsidR="002A40AF" w:rsidRPr="00C32FEE" w:rsidRDefault="002A40AF" w:rsidP="00CF7189">
      <w:pPr>
        <w:spacing w:after="0" w:line="240" w:lineRule="auto"/>
        <w:jc w:val="both"/>
        <w:rPr>
          <w:lang w:val="en-US"/>
        </w:rPr>
      </w:pPr>
    </w:p>
    <w:p w14:paraId="4C8B572F" w14:textId="77777777" w:rsidR="002A40AF" w:rsidRPr="00C32FEE" w:rsidRDefault="002A40AF" w:rsidP="00CF7189">
      <w:pPr>
        <w:pStyle w:val="Listeavsnitt"/>
        <w:numPr>
          <w:ilvl w:val="0"/>
          <w:numId w:val="1"/>
        </w:numPr>
        <w:spacing w:after="0" w:line="240" w:lineRule="auto"/>
        <w:contextualSpacing w:val="0"/>
        <w:jc w:val="both"/>
        <w:rPr>
          <w:lang w:val="en-US"/>
        </w:rPr>
      </w:pPr>
      <w:r w:rsidRPr="00C32FEE">
        <w:rPr>
          <w:lang w:val="en-US"/>
        </w:rPr>
        <w:t>Allocation of earmarked funding for child-related services (point 6d)</w:t>
      </w:r>
    </w:p>
    <w:p w14:paraId="189C73A1" w14:textId="77777777" w:rsidR="002A40AF" w:rsidRPr="00C32FEE" w:rsidRDefault="002A40AF" w:rsidP="00CF7189">
      <w:pPr>
        <w:spacing w:after="0" w:line="240" w:lineRule="auto"/>
        <w:jc w:val="both"/>
        <w:rPr>
          <w:lang w:val="en-US"/>
        </w:rPr>
      </w:pPr>
    </w:p>
    <w:p w14:paraId="450C9AE4" w14:textId="77777777" w:rsidR="002A40AF" w:rsidRPr="00C32FEE" w:rsidRDefault="002A40AF" w:rsidP="00CF7189">
      <w:pPr>
        <w:pStyle w:val="Listeavsnitt"/>
        <w:numPr>
          <w:ilvl w:val="0"/>
          <w:numId w:val="1"/>
        </w:numPr>
        <w:spacing w:after="0" w:line="240" w:lineRule="auto"/>
        <w:contextualSpacing w:val="0"/>
        <w:jc w:val="both"/>
        <w:rPr>
          <w:lang w:val="en-US"/>
        </w:rPr>
      </w:pPr>
      <w:r w:rsidRPr="00C32FEE">
        <w:rPr>
          <w:lang w:val="en-US"/>
        </w:rPr>
        <w:t>Independent monitoring mechanisms for children’s rights (points 7 and 8)</w:t>
      </w:r>
    </w:p>
    <w:p w14:paraId="0F9EE789" w14:textId="77777777" w:rsidR="002A40AF" w:rsidRPr="00C32FEE" w:rsidRDefault="002A40AF" w:rsidP="00CF7189">
      <w:pPr>
        <w:spacing w:after="0" w:line="240" w:lineRule="auto"/>
        <w:jc w:val="both"/>
        <w:rPr>
          <w:lang w:val="en-US"/>
        </w:rPr>
      </w:pPr>
    </w:p>
    <w:p w14:paraId="3F5AC23F" w14:textId="5E2529EA" w:rsidR="002A40AF" w:rsidRPr="00C32FEE" w:rsidRDefault="002A40AF" w:rsidP="00CF7189">
      <w:pPr>
        <w:pStyle w:val="Listeavsnitt"/>
        <w:numPr>
          <w:ilvl w:val="0"/>
          <w:numId w:val="1"/>
        </w:numPr>
        <w:spacing w:after="0" w:line="240" w:lineRule="auto"/>
        <w:contextualSpacing w:val="0"/>
        <w:jc w:val="both"/>
        <w:rPr>
          <w:lang w:val="en-US"/>
        </w:rPr>
      </w:pPr>
      <w:r w:rsidRPr="00C32FEE">
        <w:rPr>
          <w:lang w:val="en-US"/>
        </w:rPr>
        <w:t>The availability and use of disaggregated data related to children (point 9)</w:t>
      </w:r>
    </w:p>
    <w:p w14:paraId="40189577" w14:textId="77777777" w:rsidR="002A40AF" w:rsidRPr="00C32FEE" w:rsidRDefault="002A40AF" w:rsidP="002A40AF">
      <w:pPr>
        <w:spacing w:after="0" w:line="240" w:lineRule="auto"/>
        <w:rPr>
          <w:lang w:val="en-US"/>
        </w:rPr>
      </w:pPr>
    </w:p>
    <w:p w14:paraId="197A22CA" w14:textId="69596F76" w:rsidR="00465AE1" w:rsidRPr="00C32FEE" w:rsidRDefault="00D72AB4" w:rsidP="00465AE1">
      <w:pPr>
        <w:spacing w:after="0" w:line="240" w:lineRule="auto"/>
        <w:jc w:val="both"/>
        <w:rPr>
          <w:b/>
          <w:bCs/>
          <w:sz w:val="28"/>
          <w:szCs w:val="28"/>
          <w:lang w:val="en-US"/>
        </w:rPr>
      </w:pPr>
      <w:r w:rsidRPr="00C32FEE">
        <w:rPr>
          <w:b/>
          <w:bCs/>
          <w:sz w:val="28"/>
          <w:szCs w:val="28"/>
          <w:lang w:val="en-US"/>
        </w:rPr>
        <w:t>METHOD</w:t>
      </w:r>
    </w:p>
    <w:p w14:paraId="7D955F12" w14:textId="69B73969" w:rsidR="00465AE1" w:rsidRPr="00C32FEE" w:rsidRDefault="00FF5CE0" w:rsidP="00465AE1">
      <w:pPr>
        <w:spacing w:after="0" w:line="240" w:lineRule="auto"/>
        <w:jc w:val="both"/>
        <w:rPr>
          <w:lang w:val="en-US"/>
        </w:rPr>
      </w:pPr>
      <w:r w:rsidRPr="00C32FEE">
        <w:rPr>
          <w:lang w:val="en-US"/>
        </w:rPr>
        <w:t>A</w:t>
      </w:r>
      <w:r w:rsidR="00465AE1" w:rsidRPr="00C32FEE">
        <w:rPr>
          <w:lang w:val="en-US"/>
        </w:rPr>
        <w:t xml:space="preserve"> national </w:t>
      </w:r>
      <w:r w:rsidRPr="00C32FEE">
        <w:rPr>
          <w:lang w:val="en-US"/>
        </w:rPr>
        <w:t xml:space="preserve">web-based </w:t>
      </w:r>
      <w:r w:rsidR="00465AE1" w:rsidRPr="00C32FEE">
        <w:rPr>
          <w:lang w:val="en-US"/>
        </w:rPr>
        <w:t>survey was designed and conducted by researchers at the University of Stavanger between April 2023 and May 2024</w:t>
      </w:r>
      <w:r w:rsidR="001159A7">
        <w:rPr>
          <w:lang w:val="en-US"/>
        </w:rPr>
        <w:t xml:space="preserve"> (see, Appendix, Parts 1 and 2)</w:t>
      </w:r>
      <w:r w:rsidR="00465AE1" w:rsidRPr="00C32FEE">
        <w:rPr>
          <w:lang w:val="en-US"/>
        </w:rPr>
        <w:t>.</w:t>
      </w:r>
    </w:p>
    <w:p w14:paraId="666D1E83" w14:textId="77777777" w:rsidR="00465AE1" w:rsidRPr="00C32FEE" w:rsidRDefault="00465AE1" w:rsidP="00465AE1">
      <w:pPr>
        <w:spacing w:after="0" w:line="240" w:lineRule="auto"/>
        <w:jc w:val="both"/>
        <w:rPr>
          <w:lang w:val="en-US"/>
        </w:rPr>
      </w:pPr>
    </w:p>
    <w:p w14:paraId="033873DE" w14:textId="77777777" w:rsidR="00465AE1" w:rsidRPr="00C32FEE" w:rsidRDefault="00465AE1" w:rsidP="00465AE1">
      <w:pPr>
        <w:spacing w:after="0" w:line="240" w:lineRule="auto"/>
        <w:jc w:val="both"/>
        <w:rPr>
          <w:lang w:val="en-US"/>
        </w:rPr>
      </w:pPr>
      <w:r w:rsidRPr="00C32FEE">
        <w:rPr>
          <w:lang w:val="en-US"/>
        </w:rPr>
        <w:t>Norway has a total of 357 municipalities, divided into 237 small municipalities (fewer than 9,900 inhabitants), 82 medium-sized municipalities (10,000–29,900 inhabitants), and 32 large municipalities (over 30,000 inhabitants). The project leaders contacted local politicians via email in all municipalities—specifically those serving as chairs or deputy chairs of political committees responsible for services related to children in the areas of upbringing (kindergarten, school, child welfare) and health and social affairs (including health services and NAV/social services). In municipalities without dedicated committees for these areas, the invitation was sent to the mayor and deputy mayor. Contact details were obtained from official municipal websites.</w:t>
      </w:r>
    </w:p>
    <w:p w14:paraId="27C1AAD2" w14:textId="77777777" w:rsidR="00465AE1" w:rsidRPr="00C32FEE" w:rsidRDefault="00465AE1" w:rsidP="00465AE1">
      <w:pPr>
        <w:spacing w:after="0" w:line="240" w:lineRule="auto"/>
        <w:jc w:val="both"/>
        <w:rPr>
          <w:lang w:val="en-US"/>
        </w:rPr>
      </w:pPr>
    </w:p>
    <w:p w14:paraId="4BC30359" w14:textId="77777777" w:rsidR="00465AE1" w:rsidRPr="00C32FEE" w:rsidRDefault="00465AE1" w:rsidP="00465AE1">
      <w:pPr>
        <w:spacing w:after="0" w:line="240" w:lineRule="auto"/>
        <w:jc w:val="both"/>
        <w:rPr>
          <w:lang w:val="en-US"/>
        </w:rPr>
      </w:pPr>
      <w:r w:rsidRPr="00C32FEE">
        <w:rPr>
          <w:lang w:val="en-US"/>
        </w:rPr>
        <w:t>Invitees were informed about the purpose of the survey, the data collection method, and anonymity provisions. They were also provided with examples of the relevant topic areas.</w:t>
      </w:r>
    </w:p>
    <w:p w14:paraId="13643BA3" w14:textId="77777777" w:rsidR="00465AE1" w:rsidRPr="00C32FEE" w:rsidRDefault="00465AE1" w:rsidP="00465AE1">
      <w:pPr>
        <w:spacing w:after="0" w:line="240" w:lineRule="auto"/>
        <w:jc w:val="both"/>
        <w:rPr>
          <w:lang w:val="en-US"/>
        </w:rPr>
      </w:pPr>
    </w:p>
    <w:p w14:paraId="07508894" w14:textId="1F69B1C2" w:rsidR="00465AE1" w:rsidRPr="00C32FEE" w:rsidRDefault="00465AE1" w:rsidP="00465AE1">
      <w:pPr>
        <w:spacing w:after="0" w:line="240" w:lineRule="auto"/>
        <w:jc w:val="both"/>
        <w:rPr>
          <w:lang w:val="en-US"/>
        </w:rPr>
      </w:pPr>
      <w:r w:rsidRPr="00C32FEE">
        <w:rPr>
          <w:lang w:val="en-US"/>
        </w:rPr>
        <w:t>The questionnaire consisted of 21 questions with various response formats and included links to key CRC-related governance documents to ensure clarity for respondents. Before the survey was distributed, it was piloted and adjusted in collaboration with professionals with expertise in children’s rights, academic researchers, and representatives from the County Governor’s office and UNICEF Norway.</w:t>
      </w:r>
    </w:p>
    <w:p w14:paraId="37943742" w14:textId="77777777" w:rsidR="00465AE1" w:rsidRPr="00C32FEE" w:rsidRDefault="00465AE1" w:rsidP="00465AE1">
      <w:pPr>
        <w:spacing w:after="0" w:line="240" w:lineRule="auto"/>
        <w:jc w:val="both"/>
        <w:rPr>
          <w:lang w:val="en-US"/>
        </w:rPr>
      </w:pPr>
    </w:p>
    <w:p w14:paraId="4C18C03C" w14:textId="77777777" w:rsidR="00465AE1" w:rsidRPr="00C32FEE" w:rsidRDefault="00465AE1" w:rsidP="00465AE1">
      <w:pPr>
        <w:spacing w:after="0" w:line="240" w:lineRule="auto"/>
        <w:jc w:val="both"/>
        <w:rPr>
          <w:lang w:val="en-US"/>
        </w:rPr>
      </w:pPr>
      <w:r w:rsidRPr="00C32FEE">
        <w:rPr>
          <w:lang w:val="en-US"/>
        </w:rPr>
        <w:t>Following a telephone follow-up with 80 randomly selected invitees (just over 10% of the sample), stratified by municipality size and committee type, the participation metrics were as follows:</w:t>
      </w:r>
    </w:p>
    <w:p w14:paraId="6C938ECB" w14:textId="77777777" w:rsidR="00465AE1" w:rsidRPr="00C32FEE" w:rsidRDefault="00465AE1" w:rsidP="00465AE1">
      <w:pPr>
        <w:spacing w:after="0" w:line="240" w:lineRule="auto"/>
        <w:jc w:val="both"/>
        <w:rPr>
          <w:lang w:val="en-US"/>
        </w:rPr>
      </w:pPr>
    </w:p>
    <w:p w14:paraId="73D9E925" w14:textId="1558BC4B" w:rsidR="00465AE1" w:rsidRPr="00C32FEE" w:rsidRDefault="00465AE1" w:rsidP="00CF7189">
      <w:pPr>
        <w:pStyle w:val="Listeavsnitt"/>
        <w:numPr>
          <w:ilvl w:val="0"/>
          <w:numId w:val="2"/>
        </w:numPr>
        <w:spacing w:after="0" w:line="240" w:lineRule="auto"/>
        <w:ind w:left="360"/>
        <w:jc w:val="both"/>
        <w:rPr>
          <w:lang w:val="en-US"/>
        </w:rPr>
      </w:pPr>
      <w:r w:rsidRPr="00C32FEE">
        <w:rPr>
          <w:lang w:val="en-US"/>
        </w:rPr>
        <w:t>267 of 730 invited individuals (37%) clicked the survey link</w:t>
      </w:r>
      <w:r w:rsidR="00947574">
        <w:rPr>
          <w:lang w:val="en-US"/>
        </w:rPr>
        <w:t>.</w:t>
      </w:r>
    </w:p>
    <w:p w14:paraId="09D223C2" w14:textId="77777777" w:rsidR="00465AE1" w:rsidRPr="00C32FEE" w:rsidRDefault="00465AE1" w:rsidP="00CF7189">
      <w:pPr>
        <w:spacing w:after="0" w:line="240" w:lineRule="auto"/>
        <w:jc w:val="both"/>
        <w:rPr>
          <w:lang w:val="en-US"/>
        </w:rPr>
      </w:pPr>
    </w:p>
    <w:p w14:paraId="5DB291EE" w14:textId="083C3F59" w:rsidR="00465AE1" w:rsidRPr="00C32FEE" w:rsidRDefault="00465AE1" w:rsidP="00CF7189">
      <w:pPr>
        <w:pStyle w:val="Listeavsnitt"/>
        <w:numPr>
          <w:ilvl w:val="0"/>
          <w:numId w:val="2"/>
        </w:numPr>
        <w:spacing w:after="0" w:line="240" w:lineRule="auto"/>
        <w:ind w:left="360"/>
        <w:jc w:val="both"/>
        <w:rPr>
          <w:lang w:val="en-US"/>
        </w:rPr>
      </w:pPr>
      <w:r w:rsidRPr="00C32FEE">
        <w:rPr>
          <w:lang w:val="en-US"/>
        </w:rPr>
        <w:t>261 (36%) responded to the consent question</w:t>
      </w:r>
      <w:r w:rsidR="00947574">
        <w:rPr>
          <w:lang w:val="en-US"/>
        </w:rPr>
        <w:t>.</w:t>
      </w:r>
    </w:p>
    <w:p w14:paraId="26954A1A" w14:textId="77777777" w:rsidR="00465AE1" w:rsidRPr="00C32FEE" w:rsidRDefault="00465AE1" w:rsidP="00CF7189">
      <w:pPr>
        <w:spacing w:after="0" w:line="240" w:lineRule="auto"/>
        <w:jc w:val="both"/>
        <w:rPr>
          <w:lang w:val="en-US"/>
        </w:rPr>
      </w:pPr>
    </w:p>
    <w:p w14:paraId="48489DD6" w14:textId="0A56F25B" w:rsidR="00465AE1" w:rsidRPr="00C32FEE" w:rsidRDefault="00465AE1" w:rsidP="00CF7189">
      <w:pPr>
        <w:pStyle w:val="Listeavsnitt"/>
        <w:numPr>
          <w:ilvl w:val="0"/>
          <w:numId w:val="2"/>
        </w:numPr>
        <w:spacing w:after="0" w:line="240" w:lineRule="auto"/>
        <w:ind w:left="360"/>
        <w:jc w:val="both"/>
        <w:rPr>
          <w:lang w:val="en-US"/>
        </w:rPr>
      </w:pPr>
      <w:r w:rsidRPr="00C32FEE">
        <w:rPr>
          <w:lang w:val="en-US"/>
        </w:rPr>
        <w:lastRenderedPageBreak/>
        <w:t>250 (34%) consented to participate—equivalent to 94% of those who answered the consent question</w:t>
      </w:r>
      <w:r w:rsidR="00947574">
        <w:rPr>
          <w:lang w:val="en-US"/>
        </w:rPr>
        <w:t>.</w:t>
      </w:r>
    </w:p>
    <w:p w14:paraId="24DC0524" w14:textId="77777777" w:rsidR="00465AE1" w:rsidRPr="00C32FEE" w:rsidRDefault="00465AE1" w:rsidP="00CF7189">
      <w:pPr>
        <w:spacing w:after="0" w:line="240" w:lineRule="auto"/>
        <w:jc w:val="both"/>
        <w:rPr>
          <w:lang w:val="en-US"/>
        </w:rPr>
      </w:pPr>
    </w:p>
    <w:p w14:paraId="27BE0D39" w14:textId="449C494D" w:rsidR="00465AE1" w:rsidRDefault="00465AE1" w:rsidP="00CF7189">
      <w:pPr>
        <w:pStyle w:val="Listeavsnitt"/>
        <w:numPr>
          <w:ilvl w:val="0"/>
          <w:numId w:val="2"/>
        </w:numPr>
        <w:spacing w:after="0" w:line="240" w:lineRule="auto"/>
        <w:ind w:left="360"/>
        <w:jc w:val="both"/>
        <w:rPr>
          <w:lang w:val="en-US"/>
        </w:rPr>
      </w:pPr>
      <w:r w:rsidRPr="00C32FEE">
        <w:rPr>
          <w:lang w:val="en-US"/>
        </w:rPr>
        <w:t>199 participants (27%) completed the full questionnaire, including the final question (Q26), representing 80% of those who gave consent</w:t>
      </w:r>
      <w:r w:rsidR="00947574">
        <w:rPr>
          <w:lang w:val="en-US"/>
        </w:rPr>
        <w:t>.</w:t>
      </w:r>
    </w:p>
    <w:p w14:paraId="410E00B3" w14:textId="77777777" w:rsidR="00465AE1" w:rsidRPr="00C32FEE" w:rsidRDefault="00465AE1" w:rsidP="00465AE1">
      <w:pPr>
        <w:spacing w:after="0" w:line="240" w:lineRule="auto"/>
        <w:jc w:val="both"/>
        <w:rPr>
          <w:lang w:val="en-US"/>
        </w:rPr>
      </w:pPr>
    </w:p>
    <w:p w14:paraId="513DA752" w14:textId="77777777" w:rsidR="00465AE1" w:rsidRPr="00C32FEE" w:rsidRDefault="00465AE1" w:rsidP="00465AE1">
      <w:pPr>
        <w:spacing w:after="0" w:line="240" w:lineRule="auto"/>
        <w:jc w:val="both"/>
        <w:rPr>
          <w:lang w:val="en-US"/>
        </w:rPr>
      </w:pPr>
      <w:r w:rsidRPr="00C32FEE">
        <w:rPr>
          <w:lang w:val="en-US"/>
        </w:rPr>
        <w:t>In terms of municipal distribution, approximately 55% of respondents came from small municipalities, 29% from medium-sized, and 16% from large municipalities. The majority had more than four years of experience in their committee role, and nearly 26% had over 12 years of political experience. The largest share of respondents (35%) served on Upbringing Committees (covering areas such as kindergartens, schools, child welfare, and leisure activities). A further 29% served on Health and Care Committees, 21% on Combined Committees, and 1% on Service/Operations Committees. In addition, 30 mayors or deputy mayors (15%) participated in the survey.</w:t>
      </w:r>
    </w:p>
    <w:p w14:paraId="4548DBE4" w14:textId="77777777" w:rsidR="00465AE1" w:rsidRPr="00C32FEE" w:rsidRDefault="00465AE1" w:rsidP="00465AE1">
      <w:pPr>
        <w:spacing w:after="0" w:line="240" w:lineRule="auto"/>
        <w:jc w:val="both"/>
        <w:rPr>
          <w:lang w:val="en-US"/>
        </w:rPr>
      </w:pPr>
    </w:p>
    <w:p w14:paraId="17289146" w14:textId="77777777" w:rsidR="00465AE1" w:rsidRPr="00C32FEE" w:rsidRDefault="00465AE1" w:rsidP="00465AE1">
      <w:pPr>
        <w:spacing w:after="0" w:line="240" w:lineRule="auto"/>
        <w:jc w:val="both"/>
        <w:rPr>
          <w:lang w:val="en-US"/>
        </w:rPr>
      </w:pPr>
      <w:r w:rsidRPr="00C32FEE">
        <w:rPr>
          <w:lang w:val="en-US"/>
        </w:rPr>
        <w:t>Although the response rate was relatively modest, several indicators support the credibility of the results. First, the answers from the 10% who completed the survey following the reminder round showed a consistent pattern with those from earlier respondents. Second, statistical tests revealed no significant differences between participants who completed the full survey and those who dropped out partway. These findings suggest that non-respondents are unlikely to have answered differently, and that the results can be considered broadly representative.</w:t>
      </w:r>
    </w:p>
    <w:p w14:paraId="0A59DCEF" w14:textId="77777777" w:rsidR="00465AE1" w:rsidRPr="00C32FEE" w:rsidRDefault="00465AE1" w:rsidP="00465AE1">
      <w:pPr>
        <w:spacing w:after="0" w:line="240" w:lineRule="auto"/>
        <w:rPr>
          <w:lang w:val="en-US"/>
        </w:rPr>
      </w:pPr>
    </w:p>
    <w:p w14:paraId="1AF1A50A" w14:textId="40D2B436" w:rsidR="00CF7189" w:rsidRPr="00C32FEE" w:rsidRDefault="00D72AB4" w:rsidP="00CF7189">
      <w:pPr>
        <w:spacing w:after="0" w:line="240" w:lineRule="auto"/>
        <w:jc w:val="both"/>
        <w:rPr>
          <w:b/>
          <w:bCs/>
          <w:sz w:val="28"/>
          <w:szCs w:val="28"/>
          <w:lang w:val="en-US"/>
        </w:rPr>
      </w:pPr>
      <w:r w:rsidRPr="00C32FEE">
        <w:rPr>
          <w:b/>
          <w:bCs/>
          <w:sz w:val="28"/>
          <w:szCs w:val="28"/>
          <w:lang w:val="en-US"/>
        </w:rPr>
        <w:t>MAIN FINDINGS</w:t>
      </w:r>
    </w:p>
    <w:p w14:paraId="6EA2BF3D" w14:textId="06E9FB40" w:rsidR="00CF7189" w:rsidRPr="00C32FEE" w:rsidRDefault="00CF7189" w:rsidP="00CF7189">
      <w:pPr>
        <w:spacing w:after="0" w:line="240" w:lineRule="auto"/>
        <w:jc w:val="both"/>
        <w:rPr>
          <w:lang w:val="en-US"/>
        </w:rPr>
      </w:pPr>
      <w:r w:rsidRPr="00C32FEE">
        <w:rPr>
          <w:lang w:val="en-US"/>
        </w:rPr>
        <w:t>The following are the main results based on statistical analysis of the data generated from the survey</w:t>
      </w:r>
      <w:r w:rsidR="00052245">
        <w:rPr>
          <w:lang w:val="en-US"/>
        </w:rPr>
        <w:t xml:space="preserve"> (</w:t>
      </w:r>
      <w:r w:rsidRPr="00C32FEE">
        <w:rPr>
          <w:lang w:val="en-US"/>
        </w:rPr>
        <w:t xml:space="preserve">see </w:t>
      </w:r>
      <w:r w:rsidRPr="00C32FEE">
        <w:rPr>
          <w:i/>
          <w:iCs/>
          <w:lang w:val="en-US"/>
        </w:rPr>
        <w:t>Statistical Summary Report</w:t>
      </w:r>
      <w:r w:rsidRPr="00C32FEE">
        <w:rPr>
          <w:lang w:val="en-US"/>
        </w:rPr>
        <w:t xml:space="preserve"> </w:t>
      </w:r>
      <w:r w:rsidR="00052245">
        <w:rPr>
          <w:lang w:val="en-US"/>
        </w:rPr>
        <w:t xml:space="preserve">in </w:t>
      </w:r>
      <w:r w:rsidRPr="00C32FEE">
        <w:rPr>
          <w:lang w:val="en-US"/>
        </w:rPr>
        <w:t>Appendix</w:t>
      </w:r>
      <w:r w:rsidR="00052245">
        <w:rPr>
          <w:lang w:val="en-US"/>
        </w:rPr>
        <w:t xml:space="preserve"> </w:t>
      </w:r>
      <w:r w:rsidR="001159A7">
        <w:rPr>
          <w:lang w:val="en-US"/>
        </w:rPr>
        <w:t>Part 3</w:t>
      </w:r>
      <w:r w:rsidRPr="00C32FEE">
        <w:rPr>
          <w:lang w:val="en-US"/>
        </w:rPr>
        <w:t xml:space="preserve"> for additional details</w:t>
      </w:r>
      <w:r w:rsidR="00052245">
        <w:rPr>
          <w:lang w:val="en-US"/>
        </w:rPr>
        <w:t>)</w:t>
      </w:r>
      <w:r w:rsidR="00D72AB4" w:rsidRPr="00C32FEE">
        <w:rPr>
          <w:lang w:val="en-US"/>
        </w:rPr>
        <w:t>:</w:t>
      </w:r>
    </w:p>
    <w:p w14:paraId="0F78186E" w14:textId="77777777" w:rsidR="00CF7189" w:rsidRPr="00C32FEE" w:rsidRDefault="00CF7189" w:rsidP="00CF7189">
      <w:pPr>
        <w:spacing w:after="0" w:line="240" w:lineRule="auto"/>
        <w:jc w:val="both"/>
        <w:rPr>
          <w:b/>
          <w:bCs/>
          <w:lang w:val="en-US"/>
        </w:rPr>
      </w:pPr>
    </w:p>
    <w:p w14:paraId="43553890" w14:textId="77777777" w:rsidR="00CF7189" w:rsidRPr="00C32FEE" w:rsidRDefault="00CF7189" w:rsidP="00CF7189">
      <w:pPr>
        <w:pStyle w:val="Listeavsnitt"/>
        <w:numPr>
          <w:ilvl w:val="0"/>
          <w:numId w:val="3"/>
        </w:numPr>
        <w:spacing w:after="0" w:line="240" w:lineRule="auto"/>
        <w:ind w:left="360"/>
        <w:jc w:val="both"/>
        <w:rPr>
          <w:lang w:val="en-US"/>
        </w:rPr>
      </w:pPr>
      <w:r w:rsidRPr="00C32FEE">
        <w:rPr>
          <w:b/>
          <w:bCs/>
          <w:lang w:val="en-US"/>
        </w:rPr>
        <w:t>Limited awareness of legal status:</w:t>
      </w:r>
      <w:r w:rsidRPr="00C32FEE">
        <w:rPr>
          <w:lang w:val="en-US"/>
        </w:rPr>
        <w:t xml:space="preserve"> Only about half (51%) of local politicians are aware that the Convention on the Rights of the Child (CRC) holds the status of Norwegian law and takes precedence over other national legislation. There is a tendency for respondents from larger municipalities to be more aware of this, whereas years of political experience do not appear to influence awareness levels.</w:t>
      </w:r>
    </w:p>
    <w:p w14:paraId="3767D48A" w14:textId="77777777" w:rsidR="00CF7189" w:rsidRPr="00C32FEE" w:rsidRDefault="00CF7189" w:rsidP="00CF7189">
      <w:pPr>
        <w:spacing w:after="0" w:line="240" w:lineRule="auto"/>
        <w:jc w:val="both"/>
        <w:rPr>
          <w:lang w:val="en-US"/>
        </w:rPr>
      </w:pPr>
    </w:p>
    <w:p w14:paraId="25517F03" w14:textId="77777777" w:rsidR="00CF7189" w:rsidRPr="00C32FEE" w:rsidRDefault="00CF7189" w:rsidP="00CF7189">
      <w:pPr>
        <w:pStyle w:val="Listeavsnitt"/>
        <w:numPr>
          <w:ilvl w:val="0"/>
          <w:numId w:val="3"/>
        </w:numPr>
        <w:spacing w:after="0" w:line="240" w:lineRule="auto"/>
        <w:ind w:left="360"/>
        <w:jc w:val="both"/>
        <w:rPr>
          <w:lang w:val="en-US"/>
        </w:rPr>
      </w:pPr>
      <w:r w:rsidRPr="00C32FEE">
        <w:rPr>
          <w:b/>
          <w:bCs/>
          <w:lang w:val="en-US"/>
        </w:rPr>
        <w:t>Low familiarity with core implementation tools:</w:t>
      </w:r>
      <w:r w:rsidRPr="00C32FEE">
        <w:rPr>
          <w:lang w:val="en-US"/>
        </w:rPr>
        <w:t xml:space="preserve"> A majority (68%) report little or no knowledge of the CRC Committee’s General Comment No. 5 on general measures of implementation. Only 1% of respondents state that they are very familiar with this document.</w:t>
      </w:r>
    </w:p>
    <w:p w14:paraId="42825781" w14:textId="77777777" w:rsidR="00CF7189" w:rsidRPr="00C32FEE" w:rsidRDefault="00CF7189" w:rsidP="00CF7189">
      <w:pPr>
        <w:spacing w:after="0" w:line="240" w:lineRule="auto"/>
        <w:jc w:val="both"/>
        <w:rPr>
          <w:lang w:val="en-US"/>
        </w:rPr>
      </w:pPr>
    </w:p>
    <w:p w14:paraId="1D63B94C" w14:textId="77777777" w:rsidR="00CF7189" w:rsidRPr="00C32FEE" w:rsidRDefault="00CF7189" w:rsidP="00CF7189">
      <w:pPr>
        <w:pStyle w:val="Listeavsnitt"/>
        <w:numPr>
          <w:ilvl w:val="0"/>
          <w:numId w:val="3"/>
        </w:numPr>
        <w:spacing w:after="0" w:line="240" w:lineRule="auto"/>
        <w:ind w:left="360"/>
        <w:jc w:val="both"/>
        <w:rPr>
          <w:lang w:val="en-US"/>
        </w:rPr>
      </w:pPr>
      <w:r w:rsidRPr="00C32FEE">
        <w:rPr>
          <w:b/>
          <w:bCs/>
          <w:lang w:val="en-US"/>
        </w:rPr>
        <w:t>Minimal awareness of budgeting guidance:</w:t>
      </w:r>
      <w:r w:rsidRPr="00C32FEE">
        <w:rPr>
          <w:lang w:val="en-US"/>
        </w:rPr>
        <w:t xml:space="preserve"> An even larger share (73%) has little or no knowledge of General Comment No. 19 on public budgeting for the realization of children’s rights. Again, only 1% report very good knowledge of this key policy tool.</w:t>
      </w:r>
    </w:p>
    <w:p w14:paraId="15C84C63" w14:textId="77777777" w:rsidR="00CF7189" w:rsidRPr="00C32FEE" w:rsidRDefault="00CF7189" w:rsidP="00CF7189">
      <w:pPr>
        <w:spacing w:after="0" w:line="240" w:lineRule="auto"/>
        <w:jc w:val="both"/>
        <w:rPr>
          <w:lang w:val="en-US"/>
        </w:rPr>
      </w:pPr>
    </w:p>
    <w:p w14:paraId="40273926" w14:textId="77777777" w:rsidR="00CF7189" w:rsidRPr="00C32FEE" w:rsidRDefault="00CF7189" w:rsidP="00CF7189">
      <w:pPr>
        <w:pStyle w:val="Listeavsnitt"/>
        <w:numPr>
          <w:ilvl w:val="0"/>
          <w:numId w:val="3"/>
        </w:numPr>
        <w:spacing w:after="0" w:line="240" w:lineRule="auto"/>
        <w:ind w:left="360"/>
        <w:jc w:val="both"/>
        <w:rPr>
          <w:lang w:val="en-US"/>
        </w:rPr>
      </w:pPr>
      <w:r w:rsidRPr="00C32FEE">
        <w:rPr>
          <w:b/>
          <w:bCs/>
          <w:lang w:val="en-US"/>
        </w:rPr>
        <w:t>Lack of knowledge about international recommendations:</w:t>
      </w:r>
      <w:r w:rsidRPr="00C32FEE">
        <w:rPr>
          <w:lang w:val="en-US"/>
        </w:rPr>
        <w:t xml:space="preserve"> Awareness of the CRC Committee’s 2018 recommendations to Norway is even lower, with 76% reporting little or no familiarity. Only 1% say they know the recommendations well.</w:t>
      </w:r>
    </w:p>
    <w:p w14:paraId="3BC82FB6" w14:textId="77777777" w:rsidR="00CF7189" w:rsidRPr="00C32FEE" w:rsidRDefault="00CF7189" w:rsidP="00CF7189">
      <w:pPr>
        <w:spacing w:after="0" w:line="240" w:lineRule="auto"/>
        <w:jc w:val="both"/>
        <w:rPr>
          <w:lang w:val="en-US"/>
        </w:rPr>
      </w:pPr>
    </w:p>
    <w:p w14:paraId="09DB28D8" w14:textId="77777777" w:rsidR="00CF7189" w:rsidRDefault="00CF7189" w:rsidP="00CF7189">
      <w:pPr>
        <w:pStyle w:val="Listeavsnitt"/>
        <w:numPr>
          <w:ilvl w:val="0"/>
          <w:numId w:val="3"/>
        </w:numPr>
        <w:spacing w:after="0" w:line="240" w:lineRule="auto"/>
        <w:ind w:left="360"/>
        <w:jc w:val="both"/>
        <w:rPr>
          <w:lang w:val="en-US"/>
        </w:rPr>
      </w:pPr>
      <w:r w:rsidRPr="00C32FEE">
        <w:rPr>
          <w:b/>
          <w:bCs/>
          <w:lang w:val="en-US"/>
        </w:rPr>
        <w:lastRenderedPageBreak/>
        <w:t>Media is the primary information source:</w:t>
      </w:r>
      <w:r w:rsidRPr="00C32FEE">
        <w:rPr>
          <w:lang w:val="en-US"/>
        </w:rPr>
        <w:t xml:space="preserve"> Media is the most frequently cited source of information about the CRC (44%). Cross-tabulations show that respondents from larger municipalities are slightly less likely to identify media as their main information channel.</w:t>
      </w:r>
    </w:p>
    <w:p w14:paraId="327F0BF3" w14:textId="77777777" w:rsidR="00683040" w:rsidRPr="00683040" w:rsidRDefault="00683040" w:rsidP="00683040">
      <w:pPr>
        <w:pStyle w:val="Listeavsnitt"/>
        <w:rPr>
          <w:lang w:val="en-US"/>
        </w:rPr>
      </w:pPr>
    </w:p>
    <w:p w14:paraId="4FD17B96" w14:textId="3B3E092E" w:rsidR="00683040" w:rsidRPr="00683040" w:rsidRDefault="00683040" w:rsidP="00CF7189">
      <w:pPr>
        <w:pStyle w:val="Listeavsnitt"/>
        <w:numPr>
          <w:ilvl w:val="0"/>
          <w:numId w:val="3"/>
        </w:numPr>
        <w:spacing w:after="0" w:line="240" w:lineRule="auto"/>
        <w:ind w:left="360"/>
        <w:jc w:val="both"/>
        <w:rPr>
          <w:lang w:val="en-US"/>
        </w:rPr>
      </w:pPr>
      <w:r w:rsidRPr="00683040">
        <w:rPr>
          <w:rStyle w:val="cf01"/>
          <w:rFonts w:asciiTheme="minorHAnsi" w:hAnsiTheme="minorHAnsi"/>
          <w:sz w:val="24"/>
          <w:szCs w:val="24"/>
          <w:lang w:val="en-US"/>
        </w:rPr>
        <w:t xml:space="preserve">The Giant Leap is rarely recognized as a key resource: </w:t>
      </w:r>
      <w:r w:rsidRPr="00683040">
        <w:rPr>
          <w:rStyle w:val="cf11"/>
          <w:rFonts w:asciiTheme="minorHAnsi" w:hAnsiTheme="minorHAnsi"/>
          <w:sz w:val="24"/>
          <w:szCs w:val="24"/>
          <w:lang w:val="en-US"/>
        </w:rPr>
        <w:t xml:space="preserve">Only 1% of respondents identify </w:t>
      </w:r>
      <w:r w:rsidRPr="00683040">
        <w:rPr>
          <w:rStyle w:val="cf21"/>
          <w:rFonts w:asciiTheme="minorHAnsi" w:hAnsiTheme="minorHAnsi"/>
          <w:sz w:val="24"/>
          <w:szCs w:val="24"/>
          <w:lang w:val="en-US"/>
        </w:rPr>
        <w:t>The Giant Leap</w:t>
      </w:r>
      <w:r w:rsidRPr="00683040">
        <w:rPr>
          <w:rStyle w:val="cf11"/>
          <w:rFonts w:asciiTheme="minorHAnsi" w:hAnsiTheme="minorHAnsi"/>
          <w:sz w:val="24"/>
          <w:szCs w:val="24"/>
          <w:lang w:val="en-US"/>
        </w:rPr>
        <w:t xml:space="preserve"> as a primary source of CRC knowledge, despite the 2016 combined fifth and sixth State report</w:t>
      </w:r>
      <w:r w:rsidR="000E67BA">
        <w:rPr>
          <w:rStyle w:val="cf11"/>
          <w:rFonts w:asciiTheme="minorHAnsi" w:hAnsiTheme="minorHAnsi"/>
          <w:sz w:val="24"/>
          <w:szCs w:val="24"/>
          <w:lang w:val="en-US"/>
        </w:rPr>
        <w:t xml:space="preserve"> from Norway </w:t>
      </w:r>
      <w:r w:rsidRPr="00683040">
        <w:rPr>
          <w:rStyle w:val="cf11"/>
          <w:rFonts w:asciiTheme="minorHAnsi" w:hAnsiTheme="minorHAnsi"/>
          <w:sz w:val="24"/>
          <w:szCs w:val="24"/>
          <w:lang w:val="en-US"/>
        </w:rPr>
        <w:t>highlighting that all counties had adopted its tools and methods, and that it had been implemented—albeit with local variations—in 232 of the 442 municipalities at the time.</w:t>
      </w:r>
    </w:p>
    <w:p w14:paraId="37BAA423" w14:textId="77777777" w:rsidR="00CF7189" w:rsidRPr="00C32FEE" w:rsidRDefault="00CF7189" w:rsidP="00CF7189">
      <w:pPr>
        <w:spacing w:after="0" w:line="240" w:lineRule="auto"/>
        <w:jc w:val="both"/>
        <w:rPr>
          <w:lang w:val="en-US"/>
        </w:rPr>
      </w:pPr>
    </w:p>
    <w:p w14:paraId="0E379900" w14:textId="77777777" w:rsidR="00CF7189" w:rsidRPr="00C32FEE" w:rsidRDefault="00CF7189" w:rsidP="00CF7189">
      <w:pPr>
        <w:pStyle w:val="Listeavsnitt"/>
        <w:numPr>
          <w:ilvl w:val="0"/>
          <w:numId w:val="3"/>
        </w:numPr>
        <w:spacing w:after="0" w:line="240" w:lineRule="auto"/>
        <w:ind w:left="360"/>
        <w:jc w:val="both"/>
        <w:rPr>
          <w:lang w:val="en-US"/>
        </w:rPr>
      </w:pPr>
      <w:r w:rsidRPr="00C32FEE">
        <w:rPr>
          <w:b/>
          <w:bCs/>
          <w:lang w:val="en-US"/>
        </w:rPr>
        <w:t>Limited use of impact assessments:</w:t>
      </w:r>
      <w:r w:rsidRPr="00C32FEE">
        <w:rPr>
          <w:lang w:val="en-US"/>
        </w:rPr>
        <w:t xml:space="preserve"> Just 19% of respondents report that their municipality has conducted budget impact assessments related to children's rights within the past four years.</w:t>
      </w:r>
    </w:p>
    <w:p w14:paraId="05F55704" w14:textId="77777777" w:rsidR="00CF7189" w:rsidRPr="00C32FEE" w:rsidRDefault="00CF7189" w:rsidP="00CF7189">
      <w:pPr>
        <w:spacing w:after="0" w:line="240" w:lineRule="auto"/>
        <w:jc w:val="both"/>
        <w:rPr>
          <w:lang w:val="en-US"/>
        </w:rPr>
      </w:pPr>
    </w:p>
    <w:p w14:paraId="3017E8E7" w14:textId="42FED7D9" w:rsidR="00CF7189" w:rsidRDefault="00CF7189" w:rsidP="00CF7189">
      <w:pPr>
        <w:pStyle w:val="Listeavsnitt"/>
        <w:numPr>
          <w:ilvl w:val="0"/>
          <w:numId w:val="3"/>
        </w:numPr>
        <w:spacing w:after="0" w:line="240" w:lineRule="auto"/>
        <w:ind w:left="360"/>
        <w:jc w:val="both"/>
        <w:rPr>
          <w:lang w:val="en-US"/>
        </w:rPr>
      </w:pPr>
      <w:r w:rsidRPr="00C32FEE">
        <w:rPr>
          <w:b/>
          <w:bCs/>
          <w:lang w:val="en-US"/>
        </w:rPr>
        <w:t>Uneven access to relevant data:</w:t>
      </w:r>
      <w:r w:rsidRPr="00C32FEE">
        <w:rPr>
          <w:lang w:val="en-US"/>
        </w:rPr>
        <w:t xml:space="preserve"> Respondents report the highest access to data on children in contact with child protection services (58%), children with physical disabilities (58%), and children in low-income families</w:t>
      </w:r>
      <w:r w:rsidR="00734280">
        <w:rPr>
          <w:lang w:val="en-US"/>
        </w:rPr>
        <w:t xml:space="preserve"> (55%)</w:t>
      </w:r>
      <w:r w:rsidRPr="00C32FEE">
        <w:rPr>
          <w:lang w:val="en-US"/>
        </w:rPr>
        <w:t xml:space="preserve">. Access to data is more limited for children with mental health needs (42%). A substantial share of respondents (62%) either lack or are unsure about access to data on immigrant children, while 68% report the same for children from national minorities </w:t>
      </w:r>
      <w:r w:rsidR="00734280">
        <w:rPr>
          <w:lang w:val="en-US"/>
        </w:rPr>
        <w:t>and</w:t>
      </w:r>
      <w:r w:rsidRPr="00C32FEE">
        <w:rPr>
          <w:lang w:val="en-US"/>
        </w:rPr>
        <w:t xml:space="preserve"> refugee children settled in the municipality after 2015.</w:t>
      </w:r>
    </w:p>
    <w:p w14:paraId="06422802" w14:textId="77777777" w:rsidR="00683040" w:rsidRPr="00683040" w:rsidRDefault="00683040" w:rsidP="00683040">
      <w:pPr>
        <w:pStyle w:val="Listeavsnitt"/>
        <w:rPr>
          <w:lang w:val="en-US"/>
        </w:rPr>
      </w:pPr>
    </w:p>
    <w:p w14:paraId="5A122C81" w14:textId="2AD758E7" w:rsidR="00683040" w:rsidRPr="00C32FEE" w:rsidRDefault="00683040" w:rsidP="00CF7189">
      <w:pPr>
        <w:pStyle w:val="Listeavsnitt"/>
        <w:numPr>
          <w:ilvl w:val="0"/>
          <w:numId w:val="3"/>
        </w:numPr>
        <w:spacing w:after="0" w:line="240" w:lineRule="auto"/>
        <w:ind w:left="360"/>
        <w:jc w:val="both"/>
        <w:rPr>
          <w:lang w:val="en-US"/>
        </w:rPr>
      </w:pPr>
      <w:r w:rsidRPr="00683040">
        <w:rPr>
          <w:rStyle w:val="Utheving"/>
          <w:b/>
          <w:bCs/>
          <w:i w:val="0"/>
          <w:iCs w:val="0"/>
          <w:lang w:val="en-US"/>
        </w:rPr>
        <w:t>Access to gender-disaggregated data is limited:</w:t>
      </w:r>
      <w:r w:rsidRPr="00683040">
        <w:rPr>
          <w:b/>
          <w:bCs/>
          <w:i/>
          <w:iCs/>
          <w:lang w:val="en-US"/>
        </w:rPr>
        <w:t xml:space="preserve"> </w:t>
      </w:r>
      <w:r w:rsidRPr="00683040">
        <w:rPr>
          <w:lang w:val="en-US"/>
        </w:rPr>
        <w:t>Only half of the respondents (51%) report having access to data on the gender distribution of children in their municipality.</w:t>
      </w:r>
    </w:p>
    <w:p w14:paraId="204EC574" w14:textId="77777777" w:rsidR="00CF7189" w:rsidRPr="00C32FEE" w:rsidRDefault="00CF7189" w:rsidP="00CF7189">
      <w:pPr>
        <w:spacing w:after="0" w:line="240" w:lineRule="auto"/>
        <w:jc w:val="both"/>
        <w:rPr>
          <w:lang w:val="en-US"/>
        </w:rPr>
      </w:pPr>
    </w:p>
    <w:p w14:paraId="08F9BD53" w14:textId="4E031819" w:rsidR="00CF7189" w:rsidRPr="00C32FEE" w:rsidRDefault="00CF7189" w:rsidP="00CF7189">
      <w:pPr>
        <w:pStyle w:val="Listeavsnitt"/>
        <w:numPr>
          <w:ilvl w:val="0"/>
          <w:numId w:val="3"/>
        </w:numPr>
        <w:spacing w:after="0" w:line="240" w:lineRule="auto"/>
        <w:ind w:left="360"/>
        <w:jc w:val="both"/>
        <w:rPr>
          <w:lang w:val="en-US"/>
        </w:rPr>
      </w:pPr>
      <w:r w:rsidRPr="00C32FEE">
        <w:rPr>
          <w:b/>
          <w:bCs/>
          <w:lang w:val="en-US"/>
        </w:rPr>
        <w:t>Strong support for earmarked funding:</w:t>
      </w:r>
      <w:r w:rsidRPr="00C32FEE">
        <w:rPr>
          <w:lang w:val="en-US"/>
        </w:rPr>
        <w:t xml:space="preserve"> A clear majority (76%) agree with the CRC Committee’s recommendation that public funds intended to </w:t>
      </w:r>
      <w:r w:rsidR="000E67BA">
        <w:rPr>
          <w:lang w:val="en-US"/>
        </w:rPr>
        <w:t xml:space="preserve">ensure </w:t>
      </w:r>
      <w:r w:rsidRPr="00C32FEE">
        <w:rPr>
          <w:lang w:val="en-US"/>
        </w:rPr>
        <w:t>children's rights should be earmarked rather than included in general budget allocations.</w:t>
      </w:r>
    </w:p>
    <w:p w14:paraId="6FE0C5E2" w14:textId="77777777" w:rsidR="00CF7189" w:rsidRPr="00C32FEE" w:rsidRDefault="00CF7189" w:rsidP="00CF7189">
      <w:pPr>
        <w:spacing w:after="0" w:line="240" w:lineRule="auto"/>
        <w:jc w:val="both"/>
        <w:rPr>
          <w:lang w:val="en-US"/>
        </w:rPr>
      </w:pPr>
    </w:p>
    <w:p w14:paraId="1D1459CD" w14:textId="77777777" w:rsidR="00CF7189" w:rsidRPr="00C32FEE" w:rsidRDefault="00CF7189" w:rsidP="00CF7189">
      <w:pPr>
        <w:pStyle w:val="Listeavsnitt"/>
        <w:numPr>
          <w:ilvl w:val="0"/>
          <w:numId w:val="3"/>
        </w:numPr>
        <w:spacing w:after="0" w:line="240" w:lineRule="auto"/>
        <w:ind w:left="360"/>
        <w:jc w:val="both"/>
        <w:rPr>
          <w:lang w:val="en-US"/>
        </w:rPr>
      </w:pPr>
      <w:r w:rsidRPr="00C32FEE">
        <w:rPr>
          <w:b/>
          <w:bCs/>
          <w:lang w:val="en-US"/>
        </w:rPr>
        <w:t>Low integration of CRC in municipal processes:</w:t>
      </w:r>
      <w:r w:rsidRPr="00C32FEE">
        <w:rPr>
          <w:lang w:val="en-US"/>
        </w:rPr>
        <w:t xml:space="preserve"> According to 71% of respondents, municipal administrations rarely or never reference the CRC in reports or proposals to political committees. References from politicians themselves are even rarer—81% say the CRC is seldom or never mentioned during committee discussions.</w:t>
      </w:r>
    </w:p>
    <w:p w14:paraId="30C5DA20" w14:textId="77777777" w:rsidR="00CF7189" w:rsidRPr="00C32FEE" w:rsidRDefault="00CF7189" w:rsidP="00CF7189">
      <w:pPr>
        <w:spacing w:after="0" w:line="240" w:lineRule="auto"/>
        <w:jc w:val="both"/>
        <w:rPr>
          <w:lang w:val="en-US"/>
        </w:rPr>
      </w:pPr>
    </w:p>
    <w:p w14:paraId="314DD07F" w14:textId="77777777" w:rsidR="00CF7189" w:rsidRPr="00C32FEE" w:rsidRDefault="00CF7189" w:rsidP="00CF7189">
      <w:pPr>
        <w:pStyle w:val="Listeavsnitt"/>
        <w:numPr>
          <w:ilvl w:val="0"/>
          <w:numId w:val="3"/>
        </w:numPr>
        <w:spacing w:after="0" w:line="240" w:lineRule="auto"/>
        <w:ind w:left="360"/>
        <w:jc w:val="both"/>
        <w:rPr>
          <w:lang w:val="en-US"/>
        </w:rPr>
      </w:pPr>
      <w:r w:rsidRPr="00C32FEE">
        <w:rPr>
          <w:b/>
          <w:bCs/>
          <w:lang w:val="en-US"/>
        </w:rPr>
        <w:t>Broad support for child-sensitive complaint mechanisms:</w:t>
      </w:r>
      <w:r w:rsidRPr="00C32FEE">
        <w:rPr>
          <w:lang w:val="en-US"/>
        </w:rPr>
        <w:t xml:space="preserve"> 80% of respondents fully or partially agree with the recommendation that the Children’s Ombudsman or the Norwegian National Human Rights Institution should be given the mandate to receive, investigate, and handle complaints from children in a child-sensitive manner. Only 4% disagree.</w:t>
      </w:r>
    </w:p>
    <w:p w14:paraId="11446DEF" w14:textId="77777777" w:rsidR="00CF7189" w:rsidRPr="00C32FEE" w:rsidRDefault="00CF7189" w:rsidP="00CF7189">
      <w:pPr>
        <w:spacing w:after="0" w:line="240" w:lineRule="auto"/>
        <w:jc w:val="both"/>
        <w:rPr>
          <w:lang w:val="en-US"/>
        </w:rPr>
      </w:pPr>
    </w:p>
    <w:p w14:paraId="24F6BD91" w14:textId="093A1C7B" w:rsidR="00CF7189" w:rsidRPr="00C32FEE" w:rsidRDefault="00CF7189" w:rsidP="00CF7189">
      <w:pPr>
        <w:pStyle w:val="Listeavsnitt"/>
        <w:numPr>
          <w:ilvl w:val="0"/>
          <w:numId w:val="3"/>
        </w:numPr>
        <w:spacing w:after="0" w:line="240" w:lineRule="auto"/>
        <w:ind w:left="360"/>
        <w:jc w:val="both"/>
        <w:rPr>
          <w:lang w:val="en-US"/>
        </w:rPr>
      </w:pPr>
      <w:r w:rsidRPr="00C32FEE">
        <w:rPr>
          <w:b/>
          <w:bCs/>
          <w:lang w:val="en-US"/>
        </w:rPr>
        <w:t>Interest in training and youth collaboration:</w:t>
      </w:r>
      <w:r w:rsidRPr="00C32FEE">
        <w:rPr>
          <w:lang w:val="en-US"/>
        </w:rPr>
        <w:t xml:space="preserve"> A significant share of respondents supports initiatives to strengthen CRC awareness. More than half (54%) recommend day-long courses on the CRC and related documents, and 51% believe that closer collaboration with Youth Councils would also be effective.</w:t>
      </w:r>
    </w:p>
    <w:p w14:paraId="37A59721" w14:textId="4DBCAF73" w:rsidR="002A40AF" w:rsidRPr="00C32FEE" w:rsidRDefault="002A40AF" w:rsidP="00CF7189">
      <w:pPr>
        <w:spacing w:after="0" w:line="240" w:lineRule="auto"/>
        <w:jc w:val="both"/>
        <w:rPr>
          <w:lang w:val="en-US"/>
        </w:rPr>
      </w:pPr>
    </w:p>
    <w:p w14:paraId="3A861F65" w14:textId="314A5AAD" w:rsidR="006A1364" w:rsidRPr="00C32FEE" w:rsidRDefault="00D72AB4" w:rsidP="006A1364">
      <w:pPr>
        <w:spacing w:after="0" w:line="240" w:lineRule="auto"/>
        <w:jc w:val="both"/>
        <w:rPr>
          <w:b/>
          <w:bCs/>
          <w:sz w:val="28"/>
          <w:szCs w:val="28"/>
          <w:lang w:val="en-US"/>
        </w:rPr>
      </w:pPr>
      <w:r w:rsidRPr="00C32FEE">
        <w:rPr>
          <w:b/>
          <w:bCs/>
          <w:sz w:val="28"/>
          <w:szCs w:val="28"/>
          <w:lang w:val="en-US"/>
        </w:rPr>
        <w:lastRenderedPageBreak/>
        <w:t>REFLECTIONS ON THE MAIN ISSUE</w:t>
      </w:r>
    </w:p>
    <w:p w14:paraId="466F37F6" w14:textId="213CADD7" w:rsidR="006A1364" w:rsidRPr="00C32FEE" w:rsidRDefault="006A1364" w:rsidP="006A1364">
      <w:pPr>
        <w:spacing w:after="0" w:line="240" w:lineRule="auto"/>
        <w:jc w:val="both"/>
        <w:rPr>
          <w:lang w:val="en-US"/>
        </w:rPr>
      </w:pPr>
      <w:r w:rsidRPr="00C32FEE">
        <w:rPr>
          <w:lang w:val="en-US"/>
        </w:rPr>
        <w:t>It is deeply concerning that knowledge of children’s rights and the Convention on the Rights of the Child (CRC) remains so low among local politicians who make decisions about budgets, priorities, and services for children</w:t>
      </w:r>
      <w:r w:rsidRPr="008058C7">
        <w:rPr>
          <w:lang w:val="en-US"/>
        </w:rPr>
        <w:t>—</w:t>
      </w:r>
      <w:r w:rsidRPr="00C32FEE">
        <w:rPr>
          <w:lang w:val="en-US"/>
        </w:rPr>
        <w:t xml:space="preserve">more than 20 years after the CRC was incorporated into Norwegian law. A lack of knowledge and competence regarding key implementation tools increases the risk that children's </w:t>
      </w:r>
      <w:r w:rsidR="008058C7" w:rsidRPr="008058C7">
        <w:rPr>
          <w:rFonts w:cs="Segoe UI"/>
          <w:lang w:val="en-US"/>
        </w:rPr>
        <w:t xml:space="preserve">rights to provision, protection and participation are not realized in </w:t>
      </w:r>
      <w:r w:rsidRPr="00C32FEE">
        <w:rPr>
          <w:lang w:val="en-US"/>
        </w:rPr>
        <w:t>practice, and that local politicians fail to uphold their duty to ensure that municipalities do not violate these rights. There is an urgent need to strengthen awareness and understanding of this legal and ethical responsibility.</w:t>
      </w:r>
    </w:p>
    <w:p w14:paraId="33C2C324" w14:textId="77777777" w:rsidR="006A1364" w:rsidRPr="00C32FEE" w:rsidRDefault="006A1364" w:rsidP="006A1364">
      <w:pPr>
        <w:spacing w:after="0" w:line="240" w:lineRule="auto"/>
        <w:jc w:val="both"/>
        <w:rPr>
          <w:lang w:val="en-US"/>
        </w:rPr>
      </w:pPr>
    </w:p>
    <w:p w14:paraId="51C50FB3" w14:textId="77777777" w:rsidR="006A1364" w:rsidRPr="00C32FEE" w:rsidRDefault="006A1364" w:rsidP="006A1364">
      <w:pPr>
        <w:spacing w:after="0" w:line="240" w:lineRule="auto"/>
        <w:jc w:val="both"/>
        <w:rPr>
          <w:lang w:val="en-US"/>
        </w:rPr>
      </w:pPr>
      <w:r w:rsidRPr="00C32FEE">
        <w:rPr>
          <w:lang w:val="en-US"/>
        </w:rPr>
        <w:t>Children’s rights are enshrined in the Norwegian Constitution, the CRC, and the Local Government Act. The obligations of the State to uphold human rights extend equally to county and municipal authorities. Furthermore, the Constitution (Article 92) affirms that “The state authorities shall respect and ensure human rights as they are established in this Constitution and in human rights treaties binding for Norway.” This makes municipalities directly accountable for protecting and fulfilling the rights of children in their jurisdictions.</w:t>
      </w:r>
    </w:p>
    <w:p w14:paraId="0FF814C8" w14:textId="77777777" w:rsidR="006A1364" w:rsidRPr="00C32FEE" w:rsidRDefault="006A1364" w:rsidP="006A1364">
      <w:pPr>
        <w:spacing w:after="0" w:line="240" w:lineRule="auto"/>
        <w:jc w:val="both"/>
        <w:rPr>
          <w:lang w:val="en-US"/>
        </w:rPr>
      </w:pPr>
    </w:p>
    <w:p w14:paraId="3B41EC76" w14:textId="77777777" w:rsidR="006A1364" w:rsidRPr="00C32FEE" w:rsidRDefault="006A1364" w:rsidP="006A1364">
      <w:pPr>
        <w:spacing w:after="0" w:line="240" w:lineRule="auto"/>
        <w:jc w:val="both"/>
        <w:rPr>
          <w:lang w:val="en-US"/>
        </w:rPr>
      </w:pPr>
      <w:r w:rsidRPr="00C32FEE">
        <w:rPr>
          <w:lang w:val="en-US"/>
        </w:rPr>
        <w:t>According to the Local Government Act (2018), municipalities are tasked with providing services and fostering local development in ways that benefit residents, while remaining effective, trustworthy, and sustainable. However, each municipality determines its own priorities within its available financial resources. These decisions are often shaped by the political composition of local councils and subcommittees, meaning that political priorities and views on resource allocation can differ significantly from one municipality to another.</w:t>
      </w:r>
    </w:p>
    <w:p w14:paraId="6B19405C" w14:textId="77777777" w:rsidR="006A1364" w:rsidRPr="00C32FEE" w:rsidRDefault="006A1364" w:rsidP="006A1364">
      <w:pPr>
        <w:spacing w:after="0" w:line="240" w:lineRule="auto"/>
        <w:jc w:val="both"/>
        <w:rPr>
          <w:lang w:val="en-US"/>
        </w:rPr>
      </w:pPr>
    </w:p>
    <w:p w14:paraId="42C6ECED" w14:textId="77777777" w:rsidR="006A1364" w:rsidRPr="00C32FEE" w:rsidRDefault="006A1364" w:rsidP="006A1364">
      <w:pPr>
        <w:spacing w:after="0" w:line="240" w:lineRule="auto"/>
        <w:jc w:val="both"/>
        <w:rPr>
          <w:lang w:val="en-US"/>
        </w:rPr>
      </w:pPr>
      <w:r w:rsidRPr="00C32FEE">
        <w:rPr>
          <w:lang w:val="en-US"/>
        </w:rPr>
        <w:t xml:space="preserve">Human rights considerations are relevant across many areas of municipal governance—impacting children, youth, adults, and the elderly alike. They include decisions on kindergartens, child protection, healthcare, social services, inclusive design, rehabilitation services, support for children in conflict with the law, and other vulnerable populations. Recent debates over school closures have raised concerns about violations of Article 3.1 of the CRC, which states that the best interests of the child must be a primary consideration, and Article 12, which grants children the right to be heard and to have their views </w:t>
      </w:r>
      <w:proofErr w:type="gramStart"/>
      <w:r w:rsidRPr="00C32FEE">
        <w:rPr>
          <w:lang w:val="en-US"/>
        </w:rPr>
        <w:t>taken into account</w:t>
      </w:r>
      <w:proofErr w:type="gramEnd"/>
      <w:r w:rsidRPr="00C32FEE">
        <w:rPr>
          <w:lang w:val="en-US"/>
        </w:rPr>
        <w:t xml:space="preserve"> in accordance with their age and maturity. Municipalities are also responsible for safeguarding human rights in areas such as environmental protection, freedom of expression, and democratic participation.</w:t>
      </w:r>
    </w:p>
    <w:p w14:paraId="647C2254" w14:textId="77777777" w:rsidR="006A1364" w:rsidRPr="00C32FEE" w:rsidRDefault="006A1364" w:rsidP="006A1364">
      <w:pPr>
        <w:spacing w:after="0" w:line="240" w:lineRule="auto"/>
        <w:jc w:val="both"/>
        <w:rPr>
          <w:lang w:val="en-US"/>
        </w:rPr>
      </w:pPr>
    </w:p>
    <w:p w14:paraId="093DCF61" w14:textId="75C79644" w:rsidR="006A1364" w:rsidRPr="00C32FEE" w:rsidRDefault="006A1364" w:rsidP="006A1364">
      <w:pPr>
        <w:spacing w:after="0" w:line="240" w:lineRule="auto"/>
        <w:jc w:val="both"/>
        <w:rPr>
          <w:lang w:val="en-US"/>
        </w:rPr>
      </w:pPr>
      <w:r w:rsidRPr="00C32FEE">
        <w:rPr>
          <w:lang w:val="en-US"/>
        </w:rPr>
        <w:t xml:space="preserve">The municipal council is the highest political authority in the municipality, making final decisions on strategies, budgets, and both short- and long-term policy directions. The municipal administration prepares proposals in cooperation with the </w:t>
      </w:r>
      <w:r w:rsidR="000E67BA">
        <w:rPr>
          <w:lang w:val="en-US"/>
        </w:rPr>
        <w:t xml:space="preserve">Municipal </w:t>
      </w:r>
      <w:r w:rsidRPr="00C32FEE">
        <w:rPr>
          <w:lang w:val="en-US"/>
        </w:rPr>
        <w:t xml:space="preserve">executive, and political committees play an important—though not decisive—role in this process. Committee composition and leadership positions reflect the diversity of political parties, and power balances may shift between election cycles. Regardless of political dynamics, it is essential that both elected </w:t>
      </w:r>
      <w:r w:rsidR="000E67BA">
        <w:rPr>
          <w:lang w:val="en-US"/>
        </w:rPr>
        <w:t xml:space="preserve">local politicians </w:t>
      </w:r>
      <w:r w:rsidRPr="00C32FEE">
        <w:rPr>
          <w:lang w:val="en-US"/>
        </w:rPr>
        <w:t>and municipal staff understand their obligations under human rights law.</w:t>
      </w:r>
    </w:p>
    <w:p w14:paraId="23496E11" w14:textId="77777777" w:rsidR="006A1364" w:rsidRPr="00C32FEE" w:rsidRDefault="006A1364" w:rsidP="006A1364">
      <w:pPr>
        <w:spacing w:after="0" w:line="240" w:lineRule="auto"/>
        <w:jc w:val="both"/>
        <w:rPr>
          <w:lang w:val="en-US"/>
        </w:rPr>
      </w:pPr>
    </w:p>
    <w:p w14:paraId="2FE1D677" w14:textId="77777777" w:rsidR="000E67BA" w:rsidRPr="000E67BA" w:rsidRDefault="006A1364" w:rsidP="00287CF8">
      <w:pPr>
        <w:pStyle w:val="pf0"/>
        <w:jc w:val="both"/>
        <w:rPr>
          <w:rFonts w:asciiTheme="minorHAnsi" w:hAnsiTheme="minorHAnsi" w:cs="Arial"/>
          <w:lang w:val="en-US"/>
        </w:rPr>
      </w:pPr>
      <w:r w:rsidRPr="000E67BA">
        <w:rPr>
          <w:rFonts w:asciiTheme="minorHAnsi" w:hAnsiTheme="minorHAnsi"/>
          <w:lang w:val="en-US"/>
        </w:rPr>
        <w:lastRenderedPageBreak/>
        <w:t>The lack of awareness among politicians is consistent with findings from other studies on human rights knowledge in Norwegian municipalities (e.g., NIM</w:t>
      </w:r>
      <w:r w:rsidR="000E67BA" w:rsidRPr="000E67BA">
        <w:rPr>
          <w:rFonts w:asciiTheme="minorHAnsi" w:hAnsiTheme="minorHAnsi"/>
          <w:lang w:val="en-US"/>
        </w:rPr>
        <w:t xml:space="preserve"> (NHRI)</w:t>
      </w:r>
      <w:r w:rsidRPr="000E67BA">
        <w:rPr>
          <w:rFonts w:asciiTheme="minorHAnsi" w:hAnsiTheme="minorHAnsi"/>
          <w:lang w:val="en-US"/>
        </w:rPr>
        <w:t>, 2021) and aligns with earlier research on competence and awareness of the CRC among professionals working in education, health, child welfare, NAV, and civil society organizations concerned with children’s rights (Kipperberg, 201</w:t>
      </w:r>
      <w:r w:rsidR="000E67BA" w:rsidRPr="000E67BA">
        <w:rPr>
          <w:rFonts w:asciiTheme="minorHAnsi" w:hAnsiTheme="minorHAnsi"/>
          <w:lang w:val="en-US"/>
        </w:rPr>
        <w:t>9</w:t>
      </w:r>
      <w:r w:rsidRPr="000E67BA">
        <w:rPr>
          <w:rFonts w:asciiTheme="minorHAnsi" w:hAnsiTheme="minorHAnsi"/>
          <w:lang w:val="en-US"/>
        </w:rPr>
        <w:t>).</w:t>
      </w:r>
      <w:r w:rsidR="00267A7F" w:rsidRPr="000E67BA">
        <w:rPr>
          <w:rFonts w:asciiTheme="minorHAnsi" w:hAnsiTheme="minorHAnsi"/>
          <w:lang w:val="en-US"/>
        </w:rPr>
        <w:t xml:space="preserve"> </w:t>
      </w:r>
      <w:r w:rsidR="000E67BA" w:rsidRPr="000E67BA">
        <w:rPr>
          <w:rFonts w:asciiTheme="minorHAnsi" w:hAnsiTheme="minorHAnsi" w:cs="Segoe UI"/>
          <w:lang w:val="en-US"/>
        </w:rPr>
        <w:t xml:space="preserve">Based on this, it is therefore somewhat surprising that a large portion of the respondents confirm the presence of a central resource person or agency in their municipality that can provide information and guidance on the use of the Convention on the Rights of the Child. </w:t>
      </w:r>
    </w:p>
    <w:p w14:paraId="45297DB7" w14:textId="73C49FB1" w:rsidR="006A1364" w:rsidRPr="00C32FEE" w:rsidRDefault="000E67BA" w:rsidP="00287CF8">
      <w:pPr>
        <w:spacing w:after="0" w:line="240" w:lineRule="auto"/>
        <w:jc w:val="both"/>
        <w:rPr>
          <w:lang w:val="en-US"/>
        </w:rPr>
      </w:pPr>
      <w:r w:rsidRPr="00C32FEE">
        <w:rPr>
          <w:lang w:val="en-US"/>
        </w:rPr>
        <w:t>So</w:t>
      </w:r>
      <w:r>
        <w:rPr>
          <w:lang w:val="en-US"/>
        </w:rPr>
        <w:t>,</w:t>
      </w:r>
      <w:r w:rsidRPr="00C32FEE">
        <w:rPr>
          <w:lang w:val="en-US"/>
        </w:rPr>
        <w:t xml:space="preserve"> </w:t>
      </w:r>
      <w:r w:rsidR="006A1364" w:rsidRPr="00C32FEE">
        <w:rPr>
          <w:lang w:val="en-US"/>
        </w:rPr>
        <w:t>what can be done to increase local politicians' awareness and understanding of children’s rights and the CRC, particularly in decisions about budgeting and prioritization of measures aimed at supporting children?</w:t>
      </w:r>
    </w:p>
    <w:p w14:paraId="433847B0" w14:textId="592F40BC" w:rsidR="006A1364" w:rsidRPr="000E67BA" w:rsidRDefault="006A1364" w:rsidP="00287CF8">
      <w:pPr>
        <w:pStyle w:val="pf0"/>
        <w:jc w:val="both"/>
        <w:rPr>
          <w:rFonts w:asciiTheme="minorHAnsi" w:hAnsiTheme="minorHAnsi"/>
          <w:lang w:val="en-US"/>
        </w:rPr>
      </w:pPr>
      <w:r w:rsidRPr="008058C7">
        <w:rPr>
          <w:rFonts w:asciiTheme="minorHAnsi" w:hAnsiTheme="minorHAnsi"/>
          <w:lang w:val="en-US"/>
        </w:rPr>
        <w:t xml:space="preserve">Respondents in this survey recommend day-long courses on the CRC and related core documents. They also suggest that collaboration with Youth Councils is a promising way to increase local politicians’ awareness. Interestingly, a notable share of respondents emphasized the importance of engaging with Youth Councils, signaling a willingness to implement Article 12 of the CRC, which requires that children be heard and involved in municipal decision-making. For this collaboration to be meaningful, </w:t>
      </w:r>
      <w:r w:rsidR="008058C7" w:rsidRPr="008058C7">
        <w:rPr>
          <w:rFonts w:asciiTheme="minorHAnsi" w:hAnsiTheme="minorHAnsi"/>
          <w:lang w:val="en-US"/>
        </w:rPr>
        <w:t xml:space="preserve">however, </w:t>
      </w:r>
      <w:r w:rsidRPr="008058C7">
        <w:rPr>
          <w:rFonts w:asciiTheme="minorHAnsi" w:hAnsiTheme="minorHAnsi"/>
          <w:lang w:val="en-US"/>
        </w:rPr>
        <w:t xml:space="preserve">politicians must actively follow the national guidelines for Youth Councils issued in 2018 under Section 5-12 of the Local Government Act. </w:t>
      </w:r>
      <w:r w:rsidR="00947574" w:rsidRPr="00947574">
        <w:rPr>
          <w:rFonts w:asciiTheme="minorHAnsi" w:hAnsiTheme="minorHAnsi"/>
          <w:lang w:val="en-US"/>
        </w:rPr>
        <w:t>A guidance document published by the Norwegian Directorate for Children, Youth and Family Affairs (</w:t>
      </w:r>
      <w:proofErr w:type="spellStart"/>
      <w:r w:rsidR="00947574" w:rsidRPr="00947574">
        <w:rPr>
          <w:rFonts w:asciiTheme="minorHAnsi" w:hAnsiTheme="minorHAnsi"/>
          <w:lang w:val="en-US"/>
        </w:rPr>
        <w:t>Bufdir</w:t>
      </w:r>
      <w:proofErr w:type="spellEnd"/>
      <w:r w:rsidR="00947574" w:rsidRPr="00947574">
        <w:rPr>
          <w:rFonts w:asciiTheme="minorHAnsi" w:hAnsiTheme="minorHAnsi"/>
          <w:lang w:val="en-US"/>
        </w:rPr>
        <w:t>) in 2021 outlines key areas where Youth Councils are encouraged to provide input, including culture and recreational services, education and school-</w:t>
      </w:r>
      <w:r w:rsidR="00947574" w:rsidRPr="000E67BA">
        <w:rPr>
          <w:rFonts w:asciiTheme="minorHAnsi" w:hAnsiTheme="minorHAnsi"/>
          <w:lang w:val="en-US"/>
        </w:rPr>
        <w:t xml:space="preserve">related issues, health services, transportation and mobility, and environmental policy. </w:t>
      </w:r>
      <w:r w:rsidR="008058C7" w:rsidRPr="000E67BA">
        <w:rPr>
          <w:rFonts w:asciiTheme="minorHAnsi" w:hAnsiTheme="minorHAnsi" w:cs="Segoe UI"/>
          <w:lang w:val="en-US"/>
        </w:rPr>
        <w:t xml:space="preserve"> </w:t>
      </w:r>
      <w:r w:rsidRPr="000E67BA">
        <w:rPr>
          <w:rFonts w:asciiTheme="minorHAnsi" w:hAnsiTheme="minorHAnsi"/>
          <w:lang w:val="en-US"/>
        </w:rPr>
        <w:t>Preliminary feedback from Youth Councils in several municipalities suggests, however, that they often only provide input on a limited number of issues and have relatively little influence on overall municipal budgets and priorities. A quick survey of municipal websites also reveals that few municipalities publicly share agendas or meeting minutes from Youth Council sessions, limiting transparency and public engagement.</w:t>
      </w:r>
    </w:p>
    <w:p w14:paraId="382C1AF1" w14:textId="0F0EAEFB" w:rsidR="006A1364" w:rsidRDefault="006A1364" w:rsidP="00287CF8">
      <w:pPr>
        <w:spacing w:after="0" w:line="240" w:lineRule="auto"/>
        <w:jc w:val="both"/>
        <w:rPr>
          <w:lang w:val="en-US"/>
        </w:rPr>
      </w:pPr>
      <w:r w:rsidRPr="00C32FEE">
        <w:rPr>
          <w:lang w:val="en-US"/>
        </w:rPr>
        <w:t>To further strengthen human rights awareness within municipalities, the Norwegian National Human Rights Institution (NIM) has recommended improving legal competence among local politicians and administrative staff and establishing dedicated Human Rights Councils with clear mandates—potentially anchored in Section 13-1 of the Local Government Act.</w:t>
      </w:r>
    </w:p>
    <w:p w14:paraId="75494B36" w14:textId="77777777" w:rsidR="00947574" w:rsidRDefault="00947574" w:rsidP="00287CF8">
      <w:pPr>
        <w:spacing w:after="0" w:line="240" w:lineRule="auto"/>
        <w:jc w:val="both"/>
        <w:rPr>
          <w:lang w:val="en-US"/>
        </w:rPr>
      </w:pPr>
    </w:p>
    <w:p w14:paraId="39F9D5BF" w14:textId="5E64A3F3" w:rsidR="00947574" w:rsidRPr="00287CF8" w:rsidRDefault="00947574" w:rsidP="00287CF8">
      <w:pPr>
        <w:spacing w:after="0" w:line="240" w:lineRule="auto"/>
        <w:jc w:val="both"/>
        <w:rPr>
          <w:i/>
          <w:iCs/>
          <w:lang w:val="en-US"/>
        </w:rPr>
      </w:pPr>
      <w:r w:rsidRPr="00287CF8">
        <w:rPr>
          <w:i/>
          <w:iCs/>
          <w:lang w:val="en-US"/>
        </w:rPr>
        <w:t>In our view, awareness of the strong legal status of the Convention on the Rights of the Child should be elevated to a higher level, with the goal of increasing knowledge and understanding of the Convention among national, regional, and local politicians. An important measure in this regard would be to ensure that the Concluding Observations and recommendations from the CRC Committee are thoroughly debated in the national parliament, and that national authorities organize central meetings or other activities to disseminate the State party report and the Committee's recommendations, in line with the Committee’s guidance (CRC/GC/2003/5, point 73). So far, this has not occurred. Simply publishing the documents on government websites is not sufficient when the general level of awareness is alarmingly low.</w:t>
      </w:r>
    </w:p>
    <w:p w14:paraId="58F27C9C" w14:textId="22635F5E" w:rsidR="00D72AB4" w:rsidRPr="008B6123" w:rsidRDefault="00D72AB4" w:rsidP="006A1364">
      <w:pPr>
        <w:spacing w:after="0" w:line="240" w:lineRule="auto"/>
        <w:jc w:val="both"/>
        <w:rPr>
          <w:b/>
          <w:bCs/>
          <w:sz w:val="28"/>
          <w:szCs w:val="28"/>
        </w:rPr>
      </w:pPr>
      <w:r w:rsidRPr="008B6123">
        <w:rPr>
          <w:b/>
          <w:bCs/>
          <w:sz w:val="28"/>
          <w:szCs w:val="28"/>
        </w:rPr>
        <w:lastRenderedPageBreak/>
        <w:t>SOURCES</w:t>
      </w:r>
    </w:p>
    <w:p w14:paraId="2D046566" w14:textId="77777777" w:rsidR="00500DCC" w:rsidRDefault="00500DCC" w:rsidP="00500DCC">
      <w:pPr>
        <w:spacing w:after="0" w:line="240" w:lineRule="auto"/>
        <w:jc w:val="both"/>
      </w:pPr>
      <w:r w:rsidRPr="00C32FEE">
        <w:t>Barne-, ungdoms- og familiedirektoratet (</w:t>
      </w:r>
      <w:proofErr w:type="spellStart"/>
      <w:r w:rsidRPr="00C32FEE">
        <w:t>Bufdir</w:t>
      </w:r>
      <w:proofErr w:type="spellEnd"/>
      <w:r w:rsidRPr="00C32FEE">
        <w:t xml:space="preserve">). (2021). Veiledning om ungdomsråd. </w:t>
      </w:r>
      <w:proofErr w:type="spellStart"/>
      <w:r w:rsidRPr="00372E84">
        <w:t>Retrieved</w:t>
      </w:r>
      <w:proofErr w:type="spellEnd"/>
      <w:r w:rsidRPr="00372E84">
        <w:t xml:space="preserve"> from </w:t>
      </w:r>
      <w:hyperlink r:id="rId8" w:history="1">
        <w:r w:rsidRPr="00372E84">
          <w:rPr>
            <w:rStyle w:val="Hyperkobling"/>
          </w:rPr>
          <w:t>https://www.bufdir.no/fagstotte/produkter/ungdomsrad/</w:t>
        </w:r>
      </w:hyperlink>
    </w:p>
    <w:p w14:paraId="1189601C" w14:textId="77777777" w:rsidR="00500DCC" w:rsidRPr="008B6123" w:rsidRDefault="00500DCC" w:rsidP="00D72AB4">
      <w:pPr>
        <w:spacing w:after="0" w:line="240" w:lineRule="auto"/>
        <w:jc w:val="both"/>
      </w:pPr>
    </w:p>
    <w:p w14:paraId="27568652" w14:textId="77777777" w:rsidR="00500DCC" w:rsidRPr="00C32FEE" w:rsidRDefault="00500DCC" w:rsidP="00500DCC">
      <w:pPr>
        <w:spacing w:after="0" w:line="240" w:lineRule="auto"/>
        <w:jc w:val="both"/>
        <w:rPr>
          <w:lang w:val="en-US"/>
        </w:rPr>
      </w:pPr>
      <w:r w:rsidRPr="00C32FEE">
        <w:rPr>
          <w:lang w:val="en-US"/>
        </w:rPr>
        <w:t>CRC Committee. (2003). General comment No. 5: General measures of implementation of the Convention on the Rights of the Child. CRC/GC/2003/5.</w:t>
      </w:r>
    </w:p>
    <w:p w14:paraId="69C62313" w14:textId="77777777" w:rsidR="00D72AB4" w:rsidRPr="00C32FEE" w:rsidRDefault="00D72AB4" w:rsidP="00D72AB4">
      <w:pPr>
        <w:spacing w:after="0" w:line="240" w:lineRule="auto"/>
        <w:jc w:val="both"/>
        <w:rPr>
          <w:lang w:val="en-US"/>
        </w:rPr>
      </w:pPr>
    </w:p>
    <w:p w14:paraId="33307F6A" w14:textId="77777777" w:rsidR="00D72AB4" w:rsidRPr="008B6123" w:rsidRDefault="00D72AB4" w:rsidP="00D72AB4">
      <w:pPr>
        <w:spacing w:after="0" w:line="240" w:lineRule="auto"/>
        <w:jc w:val="both"/>
        <w:rPr>
          <w:lang w:val="en-US"/>
        </w:rPr>
      </w:pPr>
      <w:r w:rsidRPr="00C32FEE">
        <w:rPr>
          <w:lang w:val="en-US"/>
        </w:rPr>
        <w:t xml:space="preserve">CRC Committee. (2016). General comment No. 19 on public budgeting for the realization of children’s rights (art. 4). </w:t>
      </w:r>
      <w:r w:rsidRPr="008B6123">
        <w:rPr>
          <w:lang w:val="en-US"/>
        </w:rPr>
        <w:t>CRC/GC/2016/19.</w:t>
      </w:r>
    </w:p>
    <w:p w14:paraId="6694CC17" w14:textId="77777777" w:rsidR="00D72AB4" w:rsidRPr="008B6123" w:rsidRDefault="00D72AB4" w:rsidP="00D72AB4">
      <w:pPr>
        <w:spacing w:after="0" w:line="240" w:lineRule="auto"/>
        <w:jc w:val="both"/>
        <w:rPr>
          <w:lang w:val="en-US"/>
        </w:rPr>
      </w:pPr>
    </w:p>
    <w:p w14:paraId="4457B06C" w14:textId="77777777" w:rsidR="00500DCC" w:rsidRPr="008B6123" w:rsidRDefault="00500DCC" w:rsidP="00500DCC">
      <w:pPr>
        <w:spacing w:after="0" w:line="240" w:lineRule="auto"/>
        <w:jc w:val="both"/>
      </w:pPr>
      <w:r w:rsidRPr="00C32FEE">
        <w:rPr>
          <w:lang w:val="en-US"/>
        </w:rPr>
        <w:t xml:space="preserve">CRC Committee. (2018). Concluding observations on the combined fifth and sixth periodic reports of Norway. </w:t>
      </w:r>
      <w:r w:rsidRPr="008B6123">
        <w:t xml:space="preserve">CRC/C/NOR/CO/5-6. 4 </w:t>
      </w:r>
      <w:proofErr w:type="spellStart"/>
      <w:r w:rsidRPr="008B6123">
        <w:t>July</w:t>
      </w:r>
      <w:proofErr w:type="spellEnd"/>
      <w:r w:rsidRPr="008B6123">
        <w:t xml:space="preserve"> 2018.</w:t>
      </w:r>
    </w:p>
    <w:p w14:paraId="0EC24A28" w14:textId="77777777" w:rsidR="00500DCC" w:rsidRDefault="00500DCC" w:rsidP="00D72AB4">
      <w:pPr>
        <w:spacing w:after="0" w:line="240" w:lineRule="auto"/>
        <w:jc w:val="both"/>
      </w:pPr>
    </w:p>
    <w:p w14:paraId="1D9EE7F3" w14:textId="77777777" w:rsidR="00500DCC" w:rsidRPr="008B6123" w:rsidRDefault="00500DCC" w:rsidP="00500DCC">
      <w:pPr>
        <w:spacing w:after="0" w:line="240" w:lineRule="auto"/>
        <w:jc w:val="both"/>
      </w:pPr>
      <w:r w:rsidRPr="00C32FEE">
        <w:t xml:space="preserve">Justis- og beredskapsdepartementet. </w:t>
      </w:r>
      <w:r w:rsidRPr="008B6123">
        <w:t xml:space="preserve">(1999). The Norwegian Human Rights </w:t>
      </w:r>
      <w:proofErr w:type="spellStart"/>
      <w:r w:rsidRPr="008B6123">
        <w:t>Act</w:t>
      </w:r>
      <w:proofErr w:type="spellEnd"/>
      <w:r w:rsidRPr="008B6123">
        <w:t xml:space="preserve"> (Menneskerettsloven). LOV-1999-05-21-30.</w:t>
      </w:r>
    </w:p>
    <w:p w14:paraId="34FEDEDC" w14:textId="77777777" w:rsidR="00500DCC" w:rsidRDefault="00500DCC" w:rsidP="00500DCC">
      <w:pPr>
        <w:spacing w:after="0" w:line="240" w:lineRule="auto"/>
        <w:jc w:val="both"/>
      </w:pPr>
    </w:p>
    <w:p w14:paraId="3BB72E49" w14:textId="74351F4E" w:rsidR="00500DCC" w:rsidRPr="00C32FEE" w:rsidRDefault="00500DCC" w:rsidP="00500DCC">
      <w:pPr>
        <w:spacing w:after="0" w:line="240" w:lineRule="auto"/>
        <w:jc w:val="both"/>
      </w:pPr>
      <w:r w:rsidRPr="00C32FEE">
        <w:t xml:space="preserve">Justis- og beredskapsdepartementet. (1814/2014/2024). Norges Grunnlov 1814, </w:t>
      </w:r>
      <w:proofErr w:type="spellStart"/>
      <w:r w:rsidRPr="00C32FEE">
        <w:t>revised</w:t>
      </w:r>
      <w:proofErr w:type="spellEnd"/>
      <w:r w:rsidRPr="00C32FEE">
        <w:t xml:space="preserve"> 2014 and 2024. LOV-1814-05-17.</w:t>
      </w:r>
    </w:p>
    <w:p w14:paraId="6A8FF198" w14:textId="77777777" w:rsidR="00500DCC" w:rsidRDefault="00500DCC" w:rsidP="00D72AB4">
      <w:pPr>
        <w:spacing w:after="0" w:line="240" w:lineRule="auto"/>
        <w:jc w:val="both"/>
      </w:pPr>
    </w:p>
    <w:p w14:paraId="10743C4D" w14:textId="7D777351" w:rsidR="00C32FEE" w:rsidRPr="00C32FEE" w:rsidRDefault="00D72AB4" w:rsidP="00D72AB4">
      <w:pPr>
        <w:spacing w:after="0" w:line="240" w:lineRule="auto"/>
        <w:jc w:val="both"/>
        <w:rPr>
          <w:lang w:val="en-US"/>
        </w:rPr>
      </w:pPr>
      <w:r w:rsidRPr="00C32FEE">
        <w:t xml:space="preserve">Kipperberg, E. (2018). Barnekonvensjonen: Kompetanse og kunnskapsbehov i høyere utdanning og blant fagfolk i feltet (UiS Report No. 72). </w:t>
      </w:r>
      <w:r w:rsidRPr="00C32FEE">
        <w:rPr>
          <w:lang w:val="en-US"/>
        </w:rPr>
        <w:t xml:space="preserve">University of Stavanger. </w:t>
      </w:r>
      <w:r w:rsidR="00C32FEE" w:rsidRPr="00C32FEE">
        <w:rPr>
          <w:lang w:val="en-US"/>
        </w:rPr>
        <w:t xml:space="preserve">Available online: </w:t>
      </w:r>
      <w:hyperlink r:id="rId9" w:history="1">
        <w:r w:rsidR="00C32FEE" w:rsidRPr="00C32FEE">
          <w:rPr>
            <w:rStyle w:val="Hyperkobling"/>
            <w:lang w:val="en-US"/>
          </w:rPr>
          <w:t>https://uis.brage.unit.no/uis-xmlui/handle/11250/2568567</w:t>
        </w:r>
      </w:hyperlink>
    </w:p>
    <w:p w14:paraId="75666C3D" w14:textId="0FC66EBB" w:rsidR="00D72AB4" w:rsidRPr="00C32FEE" w:rsidRDefault="00D72AB4" w:rsidP="00D72AB4">
      <w:pPr>
        <w:spacing w:after="0" w:line="240" w:lineRule="auto"/>
        <w:jc w:val="both"/>
        <w:rPr>
          <w:lang w:val="en-US"/>
        </w:rPr>
      </w:pPr>
    </w:p>
    <w:p w14:paraId="51031DCD" w14:textId="77777777" w:rsidR="00500DCC" w:rsidRPr="00C32FEE" w:rsidRDefault="00500DCC" w:rsidP="00500DCC">
      <w:pPr>
        <w:spacing w:after="0" w:line="240" w:lineRule="auto"/>
        <w:jc w:val="both"/>
      </w:pPr>
      <w:r w:rsidRPr="00C32FEE">
        <w:t>Kommunal- og moderniseringsdepartementet. (2018). Lov om kommuner og fylkeskommuner (kommuneloven). LOV-2018-06-22-83.</w:t>
      </w:r>
    </w:p>
    <w:p w14:paraId="7E0BCB5E" w14:textId="77777777" w:rsidR="00500DCC" w:rsidRDefault="00500DCC" w:rsidP="00D72AB4">
      <w:pPr>
        <w:spacing w:after="0" w:line="240" w:lineRule="auto"/>
        <w:jc w:val="both"/>
      </w:pPr>
    </w:p>
    <w:p w14:paraId="18519C3B" w14:textId="7F9B25F3" w:rsidR="00D72AB4" w:rsidRPr="00C32FEE" w:rsidRDefault="00D72AB4" w:rsidP="00D72AB4">
      <w:pPr>
        <w:spacing w:after="0" w:line="240" w:lineRule="auto"/>
        <w:jc w:val="both"/>
      </w:pPr>
      <w:r w:rsidRPr="00C32FEE">
        <w:t xml:space="preserve">Norges institusjon for menneskerettigheter. (2022). Kommuner og menneskerettigheter. </w:t>
      </w:r>
      <w:proofErr w:type="spellStart"/>
      <w:r w:rsidRPr="00C32FEE">
        <w:t>Retrieved</w:t>
      </w:r>
      <w:proofErr w:type="spellEnd"/>
      <w:r w:rsidRPr="00C32FEE">
        <w:t xml:space="preserve"> from </w:t>
      </w:r>
      <w:hyperlink r:id="rId10" w:history="1">
        <w:r w:rsidRPr="00C32FEE">
          <w:rPr>
            <w:rStyle w:val="Hyperkobling"/>
          </w:rPr>
          <w:t>https://www.nhri.no/rapport/kommuner/</w:t>
        </w:r>
      </w:hyperlink>
    </w:p>
    <w:p w14:paraId="0DE33F9B" w14:textId="77777777" w:rsidR="00D72AB4" w:rsidRPr="00C32FEE" w:rsidRDefault="00D72AB4" w:rsidP="00D72AB4">
      <w:pPr>
        <w:spacing w:after="0" w:line="240" w:lineRule="auto"/>
        <w:jc w:val="both"/>
      </w:pPr>
    </w:p>
    <w:p w14:paraId="27B6FA81" w14:textId="77777777" w:rsidR="00500DCC" w:rsidRPr="001159A7" w:rsidRDefault="00500DCC" w:rsidP="00500DCC">
      <w:pPr>
        <w:spacing w:after="0" w:line="240" w:lineRule="auto"/>
        <w:rPr>
          <w:lang w:val="en-US"/>
        </w:rPr>
      </w:pPr>
      <w:proofErr w:type="spellStart"/>
      <w:r w:rsidRPr="00500DCC">
        <w:rPr>
          <w:lang w:val="en-US"/>
        </w:rPr>
        <w:t>Regjerningen</w:t>
      </w:r>
      <w:proofErr w:type="spellEnd"/>
      <w:r w:rsidRPr="00500DCC">
        <w:rPr>
          <w:lang w:val="en-US"/>
        </w:rPr>
        <w:t xml:space="preserve">. </w:t>
      </w:r>
      <w:r>
        <w:rPr>
          <w:i/>
          <w:iCs/>
          <w:lang w:val="en-US"/>
        </w:rPr>
        <w:t>The Rights of the Child in Norway.</w:t>
      </w:r>
      <w:r>
        <w:rPr>
          <w:lang w:val="en-US"/>
        </w:rPr>
        <w:t xml:space="preserve"> Norway's fifth and sixth periodic reports to the UN Committee on the Rights of the Child – 2016. Downloaded January 2025 from </w:t>
      </w:r>
      <w:hyperlink r:id="rId11" w:history="1">
        <w:r w:rsidRPr="001159A7">
          <w:rPr>
            <w:rStyle w:val="Hyperkobling"/>
            <w:lang w:val="en-US"/>
          </w:rPr>
          <w:t>rapport-fns-barnekonvensjon-2016-engelsk.pdf</w:t>
        </w:r>
      </w:hyperlink>
    </w:p>
    <w:p w14:paraId="04709307" w14:textId="77777777" w:rsidR="00500DCC" w:rsidRDefault="00500DCC" w:rsidP="00D72AB4">
      <w:pPr>
        <w:spacing w:after="0" w:line="240" w:lineRule="auto"/>
        <w:jc w:val="both"/>
        <w:rPr>
          <w:lang w:val="en-US"/>
        </w:rPr>
      </w:pPr>
    </w:p>
    <w:p w14:paraId="641FF099" w14:textId="31B4E98D" w:rsidR="00D72AB4" w:rsidRDefault="00500DCC" w:rsidP="00D72AB4">
      <w:pPr>
        <w:spacing w:after="0" w:line="240" w:lineRule="auto"/>
        <w:jc w:val="both"/>
      </w:pPr>
      <w:r>
        <w:rPr>
          <w:lang w:val="en-US"/>
        </w:rPr>
        <w:t>S</w:t>
      </w:r>
      <w:r w:rsidR="00D72AB4" w:rsidRPr="00C32FEE">
        <w:rPr>
          <w:lang w:val="en-US"/>
        </w:rPr>
        <w:t xml:space="preserve">tatistics Norway (SSB). (2024, January 1). Population statistics by municipality. Retrieved from </w:t>
      </w:r>
      <w:hyperlink r:id="rId12" w:history="1">
        <w:r w:rsidR="00D72AB4" w:rsidRPr="00C32FEE">
          <w:rPr>
            <w:rStyle w:val="Hyperkobling"/>
            <w:lang w:val="en-US"/>
          </w:rPr>
          <w:t>https://www.ssb.no/statbank/table/06913</w:t>
        </w:r>
      </w:hyperlink>
    </w:p>
    <w:p w14:paraId="24CF636E" w14:textId="77777777" w:rsidR="008B6123" w:rsidRDefault="008B6123" w:rsidP="00D72AB4">
      <w:pPr>
        <w:spacing w:after="0" w:line="240" w:lineRule="auto"/>
        <w:jc w:val="both"/>
      </w:pPr>
    </w:p>
    <w:p w14:paraId="5D6F86E2" w14:textId="77777777" w:rsidR="00500DCC" w:rsidRPr="00372E84" w:rsidRDefault="00500DCC" w:rsidP="00D72AB4">
      <w:pPr>
        <w:spacing w:after="0" w:line="240" w:lineRule="auto"/>
        <w:jc w:val="both"/>
      </w:pPr>
    </w:p>
    <w:p w14:paraId="435E56D4" w14:textId="77777777" w:rsidR="00D72AB4" w:rsidRDefault="00D72AB4" w:rsidP="00D72AB4">
      <w:pPr>
        <w:spacing w:after="0" w:line="240" w:lineRule="auto"/>
        <w:jc w:val="both"/>
      </w:pPr>
    </w:p>
    <w:p w14:paraId="21B7E241" w14:textId="77777777" w:rsidR="00C30D59" w:rsidRDefault="00C30D59" w:rsidP="00D72AB4">
      <w:pPr>
        <w:spacing w:after="0" w:line="240" w:lineRule="auto"/>
        <w:jc w:val="both"/>
      </w:pPr>
    </w:p>
    <w:p w14:paraId="251D0AA5" w14:textId="77777777" w:rsidR="00C30D59" w:rsidRDefault="00C30D59" w:rsidP="00D72AB4">
      <w:pPr>
        <w:spacing w:after="0" w:line="240" w:lineRule="auto"/>
        <w:jc w:val="both"/>
      </w:pPr>
    </w:p>
    <w:p w14:paraId="10F28375" w14:textId="77777777" w:rsidR="00C30D59" w:rsidRDefault="00C30D59" w:rsidP="00D72AB4">
      <w:pPr>
        <w:spacing w:after="0" w:line="240" w:lineRule="auto"/>
        <w:jc w:val="both"/>
      </w:pPr>
    </w:p>
    <w:p w14:paraId="0B909082" w14:textId="77777777" w:rsidR="00C30D59" w:rsidRDefault="00C30D59" w:rsidP="00D72AB4">
      <w:pPr>
        <w:spacing w:after="0" w:line="240" w:lineRule="auto"/>
        <w:jc w:val="both"/>
      </w:pPr>
    </w:p>
    <w:p w14:paraId="7E3531C3" w14:textId="77777777" w:rsidR="00C30D59" w:rsidRDefault="00C30D59" w:rsidP="00D72AB4">
      <w:pPr>
        <w:spacing w:after="0" w:line="240" w:lineRule="auto"/>
        <w:jc w:val="both"/>
      </w:pPr>
    </w:p>
    <w:p w14:paraId="29C02643" w14:textId="77777777" w:rsidR="00C30D59" w:rsidRDefault="00C30D59" w:rsidP="00D72AB4">
      <w:pPr>
        <w:spacing w:after="0" w:line="240" w:lineRule="auto"/>
        <w:jc w:val="both"/>
      </w:pPr>
    </w:p>
    <w:p w14:paraId="53DB1AE5" w14:textId="77777777" w:rsidR="00C30D59" w:rsidRDefault="00C30D59" w:rsidP="00D72AB4">
      <w:pPr>
        <w:spacing w:after="0" w:line="240" w:lineRule="auto"/>
        <w:jc w:val="both"/>
      </w:pPr>
    </w:p>
    <w:p w14:paraId="7ADA6CEE" w14:textId="77777777" w:rsidR="00C30D59" w:rsidRDefault="00C30D59" w:rsidP="00D72AB4">
      <w:pPr>
        <w:spacing w:after="0" w:line="240" w:lineRule="auto"/>
        <w:jc w:val="both"/>
      </w:pPr>
    </w:p>
    <w:p w14:paraId="7D231DEB" w14:textId="77777777" w:rsidR="00C30D59" w:rsidRDefault="00C30D59" w:rsidP="00D72AB4">
      <w:pPr>
        <w:spacing w:after="0" w:line="240" w:lineRule="auto"/>
        <w:jc w:val="both"/>
      </w:pPr>
    </w:p>
    <w:sectPr w:rsidR="00C30D59">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2A65B" w14:textId="77777777" w:rsidR="00D72AB4" w:rsidRDefault="00D72AB4" w:rsidP="00D72AB4">
      <w:pPr>
        <w:spacing w:after="0" w:line="240" w:lineRule="auto"/>
      </w:pPr>
      <w:r>
        <w:separator/>
      </w:r>
    </w:p>
  </w:endnote>
  <w:endnote w:type="continuationSeparator" w:id="0">
    <w:p w14:paraId="6DF2A980" w14:textId="77777777" w:rsidR="00D72AB4" w:rsidRDefault="00D72AB4" w:rsidP="00D72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3631366"/>
      <w:docPartObj>
        <w:docPartGallery w:val="Page Numbers (Bottom of Page)"/>
        <w:docPartUnique/>
      </w:docPartObj>
    </w:sdtPr>
    <w:sdtEndPr/>
    <w:sdtContent>
      <w:p w14:paraId="784D0A8B" w14:textId="48DCC765" w:rsidR="005D42D0" w:rsidRDefault="005D42D0">
        <w:pPr>
          <w:pStyle w:val="Bunntekst"/>
          <w:jc w:val="right"/>
        </w:pPr>
        <w:r>
          <w:fldChar w:fldCharType="begin"/>
        </w:r>
        <w:r>
          <w:instrText>PAGE   \* MERGEFORMAT</w:instrText>
        </w:r>
        <w:r>
          <w:fldChar w:fldCharType="separate"/>
        </w:r>
        <w:r>
          <w:t>2</w:t>
        </w:r>
        <w:r>
          <w:fldChar w:fldCharType="end"/>
        </w:r>
      </w:p>
    </w:sdtContent>
  </w:sdt>
  <w:p w14:paraId="56A47266" w14:textId="77777777" w:rsidR="00D72AB4" w:rsidRDefault="00D72AB4">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2F06E" w14:textId="77777777" w:rsidR="00D72AB4" w:rsidRDefault="00D72AB4" w:rsidP="00D72AB4">
      <w:pPr>
        <w:spacing w:after="0" w:line="240" w:lineRule="auto"/>
      </w:pPr>
      <w:r>
        <w:separator/>
      </w:r>
    </w:p>
  </w:footnote>
  <w:footnote w:type="continuationSeparator" w:id="0">
    <w:p w14:paraId="6612EFDD" w14:textId="77777777" w:rsidR="00D72AB4" w:rsidRDefault="00D72AB4" w:rsidP="00D72A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7F8D" w14:textId="7B3D4F5B" w:rsidR="0025513E" w:rsidRPr="0025513E" w:rsidRDefault="0025513E">
    <w:pPr>
      <w:pStyle w:val="Topptekst"/>
      <w:rPr>
        <w:lang w:val="en-US"/>
      </w:rPr>
    </w:pPr>
    <w:r>
      <w:rPr>
        <w:lang w:val="en-US"/>
      </w:rPr>
      <w:t>A</w:t>
    </w:r>
    <w:r w:rsidRPr="0025513E">
      <w:rPr>
        <w:lang w:val="en-US"/>
      </w:rPr>
      <w:t xml:space="preserve"> Survey Summary</w:t>
    </w:r>
    <w:r>
      <w:rPr>
        <w:lang w:val="en-US"/>
      </w:rPr>
      <w:t xml:space="preserve"> Report</w:t>
    </w:r>
    <w:r w:rsidRPr="0025513E">
      <w:rPr>
        <w:lang w:val="en-US"/>
      </w:rPr>
      <w:tab/>
    </w:r>
    <w:r w:rsidRPr="0025513E">
      <w:rPr>
        <w:b/>
        <w:bCs/>
        <w:lang w:val="en-US"/>
      </w:rPr>
      <w:t>What About Us?</w:t>
    </w:r>
    <w:r w:rsidRPr="0025513E">
      <w:rPr>
        <w:lang w:val="en-US"/>
      </w:rPr>
      <w:tab/>
      <w:t>Kipperberg &amp; Kipperberg,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F3954"/>
    <w:multiLevelType w:val="hybridMultilevel"/>
    <w:tmpl w:val="193C6010"/>
    <w:lvl w:ilvl="0" w:tplc="0414000D">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4969093C"/>
    <w:multiLevelType w:val="hybridMultilevel"/>
    <w:tmpl w:val="DA8841CE"/>
    <w:lvl w:ilvl="0" w:tplc="04140003">
      <w:start w:val="1"/>
      <w:numFmt w:val="bullet"/>
      <w:lvlText w:val="o"/>
      <w:lvlJc w:val="left"/>
      <w:pPr>
        <w:ind w:left="720" w:hanging="360"/>
      </w:pPr>
      <w:rPr>
        <w:rFonts w:ascii="Courier New" w:hAnsi="Courier New" w:cs="Courier New"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6A1C114D"/>
    <w:multiLevelType w:val="hybridMultilevel"/>
    <w:tmpl w:val="F3A6DADC"/>
    <w:lvl w:ilvl="0" w:tplc="04140003">
      <w:start w:val="1"/>
      <w:numFmt w:val="bullet"/>
      <w:lvlText w:val="o"/>
      <w:lvlJc w:val="left"/>
      <w:pPr>
        <w:ind w:left="720" w:hanging="360"/>
      </w:pPr>
      <w:rPr>
        <w:rFonts w:ascii="Courier New" w:hAnsi="Courier New" w:cs="Courier New"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74F528A4"/>
    <w:multiLevelType w:val="hybridMultilevel"/>
    <w:tmpl w:val="C3F62F5C"/>
    <w:lvl w:ilvl="0" w:tplc="04140003">
      <w:start w:val="1"/>
      <w:numFmt w:val="bullet"/>
      <w:lvlText w:val="o"/>
      <w:lvlJc w:val="left"/>
      <w:pPr>
        <w:ind w:left="360" w:hanging="360"/>
      </w:pPr>
      <w:rPr>
        <w:rFonts w:ascii="Courier New" w:hAnsi="Courier New" w:cs="Courier New" w:hint="default"/>
      </w:rPr>
    </w:lvl>
    <w:lvl w:ilvl="1" w:tplc="04140003">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num w:numId="1" w16cid:durableId="456602216">
    <w:abstractNumId w:val="3"/>
  </w:num>
  <w:num w:numId="2" w16cid:durableId="1302422419">
    <w:abstractNumId w:val="0"/>
  </w:num>
  <w:num w:numId="3" w16cid:durableId="1977954338">
    <w:abstractNumId w:val="1"/>
  </w:num>
  <w:num w:numId="4" w16cid:durableId="2543650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DQwsTQzNzQwNzAzNTZT0lEKTi0uzszPAymwrAUAmTTZySwAAAA="/>
  </w:docVars>
  <w:rsids>
    <w:rsidRoot w:val="002A40AF"/>
    <w:rsid w:val="000026B0"/>
    <w:rsid w:val="00052245"/>
    <w:rsid w:val="000D21AD"/>
    <w:rsid w:val="000E67BA"/>
    <w:rsid w:val="001159A7"/>
    <w:rsid w:val="00203E36"/>
    <w:rsid w:val="002130D4"/>
    <w:rsid w:val="00245FEA"/>
    <w:rsid w:val="0025513E"/>
    <w:rsid w:val="00267A7F"/>
    <w:rsid w:val="00287CF8"/>
    <w:rsid w:val="002A40AF"/>
    <w:rsid w:val="00372E84"/>
    <w:rsid w:val="00374945"/>
    <w:rsid w:val="003A6270"/>
    <w:rsid w:val="003F644D"/>
    <w:rsid w:val="00465AE1"/>
    <w:rsid w:val="004B5756"/>
    <w:rsid w:val="004C493A"/>
    <w:rsid w:val="004E5E06"/>
    <w:rsid w:val="00500DCC"/>
    <w:rsid w:val="0050535D"/>
    <w:rsid w:val="00520866"/>
    <w:rsid w:val="00521C78"/>
    <w:rsid w:val="00555106"/>
    <w:rsid w:val="0056153A"/>
    <w:rsid w:val="005D42D0"/>
    <w:rsid w:val="00683040"/>
    <w:rsid w:val="006A1364"/>
    <w:rsid w:val="006A6632"/>
    <w:rsid w:val="0071210F"/>
    <w:rsid w:val="00734280"/>
    <w:rsid w:val="00761598"/>
    <w:rsid w:val="008058C7"/>
    <w:rsid w:val="00856209"/>
    <w:rsid w:val="00864607"/>
    <w:rsid w:val="008A3F8B"/>
    <w:rsid w:val="008B3203"/>
    <w:rsid w:val="008B6123"/>
    <w:rsid w:val="008D61FE"/>
    <w:rsid w:val="00947574"/>
    <w:rsid w:val="00983473"/>
    <w:rsid w:val="00A42FF8"/>
    <w:rsid w:val="00B3009F"/>
    <w:rsid w:val="00BB02B1"/>
    <w:rsid w:val="00BE59A4"/>
    <w:rsid w:val="00BF40A0"/>
    <w:rsid w:val="00C00585"/>
    <w:rsid w:val="00C30D59"/>
    <w:rsid w:val="00C324FE"/>
    <w:rsid w:val="00C32FEE"/>
    <w:rsid w:val="00CB78CD"/>
    <w:rsid w:val="00CC79DF"/>
    <w:rsid w:val="00CF7189"/>
    <w:rsid w:val="00D136C1"/>
    <w:rsid w:val="00D63BE9"/>
    <w:rsid w:val="00D72AB4"/>
    <w:rsid w:val="00DB3D9E"/>
    <w:rsid w:val="00DD2F96"/>
    <w:rsid w:val="00E10CA4"/>
    <w:rsid w:val="00E65581"/>
    <w:rsid w:val="00F4411E"/>
    <w:rsid w:val="00FE7397"/>
    <w:rsid w:val="00FF5CE0"/>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962A7"/>
  <w15:chartTrackingRefBased/>
  <w15:docId w15:val="{551E5972-6140-4A4C-8AFE-D8858D981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b-N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2A40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2A40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2A40AF"/>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2A40AF"/>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2A40AF"/>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2A40AF"/>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2A40AF"/>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2A40AF"/>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2A40AF"/>
    <w:pPr>
      <w:keepNext/>
      <w:keepLines/>
      <w:spacing w:after="0"/>
      <w:outlineLvl w:val="8"/>
    </w:pPr>
    <w:rPr>
      <w:rFonts w:eastAsiaTheme="majorEastAsia" w:cstheme="majorBidi"/>
      <w:color w:val="272727" w:themeColor="text1" w:themeTint="D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2A40AF"/>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foravsnitt"/>
    <w:link w:val="Overskrift2"/>
    <w:uiPriority w:val="9"/>
    <w:semiHidden/>
    <w:rsid w:val="002A40AF"/>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foravsnitt"/>
    <w:link w:val="Overskrift3"/>
    <w:uiPriority w:val="9"/>
    <w:semiHidden/>
    <w:rsid w:val="002A40AF"/>
    <w:rPr>
      <w:rFonts w:eastAsiaTheme="majorEastAsia" w:cstheme="majorBidi"/>
      <w:color w:val="0F4761" w:themeColor="accent1" w:themeShade="BF"/>
      <w:sz w:val="28"/>
      <w:szCs w:val="28"/>
    </w:rPr>
  </w:style>
  <w:style w:type="character" w:customStyle="1" w:styleId="Overskrift4Tegn">
    <w:name w:val="Overskrift 4 Tegn"/>
    <w:basedOn w:val="Standardskriftforavsnitt"/>
    <w:link w:val="Overskrift4"/>
    <w:uiPriority w:val="9"/>
    <w:semiHidden/>
    <w:rsid w:val="002A40AF"/>
    <w:rPr>
      <w:rFonts w:eastAsiaTheme="majorEastAsia" w:cstheme="majorBidi"/>
      <w:i/>
      <w:iCs/>
      <w:color w:val="0F4761" w:themeColor="accent1" w:themeShade="BF"/>
    </w:rPr>
  </w:style>
  <w:style w:type="character" w:customStyle="1" w:styleId="Overskrift5Tegn">
    <w:name w:val="Overskrift 5 Tegn"/>
    <w:basedOn w:val="Standardskriftforavsnitt"/>
    <w:link w:val="Overskrift5"/>
    <w:uiPriority w:val="9"/>
    <w:semiHidden/>
    <w:rsid w:val="002A40AF"/>
    <w:rPr>
      <w:rFonts w:eastAsiaTheme="majorEastAsia" w:cstheme="majorBidi"/>
      <w:color w:val="0F4761" w:themeColor="accent1" w:themeShade="BF"/>
    </w:rPr>
  </w:style>
  <w:style w:type="character" w:customStyle="1" w:styleId="Overskrift6Tegn">
    <w:name w:val="Overskrift 6 Tegn"/>
    <w:basedOn w:val="Standardskriftforavsnitt"/>
    <w:link w:val="Overskrift6"/>
    <w:uiPriority w:val="9"/>
    <w:semiHidden/>
    <w:rsid w:val="002A40AF"/>
    <w:rPr>
      <w:rFonts w:eastAsiaTheme="majorEastAsia" w:cstheme="majorBidi"/>
      <w:i/>
      <w:iCs/>
      <w:color w:val="595959" w:themeColor="text1" w:themeTint="A6"/>
    </w:rPr>
  </w:style>
  <w:style w:type="character" w:customStyle="1" w:styleId="Overskrift7Tegn">
    <w:name w:val="Overskrift 7 Tegn"/>
    <w:basedOn w:val="Standardskriftforavsnitt"/>
    <w:link w:val="Overskrift7"/>
    <w:uiPriority w:val="9"/>
    <w:semiHidden/>
    <w:rsid w:val="002A40AF"/>
    <w:rPr>
      <w:rFonts w:eastAsiaTheme="majorEastAsia" w:cstheme="majorBidi"/>
      <w:color w:val="595959" w:themeColor="text1" w:themeTint="A6"/>
    </w:rPr>
  </w:style>
  <w:style w:type="character" w:customStyle="1" w:styleId="Overskrift8Tegn">
    <w:name w:val="Overskrift 8 Tegn"/>
    <w:basedOn w:val="Standardskriftforavsnitt"/>
    <w:link w:val="Overskrift8"/>
    <w:uiPriority w:val="9"/>
    <w:semiHidden/>
    <w:rsid w:val="002A40AF"/>
    <w:rPr>
      <w:rFonts w:eastAsiaTheme="majorEastAsia" w:cstheme="majorBidi"/>
      <w:i/>
      <w:iCs/>
      <w:color w:val="272727" w:themeColor="text1" w:themeTint="D8"/>
    </w:rPr>
  </w:style>
  <w:style w:type="character" w:customStyle="1" w:styleId="Overskrift9Tegn">
    <w:name w:val="Overskrift 9 Tegn"/>
    <w:basedOn w:val="Standardskriftforavsnitt"/>
    <w:link w:val="Overskrift9"/>
    <w:uiPriority w:val="9"/>
    <w:semiHidden/>
    <w:rsid w:val="002A40AF"/>
    <w:rPr>
      <w:rFonts w:eastAsiaTheme="majorEastAsia" w:cstheme="majorBidi"/>
      <w:color w:val="272727" w:themeColor="text1" w:themeTint="D8"/>
    </w:rPr>
  </w:style>
  <w:style w:type="paragraph" w:styleId="Tittel">
    <w:name w:val="Title"/>
    <w:basedOn w:val="Normal"/>
    <w:next w:val="Normal"/>
    <w:link w:val="TittelTegn"/>
    <w:uiPriority w:val="10"/>
    <w:qFormat/>
    <w:rsid w:val="002A40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2A40AF"/>
    <w:rPr>
      <w:rFonts w:asciiTheme="majorHAnsi" w:eastAsiaTheme="majorEastAsia" w:hAnsiTheme="majorHAnsi" w:cstheme="majorBidi"/>
      <w:spacing w:val="-10"/>
      <w:kern w:val="28"/>
      <w:sz w:val="56"/>
      <w:szCs w:val="56"/>
    </w:rPr>
  </w:style>
  <w:style w:type="paragraph" w:styleId="Undertittel">
    <w:name w:val="Subtitle"/>
    <w:basedOn w:val="Normal"/>
    <w:next w:val="Normal"/>
    <w:link w:val="UndertittelTegn"/>
    <w:uiPriority w:val="11"/>
    <w:qFormat/>
    <w:rsid w:val="002A40AF"/>
    <w:pPr>
      <w:numPr>
        <w:ilvl w:val="1"/>
      </w:numPr>
    </w:pPr>
    <w:rPr>
      <w:rFonts w:eastAsiaTheme="majorEastAsia" w:cstheme="majorBidi"/>
      <w:color w:val="595959" w:themeColor="text1" w:themeTint="A6"/>
      <w:spacing w:val="15"/>
      <w:sz w:val="28"/>
      <w:szCs w:val="28"/>
    </w:rPr>
  </w:style>
  <w:style w:type="character" w:customStyle="1" w:styleId="UndertittelTegn">
    <w:name w:val="Undertittel Tegn"/>
    <w:basedOn w:val="Standardskriftforavsnitt"/>
    <w:link w:val="Undertittel"/>
    <w:uiPriority w:val="11"/>
    <w:rsid w:val="002A40AF"/>
    <w:rPr>
      <w:rFonts w:eastAsiaTheme="majorEastAsia" w:cstheme="majorBidi"/>
      <w:color w:val="595959" w:themeColor="text1" w:themeTint="A6"/>
      <w:spacing w:val="15"/>
      <w:sz w:val="28"/>
      <w:szCs w:val="28"/>
    </w:rPr>
  </w:style>
  <w:style w:type="paragraph" w:styleId="Sitat">
    <w:name w:val="Quote"/>
    <w:basedOn w:val="Normal"/>
    <w:next w:val="Normal"/>
    <w:link w:val="SitatTegn"/>
    <w:uiPriority w:val="29"/>
    <w:qFormat/>
    <w:rsid w:val="002A40AF"/>
    <w:pPr>
      <w:spacing w:before="160"/>
      <w:jc w:val="center"/>
    </w:pPr>
    <w:rPr>
      <w:i/>
      <w:iCs/>
      <w:color w:val="404040" w:themeColor="text1" w:themeTint="BF"/>
    </w:rPr>
  </w:style>
  <w:style w:type="character" w:customStyle="1" w:styleId="SitatTegn">
    <w:name w:val="Sitat Tegn"/>
    <w:basedOn w:val="Standardskriftforavsnitt"/>
    <w:link w:val="Sitat"/>
    <w:uiPriority w:val="29"/>
    <w:rsid w:val="002A40AF"/>
    <w:rPr>
      <w:i/>
      <w:iCs/>
      <w:color w:val="404040" w:themeColor="text1" w:themeTint="BF"/>
    </w:rPr>
  </w:style>
  <w:style w:type="paragraph" w:styleId="Listeavsnitt">
    <w:name w:val="List Paragraph"/>
    <w:basedOn w:val="Normal"/>
    <w:uiPriority w:val="34"/>
    <w:qFormat/>
    <w:rsid w:val="002A40AF"/>
    <w:pPr>
      <w:ind w:left="720"/>
      <w:contextualSpacing/>
    </w:pPr>
  </w:style>
  <w:style w:type="character" w:styleId="Sterkutheving">
    <w:name w:val="Intense Emphasis"/>
    <w:basedOn w:val="Standardskriftforavsnitt"/>
    <w:uiPriority w:val="21"/>
    <w:qFormat/>
    <w:rsid w:val="002A40AF"/>
    <w:rPr>
      <w:i/>
      <w:iCs/>
      <w:color w:val="0F4761" w:themeColor="accent1" w:themeShade="BF"/>
    </w:rPr>
  </w:style>
  <w:style w:type="paragraph" w:styleId="Sterktsitat">
    <w:name w:val="Intense Quote"/>
    <w:basedOn w:val="Normal"/>
    <w:next w:val="Normal"/>
    <w:link w:val="SterktsitatTegn"/>
    <w:uiPriority w:val="30"/>
    <w:qFormat/>
    <w:rsid w:val="002A40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erktsitatTegn">
    <w:name w:val="Sterkt sitat Tegn"/>
    <w:basedOn w:val="Standardskriftforavsnitt"/>
    <w:link w:val="Sterktsitat"/>
    <w:uiPriority w:val="30"/>
    <w:rsid w:val="002A40AF"/>
    <w:rPr>
      <w:i/>
      <w:iCs/>
      <w:color w:val="0F4761" w:themeColor="accent1" w:themeShade="BF"/>
    </w:rPr>
  </w:style>
  <w:style w:type="character" w:styleId="Sterkreferanse">
    <w:name w:val="Intense Reference"/>
    <w:basedOn w:val="Standardskriftforavsnitt"/>
    <w:uiPriority w:val="32"/>
    <w:qFormat/>
    <w:rsid w:val="002A40AF"/>
    <w:rPr>
      <w:b/>
      <w:bCs/>
      <w:smallCaps/>
      <w:color w:val="0F4761" w:themeColor="accent1" w:themeShade="BF"/>
      <w:spacing w:val="5"/>
    </w:rPr>
  </w:style>
  <w:style w:type="paragraph" w:styleId="Topptekst">
    <w:name w:val="header"/>
    <w:basedOn w:val="Normal"/>
    <w:link w:val="TopptekstTegn"/>
    <w:uiPriority w:val="99"/>
    <w:unhideWhenUsed/>
    <w:rsid w:val="00D72AB4"/>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D72AB4"/>
  </w:style>
  <w:style w:type="paragraph" w:styleId="Bunntekst">
    <w:name w:val="footer"/>
    <w:basedOn w:val="Normal"/>
    <w:link w:val="BunntekstTegn"/>
    <w:uiPriority w:val="99"/>
    <w:unhideWhenUsed/>
    <w:rsid w:val="00D72AB4"/>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D72AB4"/>
  </w:style>
  <w:style w:type="character" w:styleId="Hyperkobling">
    <w:name w:val="Hyperlink"/>
    <w:basedOn w:val="Standardskriftforavsnitt"/>
    <w:uiPriority w:val="99"/>
    <w:unhideWhenUsed/>
    <w:rsid w:val="00D72AB4"/>
    <w:rPr>
      <w:color w:val="467886" w:themeColor="hyperlink"/>
      <w:u w:val="single"/>
    </w:rPr>
  </w:style>
  <w:style w:type="character" w:styleId="Ulstomtale">
    <w:name w:val="Unresolved Mention"/>
    <w:basedOn w:val="Standardskriftforavsnitt"/>
    <w:uiPriority w:val="99"/>
    <w:semiHidden/>
    <w:unhideWhenUsed/>
    <w:rsid w:val="00D72AB4"/>
    <w:rPr>
      <w:color w:val="605E5C"/>
      <w:shd w:val="clear" w:color="auto" w:fill="E1DFDD"/>
    </w:rPr>
  </w:style>
  <w:style w:type="character" w:styleId="Merknadsreferanse">
    <w:name w:val="annotation reference"/>
    <w:basedOn w:val="Standardskriftforavsnitt"/>
    <w:uiPriority w:val="99"/>
    <w:semiHidden/>
    <w:unhideWhenUsed/>
    <w:rsid w:val="00983473"/>
    <w:rPr>
      <w:sz w:val="16"/>
      <w:szCs w:val="16"/>
    </w:rPr>
  </w:style>
  <w:style w:type="paragraph" w:styleId="Merknadstekst">
    <w:name w:val="annotation text"/>
    <w:basedOn w:val="Normal"/>
    <w:link w:val="MerknadstekstTegn"/>
    <w:uiPriority w:val="99"/>
    <w:unhideWhenUsed/>
    <w:rsid w:val="00983473"/>
    <w:pPr>
      <w:spacing w:line="240" w:lineRule="auto"/>
    </w:pPr>
    <w:rPr>
      <w:sz w:val="20"/>
      <w:szCs w:val="20"/>
    </w:rPr>
  </w:style>
  <w:style w:type="character" w:customStyle="1" w:styleId="MerknadstekstTegn">
    <w:name w:val="Merknadstekst Tegn"/>
    <w:basedOn w:val="Standardskriftforavsnitt"/>
    <w:link w:val="Merknadstekst"/>
    <w:uiPriority w:val="99"/>
    <w:rsid w:val="00983473"/>
    <w:rPr>
      <w:sz w:val="20"/>
      <w:szCs w:val="20"/>
    </w:rPr>
  </w:style>
  <w:style w:type="paragraph" w:styleId="Kommentaremne">
    <w:name w:val="annotation subject"/>
    <w:basedOn w:val="Merknadstekst"/>
    <w:next w:val="Merknadstekst"/>
    <w:link w:val="KommentaremneTegn"/>
    <w:uiPriority w:val="99"/>
    <w:semiHidden/>
    <w:unhideWhenUsed/>
    <w:rsid w:val="00983473"/>
    <w:rPr>
      <w:b/>
      <w:bCs/>
    </w:rPr>
  </w:style>
  <w:style w:type="character" w:customStyle="1" w:styleId="KommentaremneTegn">
    <w:name w:val="Kommentaremne Tegn"/>
    <w:basedOn w:val="MerknadstekstTegn"/>
    <w:link w:val="Kommentaremne"/>
    <w:uiPriority w:val="99"/>
    <w:semiHidden/>
    <w:rsid w:val="00983473"/>
    <w:rPr>
      <w:b/>
      <w:bCs/>
      <w:sz w:val="20"/>
      <w:szCs w:val="20"/>
    </w:rPr>
  </w:style>
  <w:style w:type="character" w:customStyle="1" w:styleId="cf01">
    <w:name w:val="cf01"/>
    <w:basedOn w:val="Standardskriftforavsnitt"/>
    <w:rsid w:val="00683040"/>
    <w:rPr>
      <w:rFonts w:ascii="Segoe UI" w:hAnsi="Segoe UI" w:cs="Segoe UI" w:hint="default"/>
      <w:b/>
      <w:bCs/>
      <w:sz w:val="18"/>
      <w:szCs w:val="18"/>
    </w:rPr>
  </w:style>
  <w:style w:type="character" w:customStyle="1" w:styleId="cf11">
    <w:name w:val="cf11"/>
    <w:basedOn w:val="Standardskriftforavsnitt"/>
    <w:rsid w:val="00683040"/>
    <w:rPr>
      <w:rFonts w:ascii="Segoe UI" w:hAnsi="Segoe UI" w:cs="Segoe UI" w:hint="default"/>
      <w:sz w:val="18"/>
      <w:szCs w:val="18"/>
    </w:rPr>
  </w:style>
  <w:style w:type="character" w:customStyle="1" w:styleId="cf21">
    <w:name w:val="cf21"/>
    <w:basedOn w:val="Standardskriftforavsnitt"/>
    <w:rsid w:val="00683040"/>
    <w:rPr>
      <w:rFonts w:ascii="Segoe UI" w:hAnsi="Segoe UI" w:cs="Segoe UI" w:hint="default"/>
      <w:i/>
      <w:iCs/>
      <w:sz w:val="18"/>
      <w:szCs w:val="18"/>
    </w:rPr>
  </w:style>
  <w:style w:type="character" w:styleId="Utheving">
    <w:name w:val="Emphasis"/>
    <w:basedOn w:val="Standardskriftforavsnitt"/>
    <w:uiPriority w:val="20"/>
    <w:qFormat/>
    <w:rsid w:val="00683040"/>
    <w:rPr>
      <w:i/>
      <w:iCs/>
    </w:rPr>
  </w:style>
  <w:style w:type="paragraph" w:customStyle="1" w:styleId="pf0">
    <w:name w:val="pf0"/>
    <w:basedOn w:val="Normal"/>
    <w:rsid w:val="008058C7"/>
    <w:pPr>
      <w:spacing w:before="100" w:beforeAutospacing="1" w:after="100" w:afterAutospacing="1" w:line="240" w:lineRule="auto"/>
    </w:pPr>
    <w:rPr>
      <w:rFonts w:ascii="Times New Roman" w:eastAsia="Times New Roman" w:hAnsi="Times New Roman" w:cs="Times New Roman"/>
      <w:kern w:val="0"/>
      <w:lang w:eastAsia="nb-NO"/>
      <w14:ligatures w14:val="none"/>
    </w:rPr>
  </w:style>
  <w:style w:type="paragraph" w:styleId="Overskriftforinnholdsfortegnelse">
    <w:name w:val="TOC Heading"/>
    <w:basedOn w:val="Overskrift1"/>
    <w:next w:val="Normal"/>
    <w:uiPriority w:val="39"/>
    <w:unhideWhenUsed/>
    <w:qFormat/>
    <w:rsid w:val="001159A7"/>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67218">
      <w:bodyDiv w:val="1"/>
      <w:marLeft w:val="0"/>
      <w:marRight w:val="0"/>
      <w:marTop w:val="0"/>
      <w:marBottom w:val="0"/>
      <w:divBdr>
        <w:top w:val="none" w:sz="0" w:space="0" w:color="auto"/>
        <w:left w:val="none" w:sz="0" w:space="0" w:color="auto"/>
        <w:bottom w:val="none" w:sz="0" w:space="0" w:color="auto"/>
        <w:right w:val="none" w:sz="0" w:space="0" w:color="auto"/>
      </w:divBdr>
    </w:div>
    <w:div w:id="473765307">
      <w:bodyDiv w:val="1"/>
      <w:marLeft w:val="0"/>
      <w:marRight w:val="0"/>
      <w:marTop w:val="0"/>
      <w:marBottom w:val="0"/>
      <w:divBdr>
        <w:top w:val="none" w:sz="0" w:space="0" w:color="auto"/>
        <w:left w:val="none" w:sz="0" w:space="0" w:color="auto"/>
        <w:bottom w:val="none" w:sz="0" w:space="0" w:color="auto"/>
        <w:right w:val="none" w:sz="0" w:space="0" w:color="auto"/>
      </w:divBdr>
    </w:div>
    <w:div w:id="848254895">
      <w:bodyDiv w:val="1"/>
      <w:marLeft w:val="0"/>
      <w:marRight w:val="0"/>
      <w:marTop w:val="0"/>
      <w:marBottom w:val="0"/>
      <w:divBdr>
        <w:top w:val="none" w:sz="0" w:space="0" w:color="auto"/>
        <w:left w:val="none" w:sz="0" w:space="0" w:color="auto"/>
        <w:bottom w:val="none" w:sz="0" w:space="0" w:color="auto"/>
        <w:right w:val="none" w:sz="0" w:space="0" w:color="auto"/>
      </w:divBdr>
    </w:div>
    <w:div w:id="1802307927">
      <w:bodyDiv w:val="1"/>
      <w:marLeft w:val="0"/>
      <w:marRight w:val="0"/>
      <w:marTop w:val="0"/>
      <w:marBottom w:val="0"/>
      <w:divBdr>
        <w:top w:val="none" w:sz="0" w:space="0" w:color="auto"/>
        <w:left w:val="none" w:sz="0" w:space="0" w:color="auto"/>
        <w:bottom w:val="none" w:sz="0" w:space="0" w:color="auto"/>
        <w:right w:val="none" w:sz="0" w:space="0" w:color="auto"/>
      </w:divBdr>
    </w:div>
    <w:div w:id="1886679798">
      <w:bodyDiv w:val="1"/>
      <w:marLeft w:val="0"/>
      <w:marRight w:val="0"/>
      <w:marTop w:val="0"/>
      <w:marBottom w:val="0"/>
      <w:divBdr>
        <w:top w:val="none" w:sz="0" w:space="0" w:color="auto"/>
        <w:left w:val="none" w:sz="0" w:space="0" w:color="auto"/>
        <w:bottom w:val="none" w:sz="0" w:space="0" w:color="auto"/>
        <w:right w:val="none" w:sz="0" w:space="0" w:color="auto"/>
      </w:divBdr>
    </w:div>
    <w:div w:id="194996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fdir.no/fagstotte/produkter/ungdomsrad/"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sb.no/statbank/table/0691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gjeringen.no/contentassets/87e11af6044b4c45923d2830d2d6b144/rapport-fns-barnekonvensjon-2016-engelsk.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hri.no/rapport/kommuner/" TargetMode="External"/><Relationship Id="rId4" Type="http://schemas.openxmlformats.org/officeDocument/2006/relationships/settings" Target="settings.xml"/><Relationship Id="rId9" Type="http://schemas.openxmlformats.org/officeDocument/2006/relationships/hyperlink" Target="https://uis.brage.unit.no/uis-xmlui/handle/11250/256856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B8481-3884-4E89-989A-485A9EB99D7A}">
  <ds:schemaRefs>
    <ds:schemaRef ds:uri="http://schemas.openxmlformats.org/officeDocument/2006/bibliography"/>
  </ds:schemaRefs>
</ds:datastoreItem>
</file>

<file path=docMetadata/LabelInfo.xml><?xml version="1.0" encoding="utf-8"?>
<clbl:labelList xmlns:clbl="http://schemas.microsoft.com/office/2020/mipLabelMetadata">
  <clbl:label id="{2b7fce66-bf2d-46b5-b59a-9f0018501bcd}" enabled="1" method="Standard" siteId="{f8a213d2-8f6c-400d-9e74-4e8b475316c6}"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3163</Words>
  <Characters>16768</Characters>
  <Application>Microsoft Office Word</Application>
  <DocSecurity>0</DocSecurity>
  <Lines>139</Lines>
  <Paragraphs>39</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Gorm Kipperberg</dc:creator>
  <cp:keywords/>
  <dc:description/>
  <cp:lastModifiedBy>Elise K Kipperberg</cp:lastModifiedBy>
  <cp:revision>2</cp:revision>
  <dcterms:created xsi:type="dcterms:W3CDTF">2025-04-15T17:44:00Z</dcterms:created>
  <dcterms:modified xsi:type="dcterms:W3CDTF">2025-04-15T17:44:00Z</dcterms:modified>
</cp:coreProperties>
</file>