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E56DB" w14:textId="77777777" w:rsidR="00DA4C6C" w:rsidRDefault="00DA4C6C" w:rsidP="00DA4C6C">
      <w:pPr>
        <w:jc w:val="center"/>
        <w:rPr>
          <w:sz w:val="23"/>
          <w:szCs w:val="23"/>
        </w:rPr>
      </w:pPr>
    </w:p>
    <w:p w14:paraId="3FAB83E8" w14:textId="77777777" w:rsidR="00A63F91" w:rsidRPr="004961B6" w:rsidRDefault="00A63F91" w:rsidP="00A63F91">
      <w:pPr>
        <w:jc w:val="center"/>
        <w:rPr>
          <w:b/>
          <w:bCs/>
          <w:sz w:val="22"/>
          <w:szCs w:val="22"/>
        </w:rPr>
      </w:pPr>
      <w:r w:rsidRPr="004961B6">
        <w:rPr>
          <w:b/>
          <w:bCs/>
          <w:sz w:val="22"/>
          <w:szCs w:val="22"/>
        </w:rPr>
        <w:t>Parallel Report of The Shift</w:t>
      </w:r>
    </w:p>
    <w:p w14:paraId="31F02862" w14:textId="77777777" w:rsidR="00A63F91" w:rsidRPr="004961B6" w:rsidRDefault="00A63F91" w:rsidP="00A63F91">
      <w:pPr>
        <w:jc w:val="center"/>
        <w:rPr>
          <w:b/>
          <w:bCs/>
          <w:sz w:val="22"/>
          <w:szCs w:val="22"/>
        </w:rPr>
      </w:pPr>
    </w:p>
    <w:p w14:paraId="654A0DEB" w14:textId="77777777" w:rsidR="00A63F91" w:rsidRPr="004961B6" w:rsidRDefault="00A63F91" w:rsidP="00A63F91">
      <w:pPr>
        <w:jc w:val="center"/>
        <w:rPr>
          <w:b/>
          <w:bCs/>
          <w:sz w:val="22"/>
          <w:szCs w:val="22"/>
        </w:rPr>
      </w:pPr>
      <w:r w:rsidRPr="004961B6">
        <w:rPr>
          <w:b/>
          <w:bCs/>
          <w:sz w:val="22"/>
          <w:szCs w:val="22"/>
        </w:rPr>
        <w:t>Submitted to the United Nations Committee on Economic, Social and Cultural Rights for consideration in the formulation of its List of Issues on the State of Germany during its 78</w:t>
      </w:r>
      <w:r w:rsidRPr="004961B6">
        <w:rPr>
          <w:b/>
          <w:bCs/>
          <w:sz w:val="22"/>
          <w:szCs w:val="22"/>
          <w:vertAlign w:val="superscript"/>
        </w:rPr>
        <w:t>th</w:t>
      </w:r>
      <w:r w:rsidRPr="004961B6">
        <w:rPr>
          <w:b/>
          <w:bCs/>
          <w:sz w:val="22"/>
          <w:szCs w:val="22"/>
        </w:rPr>
        <w:t xml:space="preserve"> Session</w:t>
      </w:r>
    </w:p>
    <w:p w14:paraId="6504D3CD" w14:textId="77777777" w:rsidR="00A63F91" w:rsidRPr="004961B6" w:rsidRDefault="00A63F91" w:rsidP="00A63F91">
      <w:pPr>
        <w:jc w:val="center"/>
        <w:rPr>
          <w:b/>
          <w:bCs/>
          <w:sz w:val="22"/>
          <w:szCs w:val="22"/>
        </w:rPr>
      </w:pPr>
    </w:p>
    <w:p w14:paraId="053E3ABD" w14:textId="77777777" w:rsidR="00A63F91" w:rsidRPr="004961B6" w:rsidRDefault="00A63F91" w:rsidP="00A63F91">
      <w:pPr>
        <w:jc w:val="center"/>
        <w:rPr>
          <w:b/>
          <w:bCs/>
          <w:sz w:val="22"/>
          <w:szCs w:val="22"/>
        </w:rPr>
      </w:pPr>
      <w:r w:rsidRPr="004961B6">
        <w:rPr>
          <w:b/>
          <w:bCs/>
          <w:sz w:val="22"/>
          <w:szCs w:val="22"/>
        </w:rPr>
        <w:t>Date of Submission: 30</w:t>
      </w:r>
      <w:r w:rsidRPr="004961B6">
        <w:rPr>
          <w:b/>
          <w:bCs/>
          <w:sz w:val="22"/>
          <w:szCs w:val="22"/>
          <w:vertAlign w:val="superscript"/>
        </w:rPr>
        <w:t>th</w:t>
      </w:r>
      <w:r w:rsidRPr="004961B6">
        <w:rPr>
          <w:b/>
          <w:bCs/>
          <w:sz w:val="22"/>
          <w:szCs w:val="22"/>
        </w:rPr>
        <w:t xml:space="preserve"> June 2025</w:t>
      </w:r>
    </w:p>
    <w:p w14:paraId="3F602147" w14:textId="77777777" w:rsidR="00A63F91" w:rsidRPr="004961B6" w:rsidRDefault="00A63F91" w:rsidP="00A63F91">
      <w:pPr>
        <w:jc w:val="both"/>
        <w:rPr>
          <w:sz w:val="22"/>
          <w:szCs w:val="22"/>
        </w:rPr>
      </w:pPr>
    </w:p>
    <w:p w14:paraId="65E9789B" w14:textId="77777777" w:rsidR="00A63F91" w:rsidRPr="004961B6" w:rsidRDefault="00A63F91" w:rsidP="00A63F91">
      <w:pPr>
        <w:jc w:val="both"/>
        <w:rPr>
          <w:sz w:val="22"/>
          <w:szCs w:val="22"/>
        </w:rPr>
      </w:pPr>
    </w:p>
    <w:p w14:paraId="48C4CE04" w14:textId="77777777" w:rsidR="00A63F91" w:rsidRPr="004961B6" w:rsidRDefault="00A63F91" w:rsidP="00A63F91">
      <w:pPr>
        <w:pStyle w:val="ListParagraph"/>
        <w:numPr>
          <w:ilvl w:val="0"/>
          <w:numId w:val="18"/>
        </w:numPr>
        <w:contextualSpacing/>
        <w:jc w:val="both"/>
        <w:rPr>
          <w:b/>
          <w:bCs/>
          <w:sz w:val="22"/>
          <w:szCs w:val="22"/>
        </w:rPr>
      </w:pPr>
      <w:r w:rsidRPr="004961B6">
        <w:rPr>
          <w:b/>
          <w:bCs/>
          <w:sz w:val="22"/>
          <w:szCs w:val="22"/>
        </w:rPr>
        <w:t>Introduction</w:t>
      </w:r>
    </w:p>
    <w:p w14:paraId="41204506" w14:textId="77777777" w:rsidR="00A63F91" w:rsidRPr="004961B6" w:rsidRDefault="00A63F91" w:rsidP="00A63F91">
      <w:pPr>
        <w:jc w:val="both"/>
        <w:rPr>
          <w:sz w:val="22"/>
          <w:szCs w:val="22"/>
        </w:rPr>
      </w:pPr>
    </w:p>
    <w:p w14:paraId="0E04BB4B" w14:textId="77777777" w:rsidR="00A63F91" w:rsidRPr="004961B6" w:rsidRDefault="00A63F91" w:rsidP="00A63F91">
      <w:pPr>
        <w:jc w:val="both"/>
        <w:rPr>
          <w:sz w:val="22"/>
          <w:szCs w:val="22"/>
        </w:rPr>
      </w:pPr>
      <w:r w:rsidRPr="004961B6">
        <w:rPr>
          <w:sz w:val="22"/>
          <w:szCs w:val="22"/>
        </w:rPr>
        <w:t>This parallel report is submitted by The Shift; an international human rights organisation operating at the nexus of housing, climate, and finance to help ensure the realization of the human right to adequate housing for all, globally. The Shift was founded, and is led by, the former United Nations Special Rapporteur on the right to housing, Leilani Farha, and internationally recognised human rights advocate Julieta Perucca. The Shift works with governments, industry, rights-holders, and civil society to drive understanding and awareness of the human right to housing and help push forward effective policies and practices to ensure that all people have access to homes which provide them with peace, security, and dignity.</w:t>
      </w:r>
    </w:p>
    <w:p w14:paraId="6691E3FE" w14:textId="77777777" w:rsidR="00A63F91" w:rsidRPr="004961B6" w:rsidRDefault="00A63F91" w:rsidP="00A63F91">
      <w:pPr>
        <w:jc w:val="both"/>
        <w:rPr>
          <w:sz w:val="22"/>
          <w:szCs w:val="22"/>
        </w:rPr>
      </w:pPr>
    </w:p>
    <w:p w14:paraId="05E46683" w14:textId="77777777" w:rsidR="00A63F91" w:rsidRPr="004961B6" w:rsidRDefault="00A63F91" w:rsidP="00A63F91">
      <w:pPr>
        <w:jc w:val="both"/>
        <w:rPr>
          <w:sz w:val="22"/>
          <w:szCs w:val="22"/>
        </w:rPr>
      </w:pPr>
      <w:r w:rsidRPr="004961B6">
        <w:rPr>
          <w:sz w:val="22"/>
          <w:szCs w:val="22"/>
        </w:rPr>
        <w:t xml:space="preserve">The Shift is grateful for the opportunity to make this submission in support of the Committee’s formulation of its List of Issues on the state of Germany. Our submission focusses on three key areas which we note to be having a particular impact on the enjoyment of human rights in the country. These issues are: </w:t>
      </w:r>
      <w:r w:rsidRPr="004961B6">
        <w:rPr>
          <w:b/>
          <w:bCs/>
          <w:sz w:val="22"/>
          <w:szCs w:val="22"/>
        </w:rPr>
        <w:t>(1) the entrenched financialization of housing in Germany and the impact of this on the enjoyment of human rights, (2) the inadequacy of existing tenant protections in Germany, and (3) the current lack of an adequate housing decarbonisation policy and strategy.</w:t>
      </w:r>
      <w:r w:rsidRPr="004961B6">
        <w:rPr>
          <w:sz w:val="22"/>
          <w:szCs w:val="22"/>
        </w:rPr>
        <w:t xml:space="preserve"> The Shift also addresses our profound concerns regarding the government of Germany’s ongoing support for the State of Israel. </w:t>
      </w:r>
    </w:p>
    <w:p w14:paraId="263D5DE6" w14:textId="77777777" w:rsidR="00A63F91" w:rsidRPr="004961B6" w:rsidRDefault="00A63F91" w:rsidP="00A63F91">
      <w:pPr>
        <w:jc w:val="both"/>
        <w:rPr>
          <w:sz w:val="22"/>
          <w:szCs w:val="22"/>
        </w:rPr>
      </w:pPr>
    </w:p>
    <w:p w14:paraId="1B47FDC6" w14:textId="77777777" w:rsidR="00A63F91" w:rsidRPr="004961B6" w:rsidRDefault="00A63F91" w:rsidP="00A63F91">
      <w:pPr>
        <w:jc w:val="both"/>
        <w:rPr>
          <w:sz w:val="22"/>
          <w:szCs w:val="22"/>
        </w:rPr>
      </w:pPr>
    </w:p>
    <w:p w14:paraId="33DF57C4" w14:textId="77777777" w:rsidR="00A63F91" w:rsidRPr="004961B6" w:rsidRDefault="00A63F91" w:rsidP="00A63F91">
      <w:pPr>
        <w:pStyle w:val="ListParagraph"/>
        <w:numPr>
          <w:ilvl w:val="0"/>
          <w:numId w:val="18"/>
        </w:numPr>
        <w:contextualSpacing/>
        <w:jc w:val="both"/>
        <w:rPr>
          <w:b/>
          <w:bCs/>
          <w:sz w:val="22"/>
          <w:szCs w:val="22"/>
        </w:rPr>
      </w:pPr>
      <w:r w:rsidRPr="004961B6">
        <w:rPr>
          <w:b/>
          <w:bCs/>
          <w:sz w:val="22"/>
          <w:szCs w:val="22"/>
        </w:rPr>
        <w:t>The</w:t>
      </w:r>
      <w:r w:rsidRPr="004961B6">
        <w:rPr>
          <w:sz w:val="22"/>
          <w:szCs w:val="22"/>
        </w:rPr>
        <w:t xml:space="preserve"> </w:t>
      </w:r>
      <w:r w:rsidRPr="004961B6">
        <w:rPr>
          <w:b/>
          <w:bCs/>
          <w:sz w:val="22"/>
          <w:szCs w:val="22"/>
        </w:rPr>
        <w:t>Financialization of Housing in Germany</w:t>
      </w:r>
    </w:p>
    <w:p w14:paraId="1A36D4F2" w14:textId="77777777" w:rsidR="00A63F91" w:rsidRPr="004961B6" w:rsidRDefault="00A63F91" w:rsidP="00A63F91">
      <w:pPr>
        <w:jc w:val="both"/>
        <w:rPr>
          <w:sz w:val="22"/>
          <w:szCs w:val="22"/>
        </w:rPr>
      </w:pPr>
    </w:p>
    <w:p w14:paraId="4493FA1E" w14:textId="3A97EFDD" w:rsidR="00A63F91" w:rsidRPr="004961B6" w:rsidRDefault="00A63F91" w:rsidP="00A63F91">
      <w:pPr>
        <w:jc w:val="both"/>
        <w:rPr>
          <w:sz w:val="22"/>
          <w:szCs w:val="22"/>
        </w:rPr>
      </w:pPr>
      <w:r w:rsidRPr="004961B6">
        <w:rPr>
          <w:sz w:val="22"/>
          <w:szCs w:val="22"/>
        </w:rPr>
        <w:t>Successive German governments have taken an active role in supporting investors’ access to the housing market, in particular through the provision of funding, subsidies, and tax breaks for investors and developers.</w:t>
      </w:r>
      <w:r w:rsidRPr="004961B6">
        <w:rPr>
          <w:rStyle w:val="FootnoteAnchor"/>
          <w:sz w:val="22"/>
          <w:szCs w:val="22"/>
        </w:rPr>
        <w:footnoteReference w:id="2"/>
      </w:r>
      <w:r w:rsidRPr="004961B6">
        <w:rPr>
          <w:sz w:val="22"/>
          <w:szCs w:val="22"/>
        </w:rPr>
        <w:t xml:space="preserve"> As a result, across Germany, and particularly in major cities, investors have purchased huge numbers of housing units and are using these to generate vast profits for themselves and their shareholders. Private companies own nearly a quarter of the housing units in Berlin, 20% in Dusseldorf, 19% in Frankfurt, 17% in Munich, 15% in Hamburg, 13% in Cologne, and 10% in Stuttgart.</w:t>
      </w:r>
      <w:r w:rsidRPr="004961B6">
        <w:rPr>
          <w:rStyle w:val="FootnoteAnchor"/>
          <w:sz w:val="22"/>
          <w:szCs w:val="22"/>
        </w:rPr>
        <w:footnoteReference w:id="3"/>
      </w:r>
      <w:r w:rsidRPr="004961B6">
        <w:rPr>
          <w:sz w:val="22"/>
          <w:szCs w:val="22"/>
        </w:rPr>
        <w:t xml:space="preserve"> Investment in the German housing market is dominated by several key </w:t>
      </w:r>
      <w:r w:rsidRPr="004961B6">
        <w:rPr>
          <w:sz w:val="22"/>
          <w:szCs w:val="22"/>
        </w:rPr>
        <w:lastRenderedPageBreak/>
        <w:t xml:space="preserve">players, including </w:t>
      </w:r>
      <w:proofErr w:type="spellStart"/>
      <w:r w:rsidRPr="004961B6">
        <w:rPr>
          <w:sz w:val="22"/>
          <w:szCs w:val="22"/>
        </w:rPr>
        <w:t>Vonovia</w:t>
      </w:r>
      <w:proofErr w:type="spellEnd"/>
      <w:r w:rsidRPr="004961B6">
        <w:rPr>
          <w:sz w:val="22"/>
          <w:szCs w:val="22"/>
        </w:rPr>
        <w:t>, which owns 474,600 units across the country,</w:t>
      </w:r>
      <w:r w:rsidRPr="004961B6">
        <w:rPr>
          <w:rStyle w:val="FootnoteAnchor"/>
          <w:sz w:val="22"/>
          <w:szCs w:val="22"/>
        </w:rPr>
        <w:footnoteReference w:id="4"/>
      </w:r>
      <w:r w:rsidRPr="004961B6">
        <w:rPr>
          <w:sz w:val="22"/>
          <w:szCs w:val="22"/>
        </w:rPr>
        <w:t xml:space="preserve"> Deutsche </w:t>
      </w:r>
      <w:proofErr w:type="spellStart"/>
      <w:r w:rsidRPr="004961B6">
        <w:rPr>
          <w:sz w:val="22"/>
          <w:szCs w:val="22"/>
        </w:rPr>
        <w:t>Wohnen</w:t>
      </w:r>
      <w:proofErr w:type="spellEnd"/>
      <w:r w:rsidRPr="004961B6">
        <w:rPr>
          <w:sz w:val="22"/>
          <w:szCs w:val="22"/>
        </w:rPr>
        <w:t>, which owns around 140,000 units,</w:t>
      </w:r>
      <w:r w:rsidRPr="004961B6">
        <w:rPr>
          <w:rStyle w:val="FootnoteAnchor"/>
          <w:sz w:val="22"/>
          <w:szCs w:val="22"/>
        </w:rPr>
        <w:footnoteReference w:id="5"/>
      </w:r>
      <w:r w:rsidRPr="004961B6">
        <w:rPr>
          <w:sz w:val="22"/>
          <w:szCs w:val="22"/>
        </w:rPr>
        <w:t xml:space="preserve"> and LEG which owns around 166,000 housing units.</w:t>
      </w:r>
      <w:r w:rsidRPr="004961B6">
        <w:rPr>
          <w:rStyle w:val="FootnoteAnchor"/>
          <w:sz w:val="22"/>
          <w:szCs w:val="22"/>
        </w:rPr>
        <w:footnoteReference w:id="6"/>
      </w:r>
      <w:r w:rsidRPr="004961B6">
        <w:rPr>
          <w:sz w:val="22"/>
          <w:szCs w:val="22"/>
        </w:rPr>
        <w:t xml:space="preserve"> </w:t>
      </w:r>
    </w:p>
    <w:p w14:paraId="7BEF1F32" w14:textId="77777777" w:rsidR="00A63F91" w:rsidRPr="004961B6" w:rsidRDefault="00A63F91" w:rsidP="00A63F91">
      <w:pPr>
        <w:jc w:val="both"/>
        <w:rPr>
          <w:sz w:val="22"/>
          <w:szCs w:val="22"/>
        </w:rPr>
      </w:pPr>
    </w:p>
    <w:p w14:paraId="1F8CBA40" w14:textId="77777777" w:rsidR="00A63F91" w:rsidRPr="004961B6" w:rsidRDefault="00A63F91" w:rsidP="00A63F91">
      <w:pPr>
        <w:jc w:val="both"/>
        <w:rPr>
          <w:sz w:val="22"/>
          <w:szCs w:val="22"/>
        </w:rPr>
      </w:pPr>
      <w:r w:rsidRPr="004961B6">
        <w:rPr>
          <w:sz w:val="22"/>
          <w:szCs w:val="22"/>
        </w:rPr>
        <w:t>Investors in Germany are particularly drawn to multifamily rentals. Over the past 10 years, investment into multifamily residential buildings has averaged €18bn per year, far exceeding similar investment in other European countries.</w:t>
      </w:r>
      <w:r w:rsidRPr="004961B6">
        <w:rPr>
          <w:rStyle w:val="FootnoteAnchor"/>
          <w:sz w:val="22"/>
          <w:szCs w:val="22"/>
        </w:rPr>
        <w:footnoteReference w:id="7"/>
      </w:r>
      <w:r w:rsidRPr="004961B6">
        <w:rPr>
          <w:sz w:val="22"/>
          <w:szCs w:val="22"/>
        </w:rPr>
        <w:t xml:space="preserve"> The attractiveness of these types of investment is due to a number of factors, including the very high percentage of renter households in Germany meaning investors are operating in a demand-centric market, and rents which are forecasted to increase at a much higher rate than the European average, at 3.6% per annum over the next five years.</w:t>
      </w:r>
      <w:r w:rsidRPr="004961B6">
        <w:rPr>
          <w:rStyle w:val="FootnoteAnchor"/>
          <w:sz w:val="22"/>
          <w:szCs w:val="22"/>
        </w:rPr>
        <w:footnoteReference w:id="8"/>
      </w:r>
    </w:p>
    <w:p w14:paraId="74D1F11A" w14:textId="77777777" w:rsidR="00A63F91" w:rsidRPr="004961B6" w:rsidRDefault="00A63F91" w:rsidP="00A63F91">
      <w:pPr>
        <w:jc w:val="both"/>
        <w:rPr>
          <w:sz w:val="22"/>
          <w:szCs w:val="22"/>
        </w:rPr>
      </w:pPr>
    </w:p>
    <w:p w14:paraId="351B7A11" w14:textId="77777777" w:rsidR="00A63F91" w:rsidRPr="004961B6" w:rsidRDefault="00A63F91" w:rsidP="00A63F91">
      <w:pPr>
        <w:jc w:val="both"/>
        <w:rPr>
          <w:sz w:val="22"/>
          <w:szCs w:val="22"/>
        </w:rPr>
      </w:pPr>
      <w:r w:rsidRPr="004961B6">
        <w:rPr>
          <w:sz w:val="22"/>
          <w:szCs w:val="22"/>
        </w:rPr>
        <w:t>The drive of housing financialization in Germany is only likely to continue as the current coalition government has recently announced, as part of its plans to increase housing construction discussed below, a significant package of investment support which includes providing investors and developers with easier access to funding for construction and modernization works, the temporary easing of building environmental standards to make construction cheaper, and the possibility of providing state guarantees for mortgage loans.</w:t>
      </w:r>
      <w:r w:rsidRPr="004961B6">
        <w:rPr>
          <w:rStyle w:val="FootnoteAnchor"/>
          <w:sz w:val="22"/>
          <w:szCs w:val="22"/>
        </w:rPr>
        <w:footnoteReference w:id="9"/>
      </w:r>
      <w:r w:rsidRPr="004961B6">
        <w:rPr>
          <w:sz w:val="22"/>
          <w:szCs w:val="22"/>
        </w:rPr>
        <w:t xml:space="preserve"> Whilst such polices will likely have the effect of boosting housing construction, without adequate controls in place The Shift is concerned about the impact this may have on the human rights of tenants. </w:t>
      </w:r>
    </w:p>
    <w:p w14:paraId="7A26AF2C" w14:textId="77777777" w:rsidR="00A63F91" w:rsidRPr="004961B6" w:rsidRDefault="00A63F91" w:rsidP="00A63F91">
      <w:pPr>
        <w:jc w:val="both"/>
        <w:rPr>
          <w:sz w:val="22"/>
          <w:szCs w:val="22"/>
        </w:rPr>
      </w:pPr>
    </w:p>
    <w:p w14:paraId="391B1263" w14:textId="77777777" w:rsidR="00A63F91" w:rsidRPr="004961B6" w:rsidRDefault="00A63F91" w:rsidP="00A63F91">
      <w:pPr>
        <w:jc w:val="both"/>
        <w:rPr>
          <w:sz w:val="22"/>
          <w:szCs w:val="22"/>
        </w:rPr>
      </w:pPr>
      <w:r w:rsidRPr="004961B6">
        <w:rPr>
          <w:sz w:val="22"/>
          <w:szCs w:val="22"/>
        </w:rPr>
        <w:t>Existing tenants of investor landlords in Germany, including many spoken with directly by The Shift, have consistently complained about the negative effect that the financialization of their units has had on their living conditions and their enjoyment of the right to adequate housing. Such complaints include investors raising rents to unaffordable levels,</w:t>
      </w:r>
      <w:r w:rsidRPr="004961B6">
        <w:rPr>
          <w:rStyle w:val="FootnoteAnchor"/>
          <w:sz w:val="22"/>
          <w:szCs w:val="22"/>
        </w:rPr>
        <w:footnoteReference w:id="10"/>
      </w:r>
      <w:r w:rsidRPr="004961B6">
        <w:rPr>
          <w:sz w:val="22"/>
          <w:szCs w:val="22"/>
        </w:rPr>
        <w:t xml:space="preserve"> sometimes using legal loopholes in tenant protection laws (discussed below) to do so, and cutting back on maintenance and essential services,</w:t>
      </w:r>
      <w:r w:rsidRPr="004961B6">
        <w:rPr>
          <w:rStyle w:val="FootnoteAnchor"/>
          <w:sz w:val="22"/>
          <w:szCs w:val="22"/>
        </w:rPr>
        <w:footnoteReference w:id="11"/>
      </w:r>
      <w:r w:rsidRPr="004961B6">
        <w:rPr>
          <w:sz w:val="22"/>
          <w:szCs w:val="22"/>
        </w:rPr>
        <w:t xml:space="preserve"> thereby degrading the habitability of their homes. Tenants have, at times, noted they feel </w:t>
      </w:r>
      <w:r w:rsidRPr="004961B6">
        <w:rPr>
          <w:sz w:val="22"/>
          <w:szCs w:val="22"/>
        </w:rPr>
        <w:lastRenderedPageBreak/>
        <w:t>forced from their homes due to rising rents and poor conditions.</w:t>
      </w:r>
      <w:r w:rsidRPr="004961B6">
        <w:rPr>
          <w:rStyle w:val="FootnoteAnchor"/>
          <w:sz w:val="22"/>
          <w:szCs w:val="22"/>
        </w:rPr>
        <w:footnoteReference w:id="12"/>
      </w:r>
      <w:r w:rsidRPr="004961B6">
        <w:rPr>
          <w:sz w:val="22"/>
          <w:szCs w:val="22"/>
        </w:rPr>
        <w:t xml:space="preserve"> Indeed, in the past few years, there has been increasingly vocal opposition to the operation of institutional investors in the German housing market and tenants in major German cities, such as Berlin, have grown so despondent with investor ownership of housing that they have sought to force the government to act on this.</w:t>
      </w:r>
      <w:r w:rsidRPr="004961B6">
        <w:rPr>
          <w:rStyle w:val="FootnoteAnchor"/>
          <w:sz w:val="22"/>
          <w:szCs w:val="22"/>
        </w:rPr>
        <w:footnoteReference w:id="13"/>
      </w:r>
      <w:r w:rsidRPr="004961B6">
        <w:rPr>
          <w:sz w:val="22"/>
          <w:szCs w:val="22"/>
        </w:rPr>
        <w:t xml:space="preserve"> This includes numerous, prominent and ongoing tenant-led campaigns against housing financialization and a popular referendum on the expropriation of investor-owned housing in Berlin being passed with 56.4% of the vote.</w:t>
      </w:r>
      <w:r w:rsidRPr="004961B6">
        <w:rPr>
          <w:rStyle w:val="FootnoteAnchor"/>
          <w:sz w:val="22"/>
          <w:szCs w:val="22"/>
        </w:rPr>
        <w:footnoteReference w:id="14"/>
      </w:r>
    </w:p>
    <w:p w14:paraId="5E9D2CEA" w14:textId="77777777" w:rsidR="00A63F91" w:rsidRPr="004961B6" w:rsidRDefault="00A63F91" w:rsidP="00A63F91">
      <w:pPr>
        <w:jc w:val="both"/>
        <w:rPr>
          <w:sz w:val="22"/>
          <w:szCs w:val="22"/>
        </w:rPr>
      </w:pPr>
      <w:r w:rsidRPr="004961B6">
        <w:rPr>
          <w:sz w:val="22"/>
          <w:szCs w:val="22"/>
        </w:rPr>
        <w:t xml:space="preserve"> </w:t>
      </w:r>
    </w:p>
    <w:p w14:paraId="4ED0FBC0" w14:textId="77777777" w:rsidR="00A63F91" w:rsidRPr="004961B6" w:rsidRDefault="00A63F91" w:rsidP="00A63F91">
      <w:pPr>
        <w:jc w:val="both"/>
        <w:rPr>
          <w:sz w:val="22"/>
          <w:szCs w:val="22"/>
        </w:rPr>
      </w:pPr>
      <w:r w:rsidRPr="004961B6">
        <w:rPr>
          <w:sz w:val="22"/>
          <w:szCs w:val="22"/>
        </w:rPr>
        <w:t>Where the financialization of housing is allowed to increase without necessary protections for tenants, it can have a disastrous impact on their enjoyment of their rights. The government of Germany must, therefore, take immediate measures, in line with its duty to protect, to ensure that housing’s central function – its use as a home – takes primacy and investment decisions and practices entirely align with the State’s own human rights obligations. In this regard, the Committee should consider asking the government the following questions:</w:t>
      </w:r>
    </w:p>
    <w:p w14:paraId="4256E06C" w14:textId="77777777" w:rsidR="00A63F91" w:rsidRPr="004961B6" w:rsidRDefault="00A63F91" w:rsidP="00A63F91">
      <w:pPr>
        <w:jc w:val="both"/>
        <w:rPr>
          <w:b/>
          <w:bCs/>
          <w:sz w:val="22"/>
          <w:szCs w:val="22"/>
        </w:rPr>
      </w:pPr>
    </w:p>
    <w:p w14:paraId="19EC69C0" w14:textId="77777777" w:rsidR="00A63F91" w:rsidRPr="004961B6" w:rsidRDefault="00A63F91" w:rsidP="00A63F91">
      <w:pPr>
        <w:pStyle w:val="ListParagraph"/>
        <w:numPr>
          <w:ilvl w:val="0"/>
          <w:numId w:val="19"/>
        </w:numPr>
        <w:contextualSpacing/>
        <w:jc w:val="both"/>
        <w:rPr>
          <w:b/>
          <w:bCs/>
          <w:sz w:val="22"/>
          <w:szCs w:val="22"/>
        </w:rPr>
      </w:pPr>
      <w:r w:rsidRPr="004961B6">
        <w:rPr>
          <w:b/>
          <w:bCs/>
          <w:sz w:val="22"/>
          <w:szCs w:val="22"/>
        </w:rPr>
        <w:t>What steps is the government taking to limit the financialization of housing in Germany?</w:t>
      </w:r>
    </w:p>
    <w:p w14:paraId="1DA1AE6A" w14:textId="77777777" w:rsidR="00A63F91" w:rsidRPr="004961B6" w:rsidRDefault="00A63F91" w:rsidP="00A63F91">
      <w:pPr>
        <w:ind w:left="360"/>
        <w:jc w:val="both"/>
        <w:rPr>
          <w:b/>
          <w:bCs/>
          <w:sz w:val="22"/>
          <w:szCs w:val="22"/>
        </w:rPr>
      </w:pPr>
    </w:p>
    <w:p w14:paraId="5EACCCCE" w14:textId="77777777" w:rsidR="00A63F91" w:rsidRPr="004961B6" w:rsidRDefault="00A63F91" w:rsidP="00A63F91">
      <w:pPr>
        <w:pStyle w:val="ListParagraph"/>
        <w:numPr>
          <w:ilvl w:val="0"/>
          <w:numId w:val="19"/>
        </w:numPr>
        <w:contextualSpacing/>
        <w:jc w:val="both"/>
        <w:rPr>
          <w:b/>
          <w:bCs/>
          <w:sz w:val="22"/>
          <w:szCs w:val="22"/>
        </w:rPr>
      </w:pPr>
      <w:r w:rsidRPr="004961B6">
        <w:rPr>
          <w:b/>
          <w:bCs/>
          <w:sz w:val="22"/>
          <w:szCs w:val="22"/>
        </w:rPr>
        <w:t>What steps is the government taking to ensure housing investors comply with human rights standards and are held accountable when they do not?</w:t>
      </w:r>
    </w:p>
    <w:p w14:paraId="2639F2CC" w14:textId="77777777" w:rsidR="00A63F91" w:rsidRPr="004961B6" w:rsidRDefault="00A63F91" w:rsidP="00A63F91">
      <w:pPr>
        <w:jc w:val="both"/>
        <w:rPr>
          <w:b/>
          <w:bCs/>
          <w:sz w:val="22"/>
          <w:szCs w:val="22"/>
        </w:rPr>
      </w:pPr>
    </w:p>
    <w:p w14:paraId="18244E89" w14:textId="77777777" w:rsidR="00A63F91" w:rsidRPr="004961B6" w:rsidRDefault="00A63F91" w:rsidP="00A63F91">
      <w:pPr>
        <w:pStyle w:val="ListParagraph"/>
        <w:numPr>
          <w:ilvl w:val="0"/>
          <w:numId w:val="19"/>
        </w:numPr>
        <w:contextualSpacing/>
        <w:jc w:val="both"/>
        <w:rPr>
          <w:b/>
          <w:bCs/>
          <w:sz w:val="22"/>
          <w:szCs w:val="22"/>
        </w:rPr>
      </w:pPr>
      <w:r w:rsidRPr="004961B6">
        <w:rPr>
          <w:b/>
          <w:bCs/>
          <w:sz w:val="22"/>
          <w:szCs w:val="22"/>
        </w:rPr>
        <w:t>What steps does the government intend to take to assist the Berlin government to comply with the September 2021 referendum on the expropriation of investor-owned housing?</w:t>
      </w:r>
    </w:p>
    <w:p w14:paraId="43E589C1" w14:textId="77777777" w:rsidR="00A63F91" w:rsidRPr="004961B6" w:rsidRDefault="00A63F91" w:rsidP="00A63F91">
      <w:pPr>
        <w:ind w:left="360"/>
        <w:jc w:val="both"/>
        <w:rPr>
          <w:b/>
          <w:bCs/>
          <w:sz w:val="22"/>
          <w:szCs w:val="22"/>
        </w:rPr>
      </w:pPr>
    </w:p>
    <w:p w14:paraId="57E27C7D" w14:textId="77777777" w:rsidR="00A63F91" w:rsidRPr="004961B6" w:rsidRDefault="00A63F91" w:rsidP="00A63F91">
      <w:pPr>
        <w:pStyle w:val="ListParagraph"/>
        <w:numPr>
          <w:ilvl w:val="0"/>
          <w:numId w:val="19"/>
        </w:numPr>
        <w:contextualSpacing/>
        <w:jc w:val="both"/>
        <w:rPr>
          <w:b/>
          <w:bCs/>
          <w:sz w:val="22"/>
          <w:szCs w:val="22"/>
        </w:rPr>
      </w:pPr>
      <w:r w:rsidRPr="004961B6">
        <w:rPr>
          <w:b/>
          <w:bCs/>
          <w:sz w:val="22"/>
          <w:szCs w:val="22"/>
        </w:rPr>
        <w:t xml:space="preserve">How does the government intend to support tenants who have suffered harm </w:t>
      </w:r>
      <w:proofErr w:type="gramStart"/>
      <w:r w:rsidRPr="004961B6">
        <w:rPr>
          <w:b/>
          <w:bCs/>
          <w:sz w:val="22"/>
          <w:szCs w:val="22"/>
        </w:rPr>
        <w:t>as a result of</w:t>
      </w:r>
      <w:proofErr w:type="gramEnd"/>
      <w:r w:rsidRPr="004961B6">
        <w:rPr>
          <w:b/>
          <w:bCs/>
          <w:sz w:val="22"/>
          <w:szCs w:val="22"/>
        </w:rPr>
        <w:t xml:space="preserve"> the financialization of their homes?</w:t>
      </w:r>
    </w:p>
    <w:p w14:paraId="26CEBD46" w14:textId="77777777" w:rsidR="00A63F91" w:rsidRPr="004961B6" w:rsidRDefault="00A63F91" w:rsidP="00A63F91">
      <w:pPr>
        <w:pStyle w:val="ListParagraph"/>
        <w:jc w:val="both"/>
        <w:rPr>
          <w:b/>
          <w:bCs/>
          <w:sz w:val="22"/>
          <w:szCs w:val="22"/>
        </w:rPr>
      </w:pPr>
    </w:p>
    <w:p w14:paraId="643FF58D" w14:textId="77777777" w:rsidR="00A63F91" w:rsidRPr="004961B6" w:rsidRDefault="00A63F91" w:rsidP="00A63F91">
      <w:pPr>
        <w:pStyle w:val="ListParagraph"/>
        <w:numPr>
          <w:ilvl w:val="0"/>
          <w:numId w:val="19"/>
        </w:numPr>
        <w:contextualSpacing/>
        <w:jc w:val="both"/>
        <w:rPr>
          <w:b/>
          <w:bCs/>
          <w:sz w:val="22"/>
          <w:szCs w:val="22"/>
        </w:rPr>
      </w:pPr>
      <w:r w:rsidRPr="004961B6">
        <w:rPr>
          <w:b/>
          <w:bCs/>
          <w:sz w:val="22"/>
          <w:szCs w:val="22"/>
        </w:rPr>
        <w:t>How does the government intend to ensure that homes constructed by investors using public funds and subsidies are affordable to those with the greatest housing need and remain affordable and secure in perpetuity.</w:t>
      </w:r>
    </w:p>
    <w:p w14:paraId="04BC1B3C" w14:textId="77777777" w:rsidR="00A63F91" w:rsidRPr="004961B6" w:rsidRDefault="00A63F91" w:rsidP="00A63F91">
      <w:pPr>
        <w:jc w:val="both"/>
        <w:rPr>
          <w:b/>
          <w:bCs/>
          <w:sz w:val="22"/>
          <w:szCs w:val="22"/>
        </w:rPr>
      </w:pPr>
    </w:p>
    <w:p w14:paraId="3F6D8DAF" w14:textId="77777777" w:rsidR="00A63F91" w:rsidRPr="004961B6" w:rsidRDefault="00A63F91" w:rsidP="00A63F91">
      <w:pPr>
        <w:pStyle w:val="PreformattedText"/>
        <w:jc w:val="both"/>
        <w:rPr>
          <w:rFonts w:ascii="Times New Roman" w:hAnsi="Times New Roman" w:cs="Times New Roman"/>
          <w:sz w:val="22"/>
          <w:szCs w:val="22"/>
        </w:rPr>
      </w:pPr>
    </w:p>
    <w:p w14:paraId="68E157F3" w14:textId="77777777" w:rsidR="00A63F91" w:rsidRPr="004961B6" w:rsidRDefault="00A63F91" w:rsidP="00A63F91">
      <w:pPr>
        <w:pStyle w:val="ListParagraph"/>
        <w:numPr>
          <w:ilvl w:val="0"/>
          <w:numId w:val="18"/>
        </w:numPr>
        <w:contextualSpacing/>
        <w:jc w:val="both"/>
        <w:rPr>
          <w:b/>
          <w:bCs/>
          <w:sz w:val="22"/>
          <w:szCs w:val="22"/>
        </w:rPr>
      </w:pPr>
      <w:r w:rsidRPr="004961B6">
        <w:rPr>
          <w:b/>
          <w:bCs/>
          <w:sz w:val="22"/>
          <w:szCs w:val="22"/>
        </w:rPr>
        <w:t>Tenant Protections</w:t>
      </w:r>
    </w:p>
    <w:p w14:paraId="27F7FC44" w14:textId="77777777" w:rsidR="00A63F91" w:rsidRPr="004961B6" w:rsidRDefault="00A63F91" w:rsidP="00A63F91">
      <w:pPr>
        <w:jc w:val="both"/>
        <w:rPr>
          <w:sz w:val="22"/>
          <w:szCs w:val="22"/>
        </w:rPr>
      </w:pPr>
    </w:p>
    <w:p w14:paraId="6F958143" w14:textId="77777777" w:rsidR="00A63F91" w:rsidRPr="004961B6" w:rsidRDefault="00A63F91" w:rsidP="00A63F91">
      <w:pPr>
        <w:jc w:val="both"/>
        <w:rPr>
          <w:sz w:val="22"/>
          <w:szCs w:val="22"/>
        </w:rPr>
      </w:pPr>
      <w:r w:rsidRPr="004961B6">
        <w:rPr>
          <w:sz w:val="22"/>
          <w:szCs w:val="22"/>
        </w:rPr>
        <w:t xml:space="preserve">Effective tenant protections are essential for the realization of the human right to housing, helping to ensure key standards including affordability, habitability, and security of tenure are met. </w:t>
      </w:r>
    </w:p>
    <w:p w14:paraId="558CC8E5" w14:textId="77777777" w:rsidR="00A63F91" w:rsidRPr="004961B6" w:rsidRDefault="00A63F91" w:rsidP="00A63F91">
      <w:pPr>
        <w:jc w:val="both"/>
        <w:rPr>
          <w:sz w:val="22"/>
          <w:szCs w:val="22"/>
        </w:rPr>
      </w:pPr>
    </w:p>
    <w:p w14:paraId="1503E611" w14:textId="77777777" w:rsidR="00A63F91" w:rsidRPr="004961B6" w:rsidRDefault="00A63F91" w:rsidP="00A63F91">
      <w:pPr>
        <w:jc w:val="both"/>
        <w:rPr>
          <w:sz w:val="22"/>
          <w:szCs w:val="22"/>
        </w:rPr>
      </w:pPr>
      <w:r w:rsidRPr="004961B6">
        <w:rPr>
          <w:sz w:val="22"/>
          <w:szCs w:val="22"/>
        </w:rPr>
        <w:lastRenderedPageBreak/>
        <w:t xml:space="preserve">Germany is often regarded as having some of the strongest tenant protections in Europe. These protections include the </w:t>
      </w:r>
      <w:proofErr w:type="spellStart"/>
      <w:r w:rsidRPr="004961B6">
        <w:rPr>
          <w:sz w:val="22"/>
          <w:szCs w:val="22"/>
        </w:rPr>
        <w:t>Mietpreisbremse</w:t>
      </w:r>
      <w:proofErr w:type="spellEnd"/>
      <w:r w:rsidRPr="004961B6">
        <w:rPr>
          <w:rStyle w:val="FootnoteAnchor"/>
          <w:sz w:val="22"/>
          <w:szCs w:val="22"/>
        </w:rPr>
        <w:footnoteReference w:id="15"/>
      </w:r>
      <w:r w:rsidRPr="004961B6">
        <w:rPr>
          <w:sz w:val="22"/>
          <w:szCs w:val="22"/>
        </w:rPr>
        <w:t xml:space="preserve"> – which prohibits landlords of homes in tight rental markets from charging a cold rent</w:t>
      </w:r>
      <w:r w:rsidRPr="004961B6">
        <w:rPr>
          <w:rStyle w:val="FootnoteAnchor"/>
          <w:sz w:val="22"/>
          <w:szCs w:val="22"/>
        </w:rPr>
        <w:footnoteReference w:id="16"/>
      </w:r>
      <w:r w:rsidRPr="004961B6">
        <w:rPr>
          <w:sz w:val="22"/>
          <w:szCs w:val="22"/>
        </w:rPr>
        <w:t xml:space="preserve"> that is more than 10% higher than the local comparative rent, and the </w:t>
      </w:r>
      <w:proofErr w:type="spellStart"/>
      <w:r w:rsidRPr="004961B6">
        <w:rPr>
          <w:sz w:val="22"/>
          <w:szCs w:val="22"/>
        </w:rPr>
        <w:t>Kappungsgrenze</w:t>
      </w:r>
      <w:proofErr w:type="spellEnd"/>
      <w:r w:rsidRPr="004961B6">
        <w:rPr>
          <w:sz w:val="22"/>
          <w:szCs w:val="22"/>
        </w:rPr>
        <w:t>, which prevents landlords from raising the rent by more than 15-20% over a three year period, and only where it has not been raised in the 15 months prior.</w:t>
      </w:r>
      <w:r w:rsidRPr="004961B6">
        <w:rPr>
          <w:rStyle w:val="FootnoteAnchor"/>
          <w:sz w:val="22"/>
          <w:szCs w:val="22"/>
        </w:rPr>
        <w:footnoteReference w:id="17"/>
      </w:r>
      <w:r w:rsidRPr="004961B6">
        <w:rPr>
          <w:sz w:val="22"/>
          <w:szCs w:val="22"/>
        </w:rPr>
        <w:t xml:space="preserve"> Equally, German law poses ostensibly strict controls on evictions, requiring notice based on length of tenancy, legally valid reasons for eviction to be given, and a court process to be followed should a tenant not vacate.</w:t>
      </w:r>
      <w:r w:rsidRPr="004961B6">
        <w:rPr>
          <w:rStyle w:val="FootnoteAnchor"/>
          <w:sz w:val="22"/>
          <w:szCs w:val="22"/>
        </w:rPr>
        <w:footnoteReference w:id="18"/>
      </w:r>
      <w:r w:rsidRPr="004961B6">
        <w:rPr>
          <w:sz w:val="22"/>
          <w:szCs w:val="22"/>
        </w:rPr>
        <w:t xml:space="preserve"> </w:t>
      </w:r>
    </w:p>
    <w:p w14:paraId="519DCABB" w14:textId="77777777" w:rsidR="00A63F91" w:rsidRPr="004961B6" w:rsidRDefault="00A63F91" w:rsidP="00A63F91">
      <w:pPr>
        <w:jc w:val="both"/>
        <w:rPr>
          <w:sz w:val="22"/>
          <w:szCs w:val="22"/>
        </w:rPr>
      </w:pPr>
    </w:p>
    <w:p w14:paraId="2D773663" w14:textId="77777777" w:rsidR="00A63F91" w:rsidRPr="004961B6" w:rsidRDefault="00A63F91" w:rsidP="00A63F91">
      <w:pPr>
        <w:jc w:val="both"/>
        <w:rPr>
          <w:sz w:val="22"/>
          <w:szCs w:val="22"/>
        </w:rPr>
      </w:pPr>
      <w:r w:rsidRPr="004961B6">
        <w:rPr>
          <w:sz w:val="22"/>
          <w:szCs w:val="22"/>
        </w:rPr>
        <w:t xml:space="preserve">However, despite these protections being in place, tenants have expressed concerns regarding the presence of several loopholes within tenant protection legislation which significantly undermines the efficacy of these provisions. For example, whilst the </w:t>
      </w:r>
      <w:proofErr w:type="spellStart"/>
      <w:r w:rsidRPr="004961B6">
        <w:rPr>
          <w:sz w:val="22"/>
          <w:szCs w:val="22"/>
        </w:rPr>
        <w:t>Mietpreisbremse</w:t>
      </w:r>
      <w:proofErr w:type="spellEnd"/>
      <w:r w:rsidRPr="004961B6">
        <w:rPr>
          <w:sz w:val="22"/>
          <w:szCs w:val="22"/>
        </w:rPr>
        <w:t xml:space="preserve"> is intended to control rent increases and prevent unaffordability, the regulation only applies to permanent rental units. Because of this, landlords can list their units as “temporary” thereby ensuring the </w:t>
      </w:r>
      <w:proofErr w:type="spellStart"/>
      <w:r w:rsidRPr="004961B6">
        <w:rPr>
          <w:sz w:val="22"/>
          <w:szCs w:val="22"/>
        </w:rPr>
        <w:t>Mietpreisbremse</w:t>
      </w:r>
      <w:proofErr w:type="spellEnd"/>
      <w:r w:rsidRPr="004961B6">
        <w:rPr>
          <w:sz w:val="22"/>
          <w:szCs w:val="22"/>
        </w:rPr>
        <w:t xml:space="preserve"> does not apply. Additionally, in Germany landlords are allowed, without justification, to charge tenants fees for the provision of furnishings. Therefore, listing an apartment as “temporary and furnished” allows landlords to charge tenants rents and fees that are far beyond what the </w:t>
      </w:r>
      <w:proofErr w:type="spellStart"/>
      <w:r w:rsidRPr="004961B6">
        <w:rPr>
          <w:sz w:val="22"/>
          <w:szCs w:val="22"/>
        </w:rPr>
        <w:t>Mietpreisbremse</w:t>
      </w:r>
      <w:proofErr w:type="spellEnd"/>
      <w:r w:rsidRPr="004961B6">
        <w:rPr>
          <w:sz w:val="22"/>
          <w:szCs w:val="22"/>
        </w:rPr>
        <w:t xml:space="preserve"> would normally allow.</w:t>
      </w:r>
    </w:p>
    <w:p w14:paraId="516E2E42" w14:textId="77777777" w:rsidR="00A63F91" w:rsidRPr="004961B6" w:rsidRDefault="00A63F91" w:rsidP="00A63F91">
      <w:pPr>
        <w:jc w:val="both"/>
        <w:rPr>
          <w:sz w:val="22"/>
          <w:szCs w:val="22"/>
        </w:rPr>
      </w:pPr>
    </w:p>
    <w:p w14:paraId="0AF17FF5" w14:textId="77777777" w:rsidR="00A63F91" w:rsidRPr="004961B6" w:rsidRDefault="00A63F91" w:rsidP="00A63F91">
      <w:pPr>
        <w:jc w:val="both"/>
        <w:rPr>
          <w:sz w:val="22"/>
          <w:szCs w:val="22"/>
        </w:rPr>
      </w:pPr>
      <w:r w:rsidRPr="004961B6">
        <w:rPr>
          <w:sz w:val="22"/>
          <w:szCs w:val="22"/>
        </w:rPr>
        <w:t>Evidence shows this “temporary and furnished” loophole is being used extensively in Germany, with the number of such listings having increased by 185% between 2012 and 2022.</w:t>
      </w:r>
      <w:r w:rsidRPr="004961B6">
        <w:rPr>
          <w:rStyle w:val="FootnoteAnchor"/>
          <w:sz w:val="22"/>
          <w:szCs w:val="22"/>
        </w:rPr>
        <w:footnoteReference w:id="19"/>
      </w:r>
      <w:r w:rsidRPr="004961B6">
        <w:rPr>
          <w:sz w:val="22"/>
          <w:szCs w:val="22"/>
        </w:rPr>
        <w:t xml:space="preserve"> “Temporary and furnished” listings now represent more than 50% of all listings in major cities, and up to 70% of all listings in some desirable neighbourhoods such as Kreuzberg, Berlin.</w:t>
      </w:r>
      <w:r w:rsidRPr="004961B6">
        <w:rPr>
          <w:rStyle w:val="FootnoteAnchor"/>
          <w:sz w:val="22"/>
          <w:szCs w:val="22"/>
        </w:rPr>
        <w:footnoteReference w:id="20"/>
      </w:r>
      <w:r w:rsidRPr="004961B6">
        <w:rPr>
          <w:sz w:val="22"/>
          <w:szCs w:val="22"/>
        </w:rPr>
        <w:t xml:space="preserve"> Data highlights that, in Germany’s five largest cities, apartments listed as “temporary and furnished” are, on average, €11 per square metre more expensive than conventional apartments.</w:t>
      </w:r>
      <w:r w:rsidRPr="004961B6">
        <w:rPr>
          <w:rStyle w:val="FootnoteAnchor"/>
          <w:sz w:val="22"/>
          <w:szCs w:val="22"/>
        </w:rPr>
        <w:footnoteReference w:id="21"/>
      </w:r>
      <w:r w:rsidRPr="004961B6">
        <w:rPr>
          <w:sz w:val="22"/>
          <w:szCs w:val="22"/>
        </w:rPr>
        <w:t xml:space="preserve"> In Berlin, as of 2025, whilst the average price for all apartments was €7.67 per square metre, “temporary and furnished” apartments are routinely rented for between €30-50 per square metre.</w:t>
      </w:r>
      <w:r w:rsidRPr="004961B6">
        <w:rPr>
          <w:rStyle w:val="FootnoteAnchor"/>
          <w:sz w:val="22"/>
          <w:szCs w:val="22"/>
        </w:rPr>
        <w:footnoteReference w:id="22"/>
      </w:r>
      <w:r w:rsidRPr="004961B6">
        <w:rPr>
          <w:sz w:val="22"/>
          <w:szCs w:val="22"/>
        </w:rPr>
        <w:t xml:space="preserve"> </w:t>
      </w:r>
    </w:p>
    <w:p w14:paraId="6DC695A5" w14:textId="77777777" w:rsidR="00A63F91" w:rsidRPr="004961B6" w:rsidRDefault="00A63F91" w:rsidP="00A63F91">
      <w:pPr>
        <w:jc w:val="both"/>
        <w:rPr>
          <w:sz w:val="22"/>
          <w:szCs w:val="22"/>
        </w:rPr>
      </w:pPr>
    </w:p>
    <w:p w14:paraId="7667CB42" w14:textId="77777777" w:rsidR="00A63F91" w:rsidRPr="004961B6" w:rsidRDefault="00A63F91" w:rsidP="00A63F91">
      <w:pPr>
        <w:jc w:val="both"/>
        <w:rPr>
          <w:sz w:val="22"/>
          <w:szCs w:val="22"/>
        </w:rPr>
      </w:pPr>
      <w:r w:rsidRPr="004961B6">
        <w:rPr>
          <w:sz w:val="22"/>
          <w:szCs w:val="22"/>
        </w:rPr>
        <w:t xml:space="preserve">Furthermore, the </w:t>
      </w:r>
      <w:proofErr w:type="spellStart"/>
      <w:r w:rsidRPr="004961B6">
        <w:rPr>
          <w:sz w:val="22"/>
          <w:szCs w:val="22"/>
        </w:rPr>
        <w:t>Mietpreisbremse</w:t>
      </w:r>
      <w:proofErr w:type="spellEnd"/>
      <w:r w:rsidRPr="004961B6">
        <w:rPr>
          <w:sz w:val="22"/>
          <w:szCs w:val="22"/>
        </w:rPr>
        <w:t xml:space="preserve"> does not apply to apartments constructed after 1</w:t>
      </w:r>
      <w:r w:rsidRPr="004961B6">
        <w:rPr>
          <w:sz w:val="22"/>
          <w:szCs w:val="22"/>
          <w:vertAlign w:val="superscript"/>
        </w:rPr>
        <w:t>st</w:t>
      </w:r>
      <w:r w:rsidRPr="004961B6">
        <w:rPr>
          <w:sz w:val="22"/>
          <w:szCs w:val="22"/>
        </w:rPr>
        <w:t xml:space="preserve"> October 2014,</w:t>
      </w:r>
      <w:r w:rsidRPr="004961B6">
        <w:rPr>
          <w:rStyle w:val="FootnoteAnchor"/>
          <w:sz w:val="22"/>
          <w:szCs w:val="22"/>
        </w:rPr>
        <w:footnoteReference w:id="23"/>
      </w:r>
      <w:r w:rsidRPr="004961B6">
        <w:rPr>
          <w:sz w:val="22"/>
          <w:szCs w:val="22"/>
        </w:rPr>
        <w:t xml:space="preserve"> meaning tenants living in newer buildings are entirely unprotected. Equally, the law states that where an older building is extensively modernised</w:t>
      </w:r>
      <w:r w:rsidRPr="004961B6">
        <w:rPr>
          <w:rStyle w:val="FootnoteAnchor"/>
          <w:sz w:val="22"/>
          <w:szCs w:val="22"/>
        </w:rPr>
        <w:footnoteReference w:id="24"/>
      </w:r>
      <w:r w:rsidRPr="004961B6">
        <w:rPr>
          <w:sz w:val="22"/>
          <w:szCs w:val="22"/>
        </w:rPr>
        <w:t xml:space="preserve"> the rent protection law will also not apply.</w:t>
      </w:r>
      <w:r w:rsidRPr="004961B6">
        <w:rPr>
          <w:rStyle w:val="FootnoteAnchor"/>
          <w:sz w:val="22"/>
          <w:szCs w:val="22"/>
        </w:rPr>
        <w:footnoteReference w:id="25"/>
      </w:r>
      <w:r w:rsidRPr="004961B6">
        <w:rPr>
          <w:sz w:val="22"/>
          <w:szCs w:val="22"/>
        </w:rPr>
        <w:t xml:space="preserve"> This increases the number of households who are unprotected by the </w:t>
      </w:r>
      <w:proofErr w:type="spellStart"/>
      <w:r w:rsidRPr="004961B6">
        <w:rPr>
          <w:sz w:val="22"/>
          <w:szCs w:val="22"/>
        </w:rPr>
        <w:t>Mietpreisbremse</w:t>
      </w:r>
      <w:proofErr w:type="spellEnd"/>
      <w:r w:rsidRPr="004961B6">
        <w:rPr>
          <w:sz w:val="22"/>
          <w:szCs w:val="22"/>
        </w:rPr>
        <w:t xml:space="preserve"> and are at risk of unaffordability. Whilst, this provision is apparently intended to ensure building owners </w:t>
      </w:r>
      <w:r w:rsidRPr="004961B6">
        <w:rPr>
          <w:sz w:val="22"/>
          <w:szCs w:val="22"/>
        </w:rPr>
        <w:lastRenderedPageBreak/>
        <w:t>modernise their buildings and can recoup the costs of these modernisations,</w:t>
      </w:r>
      <w:r w:rsidRPr="004961B6">
        <w:rPr>
          <w:rStyle w:val="FootnoteReference"/>
          <w:sz w:val="22"/>
          <w:szCs w:val="22"/>
        </w:rPr>
        <w:footnoteReference w:id="26"/>
      </w:r>
      <w:r w:rsidRPr="004961B6">
        <w:rPr>
          <w:sz w:val="22"/>
          <w:szCs w:val="22"/>
        </w:rPr>
        <w:t xml:space="preserve"> tenants have informed us that because there is no time limit attached to the increase of a tenant’s rent following modernisations (i.e. landlords are not required to reduce the rent once the modernisation works have been paid for), modernisations have the potential to remain highly profitable for landlords over the long-term, whilst driving unaffordability for tenants. The Government has, in 2019, introduced greater restrictions on rent increases following modernisation, with the intention of better protecting tenants, and has introduced a maximum fine of €100,000 for landlords who are found to have used modernisations to push tenants out of their homes.</w:t>
      </w:r>
      <w:r w:rsidRPr="004961B6">
        <w:rPr>
          <w:rStyle w:val="FootnoteReference"/>
          <w:sz w:val="22"/>
          <w:szCs w:val="22"/>
        </w:rPr>
        <w:footnoteReference w:id="27"/>
      </w:r>
      <w:r w:rsidRPr="004961B6">
        <w:rPr>
          <w:sz w:val="22"/>
          <w:szCs w:val="22"/>
        </w:rPr>
        <w:t xml:space="preserve"> However, without placing a total limit on the allowable rent increase, the door remains open for landlords to utilise modernizations to generate significant profits at the expense of tenants. </w:t>
      </w:r>
    </w:p>
    <w:p w14:paraId="06ED879C" w14:textId="77777777" w:rsidR="00A63F91" w:rsidRPr="004961B6" w:rsidRDefault="00A63F91" w:rsidP="00A63F91">
      <w:pPr>
        <w:jc w:val="both"/>
        <w:rPr>
          <w:sz w:val="22"/>
          <w:szCs w:val="22"/>
        </w:rPr>
      </w:pPr>
    </w:p>
    <w:p w14:paraId="61781D0C" w14:textId="77777777" w:rsidR="00A63F91" w:rsidRPr="004961B6" w:rsidRDefault="00A63F91" w:rsidP="00A63F91">
      <w:pPr>
        <w:jc w:val="both"/>
        <w:rPr>
          <w:sz w:val="22"/>
          <w:szCs w:val="22"/>
        </w:rPr>
      </w:pPr>
      <w:r w:rsidRPr="004961B6">
        <w:rPr>
          <w:sz w:val="22"/>
          <w:szCs w:val="22"/>
        </w:rPr>
        <w:t>Germany’s eviction protection laws have also received criticism for inadequately protecting tenants. In particular, tenants have noted that landlords make routine use of the ‘personal use’ justification for evictions, which allows landlords to evict their tenants if they plan to use the apartment themselves.</w:t>
      </w:r>
      <w:r w:rsidRPr="004961B6">
        <w:rPr>
          <w:rStyle w:val="FootnoteAnchor"/>
          <w:sz w:val="22"/>
          <w:szCs w:val="22"/>
        </w:rPr>
        <w:footnoteReference w:id="28"/>
      </w:r>
      <w:r w:rsidRPr="004961B6">
        <w:rPr>
          <w:sz w:val="22"/>
          <w:szCs w:val="22"/>
        </w:rPr>
        <w:t xml:space="preserve"> Whilst no disaggregated data is available regarding the justifications provided by landlords for evictions, tenants in Germany have stated they routinely see landlords seeking to evict tenants for personal use. There are no safeguards within German eviction laws to prevent landlords from changing their minds shortly after an eviction for personal use is completed and placing their units back on the market with a higher rent. </w:t>
      </w:r>
    </w:p>
    <w:p w14:paraId="57FF4A19" w14:textId="77777777" w:rsidR="00A63F91" w:rsidRPr="004961B6" w:rsidRDefault="00A63F91" w:rsidP="00A63F91">
      <w:pPr>
        <w:jc w:val="both"/>
        <w:rPr>
          <w:sz w:val="22"/>
          <w:szCs w:val="22"/>
        </w:rPr>
      </w:pPr>
    </w:p>
    <w:p w14:paraId="77CA7AC5" w14:textId="77777777" w:rsidR="00A63F91" w:rsidRPr="004961B6" w:rsidRDefault="00A63F91" w:rsidP="00A63F91">
      <w:pPr>
        <w:jc w:val="both"/>
        <w:rPr>
          <w:sz w:val="22"/>
          <w:szCs w:val="22"/>
        </w:rPr>
      </w:pPr>
      <w:r w:rsidRPr="004961B6">
        <w:rPr>
          <w:sz w:val="22"/>
          <w:szCs w:val="22"/>
        </w:rPr>
        <w:t>The presence of these loopholes is exacerbated by the severe imbalance of power between landlords and tenants in Germany, and the lack of accessible and available mechanisms through which landlords can be monitored and held accountable for acting inconsistently or not in good faith with tenant protection measures. Tenants have noted that there is no requirement placed on landlords to engage with them and no legal provision to allow them to formally unionise, deepening the imbalance of power further. They have equally noted that, in many instances, communication with larger, corporate landlords is only possible via online portals which can be inaccessible for people who are older or who struggle to utilise computers. Additionally, tenants have also raised concerns regarding the impact of the ‘digitalization’ of their homes on their data protection and privacy. In this regard, there have recently been protests against major landlords seeking to install devices such as smart smoke detectors which contain sensors that can monitor multiple environmental conditions, including humidity, temperature, and carbon monoxide.</w:t>
      </w:r>
      <w:r w:rsidRPr="004961B6">
        <w:rPr>
          <w:rStyle w:val="FootnoteReference"/>
          <w:sz w:val="22"/>
          <w:szCs w:val="22"/>
        </w:rPr>
        <w:footnoteReference w:id="29"/>
      </w:r>
      <w:r w:rsidRPr="004961B6">
        <w:rPr>
          <w:sz w:val="22"/>
          <w:szCs w:val="22"/>
        </w:rPr>
        <w:t xml:space="preserve"> Tenants feel as though such </w:t>
      </w:r>
      <w:r w:rsidRPr="004961B6">
        <w:rPr>
          <w:sz w:val="22"/>
          <w:szCs w:val="22"/>
        </w:rPr>
        <w:lastRenderedPageBreak/>
        <w:t xml:space="preserve">devices will provide their landlord with an excessive amount of information about their lives and therefore further imbalance the power between them. Furthermore, there is a lack of adequate enforcement attached to tenant protections and because landlord tenant law in Germany is entirely civil, enforcement typically requires tenants to legally challenge breaching behaviours in courts, which places a significant onus on them. </w:t>
      </w:r>
    </w:p>
    <w:p w14:paraId="2DD4C1AB" w14:textId="77777777" w:rsidR="00A63F91" w:rsidRPr="004961B6" w:rsidRDefault="00A63F91" w:rsidP="00A63F91">
      <w:pPr>
        <w:jc w:val="both"/>
        <w:rPr>
          <w:sz w:val="22"/>
          <w:szCs w:val="22"/>
        </w:rPr>
      </w:pPr>
    </w:p>
    <w:p w14:paraId="56167863" w14:textId="77777777" w:rsidR="00A63F91" w:rsidRPr="004961B6" w:rsidRDefault="00A63F91" w:rsidP="00A63F91">
      <w:pPr>
        <w:jc w:val="both"/>
        <w:rPr>
          <w:sz w:val="22"/>
          <w:szCs w:val="22"/>
        </w:rPr>
      </w:pPr>
      <w:r w:rsidRPr="004961B6">
        <w:rPr>
          <w:sz w:val="22"/>
          <w:szCs w:val="22"/>
        </w:rPr>
        <w:t>Whilst plans have recently been announced for the strengthening of tenant protections in Germany, including the better regulation of “temporary and furnished” apartments in unaffordable rental markets, and the creation of an expert panel to draw up a proposal for strengthened tenant protections, including a stronger enforcement regime for landlords who breach rent control regulations,</w:t>
      </w:r>
      <w:r w:rsidRPr="004961B6">
        <w:rPr>
          <w:rStyle w:val="FootnoteAnchor"/>
          <w:sz w:val="22"/>
          <w:szCs w:val="22"/>
        </w:rPr>
        <w:footnoteReference w:id="30"/>
      </w:r>
      <w:r w:rsidRPr="004961B6">
        <w:rPr>
          <w:sz w:val="22"/>
          <w:szCs w:val="22"/>
        </w:rPr>
        <w:t xml:space="preserve"> the details of these proposals remain unclear and there is likely to be a delay in their introduction, meaning tenants remain at risk in the meantime.</w:t>
      </w:r>
    </w:p>
    <w:p w14:paraId="371561CE" w14:textId="77777777" w:rsidR="00A63F91" w:rsidRPr="004961B6" w:rsidRDefault="00A63F91" w:rsidP="00A63F91">
      <w:pPr>
        <w:pStyle w:val="PreformattedText"/>
        <w:jc w:val="both"/>
        <w:rPr>
          <w:rFonts w:ascii="Times New Roman" w:hAnsi="Times New Roman" w:cs="Times New Roman"/>
          <w:sz w:val="22"/>
          <w:szCs w:val="22"/>
          <w:lang w:val="en-US"/>
        </w:rPr>
      </w:pPr>
      <w:bookmarkStart w:id="0" w:name="tw-target-text2"/>
      <w:bookmarkEnd w:id="0"/>
    </w:p>
    <w:p w14:paraId="4A55EEA2" w14:textId="77777777" w:rsidR="00A63F91" w:rsidRPr="004961B6" w:rsidRDefault="00A63F91" w:rsidP="00A63F91">
      <w:pPr>
        <w:jc w:val="both"/>
        <w:rPr>
          <w:sz w:val="22"/>
          <w:szCs w:val="22"/>
        </w:rPr>
      </w:pPr>
      <w:r w:rsidRPr="004961B6">
        <w:rPr>
          <w:sz w:val="22"/>
          <w:szCs w:val="22"/>
        </w:rPr>
        <w:t>When tenant protections are weak or circumventable, they must be regarded as ineffective. If Germany is to fully comply with its international obligations under the Covenant, it must therefore take immediate and targeted measures to strengthen tenant protections and ensure adequate accountability for failures. For this reason, The Committee should consider posing the following questions to the government:</w:t>
      </w:r>
    </w:p>
    <w:p w14:paraId="5DB08BAD" w14:textId="77777777" w:rsidR="00A63F91" w:rsidRPr="004961B6" w:rsidRDefault="00A63F91" w:rsidP="00A63F91">
      <w:pPr>
        <w:jc w:val="both"/>
        <w:rPr>
          <w:sz w:val="22"/>
          <w:szCs w:val="22"/>
        </w:rPr>
      </w:pPr>
    </w:p>
    <w:p w14:paraId="58EB48FB" w14:textId="77777777" w:rsidR="00A63F91" w:rsidRPr="004961B6" w:rsidRDefault="00A63F91" w:rsidP="00A63F91">
      <w:pPr>
        <w:pStyle w:val="ListParagraph"/>
        <w:numPr>
          <w:ilvl w:val="0"/>
          <w:numId w:val="20"/>
        </w:numPr>
        <w:contextualSpacing/>
        <w:jc w:val="both"/>
        <w:rPr>
          <w:b/>
          <w:bCs/>
          <w:sz w:val="22"/>
          <w:szCs w:val="22"/>
        </w:rPr>
      </w:pPr>
      <w:r w:rsidRPr="004961B6">
        <w:rPr>
          <w:b/>
          <w:bCs/>
          <w:sz w:val="22"/>
          <w:szCs w:val="22"/>
        </w:rPr>
        <w:t xml:space="preserve">What measures are being taken by the federal government to expedite the removal of existing loopholes from tenant protection laws, including the loophole in the </w:t>
      </w:r>
      <w:proofErr w:type="spellStart"/>
      <w:r w:rsidRPr="004961B6">
        <w:rPr>
          <w:b/>
          <w:bCs/>
          <w:sz w:val="22"/>
          <w:szCs w:val="22"/>
        </w:rPr>
        <w:t>Mietpreisbremse</w:t>
      </w:r>
      <w:proofErr w:type="spellEnd"/>
      <w:r w:rsidRPr="004961B6">
        <w:rPr>
          <w:b/>
          <w:bCs/>
          <w:sz w:val="22"/>
          <w:szCs w:val="22"/>
        </w:rPr>
        <w:t xml:space="preserve"> which allows landlords to charge significantly higher rents for “temporary” and “furnished” apartments and the exclusion of post-2014 buildings from the law?</w:t>
      </w:r>
    </w:p>
    <w:p w14:paraId="555BBCEB" w14:textId="77777777" w:rsidR="00A63F91" w:rsidRPr="004961B6" w:rsidRDefault="00A63F91" w:rsidP="00A63F91">
      <w:pPr>
        <w:pStyle w:val="ListParagraph"/>
        <w:jc w:val="both"/>
        <w:rPr>
          <w:b/>
          <w:bCs/>
          <w:sz w:val="22"/>
          <w:szCs w:val="22"/>
        </w:rPr>
      </w:pPr>
    </w:p>
    <w:p w14:paraId="3B6B6740" w14:textId="77777777" w:rsidR="00A63F91" w:rsidRPr="004961B6" w:rsidRDefault="00A63F91" w:rsidP="00A63F91">
      <w:pPr>
        <w:pStyle w:val="ListParagraph"/>
        <w:numPr>
          <w:ilvl w:val="0"/>
          <w:numId w:val="20"/>
        </w:numPr>
        <w:contextualSpacing/>
        <w:jc w:val="both"/>
        <w:rPr>
          <w:b/>
          <w:bCs/>
          <w:sz w:val="22"/>
          <w:szCs w:val="22"/>
        </w:rPr>
      </w:pPr>
      <w:r w:rsidRPr="004961B6">
        <w:rPr>
          <w:b/>
          <w:bCs/>
          <w:sz w:val="22"/>
          <w:szCs w:val="22"/>
          <w:lang w:val="en-US"/>
        </w:rPr>
        <w:t xml:space="preserve">How does the government intend to further protect tenants from the costs of modernizations, </w:t>
      </w:r>
      <w:bookmarkStart w:id="1" w:name="tw-target-text"/>
      <w:bookmarkEnd w:id="1"/>
      <w:r w:rsidRPr="004961B6">
        <w:rPr>
          <w:b/>
          <w:bCs/>
          <w:sz w:val="22"/>
          <w:szCs w:val="22"/>
          <w:lang w:val="en-US"/>
        </w:rPr>
        <w:t>including by limiting the overall amount that landlords are allowed to recoup through increased rents?</w:t>
      </w:r>
    </w:p>
    <w:p w14:paraId="2264E0F6" w14:textId="77777777" w:rsidR="00A63F91" w:rsidRPr="004961B6" w:rsidRDefault="00A63F91" w:rsidP="00A63F91">
      <w:pPr>
        <w:pStyle w:val="ListParagraph"/>
        <w:jc w:val="both"/>
        <w:rPr>
          <w:b/>
          <w:bCs/>
          <w:sz w:val="22"/>
          <w:szCs w:val="22"/>
        </w:rPr>
      </w:pPr>
    </w:p>
    <w:p w14:paraId="131707A0" w14:textId="77777777" w:rsidR="00A63F91" w:rsidRPr="004961B6" w:rsidRDefault="00A63F91" w:rsidP="00A63F91">
      <w:pPr>
        <w:pStyle w:val="ListParagraph"/>
        <w:numPr>
          <w:ilvl w:val="0"/>
          <w:numId w:val="20"/>
        </w:numPr>
        <w:contextualSpacing/>
        <w:jc w:val="both"/>
        <w:rPr>
          <w:b/>
          <w:bCs/>
          <w:sz w:val="22"/>
          <w:szCs w:val="22"/>
        </w:rPr>
      </w:pPr>
      <w:bookmarkStart w:id="2" w:name="OLE_LINK5"/>
      <w:r w:rsidRPr="004961B6">
        <w:rPr>
          <w:b/>
          <w:bCs/>
          <w:sz w:val="22"/>
          <w:szCs w:val="22"/>
        </w:rPr>
        <w:t xml:space="preserve">What measures are being taken to limit the ability of landlords to evict tenants for ‘personal use’ and to ensure that where such a justification for an eviction is given, </w:t>
      </w:r>
      <w:bookmarkStart w:id="3" w:name="OLE_LINK4"/>
      <w:r w:rsidRPr="004961B6">
        <w:rPr>
          <w:b/>
          <w:bCs/>
          <w:sz w:val="22"/>
          <w:szCs w:val="22"/>
        </w:rPr>
        <w:t xml:space="preserve">landlords assist tenants to find suitable alternative accommodation </w:t>
      </w:r>
      <w:bookmarkEnd w:id="3"/>
      <w:r w:rsidRPr="004961B6">
        <w:rPr>
          <w:b/>
          <w:bCs/>
          <w:sz w:val="22"/>
          <w:szCs w:val="22"/>
        </w:rPr>
        <w:t>and are prevented from immediately reversing their decision and re-tenanting the property</w:t>
      </w:r>
      <w:bookmarkEnd w:id="2"/>
      <w:r w:rsidRPr="004961B6">
        <w:rPr>
          <w:b/>
          <w:bCs/>
          <w:sz w:val="22"/>
          <w:szCs w:val="22"/>
        </w:rPr>
        <w:t>?</w:t>
      </w:r>
    </w:p>
    <w:p w14:paraId="758C38D3" w14:textId="77777777" w:rsidR="00A63F91" w:rsidRPr="004961B6" w:rsidRDefault="00A63F91" w:rsidP="00A63F91">
      <w:pPr>
        <w:jc w:val="both"/>
        <w:rPr>
          <w:b/>
          <w:bCs/>
          <w:sz w:val="22"/>
          <w:szCs w:val="22"/>
        </w:rPr>
      </w:pPr>
    </w:p>
    <w:p w14:paraId="1F6CDD3B" w14:textId="77777777" w:rsidR="00A63F91" w:rsidRPr="004961B6" w:rsidRDefault="00A63F91" w:rsidP="00A63F91">
      <w:pPr>
        <w:pStyle w:val="ListParagraph"/>
        <w:numPr>
          <w:ilvl w:val="0"/>
          <w:numId w:val="20"/>
        </w:numPr>
        <w:contextualSpacing/>
        <w:jc w:val="both"/>
        <w:rPr>
          <w:sz w:val="22"/>
          <w:szCs w:val="22"/>
        </w:rPr>
      </w:pPr>
      <w:r w:rsidRPr="004961B6">
        <w:rPr>
          <w:b/>
          <w:bCs/>
          <w:sz w:val="22"/>
          <w:szCs w:val="22"/>
        </w:rPr>
        <w:t>What measures are the government taking to increase the accountability of landlords to existing tenant protections and decrease the burden on tenants to seek accountability in the case of breaches?</w:t>
      </w:r>
    </w:p>
    <w:p w14:paraId="2E6FED89" w14:textId="77777777" w:rsidR="00A63F91" w:rsidRPr="004961B6" w:rsidRDefault="00A63F91" w:rsidP="00A63F91">
      <w:pPr>
        <w:jc w:val="both"/>
        <w:rPr>
          <w:sz w:val="22"/>
          <w:szCs w:val="22"/>
        </w:rPr>
      </w:pPr>
    </w:p>
    <w:p w14:paraId="16F87717" w14:textId="77777777" w:rsidR="00A63F91" w:rsidRPr="004961B6" w:rsidRDefault="00A63F91" w:rsidP="00A63F91">
      <w:pPr>
        <w:pStyle w:val="PreformattedText"/>
        <w:numPr>
          <w:ilvl w:val="0"/>
          <w:numId w:val="20"/>
        </w:numPr>
        <w:spacing w:after="283"/>
        <w:jc w:val="both"/>
        <w:rPr>
          <w:rFonts w:ascii="Times New Roman" w:hAnsi="Times New Roman" w:cs="Times New Roman"/>
          <w:sz w:val="22"/>
          <w:szCs w:val="22"/>
          <w:lang w:val="en-US"/>
        </w:rPr>
      </w:pPr>
      <w:r w:rsidRPr="004961B6">
        <w:rPr>
          <w:rFonts w:ascii="Times New Roman" w:hAnsi="Times New Roman" w:cs="Times New Roman"/>
          <w:b/>
          <w:bCs/>
          <w:sz w:val="22"/>
          <w:szCs w:val="22"/>
          <w:lang w:val="en-US"/>
        </w:rPr>
        <w:t>What measures are being taken to enable tenant associations to establish and operate non-profit housing outside of the market?</w:t>
      </w:r>
    </w:p>
    <w:p w14:paraId="54FD6A6C" w14:textId="77777777" w:rsidR="00A63F91" w:rsidRDefault="00A63F91" w:rsidP="00A63F91">
      <w:pPr>
        <w:jc w:val="both"/>
        <w:rPr>
          <w:sz w:val="22"/>
          <w:szCs w:val="22"/>
        </w:rPr>
      </w:pPr>
    </w:p>
    <w:p w14:paraId="5D6C3D9B" w14:textId="77777777" w:rsidR="00A73D0A" w:rsidRDefault="00A73D0A" w:rsidP="00A63F91">
      <w:pPr>
        <w:jc w:val="both"/>
        <w:rPr>
          <w:sz w:val="22"/>
          <w:szCs w:val="22"/>
        </w:rPr>
      </w:pPr>
    </w:p>
    <w:p w14:paraId="1B60C77E" w14:textId="77777777" w:rsidR="00A73D0A" w:rsidRDefault="00A73D0A" w:rsidP="00A63F91">
      <w:pPr>
        <w:jc w:val="both"/>
        <w:rPr>
          <w:sz w:val="22"/>
          <w:szCs w:val="22"/>
        </w:rPr>
      </w:pPr>
    </w:p>
    <w:p w14:paraId="121BB756" w14:textId="77777777" w:rsidR="00A73D0A" w:rsidRDefault="00A73D0A" w:rsidP="00A63F91">
      <w:pPr>
        <w:jc w:val="both"/>
        <w:rPr>
          <w:sz w:val="22"/>
          <w:szCs w:val="22"/>
        </w:rPr>
      </w:pPr>
    </w:p>
    <w:p w14:paraId="78C3386C" w14:textId="77777777" w:rsidR="00A73D0A" w:rsidRDefault="00A73D0A" w:rsidP="00A63F91">
      <w:pPr>
        <w:jc w:val="both"/>
        <w:rPr>
          <w:sz w:val="22"/>
          <w:szCs w:val="22"/>
        </w:rPr>
      </w:pPr>
    </w:p>
    <w:p w14:paraId="042B1B9C" w14:textId="77777777" w:rsidR="00A73D0A" w:rsidRPr="004961B6" w:rsidRDefault="00A73D0A" w:rsidP="00A63F91">
      <w:pPr>
        <w:jc w:val="both"/>
        <w:rPr>
          <w:sz w:val="22"/>
          <w:szCs w:val="22"/>
        </w:rPr>
      </w:pPr>
    </w:p>
    <w:p w14:paraId="18E88C80" w14:textId="77777777" w:rsidR="00A63F91" w:rsidRPr="004961B6" w:rsidRDefault="00A63F91" w:rsidP="00A63F91">
      <w:pPr>
        <w:jc w:val="both"/>
        <w:rPr>
          <w:sz w:val="22"/>
          <w:szCs w:val="22"/>
        </w:rPr>
      </w:pPr>
    </w:p>
    <w:p w14:paraId="2C62C71E" w14:textId="77777777" w:rsidR="00A63F91" w:rsidRPr="004961B6" w:rsidRDefault="00A63F91" w:rsidP="00A63F91">
      <w:pPr>
        <w:pStyle w:val="ListParagraph"/>
        <w:numPr>
          <w:ilvl w:val="0"/>
          <w:numId w:val="18"/>
        </w:numPr>
        <w:contextualSpacing/>
        <w:jc w:val="both"/>
        <w:rPr>
          <w:b/>
          <w:bCs/>
          <w:sz w:val="22"/>
          <w:szCs w:val="22"/>
        </w:rPr>
      </w:pPr>
      <w:r w:rsidRPr="004961B6">
        <w:rPr>
          <w:b/>
          <w:bCs/>
          <w:sz w:val="22"/>
          <w:szCs w:val="22"/>
        </w:rPr>
        <w:lastRenderedPageBreak/>
        <w:t>Climate and Housing</w:t>
      </w:r>
    </w:p>
    <w:p w14:paraId="647DA1B6" w14:textId="77777777" w:rsidR="00A63F91" w:rsidRPr="004961B6" w:rsidRDefault="00A63F91" w:rsidP="00A63F91">
      <w:pPr>
        <w:jc w:val="both"/>
        <w:rPr>
          <w:b/>
          <w:bCs/>
          <w:sz w:val="22"/>
          <w:szCs w:val="22"/>
        </w:rPr>
      </w:pPr>
    </w:p>
    <w:p w14:paraId="42B1BED3" w14:textId="77777777" w:rsidR="00A63F91" w:rsidRPr="004961B6" w:rsidRDefault="00A63F91" w:rsidP="00A63F91">
      <w:pPr>
        <w:jc w:val="both"/>
        <w:rPr>
          <w:sz w:val="22"/>
          <w:szCs w:val="22"/>
        </w:rPr>
      </w:pPr>
      <w:r w:rsidRPr="004961B6">
        <w:rPr>
          <w:sz w:val="22"/>
          <w:szCs w:val="22"/>
        </w:rPr>
        <w:t>Climate change and housing are inextricably linked. As our climate degrades further, housing often becomes more precarious, more uninhabitable, and more unaffordable.</w:t>
      </w:r>
      <w:r w:rsidRPr="004961B6">
        <w:rPr>
          <w:rStyle w:val="FootnoteAnchor"/>
          <w:sz w:val="22"/>
          <w:szCs w:val="22"/>
        </w:rPr>
        <w:footnoteReference w:id="31"/>
      </w:r>
      <w:r w:rsidRPr="004961B6">
        <w:rPr>
          <w:sz w:val="22"/>
          <w:szCs w:val="22"/>
        </w:rPr>
        <w:t xml:space="preserve"> At the same time, poor management of the housing sector – particularly with regards to the construction and renovation of housing – has the potential to greatly exacerbate the climate crisis, with housing being a significant contributor to CO</w:t>
      </w:r>
      <w:r w:rsidRPr="004961B6">
        <w:rPr>
          <w:sz w:val="22"/>
          <w:szCs w:val="22"/>
          <w:vertAlign w:val="superscript"/>
        </w:rPr>
        <w:t>2</w:t>
      </w:r>
      <w:r w:rsidRPr="004961B6">
        <w:rPr>
          <w:sz w:val="22"/>
          <w:szCs w:val="22"/>
        </w:rPr>
        <w:t xml:space="preserve"> emissions.</w:t>
      </w:r>
      <w:r w:rsidRPr="004961B6">
        <w:rPr>
          <w:rStyle w:val="FootnoteAnchor"/>
          <w:sz w:val="22"/>
          <w:szCs w:val="22"/>
        </w:rPr>
        <w:footnoteReference w:id="32"/>
      </w:r>
      <w:r w:rsidRPr="004961B6">
        <w:rPr>
          <w:sz w:val="22"/>
          <w:szCs w:val="22"/>
        </w:rPr>
        <w:t xml:space="preserve"> Thus, without taking a connected approach to housing and climate, ensuring they provide adequate homes for all whilst staying inside planetary boundaries, governments are creating a vicious cycle which puts human rights and our environment at significant risk.</w:t>
      </w:r>
    </w:p>
    <w:p w14:paraId="37F27A39" w14:textId="77777777" w:rsidR="00A63F91" w:rsidRPr="004961B6" w:rsidRDefault="00A63F91" w:rsidP="00A63F91">
      <w:pPr>
        <w:jc w:val="both"/>
        <w:rPr>
          <w:sz w:val="22"/>
          <w:szCs w:val="22"/>
        </w:rPr>
      </w:pPr>
    </w:p>
    <w:p w14:paraId="6C47A0D1" w14:textId="77777777" w:rsidR="00A63F91" w:rsidRPr="004961B6" w:rsidRDefault="00A63F91" w:rsidP="00A63F91">
      <w:pPr>
        <w:jc w:val="both"/>
        <w:rPr>
          <w:sz w:val="22"/>
          <w:szCs w:val="22"/>
        </w:rPr>
      </w:pPr>
      <w:r w:rsidRPr="004961B6">
        <w:rPr>
          <w:sz w:val="22"/>
          <w:szCs w:val="22"/>
        </w:rPr>
        <w:t>Whilst the German government has recognised the connection between housing, construction, and climate, evidence suggests that the policies which have been introduced are likely to be insufficient to ensure Germany meets its climate targets, and, worse, may be actively undermining its efforts to decarbonise.</w:t>
      </w:r>
    </w:p>
    <w:p w14:paraId="12F1500A" w14:textId="77777777" w:rsidR="00A63F91" w:rsidRPr="004961B6" w:rsidRDefault="00A63F91" w:rsidP="00A63F91">
      <w:pPr>
        <w:jc w:val="both"/>
        <w:rPr>
          <w:sz w:val="22"/>
          <w:szCs w:val="22"/>
        </w:rPr>
      </w:pPr>
    </w:p>
    <w:p w14:paraId="4E984881" w14:textId="77777777" w:rsidR="00A63F91" w:rsidRPr="004961B6" w:rsidRDefault="00A63F91" w:rsidP="00A63F91">
      <w:pPr>
        <w:jc w:val="both"/>
        <w:rPr>
          <w:sz w:val="22"/>
          <w:szCs w:val="22"/>
        </w:rPr>
      </w:pPr>
      <w:r w:rsidRPr="004961B6">
        <w:rPr>
          <w:sz w:val="22"/>
          <w:szCs w:val="22"/>
        </w:rPr>
        <w:t>With around a third of homes in Germany poorly insulated,</w:t>
      </w:r>
      <w:r w:rsidRPr="004961B6">
        <w:rPr>
          <w:rStyle w:val="FootnoteAnchor"/>
          <w:sz w:val="22"/>
          <w:szCs w:val="22"/>
        </w:rPr>
        <w:footnoteReference w:id="33"/>
      </w:r>
      <w:r w:rsidRPr="004961B6">
        <w:rPr>
          <w:sz w:val="22"/>
          <w:szCs w:val="22"/>
        </w:rPr>
        <w:t xml:space="preserve"> the German government has recognised that dedicated action on housing retrofit is vital if it is to meet its climate targets. To encourage climate renovations, the government has set targets for the number of homes it wants to see retrofitted and offers subsidies to building owners to enable them to undertake climate retrofit projects.</w:t>
      </w:r>
      <w:r w:rsidRPr="004961B6">
        <w:rPr>
          <w:rStyle w:val="FootnoteAnchor"/>
          <w:sz w:val="22"/>
          <w:szCs w:val="22"/>
        </w:rPr>
        <w:footnoteReference w:id="34"/>
      </w:r>
      <w:r w:rsidRPr="004961B6">
        <w:rPr>
          <w:sz w:val="22"/>
          <w:szCs w:val="22"/>
        </w:rPr>
        <w:t xml:space="preserve"> Whilst positive that the government is helping drive retrofit, concerns have been raised regarding the expediency and effectiveness of its policies. In this regard, the government has set a housing retrofit target of between 1.7-1.9% of properties per year,</w:t>
      </w:r>
      <w:r w:rsidRPr="004961B6">
        <w:rPr>
          <w:rStyle w:val="FootnoteAnchor"/>
          <w:sz w:val="22"/>
          <w:szCs w:val="22"/>
        </w:rPr>
        <w:footnoteReference w:id="35"/>
      </w:r>
      <w:r w:rsidRPr="004961B6">
        <w:rPr>
          <w:sz w:val="22"/>
          <w:szCs w:val="22"/>
        </w:rPr>
        <w:t xml:space="preserve"> however this is less than the 2% which experts have deemed to be the minimum level necessary to ensure the housing sector meets its climate goals by 2045.</w:t>
      </w:r>
      <w:r w:rsidRPr="004961B6">
        <w:rPr>
          <w:rStyle w:val="FootnoteReference"/>
          <w:sz w:val="22"/>
          <w:szCs w:val="22"/>
        </w:rPr>
        <w:footnoteReference w:id="36"/>
      </w:r>
      <w:r w:rsidRPr="004961B6">
        <w:rPr>
          <w:sz w:val="22"/>
          <w:szCs w:val="22"/>
        </w:rPr>
        <w:t xml:space="preserve"> Perhaps even more concerning is that even this inadequate target is consistently missed, with it being noted that the actual annual renovation rate for housing has been “stuck at 0.7% for years”.</w:t>
      </w:r>
      <w:r w:rsidRPr="004961B6">
        <w:rPr>
          <w:rStyle w:val="FootnoteAnchor"/>
          <w:sz w:val="22"/>
          <w:szCs w:val="22"/>
        </w:rPr>
        <w:footnoteReference w:id="37"/>
      </w:r>
      <w:r w:rsidRPr="004961B6">
        <w:rPr>
          <w:sz w:val="22"/>
          <w:szCs w:val="22"/>
        </w:rPr>
        <w:t xml:space="preserve"> With the existing pace of housing retrofit, it has been stated that Germany is only likely to achieve just over 50% of its emissions reduction target by 2030.</w:t>
      </w:r>
      <w:r w:rsidRPr="004961B6">
        <w:rPr>
          <w:rStyle w:val="FootnoteAnchor"/>
          <w:sz w:val="22"/>
          <w:szCs w:val="22"/>
        </w:rPr>
        <w:footnoteReference w:id="38"/>
      </w:r>
      <w:r w:rsidRPr="004961B6">
        <w:rPr>
          <w:sz w:val="22"/>
          <w:szCs w:val="22"/>
        </w:rPr>
        <w:t xml:space="preserve"> </w:t>
      </w:r>
    </w:p>
    <w:p w14:paraId="43225188" w14:textId="77777777" w:rsidR="00A63F91" w:rsidRPr="004961B6" w:rsidRDefault="00A63F91" w:rsidP="00A63F91">
      <w:pPr>
        <w:jc w:val="both"/>
        <w:rPr>
          <w:sz w:val="22"/>
          <w:szCs w:val="22"/>
        </w:rPr>
      </w:pPr>
    </w:p>
    <w:p w14:paraId="169EB1FD" w14:textId="77777777" w:rsidR="00A63F91" w:rsidRPr="004961B6" w:rsidRDefault="00A63F91" w:rsidP="00A63F91">
      <w:pPr>
        <w:jc w:val="both"/>
        <w:rPr>
          <w:sz w:val="22"/>
          <w:szCs w:val="22"/>
        </w:rPr>
      </w:pPr>
      <w:r w:rsidRPr="004961B6">
        <w:rPr>
          <w:sz w:val="22"/>
          <w:szCs w:val="22"/>
        </w:rPr>
        <w:t xml:space="preserve">It is, therefore, clearly essential that the German government takes urgent action to improve its housing retrofit programme by ensuring it properly aligns with scientific data and is effective at </w:t>
      </w:r>
      <w:r w:rsidRPr="004961B6">
        <w:rPr>
          <w:sz w:val="22"/>
          <w:szCs w:val="22"/>
        </w:rPr>
        <w:lastRenderedPageBreak/>
        <w:t xml:space="preserve">encouraging more building owners engage in climate-friendly renovations. At the same time, however, the Government must also ensure that any positive action it does take in this arena is not undermined by its other policy choices. </w:t>
      </w:r>
    </w:p>
    <w:p w14:paraId="611EF9BF" w14:textId="77777777" w:rsidR="00A63F91" w:rsidRPr="004961B6" w:rsidRDefault="00A63F91" w:rsidP="00A63F91">
      <w:pPr>
        <w:jc w:val="both"/>
        <w:rPr>
          <w:sz w:val="22"/>
          <w:szCs w:val="22"/>
        </w:rPr>
      </w:pPr>
    </w:p>
    <w:p w14:paraId="7C5FEF1F" w14:textId="77777777" w:rsidR="00A63F91" w:rsidRPr="004961B6" w:rsidRDefault="00A63F91" w:rsidP="00A63F91">
      <w:pPr>
        <w:jc w:val="both"/>
        <w:rPr>
          <w:sz w:val="22"/>
          <w:szCs w:val="22"/>
        </w:rPr>
      </w:pPr>
      <w:r w:rsidRPr="004961B6">
        <w:rPr>
          <w:sz w:val="22"/>
          <w:szCs w:val="22"/>
        </w:rPr>
        <w:t xml:space="preserve">In this regard, it has been noted that the government has recently authorised the </w:t>
      </w:r>
      <w:proofErr w:type="spellStart"/>
      <w:r w:rsidRPr="004961B6">
        <w:rPr>
          <w:sz w:val="22"/>
          <w:szCs w:val="22"/>
        </w:rPr>
        <w:t>Wohnungsbau</w:t>
      </w:r>
      <w:proofErr w:type="spellEnd"/>
      <w:r w:rsidRPr="004961B6">
        <w:rPr>
          <w:sz w:val="22"/>
          <w:szCs w:val="22"/>
        </w:rPr>
        <w:t>-Turbo housebuilding accelerator programme, which is expected to become law in the Autumn of 2025 and is due to run until 2030.</w:t>
      </w:r>
      <w:r w:rsidRPr="004961B6">
        <w:rPr>
          <w:rStyle w:val="FootnoteAnchor"/>
          <w:sz w:val="22"/>
          <w:szCs w:val="22"/>
        </w:rPr>
        <w:footnoteReference w:id="39"/>
      </w:r>
      <w:r w:rsidRPr="004961B6">
        <w:rPr>
          <w:sz w:val="22"/>
          <w:szCs w:val="22"/>
        </w:rPr>
        <w:t xml:space="preserve"> Under the </w:t>
      </w:r>
      <w:proofErr w:type="spellStart"/>
      <w:r w:rsidRPr="004961B6">
        <w:rPr>
          <w:sz w:val="22"/>
          <w:szCs w:val="22"/>
        </w:rPr>
        <w:t>Wohnungsbau</w:t>
      </w:r>
      <w:proofErr w:type="spellEnd"/>
      <w:r w:rsidRPr="004961B6">
        <w:rPr>
          <w:sz w:val="22"/>
          <w:szCs w:val="22"/>
        </w:rPr>
        <w:t>-Turbo the government is seeking to speed up the planning and approval procedures for housebuilding to drive the delivery of hundreds of thousands of new homes per year</w:t>
      </w:r>
      <w:r w:rsidRPr="004961B6">
        <w:rPr>
          <w:rStyle w:val="FootnoteAnchor"/>
          <w:sz w:val="22"/>
          <w:szCs w:val="22"/>
        </w:rPr>
        <w:footnoteReference w:id="40"/>
      </w:r>
      <w:r w:rsidRPr="004961B6">
        <w:rPr>
          <w:sz w:val="22"/>
          <w:szCs w:val="22"/>
        </w:rPr>
        <w:t xml:space="preserve"> through, in particular, enabling quicker construction, greater densification, and allowing building owners to more easily add additional floors to their buildings.</w:t>
      </w:r>
      <w:r w:rsidRPr="004961B6">
        <w:rPr>
          <w:rStyle w:val="FootnoteAnchor"/>
          <w:sz w:val="22"/>
          <w:szCs w:val="22"/>
        </w:rPr>
        <w:footnoteReference w:id="41"/>
      </w:r>
      <w:r w:rsidRPr="004961B6">
        <w:rPr>
          <w:sz w:val="22"/>
          <w:szCs w:val="22"/>
        </w:rPr>
        <w:t xml:space="preserve"> Whilst this policy is intended to alleviate Germany’s housing crisis and promote the delivery of affordable homes, concerns have been raised regarding the environmental damage that this level of housing construction might cause, particular in light of the existing lack of comprehensive environmental regulations covering the construction sector.</w:t>
      </w:r>
    </w:p>
    <w:p w14:paraId="07657732" w14:textId="77777777" w:rsidR="00A63F91" w:rsidRPr="004961B6" w:rsidRDefault="00A63F91" w:rsidP="00A63F91">
      <w:pPr>
        <w:jc w:val="both"/>
        <w:rPr>
          <w:sz w:val="22"/>
          <w:szCs w:val="22"/>
        </w:rPr>
      </w:pPr>
    </w:p>
    <w:p w14:paraId="5A9A6119" w14:textId="77777777" w:rsidR="00A63F91" w:rsidRPr="004961B6" w:rsidRDefault="00A63F91" w:rsidP="00A63F91">
      <w:pPr>
        <w:jc w:val="both"/>
        <w:rPr>
          <w:sz w:val="22"/>
          <w:szCs w:val="22"/>
        </w:rPr>
      </w:pPr>
      <w:r w:rsidRPr="004961B6">
        <w:rPr>
          <w:sz w:val="22"/>
          <w:szCs w:val="22"/>
        </w:rPr>
        <w:t>Whilst the government does provide supports, including direct funding and low-cost credit, for the construction of more climate friendly housing, the standard it is currently utilising is the EH55 standard, wherein new buildings must limit their energy consumption to a maximum of 55% of that of a conventional new building.</w:t>
      </w:r>
      <w:r w:rsidRPr="004961B6">
        <w:rPr>
          <w:rStyle w:val="FootnoteAnchor"/>
          <w:sz w:val="22"/>
          <w:szCs w:val="22"/>
        </w:rPr>
        <w:footnoteReference w:id="42"/>
      </w:r>
      <w:r w:rsidRPr="004961B6">
        <w:rPr>
          <w:sz w:val="22"/>
          <w:szCs w:val="22"/>
        </w:rPr>
        <w:t xml:space="preserve"> However, advocates have noted that this standard is less stringent than should be required, given the scale of the global climate emergency, and, instead, the government should be requiring new buildings to limit their energy consumption to at most 40% of that of a conventional new building.</w:t>
      </w:r>
      <w:r w:rsidRPr="004961B6">
        <w:rPr>
          <w:rStyle w:val="FootnoteAnchor"/>
          <w:sz w:val="22"/>
          <w:szCs w:val="22"/>
        </w:rPr>
        <w:footnoteReference w:id="43"/>
      </w:r>
      <w:r w:rsidRPr="004961B6">
        <w:rPr>
          <w:sz w:val="22"/>
          <w:szCs w:val="22"/>
        </w:rPr>
        <w:t xml:space="preserve"> Indeed, the government had intended to introduce the EH40 standard in 2025,</w:t>
      </w:r>
      <w:r w:rsidRPr="004961B6">
        <w:rPr>
          <w:rStyle w:val="FootnoteAnchor"/>
          <w:sz w:val="22"/>
          <w:szCs w:val="22"/>
        </w:rPr>
        <w:footnoteReference w:id="44"/>
      </w:r>
      <w:r w:rsidRPr="004961B6">
        <w:rPr>
          <w:sz w:val="22"/>
          <w:szCs w:val="22"/>
        </w:rPr>
        <w:t xml:space="preserve"> however it has decided to temporarily maintain the EH55 standard to encourage construction.</w:t>
      </w:r>
      <w:r w:rsidRPr="004961B6">
        <w:rPr>
          <w:rStyle w:val="FootnoteAnchor"/>
          <w:sz w:val="22"/>
          <w:szCs w:val="22"/>
        </w:rPr>
        <w:footnoteReference w:id="45"/>
      </w:r>
      <w:r w:rsidRPr="004961B6">
        <w:rPr>
          <w:sz w:val="22"/>
          <w:szCs w:val="22"/>
        </w:rPr>
        <w:t xml:space="preserve"> Furthermore, the EH55 standard entirely ignores embodied carbon emissions which lack any form of binding regulation in Germany.</w:t>
      </w:r>
      <w:r w:rsidRPr="004961B6">
        <w:rPr>
          <w:rStyle w:val="FootnoteAnchor"/>
          <w:sz w:val="22"/>
          <w:szCs w:val="22"/>
        </w:rPr>
        <w:footnoteReference w:id="46"/>
      </w:r>
      <w:r w:rsidRPr="004961B6">
        <w:rPr>
          <w:sz w:val="22"/>
          <w:szCs w:val="22"/>
        </w:rPr>
        <w:t xml:space="preserve"> This is highly concerning given that embodied carbon emissions can equate to almost half of a building’s whole life carbon emissions.</w:t>
      </w:r>
      <w:r w:rsidRPr="004961B6">
        <w:rPr>
          <w:rStyle w:val="FootnoteAnchor"/>
          <w:sz w:val="22"/>
          <w:szCs w:val="22"/>
        </w:rPr>
        <w:footnoteReference w:id="47"/>
      </w:r>
    </w:p>
    <w:p w14:paraId="6F8BF52A" w14:textId="77777777" w:rsidR="00A63F91" w:rsidRPr="004961B6" w:rsidRDefault="00A63F91" w:rsidP="00A63F91">
      <w:pPr>
        <w:jc w:val="both"/>
        <w:rPr>
          <w:sz w:val="22"/>
          <w:szCs w:val="22"/>
        </w:rPr>
      </w:pPr>
    </w:p>
    <w:p w14:paraId="67493A7A" w14:textId="77777777" w:rsidR="00A63F91" w:rsidRPr="004961B6" w:rsidRDefault="00A63F91" w:rsidP="00A63F91">
      <w:pPr>
        <w:jc w:val="both"/>
        <w:rPr>
          <w:sz w:val="22"/>
          <w:szCs w:val="22"/>
        </w:rPr>
      </w:pPr>
      <w:r w:rsidRPr="004961B6">
        <w:rPr>
          <w:sz w:val="22"/>
          <w:szCs w:val="22"/>
        </w:rPr>
        <w:t xml:space="preserve">The German government should carefully consider its existing plans </w:t>
      </w:r>
      <w:proofErr w:type="gramStart"/>
      <w:r w:rsidRPr="004961B6">
        <w:rPr>
          <w:sz w:val="22"/>
          <w:szCs w:val="22"/>
        </w:rPr>
        <w:t>in light of</w:t>
      </w:r>
      <w:proofErr w:type="gramEnd"/>
      <w:r w:rsidRPr="004961B6">
        <w:rPr>
          <w:sz w:val="22"/>
          <w:szCs w:val="22"/>
        </w:rPr>
        <w:t xml:space="preserve"> its climate and human rights commitments, recognising the intrinsic link between the two. Where necessary, it should take measures to redesign plans to ensure maximum efficacy and avoid undoing progress </w:t>
      </w:r>
      <w:r w:rsidRPr="004961B6">
        <w:rPr>
          <w:sz w:val="22"/>
          <w:szCs w:val="22"/>
        </w:rPr>
        <w:lastRenderedPageBreak/>
        <w:t xml:space="preserve">on emissions reduction and the enjoyment of human rights. </w:t>
      </w:r>
      <w:proofErr w:type="gramStart"/>
      <w:r w:rsidRPr="004961B6">
        <w:rPr>
          <w:sz w:val="22"/>
          <w:szCs w:val="22"/>
        </w:rPr>
        <w:t>In particular, it</w:t>
      </w:r>
      <w:proofErr w:type="gramEnd"/>
      <w:r w:rsidRPr="004961B6">
        <w:rPr>
          <w:sz w:val="22"/>
          <w:szCs w:val="22"/>
        </w:rPr>
        <w:t xml:space="preserve"> should take measures to strengthen its retrofit programme, ensure any new housing construction is solely directed towards those with the greatest housing need, and firm up environmental standards in the housing construction sector to regulate both operational and embodied carbon emissions effectively. </w:t>
      </w:r>
      <w:proofErr w:type="gramStart"/>
      <w:r w:rsidRPr="004961B6">
        <w:rPr>
          <w:sz w:val="22"/>
          <w:szCs w:val="22"/>
        </w:rPr>
        <w:t>With this in mind, the</w:t>
      </w:r>
      <w:proofErr w:type="gramEnd"/>
      <w:r w:rsidRPr="004961B6">
        <w:rPr>
          <w:sz w:val="22"/>
          <w:szCs w:val="22"/>
        </w:rPr>
        <w:t xml:space="preserve"> Committee should consider asking the government the following questions:</w:t>
      </w:r>
    </w:p>
    <w:p w14:paraId="7F553BA6" w14:textId="77777777" w:rsidR="00A63F91" w:rsidRPr="004961B6" w:rsidRDefault="00A63F91" w:rsidP="00A63F91">
      <w:pPr>
        <w:jc w:val="both"/>
        <w:rPr>
          <w:sz w:val="22"/>
          <w:szCs w:val="22"/>
        </w:rPr>
      </w:pPr>
    </w:p>
    <w:p w14:paraId="03DE4DA3" w14:textId="77777777" w:rsidR="00A63F91" w:rsidRPr="004961B6" w:rsidRDefault="00A63F91" w:rsidP="00A63F91">
      <w:pPr>
        <w:pStyle w:val="ListParagraph"/>
        <w:numPr>
          <w:ilvl w:val="0"/>
          <w:numId w:val="21"/>
        </w:numPr>
        <w:contextualSpacing/>
        <w:jc w:val="both"/>
        <w:rPr>
          <w:b/>
          <w:bCs/>
          <w:sz w:val="22"/>
          <w:szCs w:val="22"/>
        </w:rPr>
      </w:pPr>
      <w:r w:rsidRPr="004961B6">
        <w:rPr>
          <w:b/>
          <w:bCs/>
          <w:sz w:val="22"/>
          <w:szCs w:val="22"/>
        </w:rPr>
        <w:t>When will the government introduce legislation aimed at effectively regulating embodied carbon emissions in the buildings sector?</w:t>
      </w:r>
    </w:p>
    <w:p w14:paraId="02552323" w14:textId="77777777" w:rsidR="00A63F91" w:rsidRPr="004961B6" w:rsidRDefault="00A63F91" w:rsidP="00A63F91">
      <w:pPr>
        <w:pStyle w:val="ListParagraph"/>
        <w:jc w:val="both"/>
        <w:rPr>
          <w:b/>
          <w:bCs/>
          <w:sz w:val="22"/>
          <w:szCs w:val="22"/>
        </w:rPr>
      </w:pPr>
    </w:p>
    <w:p w14:paraId="17319CAE" w14:textId="77777777" w:rsidR="00A63F91" w:rsidRPr="004961B6" w:rsidRDefault="00A63F91" w:rsidP="00A63F91">
      <w:pPr>
        <w:pStyle w:val="ListParagraph"/>
        <w:numPr>
          <w:ilvl w:val="0"/>
          <w:numId w:val="21"/>
        </w:numPr>
        <w:contextualSpacing/>
        <w:jc w:val="both"/>
        <w:rPr>
          <w:b/>
          <w:bCs/>
          <w:sz w:val="22"/>
          <w:szCs w:val="22"/>
        </w:rPr>
      </w:pPr>
      <w:r w:rsidRPr="004961B6">
        <w:rPr>
          <w:b/>
          <w:bCs/>
          <w:sz w:val="22"/>
          <w:szCs w:val="22"/>
        </w:rPr>
        <w:t>When will the government introduce the EH40 standard for housing construction and how does it intend to ensure the continuation of the EH55 standard does not undermine its efforts to fully decarbonise?</w:t>
      </w:r>
    </w:p>
    <w:p w14:paraId="65548412" w14:textId="77777777" w:rsidR="00A63F91" w:rsidRPr="004961B6" w:rsidRDefault="00A63F91" w:rsidP="00A63F91">
      <w:pPr>
        <w:pStyle w:val="ListParagraph"/>
        <w:rPr>
          <w:b/>
          <w:bCs/>
          <w:sz w:val="22"/>
          <w:szCs w:val="22"/>
        </w:rPr>
      </w:pPr>
    </w:p>
    <w:p w14:paraId="765B949B" w14:textId="77777777" w:rsidR="00A63F91" w:rsidRPr="004961B6" w:rsidRDefault="00A63F91" w:rsidP="00A63F91">
      <w:pPr>
        <w:pStyle w:val="ListParagraph"/>
        <w:numPr>
          <w:ilvl w:val="0"/>
          <w:numId w:val="21"/>
        </w:numPr>
        <w:contextualSpacing/>
        <w:jc w:val="both"/>
        <w:rPr>
          <w:b/>
          <w:bCs/>
          <w:sz w:val="22"/>
          <w:szCs w:val="22"/>
        </w:rPr>
      </w:pPr>
      <w:r w:rsidRPr="004961B6">
        <w:rPr>
          <w:b/>
          <w:bCs/>
          <w:sz w:val="22"/>
          <w:szCs w:val="22"/>
        </w:rPr>
        <w:t>How will the government ensure that new construction is targeted at those with the greatest housing need?</w:t>
      </w:r>
    </w:p>
    <w:p w14:paraId="3260F7FE" w14:textId="77777777" w:rsidR="00A63F91" w:rsidRPr="004961B6" w:rsidRDefault="00A63F91" w:rsidP="00A63F91">
      <w:pPr>
        <w:jc w:val="both"/>
        <w:rPr>
          <w:b/>
          <w:bCs/>
          <w:sz w:val="22"/>
          <w:szCs w:val="22"/>
        </w:rPr>
      </w:pPr>
    </w:p>
    <w:p w14:paraId="4D16A483" w14:textId="77777777" w:rsidR="00A63F91" w:rsidRPr="004961B6" w:rsidRDefault="00A63F91" w:rsidP="00A63F91">
      <w:pPr>
        <w:pStyle w:val="ListParagraph"/>
        <w:numPr>
          <w:ilvl w:val="0"/>
          <w:numId w:val="21"/>
        </w:numPr>
        <w:contextualSpacing/>
        <w:jc w:val="both"/>
        <w:rPr>
          <w:b/>
          <w:bCs/>
          <w:sz w:val="22"/>
          <w:szCs w:val="22"/>
        </w:rPr>
      </w:pPr>
      <w:r w:rsidRPr="004961B6">
        <w:rPr>
          <w:b/>
          <w:bCs/>
          <w:sz w:val="22"/>
          <w:szCs w:val="22"/>
        </w:rPr>
        <w:t>How will the government promote and strengthen tenant protections in the specific context of housing decarbonisation?</w:t>
      </w:r>
    </w:p>
    <w:p w14:paraId="78B21C3D" w14:textId="77777777" w:rsidR="00A63F91" w:rsidRPr="004961B6" w:rsidRDefault="00A63F91" w:rsidP="00A63F91">
      <w:pPr>
        <w:jc w:val="both"/>
        <w:rPr>
          <w:b/>
          <w:bCs/>
          <w:sz w:val="22"/>
          <w:szCs w:val="22"/>
        </w:rPr>
      </w:pPr>
    </w:p>
    <w:p w14:paraId="63F24A84" w14:textId="77777777" w:rsidR="00A63F91" w:rsidRPr="004961B6" w:rsidRDefault="00A63F91" w:rsidP="00A63F91">
      <w:pPr>
        <w:pStyle w:val="ListParagraph"/>
        <w:numPr>
          <w:ilvl w:val="0"/>
          <w:numId w:val="21"/>
        </w:numPr>
        <w:contextualSpacing/>
        <w:jc w:val="both"/>
        <w:rPr>
          <w:b/>
          <w:bCs/>
          <w:sz w:val="22"/>
          <w:szCs w:val="22"/>
        </w:rPr>
      </w:pPr>
      <w:r w:rsidRPr="004961B6">
        <w:rPr>
          <w:b/>
          <w:bCs/>
          <w:sz w:val="22"/>
          <w:szCs w:val="22"/>
        </w:rPr>
        <w:t>What measures will the government take to speed up housing climate retrofit and set targets which reflect the best scientific data?</w:t>
      </w:r>
    </w:p>
    <w:p w14:paraId="61219B9E" w14:textId="77777777" w:rsidR="00A63F91" w:rsidRPr="004961B6" w:rsidRDefault="00A63F91" w:rsidP="00A63F91">
      <w:pPr>
        <w:jc w:val="both"/>
        <w:rPr>
          <w:sz w:val="22"/>
          <w:szCs w:val="22"/>
        </w:rPr>
      </w:pPr>
    </w:p>
    <w:p w14:paraId="615BEB4A" w14:textId="77777777" w:rsidR="00A63F91" w:rsidRPr="004961B6" w:rsidRDefault="00A63F91" w:rsidP="00A63F91">
      <w:pPr>
        <w:jc w:val="both"/>
        <w:rPr>
          <w:sz w:val="22"/>
          <w:szCs w:val="22"/>
        </w:rPr>
      </w:pPr>
    </w:p>
    <w:p w14:paraId="1E5E6F7E" w14:textId="77777777" w:rsidR="00A63F91" w:rsidRPr="004961B6" w:rsidRDefault="00A63F91" w:rsidP="00A63F91">
      <w:pPr>
        <w:jc w:val="both"/>
        <w:rPr>
          <w:b/>
          <w:bCs/>
          <w:sz w:val="22"/>
          <w:szCs w:val="22"/>
        </w:rPr>
      </w:pPr>
    </w:p>
    <w:p w14:paraId="27E8070C" w14:textId="77777777" w:rsidR="00A63F91" w:rsidRPr="004961B6" w:rsidRDefault="00A63F91" w:rsidP="00A63F91">
      <w:pPr>
        <w:pStyle w:val="ListParagraph"/>
        <w:numPr>
          <w:ilvl w:val="0"/>
          <w:numId w:val="18"/>
        </w:numPr>
        <w:contextualSpacing/>
        <w:jc w:val="both"/>
        <w:rPr>
          <w:b/>
          <w:bCs/>
          <w:sz w:val="22"/>
          <w:szCs w:val="22"/>
        </w:rPr>
      </w:pPr>
      <w:r w:rsidRPr="004961B6">
        <w:rPr>
          <w:b/>
          <w:bCs/>
          <w:sz w:val="22"/>
          <w:szCs w:val="22"/>
        </w:rPr>
        <w:t>Support of Israel’s Breaches of Palestinians’ Human Rights</w:t>
      </w:r>
    </w:p>
    <w:p w14:paraId="0B631BC6" w14:textId="77777777" w:rsidR="00A63F91" w:rsidRPr="004961B6" w:rsidRDefault="00A63F91" w:rsidP="00A63F91">
      <w:pPr>
        <w:jc w:val="both"/>
        <w:rPr>
          <w:sz w:val="22"/>
          <w:szCs w:val="22"/>
        </w:rPr>
      </w:pPr>
    </w:p>
    <w:p w14:paraId="742D282F" w14:textId="77777777" w:rsidR="00A63F91" w:rsidRPr="004961B6" w:rsidRDefault="00A63F91" w:rsidP="00A63F91">
      <w:pPr>
        <w:jc w:val="both"/>
        <w:rPr>
          <w:sz w:val="22"/>
          <w:szCs w:val="22"/>
        </w:rPr>
      </w:pPr>
      <w:r w:rsidRPr="004961B6">
        <w:rPr>
          <w:sz w:val="22"/>
          <w:szCs w:val="22"/>
        </w:rPr>
        <w:t>The Shift is deeply concerned about the German government’s support of Israel’s ongoing breaches of international law against the Palestinian people, including breaches of their human rights. This includes the German government supporting the transfer of weapons to Israel, which it has been noted is ‘likely to have enabled deliberate, disproportionate and indiscriminate attacks in Gaza by the Israeli military’,</w:t>
      </w:r>
      <w:r w:rsidRPr="004961B6">
        <w:rPr>
          <w:rStyle w:val="FootnoteAnchor"/>
          <w:sz w:val="22"/>
          <w:szCs w:val="22"/>
        </w:rPr>
        <w:footnoteReference w:id="48"/>
      </w:r>
      <w:r w:rsidRPr="004961B6">
        <w:rPr>
          <w:sz w:val="22"/>
          <w:szCs w:val="22"/>
        </w:rPr>
        <w:t xml:space="preserve"> the silencing of pro-Palestinian activists, including through their arrest,</w:t>
      </w:r>
      <w:r w:rsidRPr="004961B6">
        <w:rPr>
          <w:rStyle w:val="FootnoteAnchor"/>
          <w:sz w:val="22"/>
          <w:szCs w:val="22"/>
        </w:rPr>
        <w:footnoteReference w:id="49"/>
      </w:r>
      <w:r w:rsidRPr="004961B6">
        <w:rPr>
          <w:sz w:val="22"/>
          <w:szCs w:val="22"/>
        </w:rPr>
        <w:t xml:space="preserve"> and the classification of the Boycott, Divest, and Sanction movement as a ‘suspected extremist threat’ by Germany’s federal intelligence service.</w:t>
      </w:r>
      <w:r w:rsidRPr="004961B6">
        <w:rPr>
          <w:rStyle w:val="FootnoteAnchor"/>
          <w:sz w:val="22"/>
          <w:szCs w:val="22"/>
        </w:rPr>
        <w:footnoteReference w:id="50"/>
      </w:r>
    </w:p>
    <w:p w14:paraId="036B8831" w14:textId="77777777" w:rsidR="00A63F91" w:rsidRPr="004961B6" w:rsidRDefault="00A63F91" w:rsidP="00A63F91">
      <w:pPr>
        <w:jc w:val="both"/>
        <w:rPr>
          <w:sz w:val="22"/>
          <w:szCs w:val="22"/>
        </w:rPr>
      </w:pPr>
    </w:p>
    <w:p w14:paraId="4F546FAE" w14:textId="77777777" w:rsidR="00A63F91" w:rsidRPr="004961B6" w:rsidRDefault="00A63F91" w:rsidP="00A63F91">
      <w:pPr>
        <w:jc w:val="both"/>
        <w:rPr>
          <w:sz w:val="22"/>
          <w:szCs w:val="22"/>
        </w:rPr>
      </w:pPr>
      <w:r w:rsidRPr="004961B6">
        <w:rPr>
          <w:sz w:val="22"/>
          <w:szCs w:val="22"/>
        </w:rPr>
        <w:t>Germany’s support of the Israeli government enables gross violations of international human rights law and international humanitarian law, including the right to adequate housing. Latest figures available show that 92% of homes in Gaza have been destroyed or damaged</w:t>
      </w:r>
      <w:r w:rsidRPr="004961B6">
        <w:rPr>
          <w:rStyle w:val="FootnoteReference"/>
          <w:sz w:val="22"/>
          <w:szCs w:val="22"/>
        </w:rPr>
        <w:footnoteReference w:id="51"/>
      </w:r>
      <w:r w:rsidRPr="004961B6">
        <w:rPr>
          <w:sz w:val="22"/>
          <w:szCs w:val="22"/>
        </w:rPr>
        <w:t xml:space="preserve"> and even where people have sought to create makeshift housing in tents and schools, these too have been bombed. The result is that Palestinians in Gaza are left with nowhere they can live in peace, security and dignity. Whilst, prior to the escalation of hostilities in Gaza, there was almost no homelessness, at least 2 million people now lack access to a home.</w:t>
      </w:r>
      <w:r w:rsidRPr="004961B6">
        <w:rPr>
          <w:rStyle w:val="FootnoteAnchor"/>
          <w:sz w:val="22"/>
          <w:szCs w:val="22"/>
        </w:rPr>
        <w:footnoteReference w:id="52"/>
      </w:r>
      <w:r w:rsidRPr="004961B6">
        <w:rPr>
          <w:sz w:val="22"/>
          <w:szCs w:val="22"/>
        </w:rPr>
        <w:t xml:space="preserve"> Similarly, in the West Bank, the right to housing </w:t>
      </w:r>
      <w:r w:rsidRPr="004961B6">
        <w:rPr>
          <w:sz w:val="22"/>
          <w:szCs w:val="22"/>
        </w:rPr>
        <w:lastRenderedPageBreak/>
        <w:t>is being systematically violated by Israel, including through the rapid expansion of illegal settlements and the violent displacement of Palestinians. Whilst Chancellor Merz has recently called on Israel to halt its offensive in Gaza,</w:t>
      </w:r>
      <w:r w:rsidRPr="004961B6">
        <w:rPr>
          <w:rStyle w:val="FootnoteAnchor"/>
          <w:sz w:val="22"/>
          <w:szCs w:val="22"/>
        </w:rPr>
        <w:footnoteReference w:id="53"/>
      </w:r>
      <w:r w:rsidRPr="004961B6">
        <w:rPr>
          <w:sz w:val="22"/>
          <w:szCs w:val="22"/>
        </w:rPr>
        <w:t xml:space="preserve"> and the German Foreign Minister, Johann </w:t>
      </w:r>
      <w:proofErr w:type="spellStart"/>
      <w:r w:rsidRPr="004961B6">
        <w:rPr>
          <w:sz w:val="22"/>
          <w:szCs w:val="22"/>
        </w:rPr>
        <w:t>Wadephul</w:t>
      </w:r>
      <w:proofErr w:type="spellEnd"/>
      <w:r w:rsidRPr="004961B6">
        <w:rPr>
          <w:sz w:val="22"/>
          <w:szCs w:val="22"/>
        </w:rPr>
        <w:t>, has recently publicly condemned the expansion of settlements in the West Bank,</w:t>
      </w:r>
      <w:r w:rsidRPr="004961B6">
        <w:rPr>
          <w:rStyle w:val="FootnoteAnchor"/>
          <w:sz w:val="22"/>
          <w:szCs w:val="22"/>
        </w:rPr>
        <w:footnoteReference w:id="54"/>
      </w:r>
      <w:r w:rsidRPr="004961B6">
        <w:rPr>
          <w:sz w:val="22"/>
          <w:szCs w:val="22"/>
        </w:rPr>
        <w:t xml:space="preserve"> under the ICESCR, the Government of Germany has an obligation to ensure its actions, and the actions of businesses under its jurisdiction, do not interfere with the enjoyment of economic, social and cultural rights outside of its jurisdiction.</w:t>
      </w:r>
      <w:r w:rsidRPr="004961B6">
        <w:rPr>
          <w:rStyle w:val="FootnoteAnchor"/>
          <w:sz w:val="22"/>
          <w:szCs w:val="22"/>
        </w:rPr>
        <w:footnoteReference w:id="55"/>
      </w:r>
      <w:r w:rsidRPr="004961B6">
        <w:rPr>
          <w:sz w:val="22"/>
          <w:szCs w:val="22"/>
        </w:rPr>
        <w:t xml:space="preserve"> By continuing to provide support to the State of Israel, particularly by enabling the provision of weapons, the Government of Germany must be regarded as in breach of this obligation.</w:t>
      </w:r>
    </w:p>
    <w:p w14:paraId="754D42AB" w14:textId="77777777" w:rsidR="00A63F91" w:rsidRPr="004961B6" w:rsidRDefault="00A63F91" w:rsidP="00A63F91">
      <w:pPr>
        <w:jc w:val="both"/>
        <w:rPr>
          <w:sz w:val="22"/>
          <w:szCs w:val="22"/>
        </w:rPr>
      </w:pPr>
    </w:p>
    <w:p w14:paraId="30039FDF" w14:textId="77777777" w:rsidR="00A63F91" w:rsidRPr="004961B6" w:rsidRDefault="00A63F91" w:rsidP="00A63F91">
      <w:pPr>
        <w:jc w:val="both"/>
        <w:rPr>
          <w:sz w:val="22"/>
          <w:szCs w:val="22"/>
        </w:rPr>
      </w:pPr>
      <w:r w:rsidRPr="004961B6">
        <w:rPr>
          <w:sz w:val="22"/>
          <w:szCs w:val="22"/>
        </w:rPr>
        <w:t>Recognising the State of Israel’s continued gross violations of human rights against Palestinians, and taking account of the Advisory Opinion of the International Court of Justice which makes clear that Israel’s continued presence in the Occupied Palestinian Territories is unlawful, the Committee should consider asking the German Government the following questions related to its continued support of the Israeli government:</w:t>
      </w:r>
    </w:p>
    <w:p w14:paraId="1618EA55" w14:textId="77777777" w:rsidR="00A63F91" w:rsidRPr="004961B6" w:rsidRDefault="00A63F91" w:rsidP="00A63F91">
      <w:pPr>
        <w:jc w:val="both"/>
        <w:rPr>
          <w:b/>
          <w:bCs/>
          <w:sz w:val="22"/>
          <w:szCs w:val="22"/>
        </w:rPr>
      </w:pPr>
    </w:p>
    <w:p w14:paraId="54E27AD2" w14:textId="77777777" w:rsidR="00A63F91" w:rsidRPr="004961B6" w:rsidRDefault="00A63F91" w:rsidP="00A63F91">
      <w:pPr>
        <w:pStyle w:val="ListParagraph"/>
        <w:numPr>
          <w:ilvl w:val="0"/>
          <w:numId w:val="22"/>
        </w:numPr>
        <w:contextualSpacing/>
        <w:jc w:val="both"/>
        <w:rPr>
          <w:b/>
          <w:bCs/>
          <w:sz w:val="22"/>
          <w:szCs w:val="22"/>
        </w:rPr>
      </w:pPr>
      <w:r w:rsidRPr="004961B6">
        <w:rPr>
          <w:b/>
          <w:bCs/>
          <w:sz w:val="22"/>
          <w:szCs w:val="22"/>
        </w:rPr>
        <w:t>What steps will Germany take to end Israel’s genocide against the Palestinian people?</w:t>
      </w:r>
    </w:p>
    <w:p w14:paraId="0F8EB01F" w14:textId="77777777" w:rsidR="00A63F91" w:rsidRPr="004961B6" w:rsidRDefault="00A63F91" w:rsidP="00A63F91">
      <w:pPr>
        <w:pStyle w:val="ListParagraph"/>
        <w:jc w:val="both"/>
        <w:rPr>
          <w:b/>
          <w:bCs/>
          <w:sz w:val="22"/>
          <w:szCs w:val="22"/>
        </w:rPr>
      </w:pPr>
    </w:p>
    <w:p w14:paraId="700742F7" w14:textId="77777777" w:rsidR="00A63F91" w:rsidRPr="004961B6" w:rsidRDefault="00A63F91" w:rsidP="00A63F91">
      <w:pPr>
        <w:pStyle w:val="ListParagraph"/>
        <w:numPr>
          <w:ilvl w:val="0"/>
          <w:numId w:val="22"/>
        </w:numPr>
        <w:contextualSpacing/>
        <w:jc w:val="both"/>
        <w:rPr>
          <w:b/>
          <w:bCs/>
          <w:sz w:val="22"/>
          <w:szCs w:val="22"/>
        </w:rPr>
      </w:pPr>
      <w:r w:rsidRPr="004961B6">
        <w:rPr>
          <w:b/>
          <w:bCs/>
          <w:sz w:val="22"/>
          <w:szCs w:val="22"/>
        </w:rPr>
        <w:t>What steps will Germany take to restore the right to adequate housing to Palestinians in Gaza, in keeping with both international human rights and international humanitarian law?</w:t>
      </w:r>
    </w:p>
    <w:p w14:paraId="61A0F64A" w14:textId="77777777" w:rsidR="00A63F91" w:rsidRPr="004961B6" w:rsidRDefault="00A63F91" w:rsidP="00A63F91">
      <w:pPr>
        <w:pStyle w:val="ListParagraph"/>
        <w:jc w:val="both"/>
        <w:rPr>
          <w:sz w:val="22"/>
          <w:szCs w:val="22"/>
        </w:rPr>
      </w:pPr>
      <w:bookmarkStart w:id="4" w:name="OLE_LINK1"/>
      <w:bookmarkStart w:id="5" w:name="OLE_LINK3"/>
      <w:bookmarkStart w:id="6" w:name="OLE_LINK2"/>
      <w:bookmarkEnd w:id="4"/>
      <w:bookmarkEnd w:id="5"/>
      <w:bookmarkEnd w:id="6"/>
    </w:p>
    <w:p w14:paraId="771558C2" w14:textId="77777777" w:rsidR="00A63F91" w:rsidRPr="004961B6" w:rsidRDefault="00A63F91" w:rsidP="00A63F91">
      <w:pPr>
        <w:pStyle w:val="ListParagraph"/>
        <w:numPr>
          <w:ilvl w:val="0"/>
          <w:numId w:val="22"/>
        </w:numPr>
        <w:contextualSpacing/>
        <w:jc w:val="both"/>
        <w:rPr>
          <w:sz w:val="22"/>
          <w:szCs w:val="22"/>
        </w:rPr>
      </w:pPr>
      <w:r w:rsidRPr="004961B6">
        <w:rPr>
          <w:b/>
          <w:bCs/>
          <w:sz w:val="22"/>
          <w:szCs w:val="22"/>
        </w:rPr>
        <w:t>What measures will the German government take to end the illegal Israeli occupation of Palestinian territory, including the unlawful seizure of land in the West Bank?</w:t>
      </w:r>
    </w:p>
    <w:p w14:paraId="4C867DCD" w14:textId="77777777" w:rsidR="00185AD1" w:rsidRPr="00D622DF" w:rsidRDefault="00185AD1" w:rsidP="00D622DF">
      <w:pPr>
        <w:rPr>
          <w:rStyle w:val="Strong"/>
          <w:b w:val="0"/>
          <w:bCs w:val="0"/>
        </w:rPr>
      </w:pPr>
    </w:p>
    <w:sectPr w:rsidR="00185AD1" w:rsidRPr="00D622DF">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755DB" w14:textId="77777777" w:rsidR="00F36134" w:rsidRDefault="00F36134" w:rsidP="0012718B">
      <w:r>
        <w:separator/>
      </w:r>
    </w:p>
  </w:endnote>
  <w:endnote w:type="continuationSeparator" w:id="0">
    <w:p w14:paraId="4A81531B" w14:textId="77777777" w:rsidR="00F36134" w:rsidRDefault="00F36134" w:rsidP="0012718B">
      <w:r>
        <w:continuationSeparator/>
      </w:r>
    </w:p>
  </w:endnote>
  <w:endnote w:type="continuationNotice" w:id="1">
    <w:p w14:paraId="5C178B72" w14:textId="77777777" w:rsidR="00F36134" w:rsidRDefault="00F361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TimesNewRoman">
    <w:altName w:val="Times New Roman"/>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Mono">
    <w:altName w:val="Courier New"/>
    <w:panose1 w:val="020B0604020202020204"/>
    <w:charset w:val="01"/>
    <w:family w:val="modern"/>
    <w:pitch w:val="fixed"/>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456385"/>
      <w:docPartObj>
        <w:docPartGallery w:val="Page Numbers (Bottom of Page)"/>
        <w:docPartUnique/>
      </w:docPartObj>
    </w:sdtPr>
    <w:sdtEndPr>
      <w:rPr>
        <w:noProof/>
      </w:rPr>
    </w:sdtEndPr>
    <w:sdtContent>
      <w:p w14:paraId="7B8D0D67" w14:textId="2951EF5C" w:rsidR="00007216" w:rsidRDefault="00007216">
        <w:pPr>
          <w:pStyle w:val="Footer"/>
          <w:jc w:val="right"/>
        </w:pPr>
        <w:r>
          <w:fldChar w:fldCharType="begin"/>
        </w:r>
        <w:r>
          <w:instrText xml:space="preserve"> PAGE   \* MERGEFORMAT </w:instrText>
        </w:r>
        <w:r>
          <w:fldChar w:fldCharType="separate"/>
        </w:r>
        <w:r w:rsidR="00643A3B">
          <w:rPr>
            <w:noProof/>
          </w:rPr>
          <w:t>1</w:t>
        </w:r>
        <w:r>
          <w:rPr>
            <w:noProof/>
          </w:rPr>
          <w:fldChar w:fldCharType="end"/>
        </w:r>
      </w:p>
    </w:sdtContent>
  </w:sdt>
  <w:p w14:paraId="2BE32736" w14:textId="77777777" w:rsidR="00007216" w:rsidRDefault="000072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862FA" w14:textId="77777777" w:rsidR="00F36134" w:rsidRDefault="00F36134" w:rsidP="0012718B">
      <w:r>
        <w:separator/>
      </w:r>
    </w:p>
  </w:footnote>
  <w:footnote w:type="continuationSeparator" w:id="0">
    <w:p w14:paraId="32B98343" w14:textId="77777777" w:rsidR="00F36134" w:rsidRDefault="00F36134" w:rsidP="0012718B">
      <w:r>
        <w:continuationSeparator/>
      </w:r>
    </w:p>
  </w:footnote>
  <w:footnote w:type="continuationNotice" w:id="1">
    <w:p w14:paraId="5B318CB2" w14:textId="77777777" w:rsidR="00F36134" w:rsidRDefault="00F36134"/>
  </w:footnote>
  <w:footnote w:id="2">
    <w:p w14:paraId="08FB0F8E" w14:textId="77777777" w:rsidR="00A63F91" w:rsidRPr="00F97B98" w:rsidRDefault="00A63F91" w:rsidP="00A63F91">
      <w:pPr>
        <w:pStyle w:val="FootnoteText"/>
        <w:rPr>
          <w:rFonts w:ascii="Times New Roman" w:hAnsi="Times New Roman" w:cs="Times New Roman"/>
          <w:color w:val="232A31"/>
          <w:shd w:val="clear" w:color="auto" w:fill="FFFFFF"/>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See, for example, Charles Kingston, ‘Germany reactivates state subsidies to </w:t>
      </w:r>
      <w:proofErr w:type="spellStart"/>
      <w:r w:rsidRPr="00F97B98">
        <w:rPr>
          <w:rFonts w:ascii="Times New Roman" w:hAnsi="Times New Roman" w:cs="Times New Roman"/>
        </w:rPr>
        <w:t>energise</w:t>
      </w:r>
      <w:proofErr w:type="spellEnd"/>
      <w:r w:rsidRPr="00F97B98">
        <w:rPr>
          <w:rFonts w:ascii="Times New Roman" w:hAnsi="Times New Roman" w:cs="Times New Roman"/>
        </w:rPr>
        <w:t xml:space="preserve"> housing construction’ (26</w:t>
      </w:r>
      <w:r w:rsidRPr="00F97B98">
        <w:rPr>
          <w:rFonts w:ascii="Times New Roman" w:hAnsi="Times New Roman" w:cs="Times New Roman"/>
          <w:vertAlign w:val="superscript"/>
        </w:rPr>
        <w:t>th</w:t>
      </w:r>
      <w:r w:rsidRPr="00F97B98">
        <w:rPr>
          <w:rFonts w:ascii="Times New Roman" w:hAnsi="Times New Roman" w:cs="Times New Roman"/>
        </w:rPr>
        <w:t xml:space="preserve"> February 2024) Refire Online, online at: </w:t>
      </w:r>
      <w:hyperlink r:id="rId1" w:history="1">
        <w:r w:rsidRPr="00F97B98">
          <w:rPr>
            <w:rStyle w:val="Hyperlink"/>
            <w:rFonts w:ascii="Times New Roman" w:hAnsi="Times New Roman" w:cs="Times New Roman"/>
          </w:rPr>
          <w:t>https://www.refire-online.com/investment/germany-reactivates-state-subsidies-housing-construction/</w:t>
        </w:r>
      </w:hyperlink>
      <w:r w:rsidRPr="00F97B98">
        <w:rPr>
          <w:rFonts w:ascii="Times New Roman" w:hAnsi="Times New Roman" w:cs="Times New Roman"/>
        </w:rPr>
        <w:t xml:space="preserve">; </w:t>
      </w:r>
      <w:r w:rsidRPr="00F97B98">
        <w:rPr>
          <w:rFonts w:ascii="Times New Roman" w:hAnsi="Times New Roman" w:cs="Times New Roman"/>
          <w:color w:val="232A31"/>
          <w:shd w:val="clear" w:color="auto" w:fill="FFFFFF"/>
        </w:rPr>
        <w:t>Ludwig Burger, Christian Kraemer and Miranda Murray, ‘Germany clears bill to expedite housing construction by cutting red tape’ (18</w:t>
      </w:r>
      <w:r w:rsidRPr="00F97B98">
        <w:rPr>
          <w:rFonts w:ascii="Times New Roman" w:hAnsi="Times New Roman" w:cs="Times New Roman"/>
          <w:color w:val="232A31"/>
          <w:shd w:val="clear" w:color="auto" w:fill="FFFFFF"/>
          <w:vertAlign w:val="superscript"/>
        </w:rPr>
        <w:t>th</w:t>
      </w:r>
      <w:r w:rsidRPr="00F97B98">
        <w:rPr>
          <w:rFonts w:ascii="Times New Roman" w:hAnsi="Times New Roman" w:cs="Times New Roman"/>
          <w:color w:val="232A31"/>
          <w:shd w:val="clear" w:color="auto" w:fill="FFFFFF"/>
        </w:rPr>
        <w:t xml:space="preserve"> June 2025) Reuters, online at: </w:t>
      </w:r>
      <w:hyperlink r:id="rId2" w:history="1">
        <w:r w:rsidRPr="00F97B98">
          <w:rPr>
            <w:rStyle w:val="Hyperlink"/>
            <w:rFonts w:ascii="Times New Roman" w:hAnsi="Times New Roman" w:cs="Times New Roman"/>
          </w:rPr>
          <w:t>https://uk.finance.yahoo.com/news/german-home-building-permits-april-070648520.html</w:t>
        </w:r>
      </w:hyperlink>
    </w:p>
  </w:footnote>
  <w:footnote w:id="3">
    <w:p w14:paraId="22905E7B"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CBRE, ‘Why the German residential sector remains one of our top investment picks’ (27</w:t>
      </w:r>
      <w:r w:rsidRPr="00F97B98">
        <w:rPr>
          <w:rFonts w:ascii="Times New Roman" w:hAnsi="Times New Roman" w:cs="Times New Roman"/>
          <w:vertAlign w:val="superscript"/>
        </w:rPr>
        <w:t>th</w:t>
      </w:r>
      <w:r w:rsidRPr="00F97B98">
        <w:rPr>
          <w:rFonts w:ascii="Times New Roman" w:hAnsi="Times New Roman" w:cs="Times New Roman"/>
        </w:rPr>
        <w:t xml:space="preserve"> January 2025) online at: https://www.cbreim.com/insights/articles/why-the-german-residential-sector-remains-one-of-our-top-investment-picks</w:t>
      </w:r>
    </w:p>
  </w:footnote>
  <w:footnote w:id="4">
    <w:p w14:paraId="17854863"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See, https://www.vonovia.com/en/about-us/company/business-areas/rental</w:t>
      </w:r>
    </w:p>
  </w:footnote>
  <w:footnote w:id="5">
    <w:p w14:paraId="6F36BE2D"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See, https://ir.deutsche-wohnen.com/websites/dewohnen/English/1100/about-deutsche-wohnen-se.html</w:t>
      </w:r>
    </w:p>
  </w:footnote>
  <w:footnote w:id="6">
    <w:p w14:paraId="222AB7BD"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See, https://www.leg-wohnen.de/en/corporation</w:t>
      </w:r>
    </w:p>
  </w:footnote>
  <w:footnote w:id="7">
    <w:p w14:paraId="5BD79D02"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Multifamily investment volumes in the next two largest markets, the UK and the Netherlands, are significantly lower at €10bn and €5bn respectively. See, CBRE, ‘Why the German residential sector remains one of our top investment picks’ (27</w:t>
      </w:r>
      <w:r w:rsidRPr="00F97B98">
        <w:rPr>
          <w:rFonts w:ascii="Times New Roman" w:hAnsi="Times New Roman" w:cs="Times New Roman"/>
          <w:vertAlign w:val="superscript"/>
        </w:rPr>
        <w:t>th</w:t>
      </w:r>
      <w:r w:rsidRPr="00F97B98">
        <w:rPr>
          <w:rFonts w:ascii="Times New Roman" w:hAnsi="Times New Roman" w:cs="Times New Roman"/>
        </w:rPr>
        <w:t xml:space="preserve"> January 2025) online at: https://www.cbreim.com/insights/articles/why-the-german-residential-sector-remains-one-of-our-top-investment-picks</w:t>
      </w:r>
    </w:p>
  </w:footnote>
  <w:footnote w:id="8">
    <w:p w14:paraId="79AF3D46"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CBRE, ‘Why the German residential sector remains one of our top investment picks’ (27</w:t>
      </w:r>
      <w:r w:rsidRPr="00F97B98">
        <w:rPr>
          <w:rFonts w:ascii="Times New Roman" w:hAnsi="Times New Roman" w:cs="Times New Roman"/>
          <w:vertAlign w:val="superscript"/>
        </w:rPr>
        <w:t>th</w:t>
      </w:r>
      <w:r w:rsidRPr="00F97B98">
        <w:rPr>
          <w:rFonts w:ascii="Times New Roman" w:hAnsi="Times New Roman" w:cs="Times New Roman"/>
        </w:rPr>
        <w:t xml:space="preserve"> January 2025) online at: https://www.cbreim.com/insights/articles/why-the-german-residential-sector-remains-one-of-our-top-investment-picks</w:t>
      </w:r>
    </w:p>
  </w:footnote>
  <w:footnote w:id="9">
    <w:p w14:paraId="52CEA7AE"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Hogan Lovells, ‘Politics of housing in Germany’ (19</w:t>
      </w:r>
      <w:r w:rsidRPr="00F97B98">
        <w:rPr>
          <w:rFonts w:ascii="Times New Roman" w:hAnsi="Times New Roman" w:cs="Times New Roman"/>
          <w:vertAlign w:val="superscript"/>
        </w:rPr>
        <w:t>th</w:t>
      </w:r>
      <w:r w:rsidRPr="00F97B98">
        <w:rPr>
          <w:rFonts w:ascii="Times New Roman" w:hAnsi="Times New Roman" w:cs="Times New Roman"/>
        </w:rPr>
        <w:t xml:space="preserve"> May 2025) online at: https://www.hoganlovells.com/en/publications/politics-of-housing-in-germany</w:t>
      </w:r>
    </w:p>
  </w:footnote>
  <w:footnote w:id="10">
    <w:p w14:paraId="5D03A4C9"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Alexander Vasudevan, ‘Berlin’s vote to take properties from big landlords could be a watershed moment’ (29</w:t>
      </w:r>
      <w:r w:rsidRPr="00F97B98">
        <w:rPr>
          <w:rFonts w:ascii="Times New Roman" w:hAnsi="Times New Roman" w:cs="Times New Roman"/>
          <w:vertAlign w:val="superscript"/>
        </w:rPr>
        <w:t>th</w:t>
      </w:r>
      <w:r w:rsidRPr="00F97B98">
        <w:rPr>
          <w:rFonts w:ascii="Times New Roman" w:hAnsi="Times New Roman" w:cs="Times New Roman"/>
        </w:rPr>
        <w:t xml:space="preserve"> September 2021) The Guardian, online at: </w:t>
      </w:r>
      <w:hyperlink r:id="rId3" w:history="1">
        <w:r w:rsidRPr="00F97B98">
          <w:rPr>
            <w:rStyle w:val="Hyperlink"/>
            <w:rFonts w:ascii="Times New Roman" w:hAnsi="Times New Roman" w:cs="Times New Roman"/>
          </w:rPr>
          <w:t>https://www.theguardian.com/commentisfree/2021/sep/29/berlin-vote-landlords-referendum-corporate</w:t>
        </w:r>
      </w:hyperlink>
      <w:r w:rsidRPr="00F97B98">
        <w:rPr>
          <w:rFonts w:ascii="Times New Roman" w:hAnsi="Times New Roman" w:cs="Times New Roman"/>
        </w:rPr>
        <w:t>; Michel Jungwirth and Daniel Gutiérrez, ‘Expropriate the Big Landlords: An interview from the frontlines of the German housing movement’ (9</w:t>
      </w:r>
      <w:r w:rsidRPr="00F97B98">
        <w:rPr>
          <w:rFonts w:ascii="Times New Roman" w:hAnsi="Times New Roman" w:cs="Times New Roman"/>
          <w:vertAlign w:val="superscript"/>
        </w:rPr>
        <w:t>th</w:t>
      </w:r>
      <w:r w:rsidRPr="00F97B98">
        <w:rPr>
          <w:rFonts w:ascii="Times New Roman" w:hAnsi="Times New Roman" w:cs="Times New Roman"/>
        </w:rPr>
        <w:t xml:space="preserve"> October 2019) Notes from Below online at: </w:t>
      </w:r>
      <w:hyperlink r:id="rId4" w:history="1">
        <w:r w:rsidRPr="00F97B98">
          <w:rPr>
            <w:rStyle w:val="Hyperlink"/>
            <w:rFonts w:ascii="Times New Roman" w:hAnsi="Times New Roman" w:cs="Times New Roman"/>
          </w:rPr>
          <w:t>https://notesfrombelow.org/article/expropriate-big-landlords-interview-frontlines-ger</w:t>
        </w:r>
      </w:hyperlink>
      <w:r w:rsidRPr="00F97B98">
        <w:rPr>
          <w:rFonts w:ascii="Times New Roman" w:hAnsi="Times New Roman" w:cs="Times New Roman"/>
        </w:rPr>
        <w:t>; Chris Stokel-Walker, ‘Why Berlin's renters want to take back control from private landlords’ (19</w:t>
      </w:r>
      <w:r w:rsidRPr="00F97B98">
        <w:rPr>
          <w:rFonts w:ascii="Times New Roman" w:hAnsi="Times New Roman" w:cs="Times New Roman"/>
          <w:vertAlign w:val="superscript"/>
        </w:rPr>
        <w:t>th</w:t>
      </w:r>
      <w:r w:rsidRPr="00F97B98">
        <w:rPr>
          <w:rFonts w:ascii="Times New Roman" w:hAnsi="Times New Roman" w:cs="Times New Roman"/>
        </w:rPr>
        <w:t xml:space="preserve"> April 2022) The Developer, online at:</w:t>
      </w:r>
    </w:p>
    <w:p w14:paraId="6FD5A668" w14:textId="77777777" w:rsidR="00A63F91" w:rsidRPr="00F97B98" w:rsidRDefault="00A63F91" w:rsidP="00A63F91">
      <w:pPr>
        <w:pStyle w:val="FootnoteText"/>
        <w:rPr>
          <w:rFonts w:ascii="Times New Roman" w:hAnsi="Times New Roman" w:cs="Times New Roman"/>
        </w:rPr>
      </w:pPr>
      <w:r w:rsidRPr="00F97B98">
        <w:rPr>
          <w:rFonts w:ascii="Times New Roman" w:hAnsi="Times New Roman" w:cs="Times New Roman"/>
        </w:rPr>
        <w:t xml:space="preserve"> https://thedeveloper.live/opinion/opinion/why-berlins-renters-want-to-take-back-control-from-private-landlords</w:t>
      </w:r>
    </w:p>
  </w:footnote>
  <w:footnote w:id="11">
    <w:p w14:paraId="725DD97E"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See, </w:t>
      </w:r>
      <w:hyperlink r:id="rId5" w:history="1">
        <w:r w:rsidRPr="00F97B98">
          <w:rPr>
            <w:rStyle w:val="Hyperlink"/>
            <w:rFonts w:ascii="Times New Roman" w:hAnsi="Times New Roman" w:cs="Times New Roman"/>
          </w:rPr>
          <w:t>https://dwenteignen.de/argumente</w:t>
        </w:r>
      </w:hyperlink>
      <w:r w:rsidRPr="00F97B98">
        <w:rPr>
          <w:rFonts w:ascii="Times New Roman" w:hAnsi="Times New Roman" w:cs="Times New Roman"/>
        </w:rPr>
        <w:t>; See also, Letter from the United Nations Special Rapporteur on the right to adequate housing to the government of Germany (27</w:t>
      </w:r>
      <w:r w:rsidRPr="00F97B98">
        <w:rPr>
          <w:rFonts w:ascii="Times New Roman" w:hAnsi="Times New Roman" w:cs="Times New Roman"/>
          <w:vertAlign w:val="superscript"/>
        </w:rPr>
        <w:t>th</w:t>
      </w:r>
      <w:r w:rsidRPr="00F97B98">
        <w:rPr>
          <w:rFonts w:ascii="Times New Roman" w:hAnsi="Times New Roman" w:cs="Times New Roman"/>
        </w:rPr>
        <w:t xml:space="preserve"> April 2020) online at: </w:t>
      </w:r>
      <w:hyperlink r:id="rId6" w:history="1">
        <w:r w:rsidRPr="00F97B98">
          <w:rPr>
            <w:rStyle w:val="Hyperlink"/>
            <w:rFonts w:ascii="Times New Roman" w:hAnsi="Times New Roman" w:cs="Times New Roman"/>
          </w:rPr>
          <w:t>https://spcommreports.ohchr.org/TMResultsBase/DownLoadPublicCommunicationFile?gId=25200</w:t>
        </w:r>
      </w:hyperlink>
      <w:r w:rsidRPr="00F97B98">
        <w:rPr>
          <w:rFonts w:ascii="Times New Roman" w:hAnsi="Times New Roman" w:cs="Times New Roman"/>
        </w:rPr>
        <w:t xml:space="preserve">; </w:t>
      </w:r>
      <w:proofErr w:type="spellStart"/>
      <w:r w:rsidRPr="00F97B98">
        <w:rPr>
          <w:rFonts w:ascii="Times New Roman" w:hAnsi="Times New Roman" w:cs="Times New Roman"/>
        </w:rPr>
        <w:t>ichel</w:t>
      </w:r>
      <w:proofErr w:type="spellEnd"/>
      <w:r w:rsidRPr="00F97B98">
        <w:rPr>
          <w:rFonts w:ascii="Times New Roman" w:hAnsi="Times New Roman" w:cs="Times New Roman"/>
        </w:rPr>
        <w:t xml:space="preserve"> Jungwirth and Daniel Gutiérrez, ‘Expropriate the Big Landlords: An interview from the frontlines of the German housing movement’ (9</w:t>
      </w:r>
      <w:r w:rsidRPr="00F97B98">
        <w:rPr>
          <w:rFonts w:ascii="Times New Roman" w:hAnsi="Times New Roman" w:cs="Times New Roman"/>
          <w:vertAlign w:val="superscript"/>
        </w:rPr>
        <w:t>th</w:t>
      </w:r>
      <w:r w:rsidRPr="00F97B98">
        <w:rPr>
          <w:rFonts w:ascii="Times New Roman" w:hAnsi="Times New Roman" w:cs="Times New Roman"/>
        </w:rPr>
        <w:t xml:space="preserve"> October 2019) Notes from Below online at: </w:t>
      </w:r>
      <w:hyperlink r:id="rId7" w:history="1">
        <w:r w:rsidRPr="00F97B98">
          <w:rPr>
            <w:rStyle w:val="Hyperlink"/>
            <w:rFonts w:ascii="Times New Roman" w:hAnsi="Times New Roman" w:cs="Times New Roman"/>
          </w:rPr>
          <w:t>https://notesfrombelow.org/article/expropriate-big-landlords-interview-frontlines-ger</w:t>
        </w:r>
      </w:hyperlink>
    </w:p>
  </w:footnote>
  <w:footnote w:id="12">
    <w:p w14:paraId="156D9E67"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w:t>
      </w:r>
      <w:r w:rsidRPr="00C96558">
        <w:rPr>
          <w:rFonts w:ascii="Times New Roman" w:hAnsi="Times New Roman" w:cs="Times New Roman"/>
        </w:rPr>
        <w:t>Michel Jungwirth</w:t>
      </w:r>
      <w:r w:rsidRPr="00F97B98">
        <w:rPr>
          <w:rFonts w:ascii="Times New Roman" w:hAnsi="Times New Roman" w:cs="Times New Roman"/>
        </w:rPr>
        <w:t xml:space="preserve"> and Daniel Gutiérrez, ‘Expropriate the Big Landlords: An interview from the frontlines of the German housing movement’ (9</w:t>
      </w:r>
      <w:r w:rsidRPr="00F97B98">
        <w:rPr>
          <w:rFonts w:ascii="Times New Roman" w:hAnsi="Times New Roman" w:cs="Times New Roman"/>
          <w:vertAlign w:val="superscript"/>
        </w:rPr>
        <w:t>th</w:t>
      </w:r>
      <w:r w:rsidRPr="00F97B98">
        <w:rPr>
          <w:rFonts w:ascii="Times New Roman" w:hAnsi="Times New Roman" w:cs="Times New Roman"/>
        </w:rPr>
        <w:t xml:space="preserve"> October 2019) Notes from Below online at: </w:t>
      </w:r>
      <w:hyperlink r:id="rId8" w:history="1">
        <w:r w:rsidRPr="00F97B98">
          <w:rPr>
            <w:rStyle w:val="Hyperlink"/>
            <w:rFonts w:ascii="Times New Roman" w:hAnsi="Times New Roman" w:cs="Times New Roman"/>
          </w:rPr>
          <w:t>https://notesfrombelow.org/article/expropriate-big-landlords-interview-frontlines-ger</w:t>
        </w:r>
      </w:hyperlink>
    </w:p>
  </w:footnote>
  <w:footnote w:id="13">
    <w:p w14:paraId="296290FD"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Chris Stokel-Walker, ‘Why Berlin's renters want to take back control from private landlords’ (19</w:t>
      </w:r>
      <w:r w:rsidRPr="00F97B98">
        <w:rPr>
          <w:rFonts w:ascii="Times New Roman" w:hAnsi="Times New Roman" w:cs="Times New Roman"/>
          <w:vertAlign w:val="superscript"/>
        </w:rPr>
        <w:t>th</w:t>
      </w:r>
      <w:r w:rsidRPr="00F97B98">
        <w:rPr>
          <w:rFonts w:ascii="Times New Roman" w:hAnsi="Times New Roman" w:cs="Times New Roman"/>
        </w:rPr>
        <w:t xml:space="preserve"> April 2022) The Developer, online at:</w:t>
      </w:r>
    </w:p>
    <w:p w14:paraId="4560FCE5" w14:textId="77777777" w:rsidR="00A63F91" w:rsidRPr="00F97B98" w:rsidRDefault="00A63F91" w:rsidP="00A63F91">
      <w:pPr>
        <w:pStyle w:val="FootnoteText"/>
        <w:rPr>
          <w:rFonts w:ascii="Times New Roman" w:hAnsi="Times New Roman" w:cs="Times New Roman"/>
        </w:rPr>
      </w:pPr>
      <w:r w:rsidRPr="00F97B98">
        <w:rPr>
          <w:rFonts w:ascii="Times New Roman" w:hAnsi="Times New Roman" w:cs="Times New Roman"/>
        </w:rPr>
        <w:t xml:space="preserve"> https://thedeveloper.live/opinion/opinion/why-berlins-renters-want-to-take-back-control-from-private-landlords</w:t>
      </w:r>
    </w:p>
  </w:footnote>
  <w:footnote w:id="14">
    <w:p w14:paraId="34D2C5DE"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Alex Berry, ‘Germany: Berlin locals vote to expropriate housing giants’ (26</w:t>
      </w:r>
      <w:r w:rsidRPr="00F97B98">
        <w:rPr>
          <w:rFonts w:ascii="Times New Roman" w:hAnsi="Times New Roman" w:cs="Times New Roman"/>
          <w:vertAlign w:val="superscript"/>
        </w:rPr>
        <w:t>th</w:t>
      </w:r>
      <w:r w:rsidRPr="00F97B98">
        <w:rPr>
          <w:rFonts w:ascii="Times New Roman" w:hAnsi="Times New Roman" w:cs="Times New Roman"/>
        </w:rPr>
        <w:t xml:space="preserve"> September 2021) DW, online at: https://www.dw.com/en/germany-berlin-locals-vote-to-expropriate-real-estate-giants/a-59315431</w:t>
      </w:r>
    </w:p>
  </w:footnote>
  <w:footnote w:id="15">
    <w:p w14:paraId="14FDA5F9"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The new coalition government has recently extended the operation of the </w:t>
      </w:r>
      <w:proofErr w:type="spellStart"/>
      <w:r w:rsidRPr="00F97B98">
        <w:rPr>
          <w:rFonts w:ascii="Times New Roman" w:hAnsi="Times New Roman" w:cs="Times New Roman"/>
        </w:rPr>
        <w:t>mietpreisbremse</w:t>
      </w:r>
      <w:proofErr w:type="spellEnd"/>
      <w:r w:rsidRPr="00F97B98">
        <w:rPr>
          <w:rFonts w:ascii="Times New Roman" w:hAnsi="Times New Roman" w:cs="Times New Roman"/>
        </w:rPr>
        <w:t xml:space="preserve"> to 2029, see https://www.bundesregierung.de/breg-de/aktuelles/verlaengerung-mietpreisbremse-2350648</w:t>
      </w:r>
    </w:p>
  </w:footnote>
  <w:footnote w:id="16">
    <w:p w14:paraId="61D51081"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Cold rents are rents excluding utilities.</w:t>
      </w:r>
    </w:p>
  </w:footnote>
  <w:footnote w:id="17">
    <w:p w14:paraId="45E716E7"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DLA Piper, ‘</w:t>
      </w:r>
      <w:proofErr w:type="spellStart"/>
      <w:r w:rsidRPr="00F97B98">
        <w:rPr>
          <w:rFonts w:ascii="Times New Roman" w:hAnsi="Times New Roman" w:cs="Times New Roman"/>
        </w:rPr>
        <w:t>Realworld</w:t>
      </w:r>
      <w:proofErr w:type="spellEnd"/>
      <w:r w:rsidRPr="00F97B98">
        <w:rPr>
          <w:rFonts w:ascii="Times New Roman" w:hAnsi="Times New Roman" w:cs="Times New Roman"/>
        </w:rPr>
        <w:t xml:space="preserve"> Law: Residential Leases’ online at: https://www.dlapiperrealworld.com/law/index.html?t=residential-leases&amp;s=rent&amp;c=DE</w:t>
      </w:r>
    </w:p>
  </w:footnote>
  <w:footnote w:id="18">
    <w:p w14:paraId="4D66874A"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See, https://www.atozserwisplus.de/blog/Tenant-Eviction-in-Germany</w:t>
      </w:r>
    </w:p>
  </w:footnote>
  <w:footnote w:id="19">
    <w:p w14:paraId="716106E2"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Tim White, ‘The strange loophole that transformed Berlin from tenant’s paradise to landlord’s playground’ (22</w:t>
      </w:r>
      <w:r w:rsidRPr="00F97B98">
        <w:rPr>
          <w:rFonts w:ascii="Times New Roman" w:hAnsi="Times New Roman" w:cs="Times New Roman"/>
          <w:vertAlign w:val="superscript"/>
        </w:rPr>
        <w:t>nd</w:t>
      </w:r>
      <w:r w:rsidRPr="00F97B98">
        <w:rPr>
          <w:rFonts w:ascii="Times New Roman" w:hAnsi="Times New Roman" w:cs="Times New Roman"/>
        </w:rPr>
        <w:t xml:space="preserve"> January 2025) The Guardian, online at: https://www.theguardian.com/commentisfree/2025/jan/22/berlin-housing-crisis-germany-rents-flats</w:t>
      </w:r>
    </w:p>
  </w:footnote>
  <w:footnote w:id="20">
    <w:p w14:paraId="3252069C"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ibid</w:t>
      </w:r>
    </w:p>
  </w:footnote>
  <w:footnote w:id="21">
    <w:p w14:paraId="0FD467EA"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ibid</w:t>
      </w:r>
    </w:p>
  </w:footnote>
  <w:footnote w:id="22">
    <w:p w14:paraId="62A33C4B"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ibid</w:t>
      </w:r>
    </w:p>
  </w:footnote>
  <w:footnote w:id="23">
    <w:p w14:paraId="2B4D039B"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See, Library of Congress, ‘Germany: Constitutional Court Rules Rent Control Law Constitutional’ (5</w:t>
      </w:r>
      <w:r w:rsidRPr="00F97B98">
        <w:rPr>
          <w:rFonts w:ascii="Times New Roman" w:hAnsi="Times New Roman" w:cs="Times New Roman"/>
          <w:vertAlign w:val="superscript"/>
        </w:rPr>
        <w:t>th</w:t>
      </w:r>
      <w:r w:rsidRPr="00F97B98">
        <w:rPr>
          <w:rFonts w:ascii="Times New Roman" w:hAnsi="Times New Roman" w:cs="Times New Roman"/>
        </w:rPr>
        <w:t xml:space="preserve"> December 2019) online at: https://www.loc.gov/item/global-legal-monitor/2019-12-05/germany-constitutional-court-rules-rent-control-law-constitutional/</w:t>
      </w:r>
    </w:p>
  </w:footnote>
  <w:footnote w:id="24">
    <w:p w14:paraId="44901C89"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ibid</w:t>
      </w:r>
    </w:p>
  </w:footnote>
  <w:footnote w:id="25">
    <w:p w14:paraId="67A39BB1"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ibid</w:t>
      </w:r>
    </w:p>
  </w:footnote>
  <w:footnote w:id="26">
    <w:p w14:paraId="0A98D309" w14:textId="77777777" w:rsidR="00A63F91" w:rsidRPr="00F97B98" w:rsidRDefault="00A63F91" w:rsidP="00A63F91">
      <w:pPr>
        <w:pStyle w:val="FootnoteText"/>
        <w:rPr>
          <w:rFonts w:ascii="Times New Roman" w:hAnsi="Times New Roman" w:cs="Times New Roman"/>
        </w:rPr>
      </w:pPr>
      <w:r w:rsidRPr="00F97B98">
        <w:rPr>
          <w:rStyle w:val="FootnoteReference"/>
          <w:rFonts w:ascii="Times New Roman" w:hAnsi="Times New Roman" w:cs="Times New Roman"/>
        </w:rPr>
        <w:footnoteRef/>
      </w:r>
      <w:r w:rsidRPr="00F97B98">
        <w:rPr>
          <w:rFonts w:ascii="Times New Roman" w:hAnsi="Times New Roman" w:cs="Times New Roman"/>
        </w:rPr>
        <w:t xml:space="preserve"> Currently, in Germany, landlords may increase a tenant’s annual rent by up to 8% of the </w:t>
      </w:r>
      <w:proofErr w:type="spellStart"/>
      <w:r w:rsidRPr="00F97B98">
        <w:rPr>
          <w:rFonts w:ascii="Times New Roman" w:hAnsi="Times New Roman" w:cs="Times New Roman"/>
        </w:rPr>
        <w:t>modernisation</w:t>
      </w:r>
      <w:proofErr w:type="spellEnd"/>
      <w:r w:rsidRPr="00F97B98">
        <w:rPr>
          <w:rFonts w:ascii="Times New Roman" w:hAnsi="Times New Roman" w:cs="Times New Roman"/>
        </w:rPr>
        <w:t xml:space="preserve"> costs. This is limited to an increase of no more than €3 per square </w:t>
      </w:r>
      <w:proofErr w:type="spellStart"/>
      <w:r w:rsidRPr="00F97B98">
        <w:rPr>
          <w:rFonts w:ascii="Times New Roman" w:hAnsi="Times New Roman" w:cs="Times New Roman"/>
        </w:rPr>
        <w:t>metre</w:t>
      </w:r>
      <w:proofErr w:type="spellEnd"/>
      <w:r w:rsidRPr="00F97B98">
        <w:rPr>
          <w:rFonts w:ascii="Times New Roman" w:hAnsi="Times New Roman" w:cs="Times New Roman"/>
        </w:rPr>
        <w:t xml:space="preserve"> over the course of 6 years, or, if the rent prior to the modernization was under €7 per square </w:t>
      </w:r>
      <w:proofErr w:type="spellStart"/>
      <w:r w:rsidRPr="00F97B98">
        <w:rPr>
          <w:rFonts w:ascii="Times New Roman" w:hAnsi="Times New Roman" w:cs="Times New Roman"/>
        </w:rPr>
        <w:t>metre</w:t>
      </w:r>
      <w:proofErr w:type="spellEnd"/>
      <w:r w:rsidRPr="00F97B98">
        <w:rPr>
          <w:rFonts w:ascii="Times New Roman" w:hAnsi="Times New Roman" w:cs="Times New Roman"/>
        </w:rPr>
        <w:t xml:space="preserve">, an increase of no more than €2 per square </w:t>
      </w:r>
      <w:proofErr w:type="spellStart"/>
      <w:r w:rsidRPr="00F97B98">
        <w:rPr>
          <w:rFonts w:ascii="Times New Roman" w:hAnsi="Times New Roman" w:cs="Times New Roman"/>
        </w:rPr>
        <w:t>metre</w:t>
      </w:r>
      <w:proofErr w:type="spellEnd"/>
      <w:r w:rsidRPr="00F97B98">
        <w:rPr>
          <w:rFonts w:ascii="Times New Roman" w:hAnsi="Times New Roman" w:cs="Times New Roman"/>
        </w:rPr>
        <w:t xml:space="preserve"> over 6 years. See, Max Althoff, ‘Discharge and rent control in Germany’ in Noria </w:t>
      </w:r>
      <w:proofErr w:type="spellStart"/>
      <w:r w:rsidRPr="00F97B98">
        <w:rPr>
          <w:rFonts w:ascii="Times New Roman" w:hAnsi="Times New Roman" w:cs="Times New Roman"/>
        </w:rPr>
        <w:t>Derdek</w:t>
      </w:r>
      <w:proofErr w:type="spellEnd"/>
      <w:r w:rsidRPr="00F97B98">
        <w:rPr>
          <w:rFonts w:ascii="Times New Roman" w:hAnsi="Times New Roman" w:cs="Times New Roman"/>
        </w:rPr>
        <w:t xml:space="preserve"> and Padraic Kenna, ‘The European and </w:t>
      </w:r>
      <w:r w:rsidRPr="0007396B">
        <w:rPr>
          <w:rFonts w:ascii="Times New Roman" w:hAnsi="Times New Roman" w:cs="Times New Roman"/>
        </w:rPr>
        <w:t>International Contribution</w:t>
      </w:r>
      <w:r w:rsidRPr="00F97B98">
        <w:rPr>
          <w:rFonts w:ascii="Times New Roman" w:hAnsi="Times New Roman" w:cs="Times New Roman"/>
        </w:rPr>
        <w:t xml:space="preserve"> </w:t>
      </w:r>
      <w:r w:rsidRPr="0007396B">
        <w:rPr>
          <w:rFonts w:ascii="Times New Roman" w:hAnsi="Times New Roman" w:cs="Times New Roman"/>
        </w:rPr>
        <w:t>to the Right to Housing</w:t>
      </w:r>
      <w:r w:rsidRPr="00F97B98">
        <w:rPr>
          <w:rFonts w:ascii="Times New Roman" w:hAnsi="Times New Roman" w:cs="Times New Roman"/>
        </w:rPr>
        <w:t xml:space="preserve">: </w:t>
      </w:r>
      <w:r w:rsidRPr="0007396B">
        <w:rPr>
          <w:rFonts w:ascii="Times New Roman" w:hAnsi="Times New Roman" w:cs="Times New Roman"/>
        </w:rPr>
        <w:t>Standards, Litigation and Advocacy</w:t>
      </w:r>
      <w:r w:rsidRPr="00F97B98">
        <w:rPr>
          <w:rFonts w:ascii="Times New Roman" w:hAnsi="Times New Roman" w:cs="Times New Roman"/>
        </w:rPr>
        <w:t xml:space="preserve">’ (May 2023), Housing Rights Watch, online at: </w:t>
      </w:r>
      <w:hyperlink r:id="rId9" w:history="1">
        <w:r w:rsidRPr="00F97B98">
          <w:rPr>
            <w:rStyle w:val="Hyperlink"/>
            <w:rFonts w:ascii="Times New Roman" w:hAnsi="Times New Roman" w:cs="Times New Roman"/>
          </w:rPr>
          <w:t>https://housingrightswatch.org/sites/default/files/ctools/VERSION-EN-Chap4-Art1.pdf</w:t>
        </w:r>
      </w:hyperlink>
      <w:r w:rsidRPr="00F97B98">
        <w:rPr>
          <w:rFonts w:ascii="Times New Roman" w:hAnsi="Times New Roman" w:cs="Times New Roman"/>
        </w:rPr>
        <w:t>, page 82; see also, https://conny.de/en/rent/rent-increase/information</w:t>
      </w:r>
    </w:p>
  </w:footnote>
  <w:footnote w:id="27">
    <w:p w14:paraId="23E4ABCE" w14:textId="77777777" w:rsidR="00A63F91" w:rsidRPr="00F97B98" w:rsidRDefault="00A63F91" w:rsidP="00A63F91">
      <w:pPr>
        <w:pStyle w:val="FootnoteText"/>
        <w:rPr>
          <w:rFonts w:ascii="Times New Roman" w:hAnsi="Times New Roman" w:cs="Times New Roman"/>
        </w:rPr>
      </w:pPr>
      <w:r w:rsidRPr="00F97B98">
        <w:rPr>
          <w:rStyle w:val="FootnoteReference"/>
          <w:rFonts w:ascii="Times New Roman" w:hAnsi="Times New Roman" w:cs="Times New Roman"/>
        </w:rPr>
        <w:footnoteRef/>
      </w:r>
      <w:r w:rsidRPr="00F97B98">
        <w:rPr>
          <w:rFonts w:ascii="Times New Roman" w:hAnsi="Times New Roman" w:cs="Times New Roman"/>
        </w:rPr>
        <w:t xml:space="preserve"> See, response of Germany to letter of the UN Special Rapporteur, </w:t>
      </w:r>
      <w:hyperlink r:id="rId10" w:history="1">
        <w:r w:rsidRPr="00F97B98">
          <w:rPr>
            <w:rStyle w:val="Hyperlink"/>
            <w:rFonts w:ascii="Times New Roman" w:hAnsi="Times New Roman" w:cs="Times New Roman"/>
          </w:rPr>
          <w:t>https://make-the-shift.org/wp-content/uploads/2021/03/germany-effectsbusiness-practices.pdf</w:t>
        </w:r>
      </w:hyperlink>
      <w:r w:rsidRPr="00F97B98">
        <w:rPr>
          <w:rFonts w:ascii="Times New Roman" w:hAnsi="Times New Roman" w:cs="Times New Roman"/>
        </w:rPr>
        <w:t>, page 10.</w:t>
      </w:r>
    </w:p>
  </w:footnote>
  <w:footnote w:id="28">
    <w:p w14:paraId="169FC5C5"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The definition of ‘personal use’ is very loose in Germany. Personal use is often accepted even if the landlord is seeking possession of the unit to move in family or to house an au pair. See, Max Althoff, ‘Discharge and rent control in Germany’ in Noria </w:t>
      </w:r>
      <w:proofErr w:type="spellStart"/>
      <w:r w:rsidRPr="00F97B98">
        <w:rPr>
          <w:rFonts w:ascii="Times New Roman" w:hAnsi="Times New Roman" w:cs="Times New Roman"/>
        </w:rPr>
        <w:t>Derdek</w:t>
      </w:r>
      <w:proofErr w:type="spellEnd"/>
      <w:r w:rsidRPr="00F97B98">
        <w:rPr>
          <w:rFonts w:ascii="Times New Roman" w:hAnsi="Times New Roman" w:cs="Times New Roman"/>
        </w:rPr>
        <w:t xml:space="preserve"> and Padraic Kenna, ‘The European and </w:t>
      </w:r>
      <w:r w:rsidRPr="0007396B">
        <w:rPr>
          <w:rFonts w:ascii="Times New Roman" w:hAnsi="Times New Roman" w:cs="Times New Roman"/>
        </w:rPr>
        <w:t>International Contribution</w:t>
      </w:r>
      <w:r w:rsidRPr="00F97B98">
        <w:rPr>
          <w:rFonts w:ascii="Times New Roman" w:hAnsi="Times New Roman" w:cs="Times New Roman"/>
        </w:rPr>
        <w:t xml:space="preserve"> </w:t>
      </w:r>
      <w:r w:rsidRPr="0007396B">
        <w:rPr>
          <w:rFonts w:ascii="Times New Roman" w:hAnsi="Times New Roman" w:cs="Times New Roman"/>
        </w:rPr>
        <w:t>to the Right to Housing</w:t>
      </w:r>
      <w:r w:rsidRPr="00F97B98">
        <w:rPr>
          <w:rFonts w:ascii="Times New Roman" w:hAnsi="Times New Roman" w:cs="Times New Roman"/>
        </w:rPr>
        <w:t xml:space="preserve">: </w:t>
      </w:r>
      <w:r w:rsidRPr="0007396B">
        <w:rPr>
          <w:rFonts w:ascii="Times New Roman" w:hAnsi="Times New Roman" w:cs="Times New Roman"/>
        </w:rPr>
        <w:t>Standards, Litigation and Advocacy</w:t>
      </w:r>
      <w:r w:rsidRPr="00F97B98">
        <w:rPr>
          <w:rFonts w:ascii="Times New Roman" w:hAnsi="Times New Roman" w:cs="Times New Roman"/>
        </w:rPr>
        <w:t xml:space="preserve">’ (May 2023), Housing Rights Watch, online at: </w:t>
      </w:r>
      <w:hyperlink r:id="rId11" w:history="1">
        <w:r w:rsidRPr="00F97B98">
          <w:rPr>
            <w:rStyle w:val="Hyperlink"/>
            <w:rFonts w:ascii="Times New Roman" w:hAnsi="Times New Roman" w:cs="Times New Roman"/>
          </w:rPr>
          <w:t>https://housingrightswatch.org/sites/default/files/ctools/VERSION-EN-Chap4-Art1.pdf</w:t>
        </w:r>
      </w:hyperlink>
      <w:r w:rsidRPr="00F97B98">
        <w:rPr>
          <w:rFonts w:ascii="Times New Roman" w:hAnsi="Times New Roman" w:cs="Times New Roman"/>
        </w:rPr>
        <w:t>, page 83</w:t>
      </w:r>
    </w:p>
  </w:footnote>
  <w:footnote w:id="29">
    <w:p w14:paraId="0A72D86F" w14:textId="77777777" w:rsidR="00A63F91" w:rsidRPr="00F97B98" w:rsidRDefault="00A63F91" w:rsidP="00A63F91">
      <w:pPr>
        <w:pStyle w:val="FootnoteText"/>
        <w:rPr>
          <w:rFonts w:ascii="Times New Roman" w:hAnsi="Times New Roman" w:cs="Times New Roman"/>
        </w:rPr>
      </w:pPr>
      <w:r w:rsidRPr="00F97B98">
        <w:rPr>
          <w:rStyle w:val="FootnoteReference"/>
          <w:rFonts w:ascii="Times New Roman" w:hAnsi="Times New Roman" w:cs="Times New Roman"/>
        </w:rPr>
        <w:footnoteRef/>
      </w:r>
      <w:r w:rsidRPr="00F97B98">
        <w:rPr>
          <w:rFonts w:ascii="Times New Roman" w:hAnsi="Times New Roman" w:cs="Times New Roman"/>
        </w:rPr>
        <w:t xml:space="preserve"> The Munich Eye, ‘</w:t>
      </w:r>
      <w:proofErr w:type="spellStart"/>
      <w:r w:rsidRPr="00F97B98">
        <w:rPr>
          <w:rFonts w:ascii="Times New Roman" w:hAnsi="Times New Roman" w:cs="Times New Roman"/>
        </w:rPr>
        <w:t>Vonovia</w:t>
      </w:r>
      <w:proofErr w:type="spellEnd"/>
      <w:r w:rsidRPr="00F97B98">
        <w:rPr>
          <w:rFonts w:ascii="Times New Roman" w:hAnsi="Times New Roman" w:cs="Times New Roman"/>
        </w:rPr>
        <w:t xml:space="preserve"> Tenants Resist Digital Smoke Detectors Over Privacy Concerns’ (8</w:t>
      </w:r>
      <w:r w:rsidRPr="00F97B98">
        <w:rPr>
          <w:rFonts w:ascii="Times New Roman" w:hAnsi="Times New Roman" w:cs="Times New Roman"/>
          <w:vertAlign w:val="superscript"/>
        </w:rPr>
        <w:t>th</w:t>
      </w:r>
      <w:r w:rsidRPr="00F97B98">
        <w:rPr>
          <w:rFonts w:ascii="Times New Roman" w:hAnsi="Times New Roman" w:cs="Times New Roman"/>
        </w:rPr>
        <w:t xml:space="preserve"> April 2025) The Munich Eye, online at: https://themunicheye.com/vonovia-tenants-resist-digital-smoke-detectors-16358</w:t>
      </w:r>
    </w:p>
  </w:footnote>
  <w:footnote w:id="30">
    <w:p w14:paraId="72E5C0D6"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See, https://www.gtlaw.com/en/insights/2025/4/coalition-agreement-for-new-german-government-real-estate-industry-implications</w:t>
      </w:r>
    </w:p>
  </w:footnote>
  <w:footnote w:id="31">
    <w:p w14:paraId="7323B984"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See, Report of the Special Rapporteur on the right to adequate housing, ‘Towards a just transformation: climate crisis and the right to housing’ (23</w:t>
      </w:r>
      <w:r w:rsidRPr="00F97B98">
        <w:rPr>
          <w:rFonts w:ascii="Times New Roman" w:hAnsi="Times New Roman" w:cs="Times New Roman"/>
          <w:vertAlign w:val="superscript"/>
        </w:rPr>
        <w:t>rd</w:t>
      </w:r>
      <w:r w:rsidRPr="00F97B98">
        <w:rPr>
          <w:rFonts w:ascii="Times New Roman" w:hAnsi="Times New Roman" w:cs="Times New Roman"/>
        </w:rPr>
        <w:t xml:space="preserve"> December 2022) UN Doc A/HRC/52/28, online at: https://docs.un.org/en/A/HRC/52/28</w:t>
      </w:r>
    </w:p>
  </w:footnote>
  <w:footnote w:id="32">
    <w:p w14:paraId="3C90ECD2"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Ibid, page 11</w:t>
      </w:r>
    </w:p>
  </w:footnote>
  <w:footnote w:id="33">
    <w:p w14:paraId="1EDA1579"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Carolina Kyllmann, ‘Vote25: Keeping homes affordable while making them climate-friendly is next German govt's big challenge’ (23</w:t>
      </w:r>
      <w:r w:rsidRPr="00F97B98">
        <w:rPr>
          <w:rFonts w:ascii="Times New Roman" w:hAnsi="Times New Roman" w:cs="Times New Roman"/>
          <w:vertAlign w:val="superscript"/>
        </w:rPr>
        <w:t>rd</w:t>
      </w:r>
      <w:r w:rsidRPr="00F97B98">
        <w:rPr>
          <w:rFonts w:ascii="Times New Roman" w:hAnsi="Times New Roman" w:cs="Times New Roman"/>
        </w:rPr>
        <w:t xml:space="preserve"> January 2025) Clean Energy Wire, online at: https://www.cleanenergywire.org/news/vote25-analysis-germany-buildings-heating-transition-next-german-government</w:t>
      </w:r>
    </w:p>
  </w:footnote>
  <w:footnote w:id="34">
    <w:p w14:paraId="2F768CFD"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See, https://resourcehub.bakermckenzie.com/en/resources/global-sustainable-buildings/europe-middle-east-and-africa/germany/topics/incentives-for-green-retrofit</w:t>
      </w:r>
    </w:p>
  </w:footnote>
  <w:footnote w:id="35">
    <w:p w14:paraId="720B8B11"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Charles Kingston, ‘Germany struggling to achieve climate targets in housing refurbishment’ (21</w:t>
      </w:r>
      <w:r w:rsidRPr="00F97B98">
        <w:rPr>
          <w:rFonts w:ascii="Times New Roman" w:hAnsi="Times New Roman" w:cs="Times New Roman"/>
          <w:vertAlign w:val="superscript"/>
        </w:rPr>
        <w:t>st</w:t>
      </w:r>
      <w:r w:rsidRPr="00F97B98">
        <w:rPr>
          <w:rFonts w:ascii="Times New Roman" w:hAnsi="Times New Roman" w:cs="Times New Roman"/>
        </w:rPr>
        <w:t xml:space="preserve"> April 2024) Refire, online at: https://www.refire-online.com/investment/germany-struggling-climate-targets-in-housing-refurbishment</w:t>
      </w:r>
    </w:p>
  </w:footnote>
  <w:footnote w:id="36">
    <w:p w14:paraId="3FE2FE1E" w14:textId="77777777" w:rsidR="00A63F91" w:rsidRDefault="00A63F91" w:rsidP="00A63F91">
      <w:pPr>
        <w:pStyle w:val="FootnoteText"/>
      </w:pPr>
      <w:r w:rsidRPr="00C96558">
        <w:rPr>
          <w:rStyle w:val="FootnoteReference"/>
        </w:rPr>
        <w:footnoteRef/>
      </w:r>
      <w:r w:rsidRPr="00C96558">
        <w:t xml:space="preserve"> ibid</w:t>
      </w:r>
    </w:p>
  </w:footnote>
  <w:footnote w:id="37">
    <w:p w14:paraId="023B90CE"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Johnathan Packroff, ‘Germany’s building renovation policy has ‘failed’, housing sector </w:t>
      </w:r>
      <w:proofErr w:type="spellStart"/>
      <w:r w:rsidRPr="00F97B98">
        <w:rPr>
          <w:rFonts w:ascii="Times New Roman" w:hAnsi="Times New Roman" w:cs="Times New Roman"/>
        </w:rPr>
        <w:t>says’</w:t>
      </w:r>
      <w:proofErr w:type="spellEnd"/>
      <w:r w:rsidRPr="00F97B98">
        <w:rPr>
          <w:rFonts w:ascii="Times New Roman" w:hAnsi="Times New Roman" w:cs="Times New Roman"/>
        </w:rPr>
        <w:t xml:space="preserve"> (20</w:t>
      </w:r>
      <w:r w:rsidRPr="00F97B98">
        <w:rPr>
          <w:rFonts w:ascii="Times New Roman" w:hAnsi="Times New Roman" w:cs="Times New Roman"/>
          <w:vertAlign w:val="superscript"/>
        </w:rPr>
        <w:t>th</w:t>
      </w:r>
      <w:r w:rsidRPr="00F97B98">
        <w:rPr>
          <w:rFonts w:ascii="Times New Roman" w:hAnsi="Times New Roman" w:cs="Times New Roman"/>
        </w:rPr>
        <w:t xml:space="preserve"> November 2024) </w:t>
      </w:r>
      <w:proofErr w:type="spellStart"/>
      <w:r w:rsidRPr="00F97B98">
        <w:rPr>
          <w:rFonts w:ascii="Times New Roman" w:hAnsi="Times New Roman" w:cs="Times New Roman"/>
        </w:rPr>
        <w:t>Euractiv</w:t>
      </w:r>
      <w:proofErr w:type="spellEnd"/>
      <w:r w:rsidRPr="00F97B98">
        <w:rPr>
          <w:rFonts w:ascii="Times New Roman" w:hAnsi="Times New Roman" w:cs="Times New Roman"/>
        </w:rPr>
        <w:t>, online at: https://www.euractiv.com/section/eet/news/germanys-building-renovation-policy-has-failed-housing-sector-says/</w:t>
      </w:r>
    </w:p>
  </w:footnote>
  <w:footnote w:id="38">
    <w:p w14:paraId="422EE263"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Kerstine Appunn, Freja Eriksen and Julian Wettengel, ‘Germany’s greenhouse gas emissions and energy transition targets’ (19</w:t>
      </w:r>
      <w:r w:rsidRPr="00F97B98">
        <w:rPr>
          <w:rFonts w:ascii="Times New Roman" w:hAnsi="Times New Roman" w:cs="Times New Roman"/>
          <w:vertAlign w:val="superscript"/>
        </w:rPr>
        <w:t>th</w:t>
      </w:r>
      <w:r w:rsidRPr="00F97B98">
        <w:rPr>
          <w:rFonts w:ascii="Times New Roman" w:hAnsi="Times New Roman" w:cs="Times New Roman"/>
        </w:rPr>
        <w:t xml:space="preserve"> February 2025) Clean Energy Wire, online at: https://www.cleanenergywire.org/factsheets/germanys-greenhouse-gas-emissions-and-climate-targets#</w:t>
      </w:r>
    </w:p>
  </w:footnote>
  <w:footnote w:id="39">
    <w:p w14:paraId="1BAFC89C"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See, https://www.bmwsb.bund.de/SharedDocs/kurzmeldungen/Webs/BMWSB/DE/2025/06/bau-turbo.html</w:t>
      </w:r>
    </w:p>
  </w:footnote>
  <w:footnote w:id="40">
    <w:p w14:paraId="41AFCE95"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The previous government had targeted the construction of 400,000 new homes per year, it is </w:t>
      </w:r>
      <w:proofErr w:type="gramStart"/>
      <w:r w:rsidRPr="00F97B98">
        <w:rPr>
          <w:rFonts w:ascii="Times New Roman" w:hAnsi="Times New Roman" w:cs="Times New Roman"/>
        </w:rPr>
        <w:t>as yet</w:t>
      </w:r>
      <w:proofErr w:type="gramEnd"/>
      <w:r w:rsidRPr="00F97B98">
        <w:rPr>
          <w:rFonts w:ascii="Times New Roman" w:hAnsi="Times New Roman" w:cs="Times New Roman"/>
        </w:rPr>
        <w:t xml:space="preserve"> unclear whether Germany’s new coalition government intends to maintain this target, or whether a new target will be set.</w:t>
      </w:r>
    </w:p>
  </w:footnote>
  <w:footnote w:id="41">
    <w:p w14:paraId="1094EFAA"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 ‘Kabinett </w:t>
      </w:r>
      <w:proofErr w:type="spellStart"/>
      <w:r w:rsidRPr="00F97B98">
        <w:rPr>
          <w:rFonts w:ascii="Times New Roman" w:hAnsi="Times New Roman" w:cs="Times New Roman"/>
        </w:rPr>
        <w:t>gibt</w:t>
      </w:r>
      <w:proofErr w:type="spellEnd"/>
      <w:r w:rsidRPr="00F97B98">
        <w:rPr>
          <w:rFonts w:ascii="Times New Roman" w:hAnsi="Times New Roman" w:cs="Times New Roman"/>
        </w:rPr>
        <w:t xml:space="preserve"> </w:t>
      </w:r>
      <w:proofErr w:type="spellStart"/>
      <w:r w:rsidRPr="00F97B98">
        <w:rPr>
          <w:rFonts w:ascii="Times New Roman" w:hAnsi="Times New Roman" w:cs="Times New Roman"/>
        </w:rPr>
        <w:t>grünes</w:t>
      </w:r>
      <w:proofErr w:type="spellEnd"/>
      <w:r w:rsidRPr="00F97B98">
        <w:rPr>
          <w:rFonts w:ascii="Times New Roman" w:hAnsi="Times New Roman" w:cs="Times New Roman"/>
        </w:rPr>
        <w:t xml:space="preserve"> Licht für "Bau-Turbo"’ (18</w:t>
      </w:r>
      <w:r w:rsidRPr="00F97B98">
        <w:rPr>
          <w:rFonts w:ascii="Times New Roman" w:hAnsi="Times New Roman" w:cs="Times New Roman"/>
          <w:vertAlign w:val="superscript"/>
        </w:rPr>
        <w:t>th</w:t>
      </w:r>
      <w:r w:rsidRPr="00F97B98">
        <w:rPr>
          <w:rFonts w:ascii="Times New Roman" w:hAnsi="Times New Roman" w:cs="Times New Roman"/>
        </w:rPr>
        <w:t xml:space="preserve"> June 2025) NTV, online at: </w:t>
      </w:r>
      <w:hyperlink r:id="rId12" w:history="1">
        <w:r w:rsidRPr="00F97B98">
          <w:rPr>
            <w:rStyle w:val="Hyperlink"/>
            <w:rFonts w:ascii="Times New Roman" w:hAnsi="Times New Roman" w:cs="Times New Roman"/>
          </w:rPr>
          <w:t>https://www.n-tv.de/wirtschaft/Kabinett-gibt-gruenes-Licht-fuer-Bau-Turbo-article25842155.html</w:t>
        </w:r>
      </w:hyperlink>
      <w:r w:rsidRPr="00F97B98">
        <w:rPr>
          <w:rFonts w:ascii="Times New Roman" w:hAnsi="Times New Roman" w:cs="Times New Roman"/>
        </w:rPr>
        <w:t>; See also, https://www.bmwsb.bund.de/SharedDocs/kurzmeldungen/Webs/BMWSB/DE/2025/06/bau-turbo.html</w:t>
      </w:r>
    </w:p>
  </w:footnote>
  <w:footnote w:id="42">
    <w:p w14:paraId="3CBB15D0"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See, https://resourcehub.bakermckenzie.com/en/resources/global-corporate-real-estate-guide/europe-middle-east-and-africa/germany/topics/planning-and-environmental-issues</w:t>
      </w:r>
    </w:p>
  </w:footnote>
  <w:footnote w:id="43">
    <w:p w14:paraId="7040AA38"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Sören Amelang and Benjamin Wehrmann, ‘German government to suspend tightening of building efficiency rules’ (25</w:t>
      </w:r>
      <w:r w:rsidRPr="00F97B98">
        <w:rPr>
          <w:rFonts w:ascii="Times New Roman" w:hAnsi="Times New Roman" w:cs="Times New Roman"/>
          <w:vertAlign w:val="superscript"/>
        </w:rPr>
        <w:t>th</w:t>
      </w:r>
      <w:r w:rsidRPr="00F97B98">
        <w:rPr>
          <w:rFonts w:ascii="Times New Roman" w:hAnsi="Times New Roman" w:cs="Times New Roman"/>
        </w:rPr>
        <w:t xml:space="preserve"> September 2023) Clean Energy Wire, online at: https://www.cleanenergywire.org/news/german-government-suspend-tightening-building-efficiency-rules</w:t>
      </w:r>
    </w:p>
  </w:footnote>
  <w:footnote w:id="44">
    <w:p w14:paraId="7BCF287E"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See, https://resourcehub.bakermckenzie.com/en/resources/global-corporate-real-estate-guide/europe-middle-east-and-africa/germany/topics/planning-and-environmental-issues</w:t>
      </w:r>
    </w:p>
  </w:footnote>
  <w:footnote w:id="45">
    <w:p w14:paraId="5551573E"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Sören Amelang and Benjamin Wehrmann, ‘German government to suspend tightening of building efficiency rules’ (25</w:t>
      </w:r>
      <w:r w:rsidRPr="00F97B98">
        <w:rPr>
          <w:rFonts w:ascii="Times New Roman" w:hAnsi="Times New Roman" w:cs="Times New Roman"/>
          <w:vertAlign w:val="superscript"/>
        </w:rPr>
        <w:t>th</w:t>
      </w:r>
      <w:r w:rsidRPr="00F97B98">
        <w:rPr>
          <w:rFonts w:ascii="Times New Roman" w:hAnsi="Times New Roman" w:cs="Times New Roman"/>
        </w:rPr>
        <w:t xml:space="preserve"> September 2023) Clean Energy Wire, online at: https://www.cleanenergywire.org/news/german-government-suspend-tightening-building-efficiency-rules</w:t>
      </w:r>
    </w:p>
  </w:footnote>
  <w:footnote w:id="46">
    <w:p w14:paraId="2C8CCDE6"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See, https://sustainability.hapres.com/htmls/JSR_1520_Detail.html</w:t>
      </w:r>
    </w:p>
  </w:footnote>
  <w:footnote w:id="47">
    <w:p w14:paraId="30C3CB5E"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See, https://www.c40knowledgehub.org/s/article/How-to-reduce-embodied-emissions-in-private-and-residential-buildings?language=en_US</w:t>
      </w:r>
    </w:p>
  </w:footnote>
  <w:footnote w:id="48">
    <w:p w14:paraId="625DB4AE"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Special Procedures letter to the Government of Germany (17</w:t>
      </w:r>
      <w:r w:rsidRPr="00F97B98">
        <w:rPr>
          <w:rFonts w:ascii="Times New Roman" w:hAnsi="Times New Roman" w:cs="Times New Roman"/>
          <w:vertAlign w:val="superscript"/>
        </w:rPr>
        <w:t>th</w:t>
      </w:r>
      <w:r w:rsidRPr="00F97B98">
        <w:rPr>
          <w:rFonts w:ascii="Times New Roman" w:hAnsi="Times New Roman" w:cs="Times New Roman"/>
        </w:rPr>
        <w:t xml:space="preserve"> May 2024) online at: </w:t>
      </w:r>
      <w:hyperlink r:id="rId13" w:history="1">
        <w:r w:rsidRPr="00F97B98">
          <w:rPr>
            <w:rStyle w:val="Hyperlink"/>
            <w:rFonts w:ascii="Times New Roman" w:hAnsi="Times New Roman" w:cs="Times New Roman"/>
          </w:rPr>
          <w:t>https://spcommreports.ohchr.org/TMResultsBase/DownLoadPublicCommunicationFile?gId=29071</w:t>
        </w:r>
      </w:hyperlink>
      <w:r w:rsidRPr="00F97B98">
        <w:rPr>
          <w:rFonts w:ascii="Times New Roman" w:hAnsi="Times New Roman" w:cs="Times New Roman"/>
        </w:rPr>
        <w:t>, page 2</w:t>
      </w:r>
    </w:p>
  </w:footnote>
  <w:footnote w:id="49">
    <w:p w14:paraId="3FE967C1"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Tony Greenstein, ‘Why is Germany supporting Israel’s genocide in Gaza?’ (8</w:t>
      </w:r>
      <w:r w:rsidRPr="00F97B98">
        <w:rPr>
          <w:rFonts w:ascii="Times New Roman" w:hAnsi="Times New Roman" w:cs="Times New Roman"/>
          <w:vertAlign w:val="superscript"/>
        </w:rPr>
        <w:t>th</w:t>
      </w:r>
      <w:r w:rsidRPr="00F97B98">
        <w:rPr>
          <w:rFonts w:ascii="Times New Roman" w:hAnsi="Times New Roman" w:cs="Times New Roman"/>
        </w:rPr>
        <w:t xml:space="preserve"> November 2024) online at: https://www.aljazeera.com/opinions/2024/11/8/why-is-germany-supporting-israels-genocide-in-gaza</w:t>
      </w:r>
    </w:p>
  </w:footnote>
  <w:footnote w:id="50">
    <w:p w14:paraId="783E2A35"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Special Procedures letter to the Government of Germany </w:t>
      </w:r>
      <w:proofErr w:type="gramStart"/>
      <w:r w:rsidRPr="00F97B98">
        <w:rPr>
          <w:rFonts w:ascii="Times New Roman" w:hAnsi="Times New Roman" w:cs="Times New Roman"/>
        </w:rPr>
        <w:t>( 16</w:t>
      </w:r>
      <w:proofErr w:type="gramEnd"/>
      <w:r w:rsidRPr="00F97B98">
        <w:rPr>
          <w:rFonts w:ascii="Times New Roman" w:hAnsi="Times New Roman" w:cs="Times New Roman"/>
          <w:vertAlign w:val="superscript"/>
        </w:rPr>
        <w:t>th</w:t>
      </w:r>
      <w:r w:rsidRPr="00F97B98">
        <w:rPr>
          <w:rFonts w:ascii="Times New Roman" w:hAnsi="Times New Roman" w:cs="Times New Roman"/>
        </w:rPr>
        <w:t xml:space="preserve"> December 2024) online at: https://spcommreports.ohchr.org/TMResultsBase/DownLoadPublicCommunicationFile?gId=29519 </w:t>
      </w:r>
    </w:p>
  </w:footnote>
  <w:footnote w:id="51">
    <w:p w14:paraId="03E61DF5" w14:textId="77777777" w:rsidR="00A63F91" w:rsidRPr="00F97B98" w:rsidRDefault="00A63F91" w:rsidP="00A63F91">
      <w:pPr>
        <w:pStyle w:val="FootnoteText"/>
        <w:rPr>
          <w:rFonts w:ascii="Times New Roman" w:hAnsi="Times New Roman" w:cs="Times New Roman"/>
        </w:rPr>
      </w:pPr>
      <w:r w:rsidRPr="00F97B98">
        <w:rPr>
          <w:rStyle w:val="FootnoteReference"/>
          <w:rFonts w:ascii="Times New Roman" w:hAnsi="Times New Roman" w:cs="Times New Roman"/>
        </w:rPr>
        <w:footnoteRef/>
      </w:r>
      <w:r w:rsidRPr="00F97B98">
        <w:rPr>
          <w:rFonts w:ascii="Times New Roman" w:hAnsi="Times New Roman" w:cs="Times New Roman"/>
        </w:rPr>
        <w:t xml:space="preserve"> United Nations, ‘Gaza: Destruction of vital lifting gear halts search for thousands buried under rubble’ (22</w:t>
      </w:r>
      <w:r w:rsidRPr="00F97B98">
        <w:rPr>
          <w:rFonts w:ascii="Times New Roman" w:hAnsi="Times New Roman" w:cs="Times New Roman"/>
          <w:vertAlign w:val="superscript"/>
        </w:rPr>
        <w:t>nd</w:t>
      </w:r>
      <w:r w:rsidRPr="00F97B98">
        <w:rPr>
          <w:rFonts w:ascii="Times New Roman" w:hAnsi="Times New Roman" w:cs="Times New Roman"/>
        </w:rPr>
        <w:t xml:space="preserve"> April 2025) online at: https://news.un.org/en/story/2025/04/1162491</w:t>
      </w:r>
    </w:p>
  </w:footnote>
  <w:footnote w:id="52">
    <w:p w14:paraId="2E17E64B"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World Food </w:t>
      </w:r>
      <w:proofErr w:type="spellStart"/>
      <w:r w:rsidRPr="00F97B98">
        <w:rPr>
          <w:rFonts w:ascii="Times New Roman" w:hAnsi="Times New Roman" w:cs="Times New Roman"/>
        </w:rPr>
        <w:t>Programme</w:t>
      </w:r>
      <w:proofErr w:type="spellEnd"/>
      <w:r w:rsidRPr="00F97B98">
        <w:rPr>
          <w:rFonts w:ascii="Times New Roman" w:hAnsi="Times New Roman" w:cs="Times New Roman"/>
        </w:rPr>
        <w:t>, ‘Hunger in Gaza: First aid trucks roll in as ceasefire takes effect’ (19</w:t>
      </w:r>
      <w:r w:rsidRPr="00F97B98">
        <w:rPr>
          <w:rFonts w:ascii="Times New Roman" w:hAnsi="Times New Roman" w:cs="Times New Roman"/>
          <w:vertAlign w:val="superscript"/>
        </w:rPr>
        <w:t>th</w:t>
      </w:r>
      <w:r w:rsidRPr="00F97B98">
        <w:rPr>
          <w:rFonts w:ascii="Times New Roman" w:hAnsi="Times New Roman" w:cs="Times New Roman"/>
        </w:rPr>
        <w:t xml:space="preserve"> January 2025) online at: https://www.wfp.org/stories/hunger-gaza-first-aid-trucks-roll-ceasefire-takes-effect</w:t>
      </w:r>
    </w:p>
  </w:footnote>
  <w:footnote w:id="53">
    <w:p w14:paraId="65EA9E1D"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Nette </w:t>
      </w:r>
      <w:proofErr w:type="spellStart"/>
      <w:r w:rsidRPr="00F97B98">
        <w:rPr>
          <w:rFonts w:ascii="Times New Roman" w:hAnsi="Times New Roman" w:cs="Times New Roman"/>
        </w:rPr>
        <w:t>Nöstlinger</w:t>
      </w:r>
      <w:proofErr w:type="spellEnd"/>
      <w:r w:rsidRPr="00F97B98">
        <w:rPr>
          <w:rFonts w:ascii="Times New Roman" w:hAnsi="Times New Roman" w:cs="Times New Roman"/>
        </w:rPr>
        <w:t>, ‘Germany’s Merz blasts Israeli offensive in Gaza’ (26</w:t>
      </w:r>
      <w:r w:rsidRPr="00F97B98">
        <w:rPr>
          <w:rFonts w:ascii="Times New Roman" w:hAnsi="Times New Roman" w:cs="Times New Roman"/>
          <w:vertAlign w:val="superscript"/>
        </w:rPr>
        <w:t>th</w:t>
      </w:r>
      <w:r w:rsidRPr="00F97B98">
        <w:rPr>
          <w:rFonts w:ascii="Times New Roman" w:hAnsi="Times New Roman" w:cs="Times New Roman"/>
        </w:rPr>
        <w:t xml:space="preserve"> May 2025) Politico, online at: https://www.politico.eu/article/germany-friedrich-merz-blasts-israeli-offensive-gaza-strip/</w:t>
      </w:r>
    </w:p>
  </w:footnote>
  <w:footnote w:id="54">
    <w:p w14:paraId="74C0BAB0"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Hans von der Burchard ‘Germany’s foreign minister condemns Israel’s approval of new West Bank settlements’ (5</w:t>
      </w:r>
      <w:r w:rsidRPr="00F97B98">
        <w:rPr>
          <w:rFonts w:ascii="Times New Roman" w:hAnsi="Times New Roman" w:cs="Times New Roman"/>
          <w:vertAlign w:val="superscript"/>
        </w:rPr>
        <w:t>th</w:t>
      </w:r>
      <w:r w:rsidRPr="00F97B98">
        <w:rPr>
          <w:rFonts w:ascii="Times New Roman" w:hAnsi="Times New Roman" w:cs="Times New Roman"/>
        </w:rPr>
        <w:t xml:space="preserve"> June 2025) Politico, online at: https://www.politico.eu/article/germany-condemns-israel-new-west-bank-settlements-international-law-gaza-strip-hamas-war-palestine/</w:t>
      </w:r>
    </w:p>
  </w:footnote>
  <w:footnote w:id="55">
    <w:p w14:paraId="20C6F151" w14:textId="77777777" w:rsidR="00A63F91" w:rsidRPr="00F97B98" w:rsidRDefault="00A63F91" w:rsidP="00A63F91">
      <w:pPr>
        <w:pStyle w:val="FootnoteText"/>
        <w:rPr>
          <w:rFonts w:ascii="Times New Roman" w:hAnsi="Times New Roman" w:cs="Times New Roman"/>
        </w:rPr>
      </w:pPr>
      <w:r w:rsidRPr="00F97B98">
        <w:rPr>
          <w:rStyle w:val="FootnoteCharacters"/>
          <w:rFonts w:ascii="Times New Roman" w:hAnsi="Times New Roman" w:cs="Times New Roman"/>
        </w:rPr>
        <w:footnoteRef/>
      </w:r>
      <w:r w:rsidRPr="00F97B98">
        <w:rPr>
          <w:rFonts w:ascii="Times New Roman" w:hAnsi="Times New Roman" w:cs="Times New Roman"/>
        </w:rPr>
        <w:t xml:space="preserve"> See, Maastricht Principles, Article 9(b) and Article 13, online at: https://www.etoconsortium.org/wp-content/uploads/2023/01/EN_MaastrichtPrinciplesETOs.pdf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D2872" w14:textId="77777777" w:rsidR="000C0B64" w:rsidRPr="000842CA" w:rsidRDefault="00CA15C9" w:rsidP="000842CA">
    <w:pPr>
      <w:pStyle w:val="Header"/>
    </w:pPr>
    <w:r>
      <w:rPr>
        <w:noProof/>
      </w:rPr>
      <w:drawing>
        <wp:anchor distT="0" distB="0" distL="114300" distR="114300" simplePos="0" relativeHeight="251659264" behindDoc="1" locked="0" layoutInCell="1" allowOverlap="1" wp14:anchorId="2DD93C60" wp14:editId="01EE0319">
          <wp:simplePos x="0" y="0"/>
          <wp:positionH relativeFrom="column">
            <wp:posOffset>3712307</wp:posOffset>
          </wp:positionH>
          <wp:positionV relativeFrom="paragraph">
            <wp:posOffset>-211015</wp:posOffset>
          </wp:positionV>
          <wp:extent cx="2786202" cy="464367"/>
          <wp:effectExtent l="0" t="0" r="0" b="5715"/>
          <wp:wrapNone/>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 Shift_Logo + Tagline.jpg"/>
                  <pic:cNvPicPr/>
                </pic:nvPicPr>
                <pic:blipFill>
                  <a:blip r:embed="rId1"/>
                  <a:stretch>
                    <a:fillRect/>
                  </a:stretch>
                </pic:blipFill>
                <pic:spPr>
                  <a:xfrm>
                    <a:off x="0" y="0"/>
                    <a:ext cx="2786202" cy="46436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57E64"/>
    <w:multiLevelType w:val="multilevel"/>
    <w:tmpl w:val="2A74F3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0910A0"/>
    <w:multiLevelType w:val="multilevel"/>
    <w:tmpl w:val="EFDED3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9632870"/>
    <w:multiLevelType w:val="multilevel"/>
    <w:tmpl w:val="35F0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6B5136"/>
    <w:multiLevelType w:val="hybridMultilevel"/>
    <w:tmpl w:val="81261E2C"/>
    <w:lvl w:ilvl="0" w:tplc="E0E4202C">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5073A2A"/>
    <w:multiLevelType w:val="hybridMultilevel"/>
    <w:tmpl w:val="46349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9318FC"/>
    <w:multiLevelType w:val="hybridMultilevel"/>
    <w:tmpl w:val="7FBE445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3CE01D7F"/>
    <w:multiLevelType w:val="multilevel"/>
    <w:tmpl w:val="82487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110E2C"/>
    <w:multiLevelType w:val="multilevel"/>
    <w:tmpl w:val="C242F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042D22"/>
    <w:multiLevelType w:val="multilevel"/>
    <w:tmpl w:val="58FA0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5046CF"/>
    <w:multiLevelType w:val="multilevel"/>
    <w:tmpl w:val="4F2CA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C75770"/>
    <w:multiLevelType w:val="multilevel"/>
    <w:tmpl w:val="37C61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4E819E7"/>
    <w:multiLevelType w:val="hybridMultilevel"/>
    <w:tmpl w:val="E17499DC"/>
    <w:lvl w:ilvl="0" w:tplc="E0E4202C">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58200D1B"/>
    <w:multiLevelType w:val="multilevel"/>
    <w:tmpl w:val="F4D67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36123E"/>
    <w:multiLevelType w:val="multilevel"/>
    <w:tmpl w:val="1960F96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E467244"/>
    <w:multiLevelType w:val="multilevel"/>
    <w:tmpl w:val="E3EEC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B3060B"/>
    <w:multiLevelType w:val="multilevel"/>
    <w:tmpl w:val="FD929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B03762"/>
    <w:multiLevelType w:val="hybridMultilevel"/>
    <w:tmpl w:val="A5A2BB06"/>
    <w:lvl w:ilvl="0" w:tplc="E0E4202C">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6FDE6526"/>
    <w:multiLevelType w:val="multilevel"/>
    <w:tmpl w:val="575AB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C3547E"/>
    <w:multiLevelType w:val="hybridMultilevel"/>
    <w:tmpl w:val="478060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78577769"/>
    <w:multiLevelType w:val="hybridMultilevel"/>
    <w:tmpl w:val="A12CA0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78C60C99"/>
    <w:multiLevelType w:val="multilevel"/>
    <w:tmpl w:val="1A6013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C580484"/>
    <w:multiLevelType w:val="hybridMultilevel"/>
    <w:tmpl w:val="947CCC2C"/>
    <w:lvl w:ilvl="0" w:tplc="ACC45E9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2962730">
    <w:abstractNumId w:val="7"/>
  </w:num>
  <w:num w:numId="2" w16cid:durableId="1721441364">
    <w:abstractNumId w:val="9"/>
  </w:num>
  <w:num w:numId="3" w16cid:durableId="1809778320">
    <w:abstractNumId w:val="15"/>
  </w:num>
  <w:num w:numId="4" w16cid:durableId="184946711">
    <w:abstractNumId w:val="12"/>
  </w:num>
  <w:num w:numId="5" w16cid:durableId="1407192398">
    <w:abstractNumId w:val="14"/>
  </w:num>
  <w:num w:numId="6" w16cid:durableId="15087805">
    <w:abstractNumId w:val="6"/>
  </w:num>
  <w:num w:numId="7" w16cid:durableId="1903249353">
    <w:abstractNumId w:val="16"/>
  </w:num>
  <w:num w:numId="8" w16cid:durableId="1355233289">
    <w:abstractNumId w:val="3"/>
  </w:num>
  <w:num w:numId="9" w16cid:durableId="113911388">
    <w:abstractNumId w:val="11"/>
  </w:num>
  <w:num w:numId="10" w16cid:durableId="536817950">
    <w:abstractNumId w:val="21"/>
  </w:num>
  <w:num w:numId="11" w16cid:durableId="1049300956">
    <w:abstractNumId w:val="5"/>
  </w:num>
  <w:num w:numId="12" w16cid:durableId="1315061915">
    <w:abstractNumId w:val="2"/>
  </w:num>
  <w:num w:numId="13" w16cid:durableId="988511213">
    <w:abstractNumId w:val="17"/>
  </w:num>
  <w:num w:numId="14" w16cid:durableId="861626720">
    <w:abstractNumId w:val="18"/>
  </w:num>
  <w:num w:numId="15" w16cid:durableId="1527257327">
    <w:abstractNumId w:val="19"/>
  </w:num>
  <w:num w:numId="16" w16cid:durableId="103236895">
    <w:abstractNumId w:val="4"/>
  </w:num>
  <w:num w:numId="17" w16cid:durableId="1580600481">
    <w:abstractNumId w:val="8"/>
  </w:num>
  <w:num w:numId="18" w16cid:durableId="138688792">
    <w:abstractNumId w:val="10"/>
  </w:num>
  <w:num w:numId="19" w16cid:durableId="868448235">
    <w:abstractNumId w:val="20"/>
  </w:num>
  <w:num w:numId="20" w16cid:durableId="1837110758">
    <w:abstractNumId w:val="13"/>
  </w:num>
  <w:num w:numId="21" w16cid:durableId="678698707">
    <w:abstractNumId w:val="1"/>
  </w:num>
  <w:num w:numId="22" w16cid:durableId="637959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398"/>
    <w:rsid w:val="00007216"/>
    <w:rsid w:val="000374ED"/>
    <w:rsid w:val="000470F2"/>
    <w:rsid w:val="000563C7"/>
    <w:rsid w:val="00070143"/>
    <w:rsid w:val="00082490"/>
    <w:rsid w:val="000C0B64"/>
    <w:rsid w:val="000E36BC"/>
    <w:rsid w:val="000F3DF8"/>
    <w:rsid w:val="00112BA5"/>
    <w:rsid w:val="0012718B"/>
    <w:rsid w:val="00162643"/>
    <w:rsid w:val="00164BCA"/>
    <w:rsid w:val="00177332"/>
    <w:rsid w:val="00185AD1"/>
    <w:rsid w:val="00187E89"/>
    <w:rsid w:val="001D0388"/>
    <w:rsid w:val="001F0652"/>
    <w:rsid w:val="002218EE"/>
    <w:rsid w:val="00223E46"/>
    <w:rsid w:val="00231EAA"/>
    <w:rsid w:val="0023284A"/>
    <w:rsid w:val="00245E3B"/>
    <w:rsid w:val="00253A67"/>
    <w:rsid w:val="0027654F"/>
    <w:rsid w:val="00292D06"/>
    <w:rsid w:val="00293136"/>
    <w:rsid w:val="002974DA"/>
    <w:rsid w:val="002B6C47"/>
    <w:rsid w:val="002C4F25"/>
    <w:rsid w:val="002D05DA"/>
    <w:rsid w:val="002D409E"/>
    <w:rsid w:val="002F5CF3"/>
    <w:rsid w:val="00325792"/>
    <w:rsid w:val="00331567"/>
    <w:rsid w:val="00334172"/>
    <w:rsid w:val="00336A6A"/>
    <w:rsid w:val="00350B6D"/>
    <w:rsid w:val="00362627"/>
    <w:rsid w:val="00370D6D"/>
    <w:rsid w:val="003856D6"/>
    <w:rsid w:val="003B18D7"/>
    <w:rsid w:val="003E0696"/>
    <w:rsid w:val="003E1E16"/>
    <w:rsid w:val="00404112"/>
    <w:rsid w:val="00414531"/>
    <w:rsid w:val="00431C94"/>
    <w:rsid w:val="00432664"/>
    <w:rsid w:val="00472168"/>
    <w:rsid w:val="0049163B"/>
    <w:rsid w:val="004A3954"/>
    <w:rsid w:val="004B4195"/>
    <w:rsid w:val="004B4398"/>
    <w:rsid w:val="004C0793"/>
    <w:rsid w:val="004C249F"/>
    <w:rsid w:val="004C504E"/>
    <w:rsid w:val="004D2B93"/>
    <w:rsid w:val="004E618F"/>
    <w:rsid w:val="004F10F0"/>
    <w:rsid w:val="005005E7"/>
    <w:rsid w:val="00530BFD"/>
    <w:rsid w:val="00530DCC"/>
    <w:rsid w:val="005525F4"/>
    <w:rsid w:val="00553D33"/>
    <w:rsid w:val="005540FC"/>
    <w:rsid w:val="00577B8B"/>
    <w:rsid w:val="00581EE3"/>
    <w:rsid w:val="005868D6"/>
    <w:rsid w:val="00597672"/>
    <w:rsid w:val="005B1342"/>
    <w:rsid w:val="005B3A1B"/>
    <w:rsid w:val="0061049B"/>
    <w:rsid w:val="00614FDA"/>
    <w:rsid w:val="00616FEB"/>
    <w:rsid w:val="00643A3B"/>
    <w:rsid w:val="006469AB"/>
    <w:rsid w:val="00647C83"/>
    <w:rsid w:val="00662FB9"/>
    <w:rsid w:val="00680157"/>
    <w:rsid w:val="00681C7C"/>
    <w:rsid w:val="00683C14"/>
    <w:rsid w:val="00686A9D"/>
    <w:rsid w:val="006C0BBA"/>
    <w:rsid w:val="006C665E"/>
    <w:rsid w:val="007231DB"/>
    <w:rsid w:val="00727B65"/>
    <w:rsid w:val="00734F0F"/>
    <w:rsid w:val="00742064"/>
    <w:rsid w:val="00751642"/>
    <w:rsid w:val="0077205C"/>
    <w:rsid w:val="0077408A"/>
    <w:rsid w:val="0077699D"/>
    <w:rsid w:val="00797F0D"/>
    <w:rsid w:val="007B0A0E"/>
    <w:rsid w:val="007C5900"/>
    <w:rsid w:val="007D4A4C"/>
    <w:rsid w:val="007D7222"/>
    <w:rsid w:val="007E0D38"/>
    <w:rsid w:val="007E0E59"/>
    <w:rsid w:val="00811B19"/>
    <w:rsid w:val="00832A4C"/>
    <w:rsid w:val="008442EB"/>
    <w:rsid w:val="008C4C34"/>
    <w:rsid w:val="008E1ED2"/>
    <w:rsid w:val="008E75E5"/>
    <w:rsid w:val="008F3E92"/>
    <w:rsid w:val="008F5355"/>
    <w:rsid w:val="009061E4"/>
    <w:rsid w:val="00923F22"/>
    <w:rsid w:val="00924E9E"/>
    <w:rsid w:val="00994E75"/>
    <w:rsid w:val="009A0AFE"/>
    <w:rsid w:val="009B2A4D"/>
    <w:rsid w:val="009E5237"/>
    <w:rsid w:val="009F4512"/>
    <w:rsid w:val="00A278F4"/>
    <w:rsid w:val="00A63F91"/>
    <w:rsid w:val="00A66D53"/>
    <w:rsid w:val="00A70242"/>
    <w:rsid w:val="00A73D0A"/>
    <w:rsid w:val="00AA0056"/>
    <w:rsid w:val="00AA12F8"/>
    <w:rsid w:val="00AB26ED"/>
    <w:rsid w:val="00AC2467"/>
    <w:rsid w:val="00AC3A6A"/>
    <w:rsid w:val="00AD44BD"/>
    <w:rsid w:val="00AD7BBE"/>
    <w:rsid w:val="00AE379D"/>
    <w:rsid w:val="00AE73D5"/>
    <w:rsid w:val="00AF2A08"/>
    <w:rsid w:val="00B053A2"/>
    <w:rsid w:val="00B07CA0"/>
    <w:rsid w:val="00B2320E"/>
    <w:rsid w:val="00B24A9E"/>
    <w:rsid w:val="00B26F14"/>
    <w:rsid w:val="00B42A82"/>
    <w:rsid w:val="00B44B19"/>
    <w:rsid w:val="00B55684"/>
    <w:rsid w:val="00B5731B"/>
    <w:rsid w:val="00B63AB8"/>
    <w:rsid w:val="00B8116A"/>
    <w:rsid w:val="00BD6F94"/>
    <w:rsid w:val="00C03727"/>
    <w:rsid w:val="00C2272A"/>
    <w:rsid w:val="00C46647"/>
    <w:rsid w:val="00C57637"/>
    <w:rsid w:val="00C73BAF"/>
    <w:rsid w:val="00C75328"/>
    <w:rsid w:val="00C8060A"/>
    <w:rsid w:val="00CA15C9"/>
    <w:rsid w:val="00CB10DF"/>
    <w:rsid w:val="00CE4E51"/>
    <w:rsid w:val="00CF7FD2"/>
    <w:rsid w:val="00D37401"/>
    <w:rsid w:val="00D5152B"/>
    <w:rsid w:val="00D52344"/>
    <w:rsid w:val="00D622DF"/>
    <w:rsid w:val="00D648ED"/>
    <w:rsid w:val="00D8364B"/>
    <w:rsid w:val="00D872A0"/>
    <w:rsid w:val="00D96DAC"/>
    <w:rsid w:val="00DA3FA8"/>
    <w:rsid w:val="00DA4C6C"/>
    <w:rsid w:val="00DE22BB"/>
    <w:rsid w:val="00E21B1A"/>
    <w:rsid w:val="00E27F27"/>
    <w:rsid w:val="00E353E4"/>
    <w:rsid w:val="00E36C46"/>
    <w:rsid w:val="00E51777"/>
    <w:rsid w:val="00E666AC"/>
    <w:rsid w:val="00E70403"/>
    <w:rsid w:val="00E80EEB"/>
    <w:rsid w:val="00EA1E10"/>
    <w:rsid w:val="00EB1651"/>
    <w:rsid w:val="00EE1C15"/>
    <w:rsid w:val="00EF1E6B"/>
    <w:rsid w:val="00F23FD3"/>
    <w:rsid w:val="00F31AFA"/>
    <w:rsid w:val="00F36134"/>
    <w:rsid w:val="00F5141C"/>
    <w:rsid w:val="00F73FD2"/>
    <w:rsid w:val="00F755B8"/>
    <w:rsid w:val="00F86E1F"/>
    <w:rsid w:val="00F87A8B"/>
    <w:rsid w:val="00FB5BCC"/>
    <w:rsid w:val="00FC44E6"/>
    <w:rsid w:val="00FD0D92"/>
    <w:rsid w:val="4D08E923"/>
    <w:rsid w:val="7A122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D05605"/>
  <w15:chartTrackingRefBased/>
  <w15:docId w15:val="{E9057CB2-6B68-F544-9CD1-1C2635E5D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CA" w:eastAsia="en-CA"/>
    </w:rPr>
  </w:style>
  <w:style w:type="paragraph" w:styleId="Heading2">
    <w:name w:val="heading 2"/>
    <w:basedOn w:val="Normal"/>
    <w:next w:val="Normal"/>
    <w:link w:val="Heading2Char"/>
    <w:semiHidden/>
    <w:unhideWhenUsed/>
    <w:qFormat/>
    <w:rsid w:val="00AA12F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qFormat/>
    <w:rsid w:val="004B4398"/>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4B4398"/>
    <w:pPr>
      <w:spacing w:before="100" w:beforeAutospacing="1" w:after="100" w:afterAutospacing="1"/>
    </w:pPr>
  </w:style>
  <w:style w:type="character" w:styleId="Strong">
    <w:name w:val="Strong"/>
    <w:qFormat/>
    <w:rsid w:val="004B4398"/>
    <w:rPr>
      <w:b/>
      <w:bCs/>
    </w:rPr>
  </w:style>
  <w:style w:type="character" w:styleId="HTMLAcronym">
    <w:name w:val="HTML Acronym"/>
    <w:basedOn w:val="DefaultParagraphFont"/>
    <w:rsid w:val="004B4398"/>
  </w:style>
  <w:style w:type="character" w:styleId="Hyperlink">
    <w:name w:val="Hyperlink"/>
    <w:rsid w:val="004B4398"/>
    <w:rPr>
      <w:color w:val="0000FF"/>
      <w:u w:val="single"/>
    </w:rPr>
  </w:style>
  <w:style w:type="character" w:styleId="Emphasis">
    <w:name w:val="Emphasis"/>
    <w:qFormat/>
    <w:rsid w:val="004B4398"/>
    <w:rPr>
      <w:i/>
      <w:iCs/>
    </w:rPr>
  </w:style>
  <w:style w:type="paragraph" w:styleId="BalloonText">
    <w:name w:val="Balloon Text"/>
    <w:basedOn w:val="Normal"/>
    <w:link w:val="BalloonTextChar"/>
    <w:rsid w:val="00EB1651"/>
    <w:rPr>
      <w:rFonts w:ascii="Segoe UI" w:hAnsi="Segoe UI" w:cs="Segoe UI"/>
      <w:sz w:val="18"/>
      <w:szCs w:val="18"/>
    </w:rPr>
  </w:style>
  <w:style w:type="character" w:customStyle="1" w:styleId="BalloonTextChar">
    <w:name w:val="Balloon Text Char"/>
    <w:link w:val="BalloonText"/>
    <w:rsid w:val="00EB1651"/>
    <w:rPr>
      <w:rFonts w:ascii="Segoe UI" w:hAnsi="Segoe UI" w:cs="Segoe UI"/>
      <w:sz w:val="18"/>
      <w:szCs w:val="18"/>
    </w:rPr>
  </w:style>
  <w:style w:type="character" w:styleId="CommentReference">
    <w:name w:val="annotation reference"/>
    <w:uiPriority w:val="99"/>
    <w:rsid w:val="00331567"/>
    <w:rPr>
      <w:sz w:val="16"/>
      <w:szCs w:val="16"/>
    </w:rPr>
  </w:style>
  <w:style w:type="paragraph" w:styleId="CommentText">
    <w:name w:val="annotation text"/>
    <w:basedOn w:val="Normal"/>
    <w:link w:val="CommentTextChar"/>
    <w:uiPriority w:val="99"/>
    <w:rsid w:val="00331567"/>
    <w:rPr>
      <w:sz w:val="20"/>
      <w:szCs w:val="20"/>
    </w:rPr>
  </w:style>
  <w:style w:type="character" w:customStyle="1" w:styleId="CommentTextChar">
    <w:name w:val="Comment Text Char"/>
    <w:basedOn w:val="DefaultParagraphFont"/>
    <w:link w:val="CommentText"/>
    <w:uiPriority w:val="99"/>
    <w:rsid w:val="00331567"/>
  </w:style>
  <w:style w:type="paragraph" w:styleId="CommentSubject">
    <w:name w:val="annotation subject"/>
    <w:basedOn w:val="CommentText"/>
    <w:next w:val="CommentText"/>
    <w:link w:val="CommentSubjectChar"/>
    <w:rsid w:val="00331567"/>
    <w:rPr>
      <w:b/>
      <w:bCs/>
    </w:rPr>
  </w:style>
  <w:style w:type="character" w:customStyle="1" w:styleId="CommentSubjectChar">
    <w:name w:val="Comment Subject Char"/>
    <w:link w:val="CommentSubject"/>
    <w:rsid w:val="00331567"/>
    <w:rPr>
      <w:b/>
      <w:bCs/>
    </w:rPr>
  </w:style>
  <w:style w:type="paragraph" w:styleId="ListParagraph">
    <w:name w:val="List Paragraph"/>
    <w:aliases w:val="table bullets,List Paragraph no indent,Dot pt,Liste 1,F5 List Paragraph,List Paragraph Char Char Char,Indicator Text,Numbered Para 1,Bullet 1,Bullet Points,List Paragraph2,MAIN CONTENT,Normal numbered,List Paragraph1,BN 1,Bullet List,列出段落"/>
    <w:basedOn w:val="Normal"/>
    <w:link w:val="ListParagraphChar"/>
    <w:uiPriority w:val="34"/>
    <w:qFormat/>
    <w:rsid w:val="00185AD1"/>
    <w:pPr>
      <w:ind w:left="720"/>
    </w:pPr>
  </w:style>
  <w:style w:type="character" w:customStyle="1" w:styleId="Heading2Char">
    <w:name w:val="Heading 2 Char"/>
    <w:basedOn w:val="DefaultParagraphFont"/>
    <w:link w:val="Heading2"/>
    <w:semiHidden/>
    <w:rsid w:val="00AA12F8"/>
    <w:rPr>
      <w:rFonts w:asciiTheme="majorHAnsi" w:eastAsiaTheme="majorEastAsia" w:hAnsiTheme="majorHAnsi" w:cstheme="majorBidi"/>
      <w:b/>
      <w:bCs/>
      <w:i/>
      <w:iCs/>
      <w:sz w:val="28"/>
      <w:szCs w:val="28"/>
      <w:lang w:val="en-CA" w:eastAsia="en-CA"/>
    </w:rPr>
  </w:style>
  <w:style w:type="character" w:customStyle="1" w:styleId="ListParagraphChar">
    <w:name w:val="List Paragraph Char"/>
    <w:aliases w:val="table bullets Char,List Paragraph no indent Char,Dot pt Char,Liste 1 Char,F5 List Paragraph Char,List Paragraph Char Char Char Char,Indicator Text Char,Numbered Para 1 Char,Bullet 1 Char,Bullet Points Char,List Paragraph2 Char"/>
    <w:link w:val="ListParagraph"/>
    <w:uiPriority w:val="34"/>
    <w:qFormat/>
    <w:rsid w:val="00AA12F8"/>
    <w:rPr>
      <w:sz w:val="24"/>
      <w:szCs w:val="24"/>
      <w:lang w:val="en-CA" w:eastAsia="en-CA"/>
    </w:rPr>
  </w:style>
  <w:style w:type="character" w:customStyle="1" w:styleId="fontstyle01">
    <w:name w:val="fontstyle01"/>
    <w:rsid w:val="0012718B"/>
    <w:rPr>
      <w:rFonts w:ascii="TimesNewRoman" w:hAnsi="TimesNewRoman" w:hint="default"/>
      <w:b w:val="0"/>
      <w:bCs w:val="0"/>
      <w:i w:val="0"/>
      <w:iCs w:val="0"/>
      <w:color w:val="000000"/>
      <w:sz w:val="22"/>
      <w:szCs w:val="22"/>
    </w:rPr>
  </w:style>
  <w:style w:type="paragraph" w:customStyle="1" w:styleId="paragraph">
    <w:name w:val="paragraph"/>
    <w:basedOn w:val="Normal"/>
    <w:rsid w:val="0012718B"/>
    <w:pPr>
      <w:spacing w:before="100" w:beforeAutospacing="1" w:after="100" w:afterAutospacing="1"/>
    </w:pPr>
  </w:style>
  <w:style w:type="character" w:customStyle="1" w:styleId="lawlabel">
    <w:name w:val="lawlabel"/>
    <w:basedOn w:val="DefaultParagraphFont"/>
    <w:rsid w:val="0012718B"/>
  </w:style>
  <w:style w:type="paragraph" w:styleId="FootnoteText">
    <w:name w:val="footnote text"/>
    <w:basedOn w:val="Normal"/>
    <w:link w:val="FootnoteTextChar"/>
    <w:uiPriority w:val="99"/>
    <w:unhideWhenUsed/>
    <w:rsid w:val="0012718B"/>
    <w:rPr>
      <w:rFonts w:ascii="Cambria" w:eastAsia="MS Mincho" w:hAnsi="Cambria" w:cs="Cambria"/>
      <w:sz w:val="20"/>
      <w:szCs w:val="20"/>
      <w:lang w:val="en-US" w:eastAsia="en-US"/>
    </w:rPr>
  </w:style>
  <w:style w:type="character" w:customStyle="1" w:styleId="FootnoteTextChar">
    <w:name w:val="Footnote Text Char"/>
    <w:basedOn w:val="DefaultParagraphFont"/>
    <w:link w:val="FootnoteText"/>
    <w:uiPriority w:val="99"/>
    <w:qFormat/>
    <w:rsid w:val="0012718B"/>
    <w:rPr>
      <w:rFonts w:ascii="Cambria" w:eastAsia="MS Mincho" w:hAnsi="Cambria" w:cs="Cambria"/>
      <w:lang w:val="en-US" w:eastAsia="en-US"/>
    </w:rPr>
  </w:style>
  <w:style w:type="character" w:styleId="FootnoteReference">
    <w:name w:val="footnote reference"/>
    <w:uiPriority w:val="99"/>
    <w:unhideWhenUsed/>
    <w:rsid w:val="0012718B"/>
    <w:rPr>
      <w:vertAlign w:val="superscript"/>
    </w:rPr>
  </w:style>
  <w:style w:type="table" w:styleId="TableGrid">
    <w:name w:val="Table Grid"/>
    <w:basedOn w:val="TableNormal"/>
    <w:uiPriority w:val="59"/>
    <w:rsid w:val="0012718B"/>
    <w:rPr>
      <w:rFonts w:eastAsia="MS Mincho"/>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4C0793"/>
    <w:pPr>
      <w:tabs>
        <w:tab w:val="center" w:pos="4513"/>
        <w:tab w:val="right" w:pos="9026"/>
      </w:tabs>
    </w:pPr>
  </w:style>
  <w:style w:type="character" w:customStyle="1" w:styleId="HeaderChar">
    <w:name w:val="Header Char"/>
    <w:basedOn w:val="DefaultParagraphFont"/>
    <w:link w:val="Header"/>
    <w:rsid w:val="004C0793"/>
    <w:rPr>
      <w:sz w:val="24"/>
      <w:szCs w:val="24"/>
      <w:lang w:val="en-CA" w:eastAsia="en-CA"/>
    </w:rPr>
  </w:style>
  <w:style w:type="paragraph" w:styleId="Footer">
    <w:name w:val="footer"/>
    <w:basedOn w:val="Normal"/>
    <w:link w:val="FooterChar"/>
    <w:uiPriority w:val="99"/>
    <w:rsid w:val="004C0793"/>
    <w:pPr>
      <w:tabs>
        <w:tab w:val="center" w:pos="4513"/>
        <w:tab w:val="right" w:pos="9026"/>
      </w:tabs>
    </w:pPr>
  </w:style>
  <w:style w:type="character" w:customStyle="1" w:styleId="FooterChar">
    <w:name w:val="Footer Char"/>
    <w:basedOn w:val="DefaultParagraphFont"/>
    <w:link w:val="Footer"/>
    <w:uiPriority w:val="99"/>
    <w:rsid w:val="004C0793"/>
    <w:rPr>
      <w:sz w:val="24"/>
      <w:szCs w:val="24"/>
      <w:lang w:val="en-CA" w:eastAsia="en-CA"/>
    </w:rPr>
  </w:style>
  <w:style w:type="paragraph" w:styleId="Revision">
    <w:name w:val="Revision"/>
    <w:hidden/>
    <w:uiPriority w:val="99"/>
    <w:semiHidden/>
    <w:rsid w:val="00350B6D"/>
    <w:rPr>
      <w:sz w:val="24"/>
      <w:szCs w:val="24"/>
      <w:lang w:val="en-CA" w:eastAsia="en-CA"/>
    </w:rPr>
  </w:style>
  <w:style w:type="character" w:customStyle="1" w:styleId="FootnoteCharacters">
    <w:name w:val="Footnote Characters"/>
    <w:basedOn w:val="DefaultParagraphFont"/>
    <w:uiPriority w:val="99"/>
    <w:semiHidden/>
    <w:unhideWhenUsed/>
    <w:qFormat/>
    <w:rsid w:val="00A63F91"/>
    <w:rPr>
      <w:vertAlign w:val="superscript"/>
    </w:rPr>
  </w:style>
  <w:style w:type="character" w:customStyle="1" w:styleId="FootnoteAnchor">
    <w:name w:val="Footnote Anchor"/>
    <w:rsid w:val="00A63F91"/>
    <w:rPr>
      <w:vertAlign w:val="superscript"/>
    </w:rPr>
  </w:style>
  <w:style w:type="paragraph" w:customStyle="1" w:styleId="PreformattedText">
    <w:name w:val="Preformatted Text"/>
    <w:basedOn w:val="Normal"/>
    <w:qFormat/>
    <w:rsid w:val="00A63F91"/>
    <w:rPr>
      <w:rFonts w:ascii="Liberation Mono" w:eastAsia="Liberation Mono" w:hAnsi="Liberation Mono" w:cs="Liberation Mono"/>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6333182">
      <w:bodyDiv w:val="1"/>
      <w:marLeft w:val="0"/>
      <w:marRight w:val="0"/>
      <w:marTop w:val="0"/>
      <w:marBottom w:val="0"/>
      <w:divBdr>
        <w:top w:val="none" w:sz="0" w:space="0" w:color="auto"/>
        <w:left w:val="none" w:sz="0" w:space="0" w:color="auto"/>
        <w:bottom w:val="none" w:sz="0" w:space="0" w:color="auto"/>
        <w:right w:val="none" w:sz="0" w:space="0" w:color="auto"/>
      </w:divBdr>
    </w:div>
    <w:div w:id="954560013">
      <w:bodyDiv w:val="1"/>
      <w:marLeft w:val="0"/>
      <w:marRight w:val="0"/>
      <w:marTop w:val="0"/>
      <w:marBottom w:val="0"/>
      <w:divBdr>
        <w:top w:val="none" w:sz="0" w:space="0" w:color="auto"/>
        <w:left w:val="none" w:sz="0" w:space="0" w:color="auto"/>
        <w:bottom w:val="none" w:sz="0" w:space="0" w:color="auto"/>
        <w:right w:val="none" w:sz="0" w:space="0" w:color="auto"/>
      </w:divBdr>
    </w:div>
    <w:div w:id="1247573815">
      <w:bodyDiv w:val="1"/>
      <w:marLeft w:val="0"/>
      <w:marRight w:val="0"/>
      <w:marTop w:val="0"/>
      <w:marBottom w:val="0"/>
      <w:divBdr>
        <w:top w:val="none" w:sz="0" w:space="0" w:color="auto"/>
        <w:left w:val="none" w:sz="0" w:space="0" w:color="auto"/>
        <w:bottom w:val="none" w:sz="0" w:space="0" w:color="auto"/>
        <w:right w:val="none" w:sz="0" w:space="0" w:color="auto"/>
      </w:divBdr>
    </w:div>
    <w:div w:id="1284969178">
      <w:bodyDiv w:val="1"/>
      <w:marLeft w:val="0"/>
      <w:marRight w:val="0"/>
      <w:marTop w:val="0"/>
      <w:marBottom w:val="0"/>
      <w:divBdr>
        <w:top w:val="none" w:sz="0" w:space="0" w:color="auto"/>
        <w:left w:val="none" w:sz="0" w:space="0" w:color="auto"/>
        <w:bottom w:val="none" w:sz="0" w:space="0" w:color="auto"/>
        <w:right w:val="none" w:sz="0" w:space="0" w:color="auto"/>
      </w:divBdr>
    </w:div>
    <w:div w:id="1334915489">
      <w:bodyDiv w:val="1"/>
      <w:marLeft w:val="0"/>
      <w:marRight w:val="0"/>
      <w:marTop w:val="0"/>
      <w:marBottom w:val="0"/>
      <w:divBdr>
        <w:top w:val="none" w:sz="0" w:space="0" w:color="auto"/>
        <w:left w:val="none" w:sz="0" w:space="0" w:color="auto"/>
        <w:bottom w:val="none" w:sz="0" w:space="0" w:color="auto"/>
        <w:right w:val="none" w:sz="0" w:space="0" w:color="auto"/>
      </w:divBdr>
    </w:div>
    <w:div w:id="1398437158">
      <w:bodyDiv w:val="1"/>
      <w:marLeft w:val="0"/>
      <w:marRight w:val="0"/>
      <w:marTop w:val="0"/>
      <w:marBottom w:val="0"/>
      <w:divBdr>
        <w:top w:val="none" w:sz="0" w:space="0" w:color="auto"/>
        <w:left w:val="none" w:sz="0" w:space="0" w:color="auto"/>
        <w:bottom w:val="none" w:sz="0" w:space="0" w:color="auto"/>
        <w:right w:val="none" w:sz="0" w:space="0" w:color="auto"/>
      </w:divBdr>
    </w:div>
    <w:div w:id="1517694109">
      <w:bodyDiv w:val="1"/>
      <w:marLeft w:val="0"/>
      <w:marRight w:val="0"/>
      <w:marTop w:val="0"/>
      <w:marBottom w:val="0"/>
      <w:divBdr>
        <w:top w:val="none" w:sz="0" w:space="0" w:color="auto"/>
        <w:left w:val="none" w:sz="0" w:space="0" w:color="auto"/>
        <w:bottom w:val="none" w:sz="0" w:space="0" w:color="auto"/>
        <w:right w:val="none" w:sz="0" w:space="0" w:color="auto"/>
      </w:divBdr>
    </w:div>
    <w:div w:id="1862081839">
      <w:bodyDiv w:val="1"/>
      <w:marLeft w:val="0"/>
      <w:marRight w:val="0"/>
      <w:marTop w:val="0"/>
      <w:marBottom w:val="0"/>
      <w:divBdr>
        <w:top w:val="none" w:sz="0" w:space="0" w:color="auto"/>
        <w:left w:val="none" w:sz="0" w:space="0" w:color="auto"/>
        <w:bottom w:val="none" w:sz="0" w:space="0" w:color="auto"/>
        <w:right w:val="none" w:sz="0" w:space="0" w:color="auto"/>
      </w:divBdr>
    </w:div>
    <w:div w:id="1986814461">
      <w:bodyDiv w:val="1"/>
      <w:marLeft w:val="0"/>
      <w:marRight w:val="0"/>
      <w:marTop w:val="0"/>
      <w:marBottom w:val="0"/>
      <w:divBdr>
        <w:top w:val="none" w:sz="0" w:space="0" w:color="auto"/>
        <w:left w:val="none" w:sz="0" w:space="0" w:color="auto"/>
        <w:bottom w:val="none" w:sz="0" w:space="0" w:color="auto"/>
        <w:right w:val="none" w:sz="0" w:space="0" w:color="auto"/>
      </w:divBdr>
      <w:divsChild>
        <w:div w:id="1474566806">
          <w:marLeft w:val="0"/>
          <w:marRight w:val="0"/>
          <w:marTop w:val="0"/>
          <w:marBottom w:val="0"/>
          <w:divBdr>
            <w:top w:val="none" w:sz="0" w:space="0" w:color="auto"/>
            <w:left w:val="none" w:sz="0" w:space="0" w:color="auto"/>
            <w:bottom w:val="none" w:sz="0" w:space="0" w:color="auto"/>
            <w:right w:val="none" w:sz="0" w:space="0" w:color="auto"/>
          </w:divBdr>
          <w:divsChild>
            <w:div w:id="1467619852">
              <w:marLeft w:val="0"/>
              <w:marRight w:val="0"/>
              <w:marTop w:val="0"/>
              <w:marBottom w:val="0"/>
              <w:divBdr>
                <w:top w:val="none" w:sz="0" w:space="0" w:color="auto"/>
                <w:left w:val="none" w:sz="0" w:space="0" w:color="auto"/>
                <w:bottom w:val="none" w:sz="0" w:space="0" w:color="auto"/>
                <w:right w:val="none" w:sz="0" w:space="0" w:color="auto"/>
              </w:divBdr>
              <w:divsChild>
                <w:div w:id="103831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notesfrombelow.org/article/expropriate-big-landlords-interview-frontlines-ger" TargetMode="External"/><Relationship Id="rId13" Type="http://schemas.openxmlformats.org/officeDocument/2006/relationships/hyperlink" Target="https://spcommreports.ohchr.org/TMResultsBase/DownLoadPublicCommunicationFile?gId=29071" TargetMode="External"/><Relationship Id="rId3" Type="http://schemas.openxmlformats.org/officeDocument/2006/relationships/hyperlink" Target="https://www.theguardian.com/commentisfree/2021/sep/29/berlin-vote-landlords-referendum-corporate" TargetMode="External"/><Relationship Id="rId7" Type="http://schemas.openxmlformats.org/officeDocument/2006/relationships/hyperlink" Target="https://notesfrombelow.org/article/expropriate-big-landlords-interview-frontlines-ger" TargetMode="External"/><Relationship Id="rId12" Type="http://schemas.openxmlformats.org/officeDocument/2006/relationships/hyperlink" Target="https://www.n-tv.de/wirtschaft/Kabinett-gibt-gruenes-Licht-fuer-Bau-Turbo-article25842155.html" TargetMode="External"/><Relationship Id="rId2" Type="http://schemas.openxmlformats.org/officeDocument/2006/relationships/hyperlink" Target="https://uk.finance.yahoo.com/news/german-home-building-permits-april-070648520.html" TargetMode="External"/><Relationship Id="rId1" Type="http://schemas.openxmlformats.org/officeDocument/2006/relationships/hyperlink" Target="https://www.refire-online.com/investment/germany-reactivates-state-subsidies-housing-construction/" TargetMode="External"/><Relationship Id="rId6" Type="http://schemas.openxmlformats.org/officeDocument/2006/relationships/hyperlink" Target="https://spcommreports.ohchr.org/TMResultsBase/DownLoadPublicCommunicationFile?gId=25200" TargetMode="External"/><Relationship Id="rId11" Type="http://schemas.openxmlformats.org/officeDocument/2006/relationships/hyperlink" Target="https://housingrightswatch.org/sites/default/files/ctools/VERSION-EN-Chap4-Art1.pdf" TargetMode="External"/><Relationship Id="rId5" Type="http://schemas.openxmlformats.org/officeDocument/2006/relationships/hyperlink" Target="https://dwenteignen.de/argumente" TargetMode="External"/><Relationship Id="rId10" Type="http://schemas.openxmlformats.org/officeDocument/2006/relationships/hyperlink" Target="https://make-the-shift.org/wp-content/uploads/2021/03/germany-effectsbusiness-practices.pdf" TargetMode="External"/><Relationship Id="rId4" Type="http://schemas.openxmlformats.org/officeDocument/2006/relationships/hyperlink" Target="https://notesfrombelow.org/article/expropriate-big-landlords-interview-frontlines-ger" TargetMode="External"/><Relationship Id="rId9" Type="http://schemas.openxmlformats.org/officeDocument/2006/relationships/hyperlink" Target="https://housingrightswatch.org/sites/default/files/ctools/VERSION-EN-Chap4-Art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b2881b8f7506f76ccd0bb8294c18a66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7e8fca2080bf479fdf252941a3989a6"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2025-08-08T13:45:03+00:00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943E32D-CE03-4112-BC5E-9E4826C606AA}">
  <ds:schemaRefs>
    <ds:schemaRef ds:uri="http://schemas.openxmlformats.org/officeDocument/2006/bibliography"/>
  </ds:schemaRefs>
</ds:datastoreItem>
</file>

<file path=customXml/itemProps2.xml><?xml version="1.0" encoding="utf-8"?>
<ds:datastoreItem xmlns:ds="http://schemas.openxmlformats.org/officeDocument/2006/customXml" ds:itemID="{B0FF934E-9ED9-416D-9385-8F285FAD8E36}"/>
</file>

<file path=customXml/itemProps3.xml><?xml version="1.0" encoding="utf-8"?>
<ds:datastoreItem xmlns:ds="http://schemas.openxmlformats.org/officeDocument/2006/customXml" ds:itemID="{E814AC20-9E31-4644-A356-55F65E8F320B}"/>
</file>

<file path=customXml/itemProps4.xml><?xml version="1.0" encoding="utf-8"?>
<ds:datastoreItem xmlns:ds="http://schemas.openxmlformats.org/officeDocument/2006/customXml" ds:itemID="{58AE2E8F-73F5-4CA3-BCF0-AC0E53C0BAAC}"/>
</file>

<file path=docProps/app.xml><?xml version="1.0" encoding="utf-8"?>
<Properties xmlns="http://schemas.openxmlformats.org/officeDocument/2006/extended-properties" xmlns:vt="http://schemas.openxmlformats.org/officeDocument/2006/docPropsVTypes">
  <Template>Normal.dotm</Template>
  <TotalTime>690</TotalTime>
  <Pages>10</Pages>
  <Words>3615</Words>
  <Characters>20249</Characters>
  <Application>Microsoft Office Word</Application>
  <DocSecurity>0</DocSecurity>
  <Lines>269</Lines>
  <Paragraphs>29</Paragraphs>
  <ScaleCrop>false</ScaleCrop>
  <HeadingPairs>
    <vt:vector size="2" baseType="variant">
      <vt:variant>
        <vt:lpstr>Title</vt:lpstr>
      </vt:variant>
      <vt:variant>
        <vt:i4>1</vt:i4>
      </vt:variant>
    </vt:vector>
  </HeadingPairs>
  <TitlesOfParts>
    <vt:vector size="1" baseType="lpstr">
      <vt:lpstr>Title Page</vt:lpstr>
    </vt:vector>
  </TitlesOfParts>
  <Company>INAC-AINC</Company>
  <LinksUpToDate>false</LinksUpToDate>
  <CharactersWithSpaces>23835</CharactersWithSpaces>
  <SharedDoc>false</SharedDoc>
  <HLinks>
    <vt:vector size="6" baseType="variant">
      <vt:variant>
        <vt:i4>983131</vt:i4>
      </vt:variant>
      <vt:variant>
        <vt:i4>0</vt:i4>
      </vt:variant>
      <vt:variant>
        <vt:i4>0</vt:i4>
      </vt:variant>
      <vt:variant>
        <vt:i4>5</vt:i4>
      </vt:variant>
      <vt:variant>
        <vt:lpwstr>pcdocs://OTTAWAITI7/3081326/R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Page</dc:title>
  <dc:subject/>
  <dc:creator>LAMBIERK</dc:creator>
  <cp:keywords/>
  <dc:description/>
  <cp:lastModifiedBy>Sam Freeman</cp:lastModifiedBy>
  <cp:revision>5</cp:revision>
  <dcterms:created xsi:type="dcterms:W3CDTF">2025-06-30T15:37:00Z</dcterms:created>
  <dcterms:modified xsi:type="dcterms:W3CDTF">2025-07-30T13:23:00Z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