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1000125</wp:posOffset>
            </wp:positionH>
            <wp:positionV relativeFrom="paragraph">
              <wp:posOffset>114300</wp:posOffset>
            </wp:positionV>
            <wp:extent cx="1428750" cy="1428750"/>
            <wp:effectExtent b="0" l="0" r="0" t="0"/>
            <wp:wrapSquare wrapText="bothSides" distB="114300" distT="114300" distL="114300" distR="114300"/>
            <wp:docPr id="4"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428750" cy="1428750"/>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2667000</wp:posOffset>
            </wp:positionH>
            <wp:positionV relativeFrom="paragraph">
              <wp:posOffset>142875</wp:posOffset>
            </wp:positionV>
            <wp:extent cx="1835311" cy="917656"/>
            <wp:effectExtent b="0" l="0" r="0" t="0"/>
            <wp:wrapSquare wrapText="bothSides" distB="0" distT="0" distL="0" distR="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835311" cy="917656"/>
                    </a:xfrm>
                    <a:prstGeom prst="rect"/>
                    <a:ln/>
                  </pic:spPr>
                </pic:pic>
              </a:graphicData>
            </a:graphic>
          </wp:anchor>
        </w:drawing>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spacing w:after="160" w:line="278.00000000000006" w:lineRule="auto"/>
        <w:jc w:val="center"/>
        <w:rPr>
          <w:b w:val="1"/>
        </w:rPr>
      </w:pPr>
      <w:r w:rsidDel="00000000" w:rsidR="00000000" w:rsidRPr="00000000">
        <w:rPr>
          <w:b w:val="1"/>
          <w:rtl w:val="0"/>
        </w:rPr>
        <w:t xml:space="preserve">Comité para la Eliminación de la Discriminación contra la Mujer (en adelante CEDAW)</w:t>
        <w:br w:type="textWrapping"/>
        <w:t xml:space="preserve">Informe alternativo para la evaluación de los Estados Unidos Mexicanos a la sesión 91° (16 de junio al 04 de julio de 2025) </w:t>
        <w:br w:type="textWrapping"/>
      </w:r>
    </w:p>
    <w:p w:rsidR="00000000" w:rsidDel="00000000" w:rsidP="00000000" w:rsidRDefault="00000000" w:rsidRPr="00000000" w14:paraId="0000000C">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0D">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0E">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0F">
      <w:pPr>
        <w:spacing w:after="160" w:line="278.00000000000006" w:lineRule="auto"/>
        <w:jc w:val="center"/>
        <w:rPr>
          <w:b w:val="1"/>
        </w:rPr>
      </w:pPr>
      <w:r w:rsidDel="00000000" w:rsidR="00000000" w:rsidRPr="00000000">
        <w:rPr>
          <w:b w:val="1"/>
          <w:rtl w:val="0"/>
        </w:rPr>
        <w:t xml:space="preserve">Contribución conjunta presentada por la organización Letra S, Sida, Cultura y Vida Cotidiana, AC</w:t>
      </w:r>
      <w:r w:rsidDel="00000000" w:rsidR="00000000" w:rsidRPr="00000000">
        <w:rPr>
          <w:b w:val="1"/>
          <w:vertAlign w:val="superscript"/>
        </w:rPr>
        <w:footnoteReference w:customMarkFollows="0" w:id="0"/>
      </w:r>
      <w:r w:rsidDel="00000000" w:rsidR="00000000" w:rsidRPr="00000000">
        <w:rPr>
          <w:b w:val="1"/>
          <w:rtl w:val="0"/>
        </w:rPr>
        <w:t xml:space="preserve"> y la Red Regional SinViolenciaLGBTI</w:t>
      </w:r>
      <w:r w:rsidDel="00000000" w:rsidR="00000000" w:rsidRPr="00000000">
        <w:rPr>
          <w:b w:val="1"/>
          <w:vertAlign w:val="superscript"/>
        </w:rPr>
        <w:footnoteReference w:customMarkFollows="0" w:id="1"/>
      </w:r>
      <w:r w:rsidDel="00000000" w:rsidR="00000000" w:rsidRPr="00000000">
        <w:rPr>
          <w:b w:val="1"/>
          <w:rtl w:val="0"/>
        </w:rPr>
        <w:t xml:space="preserve"> sobre la situación de violencia letal y acceso a la justicia para mujeres lesbianas y trans en México</w:t>
      </w:r>
    </w:p>
    <w:p w:rsidR="00000000" w:rsidDel="00000000" w:rsidP="00000000" w:rsidRDefault="00000000" w:rsidRPr="00000000" w14:paraId="00000010">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11">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12">
      <w:pPr>
        <w:spacing w:after="160" w:line="278.00000000000006" w:lineRule="auto"/>
        <w:jc w:val="center"/>
        <w:rPr>
          <w:b w:val="1"/>
        </w:rPr>
      </w:pPr>
      <w:r w:rsidDel="00000000" w:rsidR="00000000" w:rsidRPr="00000000">
        <w:rPr>
          <w:rtl w:val="0"/>
        </w:rPr>
      </w:r>
    </w:p>
    <w:p w:rsidR="00000000" w:rsidDel="00000000" w:rsidP="00000000" w:rsidRDefault="00000000" w:rsidRPr="00000000" w14:paraId="00000013">
      <w:pPr>
        <w:spacing w:after="160" w:line="278.00000000000006" w:lineRule="auto"/>
        <w:jc w:val="center"/>
        <w:rPr/>
      </w:pPr>
      <w:r w:rsidDel="00000000" w:rsidR="00000000" w:rsidRPr="00000000">
        <w:rPr>
          <w:rtl w:val="0"/>
        </w:rPr>
        <w:t xml:space="preserve">Se autoriza la publicación del presente documento en la página web de la OACNUDH relativa a la CEDAW</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b w:val="1"/>
        </w:rPr>
      </w:pPr>
      <w:r w:rsidDel="00000000" w:rsidR="00000000" w:rsidRPr="00000000">
        <w:rPr>
          <w:b w:val="1"/>
          <w:rtl w:val="0"/>
        </w:rPr>
        <w:t xml:space="preserve">Introducción</w:t>
      </w:r>
    </w:p>
    <w:p w:rsidR="00000000" w:rsidDel="00000000" w:rsidP="00000000" w:rsidRDefault="00000000" w:rsidRPr="00000000" w14:paraId="00000023">
      <w:pPr>
        <w:rPr>
          <w:b w:val="1"/>
        </w:rPr>
      </w:pPr>
      <w:r w:rsidDel="00000000" w:rsidR="00000000" w:rsidRPr="00000000">
        <w:rPr>
          <w:rtl w:val="0"/>
        </w:rPr>
      </w:r>
    </w:p>
    <w:p w:rsidR="00000000" w:rsidDel="00000000" w:rsidP="00000000" w:rsidRDefault="00000000" w:rsidRPr="00000000" w14:paraId="00000024">
      <w:pPr>
        <w:spacing w:after="160" w:lineRule="auto"/>
        <w:jc w:val="both"/>
        <w:rPr/>
      </w:pPr>
      <w:r w:rsidDel="00000000" w:rsidR="00000000" w:rsidRPr="00000000">
        <w:rPr>
          <w:rtl w:val="0"/>
        </w:rPr>
        <w:t xml:space="preserve">1.</w:t>
        <w:tab/>
        <w:t xml:space="preserve">Letra S, Sida, Cultura y Vida Cotidiana, AC es una organización LGBT+ de la sociedad civil con sede en la Ciudad de México que se </w:t>
      </w:r>
      <w:r w:rsidDel="00000000" w:rsidR="00000000" w:rsidRPr="00000000">
        <w:rPr>
          <w:highlight w:val="white"/>
          <w:rtl w:val="0"/>
        </w:rPr>
        <w:t xml:space="preserve">dedica a la difusión de información y a la defensa de los derechos humanos en México. Con el objetivo de impulsar la </w:t>
      </w:r>
      <w:r w:rsidDel="00000000" w:rsidR="00000000" w:rsidRPr="00000000">
        <w:rPr>
          <w:rtl w:val="0"/>
        </w:rPr>
        <w:t xml:space="preserve">transformación de las estructuras sociales que generan opresión y exclusión, Letra S se dedica a la d</w:t>
      </w:r>
      <w:r w:rsidDel="00000000" w:rsidR="00000000" w:rsidRPr="00000000">
        <w:rPr>
          <w:highlight w:val="white"/>
          <w:rtl w:val="0"/>
        </w:rPr>
        <w:t xml:space="preserve">ocumentación e investigación de crímenes cometidos contra personas LGBTI+, a través del monitoreo de medios digitales en el país. Asimismo, realiza trabajo de cabildeo con el objeto de lograr cambios en las políticas públicas y en las legislaciones, con perspectiva de igualdad y no discriminación, que beneficien las personas LGBTI. </w:t>
      </w:r>
      <w:r w:rsidDel="00000000" w:rsidR="00000000" w:rsidRPr="00000000">
        <w:rPr>
          <w:rtl w:val="0"/>
        </w:rPr>
      </w:r>
    </w:p>
    <w:p w:rsidR="00000000" w:rsidDel="00000000" w:rsidP="00000000" w:rsidRDefault="00000000" w:rsidRPr="00000000" w14:paraId="00000025">
      <w:pPr>
        <w:spacing w:after="160" w:lineRule="auto"/>
        <w:jc w:val="both"/>
        <w:rPr>
          <w:b w:val="1"/>
        </w:rPr>
      </w:pPr>
      <w:r w:rsidDel="00000000" w:rsidR="00000000" w:rsidRPr="00000000">
        <w:rPr>
          <w:rtl w:val="0"/>
        </w:rPr>
        <w:t xml:space="preserve">2.</w:t>
        <w:tab/>
        <w:t xml:space="preserve">La información que presentamos para su consideración se refiere a la implementación, por parte del Estado mexicano de los artículos 1, 2, 3, 5, 7 de la </w:t>
      </w:r>
      <w:r w:rsidDel="00000000" w:rsidR="00000000" w:rsidRPr="00000000">
        <w:rPr>
          <w:i w:val="1"/>
          <w:rtl w:val="0"/>
        </w:rPr>
        <w:t xml:space="preserve">Convención sobre la Eliminación de Todas las Formas de Discriminación contra la Mujer </w:t>
      </w:r>
      <w:r w:rsidDel="00000000" w:rsidR="00000000" w:rsidRPr="00000000">
        <w:rPr>
          <w:rtl w:val="0"/>
        </w:rPr>
        <w:t xml:space="preserve">(CEDAW), en particular en lo que respecta a su obligación de adoptar medidas adecuadas para eliminar la discriminación y violencia por razón de género, y garantizar un adecuado acceso a la justicia frente a estos casos. En ese sentido, este informe se enfoca en la situación de violencia letal contra mujeres trans y lesbianas, la ausencia de producción de datos desagregados sobre estos casos -que permita identificar patrones de violencia- y sobre la garantía del acceso a la justicia que enfrentan las mujeres lesbianas y trans (LT) en el país. </w:t>
      </w: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jc w:val="both"/>
        <w:rPr/>
      </w:pPr>
      <w:r w:rsidDel="00000000" w:rsidR="00000000" w:rsidRPr="00000000">
        <w:rPr>
          <w:b w:val="1"/>
          <w:rtl w:val="0"/>
        </w:rPr>
        <w:t xml:space="preserve">i. Protección frente a todas las formas de discriminación y violencia contra las mujeres (Artículos 1, 2, 3, 5 y 7) y N°. 35 del Comité de la CEDAW</w:t>
      </w:r>
      <w:r w:rsidDel="00000000" w:rsidR="00000000" w:rsidRPr="00000000">
        <w:rPr>
          <w:rtl w:val="0"/>
        </w:rPr>
        <w:t xml:space="preserve"> </w:t>
      </w:r>
    </w:p>
    <w:p w:rsidR="00000000" w:rsidDel="00000000" w:rsidP="00000000" w:rsidRDefault="00000000" w:rsidRPr="00000000" w14:paraId="00000028">
      <w:pPr>
        <w:spacing w:after="240" w:before="240" w:line="360" w:lineRule="auto"/>
        <w:jc w:val="both"/>
        <w:rPr/>
      </w:pPr>
      <w:r w:rsidDel="00000000" w:rsidR="00000000" w:rsidRPr="00000000">
        <w:rPr>
          <w:rtl w:val="0"/>
        </w:rPr>
        <w:t xml:space="preserve">3. En</w:t>
      </w:r>
      <w:r w:rsidDel="00000000" w:rsidR="00000000" w:rsidRPr="00000000">
        <w:rPr>
          <w:highlight w:val="white"/>
          <w:rtl w:val="0"/>
        </w:rPr>
        <w:t xml:space="preserve"> las </w:t>
      </w:r>
      <w:r w:rsidDel="00000000" w:rsidR="00000000" w:rsidRPr="00000000">
        <w:rPr>
          <w:i w:val="1"/>
          <w:highlight w:val="white"/>
          <w:rtl w:val="0"/>
        </w:rPr>
        <w:t xml:space="preserve">observaciones finales sobre el noveno informe periódico de México</w:t>
      </w:r>
      <w:r w:rsidDel="00000000" w:rsidR="00000000" w:rsidRPr="00000000">
        <w:rPr>
          <w:highlight w:val="white"/>
          <w:rtl w:val="0"/>
        </w:rPr>
        <w:t xml:space="preserve">, se señaló que el Estado mexicano debía</w:t>
      </w:r>
      <w:r w:rsidDel="00000000" w:rsidR="00000000" w:rsidRPr="00000000">
        <w:rPr>
          <w:rtl w:val="0"/>
        </w:rPr>
        <w:t xml:space="preserve"> subsanar “la falta de medidas de protección de la dignidad y la integridad de las mujeres lesbianas, bisexuales y transgénero”. Sin embargo, el Estado no ha avanzado sobre este asunto en los últimos años. Tan solo entre 2021 y 2024, Letra S y la Red Sin Violencia LGBTI</w:t>
      </w:r>
      <w:r w:rsidDel="00000000" w:rsidR="00000000" w:rsidRPr="00000000">
        <w:rPr>
          <w:vertAlign w:val="superscript"/>
        </w:rPr>
        <w:footnoteReference w:customMarkFollows="0" w:id="2"/>
      </w:r>
      <w:r w:rsidDel="00000000" w:rsidR="00000000" w:rsidRPr="00000000">
        <w:rPr>
          <w:rtl w:val="0"/>
        </w:rPr>
        <w:t xml:space="preserve"> han registrado al menos </w:t>
      </w:r>
      <w:r w:rsidDel="00000000" w:rsidR="00000000" w:rsidRPr="00000000">
        <w:rPr>
          <w:b w:val="1"/>
          <w:rtl w:val="0"/>
        </w:rPr>
        <w:t xml:space="preserve">217 feminicidios contra mujeres lesbianas y trans en México. </w:t>
      </w:r>
      <w:r w:rsidDel="00000000" w:rsidR="00000000" w:rsidRPr="00000000">
        <w:rPr>
          <w:rtl w:val="0"/>
        </w:rPr>
        <w:t xml:space="preserve">Siendo las mujeres trans las principales víctimas (92% del total de casos registrados). Y aunque son menos, los casos de lesbianas (17), también reflejan un patrón de violencia basada en prejuicios contra su expresión de género y orientación sexual. </w:t>
      </w:r>
    </w:p>
    <w:p w:rsidR="00000000" w:rsidDel="00000000" w:rsidP="00000000" w:rsidRDefault="00000000" w:rsidRPr="00000000" w14:paraId="00000029">
      <w:pPr>
        <w:spacing w:after="240" w:before="240" w:line="360" w:lineRule="auto"/>
        <w:jc w:val="both"/>
        <w:rPr/>
      </w:pPr>
      <w:r w:rsidDel="00000000" w:rsidR="00000000" w:rsidRPr="00000000">
        <w:rPr>
          <w:rtl w:val="0"/>
        </w:rPr>
        <w:t xml:space="preserve">4. Particularmente, el año 2024 fue un año violento contra las personas de la diversidad sexual y de género en México. En los primeros tres meses de ese año se sucedió una alarmante serie de múltiples transfeminicidios en varias entidades del país, lo que llevó a la Comisión Interamericana de Derechos Humanos (CIDH) a instar al Estado mexicano a investigar los casos son debida diligencia, para evitar su impunidad, y respetando la identidad de género de las víctimas</w:t>
      </w:r>
      <w:r w:rsidDel="00000000" w:rsidR="00000000" w:rsidRPr="00000000">
        <w:rPr>
          <w:vertAlign w:val="superscript"/>
        </w:rPr>
        <w:footnoteReference w:customMarkFollows="0" w:id="3"/>
      </w:r>
      <w:r w:rsidDel="00000000" w:rsidR="00000000" w:rsidRPr="00000000">
        <w:rPr>
          <w:rtl w:val="0"/>
        </w:rPr>
        <w:t xml:space="preserve">. </w:t>
      </w:r>
    </w:p>
    <w:tbl>
      <w:tblPr>
        <w:tblStyle w:val="Table1"/>
        <w:tblpPr w:leftFromText="180" w:rightFromText="180" w:topFromText="180" w:bottomFromText="180" w:vertAnchor="text" w:horzAnchor="text" w:tblpX="3044" w:tblpY="88"/>
        <w:tblW w:w="6750.0" w:type="dxa"/>
        <w:jc w:val="left"/>
        <w:tblBorders>
          <w:top w:color="666666" w:space="0" w:sz="6" w:val="single"/>
          <w:left w:color="666666" w:space="0" w:sz="6" w:val="single"/>
          <w:bottom w:color="666666" w:space="0" w:sz="6" w:val="single"/>
          <w:right w:color="666666" w:space="0" w:sz="6" w:val="single"/>
          <w:insideH w:color="666666" w:space="0" w:sz="6" w:val="single"/>
          <w:insideV w:color="666666" w:space="0" w:sz="6" w:val="single"/>
        </w:tblBorders>
        <w:tblLayout w:type="fixed"/>
        <w:tblLook w:val="0600"/>
      </w:tblPr>
      <w:tblGrid>
        <w:gridCol w:w="1770"/>
        <w:gridCol w:w="750"/>
        <w:gridCol w:w="780"/>
        <w:gridCol w:w="1005"/>
        <w:gridCol w:w="1185"/>
        <w:gridCol w:w="1260"/>
        <w:tblGridChange w:id="0">
          <w:tblGrid>
            <w:gridCol w:w="1770"/>
            <w:gridCol w:w="750"/>
            <w:gridCol w:w="780"/>
            <w:gridCol w:w="1005"/>
            <w:gridCol w:w="1185"/>
            <w:gridCol w:w="1260"/>
          </w:tblGrid>
        </w:tblGridChange>
      </w:tblGrid>
      <w:tr>
        <w:trPr>
          <w:cantSplit w:val="0"/>
          <w:tblHeader w:val="0"/>
        </w:trPr>
        <w:tc>
          <w:tcPr>
            <w:shd w:fill="b4a7d6" w:val="clear"/>
          </w:tcPr>
          <w:p w:rsidR="00000000" w:rsidDel="00000000" w:rsidP="00000000" w:rsidRDefault="00000000" w:rsidRPr="00000000" w14:paraId="0000002A">
            <w:pPr>
              <w:widowControl w:val="0"/>
              <w:spacing w:line="240" w:lineRule="auto"/>
              <w:rPr/>
            </w:pPr>
            <w:r w:rsidDel="00000000" w:rsidR="00000000" w:rsidRPr="00000000">
              <w:rPr>
                <w:rtl w:val="0"/>
              </w:rPr>
              <w:t xml:space="preserve">OSIEG</w:t>
            </w:r>
          </w:p>
        </w:tc>
        <w:tc>
          <w:tcPr/>
          <w:p w:rsidR="00000000" w:rsidDel="00000000" w:rsidP="00000000" w:rsidRDefault="00000000" w:rsidRPr="00000000" w14:paraId="0000002B">
            <w:pPr>
              <w:widowControl w:val="0"/>
              <w:spacing w:line="240" w:lineRule="auto"/>
              <w:jc w:val="center"/>
              <w:rPr>
                <w:b w:val="1"/>
              </w:rPr>
            </w:pPr>
            <w:r w:rsidDel="00000000" w:rsidR="00000000" w:rsidRPr="00000000">
              <w:rPr>
                <w:b w:val="1"/>
                <w:rtl w:val="0"/>
              </w:rPr>
              <w:t xml:space="preserve">2021</w:t>
            </w:r>
          </w:p>
        </w:tc>
        <w:tc>
          <w:tcPr/>
          <w:p w:rsidR="00000000" w:rsidDel="00000000" w:rsidP="00000000" w:rsidRDefault="00000000" w:rsidRPr="00000000" w14:paraId="0000002C">
            <w:pPr>
              <w:widowControl w:val="0"/>
              <w:spacing w:line="240" w:lineRule="auto"/>
              <w:jc w:val="center"/>
              <w:rPr>
                <w:b w:val="1"/>
              </w:rPr>
            </w:pPr>
            <w:r w:rsidDel="00000000" w:rsidR="00000000" w:rsidRPr="00000000">
              <w:rPr>
                <w:b w:val="1"/>
                <w:rtl w:val="0"/>
              </w:rPr>
              <w:t xml:space="preserve">2022</w:t>
            </w:r>
          </w:p>
        </w:tc>
        <w:tc>
          <w:tcPr/>
          <w:p w:rsidR="00000000" w:rsidDel="00000000" w:rsidP="00000000" w:rsidRDefault="00000000" w:rsidRPr="00000000" w14:paraId="0000002D">
            <w:pPr>
              <w:widowControl w:val="0"/>
              <w:spacing w:line="240" w:lineRule="auto"/>
              <w:jc w:val="center"/>
              <w:rPr>
                <w:b w:val="1"/>
              </w:rPr>
            </w:pPr>
            <w:r w:rsidDel="00000000" w:rsidR="00000000" w:rsidRPr="00000000">
              <w:rPr>
                <w:b w:val="1"/>
                <w:rtl w:val="0"/>
              </w:rPr>
              <w:t xml:space="preserve">2023</w:t>
            </w:r>
          </w:p>
        </w:tc>
        <w:tc>
          <w:tcPr/>
          <w:p w:rsidR="00000000" w:rsidDel="00000000" w:rsidP="00000000" w:rsidRDefault="00000000" w:rsidRPr="00000000" w14:paraId="0000002E">
            <w:pPr>
              <w:widowControl w:val="0"/>
              <w:spacing w:line="240" w:lineRule="auto"/>
              <w:jc w:val="center"/>
              <w:rPr>
                <w:b w:val="1"/>
              </w:rPr>
            </w:pPr>
            <w:r w:rsidDel="00000000" w:rsidR="00000000" w:rsidRPr="00000000">
              <w:rPr>
                <w:b w:val="1"/>
                <w:rtl w:val="0"/>
              </w:rPr>
              <w:t xml:space="preserve">2024</w:t>
            </w:r>
          </w:p>
        </w:tc>
        <w:tc>
          <w:tcPr>
            <w:shd w:fill="b4a7d6" w:val="clear"/>
          </w:tcPr>
          <w:p w:rsidR="00000000" w:rsidDel="00000000" w:rsidP="00000000" w:rsidRDefault="00000000" w:rsidRPr="00000000" w14:paraId="0000002F">
            <w:pPr>
              <w:widowControl w:val="0"/>
              <w:spacing w:line="240" w:lineRule="auto"/>
              <w:rPr/>
            </w:pPr>
            <w:r w:rsidDel="00000000" w:rsidR="00000000" w:rsidRPr="00000000">
              <w:rPr>
                <w:rtl w:val="0"/>
              </w:rPr>
              <w:t xml:space="preserve">Totales</w:t>
            </w:r>
          </w:p>
        </w:tc>
      </w:tr>
      <w:tr>
        <w:trPr>
          <w:cantSplit w:val="0"/>
          <w:tblHeader w:val="0"/>
        </w:trPr>
        <w:tc>
          <w:tcPr/>
          <w:p w:rsidR="00000000" w:rsidDel="00000000" w:rsidP="00000000" w:rsidRDefault="00000000" w:rsidRPr="00000000" w14:paraId="00000030">
            <w:pPr>
              <w:widowControl w:val="0"/>
              <w:spacing w:line="240" w:lineRule="auto"/>
              <w:rPr/>
            </w:pPr>
            <w:r w:rsidDel="00000000" w:rsidR="00000000" w:rsidRPr="00000000">
              <w:rPr>
                <w:rtl w:val="0"/>
              </w:rPr>
              <w:t xml:space="preserve">Mujer trans</w:t>
            </w:r>
          </w:p>
        </w:tc>
        <w:tc>
          <w:tcPr/>
          <w:p w:rsidR="00000000" w:rsidDel="00000000" w:rsidP="00000000" w:rsidRDefault="00000000" w:rsidRPr="00000000" w14:paraId="00000031">
            <w:pPr>
              <w:widowControl w:val="0"/>
              <w:spacing w:line="240" w:lineRule="auto"/>
              <w:jc w:val="center"/>
              <w:rPr/>
            </w:pPr>
            <w:r w:rsidDel="00000000" w:rsidR="00000000" w:rsidRPr="00000000">
              <w:rPr>
                <w:rtl w:val="0"/>
              </w:rPr>
              <w:t xml:space="preserve">52</w:t>
            </w:r>
          </w:p>
        </w:tc>
        <w:tc>
          <w:tcPr/>
          <w:p w:rsidR="00000000" w:rsidDel="00000000" w:rsidP="00000000" w:rsidRDefault="00000000" w:rsidRPr="00000000" w14:paraId="00000032">
            <w:pPr>
              <w:widowControl w:val="0"/>
              <w:spacing w:line="240" w:lineRule="auto"/>
              <w:jc w:val="center"/>
              <w:rPr/>
            </w:pPr>
            <w:r w:rsidDel="00000000" w:rsidR="00000000" w:rsidRPr="00000000">
              <w:rPr>
                <w:rtl w:val="0"/>
              </w:rPr>
              <w:t xml:space="preserve">48</w:t>
            </w:r>
          </w:p>
        </w:tc>
        <w:tc>
          <w:tcPr/>
          <w:p w:rsidR="00000000" w:rsidDel="00000000" w:rsidP="00000000" w:rsidRDefault="00000000" w:rsidRPr="00000000" w14:paraId="00000033">
            <w:pPr>
              <w:widowControl w:val="0"/>
              <w:spacing w:line="240" w:lineRule="auto"/>
              <w:jc w:val="center"/>
              <w:rPr/>
            </w:pPr>
            <w:r w:rsidDel="00000000" w:rsidR="00000000" w:rsidRPr="00000000">
              <w:rPr>
                <w:rtl w:val="0"/>
              </w:rPr>
              <w:t xml:space="preserve">43</w:t>
            </w:r>
          </w:p>
        </w:tc>
        <w:tc>
          <w:tcPr/>
          <w:p w:rsidR="00000000" w:rsidDel="00000000" w:rsidP="00000000" w:rsidRDefault="00000000" w:rsidRPr="00000000" w14:paraId="00000034">
            <w:pPr>
              <w:widowControl w:val="0"/>
              <w:spacing w:line="240" w:lineRule="auto"/>
              <w:jc w:val="center"/>
              <w:rPr/>
            </w:pPr>
            <w:r w:rsidDel="00000000" w:rsidR="00000000" w:rsidRPr="00000000">
              <w:rPr>
                <w:rtl w:val="0"/>
              </w:rPr>
              <w:t xml:space="preserve">57</w:t>
            </w:r>
          </w:p>
        </w:tc>
        <w:tc>
          <w:tcPr>
            <w:shd w:fill="b4a7d6" w:val="clear"/>
          </w:tcPr>
          <w:p w:rsidR="00000000" w:rsidDel="00000000" w:rsidP="00000000" w:rsidRDefault="00000000" w:rsidRPr="00000000" w14:paraId="00000035">
            <w:pPr>
              <w:widowControl w:val="0"/>
              <w:spacing w:line="240" w:lineRule="auto"/>
              <w:jc w:val="center"/>
              <w:rPr>
                <w:b w:val="1"/>
              </w:rPr>
            </w:pPr>
            <w:r w:rsidDel="00000000" w:rsidR="00000000" w:rsidRPr="00000000">
              <w:rPr>
                <w:b w:val="1"/>
                <w:rtl w:val="0"/>
              </w:rPr>
              <w:t xml:space="preserve">200</w:t>
            </w:r>
          </w:p>
        </w:tc>
      </w:tr>
      <w:tr>
        <w:trPr>
          <w:cantSplit w:val="0"/>
          <w:tblHeader w:val="0"/>
        </w:trPr>
        <w:tc>
          <w:tcPr/>
          <w:p w:rsidR="00000000" w:rsidDel="00000000" w:rsidP="00000000" w:rsidRDefault="00000000" w:rsidRPr="00000000" w14:paraId="00000036">
            <w:pPr>
              <w:widowControl w:val="0"/>
              <w:spacing w:line="240" w:lineRule="auto"/>
              <w:rPr/>
            </w:pPr>
            <w:r w:rsidDel="00000000" w:rsidR="00000000" w:rsidRPr="00000000">
              <w:rPr>
                <w:rtl w:val="0"/>
              </w:rPr>
              <w:t xml:space="preserve">Lesbiana</w:t>
            </w:r>
          </w:p>
        </w:tc>
        <w:tc>
          <w:tcPr/>
          <w:p w:rsidR="00000000" w:rsidDel="00000000" w:rsidP="00000000" w:rsidRDefault="00000000" w:rsidRPr="00000000" w14:paraId="00000037">
            <w:pPr>
              <w:widowControl w:val="0"/>
              <w:spacing w:line="240" w:lineRule="auto"/>
              <w:jc w:val="center"/>
              <w:rPr/>
            </w:pPr>
            <w:r w:rsidDel="00000000" w:rsidR="00000000" w:rsidRPr="00000000">
              <w:rPr>
                <w:rtl w:val="0"/>
              </w:rPr>
              <w:t xml:space="preserve">2</w:t>
            </w:r>
          </w:p>
        </w:tc>
        <w:tc>
          <w:tcPr/>
          <w:p w:rsidR="00000000" w:rsidDel="00000000" w:rsidP="00000000" w:rsidRDefault="00000000" w:rsidRPr="00000000" w14:paraId="00000038">
            <w:pPr>
              <w:widowControl w:val="0"/>
              <w:spacing w:line="240" w:lineRule="auto"/>
              <w:jc w:val="center"/>
              <w:rPr/>
            </w:pPr>
            <w:r w:rsidDel="00000000" w:rsidR="00000000" w:rsidRPr="00000000">
              <w:rPr>
                <w:rtl w:val="0"/>
              </w:rPr>
              <w:t xml:space="preserve">11</w:t>
            </w:r>
          </w:p>
        </w:tc>
        <w:tc>
          <w:tcPr/>
          <w:p w:rsidR="00000000" w:rsidDel="00000000" w:rsidP="00000000" w:rsidRDefault="00000000" w:rsidRPr="00000000" w14:paraId="00000039">
            <w:pPr>
              <w:widowControl w:val="0"/>
              <w:spacing w:line="240" w:lineRule="auto"/>
              <w:jc w:val="center"/>
              <w:rPr/>
            </w:pPr>
            <w:r w:rsidDel="00000000" w:rsidR="00000000" w:rsidRPr="00000000">
              <w:rPr>
                <w:rtl w:val="0"/>
              </w:rPr>
              <w:t xml:space="preserve">4</w:t>
            </w:r>
          </w:p>
        </w:tc>
        <w:tc>
          <w:tcPr/>
          <w:p w:rsidR="00000000" w:rsidDel="00000000" w:rsidP="00000000" w:rsidRDefault="00000000" w:rsidRPr="00000000" w14:paraId="0000003A">
            <w:pPr>
              <w:widowControl w:val="0"/>
              <w:spacing w:line="240" w:lineRule="auto"/>
              <w:jc w:val="center"/>
              <w:rPr/>
            </w:pPr>
            <w:r w:rsidDel="00000000" w:rsidR="00000000" w:rsidRPr="00000000">
              <w:rPr>
                <w:rtl w:val="0"/>
              </w:rPr>
              <w:t xml:space="preserve">0</w:t>
            </w:r>
          </w:p>
        </w:tc>
        <w:tc>
          <w:tcPr>
            <w:shd w:fill="b4a7d6" w:val="clear"/>
          </w:tcPr>
          <w:p w:rsidR="00000000" w:rsidDel="00000000" w:rsidP="00000000" w:rsidRDefault="00000000" w:rsidRPr="00000000" w14:paraId="0000003B">
            <w:pPr>
              <w:widowControl w:val="0"/>
              <w:spacing w:line="240" w:lineRule="auto"/>
              <w:jc w:val="center"/>
              <w:rPr>
                <w:b w:val="1"/>
              </w:rPr>
            </w:pPr>
            <w:r w:rsidDel="00000000" w:rsidR="00000000" w:rsidRPr="00000000">
              <w:rPr>
                <w:b w:val="1"/>
                <w:rtl w:val="0"/>
              </w:rPr>
              <w:t xml:space="preserve">17</w:t>
            </w:r>
          </w:p>
        </w:tc>
      </w:tr>
      <w:tr>
        <w:trPr>
          <w:cantSplit w:val="0"/>
          <w:tblHeader w:val="0"/>
        </w:trPr>
        <w:tc>
          <w:tcPr>
            <w:shd w:fill="b4a7d6" w:val="clear"/>
          </w:tcPr>
          <w:p w:rsidR="00000000" w:rsidDel="00000000" w:rsidP="00000000" w:rsidRDefault="00000000" w:rsidRPr="00000000" w14:paraId="0000003C">
            <w:pPr>
              <w:widowControl w:val="0"/>
              <w:spacing w:line="240" w:lineRule="auto"/>
              <w:rPr/>
            </w:pPr>
            <w:r w:rsidDel="00000000" w:rsidR="00000000" w:rsidRPr="00000000">
              <w:rPr>
                <w:rtl w:val="0"/>
              </w:rPr>
              <w:t xml:space="preserve">Totales</w:t>
            </w:r>
          </w:p>
        </w:tc>
        <w:tc>
          <w:tcPr>
            <w:shd w:fill="b4a7d6" w:val="clear"/>
          </w:tcPr>
          <w:p w:rsidR="00000000" w:rsidDel="00000000" w:rsidP="00000000" w:rsidRDefault="00000000" w:rsidRPr="00000000" w14:paraId="0000003D">
            <w:pPr>
              <w:widowControl w:val="0"/>
              <w:spacing w:line="240" w:lineRule="auto"/>
              <w:jc w:val="center"/>
              <w:rPr>
                <w:b w:val="1"/>
              </w:rPr>
            </w:pPr>
            <w:r w:rsidDel="00000000" w:rsidR="00000000" w:rsidRPr="00000000">
              <w:rPr>
                <w:b w:val="1"/>
                <w:rtl w:val="0"/>
              </w:rPr>
              <w:t xml:space="preserve">54</w:t>
            </w:r>
          </w:p>
        </w:tc>
        <w:tc>
          <w:tcPr>
            <w:shd w:fill="b4a7d6" w:val="clear"/>
          </w:tcPr>
          <w:p w:rsidR="00000000" w:rsidDel="00000000" w:rsidP="00000000" w:rsidRDefault="00000000" w:rsidRPr="00000000" w14:paraId="0000003E">
            <w:pPr>
              <w:widowControl w:val="0"/>
              <w:spacing w:line="240" w:lineRule="auto"/>
              <w:jc w:val="center"/>
              <w:rPr>
                <w:b w:val="1"/>
              </w:rPr>
            </w:pPr>
            <w:r w:rsidDel="00000000" w:rsidR="00000000" w:rsidRPr="00000000">
              <w:rPr>
                <w:b w:val="1"/>
                <w:rtl w:val="0"/>
              </w:rPr>
              <w:t xml:space="preserve">59</w:t>
            </w:r>
          </w:p>
        </w:tc>
        <w:tc>
          <w:tcPr>
            <w:shd w:fill="b4a7d6" w:val="clear"/>
          </w:tcPr>
          <w:p w:rsidR="00000000" w:rsidDel="00000000" w:rsidP="00000000" w:rsidRDefault="00000000" w:rsidRPr="00000000" w14:paraId="0000003F">
            <w:pPr>
              <w:widowControl w:val="0"/>
              <w:spacing w:line="240" w:lineRule="auto"/>
              <w:jc w:val="center"/>
              <w:rPr>
                <w:b w:val="1"/>
              </w:rPr>
            </w:pPr>
            <w:r w:rsidDel="00000000" w:rsidR="00000000" w:rsidRPr="00000000">
              <w:rPr>
                <w:b w:val="1"/>
                <w:rtl w:val="0"/>
              </w:rPr>
              <w:t xml:space="preserve">47</w:t>
            </w:r>
          </w:p>
        </w:tc>
        <w:tc>
          <w:tcPr>
            <w:shd w:fill="b4a7d6" w:val="clear"/>
          </w:tcPr>
          <w:p w:rsidR="00000000" w:rsidDel="00000000" w:rsidP="00000000" w:rsidRDefault="00000000" w:rsidRPr="00000000" w14:paraId="00000040">
            <w:pPr>
              <w:widowControl w:val="0"/>
              <w:spacing w:line="240" w:lineRule="auto"/>
              <w:jc w:val="center"/>
              <w:rPr>
                <w:b w:val="1"/>
              </w:rPr>
            </w:pPr>
            <w:r w:rsidDel="00000000" w:rsidR="00000000" w:rsidRPr="00000000">
              <w:rPr>
                <w:b w:val="1"/>
                <w:rtl w:val="0"/>
              </w:rPr>
              <w:t xml:space="preserve">57</w:t>
            </w:r>
          </w:p>
        </w:tc>
        <w:tc>
          <w:tcPr>
            <w:shd w:fill="b4a7d6" w:val="clear"/>
          </w:tcPr>
          <w:p w:rsidR="00000000" w:rsidDel="00000000" w:rsidP="00000000" w:rsidRDefault="00000000" w:rsidRPr="00000000" w14:paraId="00000041">
            <w:pPr>
              <w:widowControl w:val="0"/>
              <w:spacing w:line="240" w:lineRule="auto"/>
              <w:jc w:val="center"/>
              <w:rPr>
                <w:b w:val="1"/>
              </w:rPr>
            </w:pPr>
            <w:r w:rsidDel="00000000" w:rsidR="00000000" w:rsidRPr="00000000">
              <w:rPr>
                <w:b w:val="1"/>
                <w:rtl w:val="0"/>
              </w:rPr>
              <w:t xml:space="preserve">217</w:t>
            </w:r>
          </w:p>
        </w:tc>
      </w:tr>
    </w:tbl>
    <w:p w:rsidR="00000000" w:rsidDel="00000000" w:rsidP="00000000" w:rsidRDefault="00000000" w:rsidRPr="00000000" w14:paraId="00000042">
      <w:pPr>
        <w:spacing w:after="240" w:before="240" w:line="360" w:lineRule="auto"/>
        <w:jc w:val="both"/>
        <w:rPr>
          <w:b w:val="1"/>
        </w:rPr>
      </w:pPr>
      <w:r w:rsidDel="00000000" w:rsidR="00000000" w:rsidRPr="00000000">
        <w:rPr>
          <w:rtl w:val="0"/>
        </w:rPr>
      </w:r>
    </w:p>
    <w:p w:rsidR="00000000" w:rsidDel="00000000" w:rsidP="00000000" w:rsidRDefault="00000000" w:rsidRPr="00000000" w14:paraId="00000043">
      <w:pPr>
        <w:spacing w:after="240" w:before="240" w:line="360" w:lineRule="auto"/>
        <w:jc w:val="both"/>
        <w:rPr/>
      </w:pPr>
      <w:r w:rsidDel="00000000" w:rsidR="00000000" w:rsidRPr="00000000">
        <w:rPr>
          <w:rtl w:val="0"/>
        </w:rPr>
      </w:r>
    </w:p>
    <w:p w:rsidR="00000000" w:rsidDel="00000000" w:rsidP="00000000" w:rsidRDefault="00000000" w:rsidRPr="00000000" w14:paraId="00000044">
      <w:pPr>
        <w:spacing w:after="240" w:before="240" w:line="360" w:lineRule="auto"/>
        <w:jc w:val="both"/>
        <w:rPr/>
      </w:pPr>
      <w:r w:rsidDel="00000000" w:rsidR="00000000" w:rsidRPr="00000000">
        <w:rPr>
          <w:rtl w:val="0"/>
        </w:rPr>
      </w:r>
    </w:p>
    <w:p w:rsidR="00000000" w:rsidDel="00000000" w:rsidP="00000000" w:rsidRDefault="00000000" w:rsidRPr="00000000" w14:paraId="00000045">
      <w:pPr>
        <w:spacing w:after="240" w:before="240" w:line="360" w:lineRule="auto"/>
        <w:jc w:val="both"/>
        <w:rPr/>
      </w:pPr>
      <w:r w:rsidDel="00000000" w:rsidR="00000000" w:rsidRPr="00000000">
        <w:rPr>
          <w:rtl w:val="0"/>
        </w:rPr>
      </w:r>
    </w:p>
    <w:p w:rsidR="00000000" w:rsidDel="00000000" w:rsidP="00000000" w:rsidRDefault="00000000" w:rsidRPr="00000000" w14:paraId="00000046">
      <w:pPr>
        <w:spacing w:after="240" w:before="240" w:line="360" w:lineRule="auto"/>
        <w:jc w:val="both"/>
        <w:rPr/>
      </w:pPr>
      <w:r w:rsidDel="00000000" w:rsidR="00000000" w:rsidRPr="00000000">
        <w:rPr>
          <w:rtl w:val="0"/>
        </w:rPr>
        <w:t xml:space="preserve">5. Además, los datos registrados evidencian la persistencia y el aumento a través de los años de estos crímenes en México. La violencia letal contra mujeres trans ha mostrado un comportamiento alarmante, los homicidios se incrementaron en 2024 un 32% respecto al año anterior, alcanzando 57 casos, la cifra más alta del cuatrienio.</w:t>
      </w:r>
    </w:p>
    <w:p w:rsidR="00000000" w:rsidDel="00000000" w:rsidP="00000000" w:rsidRDefault="00000000" w:rsidRPr="00000000" w14:paraId="00000047">
      <w:pPr>
        <w:spacing w:after="240" w:before="240" w:line="360" w:lineRule="auto"/>
        <w:jc w:val="both"/>
        <w:rPr/>
      </w:pPr>
      <w:r w:rsidDel="00000000" w:rsidR="00000000" w:rsidRPr="00000000">
        <w:rPr>
          <w:rtl w:val="0"/>
        </w:rPr>
        <w:t xml:space="preserve">6. En cuanto a los asesinatos de mujeres lesbianas, la cifra más elevada se registró en 2022 con 11 casos (un aumento del 450% respecto a 2021), aunque las cifras descendieron luego, es importante señalar que la falta de datos no indica la ausencia total de víctimas. Asimismo, la falta de reconocimiento oficial de estos casos como crímenes motivados por prejuicio, junto con la limitada disponibilidad de información desagregada, contribuye a la invisibilización de esta violencia y dificulta la implementación de políticas públicas efectivas.</w:t>
      </w:r>
    </w:p>
    <w:p w:rsidR="00000000" w:rsidDel="00000000" w:rsidP="00000000" w:rsidRDefault="00000000" w:rsidRPr="00000000" w14:paraId="00000048">
      <w:pPr>
        <w:spacing w:after="240" w:before="240" w:line="360" w:lineRule="auto"/>
        <w:jc w:val="both"/>
        <w:rPr>
          <w:b w:val="1"/>
        </w:rPr>
      </w:pPr>
      <w:r w:rsidDel="00000000" w:rsidR="00000000" w:rsidRPr="00000000">
        <w:rPr>
          <w:rtl w:val="0"/>
        </w:rPr>
        <w:t xml:space="preserve">7. Entre los 217 homicidios de mujeres lesbianas y trans (LT en adelante) registrados, se observa que en un pequeño grupo de entidades federativas existe mayor riesgo para ellas, que corresponden a contextos marcados por el crimen organizado, la impunidad estructural o la violencia generalizada. Los Estados con mayor cantidad de casos son: Ciudad de México: 23 casos (11% del total nacional), Chihuahua: 18 casos (8%), Estado de México: 17 casos (8%), Guanajuato: 17 casos (8%), Veracruz: 17 casos (8%) y Jalisco: 16 casos (7%). Estos seis reúnen 108 de los 217 casos registrados, es decir, el 50% del total.</w:t>
      </w:r>
      <w:r w:rsidDel="00000000" w:rsidR="00000000" w:rsidRPr="00000000">
        <w:rPr>
          <w:rtl w:val="0"/>
        </w:rPr>
      </w:r>
    </w:p>
    <w:tbl>
      <w:tblPr>
        <w:tblStyle w:val="Table2"/>
        <w:tblW w:w="5445.0" w:type="dxa"/>
        <w:jc w:val="center"/>
        <w:tblBorders>
          <w:top w:color="666666" w:space="0" w:sz="6" w:val="single"/>
          <w:left w:color="666666" w:space="0" w:sz="6" w:val="single"/>
          <w:bottom w:color="666666" w:space="0" w:sz="6" w:val="single"/>
          <w:right w:color="666666" w:space="0" w:sz="6" w:val="single"/>
          <w:insideH w:color="666666" w:space="0" w:sz="6" w:val="single"/>
          <w:insideV w:color="666666" w:space="0" w:sz="6" w:val="single"/>
        </w:tblBorders>
        <w:tblLayout w:type="fixed"/>
        <w:tblLook w:val="0600"/>
      </w:tblPr>
      <w:tblGrid>
        <w:gridCol w:w="3450"/>
        <w:gridCol w:w="1995"/>
        <w:tblGridChange w:id="0">
          <w:tblGrid>
            <w:gridCol w:w="3450"/>
            <w:gridCol w:w="1995"/>
          </w:tblGrid>
        </w:tblGridChange>
      </w:tblGrid>
      <w:tr>
        <w:trPr>
          <w:cantSplit w:val="0"/>
          <w:tblHeader w:val="0"/>
        </w:trPr>
        <w:tc>
          <w:tcPr>
            <w:tcBorders>
              <w:top w:color="666666" w:space="0" w:sz="6" w:val="single"/>
              <w:left w:color="666666" w:space="0" w:sz="6" w:val="single"/>
              <w:bottom w:color="666666" w:space="0" w:sz="6" w:val="single"/>
              <w:right w:color="666666" w:space="0" w:sz="6" w:val="single"/>
            </w:tcBorders>
            <w:shd w:fill="8e7cc3" w:val="clear"/>
            <w:tcMar>
              <w:top w:w="100.0" w:type="dxa"/>
              <w:left w:w="100.0" w:type="dxa"/>
              <w:bottom w:w="100.0" w:type="dxa"/>
              <w:right w:w="100.0" w:type="dxa"/>
            </w:tcMar>
          </w:tcPr>
          <w:p w:rsidR="00000000" w:rsidDel="00000000" w:rsidP="00000000" w:rsidRDefault="00000000" w:rsidRPr="00000000" w14:paraId="00000049">
            <w:pPr>
              <w:widowControl w:val="0"/>
              <w:spacing w:line="240" w:lineRule="auto"/>
              <w:jc w:val="center"/>
              <w:rPr>
                <w:b w:val="1"/>
              </w:rPr>
            </w:pPr>
            <w:r w:rsidDel="00000000" w:rsidR="00000000" w:rsidRPr="00000000">
              <w:rPr>
                <w:b w:val="1"/>
                <w:rtl w:val="0"/>
              </w:rPr>
              <w:t xml:space="preserve">Departamento</w:t>
            </w:r>
          </w:p>
        </w:tc>
        <w:tc>
          <w:tcPr>
            <w:tcBorders>
              <w:top w:color="666666" w:space="0" w:sz="6" w:val="single"/>
              <w:left w:color="666666" w:space="0" w:sz="6" w:val="single"/>
              <w:bottom w:color="666666" w:space="0" w:sz="6" w:val="single"/>
              <w:right w:color="666666" w:space="0" w:sz="6" w:val="single"/>
            </w:tcBorders>
            <w:shd w:fill="8e7cc3" w:val="clear"/>
            <w:tcMar>
              <w:top w:w="100.0" w:type="dxa"/>
              <w:left w:w="100.0" w:type="dxa"/>
              <w:bottom w:w="100.0" w:type="dxa"/>
              <w:right w:w="100.0" w:type="dxa"/>
            </w:tcMar>
          </w:tcPr>
          <w:p w:rsidR="00000000" w:rsidDel="00000000" w:rsidP="00000000" w:rsidRDefault="00000000" w:rsidRPr="00000000" w14:paraId="0000004A">
            <w:pPr>
              <w:widowControl w:val="0"/>
              <w:spacing w:line="240" w:lineRule="auto"/>
              <w:jc w:val="center"/>
              <w:rPr>
                <w:b w:val="1"/>
              </w:rPr>
            </w:pPr>
            <w:r w:rsidDel="00000000" w:rsidR="00000000" w:rsidRPr="00000000">
              <w:rPr>
                <w:b w:val="1"/>
                <w:rtl w:val="0"/>
              </w:rPr>
              <w:t xml:space="preserve">Cantidad</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4B">
            <w:pPr>
              <w:widowControl w:val="0"/>
              <w:spacing w:line="240" w:lineRule="auto"/>
              <w:jc w:val="center"/>
              <w:rPr>
                <w:highlight w:val="white"/>
              </w:rPr>
            </w:pPr>
            <w:r w:rsidDel="00000000" w:rsidR="00000000" w:rsidRPr="00000000">
              <w:rPr>
                <w:highlight w:val="white"/>
                <w:rtl w:val="0"/>
              </w:rPr>
              <w:t xml:space="preserve">Ciudad de México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4C">
            <w:pPr>
              <w:widowControl w:val="0"/>
              <w:spacing w:line="240" w:lineRule="auto"/>
              <w:jc w:val="center"/>
              <w:rPr>
                <w:highlight w:val="white"/>
              </w:rPr>
            </w:pPr>
            <w:r w:rsidDel="00000000" w:rsidR="00000000" w:rsidRPr="00000000">
              <w:rPr>
                <w:highlight w:val="white"/>
                <w:rtl w:val="0"/>
              </w:rPr>
              <w:t xml:space="preserve">23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4D">
            <w:pPr>
              <w:widowControl w:val="0"/>
              <w:spacing w:line="240" w:lineRule="auto"/>
              <w:jc w:val="center"/>
              <w:rPr/>
            </w:pPr>
            <w:r w:rsidDel="00000000" w:rsidR="00000000" w:rsidRPr="00000000">
              <w:rPr>
                <w:rtl w:val="0"/>
              </w:rPr>
              <w:t xml:space="preserve">Chihuahua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4E">
            <w:pPr>
              <w:widowControl w:val="0"/>
              <w:spacing w:line="240" w:lineRule="auto"/>
              <w:jc w:val="center"/>
              <w:rPr/>
            </w:pPr>
            <w:r w:rsidDel="00000000" w:rsidR="00000000" w:rsidRPr="00000000">
              <w:rPr>
                <w:rtl w:val="0"/>
              </w:rPr>
              <w:t xml:space="preserve">18</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4F">
            <w:pPr>
              <w:widowControl w:val="0"/>
              <w:spacing w:line="240" w:lineRule="auto"/>
              <w:jc w:val="center"/>
              <w:rPr/>
            </w:pPr>
            <w:r w:rsidDel="00000000" w:rsidR="00000000" w:rsidRPr="00000000">
              <w:rPr>
                <w:rtl w:val="0"/>
              </w:rPr>
              <w:t xml:space="preserve">Estado de México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0">
            <w:pPr>
              <w:widowControl w:val="0"/>
              <w:spacing w:line="240" w:lineRule="auto"/>
              <w:jc w:val="center"/>
              <w:rPr/>
            </w:pPr>
            <w:r w:rsidDel="00000000" w:rsidR="00000000" w:rsidRPr="00000000">
              <w:rPr>
                <w:rtl w:val="0"/>
              </w:rPr>
              <w:t xml:space="preserve">17</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1">
            <w:pPr>
              <w:widowControl w:val="0"/>
              <w:spacing w:line="240" w:lineRule="auto"/>
              <w:jc w:val="center"/>
              <w:rPr/>
            </w:pPr>
            <w:r w:rsidDel="00000000" w:rsidR="00000000" w:rsidRPr="00000000">
              <w:rPr>
                <w:rtl w:val="0"/>
              </w:rPr>
              <w:t xml:space="preserve">Guanajuato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2">
            <w:pPr>
              <w:widowControl w:val="0"/>
              <w:spacing w:line="240" w:lineRule="auto"/>
              <w:jc w:val="center"/>
              <w:rPr/>
            </w:pPr>
            <w:r w:rsidDel="00000000" w:rsidR="00000000" w:rsidRPr="00000000">
              <w:rPr>
                <w:rtl w:val="0"/>
              </w:rPr>
              <w:t xml:space="preserve">17</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3">
            <w:pPr>
              <w:widowControl w:val="0"/>
              <w:spacing w:line="240" w:lineRule="auto"/>
              <w:jc w:val="center"/>
              <w:rPr/>
            </w:pPr>
            <w:r w:rsidDel="00000000" w:rsidR="00000000" w:rsidRPr="00000000">
              <w:rPr>
                <w:rtl w:val="0"/>
              </w:rPr>
              <w:t xml:space="preserve">Veracruz</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4">
            <w:pPr>
              <w:widowControl w:val="0"/>
              <w:spacing w:line="240" w:lineRule="auto"/>
              <w:jc w:val="center"/>
              <w:rPr/>
            </w:pPr>
            <w:r w:rsidDel="00000000" w:rsidR="00000000" w:rsidRPr="00000000">
              <w:rPr>
                <w:rtl w:val="0"/>
              </w:rPr>
              <w:t xml:space="preserve">17</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5">
            <w:pPr>
              <w:widowControl w:val="0"/>
              <w:spacing w:line="240" w:lineRule="auto"/>
              <w:jc w:val="center"/>
              <w:rPr>
                <w:b w:val="1"/>
              </w:rPr>
            </w:pPr>
            <w:r w:rsidDel="00000000" w:rsidR="00000000" w:rsidRPr="00000000">
              <w:rPr>
                <w:b w:val="1"/>
                <w:rtl w:val="0"/>
              </w:rPr>
              <w:t xml:space="preserve">Jalisco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6">
            <w:pPr>
              <w:widowControl w:val="0"/>
              <w:spacing w:line="240" w:lineRule="auto"/>
              <w:jc w:val="center"/>
              <w:rPr>
                <w:b w:val="1"/>
              </w:rPr>
            </w:pPr>
            <w:r w:rsidDel="00000000" w:rsidR="00000000" w:rsidRPr="00000000">
              <w:rPr>
                <w:b w:val="1"/>
                <w:rtl w:val="0"/>
              </w:rPr>
              <w:t xml:space="preserve">16</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7">
            <w:pPr>
              <w:widowControl w:val="0"/>
              <w:spacing w:line="240" w:lineRule="auto"/>
              <w:jc w:val="center"/>
              <w:rPr/>
            </w:pPr>
            <w:r w:rsidDel="00000000" w:rsidR="00000000" w:rsidRPr="00000000">
              <w:rPr>
                <w:rtl w:val="0"/>
              </w:rPr>
              <w:t xml:space="preserve">Colima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8">
            <w:pPr>
              <w:widowControl w:val="0"/>
              <w:spacing w:line="240" w:lineRule="auto"/>
              <w:jc w:val="center"/>
              <w:rPr/>
            </w:pPr>
            <w:r w:rsidDel="00000000" w:rsidR="00000000" w:rsidRPr="00000000">
              <w:rPr>
                <w:rtl w:val="0"/>
              </w:rPr>
              <w:t xml:space="preserve">13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9">
            <w:pPr>
              <w:widowControl w:val="0"/>
              <w:spacing w:line="240" w:lineRule="auto"/>
              <w:jc w:val="center"/>
              <w:rPr/>
            </w:pPr>
            <w:r w:rsidDel="00000000" w:rsidR="00000000" w:rsidRPr="00000000">
              <w:rPr>
                <w:rtl w:val="0"/>
              </w:rPr>
              <w:t xml:space="preserve">Morelos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A">
            <w:pPr>
              <w:widowControl w:val="0"/>
              <w:spacing w:line="240" w:lineRule="auto"/>
              <w:jc w:val="center"/>
              <w:rPr/>
            </w:pPr>
            <w:r w:rsidDel="00000000" w:rsidR="00000000" w:rsidRPr="00000000">
              <w:rPr>
                <w:rtl w:val="0"/>
              </w:rPr>
              <w:t xml:space="preserve">11</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B">
            <w:pPr>
              <w:widowControl w:val="0"/>
              <w:spacing w:line="240" w:lineRule="auto"/>
              <w:jc w:val="center"/>
              <w:rPr>
                <w:b w:val="1"/>
              </w:rPr>
            </w:pPr>
            <w:r w:rsidDel="00000000" w:rsidR="00000000" w:rsidRPr="00000000">
              <w:rPr>
                <w:b w:val="1"/>
                <w:rtl w:val="0"/>
              </w:rPr>
              <w:t xml:space="preserve">Guerrero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C">
            <w:pPr>
              <w:widowControl w:val="0"/>
              <w:spacing w:line="240" w:lineRule="auto"/>
              <w:jc w:val="center"/>
              <w:rPr>
                <w:b w:val="1"/>
              </w:rPr>
            </w:pPr>
            <w:r w:rsidDel="00000000" w:rsidR="00000000" w:rsidRPr="00000000">
              <w:rPr>
                <w:b w:val="1"/>
                <w:rtl w:val="0"/>
              </w:rPr>
              <w:t xml:space="preserve">10</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D">
            <w:pPr>
              <w:widowControl w:val="0"/>
              <w:spacing w:line="240" w:lineRule="auto"/>
              <w:jc w:val="center"/>
              <w:rPr/>
            </w:pPr>
            <w:r w:rsidDel="00000000" w:rsidR="00000000" w:rsidRPr="00000000">
              <w:rPr>
                <w:rtl w:val="0"/>
              </w:rPr>
              <w:t xml:space="preserve">Oaxaca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E">
            <w:pPr>
              <w:widowControl w:val="0"/>
              <w:spacing w:line="240" w:lineRule="auto"/>
              <w:jc w:val="center"/>
              <w:rPr/>
            </w:pPr>
            <w:r w:rsidDel="00000000" w:rsidR="00000000" w:rsidRPr="00000000">
              <w:rPr>
                <w:rtl w:val="0"/>
              </w:rPr>
              <w:t xml:space="preserve">9</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5F">
            <w:pPr>
              <w:widowControl w:val="0"/>
              <w:spacing w:line="240" w:lineRule="auto"/>
              <w:jc w:val="center"/>
              <w:rPr/>
            </w:pPr>
            <w:r w:rsidDel="00000000" w:rsidR="00000000" w:rsidRPr="00000000">
              <w:rPr>
                <w:rtl w:val="0"/>
              </w:rPr>
              <w:t xml:space="preserve">Quintana Roo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0">
            <w:pPr>
              <w:widowControl w:val="0"/>
              <w:spacing w:line="240" w:lineRule="auto"/>
              <w:jc w:val="center"/>
              <w:rPr/>
            </w:pPr>
            <w:r w:rsidDel="00000000" w:rsidR="00000000" w:rsidRPr="00000000">
              <w:rPr>
                <w:rtl w:val="0"/>
              </w:rPr>
              <w:t xml:space="preserve">8</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1">
            <w:pPr>
              <w:widowControl w:val="0"/>
              <w:spacing w:line="240" w:lineRule="auto"/>
              <w:jc w:val="center"/>
              <w:rPr/>
            </w:pPr>
            <w:r w:rsidDel="00000000" w:rsidR="00000000" w:rsidRPr="00000000">
              <w:rPr>
                <w:rtl w:val="0"/>
              </w:rPr>
              <w:t xml:space="preserve">Tabasco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2">
            <w:pPr>
              <w:widowControl w:val="0"/>
              <w:spacing w:line="240" w:lineRule="auto"/>
              <w:jc w:val="center"/>
              <w:rPr/>
            </w:pPr>
            <w:r w:rsidDel="00000000" w:rsidR="00000000" w:rsidRPr="00000000">
              <w:rPr>
                <w:rtl w:val="0"/>
              </w:rPr>
              <w:t xml:space="preserve">7</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3">
            <w:pPr>
              <w:widowControl w:val="0"/>
              <w:spacing w:line="240" w:lineRule="auto"/>
              <w:jc w:val="center"/>
              <w:rPr/>
            </w:pPr>
            <w:r w:rsidDel="00000000" w:rsidR="00000000" w:rsidRPr="00000000">
              <w:rPr>
                <w:rtl w:val="0"/>
              </w:rPr>
              <w:t xml:space="preserve">Baja California Norte</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4">
            <w:pPr>
              <w:widowControl w:val="0"/>
              <w:spacing w:line="240" w:lineRule="auto"/>
              <w:jc w:val="center"/>
              <w:rPr/>
            </w:pPr>
            <w:r w:rsidDel="00000000" w:rsidR="00000000" w:rsidRPr="00000000">
              <w:rPr>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5">
            <w:pPr>
              <w:widowControl w:val="0"/>
              <w:spacing w:line="240" w:lineRule="auto"/>
              <w:jc w:val="center"/>
              <w:rPr/>
            </w:pPr>
            <w:r w:rsidDel="00000000" w:rsidR="00000000" w:rsidRPr="00000000">
              <w:rPr>
                <w:rtl w:val="0"/>
              </w:rPr>
              <w:t xml:space="preserve">Nuevo León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6">
            <w:pPr>
              <w:widowControl w:val="0"/>
              <w:spacing w:line="240" w:lineRule="auto"/>
              <w:jc w:val="center"/>
              <w:rPr/>
            </w:pPr>
            <w:r w:rsidDel="00000000" w:rsidR="00000000" w:rsidRPr="00000000">
              <w:rPr>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7">
            <w:pPr>
              <w:widowControl w:val="0"/>
              <w:spacing w:line="240" w:lineRule="auto"/>
              <w:jc w:val="center"/>
              <w:rPr/>
            </w:pPr>
            <w:r w:rsidDel="00000000" w:rsidR="00000000" w:rsidRPr="00000000">
              <w:rPr>
                <w:rtl w:val="0"/>
              </w:rPr>
              <w:t xml:space="preserve">Puebla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8">
            <w:pPr>
              <w:widowControl w:val="0"/>
              <w:spacing w:line="240" w:lineRule="auto"/>
              <w:jc w:val="center"/>
              <w:rPr/>
            </w:pPr>
            <w:r w:rsidDel="00000000" w:rsidR="00000000" w:rsidRPr="00000000">
              <w:rPr>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9">
            <w:pPr>
              <w:widowControl w:val="0"/>
              <w:spacing w:line="240" w:lineRule="auto"/>
              <w:jc w:val="center"/>
              <w:rPr/>
            </w:pPr>
            <w:r w:rsidDel="00000000" w:rsidR="00000000" w:rsidRPr="00000000">
              <w:rPr>
                <w:rtl w:val="0"/>
              </w:rPr>
              <w:t xml:space="preserve">San Luis Potosí</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A">
            <w:pPr>
              <w:widowControl w:val="0"/>
              <w:spacing w:line="240" w:lineRule="auto"/>
              <w:jc w:val="center"/>
              <w:rPr/>
            </w:pPr>
            <w:r w:rsidDel="00000000" w:rsidR="00000000" w:rsidRPr="00000000">
              <w:rPr>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B">
            <w:pPr>
              <w:widowControl w:val="0"/>
              <w:spacing w:line="240" w:lineRule="auto"/>
              <w:jc w:val="center"/>
              <w:rPr>
                <w:b w:val="1"/>
              </w:rPr>
            </w:pPr>
            <w:r w:rsidDel="00000000" w:rsidR="00000000" w:rsidRPr="00000000">
              <w:rPr>
                <w:b w:val="1"/>
                <w:rtl w:val="0"/>
              </w:rPr>
              <w:t xml:space="preserve">Tamaulipas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C">
            <w:pPr>
              <w:widowControl w:val="0"/>
              <w:spacing w:line="240" w:lineRule="auto"/>
              <w:jc w:val="center"/>
              <w:rPr>
                <w:b w:val="1"/>
              </w:rPr>
            </w:pPr>
            <w:r w:rsidDel="00000000" w:rsidR="00000000" w:rsidRPr="00000000">
              <w:rPr>
                <w:b w:val="1"/>
                <w:rtl w:val="0"/>
              </w:rPr>
              <w:t xml:space="preserve">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D">
            <w:pPr>
              <w:widowControl w:val="0"/>
              <w:spacing w:line="240" w:lineRule="auto"/>
              <w:jc w:val="center"/>
              <w:rPr/>
            </w:pPr>
            <w:r w:rsidDel="00000000" w:rsidR="00000000" w:rsidRPr="00000000">
              <w:rPr>
                <w:rtl w:val="0"/>
              </w:rPr>
              <w:t xml:space="preserve">Baja California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E">
            <w:pPr>
              <w:widowControl w:val="0"/>
              <w:spacing w:line="240" w:lineRule="auto"/>
              <w:jc w:val="center"/>
              <w:rPr/>
            </w:pPr>
            <w:r w:rsidDel="00000000" w:rsidR="00000000" w:rsidRPr="00000000">
              <w:rPr>
                <w:rtl w:val="0"/>
              </w:rPr>
              <w:t xml:space="preserve">4</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6F">
            <w:pPr>
              <w:widowControl w:val="0"/>
              <w:spacing w:line="240" w:lineRule="auto"/>
              <w:jc w:val="center"/>
              <w:rPr/>
            </w:pPr>
            <w:r w:rsidDel="00000000" w:rsidR="00000000" w:rsidRPr="00000000">
              <w:rPr>
                <w:rtl w:val="0"/>
              </w:rPr>
              <w:t xml:space="preserve">Chiapas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0">
            <w:pPr>
              <w:widowControl w:val="0"/>
              <w:spacing w:line="240" w:lineRule="auto"/>
              <w:jc w:val="center"/>
              <w:rPr/>
            </w:pPr>
            <w:r w:rsidDel="00000000" w:rsidR="00000000" w:rsidRPr="00000000">
              <w:rPr>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1">
            <w:pPr>
              <w:widowControl w:val="0"/>
              <w:spacing w:line="240" w:lineRule="auto"/>
              <w:jc w:val="center"/>
              <w:rPr/>
            </w:pPr>
            <w:r w:rsidDel="00000000" w:rsidR="00000000" w:rsidRPr="00000000">
              <w:rPr>
                <w:rtl w:val="0"/>
              </w:rPr>
              <w:t xml:space="preserve">Coahuila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2">
            <w:pPr>
              <w:widowControl w:val="0"/>
              <w:spacing w:line="240" w:lineRule="auto"/>
              <w:jc w:val="center"/>
              <w:rPr/>
            </w:pPr>
            <w:r w:rsidDel="00000000" w:rsidR="00000000" w:rsidRPr="00000000">
              <w:rPr>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3">
            <w:pPr>
              <w:widowControl w:val="0"/>
              <w:spacing w:line="240" w:lineRule="auto"/>
              <w:jc w:val="center"/>
              <w:rPr/>
            </w:pPr>
            <w:r w:rsidDel="00000000" w:rsidR="00000000" w:rsidRPr="00000000">
              <w:rPr>
                <w:rtl w:val="0"/>
              </w:rPr>
              <w:t xml:space="preserve">Michoacán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4">
            <w:pPr>
              <w:widowControl w:val="0"/>
              <w:spacing w:line="240" w:lineRule="auto"/>
              <w:jc w:val="center"/>
              <w:rPr/>
            </w:pPr>
            <w:r w:rsidDel="00000000" w:rsidR="00000000" w:rsidRPr="00000000">
              <w:rPr>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5">
            <w:pPr>
              <w:widowControl w:val="0"/>
              <w:spacing w:line="240" w:lineRule="auto"/>
              <w:jc w:val="center"/>
              <w:rPr/>
            </w:pPr>
            <w:r w:rsidDel="00000000" w:rsidR="00000000" w:rsidRPr="00000000">
              <w:rPr>
                <w:rtl w:val="0"/>
              </w:rPr>
              <w:t xml:space="preserve">Zacatecas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6">
            <w:pPr>
              <w:widowControl w:val="0"/>
              <w:spacing w:line="240" w:lineRule="auto"/>
              <w:jc w:val="center"/>
              <w:rPr/>
            </w:pPr>
            <w:r w:rsidDel="00000000" w:rsidR="00000000" w:rsidRPr="00000000">
              <w:rPr>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7">
            <w:pPr>
              <w:widowControl w:val="0"/>
              <w:spacing w:line="240" w:lineRule="auto"/>
              <w:jc w:val="center"/>
              <w:rPr/>
            </w:pPr>
            <w:r w:rsidDel="00000000" w:rsidR="00000000" w:rsidRPr="00000000">
              <w:rPr>
                <w:rtl w:val="0"/>
              </w:rPr>
              <w:t xml:space="preserve">Durango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8">
            <w:pPr>
              <w:widowControl w:val="0"/>
              <w:spacing w:line="240" w:lineRule="auto"/>
              <w:jc w:val="center"/>
              <w:rPr/>
            </w:pPr>
            <w:r w:rsidDel="00000000" w:rsidR="00000000" w:rsidRPr="00000000">
              <w:rPr>
                <w:rtl w:val="0"/>
              </w:rPr>
              <w:t xml:space="preserve">2</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9">
            <w:pPr>
              <w:widowControl w:val="0"/>
              <w:spacing w:line="240" w:lineRule="auto"/>
              <w:jc w:val="center"/>
              <w:rPr/>
            </w:pPr>
            <w:r w:rsidDel="00000000" w:rsidR="00000000" w:rsidRPr="00000000">
              <w:rPr>
                <w:rtl w:val="0"/>
              </w:rPr>
              <w:t xml:space="preserve">Sinaloa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A">
            <w:pPr>
              <w:widowControl w:val="0"/>
              <w:spacing w:line="240" w:lineRule="auto"/>
              <w:jc w:val="center"/>
              <w:rPr/>
            </w:pPr>
            <w:r w:rsidDel="00000000" w:rsidR="00000000" w:rsidRPr="00000000">
              <w:rPr>
                <w:rtl w:val="0"/>
              </w:rPr>
              <w:t xml:space="preserve">2</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B">
            <w:pPr>
              <w:widowControl w:val="0"/>
              <w:spacing w:line="240" w:lineRule="auto"/>
              <w:jc w:val="center"/>
              <w:rPr/>
            </w:pPr>
            <w:r w:rsidDel="00000000" w:rsidR="00000000" w:rsidRPr="00000000">
              <w:rPr>
                <w:rtl w:val="0"/>
              </w:rPr>
              <w:t xml:space="preserve">Yucatán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C">
            <w:pPr>
              <w:widowControl w:val="0"/>
              <w:spacing w:line="240" w:lineRule="auto"/>
              <w:jc w:val="center"/>
              <w:rPr/>
            </w:pPr>
            <w:r w:rsidDel="00000000" w:rsidR="00000000" w:rsidRPr="00000000">
              <w:rPr>
                <w:rtl w:val="0"/>
              </w:rPr>
              <w:t xml:space="preserve">2</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D">
            <w:pPr>
              <w:widowControl w:val="0"/>
              <w:spacing w:line="240" w:lineRule="auto"/>
              <w:jc w:val="center"/>
              <w:rPr/>
            </w:pPr>
            <w:r w:rsidDel="00000000" w:rsidR="00000000" w:rsidRPr="00000000">
              <w:rPr>
                <w:rtl w:val="0"/>
              </w:rPr>
              <w:t xml:space="preserve">Baja California Sur</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E">
            <w:pPr>
              <w:widowControl w:val="0"/>
              <w:spacing w:line="240" w:lineRule="auto"/>
              <w:jc w:val="center"/>
              <w:rPr/>
            </w:pPr>
            <w:r w:rsidDel="00000000" w:rsidR="00000000" w:rsidRPr="00000000">
              <w:rPr>
                <w:rtl w:val="0"/>
              </w:rPr>
              <w:t xml:space="preserve">1</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7F">
            <w:pPr>
              <w:widowControl w:val="0"/>
              <w:spacing w:line="240" w:lineRule="auto"/>
              <w:jc w:val="center"/>
              <w:rPr/>
            </w:pPr>
            <w:r w:rsidDel="00000000" w:rsidR="00000000" w:rsidRPr="00000000">
              <w:rPr>
                <w:rtl w:val="0"/>
              </w:rPr>
              <w:t xml:space="preserve">Hidalgo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80">
            <w:pPr>
              <w:widowControl w:val="0"/>
              <w:spacing w:line="240" w:lineRule="auto"/>
              <w:jc w:val="center"/>
              <w:rPr/>
            </w:pPr>
            <w:r w:rsidDel="00000000" w:rsidR="00000000" w:rsidRPr="00000000">
              <w:rPr>
                <w:rtl w:val="0"/>
              </w:rPr>
              <w:t xml:space="preserve">1</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81">
            <w:pPr>
              <w:widowControl w:val="0"/>
              <w:spacing w:line="240" w:lineRule="auto"/>
              <w:jc w:val="center"/>
              <w:rPr/>
            </w:pPr>
            <w:r w:rsidDel="00000000" w:rsidR="00000000" w:rsidRPr="00000000">
              <w:rPr>
                <w:rtl w:val="0"/>
              </w:rPr>
              <w:t xml:space="preserve">Nayarit</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82">
            <w:pPr>
              <w:widowControl w:val="0"/>
              <w:spacing w:line="240" w:lineRule="auto"/>
              <w:jc w:val="center"/>
              <w:rPr/>
            </w:pPr>
            <w:r w:rsidDel="00000000" w:rsidR="00000000" w:rsidRPr="00000000">
              <w:rPr>
                <w:rtl w:val="0"/>
              </w:rPr>
              <w:t xml:space="preserve">1</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83">
            <w:pPr>
              <w:widowControl w:val="0"/>
              <w:spacing w:line="240" w:lineRule="auto"/>
              <w:jc w:val="center"/>
              <w:rPr/>
            </w:pPr>
            <w:r w:rsidDel="00000000" w:rsidR="00000000" w:rsidRPr="00000000">
              <w:rPr>
                <w:rtl w:val="0"/>
              </w:rPr>
              <w:t xml:space="preserve">Tlaxcala</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84">
            <w:pPr>
              <w:widowControl w:val="0"/>
              <w:spacing w:line="240" w:lineRule="auto"/>
              <w:jc w:val="center"/>
              <w:rPr/>
            </w:pPr>
            <w:r w:rsidDel="00000000" w:rsidR="00000000" w:rsidRPr="00000000">
              <w:rPr>
                <w:rtl w:val="0"/>
              </w:rPr>
              <w:t xml:space="preserve">1</w:t>
            </w:r>
          </w:p>
        </w:tc>
      </w:tr>
      <w:tr>
        <w:trPr>
          <w:cantSplit w:val="0"/>
          <w:tblHeader w:val="0"/>
        </w:trPr>
        <w:tc>
          <w:tcPr>
            <w:tcBorders>
              <w:top w:color="666666" w:space="0" w:sz="6" w:val="single"/>
              <w:left w:color="666666" w:space="0" w:sz="6" w:val="single"/>
              <w:bottom w:color="666666" w:space="0" w:sz="6" w:val="single"/>
              <w:right w:color="666666" w:space="0" w:sz="6" w:val="single"/>
            </w:tcBorders>
            <w:shd w:fill="b4a7d6"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jc w:val="center"/>
              <w:rPr/>
            </w:pPr>
            <w:r w:rsidDel="00000000" w:rsidR="00000000" w:rsidRPr="00000000">
              <w:rPr>
                <w:rtl w:val="0"/>
              </w:rPr>
              <w:t xml:space="preserve">Total</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86">
            <w:pPr>
              <w:widowControl w:val="0"/>
              <w:spacing w:line="240" w:lineRule="auto"/>
              <w:jc w:val="center"/>
              <w:rPr/>
            </w:pPr>
            <w:r w:rsidDel="00000000" w:rsidR="00000000" w:rsidRPr="00000000">
              <w:rPr>
                <w:rtl w:val="0"/>
              </w:rPr>
              <w:t xml:space="preserve">217</w:t>
            </w:r>
          </w:p>
        </w:tc>
      </w:tr>
    </w:tbl>
    <w:p w:rsidR="00000000" w:rsidDel="00000000" w:rsidP="00000000" w:rsidRDefault="00000000" w:rsidRPr="00000000" w14:paraId="00000087">
      <w:pPr>
        <w:spacing w:after="240" w:before="240" w:line="360" w:lineRule="auto"/>
        <w:jc w:val="both"/>
        <w:rPr/>
      </w:pPr>
      <w:r w:rsidDel="00000000" w:rsidR="00000000" w:rsidRPr="00000000">
        <w:rPr>
          <w:rtl w:val="0"/>
        </w:rPr>
        <w:t xml:space="preserve">8. Al analizar los casos en los Estados de </w:t>
      </w:r>
      <w:r w:rsidDel="00000000" w:rsidR="00000000" w:rsidRPr="00000000">
        <w:rPr>
          <w:b w:val="1"/>
          <w:rtl w:val="0"/>
        </w:rPr>
        <w:t xml:space="preserve">Jalisco, Guerrero y Tamaulipas</w:t>
      </w:r>
      <w:r w:rsidDel="00000000" w:rsidR="00000000" w:rsidRPr="00000000">
        <w:rPr>
          <w:rtl w:val="0"/>
        </w:rPr>
        <w:t xml:space="preserve">, </w:t>
      </w:r>
      <w:r w:rsidDel="00000000" w:rsidR="00000000" w:rsidRPr="00000000">
        <w:rPr>
          <w:b w:val="1"/>
          <w:rtl w:val="0"/>
        </w:rPr>
        <w:t xml:space="preserve">que son territorios donde este Comité ha exhortado al Estado a prevenir con carácter urgente las muertes violentas de mujeres, se observa que en conjunto concentran 31 homicidios de mujeres trans</w:t>
      </w:r>
      <w:r w:rsidDel="00000000" w:rsidR="00000000" w:rsidRPr="00000000">
        <w:rPr>
          <w:rtl w:val="0"/>
        </w:rPr>
        <w:t xml:space="preserve">, lo que representa el </w:t>
      </w:r>
      <w:r w:rsidDel="00000000" w:rsidR="00000000" w:rsidRPr="00000000">
        <w:rPr>
          <w:b w:val="1"/>
          <w:rtl w:val="0"/>
        </w:rPr>
        <w:t xml:space="preserve">15% del total nacional</w:t>
      </w:r>
      <w:r w:rsidDel="00000000" w:rsidR="00000000" w:rsidRPr="00000000">
        <w:rPr>
          <w:rtl w:val="0"/>
        </w:rPr>
        <w:t xml:space="preserve"> registrado entre 2021 y 2024. Jalisco registra la mayor cantidad  con 16 casos, seguido de Guerrero con 10 y Tamaulipas con 5.</w:t>
      </w:r>
    </w:p>
    <w:p w:rsidR="00000000" w:rsidDel="00000000" w:rsidP="00000000" w:rsidRDefault="00000000" w:rsidRPr="00000000" w14:paraId="00000088">
      <w:pPr>
        <w:spacing w:after="240" w:before="240" w:line="360" w:lineRule="auto"/>
        <w:jc w:val="both"/>
        <w:rPr/>
      </w:pPr>
      <w:r w:rsidDel="00000000" w:rsidR="00000000" w:rsidRPr="00000000">
        <w:rPr>
          <w:rtl w:val="0"/>
        </w:rPr>
        <w:t xml:space="preserve">9. Entre los 16 homicidios registrados en</w:t>
      </w:r>
      <w:r w:rsidDel="00000000" w:rsidR="00000000" w:rsidRPr="00000000">
        <w:rPr>
          <w:b w:val="1"/>
          <w:rtl w:val="0"/>
        </w:rPr>
        <w:t xml:space="preserve"> Jalisco </w:t>
      </w:r>
      <w:r w:rsidDel="00000000" w:rsidR="00000000" w:rsidRPr="00000000">
        <w:rPr>
          <w:rtl w:val="0"/>
        </w:rPr>
        <w:t xml:space="preserve">contra mujeres trans entre 2021 y 2024, se observa una diversidad tanto en los métodos utilizados como en los lugares donde ocurrieron los crímenes. En cuanto a los medios usados, 5 fueron cometidos con arma de fuego, 3 con objeto cortopunzante, 3 mediante medios no especificados, y 5 con otros métodos. Esta variedad evidencia distintos niveles de planificación, acceso a armas y brutalidad.</w:t>
      </w:r>
    </w:p>
    <w:p w:rsidR="00000000" w:rsidDel="00000000" w:rsidP="00000000" w:rsidRDefault="00000000" w:rsidRPr="00000000" w14:paraId="00000089">
      <w:pPr>
        <w:spacing w:after="240" w:before="240" w:line="360" w:lineRule="auto"/>
        <w:jc w:val="both"/>
        <w:rPr/>
      </w:pPr>
      <w:r w:rsidDel="00000000" w:rsidR="00000000" w:rsidRPr="00000000">
        <w:rPr>
          <w:rtl w:val="0"/>
        </w:rPr>
        <w:t xml:space="preserve">10. Los lugares de los hechos muestran una importante presencia de violencia en domicilios particulares (6 casos) y en espacios abiertos (5 casos), seguidos de campos o lotes baldíos (2 casos), hoteles (1 caso) y otros entornos (2 casos). Además, se identifica que una de las víctimas ejercía el trabajo sexual. </w:t>
      </w:r>
    </w:p>
    <w:tbl>
      <w:tblPr>
        <w:tblStyle w:val="Table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A">
            <w:pPr>
              <w:spacing w:after="240" w:before="240" w:line="360" w:lineRule="auto"/>
              <w:jc w:val="both"/>
              <w:rPr/>
            </w:pPr>
            <w:r w:rsidDel="00000000" w:rsidR="00000000" w:rsidRPr="00000000">
              <w:rPr>
                <w:i w:val="1"/>
                <w:rtl w:val="0"/>
              </w:rPr>
              <w:t xml:space="preserve">Un crimen ocurrido el 13 de enero de 2024, da cuenta de la brutalidad e impunidad con que son perpetrados los homicidios en Jalisco. El cuerpo sin vida de una mujer trans fue localizado al interior de una zanja de aproximadamente tres metros de profundidad, en la colonia Hacienda del Vidrio, en San Pedro Tlaquepaque. Según el informe preliminar, la mujer presentaba un impacto de bala en la espalda, lo que sugiere un ataque directo</w:t>
            </w:r>
            <w:r w:rsidDel="00000000" w:rsidR="00000000" w:rsidRPr="00000000">
              <w:rPr>
                <w:vertAlign w:val="superscript"/>
              </w:rPr>
              <w:footnoteReference w:customMarkFollows="0" w:id="4"/>
            </w:r>
            <w:r w:rsidDel="00000000" w:rsidR="00000000" w:rsidRPr="00000000">
              <w:rPr>
                <w:rtl w:val="0"/>
              </w:rPr>
              <w:t xml:space="preserve">.</w:t>
            </w:r>
          </w:p>
        </w:tc>
      </w:tr>
    </w:tbl>
    <w:p w:rsidR="00000000" w:rsidDel="00000000" w:rsidP="00000000" w:rsidRDefault="00000000" w:rsidRPr="00000000" w14:paraId="0000008B">
      <w:pPr>
        <w:spacing w:after="240" w:before="240" w:line="360" w:lineRule="auto"/>
        <w:jc w:val="both"/>
        <w:rPr/>
      </w:pPr>
      <w:r w:rsidDel="00000000" w:rsidR="00000000" w:rsidRPr="00000000">
        <w:rPr>
          <w:rtl w:val="0"/>
        </w:rPr>
        <w:t xml:space="preserve">11. En </w:t>
      </w:r>
      <w:r w:rsidDel="00000000" w:rsidR="00000000" w:rsidRPr="00000000">
        <w:rPr>
          <w:b w:val="1"/>
          <w:rtl w:val="0"/>
        </w:rPr>
        <w:t xml:space="preserve">Guerrero</w:t>
      </w:r>
      <w:r w:rsidDel="00000000" w:rsidR="00000000" w:rsidRPr="00000000">
        <w:rPr>
          <w:rtl w:val="0"/>
        </w:rPr>
        <w:t xml:space="preserve">, los 10 homicidios de mujeres trans registrados ocurrieron en espacios públicos, lo cual subraya un patrón de violencia que se expone, con un alto componente simbólico e intimidatorio. 6 de los asesinatos fueron perpetrados con armas de fuego, 2 con objetos cortopunzantes, y 2 mediante otros medios, reflejando el uso de métodos particularmente letales y visibles. Una de las víctimas era trabajadora sexual, en un contexto de criminalización y vulnerabilidad estructural que enfrentan muchas mujeres trans en esta labor.</w:t>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C">
            <w:pPr>
              <w:spacing w:after="240" w:before="240" w:line="360" w:lineRule="auto"/>
              <w:jc w:val="both"/>
              <w:rPr/>
            </w:pPr>
            <w:r w:rsidDel="00000000" w:rsidR="00000000" w:rsidRPr="00000000">
              <w:rPr>
                <w:i w:val="1"/>
                <w:rtl w:val="0"/>
              </w:rPr>
              <w:t xml:space="preserve">Un caso representativo evidencia la crudeza de estos crímenes: Una mujer trans fue asesinada a balazos en un taxi cerca de la comunidad El Tomatal, en el municipio de Iguala en octubre de 2023. Según testigos, dos sujetos armados dispararon al menos siete veces contra la víctima mientras se desplazaba en el vehículo, lo que sugiere un ataque directo y premeditado</w:t>
            </w:r>
            <w:r w:rsidDel="00000000" w:rsidR="00000000" w:rsidRPr="00000000">
              <w:rPr>
                <w:b w:val="1"/>
                <w:vertAlign w:val="superscript"/>
              </w:rPr>
              <w:footnoteReference w:customMarkFollows="0" w:id="5"/>
            </w:r>
            <w:r w:rsidDel="00000000" w:rsidR="00000000" w:rsidRPr="00000000">
              <w:rPr>
                <w:b w:val="1"/>
                <w:rtl w:val="0"/>
              </w:rPr>
              <w:t xml:space="preserve">. </w:t>
            </w:r>
            <w:r w:rsidDel="00000000" w:rsidR="00000000" w:rsidRPr="00000000">
              <w:rPr>
                <w:rtl w:val="0"/>
              </w:rPr>
            </w:r>
          </w:p>
        </w:tc>
      </w:tr>
    </w:tbl>
    <w:p w:rsidR="00000000" w:rsidDel="00000000" w:rsidP="00000000" w:rsidRDefault="00000000" w:rsidRPr="00000000" w14:paraId="0000008D">
      <w:pPr>
        <w:spacing w:after="240" w:before="240" w:line="360" w:lineRule="auto"/>
        <w:jc w:val="both"/>
        <w:rPr/>
      </w:pPr>
      <w:r w:rsidDel="00000000" w:rsidR="00000000" w:rsidRPr="00000000">
        <w:rPr>
          <w:b w:val="1"/>
          <w:rtl w:val="0"/>
        </w:rPr>
        <w:t xml:space="preserve">12. En Tamaulipas, </w:t>
      </w:r>
      <w:r w:rsidDel="00000000" w:rsidR="00000000" w:rsidRPr="00000000">
        <w:rPr>
          <w:rtl w:val="0"/>
        </w:rPr>
        <w:t xml:space="preserve">se registraron 5 homicidios de mujeres trans, en su mayoría con métodos distintos al arma de fuego, lo que marca una particularidad respecto a otros Estados. Ninguno de los crímenes fue cometido con arma de fuego: 2 fueron con objeto cortopunzante, mientras que los demás fueron con métodos diversos como fuerza corporal. Los lugares donde ocurrieron los hechos fueron: 2 en espacio abierto, 1 en campo o baldío, 1 en domicilio particular, y 1 en establecimiento comercial o público no residencial. Estos datos reflejan la exposición constante de las mujeres trans a la violencia letal, incluso en espacios cotidianos o laborales: entre las víctimas se encontraban dos estilistas y una trabajadora sexual.</w:t>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E">
            <w:pPr>
              <w:spacing w:after="240" w:before="240" w:line="360" w:lineRule="auto"/>
              <w:jc w:val="both"/>
              <w:rPr>
                <w:i w:val="1"/>
              </w:rPr>
            </w:pPr>
            <w:r w:rsidDel="00000000" w:rsidR="00000000" w:rsidRPr="00000000">
              <w:rPr>
                <w:i w:val="1"/>
                <w:rtl w:val="0"/>
              </w:rPr>
              <w:t xml:space="preserve">Uno de los casos fue el asesinato de Angie, una joven trans estilista de 28 años, ocurrido la noche del 23 de febrero de 2024. Según las autoridades, fue atacada con un cuchillo de 20 centímetros cuando regresaba a su casa en la colonia Fernando San Pedro. El presunto agresor fue detenido, y el arma fue hallada cerca del lugar del crimen. Las circunstancias indican que Angie no tuvo oportunidad de defenderse, lo que evidencia un ataque directo, con violencia extrema y probablemente motivado por prejuicio</w:t>
            </w:r>
            <w:r w:rsidDel="00000000" w:rsidR="00000000" w:rsidRPr="00000000">
              <w:rPr>
                <w:i w:val="1"/>
                <w:vertAlign w:val="superscript"/>
              </w:rPr>
              <w:footnoteReference w:customMarkFollows="0" w:id="6"/>
            </w:r>
            <w:r w:rsidDel="00000000" w:rsidR="00000000" w:rsidRPr="00000000">
              <w:rPr>
                <w:i w:val="1"/>
                <w:rtl w:val="0"/>
              </w:rPr>
              <w:t xml:space="preserve"> .</w:t>
            </w:r>
          </w:p>
        </w:tc>
      </w:tr>
    </w:tbl>
    <w:p w:rsidR="00000000" w:rsidDel="00000000" w:rsidP="00000000" w:rsidRDefault="00000000" w:rsidRPr="00000000" w14:paraId="0000008F">
      <w:pPr>
        <w:spacing w:after="240" w:before="240" w:line="360" w:lineRule="auto"/>
        <w:jc w:val="both"/>
        <w:rPr/>
      </w:pPr>
      <w:r w:rsidDel="00000000" w:rsidR="00000000" w:rsidRPr="00000000">
        <w:rPr>
          <w:rtl w:val="0"/>
        </w:rPr>
        <w:t xml:space="preserve">13. El análisis de los </w:t>
      </w:r>
      <w:r w:rsidDel="00000000" w:rsidR="00000000" w:rsidRPr="00000000">
        <w:rPr>
          <w:b w:val="1"/>
          <w:rtl w:val="0"/>
        </w:rPr>
        <w:t xml:space="preserve">datos sobre homicidios de mujeres lesbianas  y trans en México revela que la violencia letal afecta principalmente a personas jóvenes</w:t>
      </w:r>
      <w:r w:rsidDel="00000000" w:rsidR="00000000" w:rsidRPr="00000000">
        <w:rPr>
          <w:rtl w:val="0"/>
        </w:rPr>
        <w:t xml:space="preserve">. De los 217 homicidios registrados, el 31% (68 casos) corresponde a mujeres</w:t>
      </w:r>
      <w:r w:rsidDel="00000000" w:rsidR="00000000" w:rsidRPr="00000000">
        <w:rPr>
          <w:b w:val="1"/>
          <w:rtl w:val="0"/>
        </w:rPr>
        <w:t xml:space="preserve"> entre 16 y 30 años</w:t>
      </w:r>
      <w:r w:rsidDel="00000000" w:rsidR="00000000" w:rsidRPr="00000000">
        <w:rPr>
          <w:rtl w:val="0"/>
        </w:rPr>
        <w:t xml:space="preserve">: 10 de ellas eran mujeres lesbianas y 58, mujeres trans. Hay </w:t>
      </w:r>
      <w:r w:rsidDel="00000000" w:rsidR="00000000" w:rsidRPr="00000000">
        <w:rPr>
          <w:b w:val="1"/>
          <w:rtl w:val="0"/>
        </w:rPr>
        <w:t xml:space="preserve">71 casos (33%)</w:t>
      </w:r>
      <w:r w:rsidDel="00000000" w:rsidR="00000000" w:rsidRPr="00000000">
        <w:rPr>
          <w:rtl w:val="0"/>
        </w:rPr>
        <w:t xml:space="preserve"> donde se desconoce el rango etario de la víctima, todos correspondientes a mujeres trans. Según la recomendación general N.º 28 de este Comité, se resalta que los Estados partes deben contar con medidas suficientes para erradicar la discriminación, a base de la evidencia, a través del diseño e implementación de bases de datos desglosados</w:t>
      </w:r>
      <w:r w:rsidDel="00000000" w:rsidR="00000000" w:rsidRPr="00000000">
        <w:rPr>
          <w:vertAlign w:val="superscript"/>
        </w:rPr>
        <w:footnoteReference w:customMarkFollows="0" w:id="7"/>
      </w:r>
      <w:r w:rsidDel="00000000" w:rsidR="00000000" w:rsidRPr="00000000">
        <w:rPr>
          <w:rtl w:val="0"/>
        </w:rPr>
        <w:t xml:space="preserve">. Sin embargo, esta falta de datos sobre la edad de las víctimas refuerza la necesidad de mejorar los registros oficiales y garantizar información desagregada para una comprensión más profunda del problema.</w:t>
      </w:r>
    </w:p>
    <w:p w:rsidR="00000000" w:rsidDel="00000000" w:rsidP="00000000" w:rsidRDefault="00000000" w:rsidRPr="00000000" w14:paraId="00000090">
      <w:pPr>
        <w:spacing w:after="240" w:before="240" w:line="360" w:lineRule="auto"/>
        <w:jc w:val="both"/>
        <w:rPr/>
      </w:pPr>
      <w:r w:rsidDel="00000000" w:rsidR="00000000" w:rsidRPr="00000000">
        <w:rPr>
          <w:rtl w:val="0"/>
        </w:rPr>
        <w:t xml:space="preserve">14. Los datos sobre los medios utilizados en los homicidios de mujeres lesbianas y trans en México permiten dimensionar no sólo la magnitud de estos crímenes, sino también la crueldad e intencionalidad con la que son cometidos. </w:t>
      </w:r>
      <w:r w:rsidDel="00000000" w:rsidR="00000000" w:rsidRPr="00000000">
        <w:rPr>
          <w:b w:val="1"/>
          <w:rtl w:val="0"/>
        </w:rPr>
        <w:t xml:space="preserve">El uso de armas de fuego, </w:t>
      </w:r>
      <w:r w:rsidDel="00000000" w:rsidR="00000000" w:rsidRPr="00000000">
        <w:rPr>
          <w:rtl w:val="0"/>
        </w:rPr>
        <w:t xml:space="preserve">presente en 94 de los 217 casos registrados (43%), evidencia una clara intencionalidad de provocar la muerte. Este método fue utilizado en más de la mitad de los homicidios de mujeres lesbianas (53%) y en el 43% de los casos de mujeres trans. </w:t>
      </w:r>
    </w:p>
    <w:p w:rsidR="00000000" w:rsidDel="00000000" w:rsidP="00000000" w:rsidRDefault="00000000" w:rsidRPr="00000000" w14:paraId="00000091">
      <w:pPr>
        <w:spacing w:after="240" w:before="240" w:line="360" w:lineRule="auto"/>
        <w:jc w:val="both"/>
        <w:rPr/>
      </w:pPr>
      <w:r w:rsidDel="00000000" w:rsidR="00000000" w:rsidRPr="00000000">
        <w:rPr>
          <w:rtl w:val="0"/>
        </w:rPr>
        <w:t xml:space="preserve">15. Por otro lado, </w:t>
      </w:r>
      <w:r w:rsidDel="00000000" w:rsidR="00000000" w:rsidRPr="00000000">
        <w:rPr>
          <w:b w:val="1"/>
          <w:rtl w:val="0"/>
        </w:rPr>
        <w:t xml:space="preserve">los homicidios cometidos con objetos cortantes o punzantes</w:t>
      </w:r>
      <w:r w:rsidDel="00000000" w:rsidR="00000000" w:rsidRPr="00000000">
        <w:rPr>
          <w:rtl w:val="0"/>
        </w:rPr>
        <w:t xml:space="preserve"> (18%) y mediante </w:t>
      </w:r>
      <w:r w:rsidDel="00000000" w:rsidR="00000000" w:rsidRPr="00000000">
        <w:rPr>
          <w:b w:val="1"/>
          <w:rtl w:val="0"/>
        </w:rPr>
        <w:t xml:space="preserve">fuerza corporal</w:t>
      </w:r>
      <w:r w:rsidDel="00000000" w:rsidR="00000000" w:rsidRPr="00000000">
        <w:rPr>
          <w:rtl w:val="0"/>
        </w:rPr>
        <w:t xml:space="preserve"> (7%) revelan altos niveles de brutalidad y cercanía física, lo que sugiere una violencia ejercida de forma directa, muchas veces prolongada y con saña. El uso de golpes, puños o patadas, y el empleo de objetos punzantes reflejan no sólo una intención de matar, sino de causar dolor y sufrimiento. Asimismo, el uso de </w:t>
      </w:r>
      <w:r w:rsidDel="00000000" w:rsidR="00000000" w:rsidRPr="00000000">
        <w:rPr>
          <w:b w:val="1"/>
          <w:rtl w:val="0"/>
        </w:rPr>
        <w:t xml:space="preserve">otros métodos crueles</w:t>
      </w:r>
      <w:r w:rsidDel="00000000" w:rsidR="00000000" w:rsidRPr="00000000">
        <w:rPr>
          <w:rtl w:val="0"/>
        </w:rPr>
        <w:t xml:space="preserve">—como estrangulamiento, sofocación, atropellos deliberados, o incluso ahogamiento— fueron utilizados en</w:t>
      </w:r>
      <w:r w:rsidDel="00000000" w:rsidR="00000000" w:rsidRPr="00000000">
        <w:rPr>
          <w:b w:val="1"/>
          <w:rtl w:val="0"/>
        </w:rPr>
        <w:t xml:space="preserve"> </w:t>
      </w:r>
      <w:r w:rsidDel="00000000" w:rsidR="00000000" w:rsidRPr="00000000">
        <w:rPr>
          <w:rtl w:val="0"/>
        </w:rPr>
        <w:t xml:space="preserve">40 víctimas, casi en su totalidad mujeres trans.</w:t>
      </w:r>
    </w:p>
    <w:p w:rsidR="00000000" w:rsidDel="00000000" w:rsidP="00000000" w:rsidRDefault="00000000" w:rsidRPr="00000000" w14:paraId="00000092">
      <w:pPr>
        <w:rPr>
          <w:b w:val="1"/>
          <w:color w:val="ff0000"/>
        </w:rPr>
      </w:pPr>
      <w:r w:rsidDel="00000000" w:rsidR="00000000" w:rsidRPr="00000000">
        <w:rPr>
          <w:rtl w:val="0"/>
        </w:rPr>
      </w:r>
    </w:p>
    <w:tbl>
      <w:tblPr>
        <w:tblStyle w:val="Table6"/>
        <w:tblW w:w="9105.0" w:type="dxa"/>
        <w:jc w:val="left"/>
        <w:tblBorders>
          <w:top w:color="666666" w:space="0" w:sz="6" w:val="single"/>
          <w:left w:color="666666" w:space="0" w:sz="6" w:val="single"/>
          <w:bottom w:color="666666" w:space="0" w:sz="6" w:val="single"/>
          <w:right w:color="666666" w:space="0" w:sz="6" w:val="single"/>
          <w:insideH w:color="666666" w:space="0" w:sz="6" w:val="single"/>
          <w:insideV w:color="666666" w:space="0" w:sz="6" w:val="single"/>
        </w:tblBorders>
        <w:tblLayout w:type="fixed"/>
        <w:tblLook w:val="0600"/>
      </w:tblPr>
      <w:tblGrid>
        <w:gridCol w:w="4155"/>
        <w:gridCol w:w="1575"/>
        <w:gridCol w:w="1635"/>
        <w:gridCol w:w="1740"/>
        <w:tblGridChange w:id="0">
          <w:tblGrid>
            <w:gridCol w:w="4155"/>
            <w:gridCol w:w="1575"/>
            <w:gridCol w:w="1635"/>
            <w:gridCol w:w="1740"/>
          </w:tblGrid>
        </w:tblGridChange>
      </w:tblGrid>
      <w:tr>
        <w:trPr>
          <w:cantSplit w:val="0"/>
          <w:tblHeader w:val="0"/>
        </w:trPr>
        <w:tc>
          <w:tcPr>
            <w:shd w:fill="b4a7d6" w:val="clear"/>
            <w:tcMar>
              <w:top w:w="100.0" w:type="dxa"/>
              <w:left w:w="100.0" w:type="dxa"/>
              <w:bottom w:w="100.0" w:type="dxa"/>
              <w:right w:w="100.0" w:type="dxa"/>
            </w:tcMar>
          </w:tcPr>
          <w:p w:rsidR="00000000" w:rsidDel="00000000" w:rsidP="00000000" w:rsidRDefault="00000000" w:rsidRPr="00000000" w14:paraId="00000093">
            <w:pPr>
              <w:widowControl w:val="0"/>
              <w:spacing w:line="240" w:lineRule="auto"/>
              <w:jc w:val="center"/>
              <w:rPr>
                <w:b w:val="1"/>
              </w:rPr>
            </w:pPr>
            <w:r w:rsidDel="00000000" w:rsidR="00000000" w:rsidRPr="00000000">
              <w:rPr>
                <w:b w:val="1"/>
                <w:rtl w:val="0"/>
              </w:rPr>
              <w:t xml:space="preserve">Medio utilizado</w:t>
            </w:r>
          </w:p>
        </w:tc>
        <w:tc>
          <w:tcPr>
            <w:tcBorders>
              <w:top w:color="666666" w:space="0" w:sz="6" w:val="single"/>
              <w:left w:color="666666" w:space="0" w:sz="6" w:val="single"/>
              <w:bottom w:color="666666" w:space="0" w:sz="6" w:val="single"/>
              <w:right w:color="666666" w:space="0" w:sz="6" w:val="single"/>
            </w:tcBorders>
            <w:shd w:fill="b4a7d6" w:val="clear"/>
            <w:tcMar>
              <w:top w:w="100.0" w:type="dxa"/>
              <w:left w:w="100.0" w:type="dxa"/>
              <w:bottom w:w="100.0" w:type="dxa"/>
              <w:right w:w="100.0" w:type="dxa"/>
            </w:tcMar>
          </w:tcPr>
          <w:p w:rsidR="00000000" w:rsidDel="00000000" w:rsidP="00000000" w:rsidRDefault="00000000" w:rsidRPr="00000000" w14:paraId="00000094">
            <w:pPr>
              <w:widowControl w:val="0"/>
              <w:spacing w:line="240" w:lineRule="auto"/>
              <w:jc w:val="center"/>
              <w:rPr>
                <w:b w:val="1"/>
              </w:rPr>
            </w:pPr>
            <w:r w:rsidDel="00000000" w:rsidR="00000000" w:rsidRPr="00000000">
              <w:rPr>
                <w:b w:val="1"/>
                <w:rtl w:val="0"/>
              </w:rPr>
              <w:t xml:space="preserve">Lesbiana</w:t>
            </w:r>
          </w:p>
        </w:tc>
        <w:tc>
          <w:tcPr>
            <w:tcBorders>
              <w:top w:color="666666" w:space="0" w:sz="6" w:val="single"/>
              <w:left w:color="666666" w:space="0" w:sz="6" w:val="single"/>
              <w:bottom w:color="666666" w:space="0" w:sz="6" w:val="single"/>
              <w:right w:color="666666" w:space="0" w:sz="6" w:val="single"/>
            </w:tcBorders>
            <w:shd w:fill="b4a7d6" w:val="clear"/>
            <w:tcMar>
              <w:top w:w="100.0" w:type="dxa"/>
              <w:left w:w="100.0" w:type="dxa"/>
              <w:bottom w:w="100.0" w:type="dxa"/>
              <w:right w:w="100.0" w:type="dxa"/>
            </w:tcMar>
          </w:tcPr>
          <w:p w:rsidR="00000000" w:rsidDel="00000000" w:rsidP="00000000" w:rsidRDefault="00000000" w:rsidRPr="00000000" w14:paraId="00000095">
            <w:pPr>
              <w:widowControl w:val="0"/>
              <w:spacing w:line="240" w:lineRule="auto"/>
              <w:jc w:val="center"/>
              <w:rPr>
                <w:b w:val="1"/>
              </w:rPr>
            </w:pPr>
            <w:r w:rsidDel="00000000" w:rsidR="00000000" w:rsidRPr="00000000">
              <w:rPr>
                <w:b w:val="1"/>
                <w:rtl w:val="0"/>
              </w:rPr>
              <w:t xml:space="preserve">Mujer trans</w:t>
            </w:r>
          </w:p>
        </w:tc>
        <w:tc>
          <w:tcPr>
            <w:tcBorders>
              <w:top w:color="666666" w:space="0" w:sz="6" w:val="single"/>
              <w:left w:color="666666" w:space="0" w:sz="6" w:val="single"/>
              <w:bottom w:color="666666" w:space="0" w:sz="6" w:val="single"/>
              <w:right w:color="666666" w:space="0" w:sz="6" w:val="single"/>
            </w:tcBorders>
            <w:shd w:fill="b4a7d6" w:val="clear"/>
            <w:tcMar>
              <w:top w:w="100.0" w:type="dxa"/>
              <w:left w:w="100.0" w:type="dxa"/>
              <w:bottom w:w="100.0" w:type="dxa"/>
              <w:right w:w="100.0" w:type="dxa"/>
            </w:tcMar>
          </w:tcPr>
          <w:p w:rsidR="00000000" w:rsidDel="00000000" w:rsidP="00000000" w:rsidRDefault="00000000" w:rsidRPr="00000000" w14:paraId="00000096">
            <w:pPr>
              <w:widowControl w:val="0"/>
              <w:spacing w:line="240" w:lineRule="auto"/>
              <w:jc w:val="center"/>
              <w:rPr>
                <w:b w:val="1"/>
              </w:rPr>
            </w:pPr>
            <w:r w:rsidDel="00000000" w:rsidR="00000000" w:rsidRPr="00000000">
              <w:rPr>
                <w:b w:val="1"/>
                <w:rtl w:val="0"/>
              </w:rPr>
              <w:t xml:space="preserve">Mujeres LT</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7">
            <w:pPr>
              <w:widowControl w:val="0"/>
              <w:spacing w:line="240" w:lineRule="auto"/>
              <w:rPr/>
            </w:pPr>
            <w:r w:rsidDel="00000000" w:rsidR="00000000" w:rsidRPr="00000000">
              <w:rPr>
                <w:rtl w:val="0"/>
              </w:rPr>
              <w:t xml:space="preserve">Arma de fuego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8">
            <w:pPr>
              <w:widowControl w:val="0"/>
              <w:spacing w:line="240" w:lineRule="auto"/>
              <w:jc w:val="center"/>
              <w:rPr>
                <w:b w:val="1"/>
              </w:rPr>
            </w:pPr>
            <w:r w:rsidDel="00000000" w:rsidR="00000000" w:rsidRPr="00000000">
              <w:rPr>
                <w:b w:val="1"/>
                <w:rtl w:val="0"/>
              </w:rPr>
              <w:t xml:space="preserve">9</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9">
            <w:pPr>
              <w:widowControl w:val="0"/>
              <w:spacing w:line="240" w:lineRule="auto"/>
              <w:jc w:val="center"/>
              <w:rPr>
                <w:b w:val="1"/>
              </w:rPr>
            </w:pPr>
            <w:r w:rsidDel="00000000" w:rsidR="00000000" w:rsidRPr="00000000">
              <w:rPr>
                <w:b w:val="1"/>
                <w:rtl w:val="0"/>
              </w:rPr>
              <w:t xml:space="preserve">85</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A">
            <w:pPr>
              <w:widowControl w:val="0"/>
              <w:spacing w:line="240" w:lineRule="auto"/>
              <w:jc w:val="center"/>
              <w:rPr>
                <w:b w:val="1"/>
              </w:rPr>
            </w:pPr>
            <w:r w:rsidDel="00000000" w:rsidR="00000000" w:rsidRPr="00000000">
              <w:rPr>
                <w:b w:val="1"/>
                <w:rtl w:val="0"/>
              </w:rPr>
              <w:t xml:space="preserve">94</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B">
            <w:pPr>
              <w:widowControl w:val="0"/>
              <w:spacing w:line="240" w:lineRule="auto"/>
              <w:rPr/>
            </w:pPr>
            <w:r w:rsidDel="00000000" w:rsidR="00000000" w:rsidRPr="00000000">
              <w:rPr>
                <w:rtl w:val="0"/>
              </w:rPr>
              <w:t xml:space="preserve">Objeto cortante o punzante</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C">
            <w:pPr>
              <w:widowControl w:val="0"/>
              <w:spacing w:line="240" w:lineRule="auto"/>
              <w:jc w:val="center"/>
              <w:rPr/>
            </w:pPr>
            <w:r w:rsidDel="00000000" w:rsidR="00000000" w:rsidRPr="00000000">
              <w:rPr>
                <w:rtl w:val="0"/>
              </w:rPr>
              <w:t xml:space="preserve">3</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D">
            <w:pPr>
              <w:widowControl w:val="0"/>
              <w:spacing w:line="240" w:lineRule="auto"/>
              <w:jc w:val="center"/>
              <w:rPr/>
            </w:pPr>
            <w:r w:rsidDel="00000000" w:rsidR="00000000" w:rsidRPr="00000000">
              <w:rPr>
                <w:rtl w:val="0"/>
              </w:rPr>
              <w:t xml:space="preserve">36</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E">
            <w:pPr>
              <w:widowControl w:val="0"/>
              <w:spacing w:line="240" w:lineRule="auto"/>
              <w:jc w:val="center"/>
              <w:rPr/>
            </w:pPr>
            <w:r w:rsidDel="00000000" w:rsidR="00000000" w:rsidRPr="00000000">
              <w:rPr>
                <w:rtl w:val="0"/>
              </w:rPr>
              <w:t xml:space="preserve">39</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9F">
            <w:pPr>
              <w:widowControl w:val="0"/>
              <w:spacing w:line="240" w:lineRule="auto"/>
              <w:rPr/>
            </w:pPr>
            <w:r w:rsidDel="00000000" w:rsidR="00000000" w:rsidRPr="00000000">
              <w:rPr>
                <w:rtl w:val="0"/>
              </w:rPr>
              <w:t xml:space="preserve">Agresión por medios no especificados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0">
            <w:pPr>
              <w:widowControl w:val="0"/>
              <w:spacing w:line="240" w:lineRule="auto"/>
              <w:jc w:val="center"/>
              <w:rPr/>
            </w:pPr>
            <w:r w:rsidDel="00000000" w:rsidR="00000000" w:rsidRPr="00000000">
              <w:rPr>
                <w:rtl w:val="0"/>
              </w:rPr>
              <w:t xml:space="preserve">2</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1">
            <w:pPr>
              <w:widowControl w:val="0"/>
              <w:spacing w:line="240" w:lineRule="auto"/>
              <w:jc w:val="center"/>
              <w:rPr/>
            </w:pPr>
            <w:r w:rsidDel="00000000" w:rsidR="00000000" w:rsidRPr="00000000">
              <w:rPr>
                <w:rtl w:val="0"/>
              </w:rPr>
              <w:t xml:space="preserve">8</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2">
            <w:pPr>
              <w:widowControl w:val="0"/>
              <w:spacing w:line="240" w:lineRule="auto"/>
              <w:jc w:val="center"/>
              <w:rPr/>
            </w:pPr>
            <w:r w:rsidDel="00000000" w:rsidR="00000000" w:rsidRPr="00000000">
              <w:rPr>
                <w:rtl w:val="0"/>
              </w:rPr>
              <w:t xml:space="preserve">10</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3">
            <w:pPr>
              <w:widowControl w:val="0"/>
              <w:spacing w:line="240" w:lineRule="auto"/>
              <w:rPr/>
            </w:pPr>
            <w:r w:rsidDel="00000000" w:rsidR="00000000" w:rsidRPr="00000000">
              <w:rPr>
                <w:rtl w:val="0"/>
              </w:rPr>
              <w:t xml:space="preserve">Otros</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4">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5">
            <w:pPr>
              <w:widowControl w:val="0"/>
              <w:spacing w:line="240" w:lineRule="auto"/>
              <w:jc w:val="center"/>
              <w:rPr/>
            </w:pPr>
            <w:r w:rsidDel="00000000" w:rsidR="00000000" w:rsidRPr="00000000">
              <w:rPr>
                <w:rtl w:val="0"/>
              </w:rPr>
              <w:t xml:space="preserve">39</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6">
            <w:pPr>
              <w:widowControl w:val="0"/>
              <w:spacing w:line="240" w:lineRule="auto"/>
              <w:jc w:val="center"/>
              <w:rPr/>
            </w:pPr>
            <w:r w:rsidDel="00000000" w:rsidR="00000000" w:rsidRPr="00000000">
              <w:rPr>
                <w:rtl w:val="0"/>
              </w:rPr>
              <w:t xml:space="preserve">40</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7">
            <w:pPr>
              <w:widowControl w:val="0"/>
              <w:spacing w:line="240" w:lineRule="auto"/>
              <w:rPr/>
            </w:pPr>
            <w:r w:rsidDel="00000000" w:rsidR="00000000" w:rsidRPr="00000000">
              <w:rPr>
                <w:rtl w:val="0"/>
              </w:rPr>
              <w:t xml:space="preserve">Fuerza corporal</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8">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9">
            <w:pPr>
              <w:widowControl w:val="0"/>
              <w:spacing w:line="240" w:lineRule="auto"/>
              <w:jc w:val="center"/>
              <w:rPr/>
            </w:pPr>
            <w:r w:rsidDel="00000000" w:rsidR="00000000" w:rsidRPr="00000000">
              <w:rPr>
                <w:rtl w:val="0"/>
              </w:rPr>
              <w:t xml:space="preserve">14</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A">
            <w:pPr>
              <w:widowControl w:val="0"/>
              <w:spacing w:line="240" w:lineRule="auto"/>
              <w:jc w:val="center"/>
              <w:rPr/>
            </w:pPr>
            <w:r w:rsidDel="00000000" w:rsidR="00000000" w:rsidRPr="00000000">
              <w:rPr>
                <w:rtl w:val="0"/>
              </w:rPr>
              <w:t xml:space="preserve">15</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B">
            <w:pPr>
              <w:widowControl w:val="0"/>
              <w:spacing w:line="240" w:lineRule="auto"/>
              <w:rPr/>
            </w:pPr>
            <w:r w:rsidDel="00000000" w:rsidR="00000000" w:rsidRPr="00000000">
              <w:rPr>
                <w:rtl w:val="0"/>
              </w:rPr>
              <w:t xml:space="preserve">Ahorcamiento, estrangulamiento, sofocación </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C">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D">
            <w:pPr>
              <w:widowControl w:val="0"/>
              <w:spacing w:line="240" w:lineRule="auto"/>
              <w:jc w:val="center"/>
              <w:rPr/>
            </w:pPr>
            <w:r w:rsidDel="00000000" w:rsidR="00000000" w:rsidRPr="00000000">
              <w:rPr>
                <w:rtl w:val="0"/>
              </w:rPr>
              <w:t xml:space="preserve">9</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E">
            <w:pPr>
              <w:widowControl w:val="0"/>
              <w:spacing w:line="240" w:lineRule="auto"/>
              <w:jc w:val="center"/>
              <w:rPr/>
            </w:pPr>
            <w:r w:rsidDel="00000000" w:rsidR="00000000" w:rsidRPr="00000000">
              <w:rPr>
                <w:rtl w:val="0"/>
              </w:rPr>
              <w:t xml:space="preserve">10</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AF">
            <w:pPr>
              <w:widowControl w:val="0"/>
              <w:spacing w:line="240" w:lineRule="auto"/>
              <w:rPr/>
            </w:pPr>
            <w:r w:rsidDel="00000000" w:rsidR="00000000" w:rsidRPr="00000000">
              <w:rPr>
                <w:rtl w:val="0"/>
              </w:rPr>
              <w:t xml:space="preserve">Objeto romo o sin filo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0">
            <w:pPr>
              <w:widowControl w:val="0"/>
              <w:spacing w:line="240" w:lineRule="auto"/>
              <w:jc w:val="center"/>
              <w:rPr/>
            </w:pPr>
            <w:r w:rsidDel="00000000" w:rsidR="00000000" w:rsidRPr="00000000">
              <w:rPr>
                <w:rtl w:val="0"/>
              </w:rPr>
              <w:t xml:space="preserve">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1">
            <w:pPr>
              <w:widowControl w:val="0"/>
              <w:spacing w:line="240" w:lineRule="auto"/>
              <w:jc w:val="center"/>
              <w:rPr/>
            </w:pPr>
            <w:r w:rsidDel="00000000" w:rsidR="00000000" w:rsidRPr="00000000">
              <w:rPr>
                <w:rtl w:val="0"/>
              </w:rPr>
              <w:t xml:space="preserve">4</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2">
            <w:pPr>
              <w:widowControl w:val="0"/>
              <w:spacing w:line="240" w:lineRule="auto"/>
              <w:jc w:val="center"/>
              <w:rPr/>
            </w:pPr>
            <w:r w:rsidDel="00000000" w:rsidR="00000000" w:rsidRPr="00000000">
              <w:rPr>
                <w:rtl w:val="0"/>
              </w:rPr>
              <w:t xml:space="preserve">4</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3">
            <w:pPr>
              <w:widowControl w:val="0"/>
              <w:spacing w:line="240" w:lineRule="auto"/>
              <w:rPr/>
            </w:pPr>
            <w:r w:rsidDel="00000000" w:rsidR="00000000" w:rsidRPr="00000000">
              <w:rPr>
                <w:rtl w:val="0"/>
              </w:rPr>
              <w:t xml:space="preserve">Otro objeto utilizado como arma (incluida la colisión o el atropello deliberado con un vehículo de motor)</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4">
            <w:pPr>
              <w:widowControl w:val="0"/>
              <w:spacing w:line="240" w:lineRule="auto"/>
              <w:jc w:val="center"/>
              <w:rPr/>
            </w:pPr>
            <w:r w:rsidDel="00000000" w:rsidR="00000000" w:rsidRPr="00000000">
              <w:rPr>
                <w:rtl w:val="0"/>
              </w:rPr>
              <w:t xml:space="preserve">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5">
            <w:pPr>
              <w:widowControl w:val="0"/>
              <w:spacing w:line="240" w:lineRule="auto"/>
              <w:jc w:val="center"/>
              <w:rPr/>
            </w:pPr>
            <w:r w:rsidDel="00000000" w:rsidR="00000000" w:rsidRPr="00000000">
              <w:rPr>
                <w:rtl w:val="0"/>
              </w:rPr>
              <w:t xml:space="preserve">3</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6">
            <w:pPr>
              <w:widowControl w:val="0"/>
              <w:spacing w:line="240" w:lineRule="auto"/>
              <w:jc w:val="center"/>
              <w:rPr/>
            </w:pPr>
            <w:r w:rsidDel="00000000" w:rsidR="00000000" w:rsidRPr="00000000">
              <w:rPr>
                <w:rtl w:val="0"/>
              </w:rPr>
              <w:t xml:space="preserve">3</w:t>
            </w:r>
          </w:p>
        </w:tc>
      </w:tr>
      <w:tr>
        <w:trPr>
          <w:cantSplit w:val="0"/>
          <w:tblHeader w:val="0"/>
        </w:trPr>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7">
            <w:pPr>
              <w:widowControl w:val="0"/>
              <w:spacing w:line="240" w:lineRule="auto"/>
              <w:rPr/>
            </w:pPr>
            <w:r w:rsidDel="00000000" w:rsidR="00000000" w:rsidRPr="00000000">
              <w:rPr>
                <w:rtl w:val="0"/>
              </w:rPr>
              <w:t xml:space="preserve">Ahogamiento o sumersión</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8">
            <w:pPr>
              <w:widowControl w:val="0"/>
              <w:spacing w:line="240" w:lineRule="auto"/>
              <w:jc w:val="center"/>
              <w:rPr/>
            </w:pPr>
            <w:r w:rsidDel="00000000" w:rsidR="00000000" w:rsidRPr="00000000">
              <w:rPr>
                <w:rtl w:val="0"/>
              </w:rPr>
              <w:t xml:space="preserve">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9">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A">
            <w:pPr>
              <w:widowControl w:val="0"/>
              <w:spacing w:line="240" w:lineRule="auto"/>
              <w:jc w:val="center"/>
              <w:rPr/>
            </w:pPr>
            <w:r w:rsidDel="00000000" w:rsidR="00000000" w:rsidRPr="00000000">
              <w:rPr>
                <w:rtl w:val="0"/>
              </w:rPr>
              <w:t xml:space="preserve">1</w:t>
            </w:r>
          </w:p>
        </w:tc>
      </w:tr>
      <w:tr>
        <w:trPr>
          <w:cantSplit w:val="0"/>
          <w:tblHeader w:val="0"/>
        </w:trPr>
        <w:tc>
          <w:tcPr>
            <w:tcBorders>
              <w:top w:color="666666" w:space="0" w:sz="6" w:val="single"/>
              <w:left w:color="666666" w:space="0" w:sz="6" w:val="single"/>
              <w:bottom w:color="8e7cc3"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B">
            <w:pPr>
              <w:widowControl w:val="0"/>
              <w:spacing w:line="240" w:lineRule="auto"/>
              <w:rPr/>
            </w:pPr>
            <w:r w:rsidDel="00000000" w:rsidR="00000000" w:rsidRPr="00000000">
              <w:rPr>
                <w:rtl w:val="0"/>
              </w:rPr>
              <w:t xml:space="preserve">Empujar o colocar a la víctima delante de un objeto en movimiento</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C">
            <w:pPr>
              <w:widowControl w:val="0"/>
              <w:spacing w:line="240" w:lineRule="auto"/>
              <w:jc w:val="center"/>
              <w:rPr/>
            </w:pPr>
            <w:r w:rsidDel="00000000" w:rsidR="00000000" w:rsidRPr="00000000">
              <w:rPr>
                <w:rtl w:val="0"/>
              </w:rPr>
              <w:t xml:space="preserve">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D">
            <w:pPr>
              <w:widowControl w:val="0"/>
              <w:spacing w:line="240" w:lineRule="auto"/>
              <w:jc w:val="center"/>
              <w:rPr/>
            </w:pPr>
            <w:r w:rsidDel="00000000" w:rsidR="00000000" w:rsidRPr="00000000">
              <w:rPr>
                <w:rtl w:val="0"/>
              </w:rPr>
              <w:t xml:space="preserve">1</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BE">
            <w:pPr>
              <w:widowControl w:val="0"/>
              <w:spacing w:line="240" w:lineRule="auto"/>
              <w:jc w:val="center"/>
              <w:rPr/>
            </w:pPr>
            <w:r w:rsidDel="00000000" w:rsidR="00000000" w:rsidRPr="00000000">
              <w:rPr>
                <w:rtl w:val="0"/>
              </w:rPr>
              <w:t xml:space="preserve">1</w:t>
            </w:r>
          </w:p>
        </w:tc>
      </w:tr>
      <w:tr>
        <w:trPr>
          <w:cantSplit w:val="0"/>
          <w:tblHeader w:val="0"/>
        </w:trPr>
        <w:tc>
          <w:tcPr>
            <w:tcBorders>
              <w:top w:color="8e7cc3" w:space="0" w:sz="6" w:val="single"/>
              <w:left w:color="8e7cc3" w:space="0" w:sz="6" w:val="single"/>
              <w:bottom w:color="8e7cc3" w:space="0" w:sz="6" w:val="single"/>
              <w:right w:color="8e7cc3" w:space="0" w:sz="6" w:val="single"/>
            </w:tcBorders>
            <w:shd w:fill="b4a7d6" w:val="clear"/>
            <w:tcMar>
              <w:top w:w="100.0" w:type="dxa"/>
              <w:left w:w="100.0" w:type="dxa"/>
              <w:bottom w:w="100.0" w:type="dxa"/>
              <w:right w:w="100.0" w:type="dxa"/>
            </w:tcMar>
          </w:tcPr>
          <w:p w:rsidR="00000000" w:rsidDel="00000000" w:rsidP="00000000" w:rsidRDefault="00000000" w:rsidRPr="00000000" w14:paraId="000000BF">
            <w:pPr>
              <w:widowControl w:val="0"/>
              <w:spacing w:line="240" w:lineRule="auto"/>
              <w:rPr>
                <w:b w:val="1"/>
              </w:rPr>
            </w:pPr>
            <w:r w:rsidDel="00000000" w:rsidR="00000000" w:rsidRPr="00000000">
              <w:rPr>
                <w:b w:val="1"/>
                <w:rtl w:val="0"/>
              </w:rPr>
              <w:t xml:space="preserve">Totales</w:t>
            </w:r>
          </w:p>
        </w:tc>
        <w:tc>
          <w:tcPr>
            <w:tcBorders>
              <w:top w:color="666666" w:space="0" w:sz="6" w:val="single"/>
              <w:left w:color="8e7cc3"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C0">
            <w:pPr>
              <w:widowControl w:val="0"/>
              <w:spacing w:line="240" w:lineRule="auto"/>
              <w:jc w:val="center"/>
              <w:rPr>
                <w:b w:val="1"/>
              </w:rPr>
            </w:pPr>
            <w:r w:rsidDel="00000000" w:rsidR="00000000" w:rsidRPr="00000000">
              <w:rPr>
                <w:b w:val="1"/>
                <w:rtl w:val="0"/>
              </w:rPr>
              <w:t xml:space="preserve">17</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C1">
            <w:pPr>
              <w:widowControl w:val="0"/>
              <w:spacing w:line="240" w:lineRule="auto"/>
              <w:jc w:val="center"/>
              <w:rPr>
                <w:b w:val="1"/>
              </w:rPr>
            </w:pPr>
            <w:r w:rsidDel="00000000" w:rsidR="00000000" w:rsidRPr="00000000">
              <w:rPr>
                <w:b w:val="1"/>
                <w:rtl w:val="0"/>
              </w:rPr>
              <w:t xml:space="preserve">200</w:t>
            </w:r>
          </w:p>
        </w:tc>
        <w:tc>
          <w:tcPr>
            <w:tcBorders>
              <w:top w:color="666666" w:space="0" w:sz="6" w:val="single"/>
              <w:left w:color="666666" w:space="0" w:sz="6" w:val="single"/>
              <w:bottom w:color="666666" w:space="0" w:sz="6" w:val="single"/>
              <w:right w:color="666666" w:space="0" w:sz="6" w:val="single"/>
            </w:tcBorders>
            <w:tcMar>
              <w:top w:w="100.0" w:type="dxa"/>
              <w:left w:w="100.0" w:type="dxa"/>
              <w:bottom w:w="100.0" w:type="dxa"/>
              <w:right w:w="100.0" w:type="dxa"/>
            </w:tcMar>
          </w:tcPr>
          <w:p w:rsidR="00000000" w:rsidDel="00000000" w:rsidP="00000000" w:rsidRDefault="00000000" w:rsidRPr="00000000" w14:paraId="000000C2">
            <w:pPr>
              <w:widowControl w:val="0"/>
              <w:spacing w:line="240" w:lineRule="auto"/>
              <w:jc w:val="center"/>
              <w:rPr>
                <w:b w:val="1"/>
              </w:rPr>
            </w:pPr>
            <w:r w:rsidDel="00000000" w:rsidR="00000000" w:rsidRPr="00000000">
              <w:rPr>
                <w:b w:val="1"/>
                <w:rtl w:val="0"/>
              </w:rPr>
              <w:t xml:space="preserve">217</w:t>
            </w:r>
          </w:p>
        </w:tc>
      </w:tr>
    </w:tbl>
    <w:p w:rsidR="00000000" w:rsidDel="00000000" w:rsidP="00000000" w:rsidRDefault="00000000" w:rsidRPr="00000000" w14:paraId="000000C3">
      <w:pPr>
        <w:spacing w:after="240" w:before="240" w:line="360" w:lineRule="auto"/>
        <w:jc w:val="both"/>
        <w:rPr/>
      </w:pPr>
      <w:r w:rsidDel="00000000" w:rsidR="00000000" w:rsidRPr="00000000">
        <w:rPr>
          <w:rtl w:val="0"/>
        </w:rPr>
        <w:t xml:space="preserve">16. Al analizar los datos recopilados también se observa que el lugar del crimen o hallazgo del cuerpo en los homicidios de mujeres lesbianas y trans en México, se concentra mayoritariamente en </w:t>
      </w:r>
      <w:r w:rsidDel="00000000" w:rsidR="00000000" w:rsidRPr="00000000">
        <w:rPr>
          <w:b w:val="1"/>
          <w:rtl w:val="0"/>
        </w:rPr>
        <w:t xml:space="preserve">espacios abiertos, calles o transporte público</w:t>
      </w:r>
      <w:r w:rsidDel="00000000" w:rsidR="00000000" w:rsidRPr="00000000">
        <w:rPr>
          <w:rtl w:val="0"/>
        </w:rPr>
        <w:t xml:space="preserve">, con </w:t>
      </w:r>
      <w:r w:rsidDel="00000000" w:rsidR="00000000" w:rsidRPr="00000000">
        <w:rPr>
          <w:b w:val="1"/>
          <w:rtl w:val="0"/>
        </w:rPr>
        <w:t xml:space="preserve">111 homicidios (51%)</w:t>
      </w:r>
      <w:r w:rsidDel="00000000" w:rsidR="00000000" w:rsidRPr="00000000">
        <w:rPr>
          <w:rtl w:val="0"/>
        </w:rPr>
        <w:t xml:space="preserve">. Este dato evidencia cómo muchas de estas muertes ocurren a la vista de la sociedad, lo que refleja no solo un contexto de extrema vulnerabilidad sino también de impunidad y naturalización de la violencia hacia estas mujeres.</w:t>
      </w:r>
    </w:p>
    <w:p w:rsidR="00000000" w:rsidDel="00000000" w:rsidP="00000000" w:rsidRDefault="00000000" w:rsidRPr="00000000" w14:paraId="000000C4">
      <w:pPr>
        <w:spacing w:after="240" w:before="240" w:line="360" w:lineRule="auto"/>
        <w:jc w:val="both"/>
        <w:rPr/>
      </w:pPr>
      <w:r w:rsidDel="00000000" w:rsidR="00000000" w:rsidRPr="00000000">
        <w:rPr>
          <w:b w:val="1"/>
          <w:rtl w:val="0"/>
        </w:rPr>
        <w:t xml:space="preserve">17. Los domicilios particulares</w:t>
      </w:r>
      <w:r w:rsidDel="00000000" w:rsidR="00000000" w:rsidRPr="00000000">
        <w:rPr>
          <w:rtl w:val="0"/>
        </w:rPr>
        <w:t xml:space="preserve"> representan el segundo lugar más frecuente de los homicidios contra mujeres trans y lesbianas, </w:t>
      </w:r>
      <w:r w:rsidDel="00000000" w:rsidR="00000000" w:rsidRPr="00000000">
        <w:rPr>
          <w:b w:val="1"/>
          <w:rtl w:val="0"/>
        </w:rPr>
        <w:t xml:space="preserve">con 54 casos (25%)</w:t>
      </w:r>
      <w:r w:rsidDel="00000000" w:rsidR="00000000" w:rsidRPr="00000000">
        <w:rPr>
          <w:rtl w:val="0"/>
        </w:rPr>
        <w:t xml:space="preserve">. Este dato pone en evidencia que una parte significativa de estos crímenes ocurre en espacios que, en principio, deberían ofrecer seguridad. </w:t>
      </w:r>
    </w:p>
    <w:tbl>
      <w:tblPr>
        <w:tblStyle w:val="Table7"/>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5">
            <w:pPr>
              <w:spacing w:after="240" w:before="240" w:line="360" w:lineRule="auto"/>
              <w:jc w:val="both"/>
              <w:rPr>
                <w:i w:val="1"/>
              </w:rPr>
            </w:pPr>
            <w:r w:rsidDel="00000000" w:rsidR="00000000" w:rsidRPr="00000000">
              <w:rPr>
                <w:i w:val="1"/>
                <w:rtl w:val="0"/>
              </w:rPr>
              <w:t xml:space="preserve">Un ejemplo es el caso de Adriana Judith Rodríguez</w:t>
            </w:r>
            <w:r w:rsidDel="00000000" w:rsidR="00000000" w:rsidRPr="00000000">
              <w:rPr>
                <w:i w:val="1"/>
                <w:vertAlign w:val="superscript"/>
              </w:rPr>
              <w:footnoteReference w:customMarkFollows="0" w:id="8"/>
            </w:r>
            <w:r w:rsidDel="00000000" w:rsidR="00000000" w:rsidRPr="00000000">
              <w:rPr>
                <w:i w:val="1"/>
                <w:rtl w:val="0"/>
              </w:rPr>
              <w:t xml:space="preserve">, una mujer lesbiana asesinada el 29 de enero de 2023 en su domicilio. De acuerdo con información del Ministerio Público, Adriana fue atacada por Edgar Daniel J. L., alias “El Capi”, quien, al ser rechazado por ella, le advirtió que “si no era suya, no sería de nadie”. Luego, le disparó con una pistola, provocándole ocho heridas en diferentes partes del cuerpo, todo esto en presencia de su hija de 4 años y su sobrina menor de edad. Este crimen refleja cómo algunos hombres, al sentirse rechazados, ejercen violencia letal como castigo al ejercicio de la orientación sexual de las mujeres lesbianas. </w:t>
            </w:r>
          </w:p>
        </w:tc>
      </w:tr>
    </w:tbl>
    <w:p w:rsidR="00000000" w:rsidDel="00000000" w:rsidP="00000000" w:rsidRDefault="00000000" w:rsidRPr="00000000" w14:paraId="000000C6">
      <w:pPr>
        <w:spacing w:after="240" w:before="240" w:line="360" w:lineRule="auto"/>
        <w:jc w:val="both"/>
        <w:rPr/>
      </w:pPr>
      <w:r w:rsidDel="00000000" w:rsidR="00000000" w:rsidRPr="00000000">
        <w:rPr>
          <w:b w:val="1"/>
          <w:rtl w:val="0"/>
        </w:rPr>
        <w:t xml:space="preserve">18. Desde una perspectiva interseccional</w:t>
      </w:r>
      <w:r w:rsidDel="00000000" w:rsidR="00000000" w:rsidRPr="00000000">
        <w:rPr>
          <w:rtl w:val="0"/>
        </w:rPr>
        <w:t xml:space="preserve">, comprendemos que las violencias no actúan de forma aislada, sino que se entrelazan y refuerzan mutuamente, afectando de manera desproporcionada a las mujeres trans que enfrentan múltiples formas de exclusión en México. Un dato alarmante es que al menos </w:t>
      </w:r>
      <w:r w:rsidDel="00000000" w:rsidR="00000000" w:rsidRPr="00000000">
        <w:rPr>
          <w:b w:val="1"/>
          <w:rtl w:val="0"/>
        </w:rPr>
        <w:t xml:space="preserve">29 de las 200 mujeres trans asesinadas entre 2021 y 2024 (14.5%) ejercían el trabajo sexual</w:t>
      </w:r>
      <w:r w:rsidDel="00000000" w:rsidR="00000000" w:rsidRPr="00000000">
        <w:rPr>
          <w:rtl w:val="0"/>
        </w:rPr>
        <w:t xml:space="preserve">.</w:t>
      </w:r>
    </w:p>
    <w:p w:rsidR="00000000" w:rsidDel="00000000" w:rsidP="00000000" w:rsidRDefault="00000000" w:rsidRPr="00000000" w14:paraId="000000C7">
      <w:pPr>
        <w:spacing w:after="240" w:before="240" w:line="360" w:lineRule="auto"/>
        <w:jc w:val="both"/>
        <w:rPr/>
      </w:pPr>
      <w:r w:rsidDel="00000000" w:rsidR="00000000" w:rsidRPr="00000000">
        <w:rPr>
          <w:rtl w:val="0"/>
        </w:rPr>
        <w:t xml:space="preserve">19. El espacio público constituye el entorno más peligroso para ellas: </w:t>
      </w:r>
      <w:r w:rsidDel="00000000" w:rsidR="00000000" w:rsidRPr="00000000">
        <w:rPr>
          <w:b w:val="1"/>
          <w:rtl w:val="0"/>
        </w:rPr>
        <w:t xml:space="preserve">14 trabajadoras sexuales trans fueron asesinadas en la vía pública</w:t>
      </w:r>
      <w:r w:rsidDel="00000000" w:rsidR="00000000" w:rsidRPr="00000000">
        <w:rPr>
          <w:rtl w:val="0"/>
        </w:rPr>
        <w:t xml:space="preserve">, lo cual revela cómo el ejercicio del trabajo sexual en estos espacios conlleva una </w:t>
      </w:r>
      <w:r w:rsidDel="00000000" w:rsidR="00000000" w:rsidRPr="00000000">
        <w:rPr>
          <w:b w:val="1"/>
          <w:rtl w:val="0"/>
        </w:rPr>
        <w:t xml:space="preserve">alta exposición a formas extremas de violencia</w:t>
      </w:r>
      <w:r w:rsidDel="00000000" w:rsidR="00000000" w:rsidRPr="00000000">
        <w:rPr>
          <w:rtl w:val="0"/>
        </w:rPr>
        <w:t xml:space="preserve">, que podría ser perpetrada por actores diversos como clientes, el crimen organizado o incluso fuerzas de seguridad. Estos crímenes ocurren en contextos marcados por la impunidad, la criminalización y la estigmatización tanto hacia el trabajo sexual como hacia las identidades de mujeres trans, lo que profundizan la vulnerabilidad de las víctimas.</w:t>
      </w:r>
    </w:p>
    <w:tbl>
      <w:tblPr>
        <w:tblStyle w:val="Table8"/>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8">
            <w:pPr>
              <w:spacing w:after="240" w:before="240" w:line="360" w:lineRule="auto"/>
              <w:jc w:val="both"/>
              <w:rPr>
                <w:i w:val="1"/>
              </w:rPr>
            </w:pPr>
            <w:r w:rsidDel="00000000" w:rsidR="00000000" w:rsidRPr="00000000">
              <w:rPr>
                <w:i w:val="1"/>
                <w:rtl w:val="0"/>
              </w:rPr>
              <w:t xml:space="preserve">Un ejemplo de la violencia estructural que enfrentan las mujeres trans en México es el caso de Devanny García</w:t>
            </w:r>
            <w:r w:rsidDel="00000000" w:rsidR="00000000" w:rsidRPr="00000000">
              <w:rPr>
                <w:i w:val="1"/>
                <w:vertAlign w:val="superscript"/>
              </w:rPr>
              <w:footnoteReference w:customMarkFollows="0" w:id="9"/>
            </w:r>
            <w:r w:rsidDel="00000000" w:rsidR="00000000" w:rsidRPr="00000000">
              <w:rPr>
                <w:i w:val="1"/>
                <w:rtl w:val="0"/>
              </w:rPr>
              <w:t xml:space="preserve">, quien falleció el 27 de febrero de 2024 tras permanecer en coma debido a una brutal golpiza sufrida días antes, el 23 de febrero, cerca de su domicilio en la alcaldía Tlalpan, Ciudad de México. Devanny fue atacada por una pareja —un hombre y una mujer— en un contexto que, según denuncias de organizaciones, está vinculado al cobro de piso que se exige a las trabajadoras sexuales trans que laboran sobre la calzada de Tlalpan. En esta zona se estima que trabajan intermitentemente alrededor de 1,200 mujeres trans, muchas de las cuales deben pagar cuotas extorsivas de entre 3,000 y 4,000 pesos (150 a 200 USD, aproximadamente).</w:t>
            </w:r>
          </w:p>
        </w:tc>
      </w:tr>
    </w:tbl>
    <w:p w:rsidR="00000000" w:rsidDel="00000000" w:rsidP="00000000" w:rsidRDefault="00000000" w:rsidRPr="00000000" w14:paraId="000000C9">
      <w:pPr>
        <w:spacing w:after="240" w:before="240" w:line="360" w:lineRule="auto"/>
        <w:jc w:val="both"/>
        <w:rPr/>
      </w:pPr>
      <w:r w:rsidDel="00000000" w:rsidR="00000000" w:rsidRPr="00000000">
        <w:rPr>
          <w:rtl w:val="0"/>
        </w:rPr>
        <w:t xml:space="preserve">20. Además, </w:t>
      </w:r>
      <w:r w:rsidDel="00000000" w:rsidR="00000000" w:rsidRPr="00000000">
        <w:rPr>
          <w:b w:val="1"/>
          <w:rtl w:val="0"/>
        </w:rPr>
        <w:t xml:space="preserve">8 trabajadoras sexuales trans fueron asesinadas en domicilios particulares</w:t>
      </w:r>
      <w:r w:rsidDel="00000000" w:rsidR="00000000" w:rsidRPr="00000000">
        <w:rPr>
          <w:rtl w:val="0"/>
        </w:rPr>
        <w:t xml:space="preserve">: 2 con armas de fuego, 3 con objetos punzocortantes y 3 mediante otros métodos. Estos hechos reflejan la inseguridad estructural que enfrentan, aun en sus espacios más íntimos.  </w:t>
      </w:r>
      <w:r w:rsidDel="00000000" w:rsidR="00000000" w:rsidRPr="00000000">
        <w:rPr>
          <w:b w:val="1"/>
          <w:rtl w:val="0"/>
        </w:rPr>
        <w:t xml:space="preserve">Los hoteles o moteles</w:t>
      </w:r>
      <w:r w:rsidDel="00000000" w:rsidR="00000000" w:rsidRPr="00000000">
        <w:rPr>
          <w:rtl w:val="0"/>
        </w:rPr>
        <w:t xml:space="preserve"> </w:t>
      </w:r>
      <w:r w:rsidDel="00000000" w:rsidR="00000000" w:rsidRPr="00000000">
        <w:rPr>
          <w:b w:val="1"/>
          <w:rtl w:val="0"/>
        </w:rPr>
        <w:t xml:space="preserve">también se configuran como escenarios de riesgo.</w:t>
      </w:r>
      <w:r w:rsidDel="00000000" w:rsidR="00000000" w:rsidRPr="00000000">
        <w:rPr>
          <w:rtl w:val="0"/>
        </w:rPr>
        <w:t xml:space="preserve"> En 4 casos, las víctimas fueron asesinadas al interior de estos establecimientos: 2 mediante objetos cortopunzantes y 2 por ahorcamiento, estrangulamiento o sofocación.  Estos hechos reflejan un patrón de violencia particularmente cruel, perpetrado en espacios donde </w:t>
      </w:r>
      <w:r w:rsidDel="00000000" w:rsidR="00000000" w:rsidRPr="00000000">
        <w:rPr>
          <w:b w:val="1"/>
          <w:rtl w:val="0"/>
        </w:rPr>
        <w:t xml:space="preserve">la cadena de complicidades, las acciones u omisiones de empleados y autoridades, y la falta de aplicación de lineamientos para la atención e investigación de estos casos</w:t>
      </w:r>
      <w:r w:rsidDel="00000000" w:rsidR="00000000" w:rsidRPr="00000000">
        <w:rPr>
          <w:rtl w:val="0"/>
        </w:rPr>
        <w:t xml:space="preserve"> generan condiciones propicias para la impunidad.</w:t>
      </w:r>
    </w:p>
    <w:tbl>
      <w:tblPr>
        <w:tblStyle w:val="Table9"/>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A">
            <w:pPr>
              <w:spacing w:after="240" w:before="240" w:line="360" w:lineRule="auto"/>
              <w:jc w:val="both"/>
              <w:rPr>
                <w:i w:val="1"/>
                <w:highlight w:val="white"/>
              </w:rPr>
            </w:pPr>
            <w:r w:rsidDel="00000000" w:rsidR="00000000" w:rsidRPr="00000000">
              <w:rPr>
                <w:i w:val="1"/>
                <w:highlight w:val="white"/>
                <w:rtl w:val="0"/>
              </w:rPr>
              <w:t xml:space="preserve">Un ejemplo de esta realidad es el caso de Natalia González Santiago</w:t>
            </w:r>
            <w:r w:rsidDel="00000000" w:rsidR="00000000" w:rsidRPr="00000000">
              <w:rPr>
                <w:i w:val="1"/>
                <w:highlight w:val="white"/>
                <w:vertAlign w:val="superscript"/>
              </w:rPr>
              <w:footnoteReference w:customMarkFollows="0" w:id="10"/>
            </w:r>
            <w:r w:rsidDel="00000000" w:rsidR="00000000" w:rsidRPr="00000000">
              <w:rPr>
                <w:i w:val="1"/>
                <w:highlight w:val="white"/>
                <w:rtl w:val="0"/>
              </w:rPr>
              <w:t xml:space="preserve">, una mujer trans de 29 años, madre y trabajadora sexual, asesinada el 5 de junio de 2023 en el Hotel Condesa, ubicado en la calzada de Tlalpan, Alcaldía Benito Juárez, Ciudad de México. Sus compañeras relataron que el presunto agresor intentó sobornar a los policías para evitar su detención, y que el personal del hotel les impidió asistir a Natalia cuando aún estaba con vida, negándole auxilio en un momento crítico. Este caso evidencia no solo la brutalidad del ataque, sino también la negligencia institucional y el abandono social que enfrentan muchas mujeres trans en contextos de trabajo sexual.</w:t>
            </w:r>
          </w:p>
        </w:tc>
      </w:tr>
    </w:tbl>
    <w:p w:rsidR="00000000" w:rsidDel="00000000" w:rsidP="00000000" w:rsidRDefault="00000000" w:rsidRPr="00000000" w14:paraId="000000CB">
      <w:pPr>
        <w:spacing w:after="240" w:before="240" w:line="360" w:lineRule="auto"/>
        <w:jc w:val="both"/>
        <w:rPr/>
      </w:pPr>
      <w:r w:rsidDel="00000000" w:rsidR="00000000" w:rsidRPr="00000000">
        <w:rPr>
          <w:rtl w:val="0"/>
        </w:rPr>
        <w:t xml:space="preserve">21. Por otro lado, se identificó que </w:t>
      </w:r>
      <w:r w:rsidDel="00000000" w:rsidR="00000000" w:rsidRPr="00000000">
        <w:rPr>
          <w:b w:val="1"/>
          <w:rtl w:val="0"/>
        </w:rPr>
        <w:t xml:space="preserve">24 mujeres trans (12% del total)</w:t>
      </w:r>
      <w:r w:rsidDel="00000000" w:rsidR="00000000" w:rsidRPr="00000000">
        <w:rPr>
          <w:rtl w:val="0"/>
        </w:rPr>
        <w:t xml:space="preserve"> </w:t>
      </w:r>
      <w:r w:rsidDel="00000000" w:rsidR="00000000" w:rsidRPr="00000000">
        <w:rPr>
          <w:b w:val="1"/>
          <w:rtl w:val="0"/>
        </w:rPr>
        <w:t xml:space="preserve">se desempeñaban como estilistas, otra ocupación común entre mujeres trans ante la falta de acceso a empleos formales. </w:t>
      </w:r>
      <w:r w:rsidDel="00000000" w:rsidR="00000000" w:rsidRPr="00000000">
        <w:rPr>
          <w:rtl w:val="0"/>
        </w:rPr>
        <w:t xml:space="preserve">De ellas, 8 fueron asesinadas en domicilios particulares, 5 de los cuales mediante objetos cortopunzantes. Estos elementos remiten a formas de violencia que requieren contacto físico directo con la víctima, lo que evidencia una cercanía intencional y un alto grado de ensañamiento en la comisión del crimen. Asimismo, 6 casos ocurrieron en el espacio público: 2 con arma de fuego, 2 con fuerza corporal y 2 con objetos cortopunzantes. Además, 4 homicidios se perpetraron en otros establecimientos comerciales o públicos no residenciales, utilizando arma de fuego (2), fuerza corporal (1) y otros medios (1). Estos datos no solo evidencian una violencia sistemática hacia mujeres trans, sino que revelan cómo sus condiciones laborales, económicas y sociales inciden directamente en su exposición al riesgo.</w:t>
      </w:r>
    </w:p>
    <w:p w:rsidR="00000000" w:rsidDel="00000000" w:rsidP="00000000" w:rsidRDefault="00000000" w:rsidRPr="00000000" w14:paraId="000000CC">
      <w:pPr>
        <w:spacing w:after="240" w:before="240" w:line="360" w:lineRule="auto"/>
        <w:jc w:val="both"/>
        <w:rPr/>
      </w:pPr>
      <w:r w:rsidDel="00000000" w:rsidR="00000000" w:rsidRPr="00000000">
        <w:rPr>
          <w:rtl w:val="0"/>
        </w:rPr>
        <w:t xml:space="preserve">22. Además, </w:t>
      </w:r>
      <w:r w:rsidDel="00000000" w:rsidR="00000000" w:rsidRPr="00000000">
        <w:rPr>
          <w:b w:val="1"/>
          <w:rtl w:val="0"/>
        </w:rPr>
        <w:t xml:space="preserve">16 de las mujeres trans víctimas de violencia letal entre 2021 y 2024 eran defensoras de derechos humanos</w:t>
      </w:r>
      <w:r w:rsidDel="00000000" w:rsidR="00000000" w:rsidRPr="00000000">
        <w:rPr>
          <w:rtl w:val="0"/>
        </w:rPr>
        <w:t xml:space="preserve">. Del total de casos, se observa que: 5 fueron asesinadas en espacios abiertos o públicos, 4 en sus domicilios particulares, 3 en su lugar de trabajo y 3 en otros entornos. Estos asesinatos no solo constituyen una pérdida irreparable para sus comunidades, sino que tienen un profundo impacto político y social. La violencia ejercida contra estas lideresas busca silenciar sus voces, frenar su activismo y enviar un mensaje intimidante a toda la comunidad trans y LGBTI+. Este tipo de crímenes tiene un carácter ejemplificador: castigan la visibilidad y la participación política.</w:t>
      </w:r>
    </w:p>
    <w:tbl>
      <w:tblPr>
        <w:tblStyle w:val="Table10"/>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D">
            <w:pPr>
              <w:spacing w:after="240" w:before="240" w:line="360" w:lineRule="auto"/>
              <w:jc w:val="both"/>
              <w:rPr>
                <w:i w:val="1"/>
              </w:rPr>
            </w:pPr>
            <w:r w:rsidDel="00000000" w:rsidR="00000000" w:rsidRPr="00000000">
              <w:rPr>
                <w:i w:val="1"/>
                <w:rtl w:val="0"/>
              </w:rPr>
              <w:t xml:space="preserve">Una representación de esta violencia es el caso de Ivanna Divina Jhons</w:t>
            </w:r>
            <w:r w:rsidDel="00000000" w:rsidR="00000000" w:rsidRPr="00000000">
              <w:rPr>
                <w:i w:val="1"/>
                <w:vertAlign w:val="superscript"/>
              </w:rPr>
              <w:footnoteReference w:customMarkFollows="0" w:id="11"/>
            </w:r>
            <w:r w:rsidDel="00000000" w:rsidR="00000000" w:rsidRPr="00000000">
              <w:rPr>
                <w:i w:val="1"/>
                <w:rtl w:val="0"/>
              </w:rPr>
              <w:t xml:space="preserve">, lideresa de la comunidad LGBTQ+, quien fue ejecutada dentro de su tienda de ropa la noche del 20 de junio de 2023. Apenas tres días antes, había encabezado y apoyado la segunda marcha del orgullo en Moroleón (México), además de denunciar en redes sociales que, en 2021, su negocio fue incendiado en un ataque de odio. Cerca de las 8:00 pm, hombres armados irrumpieron en su local y le dispararon.</w:t>
            </w:r>
          </w:p>
        </w:tc>
      </w:tr>
    </w:tbl>
    <w:p w:rsidR="00000000" w:rsidDel="00000000" w:rsidP="00000000" w:rsidRDefault="00000000" w:rsidRPr="00000000" w14:paraId="000000CE">
      <w:pPr>
        <w:spacing w:after="240" w:before="240" w:line="360" w:lineRule="auto"/>
        <w:jc w:val="both"/>
        <w:rPr/>
      </w:pPr>
      <w:r w:rsidDel="00000000" w:rsidR="00000000" w:rsidRPr="00000000">
        <w:rPr>
          <w:rtl w:val="0"/>
        </w:rPr>
      </w:r>
    </w:p>
    <w:tbl>
      <w:tblPr>
        <w:tblStyle w:val="Table11"/>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CF">
            <w:pPr>
              <w:spacing w:after="240" w:before="240" w:line="360" w:lineRule="auto"/>
              <w:jc w:val="both"/>
              <w:rPr>
                <w:i w:val="1"/>
              </w:rPr>
            </w:pPr>
            <w:r w:rsidDel="00000000" w:rsidR="00000000" w:rsidRPr="00000000">
              <w:rPr>
                <w:i w:val="1"/>
                <w:rtl w:val="0"/>
              </w:rPr>
              <w:t xml:space="preserve">Otro caso es el de Samantha Gomes Fonseca</w:t>
            </w:r>
            <w:r w:rsidDel="00000000" w:rsidR="00000000" w:rsidRPr="00000000">
              <w:rPr>
                <w:i w:val="1"/>
                <w:vertAlign w:val="superscript"/>
              </w:rPr>
              <w:footnoteReference w:customMarkFollows="0" w:id="12"/>
            </w:r>
            <w:r w:rsidDel="00000000" w:rsidR="00000000" w:rsidRPr="00000000">
              <w:rPr>
                <w:i w:val="1"/>
                <w:rtl w:val="0"/>
              </w:rPr>
              <w:t xml:space="preserve">, activista trans asesinada en Xochimilco. La defensora de los derechos de la comunidad LGBT y personas privadas de su libertad se había postulado como precandidata de Morena al Senado. Samantha, activista y política de la comunidad trans, fue asesinada a balazos la tarde de este domingo 14 de enero en inmediaciones del Reclusorio Preventivo Varonil Sur, en la alcaldía Xochimilco en la Ciudad de México. Los primeros reportes apuntan a que la activista trans había acudido al Reclusorio Sur a hacer una visita y fue al salir de las instalaciones, ya a bordo de su vehículo, que unos sujetos le dispararon en diversas ocasiones.</w:t>
            </w:r>
          </w:p>
        </w:tc>
      </w:tr>
    </w:tbl>
    <w:p w:rsidR="00000000" w:rsidDel="00000000" w:rsidP="00000000" w:rsidRDefault="00000000" w:rsidRPr="00000000" w14:paraId="000000D0">
      <w:pPr>
        <w:spacing w:after="240" w:before="240" w:line="360" w:lineRule="auto"/>
        <w:jc w:val="both"/>
        <w:rPr/>
      </w:pPr>
      <w:r w:rsidDel="00000000" w:rsidR="00000000" w:rsidRPr="00000000">
        <w:rPr>
          <w:rtl w:val="0"/>
        </w:rPr>
        <w:t xml:space="preserve">23. Estos asesinatos deben ser reconocidos no solo como crímenes motivados por prejuicio, sino como </w:t>
      </w:r>
      <w:r w:rsidDel="00000000" w:rsidR="00000000" w:rsidRPr="00000000">
        <w:rPr>
          <w:b w:val="1"/>
          <w:rtl w:val="0"/>
        </w:rPr>
        <w:t xml:space="preserve">actos de violencia política por razón de género</w:t>
      </w:r>
      <w:r w:rsidDel="00000000" w:rsidR="00000000" w:rsidRPr="00000000">
        <w:rPr>
          <w:rtl w:val="0"/>
        </w:rPr>
        <w:t xml:space="preserve">, que buscan </w:t>
      </w:r>
      <w:r w:rsidDel="00000000" w:rsidR="00000000" w:rsidRPr="00000000">
        <w:rPr>
          <w:b w:val="1"/>
          <w:rtl w:val="0"/>
        </w:rPr>
        <w:t xml:space="preserve">desarticular los liderazgos trans y su creciente participación en la esfera pública</w:t>
      </w:r>
      <w:r w:rsidDel="00000000" w:rsidR="00000000" w:rsidRPr="00000000">
        <w:rPr>
          <w:rtl w:val="0"/>
        </w:rPr>
        <w:t xml:space="preserve">, vulnerando de forma directa los principios democráticos y los derechos humanos.</w:t>
      </w:r>
    </w:p>
    <w:p w:rsidR="00000000" w:rsidDel="00000000" w:rsidP="00000000" w:rsidRDefault="00000000" w:rsidRPr="00000000" w14:paraId="000000D1">
      <w:pPr>
        <w:spacing w:after="240" w:before="240" w:line="360" w:lineRule="auto"/>
        <w:jc w:val="both"/>
        <w:rPr/>
      </w:pPr>
      <w:r w:rsidDel="00000000" w:rsidR="00000000" w:rsidRPr="00000000">
        <w:rPr>
          <w:rtl w:val="0"/>
        </w:rPr>
        <w:t xml:space="preserve">24. Finalmente, a continuación, se presentan una serie de características y reflexiones sobre la violencia letal ejercida contra mujeres lesbianas y mujeres trans, identificadas a partir del análisis de los casos documentados por el Observatorio Regional de la Red Sin Violencia LGBTI y Letra S. Estos elementos permiten comprender cómo se manifiesta la violencia letal en función de la identidad de género, expresión de género y orientación sexual de las mujeres, así como los contextos sociales y estructurales que la permiten y reproducen.</w:t>
      </w:r>
    </w:p>
    <w:p w:rsidR="00000000" w:rsidDel="00000000" w:rsidP="00000000" w:rsidRDefault="00000000" w:rsidRPr="00000000" w14:paraId="000000D2">
      <w:pPr>
        <w:numPr>
          <w:ilvl w:val="0"/>
          <w:numId w:val="2"/>
        </w:numPr>
        <w:spacing w:after="240" w:before="240" w:line="360" w:lineRule="auto"/>
        <w:ind w:left="720" w:hanging="360"/>
        <w:jc w:val="both"/>
        <w:rPr>
          <w:b w:val="1"/>
        </w:rPr>
      </w:pPr>
      <w:r w:rsidDel="00000000" w:rsidR="00000000" w:rsidRPr="00000000">
        <w:rPr>
          <w:b w:val="1"/>
          <w:u w:val="single"/>
          <w:rtl w:val="0"/>
        </w:rPr>
        <w:t xml:space="preserve">Mujeres lesbianas:</w:t>
      </w:r>
      <w:r w:rsidDel="00000000" w:rsidR="00000000" w:rsidRPr="00000000">
        <w:rPr>
          <w:rtl w:val="0"/>
        </w:rPr>
      </w:r>
    </w:p>
    <w:p w:rsidR="00000000" w:rsidDel="00000000" w:rsidP="00000000" w:rsidRDefault="00000000" w:rsidRPr="00000000" w14:paraId="000000D3">
      <w:pPr>
        <w:spacing w:after="240" w:before="240" w:line="360" w:lineRule="auto"/>
        <w:jc w:val="both"/>
        <w:rPr/>
      </w:pPr>
      <w:r w:rsidDel="00000000" w:rsidR="00000000" w:rsidRPr="00000000">
        <w:rPr>
          <w:rtl w:val="0"/>
        </w:rPr>
        <w:t xml:space="preserve">25. Las mujeres lesbianas son frecuentemente victimizadas en situaciones donde su orientación sexual se hace visible, como cuando están con sus parejas o dentro de entornos donde su identidad es motivo de rechazo o conflicto. </w:t>
      </w:r>
    </w:p>
    <w:tbl>
      <w:tblPr>
        <w:tblStyle w:val="Table1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4">
            <w:pPr>
              <w:spacing w:after="240" w:before="240" w:line="360" w:lineRule="auto"/>
              <w:jc w:val="both"/>
              <w:rPr>
                <w:i w:val="1"/>
              </w:rPr>
            </w:pPr>
            <w:r w:rsidDel="00000000" w:rsidR="00000000" w:rsidRPr="00000000">
              <w:rPr>
                <w:i w:val="1"/>
                <w:rtl w:val="0"/>
              </w:rPr>
              <w:t xml:space="preserve">Un caso emblemático es el de las periodistas </w:t>
            </w:r>
            <w:r w:rsidDel="00000000" w:rsidR="00000000" w:rsidRPr="00000000">
              <w:rPr>
                <w:b w:val="1"/>
                <w:i w:val="1"/>
                <w:rtl w:val="0"/>
              </w:rPr>
              <w:t xml:space="preserve">Yesenia Mollinedo y Johana García</w:t>
            </w:r>
            <w:r w:rsidDel="00000000" w:rsidR="00000000" w:rsidRPr="00000000">
              <w:rPr>
                <w:i w:val="1"/>
                <w:vertAlign w:val="superscript"/>
              </w:rPr>
              <w:footnoteReference w:customMarkFollows="0" w:id="13"/>
            </w:r>
            <w:r w:rsidDel="00000000" w:rsidR="00000000" w:rsidRPr="00000000">
              <w:rPr>
                <w:i w:val="1"/>
                <w:rtl w:val="0"/>
              </w:rPr>
              <w:t xml:space="preserve">, quienes fueron asesinadas el 9 de mayo de 2022 en México. Dos hombres en motocicleta abrieron fuego contra ellas a través del cristal de su automóvil mientras estaban estacionadas, dejándolas sin vida en un abrazo final. </w:t>
            </w:r>
          </w:p>
        </w:tc>
      </w:tr>
    </w:tbl>
    <w:p w:rsidR="00000000" w:rsidDel="00000000" w:rsidP="00000000" w:rsidRDefault="00000000" w:rsidRPr="00000000" w14:paraId="000000D5">
      <w:pPr>
        <w:spacing w:after="240" w:before="240" w:line="360" w:lineRule="auto"/>
        <w:jc w:val="both"/>
        <w:rPr/>
      </w:pPr>
      <w:r w:rsidDel="00000000" w:rsidR="00000000" w:rsidRPr="00000000">
        <w:rPr>
          <w:rtl w:val="0"/>
        </w:rPr>
        <w:t xml:space="preserve">26. Por otro lado, existen casos en los que las mujeres lesbianas han sido </w:t>
      </w:r>
      <w:r w:rsidDel="00000000" w:rsidR="00000000" w:rsidRPr="00000000">
        <w:rPr>
          <w:b w:val="1"/>
          <w:rtl w:val="0"/>
        </w:rPr>
        <w:t xml:space="preserve">víctimas de violencia letal a manos de otras mujeres, ya sea en contextos de relaciones de pareja o expareja,</w:t>
      </w:r>
      <w:r w:rsidDel="00000000" w:rsidR="00000000" w:rsidRPr="00000000">
        <w:rPr>
          <w:rtl w:val="0"/>
        </w:rPr>
        <w:t xml:space="preserve"> </w:t>
      </w:r>
      <w:r w:rsidDel="00000000" w:rsidR="00000000" w:rsidRPr="00000000">
        <w:rPr>
          <w:b w:val="1"/>
          <w:rtl w:val="0"/>
        </w:rPr>
        <w:t xml:space="preserve">violencia intrafamiliar, conflictos personales o incluso dentro de dinámicas del crimen organizado.</w:t>
      </w:r>
      <w:r w:rsidDel="00000000" w:rsidR="00000000" w:rsidRPr="00000000">
        <w:rPr>
          <w:rtl w:val="0"/>
        </w:rPr>
        <w:t xml:space="preserve"> Asimismo, algunas han sido asesinadas por hombres que son sus ex parejas quienes, motivados por el prejuicio y rechazo hacia su orientación sexual, ejercen violencia letal contra ellas como una forma de castigo o control. </w:t>
      </w:r>
    </w:p>
    <w:p w:rsidR="00000000" w:rsidDel="00000000" w:rsidP="00000000" w:rsidRDefault="00000000" w:rsidRPr="00000000" w14:paraId="000000D6">
      <w:pPr>
        <w:numPr>
          <w:ilvl w:val="0"/>
          <w:numId w:val="2"/>
        </w:numPr>
        <w:spacing w:after="240" w:before="240" w:line="360" w:lineRule="auto"/>
        <w:ind w:left="720" w:hanging="360"/>
        <w:jc w:val="both"/>
        <w:rPr>
          <w:b w:val="1"/>
        </w:rPr>
      </w:pPr>
      <w:r w:rsidDel="00000000" w:rsidR="00000000" w:rsidRPr="00000000">
        <w:rPr>
          <w:b w:val="1"/>
          <w:u w:val="single"/>
          <w:rtl w:val="0"/>
        </w:rPr>
        <w:t xml:space="preserve">Mujeres trans:</w:t>
      </w:r>
      <w:r w:rsidDel="00000000" w:rsidR="00000000" w:rsidRPr="00000000">
        <w:rPr>
          <w:rtl w:val="0"/>
        </w:rPr>
      </w:r>
    </w:p>
    <w:p w:rsidR="00000000" w:rsidDel="00000000" w:rsidP="00000000" w:rsidRDefault="00000000" w:rsidRPr="00000000" w14:paraId="000000D7">
      <w:pPr>
        <w:spacing w:after="240" w:before="240" w:line="360" w:lineRule="auto"/>
        <w:jc w:val="both"/>
        <w:rPr>
          <w:i w:val="1"/>
        </w:rPr>
      </w:pPr>
      <w:r w:rsidDel="00000000" w:rsidR="00000000" w:rsidRPr="00000000">
        <w:rPr>
          <w:rtl w:val="0"/>
        </w:rPr>
        <w:t xml:space="preserve">27. Las mujeres trans son víctimas mayoritarias de homicidios en espacios públicos, como calles, terrenos baldíos y otros lugares expuestos. Esta exposición está directamente relacionada con las múltiples formas de exclusión que enfrentan, en particular quienes ejercen el trabajo sexual. En estos casos, los riesgos se intensifican debido a la </w:t>
      </w:r>
      <w:r w:rsidDel="00000000" w:rsidR="00000000" w:rsidRPr="00000000">
        <w:rPr>
          <w:b w:val="1"/>
          <w:rtl w:val="0"/>
        </w:rPr>
        <w:t xml:space="preserve">criminalización de su trabajo</w:t>
      </w:r>
      <w:r w:rsidDel="00000000" w:rsidR="00000000" w:rsidRPr="00000000">
        <w:rPr>
          <w:rtl w:val="0"/>
        </w:rPr>
        <w:t xml:space="preserve">, la violencia ejercida por clientes o presuntos clientes, así como por la presencia de redes del crimen organizado y disputas territoriales. A ello se suma la </w:t>
      </w:r>
      <w:r w:rsidDel="00000000" w:rsidR="00000000" w:rsidRPr="00000000">
        <w:rPr>
          <w:b w:val="1"/>
          <w:rtl w:val="0"/>
        </w:rPr>
        <w:t xml:space="preserve">impunidad estructural y la falta de protección institucional.</w:t>
      </w:r>
      <w:r w:rsidDel="00000000" w:rsidR="00000000" w:rsidRPr="00000000">
        <w:rPr>
          <w:rtl w:val="0"/>
        </w:rPr>
      </w:r>
    </w:p>
    <w:tbl>
      <w:tblPr>
        <w:tblStyle w:val="Table13"/>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D8">
            <w:pPr>
              <w:spacing w:after="240" w:before="240" w:line="360" w:lineRule="auto"/>
              <w:jc w:val="both"/>
              <w:rPr>
                <w:i w:val="1"/>
              </w:rPr>
            </w:pPr>
            <w:r w:rsidDel="00000000" w:rsidR="00000000" w:rsidRPr="00000000">
              <w:rPr>
                <w:i w:val="1"/>
                <w:rtl w:val="0"/>
              </w:rPr>
              <w:t xml:space="preserve">El 11 de enero de 2024, Grecia ’N’, una mujer trans y trabajadora sexual, fue asesinada a balazos en el municipio de Colima. El ataque ocurrió durante la madrugada, sobre el boulevard Rodolfo Chávez Carrillo, a las afueras de la Central de los Rojos. Fuentes extraoficiales confirmaron su identidad y su ocupación. Grecia recibió múltiples impactos de arma de fuego en el cuerpo y en la cabeza, provocando su muerte casi inmediata. Su asesinato, como el de muchas otras mujeres trans en contextos de trabajo sexual, refleja un patrón de violencia letal que se ejerce con extrema brutalidad y en total impunidad, en espacios públicos donde la exposición y la estigmatización aumentan su vulnerabilidad.</w:t>
            </w:r>
          </w:p>
        </w:tc>
      </w:tr>
    </w:tbl>
    <w:p w:rsidR="00000000" w:rsidDel="00000000" w:rsidP="00000000" w:rsidRDefault="00000000" w:rsidRPr="00000000" w14:paraId="000000D9">
      <w:pPr>
        <w:jc w:val="both"/>
        <w:rPr>
          <w:b w:val="1"/>
        </w:rPr>
      </w:pPr>
      <w:r w:rsidDel="00000000" w:rsidR="00000000" w:rsidRPr="00000000">
        <w:rPr>
          <w:rtl w:val="0"/>
        </w:rPr>
      </w:r>
    </w:p>
    <w:p w:rsidR="00000000" w:rsidDel="00000000" w:rsidP="00000000" w:rsidRDefault="00000000" w:rsidRPr="00000000" w14:paraId="000000DA">
      <w:pPr>
        <w:ind w:left="720" w:firstLine="0"/>
        <w:jc w:val="both"/>
        <w:rPr/>
      </w:pPr>
      <w:r w:rsidDel="00000000" w:rsidR="00000000" w:rsidRPr="00000000">
        <w:rPr>
          <w:rtl w:val="0"/>
        </w:rPr>
      </w:r>
    </w:p>
    <w:p w:rsidR="00000000" w:rsidDel="00000000" w:rsidP="00000000" w:rsidRDefault="00000000" w:rsidRPr="00000000" w14:paraId="000000DB">
      <w:pPr>
        <w:spacing w:line="360" w:lineRule="auto"/>
        <w:jc w:val="both"/>
        <w:rPr>
          <w:b w:val="1"/>
        </w:rPr>
      </w:pPr>
      <w:r w:rsidDel="00000000" w:rsidR="00000000" w:rsidRPr="00000000">
        <w:rPr>
          <w:b w:val="1"/>
          <w:rtl w:val="0"/>
        </w:rPr>
        <w:t xml:space="preserve">ii. Acceso a la justicia frente a la violencia y discriminación contra mujeres lesbianas y trans (Artículos 2, 3 y 15) y Recomendación General N.º 33 del Comité de la CEDAW </w:t>
      </w:r>
    </w:p>
    <w:p w:rsidR="00000000" w:rsidDel="00000000" w:rsidP="00000000" w:rsidRDefault="00000000" w:rsidRPr="00000000" w14:paraId="000000DC">
      <w:pPr>
        <w:spacing w:line="360" w:lineRule="auto"/>
        <w:jc w:val="both"/>
        <w:rPr/>
      </w:pPr>
      <w:r w:rsidDel="00000000" w:rsidR="00000000" w:rsidRPr="00000000">
        <w:rPr>
          <w:rtl w:val="0"/>
        </w:rPr>
      </w:r>
    </w:p>
    <w:p w:rsidR="00000000" w:rsidDel="00000000" w:rsidP="00000000" w:rsidRDefault="00000000" w:rsidRPr="00000000" w14:paraId="000000DD">
      <w:pPr>
        <w:spacing w:line="360" w:lineRule="auto"/>
        <w:jc w:val="both"/>
        <w:rPr/>
      </w:pPr>
      <w:r w:rsidDel="00000000" w:rsidR="00000000" w:rsidRPr="00000000">
        <w:rPr>
          <w:rtl w:val="0"/>
        </w:rPr>
        <w:t xml:space="preserve">28. Frente a la violencia contra mujeres lesbianas y trans, en sus</w:t>
      </w:r>
      <w:r w:rsidDel="00000000" w:rsidR="00000000" w:rsidRPr="00000000">
        <w:rPr>
          <w:highlight w:val="white"/>
          <w:rtl w:val="0"/>
        </w:rPr>
        <w:t xml:space="preserve"> </w:t>
      </w:r>
      <w:r w:rsidDel="00000000" w:rsidR="00000000" w:rsidRPr="00000000">
        <w:rPr>
          <w:i w:val="1"/>
          <w:highlight w:val="white"/>
          <w:rtl w:val="0"/>
        </w:rPr>
        <w:t xml:space="preserve">observaciones finales sobre el noveno informe periódico de México</w:t>
      </w:r>
      <w:r w:rsidDel="00000000" w:rsidR="00000000" w:rsidRPr="00000000">
        <w:rPr>
          <w:highlight w:val="white"/>
          <w:rtl w:val="0"/>
        </w:rPr>
        <w:t xml:space="preserve">, este Comité exhortó al Estado a</w:t>
      </w:r>
      <w:r w:rsidDel="00000000" w:rsidR="00000000" w:rsidRPr="00000000">
        <w:rPr>
          <w:rtl w:val="0"/>
        </w:rPr>
        <w:t xml:space="preserve"> “</w:t>
      </w:r>
      <w:r w:rsidDel="00000000" w:rsidR="00000000" w:rsidRPr="00000000">
        <w:rPr>
          <w:i w:val="1"/>
          <w:rtl w:val="0"/>
        </w:rPr>
        <w:t xml:space="preserve">notar la influencia de la normalización de prejuicios y estereotipos en la falta de atención a casos contra mujeres LBT”. </w:t>
      </w:r>
      <w:r w:rsidDel="00000000" w:rsidR="00000000" w:rsidRPr="00000000">
        <w:rPr>
          <w:rtl w:val="0"/>
        </w:rPr>
        <w:t xml:space="preserve">Asimismo, en la lista de cuestiones emitida en 2023, se solicitó explícitamente al Estado mexicano a que informara sobre las medidas adoptadas para prevenir y sancionar la violencia basada en orientación sexual, identidad y expresión de género, y que presentara datos sobre los avances en el acceso a la justicia para mujeres LBTI.  </w:t>
      </w:r>
    </w:p>
    <w:p w:rsidR="00000000" w:rsidDel="00000000" w:rsidP="00000000" w:rsidRDefault="00000000" w:rsidRPr="00000000" w14:paraId="000000DE">
      <w:pPr>
        <w:spacing w:line="360" w:lineRule="auto"/>
        <w:jc w:val="both"/>
        <w:rPr/>
      </w:pPr>
      <w:r w:rsidDel="00000000" w:rsidR="00000000" w:rsidRPr="00000000">
        <w:rPr>
          <w:rtl w:val="0"/>
        </w:rPr>
      </w:r>
    </w:p>
    <w:p w:rsidR="00000000" w:rsidDel="00000000" w:rsidP="00000000" w:rsidRDefault="00000000" w:rsidRPr="00000000" w14:paraId="000000DF">
      <w:pPr>
        <w:spacing w:line="360" w:lineRule="auto"/>
        <w:jc w:val="both"/>
        <w:rPr/>
      </w:pPr>
      <w:r w:rsidDel="00000000" w:rsidR="00000000" w:rsidRPr="00000000">
        <w:rPr>
          <w:rtl w:val="0"/>
        </w:rPr>
        <w:t xml:space="preserve">29. Sin embargo, en su décimo informe periódico de 2024 al Comité CEDAW, el Estado limitó su respuesta a mencionar avances legislativos generales, sin ofrecer información o datos estadísticos desagregados sobre el acceso a la justicia de mujeres lesbianas, bisexuales o trans, ni se reconoció la existencia de obstáculos estructurales, como la impunidad o la revictimización.</w:t>
      </w:r>
    </w:p>
    <w:p w:rsidR="00000000" w:rsidDel="00000000" w:rsidP="00000000" w:rsidRDefault="00000000" w:rsidRPr="00000000" w14:paraId="000000E0">
      <w:pPr>
        <w:spacing w:line="360" w:lineRule="auto"/>
        <w:jc w:val="both"/>
        <w:rPr/>
      </w:pPr>
      <w:r w:rsidDel="00000000" w:rsidR="00000000" w:rsidRPr="00000000">
        <w:rPr>
          <w:rtl w:val="0"/>
        </w:rPr>
      </w:r>
    </w:p>
    <w:p w:rsidR="00000000" w:rsidDel="00000000" w:rsidP="00000000" w:rsidRDefault="00000000" w:rsidRPr="00000000" w14:paraId="000000E1">
      <w:pPr>
        <w:spacing w:line="360" w:lineRule="auto"/>
        <w:jc w:val="both"/>
        <w:rPr/>
      </w:pPr>
      <w:r w:rsidDel="00000000" w:rsidR="00000000" w:rsidRPr="00000000">
        <w:rPr>
          <w:rtl w:val="0"/>
        </w:rPr>
        <w:t xml:space="preserve">30. La respuesta institucional al problema de la violencia letal por parte de las diversas autoridades de procuración de justicia del país no ha sido uniforme en la mayoría de los estados. Por un lado, se han visto esfuerzos en algunas fiscalías del país por incluir la perspectiva de género y de diversidad sexual en las investigaciones penales. En el caso de las víctimas trans podemos observar la tendencia a investigar estos casos como feminicidios y/o bajo protocolos de atención que incluyen la perspectiva de género y de diversidad sexual. Resulta justo reconocer estos pequeños avances como logros de la denuncia y movilización del activismo LGBT+, sobre todo del movimiento trans, contra la discriminación y el trato prejuiciado en los procesos y actuaciones de las instituciones de procuración de justicia. </w:t>
      </w:r>
    </w:p>
    <w:p w:rsidR="00000000" w:rsidDel="00000000" w:rsidP="00000000" w:rsidRDefault="00000000" w:rsidRPr="00000000" w14:paraId="000000E2">
      <w:pPr>
        <w:spacing w:after="240" w:before="240" w:line="360" w:lineRule="auto"/>
        <w:jc w:val="both"/>
        <w:rPr/>
      </w:pPr>
      <w:r w:rsidDel="00000000" w:rsidR="00000000" w:rsidRPr="00000000">
        <w:rPr>
          <w:rtl w:val="0"/>
        </w:rPr>
        <w:t xml:space="preserve">31. El acceso a la justicia para mujeres LT en México es profundamente desigual. De acuerdo a Letra S se ha documentado que los crímenes cometidos contra esta población, especialmente mujeres trans, raramente se investigan con debida diligencia</w:t>
      </w:r>
      <w:r w:rsidDel="00000000" w:rsidR="00000000" w:rsidRPr="00000000">
        <w:rPr>
          <w:b w:val="1"/>
          <w:vertAlign w:val="superscript"/>
        </w:rPr>
        <w:footnoteReference w:customMarkFollows="0" w:id="14"/>
      </w:r>
      <w:r w:rsidDel="00000000" w:rsidR="00000000" w:rsidRPr="00000000">
        <w:rPr>
          <w:rtl w:val="0"/>
        </w:rPr>
        <w:t xml:space="preserve">, no se reconocen los motivos prejuiciados de la violencia letal, y las víctimas suelen ser revictimizadas o invisibilizadas durante los procesos judiciales. </w:t>
      </w:r>
    </w:p>
    <w:p w:rsidR="00000000" w:rsidDel="00000000" w:rsidP="00000000" w:rsidRDefault="00000000" w:rsidRPr="00000000" w14:paraId="000000E3">
      <w:pPr>
        <w:spacing w:after="240" w:before="240" w:line="360" w:lineRule="auto"/>
        <w:jc w:val="both"/>
        <w:rPr/>
      </w:pPr>
      <w:r w:rsidDel="00000000" w:rsidR="00000000" w:rsidRPr="00000000">
        <w:rPr>
          <w:rtl w:val="0"/>
        </w:rPr>
        <w:t xml:space="preserve">32. En 2022, de los 87 asesinatos registrados de personas LGBT+, solo en 20 casos se identificaron presuntos responsables y 11 fueron vinculados a proceso penal</w:t>
      </w:r>
      <w:r w:rsidDel="00000000" w:rsidR="00000000" w:rsidRPr="00000000">
        <w:rPr>
          <w:vertAlign w:val="superscript"/>
        </w:rPr>
        <w:footnoteReference w:customMarkFollows="0" w:id="15"/>
      </w:r>
      <w:r w:rsidDel="00000000" w:rsidR="00000000" w:rsidRPr="00000000">
        <w:rPr>
          <w:rtl w:val="0"/>
        </w:rPr>
        <w:t xml:space="preserve">. Esto fue similar al año 2021: de los 78 casos documentados, apenas 15 personas fueron detenidas o procesadas</w:t>
      </w:r>
      <w:r w:rsidDel="00000000" w:rsidR="00000000" w:rsidRPr="00000000">
        <w:rPr>
          <w:vertAlign w:val="superscript"/>
        </w:rPr>
        <w:footnoteReference w:customMarkFollows="0" w:id="16"/>
      </w:r>
      <w:r w:rsidDel="00000000" w:rsidR="00000000" w:rsidRPr="00000000">
        <w:rPr>
          <w:rtl w:val="0"/>
        </w:rPr>
        <w:t xml:space="preserve">. En muchos casos, las investigaciones no tomaron en cuenta la identidad de género de las víctimas ni consideran el contexto de violencia estructural que enfrentan.</w:t>
      </w:r>
    </w:p>
    <w:p w:rsidR="00000000" w:rsidDel="00000000" w:rsidP="00000000" w:rsidRDefault="00000000" w:rsidRPr="00000000" w14:paraId="000000E4">
      <w:pPr>
        <w:spacing w:after="240" w:before="240" w:line="360" w:lineRule="auto"/>
        <w:jc w:val="both"/>
        <w:rPr/>
      </w:pPr>
      <w:r w:rsidDel="00000000" w:rsidR="00000000" w:rsidRPr="00000000">
        <w:rPr>
          <w:rtl w:val="0"/>
        </w:rPr>
        <w:t xml:space="preserve">33. Frente a esta situación, destacan algunos avances aislados. En 2024, la Suprema Corte de Justicia de la Nación resolvió que en los casos de mujeres trans se puede aplicar el tipo penal de feminicidio, al pronunciarse sobre la Acción de Inconstitucionalidad 129/2022 en Michoacán</w:t>
      </w:r>
      <w:r w:rsidDel="00000000" w:rsidR="00000000" w:rsidRPr="00000000">
        <w:rPr>
          <w:vertAlign w:val="superscript"/>
        </w:rPr>
        <w:footnoteReference w:customMarkFollows="0" w:id="17"/>
      </w:r>
      <w:r w:rsidDel="00000000" w:rsidR="00000000" w:rsidRPr="00000000">
        <w:rPr>
          <w:rtl w:val="0"/>
        </w:rPr>
        <w:t xml:space="preserve">. Esta resolución contribuye a que las autoridades de todos los niveles y en todas las entidades federativas apliquen los protocolos sobre feminicidio ante el asesinato de cualquier mujer, incluidas las mujeres trans. Ese mismo año, la Ciudad de México creó la Unidad Especializada para la Investigación del Delito de Transfeminicidio, una instancia única en el país que tiene como mandato atender los homicidios de mujeres trans con perspectiva de género, identidad y expresión. Sin embargo, esta medida no ha sido replicada en otras entidades, lo que demuestra la ausencia de una política homogénea</w:t>
      </w:r>
      <w:r w:rsidDel="00000000" w:rsidR="00000000" w:rsidRPr="00000000">
        <w:rPr>
          <w:vertAlign w:val="superscript"/>
        </w:rPr>
        <w:footnoteReference w:customMarkFollows="0" w:id="18"/>
      </w:r>
      <w:r w:rsidDel="00000000" w:rsidR="00000000" w:rsidRPr="00000000">
        <w:rPr>
          <w:rtl w:val="0"/>
        </w:rPr>
        <w:t xml:space="preserve">.</w:t>
      </w:r>
    </w:p>
    <w:p w:rsidR="00000000" w:rsidDel="00000000" w:rsidP="00000000" w:rsidRDefault="00000000" w:rsidRPr="00000000" w14:paraId="000000E5">
      <w:pPr>
        <w:spacing w:line="360" w:lineRule="auto"/>
        <w:jc w:val="both"/>
        <w:rPr/>
      </w:pPr>
      <w:r w:rsidDel="00000000" w:rsidR="00000000" w:rsidRPr="00000000">
        <w:rPr>
          <w:rtl w:val="0"/>
        </w:rPr>
        <w:t xml:space="preserve">34. Posteriormente, en julio del mismo año, en la Ciudad de México, se aprobó una serie de reformas al Código Penal local, que incluyeron la adición de un capítulo nuevo al Código Penal de la entidad, titulado “Transfeminicidio”, el cual establece en el Artículo 148 Ter que, el transfeminicidio es un delito cometido por quien “por razón de identidad de género o expresiones de género, prive de la vida a una mujer trans o a una persona cuya identidad o expresión de género, real o autopercibida, se encuentre dentro del espectro femenino de género”. Se ha celebrado esta ley, conocida como Ley Paola Buenrostro, nombre de una víctima de transfeminicidio, como un paso fundamental en el camino de sensibilizar y entender que hay un problema de violencia estructural que pone en riesgo la vida y la integridad personal de un gran número de mujeres trans, expuestas a sufrir acciones de violencia tan solo por su identidad.</w:t>
      </w:r>
    </w:p>
    <w:p w:rsidR="00000000" w:rsidDel="00000000" w:rsidP="00000000" w:rsidRDefault="00000000" w:rsidRPr="00000000" w14:paraId="000000E6">
      <w:pPr>
        <w:spacing w:line="360" w:lineRule="auto"/>
        <w:jc w:val="both"/>
        <w:rPr/>
      </w:pPr>
      <w:r w:rsidDel="00000000" w:rsidR="00000000" w:rsidRPr="00000000">
        <w:rPr>
          <w:rtl w:val="0"/>
        </w:rPr>
      </w:r>
    </w:p>
    <w:p w:rsidR="00000000" w:rsidDel="00000000" w:rsidP="00000000" w:rsidRDefault="00000000" w:rsidRPr="00000000" w14:paraId="000000E7">
      <w:pPr>
        <w:spacing w:line="360" w:lineRule="auto"/>
        <w:jc w:val="both"/>
        <w:rPr>
          <w:b w:val="1"/>
        </w:rPr>
      </w:pPr>
      <w:r w:rsidDel="00000000" w:rsidR="00000000" w:rsidRPr="00000000">
        <w:rPr>
          <w:b w:val="1"/>
          <w:rtl w:val="0"/>
        </w:rPr>
        <w:t xml:space="preserve">iii. Producción de datos oficiales sobre la violencia contra mujeres de la diversidad sexual y de género (Artículo 2): </w:t>
      </w:r>
    </w:p>
    <w:p w:rsidR="00000000" w:rsidDel="00000000" w:rsidP="00000000" w:rsidRDefault="00000000" w:rsidRPr="00000000" w14:paraId="000000E8">
      <w:pPr>
        <w:spacing w:line="360" w:lineRule="auto"/>
        <w:jc w:val="both"/>
        <w:rPr>
          <w:b w:val="1"/>
        </w:rPr>
      </w:pPr>
      <w:r w:rsidDel="00000000" w:rsidR="00000000" w:rsidRPr="00000000">
        <w:rPr>
          <w:rtl w:val="0"/>
        </w:rPr>
      </w:r>
    </w:p>
    <w:p w:rsidR="00000000" w:rsidDel="00000000" w:rsidP="00000000" w:rsidRDefault="00000000" w:rsidRPr="00000000" w14:paraId="000000E9">
      <w:pPr>
        <w:spacing w:line="360" w:lineRule="auto"/>
        <w:jc w:val="both"/>
        <w:rPr/>
      </w:pPr>
      <w:r w:rsidDel="00000000" w:rsidR="00000000" w:rsidRPr="00000000">
        <w:rPr>
          <w:rtl w:val="0"/>
        </w:rPr>
        <w:t xml:space="preserve">35. La invisibilidad estadística de la violencia contra mujeres LBTI vulnera varias disposiciones sustantivas de la CEDAW. En particular, el artículo 2, que exige a los Estados parte adoptar medidas efectivas para eliminar la discriminación contra la mujer en todas sus formas, así como las</w:t>
      </w:r>
      <w:r w:rsidDel="00000000" w:rsidR="00000000" w:rsidRPr="00000000">
        <w:rPr>
          <w:i w:val="1"/>
          <w:rtl w:val="0"/>
        </w:rPr>
        <w:t xml:space="preserve"> recomendaciones generales N.º 28 y N.º 35 </w:t>
      </w:r>
      <w:r w:rsidDel="00000000" w:rsidR="00000000" w:rsidRPr="00000000">
        <w:rPr>
          <w:rtl w:val="0"/>
        </w:rPr>
        <w:t xml:space="preserve">del Comité, que encomiendan a los Estados establecer medidas para recopilar datos desglosados de mujeres LBTI, para visibilizar formas de discriminación interseccional y contar con información estadística que incluya explícitamente la violencia basada en la orientación sexual o la identidad de género, a fin de  identificar, prevenir y combatir la violencia que enfrentan.</w:t>
      </w:r>
    </w:p>
    <w:p w:rsidR="00000000" w:rsidDel="00000000" w:rsidP="00000000" w:rsidRDefault="00000000" w:rsidRPr="00000000" w14:paraId="000000EA">
      <w:pPr>
        <w:spacing w:after="240" w:before="240" w:line="360" w:lineRule="auto"/>
        <w:jc w:val="both"/>
        <w:rPr/>
      </w:pPr>
      <w:r w:rsidDel="00000000" w:rsidR="00000000" w:rsidRPr="00000000">
        <w:rPr>
          <w:rtl w:val="0"/>
        </w:rPr>
        <w:t xml:space="preserve">36. La falta de producción sistemática de datos desagregados de violencia basada en la orientación sexual e identidad de género ha sido una preocupación reiterada del Comité CEDAW. En sus observaciones finales de 2018, el Comité recomendó al Estado mexicano recopilar datos estadísticos desglosados y confiables sobre las diferentes formas de violencia que enfrentan las mujeres lesbianas, bisexuales y trans. Esta exigencia fue reiterada en la lista de cuestiones de 2023, donde se solicitó información específica sobre la recopilación de datos, su uso en el diseño de políticas públicas, y la forma en que el Estado garantiza la inclusión de mujeres LBTI en los sistemas de información institucional.</w:t>
      </w:r>
    </w:p>
    <w:p w:rsidR="00000000" w:rsidDel="00000000" w:rsidP="00000000" w:rsidRDefault="00000000" w:rsidRPr="00000000" w14:paraId="000000EB">
      <w:pPr>
        <w:spacing w:after="240" w:before="240" w:line="360" w:lineRule="auto"/>
        <w:jc w:val="both"/>
        <w:rPr/>
      </w:pPr>
      <w:r w:rsidDel="00000000" w:rsidR="00000000" w:rsidRPr="00000000">
        <w:rPr>
          <w:rtl w:val="0"/>
        </w:rPr>
        <w:t xml:space="preserve">37. No obstante, en el décimo informe presentado en 2024 por el Estado, este se limitó a referirse a la Encuesta Nacional sobre Diversidad Sexual y de Género (ENDISEG) de 2021, sin mencionar ningún mecanismo permanente ni sistemático para la generación de estadísticas sobre violencia, discriminación o acceso a la justicia para mujeres LBTI. En contraste, los informes de organizaciones de la sociedad civil, como Letra S, evidencian que esta ausencia de sistemas oficiales de información ha derivado en un subregistro crónico, donde de forma adicional las mujeres trans suelen ser mal registradas en los certificados de defunción de acuerdo con su identidad de género o son ignoradas en investigaciones penales</w:t>
      </w:r>
      <w:r w:rsidDel="00000000" w:rsidR="00000000" w:rsidRPr="00000000">
        <w:rPr>
          <w:vertAlign w:val="superscript"/>
        </w:rPr>
        <w:footnoteReference w:customMarkFollows="0" w:id="19"/>
      </w:r>
      <w:r w:rsidDel="00000000" w:rsidR="00000000" w:rsidRPr="00000000">
        <w:rPr>
          <w:rtl w:val="0"/>
        </w:rPr>
        <w:t xml:space="preserve">. De igual forma, las mujeres lesbianas rara vez son reconocidas como tales en los reportes institucionales</w:t>
      </w:r>
      <w:r w:rsidDel="00000000" w:rsidR="00000000" w:rsidRPr="00000000">
        <w:rPr>
          <w:vertAlign w:val="superscript"/>
        </w:rPr>
        <w:footnoteReference w:customMarkFollows="0" w:id="20"/>
      </w:r>
      <w:r w:rsidDel="00000000" w:rsidR="00000000" w:rsidRPr="00000000">
        <w:rPr>
          <w:rtl w:val="0"/>
        </w:rPr>
        <w:t xml:space="preserve">. El trabajo de sociedad civil, que ha asumido la documentación de estos crímenes, ha evidenciado que el Estado no cuenta con un sistema oficial de recopilación y análisis de datos sobre crímenes motivados por prejuicio, y que no existen protocolos obligatorios para que las fiscalías, los servicios médicos forenses u otras instituciones consignen la orientación sexual o la identidad de género de las víctimas.</w:t>
      </w:r>
    </w:p>
    <w:p w:rsidR="00000000" w:rsidDel="00000000" w:rsidP="00000000" w:rsidRDefault="00000000" w:rsidRPr="00000000" w14:paraId="000000EC">
      <w:pPr>
        <w:spacing w:after="240" w:before="240" w:line="360" w:lineRule="auto"/>
        <w:jc w:val="both"/>
        <w:rPr/>
      </w:pPr>
      <w:r w:rsidDel="00000000" w:rsidR="00000000" w:rsidRPr="00000000">
        <w:rPr>
          <w:rtl w:val="0"/>
        </w:rPr>
        <w:t xml:space="preserve">38. Es importante considerar que uno de los obstáculos más persistentes para la prevención, atención y sanción de la violencia contra mujeres lesbianas, bisexuales y trans (LBTI) en México es la ausencia de datos desagregados y oficiales que incorporen variables de orientación sexual, identidad y expresión de género. Esta falta de información no es simplemente una omisión técnica, sino una manifestación institucional de discriminación, que invisibiliza la magnitud de la violencia e impide el diseño de políticas públicas adecuadas y efectivas. Esto además contribuye a perpetuar la exclusión estructural, violando el principio de igualdad y no discriminación que fundamenta los compromisos internacionales asumidos por México con la CEDAW.</w:t>
      </w:r>
    </w:p>
    <w:p w:rsidR="00000000" w:rsidDel="00000000" w:rsidP="00000000" w:rsidRDefault="00000000" w:rsidRPr="00000000" w14:paraId="000000ED">
      <w:pPr>
        <w:spacing w:after="240" w:before="240" w:line="360" w:lineRule="auto"/>
        <w:jc w:val="both"/>
        <w:rPr/>
      </w:pPr>
      <w:r w:rsidDel="00000000" w:rsidR="00000000" w:rsidRPr="00000000">
        <w:rPr>
          <w:rtl w:val="0"/>
        </w:rPr>
        <w:t xml:space="preserve">39. Para ilustrar esta deficiencia estructural, Letra S estima que la cifra real de homicidios de mujeres lesbianas y trans podría ser al menos el doble de los casos registrados en estos años, de acuerdo con metodologías que comparan fuentes institucionales con reportes periodísticos</w:t>
      </w:r>
      <w:r w:rsidDel="00000000" w:rsidR="00000000" w:rsidRPr="00000000">
        <w:rPr>
          <w:vertAlign w:val="superscript"/>
        </w:rPr>
        <w:footnoteReference w:customMarkFollows="0" w:id="21"/>
      </w:r>
      <w:r w:rsidDel="00000000" w:rsidR="00000000" w:rsidRPr="00000000">
        <w:rPr>
          <w:rtl w:val="0"/>
        </w:rPr>
        <w:t xml:space="preserve">. En el caso específico de mujeres lesbianas, la invisibilidad es aún más aguda. Por ejemplo, en los informes de Letra S se registraron 17 asesinatos de mujeres lesbianas, entre 2021 y 2024. No obstante, esta cifra debe interpretarse con precaución, ya que la orientación sexual de las víctimas rara vez se documenta en fuentes oficiales o periodísticas, y solo se reconoce cuando las víctimas estaban en una relación visible con otra mujer</w:t>
      </w:r>
      <w:r w:rsidDel="00000000" w:rsidR="00000000" w:rsidRPr="00000000">
        <w:rPr>
          <w:vertAlign w:val="superscript"/>
        </w:rPr>
        <w:footnoteReference w:customMarkFollows="0" w:id="22"/>
      </w:r>
      <w:r w:rsidDel="00000000" w:rsidR="00000000" w:rsidRPr="00000000">
        <w:rPr>
          <w:rtl w:val="0"/>
        </w:rPr>
        <w:t xml:space="preserve">.</w:t>
      </w:r>
    </w:p>
    <w:p w:rsidR="00000000" w:rsidDel="00000000" w:rsidP="00000000" w:rsidRDefault="00000000" w:rsidRPr="00000000" w14:paraId="000000EE">
      <w:pPr>
        <w:spacing w:after="240" w:before="240" w:line="360" w:lineRule="auto"/>
        <w:rPr>
          <w:b w:val="1"/>
        </w:rPr>
      </w:pPr>
      <w:r w:rsidDel="00000000" w:rsidR="00000000" w:rsidRPr="00000000">
        <w:rPr>
          <w:b w:val="1"/>
          <w:rtl w:val="0"/>
        </w:rPr>
        <w:t xml:space="preserve">Recomendaciones:</w:t>
      </w:r>
    </w:p>
    <w:p w:rsidR="00000000" w:rsidDel="00000000" w:rsidP="00000000" w:rsidRDefault="00000000" w:rsidRPr="00000000" w14:paraId="000000EF">
      <w:pPr>
        <w:spacing w:after="160" w:line="360" w:lineRule="auto"/>
        <w:jc w:val="both"/>
        <w:rPr/>
      </w:pPr>
      <w:r w:rsidDel="00000000" w:rsidR="00000000" w:rsidRPr="00000000">
        <w:rPr>
          <w:rtl w:val="0"/>
        </w:rPr>
        <w:t xml:space="preserve">40. Considerando la información expuesta, sugerimos que este Comité considere las siguientes recomendaciones dirigidas a las instituciones del Estado mexicano y a los diferentes niveles y órganos de gobierno de los estados del país, enfocadas a implementar acciones efectivas para atender la complejidad de la violencia letal contra mujeres de la diversidad sexual y de género:</w:t>
      </w:r>
    </w:p>
    <w:p w:rsidR="00000000" w:rsidDel="00000000" w:rsidP="00000000" w:rsidRDefault="00000000" w:rsidRPr="00000000" w14:paraId="000000F0">
      <w:pPr>
        <w:numPr>
          <w:ilvl w:val="0"/>
          <w:numId w:val="1"/>
        </w:numPr>
        <w:spacing w:after="240" w:before="240" w:line="360" w:lineRule="auto"/>
        <w:ind w:left="720" w:hanging="360"/>
        <w:jc w:val="both"/>
        <w:rPr/>
      </w:pPr>
      <w:r w:rsidDel="00000000" w:rsidR="00000000" w:rsidRPr="00000000">
        <w:rPr>
          <w:b w:val="1"/>
          <w:rtl w:val="0"/>
        </w:rPr>
        <w:t xml:space="preserve">Reconocer y abordar la violencia homicida contra mujeres LBTI como una forma específica y agravada de violencia de género</w:t>
      </w:r>
      <w:r w:rsidDel="00000000" w:rsidR="00000000" w:rsidRPr="00000000">
        <w:rPr>
          <w:rtl w:val="0"/>
        </w:rPr>
        <w:t xml:space="preserve">, promoviendo su investigación como posibles casos de feminicidio o mediante figuras penales específicas como el transfeminicidio, que reconozcan la identidad de género de las víctimas, conforme a los más altos estándares de debida diligencia y aplicación del enfoque de género.</w:t>
      </w:r>
    </w:p>
    <w:p w:rsidR="00000000" w:rsidDel="00000000" w:rsidP="00000000" w:rsidRDefault="00000000" w:rsidRPr="00000000" w14:paraId="000000F1">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2">
      <w:pPr>
        <w:numPr>
          <w:ilvl w:val="0"/>
          <w:numId w:val="1"/>
        </w:numPr>
        <w:spacing w:after="240" w:before="240" w:line="360" w:lineRule="auto"/>
        <w:ind w:left="720" w:hanging="360"/>
        <w:jc w:val="both"/>
        <w:rPr/>
      </w:pPr>
      <w:r w:rsidDel="00000000" w:rsidR="00000000" w:rsidRPr="00000000">
        <w:rPr>
          <w:b w:val="1"/>
          <w:rtl w:val="0"/>
        </w:rPr>
        <w:t xml:space="preserve">Adoptar un protocolo nacional obligatorio o modificar los protocolos existentes sobre feminicidio, para asegurar la investigación de muertes violentas de mujeres, motivados por prejuicio hacia su orientación sexual o identidad de género, con enfoque interseccional y perspectiva de género</w:t>
      </w:r>
      <w:r w:rsidDel="00000000" w:rsidR="00000000" w:rsidRPr="00000000">
        <w:rPr>
          <w:rtl w:val="0"/>
        </w:rPr>
        <w:t xml:space="preserve">, que garantice el respeto a la identidad de las víctimas, preserve las evidencias adecuadas y asegure el seguimiento diligente de todas las líneas de investigación pertinentes, conforme a los estándares internacionales de derechos humanos.</w:t>
      </w:r>
    </w:p>
    <w:p w:rsidR="00000000" w:rsidDel="00000000" w:rsidP="00000000" w:rsidRDefault="00000000" w:rsidRPr="00000000" w14:paraId="000000F3">
      <w:pPr>
        <w:spacing w:after="240" w:before="240" w:line="360" w:lineRule="auto"/>
        <w:jc w:val="both"/>
        <w:rPr/>
      </w:pPr>
      <w:r w:rsidDel="00000000" w:rsidR="00000000" w:rsidRPr="00000000">
        <w:rPr>
          <w:rtl w:val="0"/>
        </w:rPr>
      </w:r>
    </w:p>
    <w:p w:rsidR="00000000" w:rsidDel="00000000" w:rsidP="00000000" w:rsidRDefault="00000000" w:rsidRPr="00000000" w14:paraId="000000F4">
      <w:pPr>
        <w:numPr>
          <w:ilvl w:val="0"/>
          <w:numId w:val="1"/>
        </w:numPr>
        <w:spacing w:after="240" w:before="240" w:line="360" w:lineRule="auto"/>
        <w:ind w:left="720" w:hanging="360"/>
        <w:jc w:val="both"/>
        <w:rPr/>
      </w:pPr>
      <w:r w:rsidDel="00000000" w:rsidR="00000000" w:rsidRPr="00000000">
        <w:rPr>
          <w:b w:val="1"/>
          <w:rtl w:val="0"/>
        </w:rPr>
        <w:t xml:space="preserve">Establecer unidades especializadas para garantizar la investigación de crímenes motivados por el prejuicio en todas las fiscalías estatales y a nivel federal</w:t>
      </w:r>
      <w:r w:rsidDel="00000000" w:rsidR="00000000" w:rsidRPr="00000000">
        <w:rPr>
          <w:rtl w:val="0"/>
        </w:rPr>
        <w:t xml:space="preserve">, dotadas de presupuesto, personal capacitado, recursos técnicos adecuados y mecanismos de coordinación con organizaciones de la sociedad civil que monitorean la violencia por prejuicio contra mujeres lesbianas, trans, bisexuales e intersex.</w:t>
      </w:r>
    </w:p>
    <w:p w:rsidR="00000000" w:rsidDel="00000000" w:rsidP="00000000" w:rsidRDefault="00000000" w:rsidRPr="00000000" w14:paraId="000000F5">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6">
      <w:pPr>
        <w:numPr>
          <w:ilvl w:val="0"/>
          <w:numId w:val="1"/>
        </w:numPr>
        <w:spacing w:after="240" w:before="240" w:line="360" w:lineRule="auto"/>
        <w:ind w:left="720" w:hanging="360"/>
        <w:jc w:val="both"/>
        <w:rPr/>
      </w:pPr>
      <w:r w:rsidDel="00000000" w:rsidR="00000000" w:rsidRPr="00000000">
        <w:rPr>
          <w:b w:val="1"/>
          <w:rtl w:val="0"/>
        </w:rPr>
        <w:t xml:space="preserve">Diseñar e implementar un sistema nacional de registro y generación de datos estadísticos sobre violencia, discriminación y acceso a justicia de mujeres LBTI</w:t>
      </w:r>
      <w:r w:rsidDel="00000000" w:rsidR="00000000" w:rsidRPr="00000000">
        <w:rPr>
          <w:rtl w:val="0"/>
        </w:rPr>
        <w:t xml:space="preserve">, que contemple variables específicas de orientación sexual, identidad y expresión de género, para conocer las dinámicas y patrones de violencia letal contra ellas, y que articule la participación de instituciones como el INEGI, CONAVIM, las fiscalías, juzgados y los servicios médicos forenses.</w:t>
      </w:r>
    </w:p>
    <w:p w:rsidR="00000000" w:rsidDel="00000000" w:rsidP="00000000" w:rsidRDefault="00000000" w:rsidRPr="00000000" w14:paraId="000000F7">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8">
      <w:pPr>
        <w:numPr>
          <w:ilvl w:val="0"/>
          <w:numId w:val="1"/>
        </w:numPr>
        <w:spacing w:after="240" w:before="240" w:line="360" w:lineRule="auto"/>
        <w:ind w:left="720" w:hanging="360"/>
        <w:jc w:val="both"/>
        <w:rPr/>
      </w:pPr>
      <w:r w:rsidDel="00000000" w:rsidR="00000000" w:rsidRPr="00000000">
        <w:rPr>
          <w:b w:val="1"/>
          <w:rtl w:val="0"/>
        </w:rPr>
        <w:t xml:space="preserve">Asegurar procesos de formación y capacitación</w:t>
      </w:r>
      <w:r w:rsidDel="00000000" w:rsidR="00000000" w:rsidRPr="00000000">
        <w:rPr>
          <w:rtl w:val="0"/>
        </w:rPr>
        <w:t xml:space="preserve"> constantes que garanticen actuaciones de las instancias fiscales y judiciales libres de prejuicio y discriminación, así como garantizar el acceso a la justicia para las víctimas y sus familias, ya sea consanguínea y/o familias sociales de las mujeres LBTI.</w:t>
      </w:r>
    </w:p>
    <w:p w:rsidR="00000000" w:rsidDel="00000000" w:rsidP="00000000" w:rsidRDefault="00000000" w:rsidRPr="00000000" w14:paraId="000000F9">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A">
      <w:pPr>
        <w:numPr>
          <w:ilvl w:val="0"/>
          <w:numId w:val="1"/>
        </w:numPr>
        <w:spacing w:after="240" w:before="240" w:line="360" w:lineRule="auto"/>
        <w:ind w:left="720" w:hanging="360"/>
        <w:jc w:val="both"/>
        <w:rPr/>
      </w:pPr>
      <w:r w:rsidDel="00000000" w:rsidR="00000000" w:rsidRPr="00000000">
        <w:rPr>
          <w:b w:val="1"/>
          <w:rtl w:val="0"/>
        </w:rPr>
        <w:t xml:space="preserve">Diseñar e implementar medidas de protección especiales para </w:t>
      </w:r>
      <w:r w:rsidDel="00000000" w:rsidR="00000000" w:rsidRPr="00000000">
        <w:rPr>
          <w:rtl w:val="0"/>
        </w:rPr>
        <w:t xml:space="preserve">mujeres trans defensoras de derechos humanos que trabajan en la lucha contra la violencia hacia personas de su comunidad, así como para mujeres trans trabajadoras sexuales y otras inmersas en territorios y en espacios identificados como prevalentes de estos actos de violencia. </w:t>
      </w:r>
    </w:p>
    <w:p w:rsidR="00000000" w:rsidDel="00000000" w:rsidP="00000000" w:rsidRDefault="00000000" w:rsidRPr="00000000" w14:paraId="000000FB">
      <w:pPr>
        <w:spacing w:after="240" w:before="240" w:line="360" w:lineRule="auto"/>
        <w:ind w:left="720" w:firstLine="0"/>
        <w:jc w:val="both"/>
        <w:rPr/>
      </w:pPr>
      <w:r w:rsidDel="00000000" w:rsidR="00000000" w:rsidRPr="00000000">
        <w:rPr>
          <w:rtl w:val="0"/>
        </w:rPr>
      </w:r>
    </w:p>
    <w:p w:rsidR="00000000" w:rsidDel="00000000" w:rsidP="00000000" w:rsidRDefault="00000000" w:rsidRPr="00000000" w14:paraId="000000FC">
      <w:pPr>
        <w:numPr>
          <w:ilvl w:val="0"/>
          <w:numId w:val="1"/>
        </w:numPr>
        <w:spacing w:after="240" w:before="240" w:line="360" w:lineRule="auto"/>
        <w:ind w:left="720" w:hanging="360"/>
        <w:jc w:val="both"/>
        <w:rPr/>
      </w:pPr>
      <w:r w:rsidDel="00000000" w:rsidR="00000000" w:rsidRPr="00000000">
        <w:rPr>
          <w:b w:val="1"/>
          <w:rtl w:val="0"/>
        </w:rPr>
        <w:t xml:space="preserve">Diseñar y promover campañas masivas de sensibilización y concientización</w:t>
      </w:r>
      <w:r w:rsidDel="00000000" w:rsidR="00000000" w:rsidRPr="00000000">
        <w:rPr>
          <w:rtl w:val="0"/>
        </w:rPr>
        <w:t xml:space="preserve"> que erradiquen los estereotipos relacionados con la orientación sexual, la identidad y expresión de género de las mujeres en la sociedad, como una forma de erradicar los imaginarios sociales que justifican la violencia en su contra. </w:t>
      </w:r>
    </w:p>
    <w:p w:rsidR="00000000" w:rsidDel="00000000" w:rsidP="00000000" w:rsidRDefault="00000000" w:rsidRPr="00000000" w14:paraId="000000FD">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FE">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w:t>
      </w:r>
      <w:r w:rsidDel="00000000" w:rsidR="00000000" w:rsidRPr="00000000">
        <w:rPr>
          <w:sz w:val="16"/>
          <w:szCs w:val="16"/>
          <w:highlight w:val="white"/>
          <w:rtl w:val="0"/>
        </w:rPr>
        <w:t xml:space="preserve">Letra S, Sida, Cultura y Vida Cotidiana, AC es una organización civil sin fines de lucro dedicada a la difusión de información y a la defensa de los derechos humanos en México. Se enfoca en los temas de sexualidad, salud y sociedad, en particular de la diversidad sexual, el género, el VIH, infecciones de transmisión sexual y los derechos sexuales y reproductivos.</w:t>
        <w:br w:type="textWrapping"/>
        <w:t xml:space="preserve">Página Web: </w:t>
      </w:r>
      <w:hyperlink r:id="rId1">
        <w:r w:rsidDel="00000000" w:rsidR="00000000" w:rsidRPr="00000000">
          <w:rPr>
            <w:color w:val="1155cc"/>
            <w:sz w:val="16"/>
            <w:szCs w:val="16"/>
            <w:highlight w:val="white"/>
            <w:u w:val="single"/>
            <w:rtl w:val="0"/>
          </w:rPr>
          <w:t xml:space="preserve">LetraEse – LetraEse</w:t>
        </w:r>
      </w:hyperlink>
      <w:r w:rsidDel="00000000" w:rsidR="00000000" w:rsidRPr="00000000">
        <w:rPr>
          <w:sz w:val="16"/>
          <w:szCs w:val="16"/>
          <w:rtl w:val="0"/>
        </w:rPr>
        <w:t xml:space="preserve"> </w:t>
      </w:r>
    </w:p>
    <w:p w:rsidR="00000000" w:rsidDel="00000000" w:rsidP="00000000" w:rsidRDefault="00000000" w:rsidRPr="00000000" w14:paraId="000000FF">
      <w:pPr>
        <w:spacing w:line="240" w:lineRule="auto"/>
        <w:rPr>
          <w:sz w:val="16"/>
          <w:szCs w:val="16"/>
        </w:rPr>
      </w:pPr>
      <w:r w:rsidDel="00000000" w:rsidR="00000000" w:rsidRPr="00000000">
        <w:rPr>
          <w:sz w:val="16"/>
          <w:szCs w:val="16"/>
          <w:rtl w:val="0"/>
        </w:rPr>
        <w:t xml:space="preserve">Email de contacto: </w:t>
      </w:r>
      <w:hyperlink r:id="rId2">
        <w:r w:rsidDel="00000000" w:rsidR="00000000" w:rsidRPr="00000000">
          <w:rPr>
            <w:color w:val="1155cc"/>
            <w:sz w:val="16"/>
            <w:szCs w:val="16"/>
            <w:u w:val="single"/>
            <w:rtl w:val="0"/>
          </w:rPr>
          <w:t xml:space="preserve">direccionletraese@gmail.com</w:t>
        </w:r>
      </w:hyperlink>
      <w:r w:rsidDel="00000000" w:rsidR="00000000" w:rsidRPr="00000000">
        <w:rPr>
          <w:sz w:val="16"/>
          <w:szCs w:val="16"/>
          <w:rtl w:val="0"/>
        </w:rPr>
        <w:t xml:space="preserve"> </w:t>
      </w:r>
      <w:r w:rsidDel="00000000" w:rsidR="00000000" w:rsidRPr="00000000">
        <w:rPr>
          <w:rtl w:val="0"/>
        </w:rPr>
      </w:r>
    </w:p>
  </w:footnote>
  <w:footnote w:id="2">
    <w:p w:rsidR="00000000" w:rsidDel="00000000" w:rsidP="00000000" w:rsidRDefault="00000000" w:rsidRPr="00000000" w14:paraId="00000100">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Ver más en: </w:t>
      </w:r>
      <w:hyperlink r:id="rId3">
        <w:r w:rsidDel="00000000" w:rsidR="00000000" w:rsidRPr="00000000">
          <w:rPr>
            <w:color w:val="1155cc"/>
            <w:sz w:val="16"/>
            <w:szCs w:val="16"/>
            <w:u w:val="single"/>
            <w:rtl w:val="0"/>
          </w:rPr>
          <w:t xml:space="preserve">La Red Regional de Información LGBTI - Sin Violencia LGBTI</w:t>
        </w:r>
      </w:hyperlink>
      <w:r w:rsidDel="00000000" w:rsidR="00000000" w:rsidRPr="00000000">
        <w:rPr>
          <w:rtl w:val="0"/>
        </w:rPr>
      </w:r>
    </w:p>
  </w:footnote>
  <w:footnote w:id="3">
    <w:p w:rsidR="00000000" w:rsidDel="00000000" w:rsidP="00000000" w:rsidRDefault="00000000" w:rsidRPr="00000000" w14:paraId="00000101">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Ver más en: </w:t>
      </w:r>
      <w:hyperlink r:id="rId4">
        <w:r w:rsidDel="00000000" w:rsidR="00000000" w:rsidRPr="00000000">
          <w:rPr>
            <w:color w:val="1155cc"/>
            <w:sz w:val="16"/>
            <w:szCs w:val="16"/>
            <w:u w:val="single"/>
            <w:rtl w:val="0"/>
          </w:rPr>
          <w:t xml:space="preserve">México: Autoridades federales y locales deben redoblar sus esfuerzos para prevenir y sancionar actos de violencia contra personas trans</w:t>
        </w:r>
      </w:hyperlink>
      <w:r w:rsidDel="00000000" w:rsidR="00000000" w:rsidRPr="00000000">
        <w:rPr>
          <w:rtl w:val="0"/>
        </w:rPr>
      </w:r>
    </w:p>
  </w:footnote>
  <w:footnote w:id="4">
    <w:p w:rsidR="00000000" w:rsidDel="00000000" w:rsidP="00000000" w:rsidRDefault="00000000" w:rsidRPr="00000000" w14:paraId="00000102">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https://www.youtube.com/watch?v=N1RbJfoRDXM</w:t>
      </w:r>
    </w:p>
  </w:footnote>
  <w:footnote w:id="5">
    <w:p w:rsidR="00000000" w:rsidDel="00000000" w:rsidP="00000000" w:rsidRDefault="00000000" w:rsidRPr="00000000" w14:paraId="00000103">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https://guerrero.quadratin.com.mx/asesinan-a-balazos-a-una-mujer-trans-en-un-taxi-en-iguala/;%20https:/www.enfoqueinformativo.mx/asesinan-a-mujer-trans-dentro-de-un-taxi-en-iguala/;%20https:/ahoraguerrero.mx/matan-a-mujer-trans-dentro-de-un-taxi-en-iguala;%20https:/www.facebook.com/photo.php</w:t>
      </w:r>
    </w:p>
  </w:footnote>
  <w:footnote w:id="6">
    <w:p w:rsidR="00000000" w:rsidDel="00000000" w:rsidP="00000000" w:rsidRDefault="00000000" w:rsidRPr="00000000" w14:paraId="0000010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https://www.nmas.com.mx/nmas-local/programas/las-noticias-tamaulipas/videos/asesinan-chico-trans-tampico/</w:t>
      </w:r>
    </w:p>
  </w:footnote>
  <w:footnote w:id="7">
    <w:p w:rsidR="00000000" w:rsidDel="00000000" w:rsidP="00000000" w:rsidRDefault="00000000" w:rsidRPr="00000000" w14:paraId="00000105">
      <w:pPr>
        <w:spacing w:line="240" w:lineRule="auto"/>
        <w:jc w:val="both"/>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Recomendación general Nº 28 relativa a las obligaciones básicas de los Estados partes de conformidad con el artículo 2 de la Convención sobre la eliminación de todas las formas de discriminación contra la mujer, CEDAW/C/GC/28, 16 de diciembre de 2010, párrs. 37 y 38.</w:t>
      </w:r>
    </w:p>
  </w:footnote>
  <w:footnote w:id="8">
    <w:p w:rsidR="00000000" w:rsidDel="00000000" w:rsidP="00000000" w:rsidRDefault="00000000" w:rsidRPr="00000000" w14:paraId="00000106">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https://diario.mx/juarez/2023/feb/10/si-no-eres-mia-no-seras-de-nadie-928946.html</w:t>
      </w:r>
    </w:p>
  </w:footnote>
  <w:footnote w:id="9">
    <w:p w:rsidR="00000000" w:rsidDel="00000000" w:rsidP="00000000" w:rsidRDefault="00000000" w:rsidRPr="00000000" w14:paraId="00000107">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https://www.youtube.com/watch?v=Z6Ahgqn7rxs</w:t>
      </w:r>
    </w:p>
  </w:footnote>
  <w:footnote w:id="10">
    <w:p w:rsidR="00000000" w:rsidDel="00000000" w:rsidP="00000000" w:rsidRDefault="00000000" w:rsidRPr="00000000" w14:paraId="00000108">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https://agenciapresentes.org/2023/07/07/transfemicidio-en-cdmx-natalia-gonzalez-tenia-29-anos-era-trabajadora-sexual-y-madre/</w:t>
      </w:r>
    </w:p>
  </w:footnote>
  <w:footnote w:id="11">
    <w:p w:rsidR="00000000" w:rsidDel="00000000" w:rsidP="00000000" w:rsidRDefault="00000000" w:rsidRPr="00000000" w14:paraId="00000109">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https://www.hidrocalidodigital.com/asesinan-activista-de-la-comunidad-lgbtq-en-moroleon-guanajuato/</w:t>
      </w:r>
    </w:p>
  </w:footnote>
  <w:footnote w:id="12">
    <w:p w:rsidR="00000000" w:rsidDel="00000000" w:rsidP="00000000" w:rsidRDefault="00000000" w:rsidRPr="00000000" w14:paraId="0000010A">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https://www.infobae.com/mexico/2024/01/15/quien-es-samantha-gomes-fonseca-activista-trans-que-fue-asesinada-al-salir-de-una-visita-en-el-reclusorio-sur/</w:t>
      </w:r>
    </w:p>
  </w:footnote>
  <w:footnote w:id="13">
    <w:p w:rsidR="00000000" w:rsidDel="00000000" w:rsidP="00000000" w:rsidRDefault="00000000" w:rsidRPr="00000000" w14:paraId="0000010B">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https://elpais.com/mexico/2022-05-12/yesenia-y-johana-la-pareja-de-periodistas-asesinadas-en-veracruz-que-pone-cara-al-terror-de-todo-un-gremio.html?event_log=oklogin&amp;event=go&amp;event_log=go&amp;prod=REGCRARTMEX&amp;o=cerrmex</w:t>
      </w:r>
    </w:p>
  </w:footnote>
  <w:footnote w:id="14">
    <w:p w:rsidR="00000000" w:rsidDel="00000000" w:rsidP="00000000" w:rsidRDefault="00000000" w:rsidRPr="00000000" w14:paraId="0000010C">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Letra S. Los rastros de la violencia por prejuicio: Violencia letal y no letal contra personas LGBT+ en méxico, 2022. En: </w:t>
      </w:r>
      <w:hyperlink r:id="rId5">
        <w:r w:rsidDel="00000000" w:rsidR="00000000" w:rsidRPr="00000000">
          <w:rPr>
            <w:color w:val="1155cc"/>
            <w:sz w:val="16"/>
            <w:szCs w:val="16"/>
            <w:u w:val="single"/>
            <w:rtl w:val="0"/>
          </w:rPr>
          <w:t xml:space="preserve">https://letraese.org.mx/crimenes-de-odio-archivos/</w:t>
        </w:r>
      </w:hyperlink>
      <w:r w:rsidDel="00000000" w:rsidR="00000000" w:rsidRPr="00000000">
        <w:rPr>
          <w:sz w:val="16"/>
          <w:szCs w:val="16"/>
          <w:rtl w:val="0"/>
        </w:rPr>
        <w:t xml:space="preserve"> </w:t>
      </w:r>
    </w:p>
  </w:footnote>
  <w:footnote w:id="15">
    <w:p w:rsidR="00000000" w:rsidDel="00000000" w:rsidP="00000000" w:rsidRDefault="00000000" w:rsidRPr="00000000" w14:paraId="0000010D">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Ibid.</w:t>
      </w:r>
    </w:p>
  </w:footnote>
  <w:footnote w:id="16">
    <w:p w:rsidR="00000000" w:rsidDel="00000000" w:rsidP="00000000" w:rsidRDefault="00000000" w:rsidRPr="00000000" w14:paraId="0000010E">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Letra S. Muertes violentas de personas LGBT+ en México: informe 2021. En: </w:t>
      </w:r>
      <w:hyperlink r:id="rId6">
        <w:r w:rsidDel="00000000" w:rsidR="00000000" w:rsidRPr="00000000">
          <w:rPr>
            <w:color w:val="1155cc"/>
            <w:sz w:val="16"/>
            <w:szCs w:val="16"/>
            <w:u w:val="single"/>
            <w:rtl w:val="0"/>
          </w:rPr>
          <w:t xml:space="preserve">https://letraese.org.mx/crimenes-de-odio-archivos/</w:t>
        </w:r>
      </w:hyperlink>
      <w:r w:rsidDel="00000000" w:rsidR="00000000" w:rsidRPr="00000000">
        <w:rPr>
          <w:sz w:val="16"/>
          <w:szCs w:val="16"/>
          <w:rtl w:val="0"/>
        </w:rPr>
        <w:t xml:space="preserve"> </w:t>
      </w:r>
    </w:p>
  </w:footnote>
  <w:footnote w:id="17">
    <w:p w:rsidR="00000000" w:rsidDel="00000000" w:rsidP="00000000" w:rsidRDefault="00000000" w:rsidRPr="00000000" w14:paraId="0000010F">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Letra S. Las dinámicas de la violencia por prejuicio: Homicidios de personas LGBT+ en México, 2024.</w:t>
      </w:r>
    </w:p>
  </w:footnote>
  <w:footnote w:id="18">
    <w:p w:rsidR="00000000" w:rsidDel="00000000" w:rsidP="00000000" w:rsidRDefault="00000000" w:rsidRPr="00000000" w14:paraId="00000110">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Ibid.</w:t>
      </w:r>
    </w:p>
  </w:footnote>
  <w:footnote w:id="19">
    <w:p w:rsidR="00000000" w:rsidDel="00000000" w:rsidP="00000000" w:rsidRDefault="00000000" w:rsidRPr="00000000" w14:paraId="00000111">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Letra S. Las dinámicas de la violencia por prejuicio: Homicidios de personas LGBT+ en México, 2024.</w:t>
      </w:r>
    </w:p>
  </w:footnote>
  <w:footnote w:id="20">
    <w:p w:rsidR="00000000" w:rsidDel="00000000" w:rsidP="00000000" w:rsidRDefault="00000000" w:rsidRPr="00000000" w14:paraId="00000112">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Letra S. Los rastros de la violencia por prejuicio: Violencia letal y no letal contra personas lgbt+ en méxico, 2022. En: </w:t>
      </w:r>
      <w:hyperlink r:id="rId7">
        <w:r w:rsidDel="00000000" w:rsidR="00000000" w:rsidRPr="00000000">
          <w:rPr>
            <w:color w:val="1155cc"/>
            <w:sz w:val="16"/>
            <w:szCs w:val="16"/>
            <w:u w:val="single"/>
            <w:rtl w:val="0"/>
          </w:rPr>
          <w:t xml:space="preserve">https://letraese.org.mx/crimenes-de-odio-archivos/</w:t>
        </w:r>
      </w:hyperlink>
      <w:r w:rsidDel="00000000" w:rsidR="00000000" w:rsidRPr="00000000">
        <w:rPr>
          <w:sz w:val="16"/>
          <w:szCs w:val="16"/>
          <w:rtl w:val="0"/>
        </w:rPr>
        <w:t xml:space="preserve"> </w:t>
      </w:r>
    </w:p>
  </w:footnote>
  <w:footnote w:id="21">
    <w:p w:rsidR="00000000" w:rsidDel="00000000" w:rsidP="00000000" w:rsidRDefault="00000000" w:rsidRPr="00000000" w14:paraId="00000113">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Letra S. Los rastros de la violencia por prejuicio: Violencia letal y no letal contra personas lgbt+ en méxico, 2022. En: </w:t>
      </w:r>
      <w:hyperlink r:id="rId8">
        <w:r w:rsidDel="00000000" w:rsidR="00000000" w:rsidRPr="00000000">
          <w:rPr>
            <w:color w:val="1155cc"/>
            <w:sz w:val="16"/>
            <w:szCs w:val="16"/>
            <w:u w:val="single"/>
            <w:rtl w:val="0"/>
          </w:rPr>
          <w:t xml:space="preserve">https://letraese.org.mx/crimenes-de-odio-archivos/</w:t>
        </w:r>
      </w:hyperlink>
      <w:r w:rsidDel="00000000" w:rsidR="00000000" w:rsidRPr="00000000">
        <w:rPr>
          <w:sz w:val="16"/>
          <w:szCs w:val="16"/>
          <w:rtl w:val="0"/>
        </w:rPr>
        <w:t xml:space="preserve"> </w:t>
      </w:r>
    </w:p>
  </w:footnote>
  <w:footnote w:id="22">
    <w:p w:rsidR="00000000" w:rsidDel="00000000" w:rsidP="00000000" w:rsidRDefault="00000000" w:rsidRPr="00000000" w14:paraId="00000114">
      <w:pPr>
        <w:spacing w:line="240" w:lineRule="auto"/>
        <w:rPr>
          <w:sz w:val="16"/>
          <w:szCs w:val="16"/>
        </w:rPr>
      </w:pPr>
      <w:r w:rsidDel="00000000" w:rsidR="00000000" w:rsidRPr="00000000">
        <w:rPr>
          <w:rStyle w:val="FootnoteReference"/>
          <w:vertAlign w:val="superscript"/>
        </w:rPr>
        <w:footnoteRef/>
      </w:r>
      <w:r w:rsidDel="00000000" w:rsidR="00000000" w:rsidRPr="00000000">
        <w:rPr>
          <w:sz w:val="16"/>
          <w:szCs w:val="16"/>
          <w:rtl w:val="0"/>
        </w:rPr>
        <w:t xml:space="preserve"> Ibid.</w:t>
      </w:r>
    </w:p>
  </w:footnote>
  <w:footnote w:id="1">
    <w:p w:rsidR="00000000" w:rsidDel="00000000" w:rsidP="00000000" w:rsidRDefault="00000000" w:rsidRPr="00000000" w14:paraId="00000115">
      <w:pPr>
        <w:spacing w:line="240" w:lineRule="auto"/>
        <w:rPr>
          <w:sz w:val="16"/>
          <w:szCs w:val="16"/>
        </w:rPr>
      </w:pPr>
      <w:r w:rsidDel="00000000" w:rsidR="00000000" w:rsidRPr="00000000">
        <w:rPr>
          <w:rStyle w:val="FootnoteReference"/>
          <w:vertAlign w:val="superscript"/>
        </w:rPr>
        <w:footnoteRef/>
      </w:r>
      <w:r w:rsidDel="00000000" w:rsidR="00000000" w:rsidRPr="00000000">
        <w:rPr>
          <w:sz w:val="20"/>
          <w:szCs w:val="20"/>
          <w:vertAlign w:val="superscript"/>
          <w:rtl w:val="0"/>
        </w:rPr>
        <w:t xml:space="preserve"> </w:t>
      </w:r>
      <w:r w:rsidDel="00000000" w:rsidR="00000000" w:rsidRPr="00000000">
        <w:rPr>
          <w:sz w:val="16"/>
          <w:szCs w:val="16"/>
          <w:rtl w:val="0"/>
        </w:rPr>
        <w:t xml:space="preserve"> La Red Regional SinViolenciaLGBTI fue creada en 2016 como una red internacional e independiente, conformada por organizaciones LGBTI+ de América Latina y el Caribe, que se unen para presentar los resultados de sus investigaciones sobre homicidios de personas LGBT+, con el objetivo de superar la invisibilidad estadística sobre estos crímenes y contribuir a mejorar la respuesta del sistema de justicia y la sociedad ante estos casos. Sus datos sirven a gobiernos y organismos internacionales para la formulación y evaluación de acciones de prevención, investigación y sanción de la violencia motivada por el prejuicio en razón de la orientación sexual, expresión e identidad de género.</w:t>
      </w:r>
    </w:p>
    <w:p w:rsidR="00000000" w:rsidDel="00000000" w:rsidP="00000000" w:rsidRDefault="00000000" w:rsidRPr="00000000" w14:paraId="00000116">
      <w:pPr>
        <w:spacing w:line="240" w:lineRule="auto"/>
        <w:jc w:val="both"/>
        <w:rPr>
          <w:sz w:val="20"/>
          <w:szCs w:val="20"/>
          <w:vertAlign w:val="superscript"/>
        </w:rPr>
      </w:pPr>
      <w:r w:rsidDel="00000000" w:rsidR="00000000" w:rsidRPr="00000000">
        <w:rPr>
          <w:sz w:val="16"/>
          <w:szCs w:val="16"/>
          <w:rtl w:val="0"/>
        </w:rPr>
        <w:t xml:space="preserve">Página Web: </w:t>
      </w:r>
      <w:hyperlink r:id="rId9">
        <w:r w:rsidDel="00000000" w:rsidR="00000000" w:rsidRPr="00000000">
          <w:rPr>
            <w:color w:val="1155cc"/>
            <w:sz w:val="16"/>
            <w:szCs w:val="16"/>
            <w:u w:val="single"/>
            <w:rtl w:val="0"/>
          </w:rPr>
          <w:t xml:space="preserve">La Red Regional de Información LGBTI - Sin Violencia LGBTI</w:t>
        </w:r>
      </w:hyperlink>
      <w:hyperlink r:id="rId10">
        <w:r w:rsidDel="00000000" w:rsidR="00000000" w:rsidRPr="00000000">
          <w:rPr>
            <w:color w:val="0563c1"/>
            <w:sz w:val="16"/>
            <w:szCs w:val="16"/>
            <w:u w:val="single"/>
            <w:rtl w:val="0"/>
          </w:rPr>
          <w:br w:type="textWrapping"/>
        </w:r>
      </w:hyperlink>
      <w:r w:rsidDel="00000000" w:rsidR="00000000" w:rsidRPr="00000000">
        <w:rPr>
          <w:sz w:val="16"/>
          <w:szCs w:val="16"/>
          <w:rtl w:val="0"/>
        </w:rPr>
        <w:t xml:space="preserve">Email de contacto: </w:t>
      </w:r>
      <w:hyperlink r:id="rId11">
        <w:r w:rsidDel="00000000" w:rsidR="00000000" w:rsidRPr="00000000">
          <w:rPr>
            <w:color w:val="1155cc"/>
            <w:sz w:val="16"/>
            <w:szCs w:val="16"/>
            <w:u w:val="single"/>
            <w:rtl w:val="0"/>
          </w:rPr>
          <w:t xml:space="preserve">sinviolencialgbti@gmail.com</w:t>
        </w:r>
      </w:hyperlink>
      <w:r w:rsidDel="00000000" w:rsidR="00000000" w:rsidRPr="00000000">
        <w:rPr>
          <w:sz w:val="16"/>
          <w:szCs w:val="16"/>
          <w:rtl w:val="0"/>
        </w:rPr>
        <w:t xml:space="preserve">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Normal" w:default="1">
    <w:name w:val="Normal"/>
    <w:qFormat w:val="1"/>
  </w:style>
  <w:style w:type="paragraph" w:styleId="Ttulo1">
    <w:name w:val="heading 1"/>
    <w:basedOn w:val="Normal"/>
    <w:next w:val="Normal"/>
    <w:uiPriority w:val="9"/>
    <w:qFormat w:val="1"/>
    <w:pPr>
      <w:keepNext w:val="1"/>
      <w:keepLines w:val="1"/>
      <w:spacing w:after="120" w:before="400"/>
      <w:outlineLvl w:val="0"/>
    </w:pPr>
    <w:rPr>
      <w:sz w:val="40"/>
      <w:szCs w:val="40"/>
    </w:rPr>
  </w:style>
  <w:style w:type="paragraph" w:styleId="Ttulo2">
    <w:name w:val="heading 2"/>
    <w:basedOn w:val="Normal"/>
    <w:next w:val="Normal"/>
    <w:uiPriority w:val="9"/>
    <w:semiHidden w:val="1"/>
    <w:unhideWhenUsed w:val="1"/>
    <w:qFormat w:val="1"/>
    <w:pPr>
      <w:keepNext w:val="1"/>
      <w:keepLines w:val="1"/>
      <w:spacing w:after="120" w:before="360"/>
      <w:outlineLvl w:val="1"/>
    </w:pPr>
    <w:rPr>
      <w:sz w:val="32"/>
      <w:szCs w:val="32"/>
    </w:rPr>
  </w:style>
  <w:style w:type="paragraph" w:styleId="Ttulo3">
    <w:name w:val="heading 3"/>
    <w:basedOn w:val="Normal"/>
    <w:next w:val="Normal"/>
    <w:uiPriority w:val="9"/>
    <w:semiHidden w:val="1"/>
    <w:unhideWhenUsed w:val="1"/>
    <w:qFormat w:val="1"/>
    <w:pPr>
      <w:keepNext w:val="1"/>
      <w:keepLines w:val="1"/>
      <w:spacing w:after="80" w:before="320"/>
      <w:outlineLvl w:val="2"/>
    </w:pPr>
    <w:rPr>
      <w:color w:val="434343"/>
      <w:sz w:val="28"/>
      <w:szCs w:val="28"/>
    </w:rPr>
  </w:style>
  <w:style w:type="paragraph" w:styleId="Ttulo4">
    <w:name w:val="heading 4"/>
    <w:basedOn w:val="Normal"/>
    <w:next w:val="Normal"/>
    <w:uiPriority w:val="9"/>
    <w:semiHidden w:val="1"/>
    <w:unhideWhenUsed w:val="1"/>
    <w:qFormat w:val="1"/>
    <w:pPr>
      <w:keepNext w:val="1"/>
      <w:keepLines w:val="1"/>
      <w:spacing w:after="80" w:before="280"/>
      <w:outlineLvl w:val="3"/>
    </w:pPr>
    <w:rPr>
      <w:color w:val="666666"/>
      <w:sz w:val="24"/>
      <w:szCs w:val="24"/>
    </w:rPr>
  </w:style>
  <w:style w:type="paragraph" w:styleId="Ttulo5">
    <w:name w:val="heading 5"/>
    <w:basedOn w:val="Normal"/>
    <w:next w:val="Normal"/>
    <w:uiPriority w:val="9"/>
    <w:semiHidden w:val="1"/>
    <w:unhideWhenUsed w:val="1"/>
    <w:qFormat w:val="1"/>
    <w:pPr>
      <w:keepNext w:val="1"/>
      <w:keepLines w:val="1"/>
      <w:spacing w:after="80" w:before="240"/>
      <w:outlineLvl w:val="4"/>
    </w:pPr>
    <w:rPr>
      <w:color w:val="666666"/>
    </w:rPr>
  </w:style>
  <w:style w:type="paragraph" w:styleId="Ttulo6">
    <w:name w:val="heading 6"/>
    <w:basedOn w:val="Normal"/>
    <w:next w:val="Normal"/>
    <w:uiPriority w:val="9"/>
    <w:semiHidden w:val="1"/>
    <w:unhideWhenUsed w:val="1"/>
    <w:qFormat w:val="1"/>
    <w:pPr>
      <w:keepNext w:val="1"/>
      <w:keepLines w:val="1"/>
      <w:spacing w:after="80" w:before="240"/>
      <w:outlineLvl w:val="5"/>
    </w:pPr>
    <w:rPr>
      <w:i w:val="1"/>
      <w:color w:val="666666"/>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uiPriority w:val="10"/>
    <w:qFormat w:val="1"/>
    <w:pPr>
      <w:keepNext w:val="1"/>
      <w:keepLines w:val="1"/>
      <w:spacing w:after="60"/>
    </w:pPr>
    <w:rPr>
      <w:sz w:val="52"/>
      <w:szCs w:val="52"/>
    </w:rPr>
  </w:style>
  <w:style w:type="paragraph" w:styleId="Subttulo">
    <w:name w:val="Subtitle"/>
    <w:basedOn w:val="Normal"/>
    <w:next w:val="Normal"/>
    <w:uiPriority w:val="11"/>
    <w:qFormat w:val="1"/>
    <w:pPr>
      <w:keepNext w:val="1"/>
      <w:keepLines w:val="1"/>
      <w:spacing w:after="320"/>
    </w:pPr>
    <w:rPr>
      <w:color w:val="666666"/>
      <w:sz w:val="30"/>
      <w:szCs w:val="3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table" w:styleId="a2" w:customStyle="1">
    <w:basedOn w:val="TableNormal"/>
    <w:tblPr>
      <w:tblStyleRowBandSize w:val="1"/>
      <w:tblStyleColBandSize w:val="1"/>
      <w:tblCellMar>
        <w:top w:w="100.0" w:type="dxa"/>
        <w:left w:w="100.0" w:type="dxa"/>
        <w:bottom w:w="100.0" w:type="dxa"/>
        <w:right w:w="100.0" w:type="dxa"/>
      </w:tblCellMar>
    </w:tblPr>
  </w:style>
  <w:style w:type="table" w:styleId="a3" w:customStyle="1">
    <w:basedOn w:val="TableNormal"/>
    <w:tblPr>
      <w:tblStyleRowBandSize w:val="1"/>
      <w:tblStyleColBandSize w:val="1"/>
      <w:tblCellMar>
        <w:top w:w="100.0" w:type="dxa"/>
        <w:left w:w="100.0" w:type="dxa"/>
        <w:bottom w:w="100.0" w:type="dxa"/>
        <w:right w:w="100.0" w:type="dxa"/>
      </w:tblCellMar>
    </w:tblPr>
  </w:style>
  <w:style w:type="table" w:styleId="a4" w:customStyle="1">
    <w:basedOn w:val="TableNormal"/>
    <w:tblPr>
      <w:tblStyleRowBandSize w:val="1"/>
      <w:tblStyleColBandSize w:val="1"/>
      <w:tblCellMar>
        <w:top w:w="100.0" w:type="dxa"/>
        <w:left w:w="100.0" w:type="dxa"/>
        <w:bottom w:w="100.0" w:type="dxa"/>
        <w:right w:w="100.0" w:type="dxa"/>
      </w:tblCellMar>
    </w:tblPr>
  </w:style>
  <w:style w:type="table" w:styleId="a5" w:customStyle="1">
    <w:basedOn w:val="TableNormal"/>
    <w:tblPr>
      <w:tblStyleRowBandSize w:val="1"/>
      <w:tblStyleColBandSize w:val="1"/>
      <w:tblCellMar>
        <w:top w:w="100.0" w:type="dxa"/>
        <w:left w:w="100.0" w:type="dxa"/>
        <w:bottom w:w="100.0" w:type="dxa"/>
        <w:right w:w="100.0" w:type="dxa"/>
      </w:tblCellMar>
    </w:tblPr>
  </w:style>
  <w:style w:type="table" w:styleId="a6" w:customStyle="1">
    <w:basedOn w:val="TableNormal"/>
    <w:tblPr>
      <w:tblStyleRowBandSize w:val="1"/>
      <w:tblStyleColBandSize w:val="1"/>
      <w:tblCellMar>
        <w:top w:w="100.0" w:type="dxa"/>
        <w:left w:w="100.0" w:type="dxa"/>
        <w:bottom w:w="100.0" w:type="dxa"/>
        <w:right w:w="100.0" w:type="dxa"/>
      </w:tblCellMar>
    </w:tblPr>
  </w:style>
  <w:style w:type="table" w:styleId="a7" w:customStyle="1">
    <w:basedOn w:val="TableNormal"/>
    <w:tblPr>
      <w:tblStyleRowBandSize w:val="1"/>
      <w:tblStyleColBandSize w:val="1"/>
      <w:tblCellMar>
        <w:top w:w="100.0" w:type="dxa"/>
        <w:left w:w="100.0" w:type="dxa"/>
        <w:bottom w:w="100.0" w:type="dxa"/>
        <w:right w:w="100.0" w:type="dxa"/>
      </w:tblCellMar>
    </w:tblPr>
  </w:style>
  <w:style w:type="table" w:styleId="a8" w:customStyle="1">
    <w:basedOn w:val="TableNormal"/>
    <w:tblPr>
      <w:tblStyleRowBandSize w:val="1"/>
      <w:tblStyleColBandSize w:val="1"/>
      <w:tblCellMar>
        <w:top w:w="100.0" w:type="dxa"/>
        <w:left w:w="100.0" w:type="dxa"/>
        <w:bottom w:w="100.0" w:type="dxa"/>
        <w:right w:w="100.0" w:type="dxa"/>
      </w:tblCellMar>
    </w:tblPr>
  </w:style>
  <w:style w:type="table" w:styleId="a9" w:customStyle="1">
    <w:basedOn w:val="TableNormal"/>
    <w:tblPr>
      <w:tblStyleRowBandSize w:val="1"/>
      <w:tblStyleColBandSize w:val="1"/>
      <w:tblCellMar>
        <w:top w:w="100.0" w:type="dxa"/>
        <w:left w:w="100.0" w:type="dxa"/>
        <w:bottom w:w="100.0" w:type="dxa"/>
        <w:right w:w="100.0" w:type="dxa"/>
      </w:tblCellMar>
    </w:tblPr>
  </w:style>
  <w:style w:type="table" w:styleId="aa" w:customStyle="1">
    <w:basedOn w:val="TableNormal"/>
    <w:tblPr>
      <w:tblStyleRowBandSize w:val="1"/>
      <w:tblStyleColBandSize w:val="1"/>
      <w:tblCellMar>
        <w:top w:w="100.0" w:type="dxa"/>
        <w:left w:w="100.0" w:type="dxa"/>
        <w:bottom w:w="100.0" w:type="dxa"/>
        <w:right w:w="100.0" w:type="dxa"/>
      </w:tblCellMar>
    </w:tblPr>
  </w:style>
  <w:style w:type="table" w:styleId="ab" w:customStyle="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letraese.org.mx/" TargetMode="External"/><Relationship Id="rId2" Type="http://schemas.openxmlformats.org/officeDocument/2006/relationships/hyperlink" Target="mailto:direccionletraese@gmail.com" TargetMode="External"/><Relationship Id="rId3" Type="http://schemas.openxmlformats.org/officeDocument/2006/relationships/hyperlink" Target="https://sinviolencia.lgbt/" TargetMode="External"/><Relationship Id="rId4" Type="http://schemas.openxmlformats.org/officeDocument/2006/relationships/hyperlink" Target="https://www.oas.org/es/cidh/jsForm/?File=/es/cidh/prensa/comunicados/2024/197.asp" TargetMode="External"/><Relationship Id="rId11" Type="http://schemas.openxmlformats.org/officeDocument/2006/relationships/hyperlink" Target="mailto:sinviolencialgbti@gmail.com" TargetMode="External"/><Relationship Id="rId10" Type="http://schemas.openxmlformats.org/officeDocument/2006/relationships/hyperlink" Target="https://litiganteslgbt.org/" TargetMode="External"/><Relationship Id="rId9" Type="http://schemas.openxmlformats.org/officeDocument/2006/relationships/hyperlink" Target="https://sinviolencia.lgbt/" TargetMode="External"/><Relationship Id="rId5" Type="http://schemas.openxmlformats.org/officeDocument/2006/relationships/hyperlink" Target="https://letraese.org.mx/crimenes-de-odio-archivos/" TargetMode="External"/><Relationship Id="rId6" Type="http://schemas.openxmlformats.org/officeDocument/2006/relationships/hyperlink" Target="https://letraese.org.mx/crimenes-de-odio-archivos/" TargetMode="External"/><Relationship Id="rId7" Type="http://schemas.openxmlformats.org/officeDocument/2006/relationships/hyperlink" Target="https://letraese.org.mx/crimenes-de-odio-archivos/" TargetMode="External"/><Relationship Id="rId8" Type="http://schemas.openxmlformats.org/officeDocument/2006/relationships/hyperlink" Target="https://letraese.org.mx/crimenes-de-odio-archiv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QJCUaGsN0Ml7Gc7HXJ3guz8O0cA==">CgMxLjA4AHIhMTdrTW9rNFpFV2JibnJ2eWFaTnVSbWFNeEsxejdkT3N0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2025-05-19T20:58:00Z</dcterms:created>
  <dc:creator>Red Sin Violencia</dc:creator>
</cp:coreProperties>
</file>