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BA3333">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4348EF">
        <w:rPr>
          <w:b/>
          <w:sz w:val="28"/>
          <w:szCs w:val="28"/>
          <w:u w:val="single"/>
        </w:rPr>
        <w:t>SERBIA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7C5C9B"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4348EF">
                    <w:rPr>
                      <w:b/>
                      <w:sz w:val="28"/>
                      <w:szCs w:val="28"/>
                    </w:rPr>
                    <w:t>Serbia</w:t>
                  </w:r>
                  <w:r w:rsidRPr="002F72D5">
                    <w:rPr>
                      <w:b/>
                      <w:sz w:val="28"/>
                      <w:szCs w:val="28"/>
                    </w:rPr>
                    <w:t>. In light of the obligation under international human rights law to prohibit all corporal punishment of children, the recommendations of the UN Secretary-General’s Stu</w:t>
                  </w:r>
                  <w:r w:rsidR="00102888">
                    <w:rPr>
                      <w:b/>
                      <w:sz w:val="28"/>
                      <w:szCs w:val="28"/>
                    </w:rPr>
                    <w:t>dy on Violence against Children</w:t>
                  </w:r>
                  <w:r w:rsidR="004348EF">
                    <w:rPr>
                      <w:b/>
                      <w:sz w:val="28"/>
                      <w:szCs w:val="28"/>
                    </w:rPr>
                    <w:t>,</w:t>
                  </w:r>
                  <w:r w:rsidR="00102888">
                    <w:rPr>
                      <w:b/>
                      <w:sz w:val="28"/>
                      <w:szCs w:val="28"/>
                    </w:rPr>
                    <w:t xml:space="preserve"> </w:t>
                  </w:r>
                  <w:r w:rsidRPr="002F72D5">
                    <w:rPr>
                      <w:b/>
                      <w:sz w:val="28"/>
                      <w:szCs w:val="28"/>
                    </w:rPr>
                    <w:t xml:space="preserve">the recommendations </w:t>
                  </w:r>
                  <w:r w:rsidR="00DD0BFF" w:rsidRPr="002F72D5">
                    <w:rPr>
                      <w:b/>
                      <w:sz w:val="28"/>
                      <w:szCs w:val="28"/>
                    </w:rPr>
                    <w:t xml:space="preserve">made to </w:t>
                  </w:r>
                  <w:r w:rsidR="004348EF">
                    <w:rPr>
                      <w:b/>
                      <w:sz w:val="28"/>
                      <w:szCs w:val="28"/>
                    </w:rPr>
                    <w:t xml:space="preserve">Serbia </w:t>
                  </w:r>
                  <w:r w:rsidR="00DD0BFF" w:rsidRPr="002F72D5">
                    <w:rPr>
                      <w:b/>
                      <w:sz w:val="28"/>
                      <w:szCs w:val="28"/>
                    </w:rPr>
                    <w:t xml:space="preserve">by </w:t>
                  </w:r>
                  <w:r w:rsidR="000C22EF">
                    <w:rPr>
                      <w:b/>
                      <w:sz w:val="28"/>
                      <w:szCs w:val="28"/>
                    </w:rPr>
                    <w:t xml:space="preserve">the </w:t>
                  </w:r>
                  <w:r w:rsidR="004348EF">
                    <w:rPr>
                      <w:b/>
                      <w:sz w:val="28"/>
                      <w:szCs w:val="28"/>
                    </w:rPr>
                    <w:t>UN treaty bodies and the Government’s acceptance of recommendations made during the UPR</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4348EF">
                    <w:rPr>
                      <w:b/>
                      <w:sz w:val="28"/>
                      <w:szCs w:val="28"/>
                    </w:rPr>
                    <w:t>Serbia</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w:t>
                  </w:r>
                  <w:r w:rsidR="00AE01C0">
                    <w:rPr>
                      <w:b/>
                      <w:sz w:val="28"/>
                      <w:szCs w:val="28"/>
                    </w:rPr>
                    <w:t xml:space="preserve"> – however light – </w:t>
                  </w:r>
                  <w:r w:rsidRPr="002F72D5">
                    <w:rPr>
                      <w:b/>
                      <w:sz w:val="28"/>
                      <w:szCs w:val="28"/>
                    </w:rPr>
                    <w:t>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4348EF">
                    <w:rPr>
                      <w:b/>
                      <w:sz w:val="28"/>
                      <w:szCs w:val="28"/>
                    </w:rPr>
                    <w:t>Serbia</w:t>
                  </w:r>
                  <w:r w:rsidRPr="002F72D5">
                    <w:rPr>
                      <w:b/>
                      <w:sz w:val="28"/>
                      <w:szCs w:val="28"/>
                    </w:rPr>
                    <w:t xml:space="preserve">, in the concluding observations on the </w:t>
                  </w:r>
                  <w:r w:rsidR="004348EF">
                    <w:rPr>
                      <w:b/>
                      <w:sz w:val="28"/>
                      <w:szCs w:val="28"/>
                    </w:rPr>
                    <w:t xml:space="preserve">second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A31025">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4348EF">
        <w:rPr>
          <w:b/>
          <w:sz w:val="28"/>
          <w:szCs w:val="28"/>
        </w:rPr>
        <w:t>Serbia</w:t>
      </w:r>
      <w:r w:rsidR="00CF1ADA">
        <w:rPr>
          <w:b/>
          <w:sz w:val="28"/>
          <w:szCs w:val="28"/>
        </w:rPr>
        <w:t>’s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4348EF">
        <w:rPr>
          <w:sz w:val="26"/>
          <w:szCs w:val="26"/>
        </w:rPr>
        <w:t xml:space="preserve">second </w:t>
      </w:r>
      <w:r w:rsidR="008467B3" w:rsidRPr="001B2EF0">
        <w:rPr>
          <w:sz w:val="26"/>
          <w:szCs w:val="26"/>
        </w:rPr>
        <w:t>state party report to the Committee on Economic, Social and Cultural Rights</w:t>
      </w:r>
      <w:r w:rsidR="00483F29" w:rsidRPr="001B2EF0">
        <w:rPr>
          <w:sz w:val="26"/>
          <w:szCs w:val="26"/>
        </w:rPr>
        <w:t xml:space="preserve"> </w:t>
      </w:r>
      <w:r w:rsidR="00A31025">
        <w:rPr>
          <w:sz w:val="26"/>
          <w:szCs w:val="26"/>
        </w:rPr>
        <w:t xml:space="preserve">describes measures to address domestic violence </w:t>
      </w:r>
      <w:r w:rsidR="000C22EF">
        <w:rPr>
          <w:sz w:val="26"/>
          <w:szCs w:val="26"/>
        </w:rPr>
        <w:t xml:space="preserve">and </w:t>
      </w:r>
      <w:r w:rsidR="004348EF">
        <w:rPr>
          <w:sz w:val="26"/>
          <w:szCs w:val="26"/>
        </w:rPr>
        <w:t xml:space="preserve">violence against children </w:t>
      </w:r>
      <w:r w:rsidR="00A31025">
        <w:rPr>
          <w:sz w:val="26"/>
          <w:szCs w:val="26"/>
        </w:rPr>
        <w:t>but</w:t>
      </w:r>
      <w:r w:rsidR="001731CC">
        <w:rPr>
          <w:sz w:val="26"/>
          <w:szCs w:val="26"/>
        </w:rPr>
        <w:t xml:space="preserve"> </w:t>
      </w:r>
      <w:r w:rsidR="0041585F" w:rsidRPr="001B2EF0">
        <w:rPr>
          <w:sz w:val="26"/>
          <w:szCs w:val="26"/>
        </w:rPr>
        <w:t>makes no reference to corporal pun</w:t>
      </w:r>
      <w:r w:rsidR="002F72D5">
        <w:rPr>
          <w:sz w:val="26"/>
          <w:szCs w:val="26"/>
        </w:rPr>
        <w:t>ishment of children</w:t>
      </w:r>
      <w:r w:rsidR="00A31025">
        <w:rPr>
          <w:sz w:val="26"/>
          <w:szCs w:val="26"/>
        </w:rPr>
        <w:t xml:space="preserve"> – violence which may be lawfully inflicted in the guise of “discipline” – </w:t>
      </w:r>
      <w:r w:rsidR="002F72D5">
        <w:rPr>
          <w:sz w:val="26"/>
          <w:szCs w:val="26"/>
        </w:rPr>
        <w:t>in the home</w:t>
      </w:r>
      <w:r w:rsidR="0041585F" w:rsidRPr="001B2EF0">
        <w:rPr>
          <w:sz w:val="26"/>
          <w:szCs w:val="26"/>
        </w:rPr>
        <w:t xml:space="preserve"> or in any </w:t>
      </w:r>
      <w:r w:rsidR="00A31025">
        <w:rPr>
          <w:sz w:val="26"/>
          <w:szCs w:val="26"/>
        </w:rPr>
        <w:t xml:space="preserve">other </w:t>
      </w:r>
      <w:r w:rsidR="0041585F" w:rsidRPr="001B2EF0">
        <w:rPr>
          <w:sz w:val="26"/>
          <w:szCs w:val="26"/>
        </w:rPr>
        <w:t>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0C22EF">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4348EF">
        <w:rPr>
          <w:b/>
          <w:sz w:val="28"/>
          <w:szCs w:val="28"/>
        </w:rPr>
        <w:t>Serbia</w:t>
      </w:r>
    </w:p>
    <w:p w:rsidR="00102888" w:rsidRPr="004348EF" w:rsidRDefault="001B2EF0" w:rsidP="004348E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4348EF">
        <w:rPr>
          <w:sz w:val="26"/>
          <w:szCs w:val="26"/>
        </w:rPr>
        <w:t>2</w:t>
      </w:r>
      <w:r w:rsidR="003F0720" w:rsidRPr="004348EF">
        <w:rPr>
          <w:sz w:val="26"/>
          <w:szCs w:val="26"/>
        </w:rPr>
        <w:t>.1</w:t>
      </w:r>
      <w:r w:rsidR="002F72D5" w:rsidRPr="004348EF">
        <w:rPr>
          <w:sz w:val="26"/>
          <w:szCs w:val="26"/>
        </w:rPr>
        <w:t xml:space="preserve"> </w:t>
      </w:r>
      <w:r w:rsidR="002F72D5" w:rsidRPr="004348EF">
        <w:rPr>
          <w:i/>
          <w:sz w:val="26"/>
          <w:szCs w:val="26"/>
        </w:rPr>
        <w:t>Summary:</w:t>
      </w:r>
      <w:r w:rsidR="003F0720" w:rsidRPr="004348EF">
        <w:rPr>
          <w:sz w:val="26"/>
          <w:szCs w:val="26"/>
        </w:rPr>
        <w:t xml:space="preserve"> </w:t>
      </w:r>
      <w:r w:rsidR="0041585F" w:rsidRPr="004348EF">
        <w:rPr>
          <w:sz w:val="26"/>
          <w:szCs w:val="26"/>
        </w:rPr>
        <w:t xml:space="preserve">In </w:t>
      </w:r>
      <w:r w:rsidR="004348EF" w:rsidRPr="004348EF">
        <w:rPr>
          <w:sz w:val="26"/>
          <w:szCs w:val="26"/>
        </w:rPr>
        <w:t>Serbia</w:t>
      </w:r>
      <w:r w:rsidR="0041585F" w:rsidRPr="004348EF">
        <w:rPr>
          <w:sz w:val="26"/>
          <w:szCs w:val="26"/>
        </w:rPr>
        <w:t xml:space="preserve">, corporal punishment </w:t>
      </w:r>
      <w:r w:rsidR="00A779EF" w:rsidRPr="004348EF">
        <w:rPr>
          <w:sz w:val="26"/>
          <w:szCs w:val="26"/>
        </w:rPr>
        <w:t xml:space="preserve">of children </w:t>
      </w:r>
      <w:r w:rsidR="00102888" w:rsidRPr="004348EF">
        <w:rPr>
          <w:sz w:val="26"/>
          <w:szCs w:val="26"/>
        </w:rPr>
        <w:t xml:space="preserve">is unlawful </w:t>
      </w:r>
      <w:r w:rsidR="004348EF" w:rsidRPr="004348EF">
        <w:rPr>
          <w:sz w:val="26"/>
          <w:szCs w:val="26"/>
        </w:rPr>
        <w:t>in schools, the penal system and some forms of day care, but it is lawful in the home, alternative care settings and other forms of day care</w:t>
      </w:r>
      <w:r w:rsidR="00102888" w:rsidRPr="004348EF">
        <w:rPr>
          <w:sz w:val="26"/>
          <w:szCs w:val="26"/>
        </w:rPr>
        <w:t>.</w:t>
      </w:r>
    </w:p>
    <w:p w:rsidR="004348EF" w:rsidRPr="004348EF" w:rsidRDefault="001B2EF0" w:rsidP="004348EF">
      <w:pPr>
        <w:autoSpaceDE w:val="0"/>
        <w:autoSpaceDN w:val="0"/>
        <w:adjustRightInd w:val="0"/>
        <w:spacing w:after="120"/>
        <w:ind w:left="482" w:hanging="482"/>
        <w:rPr>
          <w:sz w:val="26"/>
          <w:szCs w:val="26"/>
        </w:rPr>
      </w:pPr>
      <w:r w:rsidRPr="004348EF">
        <w:rPr>
          <w:sz w:val="26"/>
          <w:szCs w:val="26"/>
        </w:rPr>
        <w:t>2</w:t>
      </w:r>
      <w:r w:rsidR="003F0720" w:rsidRPr="004348EF">
        <w:rPr>
          <w:sz w:val="26"/>
          <w:szCs w:val="26"/>
        </w:rPr>
        <w:t xml:space="preserve">.2 </w:t>
      </w:r>
      <w:r w:rsidR="003F0720" w:rsidRPr="004348EF">
        <w:rPr>
          <w:i/>
          <w:sz w:val="26"/>
          <w:szCs w:val="26"/>
        </w:rPr>
        <w:t>Home (</w:t>
      </w:r>
      <w:r w:rsidR="003F0720" w:rsidRPr="004348EF">
        <w:rPr>
          <w:i/>
          <w:sz w:val="26"/>
          <w:szCs w:val="26"/>
          <w:u w:val="single"/>
        </w:rPr>
        <w:t>lawful</w:t>
      </w:r>
      <w:r w:rsidR="003F0720" w:rsidRPr="004348EF">
        <w:rPr>
          <w:i/>
          <w:sz w:val="26"/>
          <w:szCs w:val="26"/>
        </w:rPr>
        <w:t xml:space="preserve">): </w:t>
      </w:r>
      <w:bookmarkStart w:id="2" w:name="OLE_LINK11"/>
      <w:bookmarkStart w:id="3" w:name="OLE_LINK12"/>
      <w:r w:rsidR="004348EF" w:rsidRPr="004348EF">
        <w:rPr>
          <w:sz w:val="26"/>
          <w:szCs w:val="26"/>
        </w:rPr>
        <w:t xml:space="preserve">The Serbian Family Law 2005 states </w:t>
      </w:r>
      <w:r w:rsidR="004348EF">
        <w:rPr>
          <w:sz w:val="26"/>
          <w:szCs w:val="26"/>
        </w:rPr>
        <w:t xml:space="preserve">in </w:t>
      </w:r>
      <w:r w:rsidR="004348EF" w:rsidRPr="004348EF">
        <w:rPr>
          <w:sz w:val="26"/>
          <w:szCs w:val="26"/>
        </w:rPr>
        <w:t>article 72(2)</w:t>
      </w:r>
      <w:r w:rsidR="004348EF">
        <w:rPr>
          <w:sz w:val="26"/>
          <w:szCs w:val="26"/>
        </w:rPr>
        <w:t xml:space="preserve"> that parents “may </w:t>
      </w:r>
      <w:r w:rsidR="004348EF" w:rsidRPr="004348EF">
        <w:rPr>
          <w:sz w:val="26"/>
          <w:szCs w:val="26"/>
        </w:rPr>
        <w:t>not subject the child to humiliating actions and punishments which insult the child’s human dignity and have the duty to protect the child from such</w:t>
      </w:r>
      <w:r w:rsidR="004348EF">
        <w:rPr>
          <w:sz w:val="26"/>
          <w:szCs w:val="26"/>
        </w:rPr>
        <w:t xml:space="preserve"> actions taken by other persons</w:t>
      </w:r>
      <w:r w:rsidR="004348EF" w:rsidRPr="004348EF">
        <w:rPr>
          <w:sz w:val="26"/>
          <w:szCs w:val="26"/>
        </w:rPr>
        <w:t>”</w:t>
      </w:r>
      <w:r w:rsidR="004348EF">
        <w:rPr>
          <w:sz w:val="26"/>
          <w:szCs w:val="26"/>
        </w:rPr>
        <w:t xml:space="preserve"> but</w:t>
      </w:r>
      <w:r w:rsidR="004348EF" w:rsidRPr="004348EF">
        <w:rPr>
          <w:sz w:val="26"/>
          <w:szCs w:val="26"/>
        </w:rPr>
        <w:t xml:space="preserve"> </w:t>
      </w:r>
      <w:r w:rsidR="004348EF" w:rsidRPr="004348EF">
        <w:rPr>
          <w:sz w:val="26"/>
          <w:szCs w:val="26"/>
          <w:lang w:eastAsia="en-GB"/>
        </w:rPr>
        <w:t xml:space="preserve">there is no explicit prohibition of all corporal punishment. </w:t>
      </w:r>
      <w:r w:rsidR="004348EF" w:rsidRPr="004348EF">
        <w:rPr>
          <w:sz w:val="26"/>
          <w:szCs w:val="26"/>
        </w:rPr>
        <w:t>Provisions against violence and abuse in the Criminal Code 2005, the Misdemeanours Act 2007 and the Constitution 2006 are not interpreted as prohibiting all corporal punishment in childrearing.</w:t>
      </w:r>
      <w:r w:rsidR="004348EF">
        <w:rPr>
          <w:sz w:val="26"/>
          <w:szCs w:val="26"/>
        </w:rPr>
        <w:t xml:space="preserve"> UNICEF’s major 2010 analysis of data on child discipline in 2005-2006 found that 75% of 2-14 year olds in Serbia had </w:t>
      </w:r>
      <w:r w:rsidR="004348EF" w:rsidRPr="004348EF">
        <w:rPr>
          <w:sz w:val="26"/>
          <w:szCs w:val="26"/>
        </w:rPr>
        <w:t xml:space="preserve">experienced violent “discipline” (physical punishment and/or psychological aggression) in the home </w:t>
      </w:r>
      <w:r w:rsidR="004348EF">
        <w:rPr>
          <w:sz w:val="26"/>
          <w:szCs w:val="26"/>
        </w:rPr>
        <w:t xml:space="preserve">in the month prior to the survey; 8% had </w:t>
      </w:r>
      <w:r w:rsidR="004348EF" w:rsidRPr="004348EF">
        <w:rPr>
          <w:sz w:val="26"/>
          <w:szCs w:val="26"/>
        </w:rPr>
        <w:t>experienced severe physical punishment (being hit or slapped on the face, head or ears or being hit over and over with an implement)</w:t>
      </w:r>
      <w:r w:rsidR="004348EF">
        <w:rPr>
          <w:sz w:val="26"/>
          <w:szCs w:val="26"/>
        </w:rPr>
        <w:t>.</w:t>
      </w:r>
      <w:r w:rsidR="004348EF">
        <w:rPr>
          <w:rStyle w:val="FootnoteReference"/>
          <w:sz w:val="26"/>
          <w:szCs w:val="26"/>
        </w:rPr>
        <w:footnoteReference w:id="2"/>
      </w:r>
    </w:p>
    <w:p w:rsidR="004348EF" w:rsidRDefault="004348EF" w:rsidP="004348EF">
      <w:pPr>
        <w:spacing w:after="120"/>
        <w:ind w:left="482" w:hanging="482"/>
        <w:rPr>
          <w:sz w:val="26"/>
          <w:szCs w:val="26"/>
        </w:rPr>
      </w:pPr>
      <w:r>
        <w:rPr>
          <w:sz w:val="26"/>
          <w:szCs w:val="26"/>
          <w:lang w:eastAsia="fr-FR"/>
        </w:rPr>
        <w:t xml:space="preserve">2.3 </w:t>
      </w:r>
      <w:r w:rsidRPr="004348EF">
        <w:rPr>
          <w:sz w:val="26"/>
          <w:szCs w:val="26"/>
          <w:lang w:eastAsia="fr-FR"/>
        </w:rPr>
        <w:t xml:space="preserve">The Government stated its commitment to prohibition in 2007. In 2008, the Ministry of Social Policy and the Council for Child Rights adopted a National Strategy for the Prevention and Protection of Children Against Violence which included the aim of abolishing corporal punishment of children; plans were made for drafting amendments to the Family Act, and Minister for Education </w:t>
      </w:r>
      <w:r w:rsidRPr="004348EF">
        <w:rPr>
          <w:sz w:val="26"/>
          <w:szCs w:val="26"/>
        </w:rPr>
        <w:t xml:space="preserve">Mr Zarko Obradovic signed the Council of Europe petition against all corporal punishment of children. </w:t>
      </w:r>
      <w:r>
        <w:rPr>
          <w:sz w:val="26"/>
          <w:szCs w:val="26"/>
        </w:rPr>
        <w:t>The Government’s commitment to reform has been reiterated in the context of the UPR of Serbia in 2008 and again in 2013, reporting that draft legislation which would prohibit is under discussion (see para. 3.3).</w:t>
      </w:r>
    </w:p>
    <w:p w:rsidR="004348EF" w:rsidRPr="004348EF" w:rsidRDefault="001731CC" w:rsidP="004348E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4348EF">
        <w:rPr>
          <w:rFonts w:eastAsia="Calibri"/>
          <w:sz w:val="26"/>
          <w:szCs w:val="26"/>
          <w:lang w:eastAsia="en-GB"/>
        </w:rPr>
        <w:t xml:space="preserve">2.4 </w:t>
      </w:r>
      <w:r w:rsidR="00CF1ADA" w:rsidRPr="004348EF">
        <w:rPr>
          <w:rFonts w:eastAsia="Calibri"/>
          <w:i/>
          <w:sz w:val="26"/>
          <w:szCs w:val="26"/>
          <w:lang w:eastAsia="en-GB"/>
        </w:rPr>
        <w:t>Alternative care settings (</w:t>
      </w:r>
      <w:r w:rsidR="004C7D59" w:rsidRPr="004348EF">
        <w:rPr>
          <w:rFonts w:eastAsia="Calibri"/>
          <w:i/>
          <w:sz w:val="26"/>
          <w:szCs w:val="26"/>
          <w:u w:val="single"/>
          <w:lang w:eastAsia="en-GB"/>
        </w:rPr>
        <w:t>lawful</w:t>
      </w:r>
      <w:r w:rsidR="00CF1ADA" w:rsidRPr="004348EF">
        <w:rPr>
          <w:rFonts w:eastAsia="Calibri"/>
          <w:i/>
          <w:sz w:val="26"/>
          <w:szCs w:val="26"/>
          <w:lang w:eastAsia="en-GB"/>
        </w:rPr>
        <w:t xml:space="preserve">): </w:t>
      </w:r>
      <w:r w:rsidR="004348EF">
        <w:rPr>
          <w:rFonts w:eastAsia="Calibri"/>
          <w:sz w:val="26"/>
          <w:szCs w:val="26"/>
          <w:lang w:eastAsia="en-GB"/>
        </w:rPr>
        <w:t xml:space="preserve">Corporal punishment is lawful </w:t>
      </w:r>
      <w:r w:rsidR="004348EF" w:rsidRPr="004348EF">
        <w:rPr>
          <w:sz w:val="26"/>
          <w:szCs w:val="26"/>
        </w:rPr>
        <w:t>in alternative care settings</w:t>
      </w:r>
      <w:r w:rsidR="004348EF">
        <w:rPr>
          <w:sz w:val="26"/>
          <w:szCs w:val="26"/>
        </w:rPr>
        <w:t xml:space="preserve"> as for parents </w:t>
      </w:r>
      <w:r w:rsidR="004348EF" w:rsidRPr="004348EF">
        <w:rPr>
          <w:sz w:val="26"/>
          <w:szCs w:val="26"/>
        </w:rPr>
        <w:t xml:space="preserve">(see </w:t>
      </w:r>
      <w:r w:rsidR="004348EF">
        <w:rPr>
          <w:sz w:val="26"/>
          <w:szCs w:val="26"/>
        </w:rPr>
        <w:t>para. 2.2</w:t>
      </w:r>
      <w:r w:rsidR="004348EF" w:rsidRPr="004348EF">
        <w:rPr>
          <w:sz w:val="26"/>
          <w:szCs w:val="26"/>
        </w:rPr>
        <w:t>).</w:t>
      </w:r>
      <w:r w:rsidR="004348EF">
        <w:rPr>
          <w:sz w:val="26"/>
          <w:szCs w:val="26"/>
        </w:rPr>
        <w:t xml:space="preserve"> </w:t>
      </w:r>
      <w:r w:rsidR="004348EF" w:rsidRPr="004348EF">
        <w:rPr>
          <w:sz w:val="26"/>
          <w:szCs w:val="26"/>
        </w:rPr>
        <w:t xml:space="preserve">In a </w:t>
      </w:r>
      <w:bookmarkStart w:id="4" w:name="_GoBack"/>
      <w:bookmarkEnd w:id="4"/>
      <w:r w:rsidR="004348EF" w:rsidRPr="004348EF">
        <w:rPr>
          <w:sz w:val="26"/>
          <w:szCs w:val="26"/>
        </w:rPr>
        <w:t>study of children in six state residential care institutions, 26% of children reported experiencing physical violence at least once from a member of staff; 17% of adults working in these institutions reported that some of their colleagues were violent towards the children.</w:t>
      </w:r>
      <w:r w:rsidR="004348EF">
        <w:rPr>
          <w:rStyle w:val="FootnoteReference"/>
          <w:sz w:val="26"/>
          <w:szCs w:val="26"/>
        </w:rPr>
        <w:footnoteReference w:id="3"/>
      </w:r>
    </w:p>
    <w:p w:rsidR="004348EF" w:rsidRPr="004348EF" w:rsidRDefault="001731CC" w:rsidP="004348E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4348EF">
        <w:rPr>
          <w:rFonts w:eastAsia="Calibri"/>
          <w:sz w:val="26"/>
          <w:szCs w:val="26"/>
          <w:lang w:eastAsia="en-GB"/>
        </w:rPr>
        <w:t xml:space="preserve">2.5 </w:t>
      </w:r>
      <w:r w:rsidR="00CF1ADA" w:rsidRPr="004348EF">
        <w:rPr>
          <w:rFonts w:eastAsia="Calibri"/>
          <w:i/>
          <w:sz w:val="26"/>
          <w:szCs w:val="26"/>
          <w:lang w:eastAsia="en-GB"/>
        </w:rPr>
        <w:t>Day care (</w:t>
      </w:r>
      <w:r w:rsidR="004348EF" w:rsidRPr="004348EF">
        <w:rPr>
          <w:rFonts w:eastAsia="Calibri"/>
          <w:i/>
          <w:sz w:val="26"/>
          <w:szCs w:val="26"/>
          <w:u w:val="single"/>
          <w:lang w:eastAsia="en-GB"/>
        </w:rPr>
        <w:t>partial prohibition</w:t>
      </w:r>
      <w:r w:rsidR="00CF1ADA" w:rsidRPr="004348EF">
        <w:rPr>
          <w:rFonts w:eastAsia="Calibri"/>
          <w:i/>
          <w:sz w:val="26"/>
          <w:szCs w:val="26"/>
          <w:lang w:eastAsia="en-GB"/>
        </w:rPr>
        <w:t xml:space="preserve">): </w:t>
      </w:r>
      <w:bookmarkEnd w:id="2"/>
      <w:bookmarkEnd w:id="3"/>
      <w:r w:rsidR="004348EF" w:rsidRPr="004348EF">
        <w:rPr>
          <w:sz w:val="26"/>
          <w:szCs w:val="26"/>
        </w:rPr>
        <w:t xml:space="preserve">Corporal punishment is considered unlawful in all day care which forms part of the education system under education law (see </w:t>
      </w:r>
      <w:r w:rsidR="004348EF">
        <w:rPr>
          <w:sz w:val="26"/>
          <w:szCs w:val="26"/>
        </w:rPr>
        <w:t>para. 2.6</w:t>
      </w:r>
      <w:r w:rsidR="004348EF" w:rsidRPr="004348EF">
        <w:rPr>
          <w:sz w:val="26"/>
          <w:szCs w:val="26"/>
        </w:rPr>
        <w:t xml:space="preserve">), including </w:t>
      </w:r>
      <w:r w:rsidR="004348EF" w:rsidRPr="004348EF">
        <w:rPr>
          <w:sz w:val="26"/>
          <w:szCs w:val="26"/>
        </w:rPr>
        <w:lastRenderedPageBreak/>
        <w:t>nurseries, kindergartens, preschools, after school care, workshops and additional education activities. But it is lawful in other day care, such as childminding etc.</w:t>
      </w:r>
    </w:p>
    <w:p w:rsidR="004348EF" w:rsidRPr="004348EF" w:rsidRDefault="001B2EF0" w:rsidP="004348EF">
      <w:pPr>
        <w:tabs>
          <w:tab w:val="left" w:pos="8244"/>
          <w:tab w:val="left" w:pos="9160"/>
          <w:tab w:val="left" w:pos="10076"/>
          <w:tab w:val="left" w:pos="10992"/>
          <w:tab w:val="left" w:pos="11908"/>
          <w:tab w:val="left" w:pos="12824"/>
          <w:tab w:val="left" w:pos="13740"/>
          <w:tab w:val="left" w:pos="14656"/>
        </w:tabs>
        <w:spacing w:after="120"/>
        <w:ind w:left="482" w:hanging="482"/>
        <w:rPr>
          <w:iCs/>
          <w:sz w:val="26"/>
          <w:szCs w:val="26"/>
        </w:rPr>
      </w:pPr>
      <w:r w:rsidRPr="004348EF">
        <w:rPr>
          <w:sz w:val="26"/>
          <w:szCs w:val="26"/>
        </w:rPr>
        <w:t>2.</w:t>
      </w:r>
      <w:r w:rsidR="001731CC" w:rsidRPr="004348EF">
        <w:rPr>
          <w:sz w:val="26"/>
          <w:szCs w:val="26"/>
        </w:rPr>
        <w:t>6</w:t>
      </w:r>
      <w:r w:rsidR="003F0720" w:rsidRPr="004348EF">
        <w:rPr>
          <w:sz w:val="26"/>
          <w:szCs w:val="26"/>
        </w:rPr>
        <w:t xml:space="preserve"> </w:t>
      </w:r>
      <w:r w:rsidR="003F0720" w:rsidRPr="004348EF">
        <w:rPr>
          <w:i/>
          <w:sz w:val="26"/>
          <w:szCs w:val="26"/>
        </w:rPr>
        <w:t>Schools (</w:t>
      </w:r>
      <w:r w:rsidR="004348EF" w:rsidRPr="004348EF">
        <w:rPr>
          <w:i/>
          <w:sz w:val="26"/>
          <w:szCs w:val="26"/>
          <w:u w:val="single"/>
        </w:rPr>
        <w:t>unlawful</w:t>
      </w:r>
      <w:r w:rsidR="003F0720" w:rsidRPr="004348EF">
        <w:rPr>
          <w:i/>
          <w:sz w:val="26"/>
          <w:szCs w:val="26"/>
        </w:rPr>
        <w:t>):</w:t>
      </w:r>
      <w:r w:rsidR="0041585F" w:rsidRPr="004348EF">
        <w:rPr>
          <w:i/>
          <w:sz w:val="26"/>
          <w:szCs w:val="26"/>
        </w:rPr>
        <w:t xml:space="preserve"> </w:t>
      </w:r>
      <w:r w:rsidR="004348EF" w:rsidRPr="004348EF">
        <w:rPr>
          <w:sz w:val="26"/>
          <w:szCs w:val="26"/>
        </w:rPr>
        <w:t xml:space="preserve">Corporal punishment was first explicitly prohibited in schools in article 67 of the Law on Public Schools 1929 (Yugoslavia). It is now unlawful under the Law on Secondary Schools 1992 the Law on Elementary Schools 1992 and the Law on the Foundations of Education and Upbringing 2003/2009. </w:t>
      </w:r>
      <w:r w:rsidR="004348EF">
        <w:rPr>
          <w:sz w:val="26"/>
          <w:szCs w:val="26"/>
        </w:rPr>
        <w:t>However, despite prohibition it continues to be inflicted on children. In a</w:t>
      </w:r>
      <w:r w:rsidR="004348EF" w:rsidRPr="004348EF">
        <w:rPr>
          <w:iCs/>
          <w:sz w:val="26"/>
          <w:szCs w:val="26"/>
          <w:lang w:val="en-US"/>
        </w:rPr>
        <w:t xml:space="preserve"> </w:t>
      </w:r>
      <w:r w:rsidR="004348EF">
        <w:rPr>
          <w:iCs/>
          <w:sz w:val="26"/>
          <w:szCs w:val="26"/>
          <w:lang w:val="en-US"/>
        </w:rPr>
        <w:t xml:space="preserve">large scale </w:t>
      </w:r>
      <w:r w:rsidR="004348EF" w:rsidRPr="004348EF">
        <w:rPr>
          <w:iCs/>
          <w:sz w:val="26"/>
          <w:szCs w:val="26"/>
          <w:lang w:val="en-US"/>
        </w:rPr>
        <w:t xml:space="preserve">2006 </w:t>
      </w:r>
      <w:r w:rsidR="004348EF">
        <w:rPr>
          <w:iCs/>
          <w:sz w:val="26"/>
          <w:szCs w:val="26"/>
          <w:lang w:val="en-US"/>
        </w:rPr>
        <w:t xml:space="preserve">survey, </w:t>
      </w:r>
      <w:r w:rsidR="004348EF" w:rsidRPr="004348EF">
        <w:rPr>
          <w:iCs/>
          <w:sz w:val="26"/>
          <w:szCs w:val="26"/>
          <w:lang w:val="en-US"/>
        </w:rPr>
        <w:t xml:space="preserve">32% of children said they had experienced violence from a teacher in the past three months, 5% saying they had experienced violence from teachers several times and even daily; 17% reported that a teacher had </w:t>
      </w:r>
      <w:r w:rsidR="004348EF" w:rsidRPr="004348EF">
        <w:rPr>
          <w:sz w:val="26"/>
          <w:szCs w:val="26"/>
          <w:lang w:val="sr-Latn-CS"/>
        </w:rPr>
        <w:t>hit them or pulled their hair or ears at least once</w:t>
      </w:r>
      <w:r w:rsidR="004348EF" w:rsidRPr="004348EF">
        <w:rPr>
          <w:sz w:val="26"/>
          <w:szCs w:val="26"/>
          <w:lang w:val="sr-Cyrl-CS"/>
        </w:rPr>
        <w:t xml:space="preserve">, </w:t>
      </w:r>
      <w:r w:rsidR="004348EF" w:rsidRPr="004348EF">
        <w:rPr>
          <w:sz w:val="26"/>
          <w:szCs w:val="26"/>
        </w:rPr>
        <w:t>24% had experienced verbal aggression from a teacher, and 8% had been threatened by a te</w:t>
      </w:r>
      <w:r w:rsidR="004348EF">
        <w:rPr>
          <w:sz w:val="26"/>
          <w:szCs w:val="26"/>
        </w:rPr>
        <w:t>acher in the past three months.</w:t>
      </w:r>
      <w:r w:rsidR="004348EF">
        <w:rPr>
          <w:rStyle w:val="FootnoteReference"/>
          <w:sz w:val="26"/>
          <w:szCs w:val="26"/>
        </w:rPr>
        <w:footnoteReference w:id="4"/>
      </w:r>
    </w:p>
    <w:p w:rsidR="004348EF" w:rsidRPr="004348EF" w:rsidRDefault="001B2EF0" w:rsidP="004348E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4348EF">
        <w:rPr>
          <w:sz w:val="26"/>
          <w:szCs w:val="26"/>
        </w:rPr>
        <w:t>2</w:t>
      </w:r>
      <w:r w:rsidR="001731CC" w:rsidRPr="004348EF">
        <w:rPr>
          <w:sz w:val="26"/>
          <w:szCs w:val="26"/>
        </w:rPr>
        <w:t>.7</w:t>
      </w:r>
      <w:r w:rsidR="003F0720" w:rsidRPr="004348EF">
        <w:rPr>
          <w:sz w:val="26"/>
          <w:szCs w:val="26"/>
        </w:rPr>
        <w:t xml:space="preserve"> </w:t>
      </w:r>
      <w:r w:rsidR="003F0720" w:rsidRPr="004348EF">
        <w:rPr>
          <w:i/>
          <w:sz w:val="26"/>
          <w:szCs w:val="26"/>
        </w:rPr>
        <w:t xml:space="preserve">Penal </w:t>
      </w:r>
      <w:r w:rsidR="00CF1ADA" w:rsidRPr="004348EF">
        <w:rPr>
          <w:i/>
          <w:sz w:val="26"/>
          <w:szCs w:val="26"/>
        </w:rPr>
        <w:t xml:space="preserve">institutions </w:t>
      </w:r>
      <w:r w:rsidR="003F0720" w:rsidRPr="004348EF">
        <w:rPr>
          <w:i/>
          <w:sz w:val="26"/>
          <w:szCs w:val="26"/>
        </w:rPr>
        <w:t>(</w:t>
      </w:r>
      <w:r w:rsidR="004348EF" w:rsidRPr="004348EF">
        <w:rPr>
          <w:i/>
          <w:sz w:val="26"/>
          <w:szCs w:val="26"/>
          <w:u w:val="single"/>
        </w:rPr>
        <w:t>unlawful</w:t>
      </w:r>
      <w:r w:rsidR="003F0720" w:rsidRPr="004348EF">
        <w:rPr>
          <w:i/>
          <w:sz w:val="26"/>
          <w:szCs w:val="26"/>
        </w:rPr>
        <w:t xml:space="preserve">): </w:t>
      </w:r>
      <w:r w:rsidR="004348EF" w:rsidRPr="004348EF">
        <w:rPr>
          <w:sz w:val="26"/>
          <w:szCs w:val="26"/>
        </w:rPr>
        <w:t xml:space="preserve">Corporal punishment is not among permitted disciplinary measures against juveniles in detention in the Law on Enforcement of Penal Sanctions, but this Law does not explicitly prohibit it. The Law on Juvenile Criminal Offenders and Criminal Protection of Juveniles does not include corporal punishment among permitted disciplinary measures and states that force may only be used exceptionally and to prevent a physical attack on others or self-injury (article 132). </w:t>
      </w:r>
    </w:p>
    <w:p w:rsidR="004348EF" w:rsidRPr="004348EF" w:rsidRDefault="001B2EF0" w:rsidP="004348EF">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4348EF">
        <w:rPr>
          <w:sz w:val="26"/>
          <w:szCs w:val="26"/>
        </w:rPr>
        <w:t>2.</w:t>
      </w:r>
      <w:r w:rsidR="001731CC" w:rsidRPr="004348EF">
        <w:rPr>
          <w:sz w:val="26"/>
          <w:szCs w:val="26"/>
        </w:rPr>
        <w:t>8</w:t>
      </w:r>
      <w:r w:rsidR="003F0720" w:rsidRPr="004348EF">
        <w:rPr>
          <w:sz w:val="26"/>
          <w:szCs w:val="26"/>
        </w:rPr>
        <w:t xml:space="preserve"> </w:t>
      </w:r>
      <w:r w:rsidR="00CF1ADA" w:rsidRPr="004348EF">
        <w:rPr>
          <w:i/>
          <w:sz w:val="26"/>
          <w:szCs w:val="26"/>
        </w:rPr>
        <w:t>Sentence for crime</w:t>
      </w:r>
      <w:r w:rsidR="003F0720" w:rsidRPr="004348EF">
        <w:rPr>
          <w:i/>
          <w:sz w:val="26"/>
          <w:szCs w:val="26"/>
        </w:rPr>
        <w:t xml:space="preserve"> (</w:t>
      </w:r>
      <w:r w:rsidR="00102888" w:rsidRPr="004348EF">
        <w:rPr>
          <w:i/>
          <w:sz w:val="26"/>
          <w:szCs w:val="26"/>
          <w:u w:val="single"/>
        </w:rPr>
        <w:t>unlawful</w:t>
      </w:r>
      <w:r w:rsidR="003F0720" w:rsidRPr="004348EF">
        <w:rPr>
          <w:i/>
          <w:sz w:val="26"/>
          <w:szCs w:val="26"/>
        </w:rPr>
        <w:t xml:space="preserve">): </w:t>
      </w:r>
      <w:r w:rsidR="004348EF">
        <w:rPr>
          <w:sz w:val="26"/>
          <w:szCs w:val="26"/>
        </w:rPr>
        <w:t>There is no provision for judicial corporal punishment in criminal law.</w:t>
      </w:r>
    </w:p>
    <w:p w:rsidR="00892F1D" w:rsidRPr="004348EF" w:rsidRDefault="00892F1D" w:rsidP="004348EF">
      <w:pPr>
        <w:spacing w:after="120"/>
        <w:ind w:left="482" w:hanging="482"/>
        <w:rPr>
          <w:b/>
          <w:sz w:val="26"/>
          <w:szCs w:val="26"/>
          <w:u w:val="single"/>
        </w:rPr>
      </w:pPr>
    </w:p>
    <w:bookmarkEnd w:id="0"/>
    <w:bookmarkEnd w:id="1"/>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4348EF">
        <w:rPr>
          <w:b/>
          <w:sz w:val="28"/>
          <w:szCs w:val="28"/>
        </w:rPr>
        <w:t xml:space="preserve"> and during the UPR</w:t>
      </w:r>
    </w:p>
    <w:p w:rsidR="00A779EF" w:rsidRDefault="00FF67EA"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5" w:name="OLE_LINK16"/>
      <w:bookmarkStart w:id="6" w:name="OLE_LINK17"/>
      <w:r w:rsidRPr="006A5BDF">
        <w:rPr>
          <w:sz w:val="26"/>
          <w:szCs w:val="26"/>
        </w:rPr>
        <w:t>3</w:t>
      </w:r>
      <w:r w:rsidR="003F0720" w:rsidRPr="006A5BDF">
        <w:rPr>
          <w:sz w:val="26"/>
          <w:szCs w:val="26"/>
        </w:rPr>
        <w:t xml:space="preserve">.1 </w:t>
      </w:r>
      <w:r w:rsidRPr="006A5BDF">
        <w:rPr>
          <w:i/>
          <w:sz w:val="26"/>
          <w:szCs w:val="26"/>
        </w:rPr>
        <w:t>CRC:</w:t>
      </w:r>
      <w:r w:rsidRPr="006A5BDF">
        <w:rPr>
          <w:sz w:val="26"/>
          <w:szCs w:val="26"/>
        </w:rPr>
        <w:t xml:space="preserve"> </w:t>
      </w:r>
      <w:r w:rsidR="004348EF">
        <w:rPr>
          <w:sz w:val="26"/>
          <w:szCs w:val="26"/>
        </w:rPr>
        <w:t>In 2008, the Committee on the Rights of the Child recommended to Serbia that corporal punishment be prohibited in the family.</w:t>
      </w:r>
      <w:r w:rsidR="004348EF">
        <w:rPr>
          <w:rStyle w:val="FootnoteReference"/>
          <w:sz w:val="26"/>
          <w:szCs w:val="26"/>
        </w:rPr>
        <w:footnoteReference w:id="5"/>
      </w:r>
    </w:p>
    <w:p w:rsidR="004348EF" w:rsidRDefault="004348EF"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3.2 </w:t>
      </w:r>
      <w:r>
        <w:rPr>
          <w:i/>
          <w:sz w:val="26"/>
          <w:szCs w:val="26"/>
        </w:rPr>
        <w:t>CAT:</w:t>
      </w:r>
      <w:r>
        <w:rPr>
          <w:sz w:val="26"/>
          <w:szCs w:val="26"/>
        </w:rPr>
        <w:t xml:space="preserve"> In 2009, the Committee Against Torture recommended to Serbia that corporal punishment of children be prohibited in all settings, including the family.</w:t>
      </w:r>
    </w:p>
    <w:p w:rsidR="004348EF" w:rsidRPr="004348EF" w:rsidRDefault="004348EF"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3.3 </w:t>
      </w:r>
      <w:r>
        <w:rPr>
          <w:i/>
          <w:sz w:val="26"/>
          <w:szCs w:val="26"/>
        </w:rPr>
        <w:t>UPR:</w:t>
      </w:r>
      <w:r>
        <w:rPr>
          <w:sz w:val="26"/>
          <w:szCs w:val="26"/>
        </w:rPr>
        <w:t xml:space="preserve"> Serbia accepted a recommendation made during its first cycle UPR in 2008 “to prohibit corporal punishment, including in the family”, stating that the Government was </w:t>
      </w:r>
      <w:r w:rsidRPr="00E51E64">
        <w:t>“undertaking activities toward changing the Family Law by introducing norms that clearly prohibit corporal punishment and protect children from all forms of physical punishment, including physical punishment in the family environment”</w:t>
      </w:r>
      <w:r>
        <w:t>.</w:t>
      </w:r>
      <w:r>
        <w:rPr>
          <w:rStyle w:val="FootnoteReference"/>
        </w:rPr>
        <w:footnoteReference w:id="6"/>
      </w:r>
      <w:r>
        <w:t xml:space="preserve"> At its second cycle review in 2013, the Government reported that the Draft Law on the Rights of the Child included prohibition of corporal punishment and went on again to accept recommendations to enact legislation to prohibit all corporal punishment, including in the family.</w:t>
      </w:r>
      <w:r>
        <w:rPr>
          <w:rStyle w:val="FootnoteReference"/>
        </w:rPr>
        <w:footnoteReference w:id="7"/>
      </w:r>
    </w:p>
    <w:p w:rsidR="00DD0BFF" w:rsidRPr="006A5BDF" w:rsidRDefault="00DD0BFF" w:rsidP="00AE01C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7C5C9B"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5"/>
      <w:bookmarkEnd w:id="6"/>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C9B" w:rsidRDefault="007C5C9B">
      <w:r>
        <w:separator/>
      </w:r>
    </w:p>
  </w:endnote>
  <w:endnote w:type="continuationSeparator" w:id="0">
    <w:p w:rsidR="007C5C9B" w:rsidRDefault="007C5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C9B" w:rsidRDefault="007C5C9B">
      <w:r>
        <w:separator/>
      </w:r>
    </w:p>
  </w:footnote>
  <w:footnote w:type="continuationSeparator" w:id="0">
    <w:p w:rsidR="007C5C9B" w:rsidRDefault="007C5C9B">
      <w:r>
        <w:continuationSeparator/>
      </w:r>
    </w:p>
  </w:footnote>
  <w:footnote w:id="1">
    <w:p w:rsidR="00CF1ADA" w:rsidRPr="004348EF" w:rsidRDefault="00CF1ADA">
      <w:pPr>
        <w:pStyle w:val="FootnoteText"/>
        <w:rPr>
          <w:lang w:val="en-GB"/>
        </w:rPr>
      </w:pPr>
      <w:r w:rsidRPr="004348EF">
        <w:rPr>
          <w:rStyle w:val="FootnoteReference"/>
        </w:rPr>
        <w:footnoteRef/>
      </w:r>
      <w:r w:rsidRPr="004348EF">
        <w:t xml:space="preserve"> </w:t>
      </w:r>
      <w:r w:rsidR="004348EF" w:rsidRPr="004348EF">
        <w:rPr>
          <w:lang w:val="en-GB"/>
        </w:rPr>
        <w:t>12 February 2013, E/C.12/SRB/2, Second state party report</w:t>
      </w:r>
    </w:p>
  </w:footnote>
  <w:footnote w:id="2">
    <w:p w:rsidR="004348EF" w:rsidRPr="004348EF" w:rsidRDefault="004348EF">
      <w:pPr>
        <w:pStyle w:val="FootnoteText"/>
        <w:rPr>
          <w:lang w:val="en-GB"/>
        </w:rPr>
      </w:pPr>
      <w:r w:rsidRPr="004348EF">
        <w:rPr>
          <w:rStyle w:val="FootnoteReference"/>
        </w:rPr>
        <w:footnoteRef/>
      </w:r>
      <w:r w:rsidRPr="004348EF">
        <w:t xml:space="preserve"> </w:t>
      </w:r>
      <w:r w:rsidRPr="004348EF">
        <w:rPr>
          <w:lang w:eastAsia="en-GB"/>
        </w:rPr>
        <w:t xml:space="preserve">UNICEF (2010), </w:t>
      </w:r>
      <w:r w:rsidRPr="004348EF">
        <w:rPr>
          <w:i/>
          <w:lang w:eastAsia="en-GB"/>
        </w:rPr>
        <w:t>Child Disciplinary Practices at Home: Evidence from a Range of Low- and Middle-Income Countries</w:t>
      </w:r>
      <w:r w:rsidRPr="004348EF">
        <w:rPr>
          <w:lang w:eastAsia="en-GB"/>
        </w:rPr>
        <w:t>, NY: UNICEF</w:t>
      </w:r>
    </w:p>
  </w:footnote>
  <w:footnote w:id="3">
    <w:p w:rsidR="004348EF" w:rsidRPr="004348EF" w:rsidRDefault="004348EF">
      <w:pPr>
        <w:pStyle w:val="FootnoteText"/>
        <w:rPr>
          <w:lang w:val="en-GB"/>
        </w:rPr>
      </w:pPr>
      <w:r w:rsidRPr="004348EF">
        <w:rPr>
          <w:rStyle w:val="FootnoteReference"/>
        </w:rPr>
        <w:footnoteRef/>
      </w:r>
      <w:r w:rsidRPr="004348EF">
        <w:t xml:space="preserve"> </w:t>
      </w:r>
      <w:r w:rsidRPr="004348EF">
        <w:t xml:space="preserve">Plut, D. &amp; Popadić, D. (2007), </w:t>
      </w:r>
      <w:r w:rsidRPr="004348EF">
        <w:rPr>
          <w:i/>
        </w:rPr>
        <w:t xml:space="preserve">U </w:t>
      </w:r>
      <w:proofErr w:type="spellStart"/>
      <w:r w:rsidRPr="004348EF">
        <w:rPr>
          <w:i/>
        </w:rPr>
        <w:t>lavirintu</w:t>
      </w:r>
      <w:proofErr w:type="spellEnd"/>
      <w:r w:rsidRPr="004348EF">
        <w:rPr>
          <w:i/>
        </w:rPr>
        <w:t xml:space="preserve"> </w:t>
      </w:r>
      <w:proofErr w:type="spellStart"/>
      <w:r w:rsidRPr="004348EF">
        <w:rPr>
          <w:i/>
        </w:rPr>
        <w:t>nasilja</w:t>
      </w:r>
      <w:proofErr w:type="spellEnd"/>
      <w:r w:rsidRPr="004348EF">
        <w:rPr>
          <w:i/>
        </w:rPr>
        <w:t xml:space="preserve"> – </w:t>
      </w:r>
      <w:proofErr w:type="spellStart"/>
      <w:r w:rsidRPr="004348EF">
        <w:rPr>
          <w:i/>
        </w:rPr>
        <w:t>istraživanje</w:t>
      </w:r>
      <w:proofErr w:type="spellEnd"/>
      <w:r w:rsidRPr="004348EF">
        <w:rPr>
          <w:i/>
        </w:rPr>
        <w:t xml:space="preserve"> </w:t>
      </w:r>
      <w:proofErr w:type="spellStart"/>
      <w:r w:rsidRPr="004348EF">
        <w:rPr>
          <w:i/>
        </w:rPr>
        <w:t>nasilja</w:t>
      </w:r>
      <w:proofErr w:type="spellEnd"/>
      <w:r w:rsidRPr="004348EF">
        <w:rPr>
          <w:i/>
        </w:rPr>
        <w:t xml:space="preserve"> u </w:t>
      </w:r>
      <w:proofErr w:type="spellStart"/>
      <w:r w:rsidRPr="004348EF">
        <w:rPr>
          <w:i/>
        </w:rPr>
        <w:t>ustanovama</w:t>
      </w:r>
      <w:proofErr w:type="spellEnd"/>
      <w:r w:rsidRPr="004348EF">
        <w:rPr>
          <w:i/>
        </w:rPr>
        <w:t xml:space="preserve"> </w:t>
      </w:r>
      <w:proofErr w:type="spellStart"/>
      <w:r w:rsidRPr="004348EF">
        <w:rPr>
          <w:i/>
        </w:rPr>
        <w:t>za</w:t>
      </w:r>
      <w:proofErr w:type="spellEnd"/>
      <w:r w:rsidRPr="004348EF">
        <w:rPr>
          <w:i/>
        </w:rPr>
        <w:t xml:space="preserve"> </w:t>
      </w:r>
      <w:proofErr w:type="spellStart"/>
      <w:r w:rsidRPr="004348EF">
        <w:rPr>
          <w:i/>
        </w:rPr>
        <w:t>decu</w:t>
      </w:r>
      <w:proofErr w:type="spellEnd"/>
      <w:r w:rsidRPr="004348EF">
        <w:rPr>
          <w:i/>
        </w:rPr>
        <w:t xml:space="preserve"> </w:t>
      </w:r>
      <w:proofErr w:type="spellStart"/>
      <w:r w:rsidRPr="004348EF">
        <w:rPr>
          <w:i/>
        </w:rPr>
        <w:t>bez</w:t>
      </w:r>
      <w:proofErr w:type="spellEnd"/>
      <w:r w:rsidRPr="004348EF">
        <w:rPr>
          <w:i/>
        </w:rPr>
        <w:t xml:space="preserve"> </w:t>
      </w:r>
      <w:proofErr w:type="spellStart"/>
      <w:r w:rsidRPr="004348EF">
        <w:rPr>
          <w:i/>
        </w:rPr>
        <w:t>roditeljskog</w:t>
      </w:r>
      <w:proofErr w:type="spellEnd"/>
      <w:r w:rsidRPr="004348EF">
        <w:rPr>
          <w:i/>
        </w:rPr>
        <w:t xml:space="preserve"> </w:t>
      </w:r>
      <w:proofErr w:type="spellStart"/>
      <w:r w:rsidRPr="004348EF">
        <w:rPr>
          <w:i/>
        </w:rPr>
        <w:t>staranja</w:t>
      </w:r>
      <w:proofErr w:type="spellEnd"/>
      <w:r w:rsidRPr="004348EF">
        <w:rPr>
          <w:i/>
        </w:rPr>
        <w:t xml:space="preserve"> u </w:t>
      </w:r>
      <w:proofErr w:type="spellStart"/>
      <w:r w:rsidRPr="004348EF">
        <w:rPr>
          <w:i/>
        </w:rPr>
        <w:t>Srbiji</w:t>
      </w:r>
      <w:proofErr w:type="spellEnd"/>
      <w:r w:rsidRPr="004348EF">
        <w:t xml:space="preserve">, Beograd: Save the Children UK &amp; Institut </w:t>
      </w:r>
      <w:proofErr w:type="spellStart"/>
      <w:r w:rsidRPr="004348EF">
        <w:t>za</w:t>
      </w:r>
      <w:proofErr w:type="spellEnd"/>
      <w:r w:rsidRPr="004348EF">
        <w:t xml:space="preserve"> </w:t>
      </w:r>
      <w:proofErr w:type="spellStart"/>
      <w:r w:rsidRPr="004348EF">
        <w:t>psihologiju</w:t>
      </w:r>
      <w:proofErr w:type="spellEnd"/>
      <w:r w:rsidRPr="004348EF">
        <w:t xml:space="preserve">, </w:t>
      </w:r>
      <w:proofErr w:type="spellStart"/>
      <w:r w:rsidRPr="004348EF">
        <w:t>reported</w:t>
      </w:r>
      <w:proofErr w:type="spellEnd"/>
      <w:r w:rsidRPr="004348EF">
        <w:t xml:space="preserve"> in </w:t>
      </w:r>
      <w:proofErr w:type="spellStart"/>
      <w:r w:rsidRPr="004348EF">
        <w:t>Srna</w:t>
      </w:r>
      <w:proofErr w:type="spellEnd"/>
      <w:r w:rsidRPr="004348EF">
        <w:t xml:space="preserve">, J. &amp; </w:t>
      </w:r>
      <w:proofErr w:type="spellStart"/>
      <w:r w:rsidRPr="004348EF">
        <w:t>Stevanović</w:t>
      </w:r>
      <w:proofErr w:type="spellEnd"/>
      <w:r w:rsidRPr="004348EF">
        <w:t>, I. (2011), “</w:t>
      </w:r>
      <w:proofErr w:type="spellStart"/>
      <w:r w:rsidRPr="004348EF">
        <w:t>Serbia</w:t>
      </w:r>
      <w:proofErr w:type="spellEnd"/>
      <w:r w:rsidRPr="004348EF">
        <w:t xml:space="preserve">: </w:t>
      </w:r>
      <w:proofErr w:type="spellStart"/>
      <w:r w:rsidRPr="004348EF">
        <w:t>Moving</w:t>
      </w:r>
      <w:proofErr w:type="spellEnd"/>
      <w:r w:rsidRPr="004348EF">
        <w:t xml:space="preserve"> </w:t>
      </w:r>
      <w:proofErr w:type="spellStart"/>
      <w:r w:rsidRPr="004348EF">
        <w:t>Towards</w:t>
      </w:r>
      <w:proofErr w:type="spellEnd"/>
      <w:r w:rsidRPr="004348EF">
        <w:t xml:space="preserve"> the Abolition of </w:t>
      </w:r>
      <w:proofErr w:type="spellStart"/>
      <w:r w:rsidRPr="004348EF">
        <w:t>Physical</w:t>
      </w:r>
      <w:proofErr w:type="spellEnd"/>
      <w:r w:rsidRPr="004348EF">
        <w:t xml:space="preserve"> </w:t>
      </w:r>
      <w:proofErr w:type="spellStart"/>
      <w:r w:rsidRPr="004348EF">
        <w:t>Punishment</w:t>
      </w:r>
      <w:proofErr w:type="spellEnd"/>
      <w:r w:rsidRPr="004348EF">
        <w:t xml:space="preserve"> of Children”, in Durrant, J. E. &amp; Smith, A. B. (</w:t>
      </w:r>
      <w:proofErr w:type="spellStart"/>
      <w:r w:rsidRPr="004348EF">
        <w:t>eds</w:t>
      </w:r>
      <w:proofErr w:type="spellEnd"/>
      <w:r w:rsidRPr="004348EF">
        <w:t xml:space="preserve">) (2011), </w:t>
      </w:r>
      <w:r w:rsidRPr="004348EF">
        <w:rPr>
          <w:i/>
        </w:rPr>
        <w:t xml:space="preserve">Global </w:t>
      </w:r>
      <w:proofErr w:type="spellStart"/>
      <w:r w:rsidRPr="004348EF">
        <w:rPr>
          <w:i/>
        </w:rPr>
        <w:t>Pathways</w:t>
      </w:r>
      <w:proofErr w:type="spellEnd"/>
      <w:r w:rsidRPr="004348EF">
        <w:rPr>
          <w:i/>
        </w:rPr>
        <w:t xml:space="preserve"> to </w:t>
      </w:r>
      <w:proofErr w:type="spellStart"/>
      <w:r w:rsidRPr="004348EF">
        <w:rPr>
          <w:i/>
        </w:rPr>
        <w:t>Abolishing</w:t>
      </w:r>
      <w:proofErr w:type="spellEnd"/>
      <w:r w:rsidRPr="004348EF">
        <w:rPr>
          <w:i/>
        </w:rPr>
        <w:t xml:space="preserve"> </w:t>
      </w:r>
      <w:proofErr w:type="spellStart"/>
      <w:r w:rsidRPr="004348EF">
        <w:rPr>
          <w:i/>
        </w:rPr>
        <w:t>Physical</w:t>
      </w:r>
      <w:proofErr w:type="spellEnd"/>
      <w:r w:rsidRPr="004348EF">
        <w:rPr>
          <w:i/>
        </w:rPr>
        <w:t xml:space="preserve"> </w:t>
      </w:r>
      <w:proofErr w:type="spellStart"/>
      <w:r w:rsidRPr="004348EF">
        <w:rPr>
          <w:i/>
        </w:rPr>
        <w:t>Punishment</w:t>
      </w:r>
      <w:proofErr w:type="spellEnd"/>
      <w:r w:rsidRPr="004348EF">
        <w:rPr>
          <w:i/>
        </w:rPr>
        <w:t xml:space="preserve">: </w:t>
      </w:r>
      <w:proofErr w:type="spellStart"/>
      <w:r w:rsidRPr="004348EF">
        <w:rPr>
          <w:i/>
        </w:rPr>
        <w:t>Realizing</w:t>
      </w:r>
      <w:proofErr w:type="spellEnd"/>
      <w:r w:rsidRPr="004348EF">
        <w:rPr>
          <w:i/>
        </w:rPr>
        <w:t xml:space="preserve"> Children’s Rights</w:t>
      </w:r>
      <w:r w:rsidRPr="004348EF">
        <w:t xml:space="preserve">, New York: </w:t>
      </w:r>
      <w:proofErr w:type="spellStart"/>
      <w:r w:rsidRPr="004348EF">
        <w:t>Routledge</w:t>
      </w:r>
      <w:proofErr w:type="spellEnd"/>
      <w:r w:rsidRPr="004348EF">
        <w:t>, pp.222-233</w:t>
      </w:r>
    </w:p>
  </w:footnote>
  <w:footnote w:id="4">
    <w:p w:rsidR="004348EF" w:rsidRPr="004348EF" w:rsidRDefault="004348EF">
      <w:pPr>
        <w:pStyle w:val="FootnoteText"/>
        <w:rPr>
          <w:lang w:val="en-GB"/>
        </w:rPr>
      </w:pPr>
      <w:r w:rsidRPr="004348EF">
        <w:rPr>
          <w:rStyle w:val="FootnoteReference"/>
        </w:rPr>
        <w:footnoteRef/>
      </w:r>
      <w:r w:rsidRPr="004348EF">
        <w:t xml:space="preserve"> </w:t>
      </w:r>
      <w:proofErr w:type="spellStart"/>
      <w:r w:rsidRPr="004348EF">
        <w:rPr>
          <w:iCs/>
          <w:lang w:val="en-US"/>
        </w:rPr>
        <w:t>Plut</w:t>
      </w:r>
      <w:proofErr w:type="spellEnd"/>
      <w:r w:rsidRPr="004348EF">
        <w:rPr>
          <w:iCs/>
          <w:lang w:val="en-US"/>
        </w:rPr>
        <w:t xml:space="preserve">, D. &amp; </w:t>
      </w:r>
      <w:proofErr w:type="spellStart"/>
      <w:r w:rsidRPr="004348EF">
        <w:rPr>
          <w:iCs/>
          <w:lang w:val="en-US"/>
        </w:rPr>
        <w:t>Popadic</w:t>
      </w:r>
      <w:proofErr w:type="spellEnd"/>
      <w:r w:rsidRPr="004348EF">
        <w:rPr>
          <w:iCs/>
          <w:lang w:val="en-US"/>
        </w:rPr>
        <w:t xml:space="preserve">, D. (2006), </w:t>
      </w:r>
      <w:r w:rsidRPr="004348EF">
        <w:rPr>
          <w:i/>
          <w:iCs/>
          <w:lang w:val="en-US"/>
        </w:rPr>
        <w:t xml:space="preserve">School Without Violence: towards the safe and enabling environment for children, </w:t>
      </w:r>
      <w:r w:rsidRPr="004348EF">
        <w:rPr>
          <w:iCs/>
          <w:lang w:val="en-US"/>
        </w:rPr>
        <w:t>Belgrade: UNICEF and Institute of Psychology at the Faculty of Philosophy in Belgrade</w:t>
      </w:r>
    </w:p>
  </w:footnote>
  <w:footnote w:id="5">
    <w:p w:rsidR="004348EF" w:rsidRPr="004348EF" w:rsidRDefault="004348EF">
      <w:pPr>
        <w:pStyle w:val="FootnoteText"/>
        <w:rPr>
          <w:lang w:val="en-GB"/>
        </w:rPr>
      </w:pPr>
      <w:r w:rsidRPr="004348EF">
        <w:rPr>
          <w:rStyle w:val="FootnoteReference"/>
        </w:rPr>
        <w:footnoteRef/>
      </w:r>
      <w:r w:rsidRPr="004348EF">
        <w:t xml:space="preserve"> </w:t>
      </w:r>
      <w:r w:rsidRPr="004348EF">
        <w:t xml:space="preserve">20 </w:t>
      </w:r>
      <w:proofErr w:type="spellStart"/>
      <w:r w:rsidRPr="004348EF">
        <w:t>June</w:t>
      </w:r>
      <w:proofErr w:type="spellEnd"/>
      <w:r w:rsidRPr="004348EF">
        <w:t xml:space="preserve"> 2008, CRC/C/SRB/CO/1, Concluding observations on initial report, paras. 46 and 47</w:t>
      </w:r>
    </w:p>
  </w:footnote>
  <w:footnote w:id="6">
    <w:p w:rsidR="004348EF" w:rsidRPr="004348EF" w:rsidRDefault="004348EF">
      <w:pPr>
        <w:pStyle w:val="FootnoteText"/>
        <w:rPr>
          <w:lang w:val="en-GB"/>
        </w:rPr>
      </w:pPr>
      <w:r w:rsidRPr="004348EF">
        <w:rPr>
          <w:rStyle w:val="FootnoteReference"/>
        </w:rPr>
        <w:footnoteRef/>
      </w:r>
      <w:r w:rsidRPr="004348EF">
        <w:t xml:space="preserve"> </w:t>
      </w:r>
      <w:r w:rsidRPr="004348EF">
        <w:t xml:space="preserve">8 </w:t>
      </w:r>
      <w:proofErr w:type="spellStart"/>
      <w:r w:rsidRPr="004348EF">
        <w:t>January</w:t>
      </w:r>
      <w:proofErr w:type="spellEnd"/>
      <w:r w:rsidRPr="004348EF">
        <w:t xml:space="preserve"> 2009, A/HRC/10/78, Report of the </w:t>
      </w:r>
      <w:proofErr w:type="spellStart"/>
      <w:r w:rsidRPr="004348EF">
        <w:t>working</w:t>
      </w:r>
      <w:proofErr w:type="spellEnd"/>
      <w:r w:rsidRPr="004348EF">
        <w:t xml:space="preserve"> group, para. 57(11)</w:t>
      </w:r>
      <w:r w:rsidRPr="004348EF">
        <w:t xml:space="preserve">; </w:t>
      </w:r>
      <w:r w:rsidRPr="004348EF">
        <w:t xml:space="preserve">18 March 2009, A/HRC/10/78/Add.1, Report of the </w:t>
      </w:r>
      <w:proofErr w:type="spellStart"/>
      <w:r w:rsidRPr="004348EF">
        <w:t>working</w:t>
      </w:r>
      <w:proofErr w:type="spellEnd"/>
      <w:r w:rsidRPr="004348EF">
        <w:t xml:space="preserve"> group: Addendum, paras. 20 and 21</w:t>
      </w:r>
    </w:p>
  </w:footnote>
  <w:footnote w:id="7">
    <w:p w:rsidR="004348EF" w:rsidRPr="004348EF" w:rsidRDefault="004348EF">
      <w:pPr>
        <w:pStyle w:val="FootnoteText"/>
        <w:rPr>
          <w:lang w:val="en-GB"/>
        </w:rPr>
      </w:pPr>
      <w:r w:rsidRPr="004348EF">
        <w:rPr>
          <w:rStyle w:val="FootnoteReference"/>
        </w:rPr>
        <w:footnoteRef/>
      </w:r>
      <w:r w:rsidRPr="004348EF">
        <w:t xml:space="preserve"> </w:t>
      </w:r>
      <w:r w:rsidRPr="004348EF">
        <w:t xml:space="preserve">8 </w:t>
      </w:r>
      <w:proofErr w:type="spellStart"/>
      <w:r w:rsidRPr="004348EF">
        <w:t>November</w:t>
      </w:r>
      <w:proofErr w:type="spellEnd"/>
      <w:r w:rsidRPr="004348EF">
        <w:t xml:space="preserve"> 2012, A/HRC/WG.6/15/SRB/1, National report to the UPR, paras. 71, 72 and 73</w:t>
      </w:r>
      <w:r w:rsidRPr="004348EF">
        <w:t xml:space="preserve">; </w:t>
      </w:r>
      <w:r w:rsidRPr="004348EF">
        <w:t xml:space="preserve">22 March </w:t>
      </w:r>
      <w:r w:rsidRPr="004348EF">
        <w:rPr>
          <w:lang w:eastAsia="en-GB"/>
        </w:rPr>
        <w:t xml:space="preserve">2013, A/HRC/23/15, Report of the </w:t>
      </w:r>
      <w:proofErr w:type="spellStart"/>
      <w:r w:rsidRPr="004348EF">
        <w:rPr>
          <w:lang w:eastAsia="en-GB"/>
        </w:rPr>
        <w:t>working</w:t>
      </w:r>
      <w:proofErr w:type="spellEnd"/>
      <w:r w:rsidRPr="004348EF">
        <w:rPr>
          <w:lang w:eastAsia="en-GB"/>
        </w:rPr>
        <w:t xml:space="preserve"> group, paras. 144(27), 144(28) and 144(29)</w:t>
      </w:r>
      <w:r w:rsidRPr="004348EF">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22EF"/>
    <w:rsid w:val="000C718C"/>
    <w:rsid w:val="00102888"/>
    <w:rsid w:val="0010682F"/>
    <w:rsid w:val="00107CF6"/>
    <w:rsid w:val="00117F0F"/>
    <w:rsid w:val="0013188E"/>
    <w:rsid w:val="00145B7A"/>
    <w:rsid w:val="001731CC"/>
    <w:rsid w:val="001A7CC5"/>
    <w:rsid w:val="001B0E10"/>
    <w:rsid w:val="001B2EF0"/>
    <w:rsid w:val="001B7D4B"/>
    <w:rsid w:val="001D3BCB"/>
    <w:rsid w:val="002049D3"/>
    <w:rsid w:val="002153F5"/>
    <w:rsid w:val="00241FF5"/>
    <w:rsid w:val="00246602"/>
    <w:rsid w:val="0025469F"/>
    <w:rsid w:val="00265C98"/>
    <w:rsid w:val="002826D8"/>
    <w:rsid w:val="00293A27"/>
    <w:rsid w:val="00294720"/>
    <w:rsid w:val="00294BAF"/>
    <w:rsid w:val="002A3C6B"/>
    <w:rsid w:val="002C6060"/>
    <w:rsid w:val="002C63DF"/>
    <w:rsid w:val="002E6075"/>
    <w:rsid w:val="002F0254"/>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348EF"/>
    <w:rsid w:val="004425F2"/>
    <w:rsid w:val="004522A4"/>
    <w:rsid w:val="00452997"/>
    <w:rsid w:val="00463053"/>
    <w:rsid w:val="00464016"/>
    <w:rsid w:val="004640D9"/>
    <w:rsid w:val="00472D18"/>
    <w:rsid w:val="00483F29"/>
    <w:rsid w:val="004932F0"/>
    <w:rsid w:val="0049523D"/>
    <w:rsid w:val="00495D13"/>
    <w:rsid w:val="004A1623"/>
    <w:rsid w:val="004B57EB"/>
    <w:rsid w:val="004C7D59"/>
    <w:rsid w:val="005055FC"/>
    <w:rsid w:val="00507589"/>
    <w:rsid w:val="00514287"/>
    <w:rsid w:val="005243C9"/>
    <w:rsid w:val="0053166A"/>
    <w:rsid w:val="005527A3"/>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5BDF"/>
    <w:rsid w:val="006A7FD6"/>
    <w:rsid w:val="006D5472"/>
    <w:rsid w:val="006F70EE"/>
    <w:rsid w:val="007000A6"/>
    <w:rsid w:val="0073075C"/>
    <w:rsid w:val="00733FE4"/>
    <w:rsid w:val="00735255"/>
    <w:rsid w:val="00736F96"/>
    <w:rsid w:val="007724DF"/>
    <w:rsid w:val="007826ED"/>
    <w:rsid w:val="007A2191"/>
    <w:rsid w:val="007C41C0"/>
    <w:rsid w:val="007C5C9B"/>
    <w:rsid w:val="007E43D1"/>
    <w:rsid w:val="007E68FF"/>
    <w:rsid w:val="007F0C6D"/>
    <w:rsid w:val="007F7310"/>
    <w:rsid w:val="00806840"/>
    <w:rsid w:val="00812F6C"/>
    <w:rsid w:val="0083346B"/>
    <w:rsid w:val="00837361"/>
    <w:rsid w:val="008467B3"/>
    <w:rsid w:val="008716D9"/>
    <w:rsid w:val="0088646B"/>
    <w:rsid w:val="00892E40"/>
    <w:rsid w:val="00892F1D"/>
    <w:rsid w:val="008B476A"/>
    <w:rsid w:val="008B6355"/>
    <w:rsid w:val="008C188E"/>
    <w:rsid w:val="008C6656"/>
    <w:rsid w:val="008C677C"/>
    <w:rsid w:val="008F10FD"/>
    <w:rsid w:val="008F5DBA"/>
    <w:rsid w:val="00927989"/>
    <w:rsid w:val="00933B58"/>
    <w:rsid w:val="00935CF3"/>
    <w:rsid w:val="00964D9F"/>
    <w:rsid w:val="00965F4E"/>
    <w:rsid w:val="009909E6"/>
    <w:rsid w:val="00997763"/>
    <w:rsid w:val="009A26BC"/>
    <w:rsid w:val="009A4DF8"/>
    <w:rsid w:val="009A527C"/>
    <w:rsid w:val="009B6E78"/>
    <w:rsid w:val="009D778F"/>
    <w:rsid w:val="00A03341"/>
    <w:rsid w:val="00A077F7"/>
    <w:rsid w:val="00A10040"/>
    <w:rsid w:val="00A31025"/>
    <w:rsid w:val="00A31AB6"/>
    <w:rsid w:val="00A36851"/>
    <w:rsid w:val="00A40760"/>
    <w:rsid w:val="00A543F1"/>
    <w:rsid w:val="00A562E2"/>
    <w:rsid w:val="00A62797"/>
    <w:rsid w:val="00A629C9"/>
    <w:rsid w:val="00A6491F"/>
    <w:rsid w:val="00A76009"/>
    <w:rsid w:val="00A779EF"/>
    <w:rsid w:val="00AA09E7"/>
    <w:rsid w:val="00AC502E"/>
    <w:rsid w:val="00AE01C0"/>
    <w:rsid w:val="00AE243C"/>
    <w:rsid w:val="00AE5677"/>
    <w:rsid w:val="00AE737E"/>
    <w:rsid w:val="00B34094"/>
    <w:rsid w:val="00B55303"/>
    <w:rsid w:val="00B868FE"/>
    <w:rsid w:val="00B902F0"/>
    <w:rsid w:val="00B958DF"/>
    <w:rsid w:val="00BA3333"/>
    <w:rsid w:val="00BA7220"/>
    <w:rsid w:val="00BC4562"/>
    <w:rsid w:val="00BE5640"/>
    <w:rsid w:val="00C1753A"/>
    <w:rsid w:val="00C40886"/>
    <w:rsid w:val="00C6632E"/>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9505C"/>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
    <w:name w:val="long_text"/>
    <w:rsid w:val="00A779EF"/>
  </w:style>
  <w:style w:type="character" w:customStyle="1" w:styleId="hps">
    <w:name w:val="hps"/>
    <w:rsid w:val="00A7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A3587-5D76-4A7C-85B5-72A0349F8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6063</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3</cp:revision>
  <cp:lastPrinted>2008-04-11T08:34:00Z</cp:lastPrinted>
  <dcterms:created xsi:type="dcterms:W3CDTF">2013-09-19T09:13:00Z</dcterms:created>
  <dcterms:modified xsi:type="dcterms:W3CDTF">2013-09-19T09:35:00Z</dcterms:modified>
</cp:coreProperties>
</file>