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97700" w14:textId="1DF247D7" w:rsidR="004D31DA" w:rsidRPr="00594400" w:rsidRDefault="004D31DA" w:rsidP="004D31DA">
      <w:pPr>
        <w:pBdr>
          <w:bottom w:val="single" w:sz="18" w:space="1" w:color="auto"/>
        </w:pBdr>
        <w:jc w:val="center"/>
        <w:rPr>
          <w:rFonts w:asciiTheme="majorBidi" w:hAnsiTheme="majorBidi" w:cstheme="majorBidi"/>
          <w:b/>
          <w:color w:val="1F3864"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4400">
        <w:rPr>
          <w:rFonts w:asciiTheme="majorBidi" w:hAnsiTheme="majorBidi" w:cstheme="majorBidi"/>
          <w:b/>
          <w:color w:val="1F3864"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Maat for Peace</w:t>
      </w:r>
      <w:r w:rsidRPr="00594400">
        <w:rPr>
          <w:rFonts w:asciiTheme="majorBidi" w:hAnsiTheme="majorBidi" w:cstheme="majorBidi"/>
          <w:b/>
          <w:color w:val="1F3864" w:themeColor="accent5" w:themeShade="80"/>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Report submitted to </w:t>
      </w:r>
      <w:r w:rsidRPr="00594400">
        <w:rPr>
          <w:rFonts w:asciiTheme="majorBidi" w:hAnsiTheme="majorBidi" w:cstheme="majorBidi"/>
          <w:b/>
          <w:color w:val="1F3864"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Pr="004D31DA">
        <w:rPr>
          <w:rFonts w:asciiTheme="majorBidi" w:hAnsiTheme="majorBidi" w:cstheme="majorBidi"/>
          <w:b/>
          <w:color w:val="1F3864"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Committee on the Elimination of Racial Discrimination</w:t>
      </w:r>
      <w:r w:rsidRPr="00594400">
        <w:rPr>
          <w:rFonts w:asciiTheme="majorBidi" w:hAnsiTheme="majorBidi" w:cstheme="majorBidi"/>
          <w:b/>
          <w:color w:val="1F3864"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regarding </w:t>
      </w:r>
      <w:r>
        <w:rPr>
          <w:rFonts w:asciiTheme="majorBidi" w:hAnsiTheme="majorBidi" w:cstheme="majorBidi"/>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Kuwait</w:t>
      </w:r>
    </w:p>
    <w:p w14:paraId="2F87344F" w14:textId="77777777" w:rsidR="004D31DA" w:rsidRPr="00594400" w:rsidRDefault="004D31DA" w:rsidP="004D31DA">
      <w:pPr>
        <w:pBdr>
          <w:bottom w:val="single" w:sz="18" w:space="1" w:color="auto"/>
        </w:pBdr>
        <w:jc w:val="center"/>
        <w:rPr>
          <w:rFonts w:asciiTheme="majorBidi" w:hAnsiTheme="majorBidi" w:cstheme="majorBidi"/>
          <w:b/>
          <w:color w:val="C45911" w:themeColor="accent2" w:themeShade="B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Bidi" w:hAnsiTheme="majorBidi" w:cstheme="majorBidi"/>
          <w:b/>
          <w:color w:val="C45911" w:themeColor="accent2" w:themeShade="B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State Party Report</w:t>
      </w:r>
    </w:p>
    <w:p w14:paraId="0DCA202D" w14:textId="7512CA63" w:rsidR="004D31DA" w:rsidRDefault="004D31DA" w:rsidP="004D31DA">
      <w:pPr>
        <w:jc w:val="both"/>
        <w:rPr>
          <w:rFonts w:asciiTheme="majorBidi" w:hAnsiTheme="majorBidi" w:cstheme="majorBidi"/>
        </w:rPr>
      </w:pPr>
      <w:r>
        <w:rPr>
          <w:rFonts w:asciiTheme="majorBidi" w:hAnsiTheme="majorBidi" w:cstheme="majorBidi"/>
        </w:rPr>
        <w:t>Maat for Peace, Development and Human Rights</w:t>
      </w:r>
      <w:r>
        <w:rPr>
          <w:rFonts w:asciiTheme="majorBidi" w:hAnsiTheme="majorBidi" w:cstheme="majorBidi"/>
        </w:rPr>
        <w:t xml:space="preserve"> </w:t>
      </w:r>
      <w:r>
        <w:rPr>
          <w:rFonts w:asciiTheme="majorBidi" w:hAnsiTheme="majorBidi" w:cstheme="majorBidi"/>
        </w:rPr>
        <w:t>hereby submits this report to the Committee on the Elimination of Racial Discrimination (CERD), within the framework of monitoring the extent to which the State of Kuwait complies with its obligations under the International Convention on the Elimination of All Forms of Racial Discrimination. This report is also submitted in the context of Kuwait’s review before the Committee at its 118</w:t>
      </w:r>
      <w:r w:rsidRPr="004D31DA">
        <w:rPr>
          <w:rFonts w:asciiTheme="majorBidi" w:hAnsiTheme="majorBidi" w:cstheme="majorBidi"/>
          <w:vertAlign w:val="superscript"/>
        </w:rPr>
        <w:t>th</w:t>
      </w:r>
      <w:r>
        <w:rPr>
          <w:rFonts w:asciiTheme="majorBidi" w:hAnsiTheme="majorBidi" w:cstheme="majorBidi"/>
        </w:rPr>
        <w:t xml:space="preserve"> session. The present report aims to provide the Committee with information and analysis regarding the extent of Kuwait’s compliance with a number of obligations set out in the Convention. Maat’s report focuses on assessing Kuwait’s compliance with four key articles of the Convention: Article (1) concerning the definition of racial discrimination; Article (3) concerning the prohibition of apartheid and segregationist practices; Article (5) concerning the prohibition of racial discrimination and its elimination in all its forms; and Article (6) concerning the right of access to justice and effective remedies.</w:t>
      </w:r>
    </w:p>
    <w:p w14:paraId="1E410876" w14:textId="77777777" w:rsidR="004D31DA" w:rsidRPr="004D31DA" w:rsidRDefault="004D31DA" w:rsidP="004D31DA">
      <w:pPr>
        <w:jc w:val="both"/>
        <w:rPr>
          <w:rFonts w:asciiTheme="majorBidi" w:hAnsiTheme="majorBidi" w:cstheme="majorBidi"/>
          <w:b/>
          <w:bCs/>
          <w:color w:val="C45911" w:themeColor="accent2" w:themeShade="BF"/>
          <w:sz w:val="28"/>
          <w:szCs w:val="28"/>
        </w:rPr>
      </w:pPr>
      <w:r w:rsidRPr="004D31DA">
        <w:rPr>
          <w:rFonts w:asciiTheme="majorBidi" w:hAnsiTheme="majorBidi" w:cstheme="majorBidi"/>
          <w:b/>
          <w:bCs/>
          <w:color w:val="C45911" w:themeColor="accent2" w:themeShade="BF"/>
          <w:sz w:val="28"/>
          <w:szCs w:val="28"/>
        </w:rPr>
        <w:t>First: Definition of racial discrimination - Article 1</w:t>
      </w:r>
    </w:p>
    <w:p w14:paraId="3FEE4D7E" w14:textId="77777777" w:rsidR="004D31DA" w:rsidRDefault="004D31DA" w:rsidP="004D31DA">
      <w:pPr>
        <w:jc w:val="both"/>
        <w:rPr>
          <w:rFonts w:asciiTheme="majorBidi" w:hAnsiTheme="majorBidi" w:cstheme="majorBidi"/>
        </w:rPr>
      </w:pPr>
      <w:r>
        <w:rPr>
          <w:rFonts w:asciiTheme="majorBidi" w:hAnsiTheme="majorBidi" w:cstheme="majorBidi"/>
        </w:rPr>
        <w:t xml:space="preserve">The constitutional and legislative framework in the State of Kuwait continues to lack an independent and comprehensive legal definition of racial discrimination that fully conforms to the definition contained in Article (1) of the Convention. Article (1) defines racial discrimination as any distinction, exclusion, restriction or preference based on race, </w:t>
      </w:r>
      <w:proofErr w:type="spellStart"/>
      <w:r>
        <w:rPr>
          <w:rFonts w:asciiTheme="majorBidi" w:hAnsiTheme="majorBidi" w:cstheme="majorBidi"/>
        </w:rPr>
        <w:t>color</w:t>
      </w:r>
      <w:proofErr w:type="spellEnd"/>
      <w:r>
        <w:rPr>
          <w:rFonts w:asciiTheme="majorBidi" w:hAnsiTheme="majorBidi" w:cstheme="majorBidi"/>
        </w:rPr>
        <w:t>, descent, or national or ethnic origin, the purpose or effect of which is to nullify or impair the recognition, enjoyment or exercise, on an equal footing, of human rights and fundamental freedoms. This definition requires that national legislation cover all forms of discrimination, including both direct and indirect discrimination, and that it provides a clear legal framework enabling discriminatory practices to be identified and addressed effectively.</w:t>
      </w:r>
      <w:r>
        <w:rPr>
          <w:rStyle w:val="FootnoteReference"/>
          <w:rFonts w:asciiTheme="majorBidi" w:hAnsiTheme="majorBidi" w:cstheme="majorBidi"/>
        </w:rPr>
        <w:footnoteReference w:id="1"/>
      </w:r>
    </w:p>
    <w:p w14:paraId="341F9E36" w14:textId="77777777" w:rsidR="004D31DA" w:rsidRDefault="004D31DA" w:rsidP="004D31DA">
      <w:pPr>
        <w:jc w:val="both"/>
        <w:rPr>
          <w:rFonts w:asciiTheme="majorBidi" w:hAnsiTheme="majorBidi" w:cstheme="majorBidi"/>
          <w:b/>
          <w:bCs/>
        </w:rPr>
      </w:pPr>
      <w:r>
        <w:rPr>
          <w:rFonts w:asciiTheme="majorBidi" w:hAnsiTheme="majorBidi" w:cstheme="majorBidi"/>
        </w:rPr>
        <w:t xml:space="preserve">Although Kuwait’s legal framework is based on a number of relevant constitutional and legislative guarantees concerning the principles of equality and non-discrimination, specifically, Article (29) of the Constitution provides that people are equal in dignity, and that they are equal before the law </w:t>
      </w:r>
      <w:r>
        <w:rPr>
          <w:rFonts w:asciiTheme="majorBidi" w:hAnsiTheme="majorBidi" w:cstheme="majorBidi"/>
        </w:rPr>
        <w:lastRenderedPageBreak/>
        <w:t>concerning rights and general duties without discrimination on grounds of sex, origin, language, or religion,</w:t>
      </w:r>
      <w:r>
        <w:rPr>
          <w:rStyle w:val="FootnoteReference"/>
          <w:rFonts w:asciiTheme="majorBidi" w:hAnsiTheme="majorBidi" w:cstheme="majorBidi"/>
        </w:rPr>
        <w:footnoteReference w:id="2"/>
      </w:r>
      <w:r>
        <w:rPr>
          <w:rFonts w:asciiTheme="majorBidi" w:hAnsiTheme="majorBidi" w:cstheme="majorBidi"/>
        </w:rPr>
        <w:t xml:space="preserve"> as well as the existence of a number of laws that form part of the national system for combating discrimination, including Law No. (19) of 2012 on the Protection of National Unity,</w:t>
      </w:r>
      <w:r>
        <w:rPr>
          <w:rStyle w:val="FootnoteReference"/>
          <w:rFonts w:asciiTheme="majorBidi" w:hAnsiTheme="majorBidi" w:cstheme="majorBidi"/>
        </w:rPr>
        <w:footnoteReference w:id="3"/>
      </w:r>
      <w:r>
        <w:rPr>
          <w:rFonts w:asciiTheme="majorBidi" w:hAnsiTheme="majorBidi" w:cstheme="majorBidi"/>
        </w:rPr>
        <w:t xml:space="preserve"> these provisions do </w:t>
      </w:r>
      <w:r w:rsidRPr="004D31DA">
        <w:rPr>
          <w:rFonts w:asciiTheme="majorBidi" w:hAnsiTheme="majorBidi" w:cstheme="majorBidi"/>
        </w:rPr>
        <w:t>not include a fully comprehensive legal definition of racial discrimination that matches the definition set out in Article (1) of the Convention.</w:t>
      </w:r>
    </w:p>
    <w:p w14:paraId="3C054360" w14:textId="77777777" w:rsidR="004D31DA" w:rsidRDefault="004D31DA" w:rsidP="004D31DA">
      <w:pPr>
        <w:jc w:val="both"/>
        <w:rPr>
          <w:rFonts w:asciiTheme="majorBidi" w:hAnsiTheme="majorBidi" w:cstheme="majorBidi"/>
        </w:rPr>
      </w:pPr>
      <w:r>
        <w:rPr>
          <w:rFonts w:asciiTheme="majorBidi" w:hAnsiTheme="majorBidi" w:cstheme="majorBidi"/>
        </w:rPr>
        <w:t>No new legislative amendments or even draft laws appear to be available that adopt a comprehensive national law to counter racial discrimination, or that include an independent legal definition of racial discrimination consistent with the provisions of Article (1) of the Convention, despite repeated recommendations to introduce such a definition. The continued reliance on general constitutional provisions and scattered provisions within different laws, without a unified legislative definition of racial discrimination, limits the effectiveness of the legal protection provided under the Convention. This also affects the ability of judicial and administrative authorities to recognize all forms of racial discrimination and address them, particularly in cases where discrimination is indirect or stems from policies or practices that may appear neutral on their face but, in practice, produce discriminatory effects against particular groups. The absence of such a definition also affects the collection of data related to instances of discrimination, and it undermines the ability of victims to seek remedies based on a clear and internationally compliant legal framework.</w:t>
      </w:r>
    </w:p>
    <w:p w14:paraId="30F697D6" w14:textId="77777777" w:rsidR="004D31DA" w:rsidRPr="004D31DA" w:rsidRDefault="004D31DA" w:rsidP="004D31DA">
      <w:pPr>
        <w:jc w:val="both"/>
        <w:rPr>
          <w:rFonts w:asciiTheme="majorBidi" w:hAnsiTheme="majorBidi" w:cstheme="majorBidi"/>
          <w:b/>
          <w:bCs/>
          <w:color w:val="C45911" w:themeColor="accent2" w:themeShade="BF"/>
          <w:sz w:val="28"/>
          <w:szCs w:val="28"/>
        </w:rPr>
      </w:pPr>
      <w:r w:rsidRPr="004D31DA">
        <w:rPr>
          <w:rFonts w:asciiTheme="majorBidi" w:hAnsiTheme="majorBidi" w:cstheme="majorBidi"/>
          <w:b/>
          <w:bCs/>
          <w:color w:val="C45911" w:themeColor="accent2" w:themeShade="BF"/>
          <w:sz w:val="28"/>
          <w:szCs w:val="28"/>
        </w:rPr>
        <w:t>Second: Prohibition of Apartheid and Segregationist Practices - Article 3</w:t>
      </w:r>
    </w:p>
    <w:p w14:paraId="7F2BBE09" w14:textId="77777777" w:rsidR="004D31DA" w:rsidRDefault="004D31DA" w:rsidP="004D31DA">
      <w:pPr>
        <w:jc w:val="both"/>
        <w:rPr>
          <w:rFonts w:asciiTheme="majorBidi" w:hAnsiTheme="majorBidi" w:cstheme="majorBidi"/>
        </w:rPr>
      </w:pPr>
      <w:r>
        <w:rPr>
          <w:rFonts w:asciiTheme="majorBidi" w:hAnsiTheme="majorBidi" w:cstheme="majorBidi"/>
        </w:rPr>
        <w:t xml:space="preserve">The State of Kuwait does not adopt an official system of apartheid or racial segregation, and Maat has not found any legislation or official policies that are based on the separation of individuals or groups on grounds of race, </w:t>
      </w:r>
      <w:proofErr w:type="spellStart"/>
      <w:r>
        <w:rPr>
          <w:rFonts w:asciiTheme="majorBidi" w:hAnsiTheme="majorBidi" w:cstheme="majorBidi"/>
        </w:rPr>
        <w:t>color</w:t>
      </w:r>
      <w:proofErr w:type="spellEnd"/>
      <w:r>
        <w:rPr>
          <w:rFonts w:asciiTheme="majorBidi" w:hAnsiTheme="majorBidi" w:cstheme="majorBidi"/>
        </w:rPr>
        <w:t>, national or ethnic origin. Nevertheless, Kuwait has witnessed certain developments, including the expansion of procedures for withdrawing nationality and amendments to the nationality law. Such measures require a careful assessment under Article (3) to ensure that their practical effects do not lead to the exclusion or segregation of certain groups from enjoying their basic rights.</w:t>
      </w:r>
    </w:p>
    <w:p w14:paraId="4C26628B" w14:textId="77777777" w:rsidR="004D31DA" w:rsidRDefault="004D31DA" w:rsidP="004D31DA">
      <w:pPr>
        <w:jc w:val="both"/>
        <w:rPr>
          <w:rFonts w:asciiTheme="majorBidi" w:hAnsiTheme="majorBidi" w:cstheme="majorBidi"/>
        </w:rPr>
      </w:pPr>
      <w:r>
        <w:rPr>
          <w:rFonts w:asciiTheme="majorBidi" w:hAnsiTheme="majorBidi" w:cstheme="majorBidi"/>
        </w:rPr>
        <w:t xml:space="preserve">Since March 2025, large-scale procedures for the withdrawal and cancellation of Kuwaiti nationality have continued. This has resulted in an increased number of persons who have lost their </w:t>
      </w:r>
      <w:r>
        <w:rPr>
          <w:rFonts w:asciiTheme="majorBidi" w:hAnsiTheme="majorBidi" w:cstheme="majorBidi"/>
        </w:rPr>
        <w:lastRenderedPageBreak/>
        <w:t>nationality in recent years. These procedures have affected more than 70,000 people, including non-Kuwaiti women who obtained nationality through marriage. The effects of these measures have extended to access to a range of basic rights, including education, health care, and employment. There is also the risk that women and children will be disproportionately affected. Furthermore, recent amendments to the Kuwaiti nationality law, issued under Law Decree No. 52 of 2026, have expanded the grounds for withdrawal and cancellation of nationality, increased the consequences for family members and dependents, and classified decisions related to nationality as “sovereign acts” that are not subject to judicial review.</w:t>
      </w:r>
      <w:r>
        <w:rPr>
          <w:rStyle w:val="FootnoteReference"/>
          <w:rFonts w:asciiTheme="majorBidi" w:hAnsiTheme="majorBidi" w:cstheme="majorBidi"/>
        </w:rPr>
        <w:footnoteReference w:id="4"/>
      </w:r>
      <w:r>
        <w:rPr>
          <w:rFonts w:asciiTheme="majorBidi" w:hAnsiTheme="majorBidi" w:cstheme="majorBidi"/>
        </w:rPr>
        <w:t xml:space="preserve"> Such developments require effective legal and administrative safeguards to prevent nationality procedures, when applied in practice, from resulting in forms of exclusion or de facto segregation of certain groups.</w:t>
      </w:r>
    </w:p>
    <w:p w14:paraId="779F5153" w14:textId="77777777" w:rsidR="004D31DA" w:rsidRPr="004D31DA" w:rsidRDefault="004D31DA" w:rsidP="004D31DA">
      <w:pPr>
        <w:jc w:val="both"/>
        <w:rPr>
          <w:rFonts w:asciiTheme="majorBidi" w:hAnsiTheme="majorBidi" w:cstheme="majorBidi"/>
          <w:b/>
          <w:bCs/>
          <w:color w:val="C45911" w:themeColor="accent2" w:themeShade="BF"/>
          <w:sz w:val="28"/>
          <w:szCs w:val="28"/>
        </w:rPr>
      </w:pPr>
      <w:r w:rsidRPr="004D31DA">
        <w:rPr>
          <w:rFonts w:asciiTheme="majorBidi" w:hAnsiTheme="majorBidi" w:cstheme="majorBidi"/>
          <w:b/>
          <w:bCs/>
          <w:color w:val="C45911" w:themeColor="accent2" w:themeShade="BF"/>
          <w:sz w:val="28"/>
          <w:szCs w:val="28"/>
        </w:rPr>
        <w:t>Third: Prohibition of Racial Discrimination and its Elimination in All Its Forms - Article 5</w:t>
      </w:r>
    </w:p>
    <w:p w14:paraId="35FFCD65" w14:textId="77777777" w:rsidR="004D31DA" w:rsidRDefault="004D31DA" w:rsidP="004D31DA">
      <w:pPr>
        <w:jc w:val="both"/>
        <w:rPr>
          <w:rFonts w:asciiTheme="majorBidi" w:hAnsiTheme="majorBidi" w:cstheme="majorBidi"/>
        </w:rPr>
      </w:pPr>
      <w:r>
        <w:rPr>
          <w:rFonts w:asciiTheme="majorBidi" w:hAnsiTheme="majorBidi" w:cstheme="majorBidi"/>
        </w:rPr>
        <w:t>During 2025, the State of Kuwait witnessed an important legislative development regulating access by non-citizens to health insurance services. This was achieved through Ministerial Resolution No. (306) of 2025, which entered into force in December 2025. The implementing regulations require payment of health insurance fees as a condition for issuing and renewing residence permits and visitor visas. They also link the validity period of health insurance to the duration of residence or the visa. In addition, the measure broadened its scope to cover workers in both the public and private sectors, domestic workers, and persons residing under family residence arrangements. It also provides exemptions for specific categories, including foreign women married to Kuwaiti citizens, children of Kuwaiti women married to non-Kuwaiti spouses, and up to three domestic workers sponsored by Kuwaiti families. The implementing regulations increased the annual health insurance fee for most foreign residents from 50 Kuwaiti dinars to 100 Kuwaiti dinars. They also introduced reduced fees for certain professional categories and special fees for certain types of visas. These amendments represent a step toward unifying and organizing the legal framework governing health insurance for non-citizens and linking residence procedures to obtaining regular health coverage.</w:t>
      </w:r>
      <w:r>
        <w:rPr>
          <w:rStyle w:val="FootnoteReference"/>
          <w:rFonts w:asciiTheme="majorBidi" w:hAnsiTheme="majorBidi" w:cstheme="majorBidi"/>
        </w:rPr>
        <w:footnoteReference w:id="5"/>
      </w:r>
    </w:p>
    <w:p w14:paraId="3177796E" w14:textId="77777777" w:rsidR="004D31DA" w:rsidRDefault="004D31DA" w:rsidP="004D31DA">
      <w:pPr>
        <w:jc w:val="both"/>
        <w:rPr>
          <w:rFonts w:asciiTheme="majorBidi" w:hAnsiTheme="majorBidi" w:cstheme="majorBidi"/>
        </w:rPr>
      </w:pPr>
      <w:r>
        <w:rPr>
          <w:rFonts w:asciiTheme="majorBidi" w:hAnsiTheme="majorBidi" w:cstheme="majorBidi"/>
        </w:rPr>
        <w:lastRenderedPageBreak/>
        <w:t>Although these amendments contribute to organizing the health insurance system for non-citizens and clarifying which groups are covered and which exemptions apply, they also impose additional financial obligations on most foreign residents by doubling the annual health insurance fee and making payment an essential condition for obtaining residence or renewing it. This calls for monitoring the practical impact of these measures on the ability of all non-Kuwaiti groups to access health care services on an equal footing, particularly for those who are unable to pay. The results of a field study conducted between May and July 2022, which included 1,101 low-income migrant workers in Kuwait, showed that practical barriers continue to prevent them from enjoying health care services on an equal footing.</w:t>
      </w:r>
    </w:p>
    <w:p w14:paraId="4F7A2D5A" w14:textId="77777777" w:rsidR="004D31DA" w:rsidRDefault="004D31DA" w:rsidP="004D31DA">
      <w:pPr>
        <w:jc w:val="both"/>
        <w:rPr>
          <w:rFonts w:asciiTheme="majorBidi" w:hAnsiTheme="majorBidi" w:cstheme="majorBidi"/>
        </w:rPr>
      </w:pPr>
      <w:r>
        <w:rPr>
          <w:rFonts w:asciiTheme="majorBidi" w:hAnsiTheme="majorBidi" w:cstheme="majorBidi"/>
        </w:rPr>
        <w:t>The study also showed that the cost of health care represented one of the most significant obstacles. Thirty per cent of participants reported that they are rarely able to afford treatment or cannot afford it at all, while only 18% stated that they can always afford it. The absence of identity documents was found to be the most impactful barrier: 51% of participants reported that they were turned away or prevented from obtaining health care because they did not have proof of their identity. In addition, several migrant workers reported that racial discrimination was among the factors that hindered their access to health services. One participant from the Philippines stated that they felt “unimportant” when they went to hospitals to receive health care. Furthermore, 25% of those who experienced racial discrimination said that such discrimination resulted in them being denied treatment entirely. These findings highlight the persistence of practical challenges that may affect migrant workers</w:t>
      </w:r>
      <w:bookmarkStart w:id="0" w:name="OLE_LINK1"/>
      <w:r>
        <w:rPr>
          <w:rFonts w:asciiTheme="majorBidi" w:hAnsiTheme="majorBidi" w:cstheme="majorBidi"/>
        </w:rPr>
        <w:t xml:space="preserve">, </w:t>
      </w:r>
      <w:bookmarkEnd w:id="0"/>
      <w:r>
        <w:rPr>
          <w:rFonts w:asciiTheme="majorBidi" w:hAnsiTheme="majorBidi" w:cstheme="majorBidi"/>
        </w:rPr>
        <w:t>particularly those from countries in South and Southeast Asia, in enjoying their right to health care on an equal basis. This calls for effective measures to ensure that access to health services is not affected by an individual’s national or ethnic origin or by the legal status of the person residing in Kuwait.</w:t>
      </w:r>
      <w:r>
        <w:rPr>
          <w:rStyle w:val="FootnoteReference"/>
          <w:rFonts w:asciiTheme="majorBidi" w:hAnsiTheme="majorBidi" w:cstheme="majorBidi"/>
        </w:rPr>
        <w:footnoteReference w:id="6"/>
      </w:r>
    </w:p>
    <w:p w14:paraId="1D2ABEF9" w14:textId="77777777" w:rsidR="004D31DA" w:rsidRDefault="004D31DA" w:rsidP="004D31DA">
      <w:pPr>
        <w:jc w:val="both"/>
        <w:rPr>
          <w:rFonts w:asciiTheme="majorBidi" w:hAnsiTheme="majorBidi" w:cstheme="majorBidi"/>
        </w:rPr>
      </w:pPr>
      <w:r>
        <w:rPr>
          <w:rFonts w:asciiTheme="majorBidi" w:hAnsiTheme="majorBidi" w:cstheme="majorBidi"/>
        </w:rPr>
        <w:t xml:space="preserve">Kuwait has also witnessed a regulatory development concerning the situation of migrant workers and their freedom of movement and mobility. The Public Authority for Manpower announced the commencement of the implementation of an “exit permits” system starting on 1 July 2025. Under this system, private-sector migrant workers are required to obtain the prior approval of their employer before leaving the country, whether the departure is temporary or final. According to the Kuwaiti authorities, this measure aims to regulate the movement of migrant workers, ensure compliance with legal regulations, and achieve a balance between the rights of workers and those </w:t>
      </w:r>
      <w:r>
        <w:rPr>
          <w:rFonts w:asciiTheme="majorBidi" w:hAnsiTheme="majorBidi" w:cstheme="majorBidi"/>
        </w:rPr>
        <w:lastRenderedPageBreak/>
        <w:t>of employers, while allowing applications for exit to be submitted electronically through designated government platforms.</w:t>
      </w:r>
      <w:r>
        <w:rPr>
          <w:rStyle w:val="FootnoteReference"/>
          <w:rFonts w:asciiTheme="majorBidi" w:hAnsiTheme="majorBidi" w:cstheme="majorBidi"/>
        </w:rPr>
        <w:footnoteReference w:id="7"/>
      </w:r>
      <w:r>
        <w:rPr>
          <w:rFonts w:asciiTheme="majorBidi" w:hAnsiTheme="majorBidi" w:cstheme="majorBidi"/>
        </w:rPr>
        <w:t xml:space="preserve"> However, these procedures effectively make the migrant worker’s exercise of the right to leave the country conditional upon obtaining the employer’s prior approval. This may affect the extent to which migrant workers enjoy the rights guaranteed under Article (5) of the Convention, particularly the right to freedom of movement and to leave any country, especially where contractual disagreements or disputes arise between the worker and the employer for any reason. Linking a worker’s departure to the employer’s prior approval may create a situation that gives the employer de facto control over the worker, potentially increasing the risks of arbitrariness or delays in granting permission to leave in certain cases, despite the existence of grievance mechanisms before the Public Authority for Manpower if an application is rejected without justification.</w:t>
      </w:r>
    </w:p>
    <w:p w14:paraId="0BED11CE" w14:textId="77777777" w:rsidR="004D31DA" w:rsidRPr="00BD1773" w:rsidRDefault="004D31DA" w:rsidP="004D31DA">
      <w:pPr>
        <w:jc w:val="both"/>
        <w:rPr>
          <w:rFonts w:asciiTheme="majorBidi" w:hAnsiTheme="majorBidi" w:cstheme="majorBidi"/>
          <w:b/>
          <w:bCs/>
          <w:color w:val="C45911" w:themeColor="accent2" w:themeShade="BF"/>
          <w:sz w:val="28"/>
          <w:szCs w:val="28"/>
        </w:rPr>
      </w:pPr>
      <w:r w:rsidRPr="00BD1773">
        <w:rPr>
          <w:rFonts w:asciiTheme="majorBidi" w:hAnsiTheme="majorBidi" w:cstheme="majorBidi"/>
          <w:b/>
          <w:bCs/>
          <w:color w:val="C45911" w:themeColor="accent2" w:themeShade="BF"/>
          <w:sz w:val="28"/>
          <w:szCs w:val="28"/>
        </w:rPr>
        <w:t>Fourth: Right of Access to Justice and Fair and Adequate Remedies - Article 6</w:t>
      </w:r>
    </w:p>
    <w:p w14:paraId="20D0B9EB" w14:textId="77777777" w:rsidR="004D31DA" w:rsidRDefault="004D31DA" w:rsidP="004D31DA">
      <w:pPr>
        <w:jc w:val="both"/>
        <w:rPr>
          <w:rFonts w:asciiTheme="majorBidi" w:hAnsiTheme="majorBidi" w:cstheme="majorBidi"/>
        </w:rPr>
      </w:pPr>
      <w:r>
        <w:rPr>
          <w:rFonts w:asciiTheme="majorBidi" w:hAnsiTheme="majorBidi" w:cstheme="majorBidi"/>
        </w:rPr>
        <w:t>Maat has observed several developments in Kuwait concerning the right of access to justice and fair and adequate remedies. The most prominent of these is the establishment of a committee to hear grievances related to decisions to withdraw, nullify, or revoke nationality. This was established pursuant to Cabinet Resolution No. (207) of 2025, to receive and examine grievances submitted by individuals affected by such decisions. The authorities later launched an electronic portal for submitting grievance requests, which represents an institutional step toward providing a mechanism to consider objections relating to nationality decisions.</w:t>
      </w:r>
      <w:r>
        <w:rPr>
          <w:rStyle w:val="FootnoteReference"/>
          <w:rFonts w:asciiTheme="majorBidi" w:hAnsiTheme="majorBidi" w:cstheme="majorBidi"/>
        </w:rPr>
        <w:footnoteReference w:id="8"/>
      </w:r>
      <w:r>
        <w:rPr>
          <w:rFonts w:asciiTheme="majorBidi" w:hAnsiTheme="majorBidi" w:cstheme="majorBidi"/>
        </w:rPr>
        <w:t xml:space="preserve"> However, Maat notes that, to date, this committee has not led to an effective review of complaints or the cancellation of most of the decisions subject to grievances. In addition, in 2026, Kuwait amended its nationality law to classify all decisions related to nationality as “sovereign acts” not subject to judicial review. This prevents judicial challenges to those decisions and raises questions regarding the effectiveness of the remedies available to affected individuals, as well as their consistency with the obligations under Article (6) of the Convention, which guarantees the right of everyone to seek recourse before national courts and other competent institutions for effective protection and adequate reparation for harm caused by racial discrimination.</w:t>
      </w:r>
      <w:r>
        <w:rPr>
          <w:rStyle w:val="FootnoteReference"/>
          <w:rFonts w:asciiTheme="majorBidi" w:hAnsiTheme="majorBidi" w:cstheme="majorBidi"/>
        </w:rPr>
        <w:footnoteReference w:id="9"/>
      </w:r>
    </w:p>
    <w:p w14:paraId="02793B0D" w14:textId="77777777" w:rsidR="004D31DA" w:rsidRDefault="004D31DA" w:rsidP="004D31DA">
      <w:pPr>
        <w:jc w:val="both"/>
        <w:rPr>
          <w:rFonts w:asciiTheme="majorBidi" w:hAnsiTheme="majorBidi" w:cstheme="majorBidi"/>
        </w:rPr>
      </w:pPr>
      <w:r>
        <w:rPr>
          <w:rFonts w:asciiTheme="majorBidi" w:hAnsiTheme="majorBidi" w:cstheme="majorBidi"/>
        </w:rPr>
        <w:lastRenderedPageBreak/>
        <w:t>Maat also observes that the continued practice by some employers of retaining foreign workers’ passports, together with the ongoing detention of identity documents—and the lack of an explicit criminalization of such practices—creates practical restrictions that limit many migrant workers’ ability, particularly domestic workers from South Asian countries, to contact legal aid providers or to access existing mechanisms to submit complaints and request protection in cases of violations. Such practices further weaken victims’ ability to assert their rights or to pursue legal procedures effectively, which may undermine access to effective remedies guaranteed under Article (6) of the Convention, especially for groups most vulnerable to discrimination on grounds of national or ethnic origin.</w:t>
      </w:r>
      <w:r>
        <w:rPr>
          <w:rStyle w:val="FootnoteReference"/>
          <w:rFonts w:asciiTheme="majorBidi" w:hAnsiTheme="majorBidi" w:cstheme="majorBidi"/>
        </w:rPr>
        <w:footnoteReference w:id="10"/>
      </w:r>
    </w:p>
    <w:p w14:paraId="7FDB0A8E" w14:textId="77777777" w:rsidR="004D31DA" w:rsidRPr="00BD1773" w:rsidRDefault="004D31DA" w:rsidP="004D31DA">
      <w:pPr>
        <w:jc w:val="both"/>
        <w:rPr>
          <w:rFonts w:asciiTheme="majorBidi" w:hAnsiTheme="majorBidi" w:cstheme="majorBidi"/>
          <w:b/>
          <w:bCs/>
          <w:color w:val="C45911" w:themeColor="accent2" w:themeShade="BF"/>
          <w:sz w:val="28"/>
          <w:szCs w:val="28"/>
        </w:rPr>
      </w:pPr>
      <w:r w:rsidRPr="00BD1773">
        <w:rPr>
          <w:rFonts w:asciiTheme="majorBidi" w:hAnsiTheme="majorBidi" w:cstheme="majorBidi"/>
          <w:b/>
          <w:bCs/>
          <w:color w:val="C45911" w:themeColor="accent2" w:themeShade="BF"/>
          <w:sz w:val="28"/>
          <w:szCs w:val="28"/>
        </w:rPr>
        <w:t>Recommendations</w:t>
      </w:r>
    </w:p>
    <w:p w14:paraId="1130E992" w14:textId="77777777" w:rsidR="004D31DA" w:rsidRPr="00BD1773" w:rsidRDefault="004D31DA" w:rsidP="004D31DA">
      <w:pPr>
        <w:jc w:val="both"/>
        <w:rPr>
          <w:rFonts w:asciiTheme="majorBidi" w:hAnsiTheme="majorBidi" w:cstheme="majorBidi"/>
          <w:b/>
          <w:bCs/>
        </w:rPr>
      </w:pPr>
      <w:r w:rsidRPr="00BD1773">
        <w:rPr>
          <w:rFonts w:asciiTheme="majorBidi" w:hAnsiTheme="majorBidi" w:cstheme="majorBidi"/>
          <w:b/>
          <w:bCs/>
        </w:rPr>
        <w:t>Maat recommends that the Kuwaiti Government take the following steps:</w:t>
      </w:r>
    </w:p>
    <w:p w14:paraId="1C7D3386" w14:textId="77777777" w:rsidR="004D31DA" w:rsidRDefault="004D31DA" w:rsidP="004D31DA">
      <w:pPr>
        <w:numPr>
          <w:ilvl w:val="0"/>
          <w:numId w:val="63"/>
        </w:numPr>
        <w:tabs>
          <w:tab w:val="clear" w:pos="360"/>
          <w:tab w:val="num" w:pos="720"/>
        </w:tabs>
        <w:spacing w:line="276" w:lineRule="auto"/>
        <w:jc w:val="both"/>
        <w:rPr>
          <w:rFonts w:asciiTheme="majorBidi" w:hAnsiTheme="majorBidi" w:cstheme="majorBidi"/>
        </w:rPr>
      </w:pPr>
      <w:r>
        <w:rPr>
          <w:rFonts w:asciiTheme="majorBidi" w:hAnsiTheme="majorBidi" w:cstheme="majorBidi"/>
        </w:rPr>
        <w:t>Adopt a comprehensive legal definition of racial discrimination consistent with Article (1) of the Convention, covering all forms of discrimination, thereby strengthening legal protection and the effectiveness of remedies for victims of racial discrimination.</w:t>
      </w:r>
    </w:p>
    <w:p w14:paraId="0A2E58FA" w14:textId="77777777" w:rsidR="004D31DA" w:rsidRDefault="004D31DA" w:rsidP="004D31DA">
      <w:pPr>
        <w:numPr>
          <w:ilvl w:val="0"/>
          <w:numId w:val="63"/>
        </w:numPr>
        <w:tabs>
          <w:tab w:val="clear" w:pos="360"/>
          <w:tab w:val="num" w:pos="720"/>
        </w:tabs>
        <w:spacing w:line="276" w:lineRule="auto"/>
        <w:jc w:val="both"/>
        <w:rPr>
          <w:rFonts w:asciiTheme="majorBidi" w:hAnsiTheme="majorBidi" w:cstheme="majorBidi"/>
        </w:rPr>
      </w:pPr>
      <w:r>
        <w:rPr>
          <w:rFonts w:asciiTheme="majorBidi" w:hAnsiTheme="majorBidi" w:cstheme="majorBidi"/>
        </w:rPr>
        <w:t>Ensure that all decisions to withdraw, nullify, or revoke nationality are subject to effective legal and procedural safeguards, including the right to challenge and to obtain judicial review, to ensure that the effects of such decisions do not result in the exclusion or de facto segregation of any group on grounds of national or ethnic origin, consistent with Article (3) of the Convention.</w:t>
      </w:r>
    </w:p>
    <w:p w14:paraId="2F181243" w14:textId="77777777" w:rsidR="004D31DA" w:rsidRDefault="004D31DA" w:rsidP="004D31DA">
      <w:pPr>
        <w:numPr>
          <w:ilvl w:val="0"/>
          <w:numId w:val="63"/>
        </w:numPr>
        <w:tabs>
          <w:tab w:val="clear" w:pos="360"/>
          <w:tab w:val="num" w:pos="720"/>
        </w:tabs>
        <w:spacing w:line="276" w:lineRule="auto"/>
        <w:jc w:val="both"/>
        <w:rPr>
          <w:rFonts w:asciiTheme="majorBidi" w:hAnsiTheme="majorBidi" w:cstheme="majorBidi"/>
        </w:rPr>
      </w:pPr>
      <w:r>
        <w:rPr>
          <w:rFonts w:asciiTheme="majorBidi" w:hAnsiTheme="majorBidi" w:cstheme="majorBidi"/>
        </w:rPr>
        <w:t>Review policies regulating non-citizens’ access to health care services to ensure that fees or administrative requirements do not become obstacles that limit all residents’, especially low-income migrant workers’, enjoyment of the right to health care on an equal basis and without discrimination.</w:t>
      </w:r>
    </w:p>
    <w:p w14:paraId="49816AF5" w14:textId="77777777" w:rsidR="004D31DA" w:rsidRDefault="004D31DA" w:rsidP="004D31DA">
      <w:pPr>
        <w:numPr>
          <w:ilvl w:val="0"/>
          <w:numId w:val="63"/>
        </w:numPr>
        <w:tabs>
          <w:tab w:val="clear" w:pos="360"/>
          <w:tab w:val="num" w:pos="720"/>
        </w:tabs>
        <w:spacing w:line="276" w:lineRule="auto"/>
        <w:jc w:val="both"/>
        <w:rPr>
          <w:rFonts w:asciiTheme="majorBidi" w:hAnsiTheme="majorBidi" w:cstheme="majorBidi"/>
        </w:rPr>
      </w:pPr>
      <w:r>
        <w:rPr>
          <w:rFonts w:asciiTheme="majorBidi" w:hAnsiTheme="majorBidi" w:cstheme="majorBidi"/>
        </w:rPr>
        <w:t xml:space="preserve">Review the exit permit system to ensure protection of migrant workers’ right to freedom of movement and to leave the country, and to ensure that this right is not subject to arbitrary restrictions or the employer’s discretion. This should be accompanied by strengthening the </w:t>
      </w:r>
      <w:r>
        <w:rPr>
          <w:rFonts w:asciiTheme="majorBidi" w:hAnsiTheme="majorBidi" w:cstheme="majorBidi"/>
        </w:rPr>
        <w:lastRenderedPageBreak/>
        <w:t>effectiveness of grievance mechanisms available in cases where exit permits are refused or delayed without justification.</w:t>
      </w:r>
    </w:p>
    <w:p w14:paraId="04F111F3" w14:textId="77777777" w:rsidR="004D31DA" w:rsidRDefault="004D31DA" w:rsidP="004D31DA">
      <w:pPr>
        <w:numPr>
          <w:ilvl w:val="0"/>
          <w:numId w:val="63"/>
        </w:numPr>
        <w:tabs>
          <w:tab w:val="clear" w:pos="360"/>
          <w:tab w:val="num" w:pos="720"/>
        </w:tabs>
        <w:spacing w:line="276" w:lineRule="auto"/>
        <w:jc w:val="both"/>
        <w:rPr>
          <w:rFonts w:asciiTheme="majorBidi" w:hAnsiTheme="majorBidi" w:cstheme="majorBidi"/>
        </w:rPr>
      </w:pPr>
      <w:r>
        <w:rPr>
          <w:rFonts w:asciiTheme="majorBidi" w:hAnsiTheme="majorBidi" w:cstheme="majorBidi"/>
        </w:rPr>
        <w:t>Ensure the effectiveness and independence of grievance mechanisms related to decisions to withdraw, nullify, or revoke nationality or to lose nationality, and guarantee the right to effective judicial review of such decisions, consistent with Article (6) of the Convention and international standards on the right to effective remedies.</w:t>
      </w:r>
    </w:p>
    <w:p w14:paraId="2F4A3BB2" w14:textId="77777777" w:rsidR="004D31DA" w:rsidRDefault="004D31DA" w:rsidP="004D31DA">
      <w:pPr>
        <w:numPr>
          <w:ilvl w:val="0"/>
          <w:numId w:val="63"/>
        </w:numPr>
        <w:tabs>
          <w:tab w:val="clear" w:pos="360"/>
          <w:tab w:val="num" w:pos="720"/>
        </w:tabs>
        <w:spacing w:line="276" w:lineRule="auto"/>
        <w:jc w:val="both"/>
        <w:rPr>
          <w:rFonts w:asciiTheme="majorBidi" w:hAnsiTheme="majorBidi" w:cstheme="majorBidi"/>
        </w:rPr>
      </w:pPr>
      <w:r>
        <w:rPr>
          <w:rFonts w:asciiTheme="majorBidi" w:hAnsiTheme="majorBidi" w:cstheme="majorBidi"/>
        </w:rPr>
        <w:t>Take further legislative and administrative measures to prohibit employers from detaining workers’ passports and identity documents, and to ensure migrant workers’ access without obstacles to legal assistance, complaint mechanisms, and effective protection and remedies in the event of any violations.</w:t>
      </w:r>
    </w:p>
    <w:p w14:paraId="4DE0D9C7" w14:textId="77777777" w:rsidR="004D31DA" w:rsidRDefault="004D31DA" w:rsidP="004D31DA">
      <w:pPr>
        <w:jc w:val="both"/>
        <w:rPr>
          <w:rFonts w:asciiTheme="majorBidi" w:hAnsiTheme="majorBidi" w:cstheme="majorBidi"/>
        </w:rPr>
      </w:pPr>
    </w:p>
    <w:p w14:paraId="0F992E1C" w14:textId="14A22732" w:rsidR="00FF5FE5" w:rsidRPr="008A08B6" w:rsidRDefault="00FF5FE5" w:rsidP="008A08B6">
      <w:pPr>
        <w:rPr>
          <w:rtl/>
        </w:rPr>
      </w:pPr>
    </w:p>
    <w:sectPr w:rsidR="00FF5FE5" w:rsidRPr="008A08B6"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E1C9F" w14:textId="77777777" w:rsidR="00850C24" w:rsidRDefault="00850C24" w:rsidP="004F6D5A">
      <w:pPr>
        <w:spacing w:after="0" w:line="240" w:lineRule="auto"/>
      </w:pPr>
      <w:r>
        <w:separator/>
      </w:r>
    </w:p>
  </w:endnote>
  <w:endnote w:type="continuationSeparator" w:id="0">
    <w:p w14:paraId="4B805F89" w14:textId="77777777" w:rsidR="00850C24" w:rsidRDefault="00850C24"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proofErr w:type="spellStart"/>
          <w:r w:rsidRPr="000F15D5">
            <w:rPr>
              <w:rFonts w:asciiTheme="majorBidi" w:eastAsia="Times New Roman" w:hAnsiTheme="majorBidi" w:cstheme="majorBidi"/>
              <w:color w:val="000000"/>
              <w:sz w:val="18"/>
              <w:szCs w:val="18"/>
            </w:rPr>
            <w:t>Sq</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3A3A6" w14:textId="77777777" w:rsidR="00850C24" w:rsidRDefault="00850C24" w:rsidP="004F6D5A">
      <w:pPr>
        <w:spacing w:after="0" w:line="240" w:lineRule="auto"/>
      </w:pPr>
      <w:r>
        <w:separator/>
      </w:r>
    </w:p>
  </w:footnote>
  <w:footnote w:type="continuationSeparator" w:id="0">
    <w:p w14:paraId="37EC2965" w14:textId="77777777" w:rsidR="00850C24" w:rsidRDefault="00850C24" w:rsidP="004F6D5A">
      <w:pPr>
        <w:spacing w:after="0" w:line="240" w:lineRule="auto"/>
      </w:pPr>
      <w:r>
        <w:continuationSeparator/>
      </w:r>
    </w:p>
  </w:footnote>
  <w:footnote w:id="1">
    <w:p w14:paraId="460F9763" w14:textId="77777777" w:rsidR="004D31DA" w:rsidRDefault="004D31DA" w:rsidP="004D31DA">
      <w:pPr>
        <w:pStyle w:val="FootnoteText"/>
        <w:rPr>
          <w:rFonts w:asciiTheme="majorBidi" w:hAnsiTheme="majorBidi" w:cstheme="majorBidi"/>
          <w:sz w:val="16"/>
          <w:szCs w:val="16"/>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International Convention on the Elimination of All Forms of Racial Discrimination, Article 1, </w:t>
      </w:r>
      <w:hyperlink r:id="rId1" w:history="1">
        <w:r>
          <w:rPr>
            <w:rStyle w:val="Hyperlink"/>
            <w:rFonts w:asciiTheme="majorBidi" w:hAnsiTheme="majorBidi" w:cstheme="majorBidi"/>
            <w:sz w:val="16"/>
            <w:szCs w:val="16"/>
          </w:rPr>
          <w:t>https://n9.cl/grvux</w:t>
        </w:r>
      </w:hyperlink>
    </w:p>
  </w:footnote>
  <w:footnote w:id="2">
    <w:p w14:paraId="5F2F809D" w14:textId="77777777" w:rsidR="004D31DA" w:rsidRDefault="004D31DA" w:rsidP="004D31DA">
      <w:pPr>
        <w:pStyle w:val="FootnoteText"/>
        <w:rPr>
          <w:rFonts w:asciiTheme="majorBidi" w:hAnsiTheme="majorBidi" w:cstheme="majorBidi"/>
          <w:sz w:val="16"/>
          <w:szCs w:val="16"/>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Kuwait Constitution, Chapter Three: Rights and Duties, Article 29, </w:t>
      </w:r>
      <w:hyperlink r:id="rId2" w:history="1">
        <w:r>
          <w:rPr>
            <w:rStyle w:val="Hyperlink"/>
            <w:rFonts w:asciiTheme="majorBidi" w:hAnsiTheme="majorBidi" w:cstheme="majorBidi"/>
            <w:sz w:val="16"/>
            <w:szCs w:val="16"/>
          </w:rPr>
          <w:t>https://n9.cl/e7yof</w:t>
        </w:r>
      </w:hyperlink>
      <w:r>
        <w:rPr>
          <w:rFonts w:asciiTheme="majorBidi" w:hAnsiTheme="majorBidi" w:cstheme="majorBidi"/>
          <w:sz w:val="16"/>
          <w:szCs w:val="16"/>
        </w:rPr>
        <w:t xml:space="preserve"> </w:t>
      </w:r>
    </w:p>
  </w:footnote>
  <w:footnote w:id="3">
    <w:p w14:paraId="3C65E419" w14:textId="77777777" w:rsidR="004D31DA" w:rsidRDefault="004D31DA" w:rsidP="004D31DA">
      <w:pPr>
        <w:pStyle w:val="FootnoteText"/>
        <w:rPr>
          <w:rFonts w:asciiTheme="majorBidi" w:hAnsiTheme="majorBidi" w:cstheme="majorBidi"/>
          <w:sz w:val="16"/>
          <w:szCs w:val="16"/>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Decree Law No. 19 of 2012 regarding the protection of national unity, </w:t>
      </w:r>
      <w:hyperlink r:id="rId3" w:history="1">
        <w:r>
          <w:rPr>
            <w:rStyle w:val="Hyperlink"/>
            <w:rFonts w:asciiTheme="majorBidi" w:hAnsiTheme="majorBidi" w:cstheme="majorBidi"/>
            <w:sz w:val="16"/>
            <w:szCs w:val="16"/>
          </w:rPr>
          <w:t>https://n9.cl/0vxeu</w:t>
        </w:r>
      </w:hyperlink>
      <w:r>
        <w:rPr>
          <w:rFonts w:asciiTheme="majorBidi" w:hAnsiTheme="majorBidi" w:cstheme="majorBidi"/>
          <w:sz w:val="16"/>
          <w:szCs w:val="16"/>
        </w:rPr>
        <w:t xml:space="preserve"> </w:t>
      </w:r>
    </w:p>
  </w:footnote>
  <w:footnote w:id="4">
    <w:p w14:paraId="2BEC5D7D" w14:textId="0ED0ECFE" w:rsidR="004D31DA" w:rsidRDefault="004D31DA" w:rsidP="004D31DA">
      <w:pPr>
        <w:pStyle w:val="FootnoteText"/>
        <w:rPr>
          <w:rFonts w:asciiTheme="majorBidi" w:hAnsiTheme="majorBidi" w:cstheme="majorBidi"/>
          <w:sz w:val="16"/>
          <w:szCs w:val="16"/>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Kuwait: Nationality withdrawals disproportionately harming women and children, warns UN expert, </w:t>
      </w:r>
      <w:r w:rsidR="00BD1773">
        <w:rPr>
          <w:rFonts w:asciiTheme="majorBidi" w:hAnsiTheme="majorBidi" w:cstheme="majorBidi"/>
          <w:sz w:val="16"/>
          <w:szCs w:val="16"/>
        </w:rPr>
        <w:t>OHCHR</w:t>
      </w:r>
      <w:r>
        <w:rPr>
          <w:rFonts w:asciiTheme="majorBidi" w:hAnsiTheme="majorBidi" w:cstheme="majorBidi"/>
          <w:sz w:val="16"/>
          <w:szCs w:val="16"/>
        </w:rPr>
        <w:t xml:space="preserve">, 18 June 2026, </w:t>
      </w:r>
      <w:hyperlink r:id="rId4" w:history="1">
        <w:r>
          <w:rPr>
            <w:rStyle w:val="Hyperlink"/>
            <w:rFonts w:asciiTheme="majorBidi" w:hAnsiTheme="majorBidi" w:cstheme="majorBidi"/>
            <w:sz w:val="16"/>
            <w:szCs w:val="16"/>
          </w:rPr>
          <w:t>https://n9.cl/8tyh7q</w:t>
        </w:r>
      </w:hyperlink>
    </w:p>
  </w:footnote>
  <w:footnote w:id="5">
    <w:p w14:paraId="25CB460D" w14:textId="3FA325DF" w:rsidR="004D31DA" w:rsidRDefault="004D31DA" w:rsidP="00BD1773">
      <w:pPr>
        <w:pStyle w:val="FootnoteText"/>
        <w:rPr>
          <w:rFonts w:asciiTheme="majorBidi" w:hAnsiTheme="majorBidi" w:cstheme="majorBidi"/>
          <w:sz w:val="16"/>
          <w:szCs w:val="16"/>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New Decisions Issued </w:t>
      </w:r>
      <w:proofErr w:type="gramStart"/>
      <w:r>
        <w:rPr>
          <w:rFonts w:asciiTheme="majorBidi" w:hAnsiTheme="majorBidi" w:cstheme="majorBidi"/>
          <w:sz w:val="16"/>
          <w:szCs w:val="16"/>
        </w:rPr>
        <w:t>In</w:t>
      </w:r>
      <w:proofErr w:type="gramEnd"/>
      <w:r>
        <w:rPr>
          <w:rFonts w:asciiTheme="majorBidi" w:hAnsiTheme="majorBidi" w:cstheme="majorBidi"/>
          <w:sz w:val="16"/>
          <w:szCs w:val="16"/>
        </w:rPr>
        <w:t xml:space="preserve"> Kuwait Under The Ministry of Health, </w:t>
      </w:r>
      <w:proofErr w:type="spellStart"/>
      <w:r w:rsidR="00BD1773">
        <w:rPr>
          <w:rFonts w:asciiTheme="majorBidi" w:hAnsiTheme="majorBidi" w:cstheme="majorBidi"/>
          <w:sz w:val="16"/>
          <w:szCs w:val="16"/>
        </w:rPr>
        <w:t>Lexology</w:t>
      </w:r>
      <w:proofErr w:type="spellEnd"/>
      <w:r>
        <w:rPr>
          <w:rFonts w:asciiTheme="majorBidi" w:hAnsiTheme="majorBidi" w:cstheme="majorBidi"/>
          <w:sz w:val="16"/>
          <w:szCs w:val="16"/>
        </w:rPr>
        <w:t xml:space="preserve">, 8 January 2026, </w:t>
      </w:r>
      <w:hyperlink r:id="rId5" w:history="1">
        <w:r>
          <w:rPr>
            <w:rStyle w:val="Hyperlink"/>
            <w:rFonts w:asciiTheme="majorBidi" w:hAnsiTheme="majorBidi" w:cstheme="majorBidi"/>
            <w:sz w:val="16"/>
            <w:szCs w:val="16"/>
          </w:rPr>
          <w:t>https://n9.cl/j9ro8</w:t>
        </w:r>
      </w:hyperlink>
    </w:p>
  </w:footnote>
  <w:footnote w:id="6">
    <w:p w14:paraId="024B18B3" w14:textId="71F7FB94" w:rsidR="004D31DA" w:rsidRDefault="004D31DA" w:rsidP="004D31DA">
      <w:pPr>
        <w:pStyle w:val="FootnoteText"/>
        <w:rPr>
          <w:rFonts w:asciiTheme="majorBidi" w:hAnsiTheme="majorBidi" w:cstheme="majorBidi"/>
          <w:sz w:val="16"/>
          <w:szCs w:val="16"/>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New report links lack of healthcare access to migrant worker deaths in the Gulf, </w:t>
      </w:r>
      <w:proofErr w:type="spellStart"/>
      <w:r w:rsidR="00BD1773">
        <w:rPr>
          <w:rFonts w:asciiTheme="majorBidi" w:hAnsiTheme="majorBidi" w:cstheme="majorBidi"/>
          <w:sz w:val="16"/>
          <w:szCs w:val="16"/>
        </w:rPr>
        <w:t>FairSquare</w:t>
      </w:r>
      <w:proofErr w:type="spellEnd"/>
      <w:r>
        <w:rPr>
          <w:rFonts w:asciiTheme="majorBidi" w:hAnsiTheme="majorBidi" w:cstheme="majorBidi"/>
          <w:sz w:val="16"/>
          <w:szCs w:val="16"/>
        </w:rPr>
        <w:t xml:space="preserve">, 16 November 2022, </w:t>
      </w:r>
      <w:hyperlink r:id="rId6" w:history="1">
        <w:r>
          <w:rPr>
            <w:rStyle w:val="Hyperlink"/>
            <w:rFonts w:asciiTheme="majorBidi" w:hAnsiTheme="majorBidi" w:cstheme="majorBidi"/>
            <w:sz w:val="16"/>
            <w:szCs w:val="16"/>
          </w:rPr>
          <w:t>https://n9.cl/kaasj</w:t>
        </w:r>
      </w:hyperlink>
    </w:p>
  </w:footnote>
  <w:footnote w:id="7">
    <w:p w14:paraId="15FF3271" w14:textId="003AFADB" w:rsidR="004D31DA" w:rsidRDefault="004D31DA" w:rsidP="004D31DA">
      <w:pPr>
        <w:pStyle w:val="FootnoteText"/>
        <w:rPr>
          <w:rFonts w:asciiTheme="majorBidi" w:hAnsiTheme="majorBidi" w:cstheme="majorBidi"/>
          <w:sz w:val="16"/>
          <w:szCs w:val="16"/>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Kuwait makes exit permits mandatory for expat workers in private sector, Khaleej </w:t>
      </w:r>
      <w:r w:rsidR="00BD1773">
        <w:rPr>
          <w:rFonts w:asciiTheme="majorBidi" w:hAnsiTheme="majorBidi" w:cstheme="majorBidi"/>
          <w:sz w:val="16"/>
          <w:szCs w:val="16"/>
        </w:rPr>
        <w:t>T</w:t>
      </w:r>
      <w:r>
        <w:rPr>
          <w:rFonts w:asciiTheme="majorBidi" w:hAnsiTheme="majorBidi" w:cstheme="majorBidi"/>
          <w:sz w:val="16"/>
          <w:szCs w:val="16"/>
        </w:rPr>
        <w:t xml:space="preserve">imes, 11 June 2025, </w:t>
      </w:r>
      <w:hyperlink r:id="rId7" w:history="1">
        <w:r>
          <w:rPr>
            <w:rStyle w:val="Hyperlink"/>
            <w:rFonts w:asciiTheme="majorBidi" w:hAnsiTheme="majorBidi" w:cstheme="majorBidi"/>
            <w:sz w:val="16"/>
            <w:szCs w:val="16"/>
          </w:rPr>
          <w:t>https://n9.cl/73ve0</w:t>
        </w:r>
      </w:hyperlink>
    </w:p>
  </w:footnote>
  <w:footnote w:id="8">
    <w:p w14:paraId="7A3EE15B" w14:textId="3C972C65" w:rsidR="004D31DA" w:rsidRDefault="004D31DA" w:rsidP="004D31DA">
      <w:pPr>
        <w:pStyle w:val="FootnoteText"/>
        <w:rPr>
          <w:rFonts w:asciiTheme="majorBidi" w:hAnsiTheme="majorBidi" w:cstheme="majorBidi"/>
          <w:sz w:val="16"/>
          <w:szCs w:val="16"/>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Kuwait Cabinet approves grievance committee for citizenship revocation cases, </w:t>
      </w:r>
      <w:r w:rsidR="00BD1773">
        <w:rPr>
          <w:rFonts w:asciiTheme="majorBidi" w:hAnsiTheme="majorBidi" w:cstheme="majorBidi"/>
          <w:sz w:val="16"/>
          <w:szCs w:val="16"/>
        </w:rPr>
        <w:t>Arab Times Kuwait</w:t>
      </w:r>
      <w:r>
        <w:rPr>
          <w:rFonts w:asciiTheme="majorBidi" w:hAnsiTheme="majorBidi" w:cstheme="majorBidi"/>
          <w:sz w:val="16"/>
          <w:szCs w:val="16"/>
        </w:rPr>
        <w:t>, 11</w:t>
      </w:r>
      <w:r w:rsidR="008A025D">
        <w:rPr>
          <w:rFonts w:asciiTheme="majorBidi" w:hAnsiTheme="majorBidi" w:cstheme="majorBidi"/>
          <w:sz w:val="16"/>
          <w:szCs w:val="16"/>
        </w:rPr>
        <w:t xml:space="preserve"> March 2025</w:t>
      </w:r>
      <w:r>
        <w:rPr>
          <w:rFonts w:asciiTheme="majorBidi" w:hAnsiTheme="majorBidi" w:cstheme="majorBidi"/>
          <w:sz w:val="16"/>
          <w:szCs w:val="16"/>
        </w:rPr>
        <w:t xml:space="preserve">, </w:t>
      </w:r>
      <w:hyperlink r:id="rId8" w:history="1">
        <w:r>
          <w:rPr>
            <w:rStyle w:val="Hyperlink"/>
            <w:rFonts w:asciiTheme="majorBidi" w:hAnsiTheme="majorBidi" w:cstheme="majorBidi"/>
            <w:sz w:val="16"/>
            <w:szCs w:val="16"/>
          </w:rPr>
          <w:t>https://n9.cl/9pn60y</w:t>
        </w:r>
      </w:hyperlink>
    </w:p>
  </w:footnote>
  <w:footnote w:id="9">
    <w:p w14:paraId="59585BC4" w14:textId="77777777" w:rsidR="004D31DA" w:rsidRDefault="004D31DA" w:rsidP="004D31DA">
      <w:pPr>
        <w:pStyle w:val="FootnoteText"/>
        <w:rPr>
          <w:rFonts w:asciiTheme="majorBidi" w:hAnsiTheme="majorBidi" w:cstheme="majorBidi"/>
          <w:sz w:val="16"/>
          <w:szCs w:val="16"/>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w:t>
      </w:r>
      <w:r>
        <w:rPr>
          <w:rFonts w:asciiTheme="majorBidi" w:hAnsiTheme="majorBidi" w:cstheme="majorBidi"/>
          <w:sz w:val="16"/>
          <w:szCs w:val="16"/>
          <w:lang w:bidi="ar-EG"/>
        </w:rPr>
        <w:t xml:space="preserve">Ibid, </w:t>
      </w:r>
      <w:hyperlink r:id="rId9" w:history="1">
        <w:r>
          <w:rPr>
            <w:rStyle w:val="Hyperlink"/>
            <w:rFonts w:asciiTheme="majorBidi" w:hAnsiTheme="majorBidi" w:cstheme="majorBidi"/>
            <w:sz w:val="16"/>
            <w:szCs w:val="16"/>
            <w:lang w:bidi="ar-EG"/>
          </w:rPr>
          <w:t>https://n9.cl/8tyh7q</w:t>
        </w:r>
      </w:hyperlink>
    </w:p>
  </w:footnote>
  <w:footnote w:id="10">
    <w:p w14:paraId="2DC543D9" w14:textId="77777777" w:rsidR="004D31DA" w:rsidRDefault="004D31DA" w:rsidP="004D31DA">
      <w:pPr>
        <w:pStyle w:val="FootnoteText"/>
        <w:rPr>
          <w:rFonts w:asciiTheme="majorBidi" w:hAnsiTheme="majorBidi" w:cstheme="majorBidi"/>
          <w:sz w:val="16"/>
          <w:szCs w:val="16"/>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Ibid, </w:t>
      </w:r>
      <w:hyperlink r:id="rId10" w:history="1">
        <w:r>
          <w:rPr>
            <w:rStyle w:val="Hyperlink"/>
            <w:rFonts w:asciiTheme="majorBidi" w:hAnsiTheme="majorBidi" w:cstheme="majorBidi"/>
            <w:sz w:val="16"/>
            <w:szCs w:val="16"/>
          </w:rPr>
          <w:t>https://n9.cl/kaasj</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CF735" w14:textId="18E60A97" w:rsidR="0058685C" w:rsidRPr="0058685C" w:rsidRDefault="0058685C" w:rsidP="0058685C">
    <w:pPr>
      <w:pStyle w:val="Header"/>
    </w:pPr>
    <w:r>
      <w:rPr>
        <w:noProof/>
        <w:lang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830EC"/>
    <w:multiLevelType w:val="hybridMultilevel"/>
    <w:tmpl w:val="FEF23BF4"/>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BBF4152"/>
    <w:multiLevelType w:val="multilevel"/>
    <w:tmpl w:val="2B5C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2C59E9"/>
    <w:multiLevelType w:val="hybridMultilevel"/>
    <w:tmpl w:val="835CCE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4D32969"/>
    <w:multiLevelType w:val="multilevel"/>
    <w:tmpl w:val="B7D4EB0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085395F"/>
    <w:multiLevelType w:val="multilevel"/>
    <w:tmpl w:val="5CF0E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611B23"/>
    <w:multiLevelType w:val="hybridMultilevel"/>
    <w:tmpl w:val="15C8DD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28D2A7B"/>
    <w:multiLevelType w:val="hybridMultilevel"/>
    <w:tmpl w:val="E5C41E70"/>
    <w:lvl w:ilvl="0" w:tplc="E4A2C9A8">
      <w:start w:val="1"/>
      <w:numFmt w:val="decimal"/>
      <w:lvlText w:val="%1."/>
      <w:lvlJc w:val="left"/>
      <w:pPr>
        <w:ind w:left="405" w:hanging="405"/>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3121F5E"/>
    <w:multiLevelType w:val="hybridMultilevel"/>
    <w:tmpl w:val="FD7043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5141ABA"/>
    <w:multiLevelType w:val="multilevel"/>
    <w:tmpl w:val="FBAA4B2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2F6627D5"/>
    <w:multiLevelType w:val="hybridMultilevel"/>
    <w:tmpl w:val="A894C0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5139A5"/>
    <w:multiLevelType w:val="hybridMultilevel"/>
    <w:tmpl w:val="A89A8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4682BD2"/>
    <w:multiLevelType w:val="hybridMultilevel"/>
    <w:tmpl w:val="A762D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9EB2DF9"/>
    <w:multiLevelType w:val="multilevel"/>
    <w:tmpl w:val="D67AB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4C325A9B"/>
    <w:multiLevelType w:val="hybridMultilevel"/>
    <w:tmpl w:val="F10E6E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D53309C"/>
    <w:multiLevelType w:val="multilevel"/>
    <w:tmpl w:val="23B40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69B11BD"/>
    <w:multiLevelType w:val="hybridMultilevel"/>
    <w:tmpl w:val="512467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AE764FB"/>
    <w:multiLevelType w:val="multilevel"/>
    <w:tmpl w:val="55F2B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E2E259D"/>
    <w:multiLevelType w:val="hybridMultilevel"/>
    <w:tmpl w:val="5290B222"/>
    <w:lvl w:ilvl="0" w:tplc="0C0EB82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708B47DF"/>
    <w:multiLevelType w:val="multilevel"/>
    <w:tmpl w:val="E95AD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0C46772"/>
    <w:multiLevelType w:val="multilevel"/>
    <w:tmpl w:val="77568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10358AD"/>
    <w:multiLevelType w:val="hybridMultilevel"/>
    <w:tmpl w:val="4D9A6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50474DA"/>
    <w:multiLevelType w:val="hybridMultilevel"/>
    <w:tmpl w:val="57467B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6015039"/>
    <w:multiLevelType w:val="hybridMultilevel"/>
    <w:tmpl w:val="9D649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0"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28"/>
  </w:num>
  <w:num w:numId="2" w16cid:durableId="319427900">
    <w:abstractNumId w:val="8"/>
  </w:num>
  <w:num w:numId="3" w16cid:durableId="483819352">
    <w:abstractNumId w:val="2"/>
  </w:num>
  <w:num w:numId="4" w16cid:durableId="1550531087">
    <w:abstractNumId w:val="21"/>
  </w:num>
  <w:num w:numId="5" w16cid:durableId="365302262">
    <w:abstractNumId w:val="5"/>
  </w:num>
  <w:num w:numId="6" w16cid:durableId="1490904455">
    <w:abstractNumId w:val="44"/>
  </w:num>
  <w:num w:numId="7" w16cid:durableId="1975796718">
    <w:abstractNumId w:val="56"/>
  </w:num>
  <w:num w:numId="8" w16cid:durableId="168910388">
    <w:abstractNumId w:val="60"/>
  </w:num>
  <w:num w:numId="9" w16cid:durableId="864364265">
    <w:abstractNumId w:val="42"/>
  </w:num>
  <w:num w:numId="10" w16cid:durableId="1110662610">
    <w:abstractNumId w:val="46"/>
  </w:num>
  <w:num w:numId="11" w16cid:durableId="48504678">
    <w:abstractNumId w:val="35"/>
  </w:num>
  <w:num w:numId="12" w16cid:durableId="1057243330">
    <w:abstractNumId w:val="59"/>
  </w:num>
  <w:num w:numId="13" w16cid:durableId="113838224">
    <w:abstractNumId w:val="33"/>
  </w:num>
  <w:num w:numId="14" w16cid:durableId="1819300015">
    <w:abstractNumId w:val="11"/>
  </w:num>
  <w:num w:numId="15" w16cid:durableId="1354769003">
    <w:abstractNumId w:val="40"/>
  </w:num>
  <w:num w:numId="16" w16cid:durableId="765884069">
    <w:abstractNumId w:val="22"/>
  </w:num>
  <w:num w:numId="17" w16cid:durableId="1830708544">
    <w:abstractNumId w:val="1"/>
  </w:num>
  <w:num w:numId="18" w16cid:durableId="1195772453">
    <w:abstractNumId w:val="30"/>
  </w:num>
  <w:num w:numId="19" w16cid:durableId="116266373">
    <w:abstractNumId w:val="3"/>
  </w:num>
  <w:num w:numId="20" w16cid:durableId="1165899663">
    <w:abstractNumId w:val="17"/>
  </w:num>
  <w:num w:numId="21" w16cid:durableId="1921870603">
    <w:abstractNumId w:val="62"/>
  </w:num>
  <w:num w:numId="22" w16cid:durableId="1106846340">
    <w:abstractNumId w:val="20"/>
  </w:num>
  <w:num w:numId="23" w16cid:durableId="1120413215">
    <w:abstractNumId w:val="27"/>
  </w:num>
  <w:num w:numId="24" w16cid:durableId="884490536">
    <w:abstractNumId w:val="43"/>
  </w:num>
  <w:num w:numId="25" w16cid:durableId="1098991049">
    <w:abstractNumId w:val="49"/>
  </w:num>
  <w:num w:numId="26" w16cid:durableId="631596808">
    <w:abstractNumId w:val="12"/>
  </w:num>
  <w:num w:numId="27" w16cid:durableId="1306087360">
    <w:abstractNumId w:val="10"/>
  </w:num>
  <w:num w:numId="28" w16cid:durableId="909191109">
    <w:abstractNumId w:val="36"/>
  </w:num>
  <w:num w:numId="29" w16cid:durableId="556204899">
    <w:abstractNumId w:val="37"/>
  </w:num>
  <w:num w:numId="30" w16cid:durableId="1668284805">
    <w:abstractNumId w:val="23"/>
  </w:num>
  <w:num w:numId="31" w16cid:durableId="1777868951">
    <w:abstractNumId w:val="34"/>
  </w:num>
  <w:num w:numId="32" w16cid:durableId="1614898655">
    <w:abstractNumId w:val="9"/>
  </w:num>
  <w:num w:numId="33" w16cid:durableId="364449577">
    <w:abstractNumId w:val="19"/>
  </w:num>
  <w:num w:numId="34" w16cid:durableId="248081818">
    <w:abstractNumId w:val="58"/>
  </w:num>
  <w:num w:numId="35" w16cid:durableId="1742749116">
    <w:abstractNumId w:val="50"/>
  </w:num>
  <w:num w:numId="36" w16cid:durableId="1632056943">
    <w:abstractNumId w:val="39"/>
  </w:num>
  <w:num w:numId="37" w16cid:durableId="16198188">
    <w:abstractNumId w:val="48"/>
  </w:num>
  <w:num w:numId="38" w16cid:durableId="995642619">
    <w:abstractNumId w:val="31"/>
  </w:num>
  <w:num w:numId="39" w16cid:durableId="1951429902">
    <w:abstractNumId w:val="61"/>
  </w:num>
  <w:num w:numId="40" w16cid:durableId="1660618793">
    <w:abstractNumId w:val="32"/>
  </w:num>
  <w:num w:numId="41" w16cid:durableId="566649021">
    <w:abstractNumId w:val="57"/>
  </w:num>
  <w:num w:numId="42" w16cid:durableId="230387690">
    <w:abstractNumId w:val="25"/>
  </w:num>
  <w:num w:numId="43" w16cid:durableId="335613693">
    <w:abstractNumId w:val="4"/>
  </w:num>
  <w:num w:numId="44" w16cid:durableId="1955866269">
    <w:abstractNumId w:val="6"/>
  </w:num>
  <w:num w:numId="45" w16cid:durableId="1236166310">
    <w:abstractNumId w:val="41"/>
  </w:num>
  <w:num w:numId="46" w16cid:durableId="1135757983">
    <w:abstractNumId w:val="52"/>
  </w:num>
  <w:num w:numId="47" w16cid:durableId="1772360755">
    <w:abstractNumId w:val="47"/>
  </w:num>
  <w:num w:numId="48" w16cid:durableId="562985464">
    <w:abstractNumId w:val="13"/>
  </w:num>
  <w:num w:numId="49" w16cid:durableId="1870022964">
    <w:abstractNumId w:val="29"/>
  </w:num>
  <w:num w:numId="50" w16cid:durableId="373162735">
    <w:abstractNumId w:val="53"/>
  </w:num>
  <w:num w:numId="51" w16cid:durableId="844592064">
    <w:abstractNumId w:val="18"/>
  </w:num>
  <w:num w:numId="52" w16cid:durableId="682244457">
    <w:abstractNumId w:val="14"/>
  </w:num>
  <w:num w:numId="53" w16cid:durableId="605160969">
    <w:abstractNumId w:val="15"/>
  </w:num>
  <w:num w:numId="54" w16cid:durableId="226651262">
    <w:abstractNumId w:val="45"/>
  </w:num>
  <w:num w:numId="55" w16cid:durableId="792362620">
    <w:abstractNumId w:val="16"/>
  </w:num>
  <w:num w:numId="56" w16cid:durableId="1907451665">
    <w:abstractNumId w:val="26"/>
  </w:num>
  <w:num w:numId="57" w16cid:durableId="750152853">
    <w:abstractNumId w:val="38"/>
  </w:num>
  <w:num w:numId="58" w16cid:durableId="1980304613">
    <w:abstractNumId w:val="54"/>
  </w:num>
  <w:num w:numId="59" w16cid:durableId="548999783">
    <w:abstractNumId w:val="24"/>
  </w:num>
  <w:num w:numId="60" w16cid:durableId="1187408458">
    <w:abstractNumId w:val="55"/>
  </w:num>
  <w:num w:numId="61" w16cid:durableId="2028097834">
    <w:abstractNumId w:val="0"/>
  </w:num>
  <w:num w:numId="62" w16cid:durableId="196507285">
    <w:abstractNumId w:val="51"/>
  </w:num>
  <w:num w:numId="63" w16cid:durableId="648444025">
    <w:abstractNumId w:val="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650"/>
    <w:rsid w:val="00015BCC"/>
    <w:rsid w:val="0002084A"/>
    <w:rsid w:val="00042C6F"/>
    <w:rsid w:val="0004495D"/>
    <w:rsid w:val="0004619A"/>
    <w:rsid w:val="00046C49"/>
    <w:rsid w:val="00047ED5"/>
    <w:rsid w:val="00050B79"/>
    <w:rsid w:val="00067F6E"/>
    <w:rsid w:val="00086352"/>
    <w:rsid w:val="00093D9F"/>
    <w:rsid w:val="0009467C"/>
    <w:rsid w:val="000A0E24"/>
    <w:rsid w:val="000A1102"/>
    <w:rsid w:val="000B5D57"/>
    <w:rsid w:val="000B6F75"/>
    <w:rsid w:val="000C5FAC"/>
    <w:rsid w:val="000C7C14"/>
    <w:rsid w:val="000D0F83"/>
    <w:rsid w:val="00101544"/>
    <w:rsid w:val="00107673"/>
    <w:rsid w:val="00114CCA"/>
    <w:rsid w:val="001167C4"/>
    <w:rsid w:val="001520D3"/>
    <w:rsid w:val="00156C09"/>
    <w:rsid w:val="001668A8"/>
    <w:rsid w:val="001931EE"/>
    <w:rsid w:val="00196443"/>
    <w:rsid w:val="001A6E66"/>
    <w:rsid w:val="001B13EB"/>
    <w:rsid w:val="001B450B"/>
    <w:rsid w:val="001C7043"/>
    <w:rsid w:val="001D1DBC"/>
    <w:rsid w:val="001D4419"/>
    <w:rsid w:val="001D532C"/>
    <w:rsid w:val="001D6213"/>
    <w:rsid w:val="001F354D"/>
    <w:rsid w:val="001F47FD"/>
    <w:rsid w:val="001F78AB"/>
    <w:rsid w:val="00213E34"/>
    <w:rsid w:val="002257CD"/>
    <w:rsid w:val="002305C5"/>
    <w:rsid w:val="002533B2"/>
    <w:rsid w:val="00270D2C"/>
    <w:rsid w:val="00284AAE"/>
    <w:rsid w:val="0028723E"/>
    <w:rsid w:val="002876FE"/>
    <w:rsid w:val="0029400A"/>
    <w:rsid w:val="002B3176"/>
    <w:rsid w:val="002C79F5"/>
    <w:rsid w:val="002D0B34"/>
    <w:rsid w:val="002D5B01"/>
    <w:rsid w:val="002D65A3"/>
    <w:rsid w:val="002D7273"/>
    <w:rsid w:val="002E028A"/>
    <w:rsid w:val="002F00BC"/>
    <w:rsid w:val="00307051"/>
    <w:rsid w:val="003216C7"/>
    <w:rsid w:val="00326F85"/>
    <w:rsid w:val="003319F3"/>
    <w:rsid w:val="0033662F"/>
    <w:rsid w:val="003439F7"/>
    <w:rsid w:val="00360DAB"/>
    <w:rsid w:val="00371F59"/>
    <w:rsid w:val="00372B51"/>
    <w:rsid w:val="0038184B"/>
    <w:rsid w:val="00383811"/>
    <w:rsid w:val="00390234"/>
    <w:rsid w:val="003A0EBE"/>
    <w:rsid w:val="003A1F96"/>
    <w:rsid w:val="003A60A9"/>
    <w:rsid w:val="003A745E"/>
    <w:rsid w:val="003B6A40"/>
    <w:rsid w:val="003B7C83"/>
    <w:rsid w:val="003C01C1"/>
    <w:rsid w:val="00401F8D"/>
    <w:rsid w:val="004055DB"/>
    <w:rsid w:val="004134D4"/>
    <w:rsid w:val="00414D42"/>
    <w:rsid w:val="00424B8B"/>
    <w:rsid w:val="004273C5"/>
    <w:rsid w:val="00434DDB"/>
    <w:rsid w:val="00436AE3"/>
    <w:rsid w:val="004650D2"/>
    <w:rsid w:val="00477C56"/>
    <w:rsid w:val="00484A19"/>
    <w:rsid w:val="00490571"/>
    <w:rsid w:val="0049174B"/>
    <w:rsid w:val="004A7201"/>
    <w:rsid w:val="004D31DA"/>
    <w:rsid w:val="004E4E5C"/>
    <w:rsid w:val="004F0624"/>
    <w:rsid w:val="004F28E4"/>
    <w:rsid w:val="004F6D5A"/>
    <w:rsid w:val="004F6EC6"/>
    <w:rsid w:val="004F7950"/>
    <w:rsid w:val="005025C7"/>
    <w:rsid w:val="00505CB3"/>
    <w:rsid w:val="005132DF"/>
    <w:rsid w:val="005148DF"/>
    <w:rsid w:val="0051677C"/>
    <w:rsid w:val="00531689"/>
    <w:rsid w:val="00531CED"/>
    <w:rsid w:val="00543435"/>
    <w:rsid w:val="005612DD"/>
    <w:rsid w:val="00566EF4"/>
    <w:rsid w:val="005779BB"/>
    <w:rsid w:val="0058685C"/>
    <w:rsid w:val="005A3794"/>
    <w:rsid w:val="005A38AA"/>
    <w:rsid w:val="005B3A8D"/>
    <w:rsid w:val="005C3446"/>
    <w:rsid w:val="005C5962"/>
    <w:rsid w:val="005D38D7"/>
    <w:rsid w:val="005E2E96"/>
    <w:rsid w:val="005E642C"/>
    <w:rsid w:val="006057A0"/>
    <w:rsid w:val="006105E2"/>
    <w:rsid w:val="00640577"/>
    <w:rsid w:val="006412F6"/>
    <w:rsid w:val="006416BE"/>
    <w:rsid w:val="00644334"/>
    <w:rsid w:val="00644785"/>
    <w:rsid w:val="00646A53"/>
    <w:rsid w:val="00672737"/>
    <w:rsid w:val="006807A3"/>
    <w:rsid w:val="00682278"/>
    <w:rsid w:val="00683E71"/>
    <w:rsid w:val="00690C3F"/>
    <w:rsid w:val="00693967"/>
    <w:rsid w:val="006946CB"/>
    <w:rsid w:val="006B1AFB"/>
    <w:rsid w:val="006C53FC"/>
    <w:rsid w:val="006D3370"/>
    <w:rsid w:val="006E24B7"/>
    <w:rsid w:val="006F5D15"/>
    <w:rsid w:val="007110B7"/>
    <w:rsid w:val="00713444"/>
    <w:rsid w:val="00720C57"/>
    <w:rsid w:val="007343CC"/>
    <w:rsid w:val="00737F10"/>
    <w:rsid w:val="00741D51"/>
    <w:rsid w:val="007421E4"/>
    <w:rsid w:val="0074772B"/>
    <w:rsid w:val="0075015E"/>
    <w:rsid w:val="00755B2C"/>
    <w:rsid w:val="00771104"/>
    <w:rsid w:val="007733D2"/>
    <w:rsid w:val="00786D2C"/>
    <w:rsid w:val="007A17F9"/>
    <w:rsid w:val="007A3C77"/>
    <w:rsid w:val="007B5697"/>
    <w:rsid w:val="007C2144"/>
    <w:rsid w:val="007C3E73"/>
    <w:rsid w:val="007E38ED"/>
    <w:rsid w:val="007E56C8"/>
    <w:rsid w:val="007F62CB"/>
    <w:rsid w:val="00823531"/>
    <w:rsid w:val="00823F46"/>
    <w:rsid w:val="00826C6D"/>
    <w:rsid w:val="008343DF"/>
    <w:rsid w:val="00843A10"/>
    <w:rsid w:val="00850AC2"/>
    <w:rsid w:val="00850C24"/>
    <w:rsid w:val="008566A8"/>
    <w:rsid w:val="00860C1C"/>
    <w:rsid w:val="00871BB0"/>
    <w:rsid w:val="00875304"/>
    <w:rsid w:val="008823E1"/>
    <w:rsid w:val="00884133"/>
    <w:rsid w:val="0088439C"/>
    <w:rsid w:val="00887892"/>
    <w:rsid w:val="008A025D"/>
    <w:rsid w:val="008A0867"/>
    <w:rsid w:val="008A08B6"/>
    <w:rsid w:val="008B71B3"/>
    <w:rsid w:val="008F0744"/>
    <w:rsid w:val="008F2641"/>
    <w:rsid w:val="0091285A"/>
    <w:rsid w:val="00917D82"/>
    <w:rsid w:val="00920472"/>
    <w:rsid w:val="00925A72"/>
    <w:rsid w:val="009337BF"/>
    <w:rsid w:val="009412A9"/>
    <w:rsid w:val="00977777"/>
    <w:rsid w:val="009850AD"/>
    <w:rsid w:val="00990858"/>
    <w:rsid w:val="009B028E"/>
    <w:rsid w:val="009B226C"/>
    <w:rsid w:val="009C623E"/>
    <w:rsid w:val="009D1F8F"/>
    <w:rsid w:val="009E15C5"/>
    <w:rsid w:val="009E290C"/>
    <w:rsid w:val="00A03228"/>
    <w:rsid w:val="00A044D4"/>
    <w:rsid w:val="00A10665"/>
    <w:rsid w:val="00A15C06"/>
    <w:rsid w:val="00A162C1"/>
    <w:rsid w:val="00A21CC4"/>
    <w:rsid w:val="00A3015D"/>
    <w:rsid w:val="00A31EA7"/>
    <w:rsid w:val="00A3448D"/>
    <w:rsid w:val="00A37636"/>
    <w:rsid w:val="00A45C79"/>
    <w:rsid w:val="00A537CE"/>
    <w:rsid w:val="00A62BBF"/>
    <w:rsid w:val="00A63977"/>
    <w:rsid w:val="00A64F85"/>
    <w:rsid w:val="00A736DD"/>
    <w:rsid w:val="00A81650"/>
    <w:rsid w:val="00A81860"/>
    <w:rsid w:val="00A83C1E"/>
    <w:rsid w:val="00AB2EAB"/>
    <w:rsid w:val="00AC1E6F"/>
    <w:rsid w:val="00AD6242"/>
    <w:rsid w:val="00AE7B0F"/>
    <w:rsid w:val="00AF7FD1"/>
    <w:rsid w:val="00B01D47"/>
    <w:rsid w:val="00B038A2"/>
    <w:rsid w:val="00B23185"/>
    <w:rsid w:val="00B327FC"/>
    <w:rsid w:val="00B35D5B"/>
    <w:rsid w:val="00B36D64"/>
    <w:rsid w:val="00B50DC2"/>
    <w:rsid w:val="00B53978"/>
    <w:rsid w:val="00B66916"/>
    <w:rsid w:val="00B736F1"/>
    <w:rsid w:val="00B76BA7"/>
    <w:rsid w:val="00B8399C"/>
    <w:rsid w:val="00B84902"/>
    <w:rsid w:val="00BA7411"/>
    <w:rsid w:val="00BB081A"/>
    <w:rsid w:val="00BB10FB"/>
    <w:rsid w:val="00BB2414"/>
    <w:rsid w:val="00BB2E0C"/>
    <w:rsid w:val="00BC12C8"/>
    <w:rsid w:val="00BC2D2E"/>
    <w:rsid w:val="00BC41A1"/>
    <w:rsid w:val="00BD1773"/>
    <w:rsid w:val="00BD5FAD"/>
    <w:rsid w:val="00BE6F35"/>
    <w:rsid w:val="00BF14D3"/>
    <w:rsid w:val="00BF1B11"/>
    <w:rsid w:val="00BF406C"/>
    <w:rsid w:val="00BF478D"/>
    <w:rsid w:val="00C0706B"/>
    <w:rsid w:val="00C26FE4"/>
    <w:rsid w:val="00C34E13"/>
    <w:rsid w:val="00C351FE"/>
    <w:rsid w:val="00C43C98"/>
    <w:rsid w:val="00C47923"/>
    <w:rsid w:val="00C67416"/>
    <w:rsid w:val="00C86D0C"/>
    <w:rsid w:val="00CC193E"/>
    <w:rsid w:val="00CC2F15"/>
    <w:rsid w:val="00CC606D"/>
    <w:rsid w:val="00CD3720"/>
    <w:rsid w:val="00CD497F"/>
    <w:rsid w:val="00CD5381"/>
    <w:rsid w:val="00D01C6A"/>
    <w:rsid w:val="00D03E1E"/>
    <w:rsid w:val="00D11899"/>
    <w:rsid w:val="00D500E7"/>
    <w:rsid w:val="00D56CB6"/>
    <w:rsid w:val="00D57B63"/>
    <w:rsid w:val="00D65CAF"/>
    <w:rsid w:val="00D674C8"/>
    <w:rsid w:val="00D759CA"/>
    <w:rsid w:val="00DA1879"/>
    <w:rsid w:val="00DA4B1D"/>
    <w:rsid w:val="00DB04A9"/>
    <w:rsid w:val="00DB1A2D"/>
    <w:rsid w:val="00DB5AB9"/>
    <w:rsid w:val="00DC1357"/>
    <w:rsid w:val="00DC35AC"/>
    <w:rsid w:val="00DD77D6"/>
    <w:rsid w:val="00DD79E0"/>
    <w:rsid w:val="00DE35AB"/>
    <w:rsid w:val="00DE6A62"/>
    <w:rsid w:val="00DF1EE4"/>
    <w:rsid w:val="00DF3596"/>
    <w:rsid w:val="00E10DA8"/>
    <w:rsid w:val="00E12DC0"/>
    <w:rsid w:val="00E23D01"/>
    <w:rsid w:val="00E3117B"/>
    <w:rsid w:val="00E4520A"/>
    <w:rsid w:val="00E45A93"/>
    <w:rsid w:val="00E473C6"/>
    <w:rsid w:val="00E47C87"/>
    <w:rsid w:val="00E55456"/>
    <w:rsid w:val="00E820AA"/>
    <w:rsid w:val="00E94DD0"/>
    <w:rsid w:val="00E9641B"/>
    <w:rsid w:val="00EA2C34"/>
    <w:rsid w:val="00EA4670"/>
    <w:rsid w:val="00EB150E"/>
    <w:rsid w:val="00EB7424"/>
    <w:rsid w:val="00ED3ED2"/>
    <w:rsid w:val="00ED7702"/>
    <w:rsid w:val="00EE28C0"/>
    <w:rsid w:val="00EF597D"/>
    <w:rsid w:val="00EF6E5F"/>
    <w:rsid w:val="00F12806"/>
    <w:rsid w:val="00F27F37"/>
    <w:rsid w:val="00F52D36"/>
    <w:rsid w:val="00F533B4"/>
    <w:rsid w:val="00F56B3D"/>
    <w:rsid w:val="00F60E10"/>
    <w:rsid w:val="00F6155D"/>
    <w:rsid w:val="00F67576"/>
    <w:rsid w:val="00F715CB"/>
    <w:rsid w:val="00F72F2C"/>
    <w:rsid w:val="00F8429A"/>
    <w:rsid w:val="00F871C7"/>
    <w:rsid w:val="00F94355"/>
    <w:rsid w:val="00FA13E3"/>
    <w:rsid w:val="00FA426E"/>
    <w:rsid w:val="00FA5CD7"/>
    <w:rsid w:val="00FD2C1E"/>
    <w:rsid w:val="00FE0211"/>
    <w:rsid w:val="00FE6606"/>
    <w:rsid w:val="00FF5F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8E1D3"/>
  <w15:docId w15:val="{07A2FAF7-B3D2-4556-A7C2-48C68B5A1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9F5"/>
    <w:pPr>
      <w:spacing w:line="278" w:lineRule="auto"/>
    </w:pPr>
    <w:rPr>
      <w:kern w:val="2"/>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340471037">
      <w:bodyDiv w:val="1"/>
      <w:marLeft w:val="0"/>
      <w:marRight w:val="0"/>
      <w:marTop w:val="0"/>
      <w:marBottom w:val="0"/>
      <w:divBdr>
        <w:top w:val="none" w:sz="0" w:space="0" w:color="auto"/>
        <w:left w:val="none" w:sz="0" w:space="0" w:color="auto"/>
        <w:bottom w:val="none" w:sz="0" w:space="0" w:color="auto"/>
        <w:right w:val="none" w:sz="0" w:space="0" w:color="auto"/>
      </w:divBdr>
    </w:div>
    <w:div w:id="441339222">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960460772">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n9.cl/9pn60y" TargetMode="External"/><Relationship Id="rId3" Type="http://schemas.openxmlformats.org/officeDocument/2006/relationships/hyperlink" Target="https://n9.cl/0vxeu" TargetMode="External"/><Relationship Id="rId7" Type="http://schemas.openxmlformats.org/officeDocument/2006/relationships/hyperlink" Target="https://n9.cl/73ve0" TargetMode="External"/><Relationship Id="rId2" Type="http://schemas.openxmlformats.org/officeDocument/2006/relationships/hyperlink" Target="https://n9.cl/e7yof" TargetMode="External"/><Relationship Id="rId1" Type="http://schemas.openxmlformats.org/officeDocument/2006/relationships/hyperlink" Target="https://n9.cl/grvux" TargetMode="External"/><Relationship Id="rId6" Type="http://schemas.openxmlformats.org/officeDocument/2006/relationships/hyperlink" Target="https://n9.cl/kaasj" TargetMode="External"/><Relationship Id="rId5" Type="http://schemas.openxmlformats.org/officeDocument/2006/relationships/hyperlink" Target="https://n9.cl/j9ro8" TargetMode="External"/><Relationship Id="rId10" Type="http://schemas.openxmlformats.org/officeDocument/2006/relationships/hyperlink" Target="https://n9.cl/kaasj" TargetMode="External"/><Relationship Id="rId4" Type="http://schemas.openxmlformats.org/officeDocument/2006/relationships/hyperlink" Target="https://n9.cl/8tyh7q" TargetMode="External"/><Relationship Id="rId9" Type="http://schemas.openxmlformats.org/officeDocument/2006/relationships/hyperlink" Target="https://n9.cl/8tyh7q"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2299</Words>
  <Characters>13109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cp:lastModifiedBy>
  <cp:revision>2</cp:revision>
  <dcterms:created xsi:type="dcterms:W3CDTF">2026-07-20T13:58:00Z</dcterms:created>
  <dcterms:modified xsi:type="dcterms:W3CDTF">2026-07-20T13:58:00Z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