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28CE3" w14:textId="77777777" w:rsidR="00A15EB8" w:rsidRDefault="00A15EB8">
      <w:pPr>
        <w:rPr>
          <w:rFonts w:eastAsiaTheme="minorEastAsia"/>
          <w:lang w:eastAsia="ko-KR"/>
        </w:rPr>
      </w:pPr>
    </w:p>
    <w:p w14:paraId="7C2553A4" w14:textId="77777777" w:rsidR="00A15EB8" w:rsidRDefault="00A15EB8" w:rsidP="00740225">
      <w:pPr>
        <w:spacing w:line="360" w:lineRule="auto"/>
        <w:rPr>
          <w:rFonts w:eastAsiaTheme="minorEastAsia"/>
          <w:lang w:eastAsia="ko-KR"/>
        </w:rPr>
      </w:pPr>
    </w:p>
    <w:p w14:paraId="3F34EEA5" w14:textId="0899E282" w:rsidR="00A15EB8" w:rsidRPr="00521C2A" w:rsidRDefault="00A15EB8" w:rsidP="00740225">
      <w:pPr>
        <w:spacing w:line="360" w:lineRule="auto"/>
        <w:rPr>
          <w:rFonts w:eastAsiaTheme="minorEastAsia"/>
          <w:b/>
          <w:bCs/>
          <w:sz w:val="32"/>
          <w:szCs w:val="32"/>
          <w:lang w:eastAsia="ko-KR"/>
        </w:rPr>
      </w:pPr>
      <w:r w:rsidRPr="00521C2A">
        <w:rPr>
          <w:rFonts w:eastAsiaTheme="minorEastAsia" w:hint="eastAsia"/>
          <w:b/>
          <w:bCs/>
          <w:sz w:val="32"/>
          <w:szCs w:val="32"/>
          <w:lang w:eastAsia="ko-KR"/>
        </w:rPr>
        <w:t>Introduction</w:t>
      </w:r>
    </w:p>
    <w:p w14:paraId="6CB407AE" w14:textId="77777777" w:rsidR="00A15EB8" w:rsidRPr="00A15EB8" w:rsidRDefault="00A15EB8" w:rsidP="00740225">
      <w:pPr>
        <w:spacing w:line="360" w:lineRule="auto"/>
        <w:rPr>
          <w:rFonts w:eastAsiaTheme="minorEastAsia"/>
          <w:lang w:eastAsia="ko-KR"/>
        </w:rPr>
      </w:pPr>
    </w:p>
    <w:p w14:paraId="519792F3" w14:textId="78BC9C82" w:rsidR="00A15EB8" w:rsidRPr="009A1A87" w:rsidRDefault="00A15EB8" w:rsidP="00740225">
      <w:pPr>
        <w:spacing w:line="360" w:lineRule="auto"/>
        <w:rPr>
          <w:rFonts w:eastAsiaTheme="minorEastAsia"/>
          <w:sz w:val="22"/>
          <w:szCs w:val="22"/>
          <w:lang w:eastAsia="ko-KR"/>
        </w:rPr>
      </w:pPr>
      <w:r w:rsidRPr="009A1A87">
        <w:rPr>
          <w:rFonts w:eastAsiaTheme="minorEastAsia"/>
          <w:sz w:val="22"/>
          <w:szCs w:val="22"/>
          <w:lang w:eastAsia="ko-KR"/>
        </w:rPr>
        <w:t xml:space="preserve">Disability Rights Advocacy </w:t>
      </w:r>
      <w:proofErr w:type="spellStart"/>
      <w:r w:rsidR="001D6FFE" w:rsidRPr="009A1A87">
        <w:rPr>
          <w:rFonts w:eastAsiaTheme="minorEastAsia"/>
          <w:sz w:val="22"/>
          <w:szCs w:val="22"/>
          <w:lang w:eastAsia="ko-KR"/>
        </w:rPr>
        <w:t>Cent</w:t>
      </w:r>
      <w:r w:rsidR="001D6FFE">
        <w:rPr>
          <w:rFonts w:eastAsiaTheme="minorEastAsia" w:hint="eastAsia"/>
          <w:sz w:val="22"/>
          <w:szCs w:val="22"/>
          <w:lang w:eastAsia="ko-KR"/>
        </w:rPr>
        <w:t>er</w:t>
      </w:r>
      <w:proofErr w:type="spellEnd"/>
      <w:r w:rsidR="001D6FFE">
        <w:rPr>
          <w:rFonts w:eastAsiaTheme="minorEastAsia" w:hint="eastAsia"/>
          <w:sz w:val="22"/>
          <w:szCs w:val="22"/>
          <w:lang w:eastAsia="ko-KR"/>
        </w:rPr>
        <w:t xml:space="preserve"> </w:t>
      </w:r>
      <w:r w:rsidR="00521C2A" w:rsidRPr="009A1A87">
        <w:rPr>
          <w:rFonts w:eastAsiaTheme="minorEastAsia" w:hint="eastAsia"/>
          <w:sz w:val="22"/>
          <w:szCs w:val="22"/>
          <w:lang w:eastAsia="ko-KR"/>
        </w:rPr>
        <w:t>(DRAC)</w:t>
      </w:r>
      <w:r w:rsidRPr="009A1A87">
        <w:rPr>
          <w:rFonts w:eastAsiaTheme="minorEastAsia"/>
          <w:sz w:val="22"/>
          <w:szCs w:val="22"/>
          <w:lang w:eastAsia="ko-KR"/>
        </w:rPr>
        <w:t xml:space="preserve"> </w:t>
      </w:r>
      <w:r w:rsidR="00521C2A" w:rsidRPr="009A1A87">
        <w:rPr>
          <w:rFonts w:eastAsiaTheme="minorEastAsia" w:hint="eastAsia"/>
          <w:sz w:val="22"/>
          <w:szCs w:val="22"/>
          <w:lang w:eastAsia="ko-KR"/>
        </w:rPr>
        <w:t>is</w:t>
      </w:r>
      <w:r w:rsidRPr="009A1A87">
        <w:rPr>
          <w:rFonts w:eastAsiaTheme="minorEastAsia"/>
          <w:sz w:val="22"/>
          <w:szCs w:val="22"/>
          <w:lang w:eastAsia="ko-KR"/>
        </w:rPr>
        <w:t xml:space="preserve"> the most active non-profit law firm in the Republic of Korea ("</w:t>
      </w:r>
      <w:r w:rsidR="00740225">
        <w:rPr>
          <w:rFonts w:eastAsiaTheme="minorEastAsia" w:hint="eastAsia"/>
          <w:sz w:val="22"/>
          <w:szCs w:val="22"/>
          <w:lang w:eastAsia="ko-KR"/>
        </w:rPr>
        <w:t xml:space="preserve">South </w:t>
      </w:r>
      <w:r w:rsidRPr="009A1A87">
        <w:rPr>
          <w:rFonts w:eastAsiaTheme="minorEastAsia"/>
          <w:sz w:val="22"/>
          <w:szCs w:val="22"/>
          <w:lang w:eastAsia="ko-KR"/>
        </w:rPr>
        <w:t xml:space="preserve">Korea"). It is a </w:t>
      </w:r>
      <w:r w:rsidR="004E4E05">
        <w:rPr>
          <w:rFonts w:eastAsiaTheme="minorEastAsia" w:hint="eastAsia"/>
          <w:sz w:val="22"/>
          <w:szCs w:val="22"/>
          <w:lang w:eastAsia="ko-KR"/>
        </w:rPr>
        <w:t>non-profit</w:t>
      </w:r>
      <w:r w:rsidRPr="009A1A87">
        <w:rPr>
          <w:rFonts w:eastAsiaTheme="minorEastAsia"/>
          <w:sz w:val="22"/>
          <w:szCs w:val="22"/>
          <w:lang w:eastAsia="ko-KR"/>
        </w:rPr>
        <w:t xml:space="preserve"> law firm that provides pro bono </w:t>
      </w:r>
      <w:r w:rsidR="004E4E05">
        <w:rPr>
          <w:rFonts w:eastAsiaTheme="minorEastAsia" w:hint="eastAsia"/>
          <w:sz w:val="22"/>
          <w:szCs w:val="22"/>
          <w:lang w:eastAsia="ko-KR"/>
        </w:rPr>
        <w:t>supports</w:t>
      </w:r>
      <w:r w:rsidRPr="009A1A87">
        <w:rPr>
          <w:rFonts w:eastAsiaTheme="minorEastAsia"/>
          <w:sz w:val="22"/>
          <w:szCs w:val="22"/>
          <w:lang w:eastAsia="ko-KR"/>
        </w:rPr>
        <w:t xml:space="preserve"> to victims of human rights violations and crimes of underrepresented minorities, including women, children, and persons with disabilities. In preparation for the </w:t>
      </w:r>
      <w:r w:rsidR="004E4E05">
        <w:rPr>
          <w:rFonts w:eastAsiaTheme="minorEastAsia" w:hint="eastAsia"/>
          <w:sz w:val="22"/>
          <w:szCs w:val="22"/>
          <w:lang w:eastAsia="ko-KR"/>
        </w:rPr>
        <w:t>9</w:t>
      </w:r>
      <w:r w:rsidRPr="009A1A87">
        <w:rPr>
          <w:rFonts w:eastAsiaTheme="minorEastAsia"/>
          <w:sz w:val="22"/>
          <w:szCs w:val="22"/>
          <w:lang w:eastAsia="ko-KR"/>
        </w:rPr>
        <w:t xml:space="preserve">th CEDAW review of Korea (May 14), DRAC reports on the current situation in Korea as follows. </w:t>
      </w:r>
    </w:p>
    <w:p w14:paraId="3EED4E1E" w14:textId="77777777" w:rsidR="00A15EB8" w:rsidRPr="009A1A87" w:rsidRDefault="00A15EB8" w:rsidP="00740225">
      <w:pPr>
        <w:spacing w:line="360" w:lineRule="auto"/>
        <w:rPr>
          <w:rFonts w:eastAsiaTheme="minorEastAsia"/>
          <w:sz w:val="22"/>
          <w:szCs w:val="22"/>
          <w:lang w:eastAsia="ko-KR"/>
        </w:rPr>
      </w:pPr>
    </w:p>
    <w:p w14:paraId="47232609" w14:textId="24BAD034" w:rsidR="001D6FFE" w:rsidRPr="001D6FFE" w:rsidRDefault="00A15EB8" w:rsidP="001D6FFE">
      <w:pPr>
        <w:spacing w:line="360" w:lineRule="auto"/>
        <w:rPr>
          <w:rFonts w:eastAsiaTheme="minorEastAsia"/>
          <w:sz w:val="22"/>
          <w:szCs w:val="22"/>
          <w:lang w:eastAsia="ko-KR"/>
        </w:rPr>
      </w:pPr>
      <w:r w:rsidRPr="009A1A87">
        <w:rPr>
          <w:rFonts w:eastAsiaTheme="minorEastAsia"/>
          <w:sz w:val="22"/>
          <w:szCs w:val="22"/>
          <w:lang w:eastAsia="ko-KR"/>
        </w:rPr>
        <w:t>Yewon Kim (Lawyer, DRAC Representative)</w:t>
      </w:r>
      <w:r w:rsidR="001D6FFE">
        <w:rPr>
          <w:rFonts w:eastAsiaTheme="minorEastAsia"/>
          <w:sz w:val="22"/>
          <w:szCs w:val="22"/>
          <w:lang w:eastAsia="ko-KR"/>
        </w:rPr>
        <w:br/>
      </w:r>
      <w:r w:rsidR="001D6FFE">
        <w:rPr>
          <w:rFonts w:eastAsiaTheme="minorEastAsia" w:hint="eastAsia"/>
          <w:sz w:val="22"/>
          <w:szCs w:val="22"/>
          <w:lang w:eastAsia="ko-KR"/>
        </w:rPr>
        <w:t xml:space="preserve">Home: </w:t>
      </w:r>
      <w:hyperlink r:id="rId8" w:history="1">
        <w:r w:rsidR="001D6FFE" w:rsidRPr="00E8353B">
          <w:rPr>
            <w:rStyle w:val="ad"/>
            <w:rFonts w:eastAsiaTheme="minorEastAsia" w:hint="eastAsia"/>
            <w:sz w:val="22"/>
            <w:szCs w:val="22"/>
            <w:lang w:eastAsia="ko-KR"/>
          </w:rPr>
          <w:t>www.draclaw.kr</w:t>
        </w:r>
      </w:hyperlink>
      <w:r w:rsidR="001D6FFE">
        <w:rPr>
          <w:rFonts w:eastAsiaTheme="minorEastAsia" w:hint="eastAsia"/>
          <w:sz w:val="22"/>
          <w:szCs w:val="22"/>
          <w:lang w:eastAsia="ko-KR"/>
        </w:rPr>
        <w:t xml:space="preserve"> </w:t>
      </w:r>
    </w:p>
    <w:p w14:paraId="30DAA692" w14:textId="50310B58" w:rsidR="00A15EB8" w:rsidRPr="009A1A87" w:rsidRDefault="001D6FFE" w:rsidP="001D6FFE">
      <w:pPr>
        <w:spacing w:line="360" w:lineRule="auto"/>
        <w:rPr>
          <w:rFonts w:eastAsiaTheme="minorEastAsia"/>
          <w:sz w:val="22"/>
          <w:szCs w:val="22"/>
          <w:lang w:eastAsia="ko-KR"/>
        </w:rPr>
      </w:pPr>
      <w:r w:rsidRPr="001D6FFE">
        <w:rPr>
          <w:rFonts w:eastAsiaTheme="minorEastAsia"/>
          <w:sz w:val="22"/>
          <w:szCs w:val="22"/>
          <w:lang w:eastAsia="ko-KR"/>
        </w:rPr>
        <w:t>Tel: +</w:t>
      </w:r>
      <w:r>
        <w:rPr>
          <w:rFonts w:eastAsiaTheme="minorEastAsia" w:hint="eastAsia"/>
          <w:sz w:val="22"/>
          <w:szCs w:val="22"/>
          <w:lang w:eastAsia="ko-KR"/>
        </w:rPr>
        <w:t>82 62 372 5562</w:t>
      </w:r>
    </w:p>
    <w:p w14:paraId="020FC733" w14:textId="7E0595B7" w:rsidR="00A15EB8" w:rsidRPr="009A1A87" w:rsidRDefault="00000000" w:rsidP="00740225">
      <w:pPr>
        <w:spacing w:line="360" w:lineRule="auto"/>
        <w:rPr>
          <w:rFonts w:eastAsiaTheme="minorEastAsia"/>
          <w:sz w:val="22"/>
          <w:szCs w:val="22"/>
          <w:lang w:eastAsia="ko-KR"/>
        </w:rPr>
      </w:pPr>
      <w:hyperlink r:id="rId9" w:history="1">
        <w:r w:rsidR="00A15EB8" w:rsidRPr="009A1A87">
          <w:rPr>
            <w:rStyle w:val="ad"/>
            <w:rFonts w:eastAsiaTheme="minorEastAsia"/>
            <w:sz w:val="22"/>
            <w:szCs w:val="22"/>
            <w:lang w:eastAsia="ko-KR"/>
          </w:rPr>
          <w:t>kimyewon.law@gmail.com</w:t>
        </w:r>
      </w:hyperlink>
      <w:r w:rsidR="00A15EB8" w:rsidRPr="009A1A87">
        <w:rPr>
          <w:rFonts w:eastAsiaTheme="minorEastAsia" w:hint="eastAsia"/>
          <w:sz w:val="22"/>
          <w:szCs w:val="22"/>
          <w:lang w:eastAsia="ko-KR"/>
        </w:rPr>
        <w:t xml:space="preserve"> </w:t>
      </w:r>
    </w:p>
    <w:p w14:paraId="313CECA8" w14:textId="002548C2" w:rsidR="00A15EB8" w:rsidRPr="00A15EB8" w:rsidRDefault="009A1A87" w:rsidP="001D6FFE">
      <w:pPr>
        <w:spacing w:line="360" w:lineRule="auto"/>
        <w:rPr>
          <w:rFonts w:eastAsiaTheme="minorEastAsia"/>
          <w:lang w:eastAsia="ko-KR"/>
        </w:rPr>
      </w:pPr>
      <w:r>
        <w:rPr>
          <w:rFonts w:eastAsiaTheme="minorEastAsia"/>
          <w:lang w:eastAsia="ko-KR"/>
        </w:rPr>
        <w:br/>
      </w:r>
      <w:r>
        <w:rPr>
          <w:rFonts w:eastAsiaTheme="minorEastAsia"/>
          <w:lang w:eastAsia="ko-KR"/>
        </w:rPr>
        <w:br/>
      </w:r>
      <w:r>
        <w:rPr>
          <w:rFonts w:eastAsiaTheme="minorEastAsia"/>
          <w:lang w:eastAsia="ko-KR"/>
        </w:rPr>
        <w:br/>
      </w:r>
    </w:p>
    <w:tbl>
      <w:tblPr>
        <w:tblStyle w:val="ab"/>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065B4" w14:paraId="5A2733D8" w14:textId="77777777" w:rsidTr="001D6FFE">
        <w:trPr>
          <w:cantSplit/>
          <w:trHeight w:hRule="exact" w:val="1418"/>
        </w:trPr>
        <w:tc>
          <w:tcPr>
            <w:tcW w:w="1276" w:type="dxa"/>
            <w:tcBorders>
              <w:bottom w:val="single" w:sz="4" w:space="0" w:color="auto"/>
            </w:tcBorders>
            <w:vAlign w:val="bottom"/>
          </w:tcPr>
          <w:p w14:paraId="2E503B5E" w14:textId="526EA3E6" w:rsidR="00A065B4" w:rsidRDefault="00A15EB8" w:rsidP="00740225">
            <w:pPr>
              <w:spacing w:after="80" w:line="360" w:lineRule="auto"/>
            </w:pPr>
            <w:r>
              <w:rPr>
                <w:noProof/>
              </w:rPr>
              <w:drawing>
                <wp:inline distT="0" distB="0" distL="0" distR="0" wp14:anchorId="37649DA0" wp14:editId="428CE625">
                  <wp:extent cx="804545" cy="422275"/>
                  <wp:effectExtent l="0" t="0" r="0" b="0"/>
                  <wp:docPr id="96121102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4545" cy="422275"/>
                          </a:xfrm>
                          <a:prstGeom prst="rect">
                            <a:avLst/>
                          </a:prstGeom>
                          <a:noFill/>
                          <a:ln>
                            <a:noFill/>
                          </a:ln>
                        </pic:spPr>
                      </pic:pic>
                    </a:graphicData>
                  </a:graphic>
                </wp:inline>
              </w:drawing>
            </w:r>
          </w:p>
        </w:tc>
        <w:tc>
          <w:tcPr>
            <w:tcW w:w="2268" w:type="dxa"/>
            <w:tcBorders>
              <w:bottom w:val="single" w:sz="4" w:space="0" w:color="auto"/>
            </w:tcBorders>
            <w:vAlign w:val="bottom"/>
          </w:tcPr>
          <w:p w14:paraId="570259F7" w14:textId="77777777" w:rsidR="00A065B4" w:rsidRDefault="00A065B4" w:rsidP="00740225">
            <w:pPr>
              <w:spacing w:after="80" w:line="360" w:lineRule="auto"/>
              <w:rPr>
                <w:b/>
                <w:sz w:val="24"/>
                <w:szCs w:val="24"/>
              </w:rPr>
            </w:pPr>
          </w:p>
        </w:tc>
        <w:tc>
          <w:tcPr>
            <w:tcW w:w="6095" w:type="dxa"/>
            <w:gridSpan w:val="2"/>
            <w:tcBorders>
              <w:bottom w:val="single" w:sz="4" w:space="0" w:color="auto"/>
            </w:tcBorders>
            <w:vAlign w:val="bottom"/>
          </w:tcPr>
          <w:p w14:paraId="10424A40" w14:textId="5F4A5101" w:rsidR="00A065B4" w:rsidRDefault="00A065B4" w:rsidP="00740225">
            <w:pPr>
              <w:suppressAutoHyphens w:val="0"/>
              <w:spacing w:after="20" w:line="360" w:lineRule="auto"/>
              <w:jc w:val="right"/>
            </w:pPr>
            <w:r>
              <w:rPr>
                <w:sz w:val="40"/>
              </w:rPr>
              <w:t>CEDAW</w:t>
            </w:r>
            <w:r>
              <w:t>/</w:t>
            </w:r>
            <w:r w:rsidR="00A15EB8" w:rsidRPr="00A15EB8">
              <w:t>88th session</w:t>
            </w:r>
          </w:p>
        </w:tc>
      </w:tr>
      <w:tr w:rsidR="00A065B4" w14:paraId="109FF000" w14:textId="77777777" w:rsidTr="001D6FFE">
        <w:trPr>
          <w:cantSplit/>
          <w:trHeight w:hRule="exact" w:val="2565"/>
        </w:trPr>
        <w:tc>
          <w:tcPr>
            <w:tcW w:w="1276" w:type="dxa"/>
            <w:tcBorders>
              <w:top w:val="single" w:sz="4" w:space="0" w:color="auto"/>
              <w:bottom w:val="single" w:sz="12" w:space="0" w:color="auto"/>
            </w:tcBorders>
          </w:tcPr>
          <w:p w14:paraId="2CFCC0F5" w14:textId="77777777" w:rsidR="00A065B4" w:rsidRDefault="00A065B4" w:rsidP="00740225">
            <w:pPr>
              <w:spacing w:before="120" w:line="360" w:lineRule="auto"/>
              <w:jc w:val="center"/>
            </w:pPr>
          </w:p>
        </w:tc>
        <w:tc>
          <w:tcPr>
            <w:tcW w:w="5528" w:type="dxa"/>
            <w:gridSpan w:val="2"/>
            <w:tcBorders>
              <w:top w:val="single" w:sz="4" w:space="0" w:color="auto"/>
              <w:bottom w:val="single" w:sz="12" w:space="0" w:color="auto"/>
            </w:tcBorders>
          </w:tcPr>
          <w:p w14:paraId="77834886" w14:textId="336D3142" w:rsidR="00A065B4" w:rsidRPr="00A15EB8" w:rsidRDefault="00A15EB8" w:rsidP="00740225">
            <w:pPr>
              <w:spacing w:before="120" w:line="276" w:lineRule="auto"/>
              <w:rPr>
                <w:rFonts w:eastAsiaTheme="minorEastAsia"/>
                <w:b/>
                <w:sz w:val="34"/>
                <w:szCs w:val="40"/>
                <w:lang w:eastAsia="ko-KR"/>
              </w:rPr>
            </w:pPr>
            <w:r w:rsidRPr="00A15EB8">
              <w:rPr>
                <w:b/>
                <w:sz w:val="34"/>
                <w:szCs w:val="40"/>
              </w:rPr>
              <w:t>SUBMISSION TO THE UN COMMITTEE ON THE ELIMINATION OF DISCRIMINATION AGAINST WOMEN</w:t>
            </w:r>
          </w:p>
        </w:tc>
        <w:tc>
          <w:tcPr>
            <w:tcW w:w="2835" w:type="dxa"/>
            <w:tcBorders>
              <w:top w:val="single" w:sz="4" w:space="0" w:color="auto"/>
              <w:bottom w:val="single" w:sz="12" w:space="0" w:color="auto"/>
            </w:tcBorders>
          </w:tcPr>
          <w:p w14:paraId="5D9955FA" w14:textId="1082B923" w:rsidR="00A065B4" w:rsidRPr="004E4E05" w:rsidRDefault="00A15EB8" w:rsidP="00740225">
            <w:pPr>
              <w:suppressAutoHyphens w:val="0"/>
              <w:spacing w:line="360" w:lineRule="auto"/>
              <w:rPr>
                <w:rFonts w:eastAsiaTheme="minorEastAsia"/>
                <w:lang w:eastAsia="ko-KR"/>
              </w:rPr>
            </w:pPr>
            <w:r>
              <w:rPr>
                <w:rFonts w:eastAsiaTheme="minorEastAsia"/>
                <w:lang w:eastAsia="ko-KR"/>
              </w:rPr>
              <w:br/>
            </w:r>
            <w:r w:rsidRPr="00A15EB8">
              <w:t xml:space="preserve">14th May, </w:t>
            </w:r>
            <w:r>
              <w:rPr>
                <w:rFonts w:eastAsiaTheme="minorEastAsia"/>
                <w:lang w:eastAsia="ko-KR"/>
              </w:rPr>
              <w:br/>
            </w:r>
            <w:r w:rsidRPr="00A15EB8">
              <w:t>Republic of Korea</w:t>
            </w:r>
            <w:r w:rsidR="004E4E05">
              <w:rPr>
                <w:rFonts w:eastAsiaTheme="minorEastAsia"/>
                <w:lang w:eastAsia="ko-KR"/>
              </w:rPr>
              <w:br/>
            </w:r>
          </w:p>
          <w:p w14:paraId="5E8432DB" w14:textId="259F23E9" w:rsidR="00A065B4" w:rsidRPr="00A15EB8" w:rsidRDefault="00A15EB8" w:rsidP="00740225">
            <w:pPr>
              <w:suppressAutoHyphens w:val="0"/>
              <w:spacing w:line="360" w:lineRule="auto"/>
              <w:rPr>
                <w:rFonts w:eastAsiaTheme="minorEastAsia"/>
                <w:lang w:eastAsia="ko-KR"/>
              </w:rPr>
            </w:pPr>
            <w:r w:rsidRPr="00A15EB8">
              <w:t>Parallel Reports</w:t>
            </w:r>
            <w:r w:rsidR="00E2398D">
              <w:rPr>
                <w:rStyle w:val="aa"/>
              </w:rPr>
              <w:footnoteReference w:id="1"/>
            </w:r>
            <w:r>
              <w:rPr>
                <w:rFonts w:eastAsiaTheme="minorEastAsia"/>
                <w:lang w:eastAsia="ko-KR"/>
              </w:rPr>
              <w:br/>
            </w:r>
            <w:r>
              <w:rPr>
                <w:rFonts w:eastAsiaTheme="minorEastAsia" w:hint="eastAsia"/>
                <w:lang w:eastAsia="ko-KR"/>
              </w:rPr>
              <w:t xml:space="preserve">Disability Rights Advocate </w:t>
            </w:r>
            <w:proofErr w:type="spellStart"/>
            <w:r>
              <w:rPr>
                <w:rFonts w:eastAsiaTheme="minorEastAsia" w:hint="eastAsia"/>
                <w:lang w:eastAsia="ko-KR"/>
              </w:rPr>
              <w:t>Center</w:t>
            </w:r>
            <w:proofErr w:type="spellEnd"/>
            <w:r>
              <w:rPr>
                <w:rFonts w:eastAsiaTheme="minorEastAsia"/>
                <w:lang w:eastAsia="ko-KR"/>
              </w:rPr>
              <w:br/>
            </w:r>
          </w:p>
        </w:tc>
      </w:tr>
    </w:tbl>
    <w:p w14:paraId="792E3438" w14:textId="4C077E02" w:rsidR="00A065B4" w:rsidRPr="009A1A87" w:rsidRDefault="009A1A87" w:rsidP="001D6FFE">
      <w:pPr>
        <w:pStyle w:val="HMG"/>
        <w:numPr>
          <w:ilvl w:val="0"/>
          <w:numId w:val="4"/>
        </w:numPr>
        <w:spacing w:line="360" w:lineRule="auto"/>
        <w:ind w:rightChars="567"/>
        <w:rPr>
          <w:sz w:val="32"/>
          <w:szCs w:val="18"/>
          <w:lang w:val="en-US"/>
        </w:rPr>
      </w:pPr>
      <w:r w:rsidRPr="009A1A87">
        <w:rPr>
          <w:sz w:val="32"/>
          <w:szCs w:val="18"/>
          <w:lang w:val="en-US"/>
        </w:rPr>
        <w:t>Threats to women's reproductive rights - introduction of anonymous birth (Article 12</w:t>
      </w:r>
      <w:r>
        <w:rPr>
          <w:rFonts w:hint="eastAsia"/>
          <w:sz w:val="32"/>
          <w:szCs w:val="18"/>
          <w:lang w:val="en-US" w:eastAsia="ko-KR"/>
        </w:rPr>
        <w:t xml:space="preserve"> (</w:t>
      </w:r>
      <w:r w:rsidRPr="009A1A87">
        <w:rPr>
          <w:sz w:val="32"/>
          <w:szCs w:val="18"/>
          <w:lang w:val="en-US"/>
        </w:rPr>
        <w:t>2</w:t>
      </w:r>
      <w:r>
        <w:rPr>
          <w:rFonts w:hint="eastAsia"/>
          <w:sz w:val="32"/>
          <w:szCs w:val="18"/>
          <w:lang w:val="en-US" w:eastAsia="ko-KR"/>
        </w:rPr>
        <w:t>)</w:t>
      </w:r>
      <w:r w:rsidRPr="009A1A87">
        <w:rPr>
          <w:sz w:val="32"/>
          <w:szCs w:val="18"/>
          <w:lang w:val="en-US"/>
        </w:rPr>
        <w:t>)</w:t>
      </w:r>
    </w:p>
    <w:p w14:paraId="76918E8B" w14:textId="03BA84E5" w:rsidR="009A1A87" w:rsidRPr="009A1A87" w:rsidRDefault="009A1A87" w:rsidP="001D6FFE">
      <w:pPr>
        <w:pStyle w:val="SingleTxtG"/>
        <w:numPr>
          <w:ilvl w:val="0"/>
          <w:numId w:val="4"/>
        </w:numPr>
        <w:spacing w:line="360" w:lineRule="auto"/>
        <w:ind w:rightChars="567"/>
        <w:rPr>
          <w:sz w:val="22"/>
          <w:szCs w:val="22"/>
        </w:rPr>
      </w:pPr>
      <w:r w:rsidRPr="009A1A87">
        <w:rPr>
          <w:sz w:val="22"/>
          <w:szCs w:val="22"/>
        </w:rPr>
        <w:t>Korea is losing its population at one of the fastest rates in the world. In 2022, the country's total fertility rate (TFR) was 0.78, and in 2023, it was 0.72. To address this problem, the National Assembly hastily passed the Anonymous Childbirth Act in 2023. (The full name of the law is the "Special Act on Support for Crisis Pregnancy and Protective Childbirth and Child Protection," passed by the National Assembly in October</w:t>
      </w:r>
      <w:r w:rsidR="00740225">
        <w:rPr>
          <w:rFonts w:hint="eastAsia"/>
          <w:sz w:val="22"/>
          <w:szCs w:val="22"/>
          <w:lang w:eastAsia="ko-KR"/>
        </w:rPr>
        <w:t>)</w:t>
      </w:r>
      <w:r w:rsidRPr="009A1A87">
        <w:rPr>
          <w:sz w:val="22"/>
          <w:szCs w:val="22"/>
        </w:rPr>
        <w:t xml:space="preserve"> The law is scheduled to take effect in July of this year. Civil society in South </w:t>
      </w:r>
      <w:r w:rsidRPr="009A1A87">
        <w:rPr>
          <w:sz w:val="22"/>
          <w:szCs w:val="22"/>
        </w:rPr>
        <w:lastRenderedPageBreak/>
        <w:t>Korea is deeply concerned about this and is preparing to organize a campaign to repeal the law.(*</w:t>
      </w:r>
      <w:hyperlink r:id="rId11" w:history="1">
        <w:r w:rsidRPr="001D1AF4">
          <w:rPr>
            <w:rStyle w:val="ad"/>
            <w:sz w:val="22"/>
            <w:szCs w:val="22"/>
          </w:rPr>
          <w:t>Source article</w:t>
        </w:r>
      </w:hyperlink>
      <w:r w:rsidRPr="009A1A87">
        <w:rPr>
          <w:sz w:val="22"/>
          <w:szCs w:val="22"/>
        </w:rPr>
        <w:t>)</w:t>
      </w:r>
    </w:p>
    <w:p w14:paraId="3E4D266A" w14:textId="4C5D3A3E" w:rsidR="009A1A87" w:rsidRPr="00BD1BFA" w:rsidRDefault="009A1A87" w:rsidP="001D6FFE">
      <w:pPr>
        <w:pStyle w:val="SingleTxtG"/>
        <w:numPr>
          <w:ilvl w:val="0"/>
          <w:numId w:val="4"/>
        </w:numPr>
        <w:spacing w:line="360" w:lineRule="auto"/>
        <w:ind w:rightChars="567"/>
        <w:rPr>
          <w:sz w:val="22"/>
          <w:szCs w:val="22"/>
        </w:rPr>
      </w:pPr>
      <w:r w:rsidRPr="00BD1BFA">
        <w:rPr>
          <w:sz w:val="22"/>
          <w:szCs w:val="22"/>
        </w:rPr>
        <w:t>The flaws</w:t>
      </w:r>
      <w:r w:rsidR="0013460E">
        <w:rPr>
          <w:rFonts w:hint="eastAsia"/>
          <w:sz w:val="22"/>
          <w:szCs w:val="22"/>
          <w:lang w:eastAsia="ko-KR"/>
        </w:rPr>
        <w:t>:</w:t>
      </w:r>
      <w:r w:rsidRPr="00BD1BFA">
        <w:rPr>
          <w:rFonts w:hint="eastAsia"/>
          <w:sz w:val="22"/>
          <w:szCs w:val="22"/>
          <w:lang w:eastAsia="ko-KR"/>
        </w:rPr>
        <w:t xml:space="preserve"> </w:t>
      </w:r>
      <w:r w:rsidRPr="00BD1BFA">
        <w:rPr>
          <w:sz w:val="22"/>
          <w:szCs w:val="22"/>
        </w:rPr>
        <w:t>(a) The law allows pregnant women to give birth anonymously at any hospital in the country and legally abandon their babies if they find it difficult to raise them (Article 12)</w:t>
      </w:r>
      <w:r w:rsidR="00BD1BFA" w:rsidRPr="00BD1BFA">
        <w:rPr>
          <w:rFonts w:hint="eastAsia"/>
          <w:sz w:val="22"/>
          <w:szCs w:val="22"/>
          <w:lang w:eastAsia="ko-KR"/>
        </w:rPr>
        <w:t xml:space="preserve">. </w:t>
      </w:r>
      <w:r w:rsidRPr="00BD1BFA">
        <w:rPr>
          <w:sz w:val="22"/>
          <w:szCs w:val="22"/>
        </w:rPr>
        <w:t xml:space="preserve">(b) A woman may take the child she gives birth </w:t>
      </w:r>
      <w:proofErr w:type="gramStart"/>
      <w:r w:rsidRPr="00BD1BFA">
        <w:rPr>
          <w:sz w:val="22"/>
          <w:szCs w:val="22"/>
        </w:rPr>
        <w:t>to,</w:t>
      </w:r>
      <w:proofErr w:type="gramEnd"/>
      <w:r w:rsidRPr="00BD1BFA">
        <w:rPr>
          <w:sz w:val="22"/>
          <w:szCs w:val="22"/>
        </w:rPr>
        <w:t xml:space="preserve"> raise it, and return it to the state within one month (Article 14). South Korea has very low foster care and adoption rates, so most children grow up in orphanages.</w:t>
      </w:r>
      <w:r w:rsidR="00BD1BFA" w:rsidRPr="00BD1BFA">
        <w:rPr>
          <w:rFonts w:hint="eastAsia"/>
          <w:sz w:val="22"/>
          <w:szCs w:val="22"/>
          <w:lang w:eastAsia="ko-KR"/>
        </w:rPr>
        <w:t xml:space="preserve"> </w:t>
      </w:r>
      <w:r w:rsidRPr="00BD1BFA">
        <w:rPr>
          <w:sz w:val="22"/>
          <w:szCs w:val="22"/>
        </w:rPr>
        <w:t>(c) A child abandoned under this law cannot access information about his or her biological parents without the consent of the biological parents (Article 17).</w:t>
      </w:r>
    </w:p>
    <w:p w14:paraId="73FED3E3" w14:textId="1686B40C" w:rsidR="009A1A87" w:rsidRPr="009A1A87" w:rsidRDefault="009A1A87" w:rsidP="001D6FFE">
      <w:pPr>
        <w:pStyle w:val="SingleTxtG"/>
        <w:numPr>
          <w:ilvl w:val="0"/>
          <w:numId w:val="4"/>
        </w:numPr>
        <w:spacing w:line="360" w:lineRule="auto"/>
        <w:ind w:rightChars="567"/>
        <w:rPr>
          <w:sz w:val="22"/>
          <w:szCs w:val="22"/>
        </w:rPr>
      </w:pPr>
      <w:r w:rsidRPr="009A1A87">
        <w:rPr>
          <w:sz w:val="22"/>
          <w:szCs w:val="22"/>
        </w:rPr>
        <w:t>Issues</w:t>
      </w:r>
      <w:r w:rsidR="0013460E">
        <w:rPr>
          <w:rFonts w:hint="eastAsia"/>
          <w:sz w:val="22"/>
          <w:szCs w:val="22"/>
          <w:lang w:eastAsia="ko-KR"/>
        </w:rPr>
        <w:t>:</w:t>
      </w:r>
      <w:r>
        <w:rPr>
          <w:rFonts w:hint="eastAsia"/>
          <w:sz w:val="22"/>
          <w:szCs w:val="22"/>
          <w:lang w:eastAsia="ko-KR"/>
        </w:rPr>
        <w:t xml:space="preserve"> </w:t>
      </w:r>
      <w:r w:rsidRPr="009A1A87">
        <w:rPr>
          <w:sz w:val="22"/>
          <w:szCs w:val="22"/>
        </w:rPr>
        <w:t xml:space="preserve">The law limits pregnant women to the role of the womb </w:t>
      </w:r>
      <w:proofErr w:type="gramStart"/>
      <w:r w:rsidRPr="009A1A87">
        <w:rPr>
          <w:sz w:val="22"/>
          <w:szCs w:val="22"/>
        </w:rPr>
        <w:t>in order to</w:t>
      </w:r>
      <w:proofErr w:type="gramEnd"/>
      <w:r w:rsidRPr="009A1A87">
        <w:rPr>
          <w:sz w:val="22"/>
          <w:szCs w:val="22"/>
        </w:rPr>
        <w:t xml:space="preserve"> increase fertility rates and reinforces social prejudice and stigma against unwed mothers. Despite the law's intention to support pregnant women in crisis, the delivery system and budget for this program is very poor. It encourages the abandonment of children by women in crisis pregnancies, as the support for children growing up in institutions (€700 per child per month) is much higher than for children raised directly in the home of a single mother (€68 per child per month). </w:t>
      </w:r>
    </w:p>
    <w:p w14:paraId="0E92CF11" w14:textId="1AF1F87B" w:rsidR="00F3220B" w:rsidRDefault="00BD1BFA" w:rsidP="001D6FFE">
      <w:pPr>
        <w:pStyle w:val="SingleTxtG"/>
        <w:numPr>
          <w:ilvl w:val="0"/>
          <w:numId w:val="4"/>
        </w:numPr>
        <w:spacing w:line="360" w:lineRule="auto"/>
        <w:ind w:rightChars="567"/>
        <w:rPr>
          <w:sz w:val="22"/>
          <w:szCs w:val="22"/>
          <w:lang w:eastAsia="ko-KR"/>
        </w:rPr>
      </w:pPr>
      <w:r w:rsidRPr="009A1A87">
        <w:rPr>
          <w:sz w:val="22"/>
          <w:szCs w:val="22"/>
        </w:rPr>
        <w:t>Request</w:t>
      </w:r>
      <w:r w:rsidRPr="009A1A87">
        <w:rPr>
          <w:sz w:val="22"/>
          <w:szCs w:val="22"/>
          <w:lang w:eastAsia="ko-KR"/>
        </w:rPr>
        <w:t>:</w:t>
      </w:r>
      <w:r w:rsidR="009A1A87">
        <w:rPr>
          <w:rFonts w:hint="eastAsia"/>
          <w:sz w:val="22"/>
          <w:szCs w:val="22"/>
          <w:lang w:eastAsia="ko-KR"/>
        </w:rPr>
        <w:t xml:space="preserve"> Please r</w:t>
      </w:r>
      <w:r w:rsidR="009A1A87" w:rsidRPr="009A1A87">
        <w:rPr>
          <w:sz w:val="22"/>
          <w:szCs w:val="22"/>
        </w:rPr>
        <w:t xml:space="preserve">ecommend </w:t>
      </w:r>
      <w:r w:rsidR="0013460E" w:rsidRPr="0013460E">
        <w:rPr>
          <w:sz w:val="22"/>
          <w:szCs w:val="22"/>
        </w:rPr>
        <w:t>Korean authorities</w:t>
      </w:r>
      <w:r w:rsidR="009A1A87" w:rsidRPr="009A1A87">
        <w:rPr>
          <w:sz w:val="22"/>
          <w:szCs w:val="22"/>
        </w:rPr>
        <w:t xml:space="preserve"> </w:t>
      </w:r>
      <w:r w:rsidR="0013460E">
        <w:rPr>
          <w:rFonts w:hint="eastAsia"/>
          <w:sz w:val="22"/>
          <w:szCs w:val="22"/>
          <w:lang w:eastAsia="ko-KR"/>
        </w:rPr>
        <w:t xml:space="preserve">to </w:t>
      </w:r>
      <w:r w:rsidR="009A1A87" w:rsidRPr="009A1A87">
        <w:rPr>
          <w:sz w:val="22"/>
          <w:szCs w:val="22"/>
        </w:rPr>
        <w:t>repeal this law, which violates the human rights of women and children, as soon as possible</w:t>
      </w:r>
      <w:r w:rsidR="009A1A87">
        <w:rPr>
          <w:rFonts w:hint="eastAsia"/>
          <w:sz w:val="22"/>
          <w:szCs w:val="22"/>
          <w:lang w:eastAsia="ko-KR"/>
        </w:rPr>
        <w:t>.</w:t>
      </w:r>
    </w:p>
    <w:p w14:paraId="41925339" w14:textId="77777777" w:rsidR="00F3220B" w:rsidRDefault="00F3220B" w:rsidP="001D6FFE">
      <w:pPr>
        <w:pStyle w:val="SingleTxtG"/>
        <w:spacing w:line="360" w:lineRule="auto"/>
        <w:ind w:leftChars="180" w:left="360" w:rightChars="567"/>
        <w:rPr>
          <w:sz w:val="22"/>
          <w:szCs w:val="22"/>
          <w:lang w:eastAsia="ko-KR"/>
        </w:rPr>
      </w:pPr>
    </w:p>
    <w:p w14:paraId="03298075" w14:textId="6D11140F" w:rsidR="009A1A87" w:rsidRDefault="0013460E" w:rsidP="001D6FFE">
      <w:pPr>
        <w:pStyle w:val="SingleTxtG"/>
        <w:spacing w:line="360" w:lineRule="auto"/>
        <w:ind w:leftChars="180" w:left="360" w:rightChars="567"/>
        <w:rPr>
          <w:sz w:val="22"/>
          <w:szCs w:val="22"/>
          <w:lang w:eastAsia="ko-KR"/>
        </w:rPr>
      </w:pPr>
      <w:r>
        <w:rPr>
          <w:sz w:val="22"/>
          <w:szCs w:val="22"/>
          <w:lang w:eastAsia="ko-KR"/>
        </w:rPr>
        <w:br/>
      </w:r>
    </w:p>
    <w:p w14:paraId="7220C6B1" w14:textId="3D06A246" w:rsidR="00EF200E" w:rsidRPr="00EF200E" w:rsidRDefault="00EF200E" w:rsidP="001D6FFE">
      <w:pPr>
        <w:pStyle w:val="HMG"/>
        <w:numPr>
          <w:ilvl w:val="0"/>
          <w:numId w:val="4"/>
        </w:numPr>
        <w:spacing w:line="360" w:lineRule="auto"/>
        <w:ind w:rightChars="567"/>
        <w:rPr>
          <w:sz w:val="22"/>
          <w:szCs w:val="22"/>
        </w:rPr>
      </w:pPr>
      <w:r w:rsidRPr="00EF200E">
        <w:rPr>
          <w:sz w:val="32"/>
          <w:szCs w:val="18"/>
          <w:lang w:val="en-US"/>
        </w:rPr>
        <w:t>Violations of Equal Justice for Women Victims of Crime (Articles 1, 3, 5(a), 15)</w:t>
      </w:r>
    </w:p>
    <w:p w14:paraId="6E7378EC" w14:textId="77777777" w:rsidR="00EF200E" w:rsidRPr="00EF200E" w:rsidRDefault="00EF200E" w:rsidP="001D6FFE">
      <w:pPr>
        <w:pStyle w:val="SingleTxtG"/>
        <w:numPr>
          <w:ilvl w:val="0"/>
          <w:numId w:val="4"/>
        </w:numPr>
        <w:spacing w:line="360" w:lineRule="auto"/>
        <w:ind w:rightChars="567"/>
        <w:rPr>
          <w:sz w:val="28"/>
          <w:szCs w:val="28"/>
        </w:rPr>
      </w:pPr>
      <w:r w:rsidRPr="00EF200E">
        <w:rPr>
          <w:sz w:val="28"/>
          <w:szCs w:val="28"/>
        </w:rPr>
        <w:t xml:space="preserve">A. Changes in criminal procedure disadvantage victims </w:t>
      </w:r>
    </w:p>
    <w:p w14:paraId="25070015" w14:textId="0541ECA6" w:rsidR="00EF200E" w:rsidRPr="00BD1BFA" w:rsidRDefault="00EF200E" w:rsidP="001D6FFE">
      <w:pPr>
        <w:pStyle w:val="SingleTxtG"/>
        <w:numPr>
          <w:ilvl w:val="0"/>
          <w:numId w:val="4"/>
        </w:numPr>
        <w:spacing w:line="360" w:lineRule="auto"/>
        <w:ind w:rightChars="567"/>
        <w:rPr>
          <w:sz w:val="22"/>
          <w:szCs w:val="22"/>
        </w:rPr>
      </w:pPr>
      <w:r w:rsidRPr="00BD1BFA">
        <w:rPr>
          <w:sz w:val="22"/>
          <w:szCs w:val="22"/>
        </w:rPr>
        <w:t>Issue</w:t>
      </w:r>
      <w:r w:rsidR="0013460E">
        <w:rPr>
          <w:rFonts w:hint="eastAsia"/>
          <w:sz w:val="22"/>
          <w:szCs w:val="22"/>
          <w:lang w:eastAsia="ko-KR"/>
        </w:rPr>
        <w:t>:</w:t>
      </w:r>
      <w:r w:rsidR="00BD1BFA" w:rsidRPr="00BD1BFA">
        <w:rPr>
          <w:rFonts w:hint="eastAsia"/>
          <w:sz w:val="22"/>
          <w:szCs w:val="22"/>
          <w:lang w:eastAsia="ko-KR"/>
        </w:rPr>
        <w:t xml:space="preserve"> </w:t>
      </w:r>
      <w:r w:rsidRPr="00BD1BFA">
        <w:rPr>
          <w:sz w:val="22"/>
          <w:szCs w:val="22"/>
        </w:rPr>
        <w:t xml:space="preserve">South Korea has drastically revised its Criminal Procedure Act over the past few years. Unfortunately, the changes have been very </w:t>
      </w:r>
      <w:proofErr w:type="spellStart"/>
      <w:r w:rsidRPr="00BD1BFA">
        <w:rPr>
          <w:sz w:val="22"/>
          <w:szCs w:val="22"/>
        </w:rPr>
        <w:t>unfavorable</w:t>
      </w:r>
      <w:proofErr w:type="spellEnd"/>
      <w:r w:rsidRPr="00BD1BFA">
        <w:rPr>
          <w:sz w:val="22"/>
          <w:szCs w:val="22"/>
        </w:rPr>
        <w:t xml:space="preserve"> to victims. Previously, the flow of cases from the police to the prosecution court was consistent and predictable, making it easier for women victims of crime who lacked evidence. However, since 2021, the police have been able to close cases on their own without the supervision of a prosecutor. With fewer options to compensate for weak police investigations, sexual assault cases with insufficient evidence are not prosecuted. </w:t>
      </w:r>
      <w:proofErr w:type="gramStart"/>
      <w:r w:rsidRPr="00BD1BFA">
        <w:rPr>
          <w:sz w:val="22"/>
          <w:szCs w:val="22"/>
        </w:rPr>
        <w:t>In order to</w:t>
      </w:r>
      <w:proofErr w:type="gramEnd"/>
      <w:r w:rsidRPr="00BD1BFA">
        <w:rPr>
          <w:sz w:val="22"/>
          <w:szCs w:val="22"/>
        </w:rPr>
        <w:t xml:space="preserve"> have a police closure reviewed by a prosecutor, the victim must appeal. In the process, it becomes unclear who </w:t>
      </w:r>
      <w:proofErr w:type="gramStart"/>
      <w:r w:rsidRPr="00BD1BFA">
        <w:rPr>
          <w:sz w:val="22"/>
          <w:szCs w:val="22"/>
        </w:rPr>
        <w:t>is in charge of</w:t>
      </w:r>
      <w:proofErr w:type="gramEnd"/>
      <w:r w:rsidRPr="00BD1BFA">
        <w:rPr>
          <w:sz w:val="22"/>
          <w:szCs w:val="22"/>
        </w:rPr>
        <w:t xml:space="preserve"> the investigation, causing significant delays in case processing.</w:t>
      </w:r>
      <w:r w:rsidR="00BD1BFA" w:rsidRPr="00BD1BFA">
        <w:rPr>
          <w:rFonts w:hint="eastAsia"/>
          <w:sz w:val="22"/>
          <w:szCs w:val="22"/>
          <w:lang w:eastAsia="ko-KR"/>
        </w:rPr>
        <w:t xml:space="preserve"> </w:t>
      </w:r>
      <w:r w:rsidRPr="00BD1BFA">
        <w:rPr>
          <w:sz w:val="22"/>
          <w:szCs w:val="22"/>
        </w:rPr>
        <w:t>Then, in 2022, the law got even worse. It removed the right of non-victims (witnesses or advocates) to appeal against the closure of a case by the police. In cases of abuse or exploitation against women with disabilities, it is assumed that the victim is not capable of speaking up for themselves. Therefore, advocates and advocacy organizations often report crimes on behalf of women with disabilities. But now, in these cases, no matter how unjustly the police close the case, it is impossible to appeal. The case is completely closed. This regression has led to many cases of crimes against women and sexual violence against women with disabilities going unpunished. (*</w:t>
      </w:r>
      <w:hyperlink r:id="rId12" w:history="1">
        <w:r w:rsidR="00AA699D" w:rsidRPr="005054EA">
          <w:rPr>
            <w:rStyle w:val="ad"/>
            <w:sz w:val="22"/>
            <w:szCs w:val="22"/>
          </w:rPr>
          <w:t>Source article</w:t>
        </w:r>
      </w:hyperlink>
      <w:r w:rsidRPr="00BD1BFA">
        <w:rPr>
          <w:sz w:val="22"/>
          <w:szCs w:val="22"/>
        </w:rPr>
        <w:t>)</w:t>
      </w:r>
    </w:p>
    <w:p w14:paraId="2AA9C03A" w14:textId="1BE5CA4F" w:rsidR="009A1A87" w:rsidRPr="00BD1BFA" w:rsidRDefault="00BD1BFA" w:rsidP="001D6FFE">
      <w:pPr>
        <w:pStyle w:val="SingleTxtG"/>
        <w:numPr>
          <w:ilvl w:val="0"/>
          <w:numId w:val="4"/>
        </w:numPr>
        <w:spacing w:line="360" w:lineRule="auto"/>
        <w:ind w:rightChars="567"/>
        <w:rPr>
          <w:sz w:val="22"/>
          <w:szCs w:val="22"/>
        </w:rPr>
      </w:pPr>
      <w:r w:rsidRPr="00BD1BFA">
        <w:rPr>
          <w:sz w:val="22"/>
          <w:szCs w:val="22"/>
        </w:rPr>
        <w:t>Request</w:t>
      </w:r>
      <w:r w:rsidRPr="00BD1BFA">
        <w:rPr>
          <w:sz w:val="22"/>
          <w:szCs w:val="22"/>
          <w:lang w:eastAsia="ko-KR"/>
        </w:rPr>
        <w:t>:</w:t>
      </w:r>
      <w:r w:rsidRPr="00BD1BFA">
        <w:rPr>
          <w:rFonts w:hint="eastAsia"/>
          <w:sz w:val="22"/>
          <w:szCs w:val="22"/>
          <w:lang w:eastAsia="ko-KR"/>
        </w:rPr>
        <w:t xml:space="preserve"> </w:t>
      </w:r>
      <w:r w:rsidR="00EF200E" w:rsidRPr="00BD1BFA">
        <w:rPr>
          <w:sz w:val="22"/>
          <w:szCs w:val="22"/>
        </w:rPr>
        <w:t xml:space="preserve">Please </w:t>
      </w:r>
      <w:r w:rsidR="00F3220B">
        <w:rPr>
          <w:sz w:val="22"/>
          <w:szCs w:val="22"/>
          <w:lang w:eastAsia="ko-KR"/>
        </w:rPr>
        <w:t>recommend</w:t>
      </w:r>
      <w:r w:rsidR="00EF200E" w:rsidRPr="00BD1BFA">
        <w:rPr>
          <w:sz w:val="22"/>
          <w:szCs w:val="22"/>
        </w:rPr>
        <w:t xml:space="preserve"> </w:t>
      </w:r>
      <w:r w:rsidR="0013460E" w:rsidRPr="0013460E">
        <w:rPr>
          <w:sz w:val="22"/>
          <w:szCs w:val="22"/>
        </w:rPr>
        <w:t>Korean authorities</w:t>
      </w:r>
      <w:r w:rsidR="00EF200E" w:rsidRPr="00BD1BFA">
        <w:rPr>
          <w:sz w:val="22"/>
          <w:szCs w:val="22"/>
        </w:rPr>
        <w:t xml:space="preserve"> to amend the Criminal Procedure Act as soon as possible as it ignores the rights of </w:t>
      </w:r>
      <w:r w:rsidR="0013460E">
        <w:rPr>
          <w:rFonts w:hint="eastAsia"/>
          <w:sz w:val="22"/>
          <w:szCs w:val="22"/>
          <w:lang w:eastAsia="ko-KR"/>
        </w:rPr>
        <w:t xml:space="preserve">gender crime </w:t>
      </w:r>
      <w:r w:rsidR="00EF200E" w:rsidRPr="00BD1BFA">
        <w:rPr>
          <w:sz w:val="22"/>
          <w:szCs w:val="22"/>
        </w:rPr>
        <w:t>victims.</w:t>
      </w:r>
    </w:p>
    <w:p w14:paraId="7030C145" w14:textId="77777777" w:rsidR="00EF200E" w:rsidRDefault="00EF200E" w:rsidP="001D6FFE">
      <w:pPr>
        <w:pStyle w:val="SingleTxtG"/>
        <w:spacing w:line="360" w:lineRule="auto"/>
        <w:ind w:leftChars="567" w:rightChars="567"/>
        <w:rPr>
          <w:sz w:val="22"/>
          <w:szCs w:val="22"/>
          <w:lang w:eastAsia="ko-KR"/>
        </w:rPr>
      </w:pPr>
    </w:p>
    <w:p w14:paraId="7C29796E" w14:textId="77777777" w:rsidR="00EF200E" w:rsidRDefault="00EF200E" w:rsidP="001D6FFE">
      <w:pPr>
        <w:pStyle w:val="SingleTxtG"/>
        <w:spacing w:line="360" w:lineRule="auto"/>
        <w:ind w:leftChars="567" w:rightChars="567"/>
        <w:rPr>
          <w:sz w:val="22"/>
          <w:szCs w:val="22"/>
          <w:lang w:eastAsia="ko-KR"/>
        </w:rPr>
      </w:pPr>
    </w:p>
    <w:p w14:paraId="2AE31966" w14:textId="77777777" w:rsidR="00F3220B" w:rsidRPr="00F3220B" w:rsidRDefault="00F3220B" w:rsidP="001D6FFE">
      <w:pPr>
        <w:pStyle w:val="SingleTxtG"/>
        <w:numPr>
          <w:ilvl w:val="0"/>
          <w:numId w:val="4"/>
        </w:numPr>
        <w:spacing w:line="360" w:lineRule="auto"/>
        <w:ind w:rightChars="567"/>
        <w:rPr>
          <w:sz w:val="28"/>
          <w:szCs w:val="28"/>
        </w:rPr>
      </w:pPr>
      <w:r>
        <w:rPr>
          <w:rFonts w:hint="eastAsia"/>
          <w:sz w:val="28"/>
          <w:szCs w:val="28"/>
          <w:lang w:eastAsia="ko-KR"/>
        </w:rPr>
        <w:t>B</w:t>
      </w:r>
      <w:r w:rsidR="00EF200E" w:rsidRPr="00EF200E">
        <w:rPr>
          <w:sz w:val="28"/>
          <w:szCs w:val="28"/>
        </w:rPr>
        <w:t xml:space="preserve">. </w:t>
      </w:r>
      <w:r w:rsidRPr="00F3220B">
        <w:rPr>
          <w:sz w:val="28"/>
          <w:szCs w:val="28"/>
        </w:rPr>
        <w:t xml:space="preserve">Judicial Gender Sensitivity Regression </w:t>
      </w:r>
    </w:p>
    <w:p w14:paraId="553A3094" w14:textId="5140C552" w:rsidR="00F3220B" w:rsidRPr="00F3220B" w:rsidRDefault="00EF200E" w:rsidP="001D6FFE">
      <w:pPr>
        <w:pStyle w:val="SingleTxtG"/>
        <w:numPr>
          <w:ilvl w:val="0"/>
          <w:numId w:val="4"/>
        </w:numPr>
        <w:spacing w:line="360" w:lineRule="auto"/>
        <w:ind w:rightChars="567"/>
        <w:rPr>
          <w:sz w:val="22"/>
          <w:szCs w:val="22"/>
          <w:lang w:eastAsia="ko-KR"/>
        </w:rPr>
      </w:pPr>
      <w:r w:rsidRPr="00F3220B">
        <w:rPr>
          <w:sz w:val="22"/>
          <w:szCs w:val="22"/>
        </w:rPr>
        <w:t>Issue</w:t>
      </w:r>
      <w:r w:rsidR="00F3220B" w:rsidRPr="00F3220B">
        <w:rPr>
          <w:rFonts w:hint="eastAsia"/>
          <w:sz w:val="22"/>
          <w:szCs w:val="22"/>
          <w:lang w:eastAsia="ko-KR"/>
        </w:rPr>
        <w:t xml:space="preserve">: </w:t>
      </w:r>
      <w:r w:rsidR="00F3220B" w:rsidRPr="00F3220B">
        <w:rPr>
          <w:sz w:val="22"/>
          <w:szCs w:val="22"/>
          <w:lang w:eastAsia="ko-KR"/>
        </w:rPr>
        <w:t xml:space="preserve">In October 2018, the Supreme Court of Korea ruled that "judges must not lose their 'gender sensitivity' to realize gender equality when hearing sex crime cases. The credibility of the victim's statement should not be rejected without any particular reason." The principle is that the intimate nature of the crime and the imbalance of power between the perpetrator and the victim should be </w:t>
      </w:r>
      <w:proofErr w:type="gramStart"/>
      <w:r w:rsidR="00F3220B" w:rsidRPr="00F3220B">
        <w:rPr>
          <w:sz w:val="22"/>
          <w:szCs w:val="22"/>
          <w:lang w:eastAsia="ko-KR"/>
        </w:rPr>
        <w:t>taken into account</w:t>
      </w:r>
      <w:proofErr w:type="gramEnd"/>
      <w:r w:rsidR="00F3220B" w:rsidRPr="00F3220B">
        <w:rPr>
          <w:sz w:val="22"/>
          <w:szCs w:val="22"/>
          <w:lang w:eastAsia="ko-KR"/>
        </w:rPr>
        <w:t xml:space="preserve"> when reviewing sexual offense cases. Unfortunately, in January 2024, the Supreme Court ruled that this principle "does not mean that the testimony of a victim of a sexual offense should be given unlimited weight or that the prosecution should be found guilty of the offense." After this change in the Supreme Court's stance, an astonishing 27 acquittals were obtained in just two months, citing this ruling. (*</w:t>
      </w:r>
      <w:hyperlink r:id="rId13" w:anchor="home" w:history="1">
        <w:r w:rsidR="00AA699D" w:rsidRPr="005054EA">
          <w:rPr>
            <w:rStyle w:val="ad"/>
            <w:sz w:val="22"/>
            <w:szCs w:val="22"/>
          </w:rPr>
          <w:t>Source article</w:t>
        </w:r>
      </w:hyperlink>
      <w:r w:rsidR="00F3220B" w:rsidRPr="00F3220B">
        <w:rPr>
          <w:sz w:val="22"/>
          <w:szCs w:val="22"/>
          <w:lang w:eastAsia="ko-KR"/>
        </w:rPr>
        <w:t xml:space="preserve">) There were five cases in which the first trial resulted in a custodial sentence, and the second trial resulted in an acquittal. The number of verdicts that blame the victim or question their </w:t>
      </w:r>
      <w:proofErr w:type="spellStart"/>
      <w:r w:rsidR="00F3220B" w:rsidRPr="00F3220B">
        <w:rPr>
          <w:sz w:val="22"/>
          <w:szCs w:val="22"/>
          <w:lang w:eastAsia="ko-KR"/>
        </w:rPr>
        <w:t>behavior</w:t>
      </w:r>
      <w:proofErr w:type="spellEnd"/>
      <w:r w:rsidR="00F3220B" w:rsidRPr="00F3220B">
        <w:rPr>
          <w:sz w:val="22"/>
          <w:szCs w:val="22"/>
          <w:lang w:eastAsia="ko-KR"/>
        </w:rPr>
        <w:t xml:space="preserve"> is increasing. (e.g., the victim was able to resist, the accusation was made for other purposes, etc.) </w:t>
      </w:r>
    </w:p>
    <w:p w14:paraId="7FAFA727" w14:textId="756F1BDD" w:rsidR="009A1A87" w:rsidRPr="009A1A87" w:rsidRDefault="00F3220B" w:rsidP="001D6FFE">
      <w:pPr>
        <w:pStyle w:val="SingleTxtG"/>
        <w:numPr>
          <w:ilvl w:val="0"/>
          <w:numId w:val="4"/>
        </w:numPr>
        <w:spacing w:line="360" w:lineRule="auto"/>
        <w:ind w:rightChars="567"/>
        <w:rPr>
          <w:sz w:val="22"/>
          <w:szCs w:val="22"/>
        </w:rPr>
      </w:pPr>
      <w:r w:rsidRPr="00F3220B">
        <w:rPr>
          <w:sz w:val="22"/>
          <w:szCs w:val="22"/>
          <w:lang w:eastAsia="ko-KR"/>
        </w:rPr>
        <w:t>Request:</w:t>
      </w:r>
      <w:r w:rsidRPr="00F3220B">
        <w:rPr>
          <w:rFonts w:hint="eastAsia"/>
          <w:sz w:val="22"/>
          <w:szCs w:val="22"/>
          <w:lang w:eastAsia="ko-KR"/>
        </w:rPr>
        <w:t xml:space="preserve"> </w:t>
      </w:r>
      <w:r w:rsidRPr="00F3220B">
        <w:rPr>
          <w:sz w:val="22"/>
          <w:szCs w:val="22"/>
          <w:lang w:eastAsia="ko-KR"/>
        </w:rPr>
        <w:t xml:space="preserve">Please </w:t>
      </w:r>
      <w:r>
        <w:rPr>
          <w:rFonts w:hint="eastAsia"/>
          <w:sz w:val="22"/>
          <w:szCs w:val="22"/>
          <w:lang w:eastAsia="ko-KR"/>
        </w:rPr>
        <w:t>recommend</w:t>
      </w:r>
      <w:r w:rsidRPr="00F3220B">
        <w:rPr>
          <w:sz w:val="22"/>
          <w:szCs w:val="22"/>
          <w:lang w:eastAsia="ko-KR"/>
        </w:rPr>
        <w:t xml:space="preserve"> the </w:t>
      </w:r>
      <w:r w:rsidR="0013460E" w:rsidRPr="0013460E">
        <w:rPr>
          <w:sz w:val="22"/>
          <w:szCs w:val="22"/>
          <w:lang w:eastAsia="ko-KR"/>
        </w:rPr>
        <w:t>Korea Judiciary</w:t>
      </w:r>
      <w:r w:rsidRPr="00F3220B">
        <w:rPr>
          <w:sz w:val="22"/>
          <w:szCs w:val="22"/>
          <w:lang w:eastAsia="ko-KR"/>
        </w:rPr>
        <w:t xml:space="preserve"> to consider the gender</w:t>
      </w:r>
      <w:r w:rsidR="004E4E05">
        <w:rPr>
          <w:rFonts w:hint="eastAsia"/>
          <w:sz w:val="22"/>
          <w:szCs w:val="22"/>
          <w:lang w:eastAsia="ko-KR"/>
        </w:rPr>
        <w:t xml:space="preserve"> power</w:t>
      </w:r>
      <w:r w:rsidRPr="00F3220B">
        <w:rPr>
          <w:sz w:val="22"/>
          <w:szCs w:val="22"/>
          <w:lang w:eastAsia="ko-KR"/>
        </w:rPr>
        <w:t xml:space="preserve"> imbalance and lack of evidence when adjudicating sexual offenses.</w:t>
      </w:r>
      <w:r w:rsidR="009A1A87" w:rsidRPr="009A1A87">
        <w:rPr>
          <w:sz w:val="22"/>
          <w:szCs w:val="22"/>
        </w:rPr>
        <w:t xml:space="preserve"> </w:t>
      </w:r>
    </w:p>
    <w:sectPr w:rsidR="009A1A87" w:rsidRPr="009A1A87">
      <w:footerReference w:type="default" r:id="rId1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2AE1E" w14:textId="77777777" w:rsidR="00A27036" w:rsidRDefault="00A27036" w:rsidP="00A065B4">
      <w:pPr>
        <w:spacing w:line="240" w:lineRule="auto"/>
      </w:pPr>
      <w:r>
        <w:separator/>
      </w:r>
    </w:p>
  </w:endnote>
  <w:endnote w:type="continuationSeparator" w:id="0">
    <w:p w14:paraId="3BAC2761" w14:textId="77777777" w:rsidR="00A27036" w:rsidRDefault="00A27036" w:rsidP="00A065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247314"/>
      <w:docPartObj>
        <w:docPartGallery w:val="Page Numbers (Bottom of Page)"/>
        <w:docPartUnique/>
      </w:docPartObj>
    </w:sdtPr>
    <w:sdtContent>
      <w:p w14:paraId="0328BEF8" w14:textId="62154310" w:rsidR="00740225" w:rsidRDefault="00740225">
        <w:pPr>
          <w:pStyle w:val="af0"/>
          <w:jc w:val="right"/>
        </w:pPr>
        <w:r w:rsidRPr="00740225">
          <w:rPr>
            <w:b/>
            <w:bCs/>
          </w:rPr>
          <w:fldChar w:fldCharType="begin"/>
        </w:r>
        <w:r w:rsidRPr="00740225">
          <w:rPr>
            <w:b/>
            <w:bCs/>
          </w:rPr>
          <w:instrText>PAGE   \* MERGEFORMAT</w:instrText>
        </w:r>
        <w:r w:rsidRPr="00740225">
          <w:rPr>
            <w:b/>
            <w:bCs/>
          </w:rPr>
          <w:fldChar w:fldCharType="separate"/>
        </w:r>
        <w:r w:rsidRPr="00740225">
          <w:rPr>
            <w:b/>
            <w:bCs/>
            <w:lang w:val="ko-KR" w:eastAsia="ko-KR"/>
          </w:rPr>
          <w:t>2</w:t>
        </w:r>
        <w:r w:rsidRPr="00740225">
          <w:rPr>
            <w:b/>
            <w:bCs/>
          </w:rPr>
          <w:fldChar w:fldCharType="end"/>
        </w:r>
      </w:p>
    </w:sdtContent>
  </w:sdt>
  <w:p w14:paraId="45616DBB" w14:textId="77777777" w:rsidR="00740225" w:rsidRDefault="00740225">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DDF34" w14:textId="77777777" w:rsidR="00A27036" w:rsidRDefault="00A27036" w:rsidP="00A065B4">
      <w:pPr>
        <w:spacing w:line="240" w:lineRule="auto"/>
      </w:pPr>
      <w:r>
        <w:separator/>
      </w:r>
    </w:p>
  </w:footnote>
  <w:footnote w:type="continuationSeparator" w:id="0">
    <w:p w14:paraId="2B0E4769" w14:textId="77777777" w:rsidR="00A27036" w:rsidRDefault="00A27036" w:rsidP="00A065B4">
      <w:pPr>
        <w:spacing w:line="240" w:lineRule="auto"/>
      </w:pPr>
      <w:r>
        <w:continuationSeparator/>
      </w:r>
    </w:p>
  </w:footnote>
  <w:footnote w:id="1">
    <w:p w14:paraId="65315531" w14:textId="38DB1D60" w:rsidR="00E2398D" w:rsidRDefault="00E2398D">
      <w:pPr>
        <w:pStyle w:val="ac"/>
        <w:rPr>
          <w:lang w:eastAsia="ko-KR"/>
        </w:rPr>
      </w:pPr>
      <w:r>
        <w:rPr>
          <w:rStyle w:val="aa"/>
        </w:rPr>
        <w:footnoteRef/>
      </w:r>
      <w:r>
        <w:t xml:space="preserve"> </w:t>
      </w:r>
      <w:r w:rsidRPr="00E2398D">
        <w:t>DRAC consents to the publication of this parallel report submission on the OHCHR website for CEDAW.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6044"/>
    <w:multiLevelType w:val="hybridMultilevel"/>
    <w:tmpl w:val="163C646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29832E31"/>
    <w:multiLevelType w:val="hybridMultilevel"/>
    <w:tmpl w:val="4782A024"/>
    <w:lvl w:ilvl="0" w:tplc="04090001">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9744CDC"/>
    <w:multiLevelType w:val="hybridMultilevel"/>
    <w:tmpl w:val="163C6464"/>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52ED0EAD"/>
    <w:multiLevelType w:val="hybridMultilevel"/>
    <w:tmpl w:val="163C6464"/>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213812544">
    <w:abstractNumId w:val="0"/>
  </w:num>
  <w:num w:numId="2" w16cid:durableId="1568493661">
    <w:abstractNumId w:val="2"/>
  </w:num>
  <w:num w:numId="3" w16cid:durableId="974287147">
    <w:abstractNumId w:val="3"/>
  </w:num>
  <w:num w:numId="4" w16cid:durableId="1301812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5B4"/>
    <w:rsid w:val="00035C28"/>
    <w:rsid w:val="0013460E"/>
    <w:rsid w:val="001760BF"/>
    <w:rsid w:val="001D1AF4"/>
    <w:rsid w:val="001D6FFE"/>
    <w:rsid w:val="00253A98"/>
    <w:rsid w:val="00436EA8"/>
    <w:rsid w:val="004E4E05"/>
    <w:rsid w:val="005054EA"/>
    <w:rsid w:val="00521C2A"/>
    <w:rsid w:val="00721647"/>
    <w:rsid w:val="00740225"/>
    <w:rsid w:val="007C0D14"/>
    <w:rsid w:val="007C5B51"/>
    <w:rsid w:val="007F7BC7"/>
    <w:rsid w:val="009A1A87"/>
    <w:rsid w:val="009C4D30"/>
    <w:rsid w:val="00A065B4"/>
    <w:rsid w:val="00A15EB8"/>
    <w:rsid w:val="00A27036"/>
    <w:rsid w:val="00AA699D"/>
    <w:rsid w:val="00BD1BFA"/>
    <w:rsid w:val="00E2398D"/>
    <w:rsid w:val="00E764AF"/>
    <w:rsid w:val="00EF200E"/>
    <w:rsid w:val="00F3220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5D806"/>
  <w15:chartTrackingRefBased/>
  <w15:docId w15:val="{FA6DDA63-2E67-426A-9BBF-F1C226F3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5B4"/>
    <w:pPr>
      <w:suppressAutoHyphens/>
      <w:spacing w:after="0" w:line="240" w:lineRule="atLeast"/>
      <w:jc w:val="left"/>
    </w:pPr>
    <w:rPr>
      <w:rFonts w:ascii="Times New Roman" w:eastAsia="Times New Roman" w:hAnsi="Times New Roman" w:cs="Times New Roman"/>
      <w:kern w:val="0"/>
      <w:szCs w:val="20"/>
      <w:lang w:val="en-GB" w:eastAsia="en-US"/>
    </w:rPr>
  </w:style>
  <w:style w:type="paragraph" w:styleId="1">
    <w:name w:val="heading 1"/>
    <w:basedOn w:val="a"/>
    <w:next w:val="a"/>
    <w:link w:val="1Char"/>
    <w:uiPriority w:val="9"/>
    <w:qFormat/>
    <w:rsid w:val="00A065B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A065B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A065B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A065B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A065B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A065B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A065B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A065B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A065B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A065B4"/>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A065B4"/>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A065B4"/>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A065B4"/>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A065B4"/>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A065B4"/>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A065B4"/>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A065B4"/>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A065B4"/>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A065B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A065B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065B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A065B4"/>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A065B4"/>
    <w:pPr>
      <w:spacing w:before="160"/>
      <w:jc w:val="center"/>
    </w:pPr>
    <w:rPr>
      <w:i/>
      <w:iCs/>
      <w:color w:val="404040" w:themeColor="text1" w:themeTint="BF"/>
    </w:rPr>
  </w:style>
  <w:style w:type="character" w:customStyle="1" w:styleId="Char1">
    <w:name w:val="인용 Char"/>
    <w:basedOn w:val="a0"/>
    <w:link w:val="a5"/>
    <w:uiPriority w:val="29"/>
    <w:rsid w:val="00A065B4"/>
    <w:rPr>
      <w:i/>
      <w:iCs/>
      <w:color w:val="404040" w:themeColor="text1" w:themeTint="BF"/>
    </w:rPr>
  </w:style>
  <w:style w:type="paragraph" w:styleId="a6">
    <w:name w:val="List Paragraph"/>
    <w:basedOn w:val="a"/>
    <w:uiPriority w:val="34"/>
    <w:qFormat/>
    <w:rsid w:val="00A065B4"/>
    <w:pPr>
      <w:ind w:left="720"/>
      <w:contextualSpacing/>
    </w:pPr>
  </w:style>
  <w:style w:type="character" w:styleId="a7">
    <w:name w:val="Intense Emphasis"/>
    <w:basedOn w:val="a0"/>
    <w:uiPriority w:val="21"/>
    <w:qFormat/>
    <w:rsid w:val="00A065B4"/>
    <w:rPr>
      <w:i/>
      <w:iCs/>
      <w:color w:val="0F4761" w:themeColor="accent1" w:themeShade="BF"/>
    </w:rPr>
  </w:style>
  <w:style w:type="paragraph" w:styleId="a8">
    <w:name w:val="Intense Quote"/>
    <w:basedOn w:val="a"/>
    <w:next w:val="a"/>
    <w:link w:val="Char2"/>
    <w:uiPriority w:val="30"/>
    <w:qFormat/>
    <w:rsid w:val="00A065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A065B4"/>
    <w:rPr>
      <w:i/>
      <w:iCs/>
      <w:color w:val="0F4761" w:themeColor="accent1" w:themeShade="BF"/>
    </w:rPr>
  </w:style>
  <w:style w:type="character" w:styleId="a9">
    <w:name w:val="Intense Reference"/>
    <w:basedOn w:val="a0"/>
    <w:uiPriority w:val="32"/>
    <w:qFormat/>
    <w:rsid w:val="00A065B4"/>
    <w:rPr>
      <w:b/>
      <w:bCs/>
      <w:smallCaps/>
      <w:color w:val="0F4761" w:themeColor="accent1" w:themeShade="BF"/>
      <w:spacing w:val="5"/>
    </w:rPr>
  </w:style>
  <w:style w:type="paragraph" w:customStyle="1" w:styleId="HMG">
    <w:name w:val="_ H __M_G"/>
    <w:basedOn w:val="a"/>
    <w:next w:val="a"/>
    <w:qFormat/>
    <w:rsid w:val="00A065B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1G">
    <w:name w:val="_ H_1_G"/>
    <w:basedOn w:val="a"/>
    <w:next w:val="a"/>
    <w:qFormat/>
    <w:rsid w:val="00A065B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SingleTxtG">
    <w:name w:val="_ Single Txt_G"/>
    <w:basedOn w:val="a"/>
    <w:link w:val="SingleTxtGChar"/>
    <w:qFormat/>
    <w:rsid w:val="00A065B4"/>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character" w:styleId="aa">
    <w:name w:val="footnote reference"/>
    <w:aliases w:val="4_G"/>
    <w:basedOn w:val="a0"/>
    <w:qFormat/>
    <w:rsid w:val="00A065B4"/>
    <w:rPr>
      <w:rFonts w:ascii="Times New Roman" w:hAnsi="Times New Roman"/>
      <w:sz w:val="18"/>
      <w:vertAlign w:val="superscript"/>
      <w:lang w:val="en-GB"/>
    </w:rPr>
  </w:style>
  <w:style w:type="table" w:styleId="ab">
    <w:name w:val="Table Grid"/>
    <w:basedOn w:val="a1"/>
    <w:rsid w:val="00A065B4"/>
    <w:pPr>
      <w:suppressAutoHyphens/>
      <w:spacing w:after="0" w:line="240" w:lineRule="atLeast"/>
      <w:jc w:val="left"/>
    </w:pPr>
    <w:rPr>
      <w:rFonts w:ascii="Times New Roman" w:eastAsia="바탕" w:hAnsi="Times New Roman" w:cs="Times New Roman"/>
      <w:kern w:val="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c">
    <w:name w:val="footnote text"/>
    <w:aliases w:val="5_G"/>
    <w:basedOn w:val="a"/>
    <w:link w:val="Char3"/>
    <w:qFormat/>
    <w:rsid w:val="00A065B4"/>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Char3">
    <w:name w:val="각주 텍스트 Char"/>
    <w:aliases w:val="5_G Char"/>
    <w:basedOn w:val="a0"/>
    <w:link w:val="ac"/>
    <w:rsid w:val="00A065B4"/>
    <w:rPr>
      <w:rFonts w:ascii="Times New Roman" w:eastAsiaTheme="minorHAnsi" w:hAnsi="Times New Roman" w:cs="Times New Roman"/>
      <w:kern w:val="0"/>
      <w:sz w:val="18"/>
      <w:szCs w:val="20"/>
      <w:lang w:val="en-GB" w:eastAsia="en-US"/>
    </w:rPr>
  </w:style>
  <w:style w:type="character" w:customStyle="1" w:styleId="SingleTxtGChar">
    <w:name w:val="_ Single Txt_G Char"/>
    <w:link w:val="SingleTxtG"/>
    <w:locked/>
    <w:rsid w:val="00A065B4"/>
    <w:rPr>
      <w:rFonts w:ascii="Times New Roman" w:eastAsiaTheme="minorHAnsi" w:hAnsi="Times New Roman" w:cs="Times New Roman"/>
      <w:kern w:val="0"/>
      <w:szCs w:val="20"/>
      <w:lang w:val="en-GB" w:eastAsia="en-US"/>
    </w:rPr>
  </w:style>
  <w:style w:type="character" w:styleId="ad">
    <w:name w:val="Hyperlink"/>
    <w:basedOn w:val="a0"/>
    <w:uiPriority w:val="99"/>
    <w:unhideWhenUsed/>
    <w:rsid w:val="00A15EB8"/>
    <w:rPr>
      <w:color w:val="467886" w:themeColor="hyperlink"/>
      <w:u w:val="single"/>
    </w:rPr>
  </w:style>
  <w:style w:type="character" w:styleId="ae">
    <w:name w:val="Unresolved Mention"/>
    <w:basedOn w:val="a0"/>
    <w:uiPriority w:val="99"/>
    <w:semiHidden/>
    <w:unhideWhenUsed/>
    <w:rsid w:val="00A15EB8"/>
    <w:rPr>
      <w:color w:val="605E5C"/>
      <w:shd w:val="clear" w:color="auto" w:fill="E1DFDD"/>
    </w:rPr>
  </w:style>
  <w:style w:type="paragraph" w:styleId="af">
    <w:name w:val="header"/>
    <w:basedOn w:val="a"/>
    <w:link w:val="Char4"/>
    <w:uiPriority w:val="99"/>
    <w:unhideWhenUsed/>
    <w:rsid w:val="00740225"/>
    <w:pPr>
      <w:tabs>
        <w:tab w:val="center" w:pos="4513"/>
        <w:tab w:val="right" w:pos="9026"/>
      </w:tabs>
      <w:snapToGrid w:val="0"/>
    </w:pPr>
  </w:style>
  <w:style w:type="character" w:customStyle="1" w:styleId="Char4">
    <w:name w:val="머리글 Char"/>
    <w:basedOn w:val="a0"/>
    <w:link w:val="af"/>
    <w:uiPriority w:val="99"/>
    <w:rsid w:val="00740225"/>
    <w:rPr>
      <w:rFonts w:ascii="Times New Roman" w:eastAsia="Times New Roman" w:hAnsi="Times New Roman" w:cs="Times New Roman"/>
      <w:kern w:val="0"/>
      <w:szCs w:val="20"/>
      <w:lang w:val="en-GB" w:eastAsia="en-US"/>
    </w:rPr>
  </w:style>
  <w:style w:type="paragraph" w:styleId="af0">
    <w:name w:val="footer"/>
    <w:basedOn w:val="a"/>
    <w:link w:val="Char5"/>
    <w:uiPriority w:val="99"/>
    <w:unhideWhenUsed/>
    <w:rsid w:val="00740225"/>
    <w:pPr>
      <w:tabs>
        <w:tab w:val="center" w:pos="4513"/>
        <w:tab w:val="right" w:pos="9026"/>
      </w:tabs>
      <w:snapToGrid w:val="0"/>
    </w:pPr>
  </w:style>
  <w:style w:type="character" w:customStyle="1" w:styleId="Char5">
    <w:name w:val="바닥글 Char"/>
    <w:basedOn w:val="a0"/>
    <w:link w:val="af0"/>
    <w:uiPriority w:val="99"/>
    <w:rsid w:val="00740225"/>
    <w:rPr>
      <w:rFonts w:ascii="Times New Roman" w:eastAsia="Times New Roman" w:hAnsi="Times New Roman" w:cs="Times New Roman"/>
      <w:kern w:val="0"/>
      <w:szCs w:val="20"/>
      <w:lang w:val="en-GB" w:eastAsia="en-US"/>
    </w:rPr>
  </w:style>
  <w:style w:type="character" w:styleId="af1">
    <w:name w:val="FollowedHyperlink"/>
    <w:basedOn w:val="a0"/>
    <w:uiPriority w:val="99"/>
    <w:semiHidden/>
    <w:unhideWhenUsed/>
    <w:rsid w:val="001D1A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claw.kr" TargetMode="External"/><Relationship Id="rId13" Type="http://schemas.openxmlformats.org/officeDocument/2006/relationships/hyperlink" Target="https://www.joongang.co.kr/article/252332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osun.com/national/court_law/2022/09/27/WF2IGQUXJBCVDBELCN3J7ICKO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mennews.co.kr/news/articleView.html?idxno=23812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imyewon.law@gmail.com" TargetMode="External"/><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BB985-44FA-4B1E-8BE7-A7B4E6265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Pages>
  <Words>918</Words>
  <Characters>5234</Characters>
  <Application>Microsoft Office Word</Application>
  <DocSecurity>0</DocSecurity>
  <Lines>43</Lines>
  <Paragraphs>12</Paragraphs>
  <ScaleCrop>false</ScaleCrop>
  <HeadingPairs>
    <vt:vector size="4" baseType="variant">
      <vt:variant>
        <vt:lpstr>제목</vt:lpstr>
      </vt:variant>
      <vt:variant>
        <vt:i4>1</vt:i4>
      </vt:variant>
      <vt:variant>
        <vt:lpstr>머리글</vt:lpstr>
      </vt:variant>
      <vt:variant>
        <vt:i4>2</vt:i4>
      </vt:variant>
    </vt:vector>
  </HeadingPairs>
  <TitlesOfParts>
    <vt:vector size="3" baseType="lpstr">
      <vt:lpstr/>
      <vt:lpstr>Threats to women's reproductive rights - introduction of anonymous birth (Articl</vt:lpstr>
      <vt:lpstr>Violations of Equal Justice for Women Victims of Crime (Articles 1, 3, 5(a), 15)</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Yewon Kim</dc:creator>
  <cp:keywords/>
  <dc:description/>
  <cp:lastModifiedBy>Yewon Kim</cp:lastModifiedBy>
  <cp:revision>12</cp:revision>
  <dcterms:created xsi:type="dcterms:W3CDTF">2024-04-06T18:05:00Z</dcterms:created>
  <dcterms:modified xsi:type="dcterms:W3CDTF">2024-04-08T13:51:00Z</dcterms:modified>
</cp:coreProperties>
</file>