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9AD0B" w14:textId="77777777" w:rsidR="00492296" w:rsidRPr="003072D3" w:rsidRDefault="00492296" w:rsidP="00727217">
      <w:pPr>
        <w:contextualSpacing/>
        <w:jc w:val="center"/>
        <w:rPr>
          <w:rFonts w:ascii="MetaPro-Norm" w:hAnsi="MetaPro-Norm"/>
          <w:color w:val="000000" w:themeColor="text1"/>
        </w:rPr>
      </w:pPr>
      <w:r w:rsidRPr="003072D3">
        <w:rPr>
          <w:rFonts w:ascii="MetaPro-Norm" w:hAnsi="MetaPro-Norm"/>
          <w:noProof/>
          <w:color w:val="000000" w:themeColor="text1"/>
        </w:rPr>
        <w:drawing>
          <wp:inline distT="0" distB="0" distL="0" distR="0" wp14:anchorId="2B67AD77" wp14:editId="4376799C">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3FA0377E" w14:textId="77777777" w:rsidR="00492296" w:rsidRPr="003072D3" w:rsidRDefault="00492296" w:rsidP="00727217">
      <w:pPr>
        <w:contextualSpacing/>
        <w:jc w:val="center"/>
        <w:rPr>
          <w:rFonts w:ascii="MetaPro-Norm" w:eastAsia="Calibri" w:hAnsi="MetaPro-Norm"/>
          <w:color w:val="000000" w:themeColor="text1"/>
        </w:rPr>
      </w:pPr>
    </w:p>
    <w:p w14:paraId="1B5890FE" w14:textId="77777777" w:rsidR="00E143F0" w:rsidRDefault="00492296" w:rsidP="00727217">
      <w:pPr>
        <w:pStyle w:val="NoSpacing"/>
        <w:contextualSpacing/>
        <w:jc w:val="center"/>
        <w:rPr>
          <w:rFonts w:ascii="MetaPro-Norm" w:hAnsi="MetaPro-Norm"/>
          <w:b/>
          <w:color w:val="000000" w:themeColor="text1"/>
          <w:sz w:val="24"/>
          <w:szCs w:val="24"/>
        </w:rPr>
      </w:pPr>
      <w:r w:rsidRPr="003072D3">
        <w:rPr>
          <w:rFonts w:ascii="MetaPro-Norm" w:hAnsi="MetaPro-Norm"/>
          <w:b/>
          <w:color w:val="000000" w:themeColor="text1"/>
          <w:sz w:val="24"/>
          <w:szCs w:val="24"/>
        </w:rPr>
        <w:t xml:space="preserve">Human Rights Watch </w:t>
      </w:r>
      <w:r w:rsidR="004B61AA" w:rsidRPr="004B61AA">
        <w:rPr>
          <w:rFonts w:ascii="MetaPro-Norm" w:hAnsi="MetaPro-Norm"/>
          <w:b/>
          <w:color w:val="000000" w:themeColor="text1"/>
          <w:sz w:val="24"/>
          <w:szCs w:val="24"/>
        </w:rPr>
        <w:t xml:space="preserve">Updated Submission </w:t>
      </w:r>
    </w:p>
    <w:p w14:paraId="1B717CB7" w14:textId="294A2123" w:rsidR="004B61AA" w:rsidRDefault="004B61AA" w:rsidP="00727217">
      <w:pPr>
        <w:pStyle w:val="NoSpacing"/>
        <w:contextualSpacing/>
        <w:jc w:val="center"/>
        <w:rPr>
          <w:rFonts w:ascii="MetaPro-Norm" w:hAnsi="MetaPro-Norm"/>
          <w:b/>
          <w:color w:val="000000" w:themeColor="text1"/>
          <w:sz w:val="24"/>
          <w:szCs w:val="24"/>
        </w:rPr>
      </w:pPr>
      <w:r w:rsidRPr="004B61AA">
        <w:rPr>
          <w:rFonts w:ascii="MetaPro-Norm" w:hAnsi="MetaPro-Norm"/>
          <w:b/>
          <w:color w:val="000000" w:themeColor="text1"/>
          <w:sz w:val="24"/>
          <w:szCs w:val="24"/>
        </w:rPr>
        <w:t>to the Committee on the Elimination of Discrimination against Women</w:t>
      </w:r>
    </w:p>
    <w:p w14:paraId="1BE1A88C" w14:textId="77777777" w:rsidR="004B61AA" w:rsidRDefault="004B61AA" w:rsidP="004B61AA">
      <w:pPr>
        <w:pStyle w:val="NoSpacing"/>
        <w:contextualSpacing/>
        <w:jc w:val="center"/>
        <w:rPr>
          <w:rFonts w:ascii="MetaPro-Norm" w:hAnsi="MetaPro-Norm"/>
          <w:b/>
          <w:color w:val="000000" w:themeColor="text1"/>
          <w:sz w:val="24"/>
          <w:szCs w:val="24"/>
        </w:rPr>
      </w:pPr>
      <w:r w:rsidRPr="004B61AA">
        <w:rPr>
          <w:rFonts w:ascii="MetaPro-Norm" w:hAnsi="MetaPro-Norm"/>
          <w:b/>
          <w:color w:val="000000" w:themeColor="text1"/>
          <w:sz w:val="24"/>
          <w:szCs w:val="24"/>
        </w:rPr>
        <w:t>Review of the Combined State Party Report for Indonesia</w:t>
      </w:r>
    </w:p>
    <w:p w14:paraId="5E70BD8C" w14:textId="64E06688" w:rsidR="00492296" w:rsidRPr="00772D79" w:rsidRDefault="004B61AA" w:rsidP="004B61AA">
      <w:pPr>
        <w:pStyle w:val="NoSpacing"/>
        <w:contextualSpacing/>
        <w:jc w:val="center"/>
        <w:rPr>
          <w:rFonts w:ascii="MetaPro-Norm" w:hAnsi="MetaPro-Norm"/>
          <w:b/>
          <w:i/>
          <w:iCs/>
          <w:color w:val="000000" w:themeColor="text1"/>
          <w:sz w:val="24"/>
          <w:szCs w:val="24"/>
        </w:rPr>
      </w:pPr>
      <w:r w:rsidRPr="004B61AA">
        <w:rPr>
          <w:rFonts w:ascii="MetaPro-Norm" w:hAnsi="MetaPro-Norm"/>
          <w:b/>
          <w:color w:val="000000" w:themeColor="text1"/>
          <w:sz w:val="24"/>
          <w:szCs w:val="24"/>
        </w:rPr>
        <w:t xml:space="preserve">80th Session - </w:t>
      </w:r>
      <w:r w:rsidR="008B675C">
        <w:rPr>
          <w:rFonts w:ascii="MetaPro-Norm" w:hAnsi="MetaPro-Norm"/>
          <w:b/>
          <w:color w:val="000000" w:themeColor="text1"/>
          <w:sz w:val="24"/>
          <w:szCs w:val="24"/>
        </w:rPr>
        <w:t>September</w:t>
      </w:r>
      <w:r w:rsidRPr="004B61AA">
        <w:rPr>
          <w:rFonts w:ascii="MetaPro-Norm" w:hAnsi="MetaPro-Norm"/>
          <w:b/>
          <w:color w:val="000000" w:themeColor="text1"/>
          <w:sz w:val="24"/>
          <w:szCs w:val="24"/>
        </w:rPr>
        <w:t xml:space="preserve"> 2021</w:t>
      </w:r>
      <w:r>
        <w:rPr>
          <w:rFonts w:ascii="MetaPro-Norm" w:hAnsi="MetaPro-Norm"/>
          <w:b/>
          <w:color w:val="000000" w:themeColor="text1"/>
          <w:sz w:val="24"/>
          <w:szCs w:val="24"/>
        </w:rPr>
        <w:t xml:space="preserve"> </w:t>
      </w:r>
    </w:p>
    <w:p w14:paraId="26249BD2" w14:textId="77777777" w:rsidR="00492296" w:rsidRPr="003072D3" w:rsidRDefault="00492296" w:rsidP="00772D79"/>
    <w:p w14:paraId="55758E24" w14:textId="487BC55C" w:rsidR="00204C4F" w:rsidRPr="003072D3" w:rsidRDefault="00204C4F" w:rsidP="00772D79">
      <w:pPr>
        <w:rPr>
          <w:rFonts w:ascii="MetaPro-Norm" w:hAnsi="MetaPro-Norm"/>
          <w:color w:val="000000" w:themeColor="text1"/>
          <w:shd w:val="clear" w:color="auto" w:fill="FFFFFF"/>
        </w:rPr>
      </w:pPr>
      <w:r w:rsidRPr="003072D3">
        <w:rPr>
          <w:rFonts w:ascii="MetaPro-Norm" w:hAnsi="MetaPro-Norm"/>
          <w:color w:val="000000" w:themeColor="text1"/>
          <w:shd w:val="clear" w:color="auto" w:fill="FFFFFF"/>
        </w:rPr>
        <w:t xml:space="preserve">Indonesia ratified </w:t>
      </w:r>
      <w:r w:rsidR="001C5C15" w:rsidRPr="003072D3">
        <w:rPr>
          <w:rFonts w:ascii="MetaPro-Norm" w:hAnsi="MetaPro-Norm"/>
          <w:bCs/>
          <w:color w:val="000000" w:themeColor="text1"/>
        </w:rPr>
        <w:t>the C</w:t>
      </w:r>
      <w:r w:rsidR="001C5C15">
        <w:rPr>
          <w:rFonts w:ascii="MetaPro-Norm" w:hAnsi="MetaPro-Norm"/>
          <w:bCs/>
          <w:color w:val="000000" w:themeColor="text1"/>
        </w:rPr>
        <w:t>CEDAW</w:t>
      </w:r>
      <w:r w:rsidRPr="003072D3">
        <w:rPr>
          <w:rFonts w:ascii="MetaPro-Norm" w:hAnsi="MetaPro-Norm"/>
          <w:color w:val="000000" w:themeColor="text1"/>
          <w:shd w:val="clear" w:color="auto" w:fill="FFFFFF"/>
        </w:rPr>
        <w:t xml:space="preserve"> </w:t>
      </w:r>
      <w:r w:rsidR="00304B8D">
        <w:rPr>
          <w:rFonts w:ascii="MetaPro-Norm" w:hAnsi="MetaPro-Norm"/>
          <w:color w:val="000000" w:themeColor="text1"/>
          <w:shd w:val="clear" w:color="auto" w:fill="FFFFFF"/>
        </w:rPr>
        <w:t>in 1984</w:t>
      </w:r>
      <w:r w:rsidR="00527DC3">
        <w:rPr>
          <w:rFonts w:ascii="MetaPro-Norm" w:hAnsi="MetaPro-Norm"/>
          <w:color w:val="000000" w:themeColor="text1"/>
          <w:shd w:val="clear" w:color="auto" w:fill="FFFFFF"/>
        </w:rPr>
        <w:t>.</w:t>
      </w:r>
      <w:r w:rsidR="00F81996">
        <w:rPr>
          <w:rFonts w:ascii="ZWAdobeF" w:hAnsi="ZWAdobeF" w:cs="ZWAdobeF"/>
          <w:sz w:val="2"/>
          <w:szCs w:val="2"/>
          <w:shd w:val="clear" w:color="auto" w:fill="FFFFFF"/>
        </w:rPr>
        <w:t>0F</w:t>
      </w:r>
      <w:r w:rsidR="00362F34" w:rsidRPr="003072D3">
        <w:rPr>
          <w:rStyle w:val="FootnoteReference"/>
          <w:rFonts w:ascii="MetaPro-Norm" w:hAnsi="MetaPro-Norm"/>
          <w:color w:val="000000" w:themeColor="text1"/>
          <w:shd w:val="clear" w:color="auto" w:fill="FFFFFF"/>
        </w:rPr>
        <w:footnoteReference w:id="1"/>
      </w:r>
      <w:r w:rsidR="001F28A1" w:rsidRPr="003072D3">
        <w:rPr>
          <w:rFonts w:ascii="MetaPro-Norm" w:hAnsi="MetaPro-Norm"/>
          <w:color w:val="000000" w:themeColor="text1"/>
          <w:shd w:val="clear" w:color="auto" w:fill="FFFFFF"/>
        </w:rPr>
        <w:t xml:space="preserve"> </w:t>
      </w:r>
    </w:p>
    <w:p w14:paraId="5A2447C6" w14:textId="39F4BC55" w:rsidR="00EB0859" w:rsidRDefault="000A5AD6" w:rsidP="00772D79">
      <w:pPr>
        <w:pStyle w:val="NormalWeb"/>
        <w:shd w:val="clear" w:color="auto" w:fill="FFFFFF"/>
        <w:spacing w:after="0" w:afterAutospacing="0"/>
        <w:contextualSpacing/>
        <w:rPr>
          <w:rFonts w:ascii="MetaPro-Norm" w:hAnsi="MetaPro-Norm"/>
          <w:b/>
          <w:bCs/>
          <w:i/>
          <w:iCs/>
          <w:color w:val="282828"/>
          <w:shd w:val="clear" w:color="auto" w:fill="FFFFFF"/>
          <w:lang w:val="en-GB"/>
        </w:rPr>
      </w:pPr>
      <w:r w:rsidRPr="00AE3113">
        <w:rPr>
          <w:rFonts w:ascii="MetaPro-Norm" w:hAnsi="MetaPro-Norm"/>
          <w:b/>
          <w:bCs/>
          <w:color w:val="282828"/>
          <w:shd w:val="clear" w:color="auto" w:fill="FFFFFF"/>
          <w:lang w:val="en-GB"/>
        </w:rPr>
        <w:t xml:space="preserve">Discriminatory </w:t>
      </w:r>
      <w:r w:rsidR="00A06485" w:rsidRPr="00AE3113">
        <w:rPr>
          <w:rFonts w:ascii="MetaPro-Norm" w:hAnsi="MetaPro-Norm"/>
          <w:b/>
          <w:bCs/>
          <w:color w:val="282828"/>
          <w:shd w:val="clear" w:color="auto" w:fill="FFFFFF"/>
          <w:lang w:val="en-GB"/>
        </w:rPr>
        <w:t xml:space="preserve">by-laws and </w:t>
      </w:r>
      <w:r w:rsidR="007F3B96" w:rsidRPr="00AE3113">
        <w:rPr>
          <w:rFonts w:ascii="MetaPro-Norm" w:hAnsi="MetaPro-Norm"/>
          <w:b/>
          <w:bCs/>
          <w:color w:val="282828"/>
          <w:shd w:val="clear" w:color="auto" w:fill="FFFFFF"/>
          <w:lang w:val="en-GB"/>
        </w:rPr>
        <w:t xml:space="preserve">regulations </w:t>
      </w:r>
      <w:r w:rsidR="00D27F48">
        <w:rPr>
          <w:rFonts w:ascii="MetaPro-Norm" w:hAnsi="MetaPro-Norm"/>
          <w:b/>
          <w:bCs/>
          <w:color w:val="282828"/>
          <w:shd w:val="clear" w:color="auto" w:fill="FFFFFF"/>
          <w:lang w:val="en-GB"/>
        </w:rPr>
        <w:t>(</w:t>
      </w:r>
      <w:r w:rsidR="009A0416">
        <w:rPr>
          <w:rFonts w:ascii="MetaPro-Norm" w:hAnsi="MetaPro-Norm"/>
          <w:b/>
          <w:bCs/>
          <w:color w:val="282828"/>
          <w:shd w:val="clear" w:color="auto" w:fill="FFFFFF"/>
          <w:lang w:val="en-GB"/>
        </w:rPr>
        <w:t xml:space="preserve">CEDAW </w:t>
      </w:r>
      <w:r w:rsidR="00D27F48">
        <w:rPr>
          <w:rFonts w:ascii="MetaPro-Norm" w:hAnsi="MetaPro-Norm"/>
          <w:b/>
          <w:bCs/>
          <w:color w:val="282828"/>
          <w:shd w:val="clear" w:color="auto" w:fill="FFFFFF"/>
          <w:lang w:val="en-GB"/>
        </w:rPr>
        <w:t xml:space="preserve">Articles </w:t>
      </w:r>
      <w:r w:rsidR="00B27E24" w:rsidRPr="00AE3113">
        <w:rPr>
          <w:rFonts w:ascii="MetaPro-Norm" w:hAnsi="MetaPro-Norm"/>
          <w:b/>
          <w:bCs/>
          <w:color w:val="282828"/>
          <w:shd w:val="clear" w:color="auto" w:fill="FFFFFF"/>
          <w:lang w:val="en-GB"/>
        </w:rPr>
        <w:t>1 and 2</w:t>
      </w:r>
      <w:r w:rsidR="00D27F48">
        <w:rPr>
          <w:rFonts w:ascii="MetaPro-Norm" w:hAnsi="MetaPro-Norm"/>
          <w:b/>
          <w:bCs/>
          <w:color w:val="282828"/>
          <w:shd w:val="clear" w:color="auto" w:fill="FFFFFF"/>
          <w:lang w:val="en-GB"/>
        </w:rPr>
        <w:t>)</w:t>
      </w:r>
    </w:p>
    <w:p w14:paraId="0AE0FA47" w14:textId="77777777" w:rsidR="00312B76" w:rsidRDefault="00312B76" w:rsidP="00772D79">
      <w:pPr>
        <w:rPr>
          <w:rFonts w:ascii="MetaPro-Norm" w:hAnsi="MetaPro-Norm"/>
        </w:rPr>
      </w:pPr>
    </w:p>
    <w:p w14:paraId="55523804" w14:textId="4F4F4079" w:rsidR="00091F5F" w:rsidRPr="00091F5F" w:rsidRDefault="00D27F48" w:rsidP="00772D79">
      <w:pPr>
        <w:rPr>
          <w:rFonts w:ascii="MetaPro-Norm" w:hAnsi="MetaPro-Norm"/>
        </w:rPr>
      </w:pPr>
      <w:r>
        <w:rPr>
          <w:rFonts w:ascii="MetaPro-Norm" w:hAnsi="MetaPro-Norm"/>
        </w:rPr>
        <w:t>In its eighth periodic report, t</w:t>
      </w:r>
      <w:r w:rsidR="00091F5F">
        <w:rPr>
          <w:rFonts w:ascii="MetaPro-Norm" w:hAnsi="MetaPro-Norm"/>
        </w:rPr>
        <w:t xml:space="preserve">he </w:t>
      </w:r>
      <w:r w:rsidR="00DA3938">
        <w:rPr>
          <w:rFonts w:ascii="MetaPro-Norm" w:hAnsi="MetaPro-Norm"/>
        </w:rPr>
        <w:t xml:space="preserve">Indonesian </w:t>
      </w:r>
      <w:r>
        <w:rPr>
          <w:rFonts w:ascii="MetaPro-Norm" w:hAnsi="MetaPro-Norm"/>
        </w:rPr>
        <w:t xml:space="preserve">government </w:t>
      </w:r>
      <w:r w:rsidR="00091F5F">
        <w:rPr>
          <w:rFonts w:ascii="MetaPro-Norm" w:hAnsi="MetaPro-Norm"/>
        </w:rPr>
        <w:t>state</w:t>
      </w:r>
      <w:r w:rsidR="00DA3938">
        <w:rPr>
          <w:rFonts w:ascii="MetaPro-Norm" w:hAnsi="MetaPro-Norm"/>
        </w:rPr>
        <w:t>d</w:t>
      </w:r>
      <w:r w:rsidR="00091F5F">
        <w:rPr>
          <w:rFonts w:ascii="MetaPro-Norm" w:hAnsi="MetaPro-Norm"/>
        </w:rPr>
        <w:t>, “</w:t>
      </w:r>
      <w:r w:rsidR="00091F5F" w:rsidRPr="00091F5F">
        <w:rPr>
          <w:rFonts w:ascii="MetaPro-Norm" w:hAnsi="MetaPro-Norm"/>
        </w:rPr>
        <w:t>The equality of all Indonesian citizens as well as their rights to non-discrimination is guaranteed under various legal provisions,</w:t>
      </w:r>
      <w:r w:rsidR="000402DC">
        <w:rPr>
          <w:rFonts w:ascii="MetaPro-Norm" w:hAnsi="MetaPro-Norm"/>
        </w:rPr>
        <w:t>”</w:t>
      </w:r>
      <w:r w:rsidR="00091F5F" w:rsidRPr="00091F5F">
        <w:rPr>
          <w:rFonts w:ascii="MetaPro-Norm" w:hAnsi="MetaPro-Norm"/>
        </w:rPr>
        <w:t xml:space="preserve"> namely a) </w:t>
      </w:r>
      <w:r w:rsidR="000402DC">
        <w:rPr>
          <w:rFonts w:ascii="MetaPro-Norm" w:hAnsi="MetaPro-Norm"/>
        </w:rPr>
        <w:t>t</w:t>
      </w:r>
      <w:r w:rsidR="00091F5F" w:rsidRPr="00091F5F">
        <w:rPr>
          <w:rFonts w:ascii="MetaPro-Norm" w:hAnsi="MetaPro-Norm"/>
        </w:rPr>
        <w:t xml:space="preserve">he 1945 Constitution of the Republic of Indonesia, in </w:t>
      </w:r>
      <w:r w:rsidR="000402DC">
        <w:rPr>
          <w:rFonts w:ascii="MetaPro-Norm" w:hAnsi="MetaPro-Norm"/>
        </w:rPr>
        <w:t>a</w:t>
      </w:r>
      <w:r w:rsidR="00091F5F" w:rsidRPr="00091F5F">
        <w:rPr>
          <w:rFonts w:ascii="MetaPro-Norm" w:hAnsi="MetaPro-Norm"/>
        </w:rPr>
        <w:t>rticle 28I</w:t>
      </w:r>
      <w:r w:rsidR="000402DC">
        <w:rPr>
          <w:rFonts w:ascii="MetaPro-Norm" w:hAnsi="MetaPro-Norm"/>
        </w:rPr>
        <w:t>(2)</w:t>
      </w:r>
      <w:r w:rsidR="00091F5F" w:rsidRPr="00091F5F">
        <w:rPr>
          <w:rFonts w:ascii="MetaPro-Norm" w:hAnsi="MetaPro-Norm"/>
        </w:rPr>
        <w:t xml:space="preserve"> on freedom from and protection against discriminatory treatment on any basis;</w:t>
      </w:r>
      <w:r w:rsidR="008C54FC">
        <w:rPr>
          <w:rFonts w:ascii="MetaPro-Norm" w:hAnsi="MetaPro-Norm"/>
        </w:rPr>
        <w:t xml:space="preserve">  </w:t>
      </w:r>
      <w:r w:rsidR="00E143F0">
        <w:rPr>
          <w:rFonts w:ascii="MetaPro-Norm" w:hAnsi="MetaPro-Norm"/>
        </w:rPr>
        <w:t xml:space="preserve">and </w:t>
      </w:r>
      <w:r w:rsidR="00091F5F" w:rsidRPr="00091F5F">
        <w:rPr>
          <w:rFonts w:ascii="MetaPro-Norm" w:hAnsi="MetaPro-Norm"/>
        </w:rPr>
        <w:t xml:space="preserve">b) Law No. 39/1999 on Human Rights in </w:t>
      </w:r>
      <w:r w:rsidR="000402DC">
        <w:rPr>
          <w:rFonts w:ascii="MetaPro-Norm" w:hAnsi="MetaPro-Norm"/>
        </w:rPr>
        <w:t>a</w:t>
      </w:r>
      <w:r w:rsidR="00091F5F" w:rsidRPr="00091F5F">
        <w:rPr>
          <w:rFonts w:ascii="MetaPro-Norm" w:hAnsi="MetaPro-Norm"/>
        </w:rPr>
        <w:t xml:space="preserve">rticle 3(2) on equality before the law, and </w:t>
      </w:r>
      <w:r w:rsidR="000402DC">
        <w:rPr>
          <w:rFonts w:ascii="MetaPro-Norm" w:hAnsi="MetaPro-Norm"/>
        </w:rPr>
        <w:t>3</w:t>
      </w:r>
      <w:r w:rsidR="00091F5F" w:rsidRPr="00091F5F">
        <w:rPr>
          <w:rFonts w:ascii="MetaPro-Norm" w:hAnsi="MetaPro-Norm"/>
        </w:rPr>
        <w:t>(3) on freedom from discrimination.</w:t>
      </w:r>
      <w:r w:rsidR="00F81996">
        <w:rPr>
          <w:rFonts w:ascii="ZWAdobeF" w:hAnsi="ZWAdobeF" w:cs="ZWAdobeF"/>
          <w:sz w:val="2"/>
          <w:szCs w:val="2"/>
        </w:rPr>
        <w:t>1F</w:t>
      </w:r>
      <w:r w:rsidR="00727217">
        <w:rPr>
          <w:rStyle w:val="FootnoteReference"/>
          <w:rFonts w:ascii="MetaPro-Norm" w:hAnsi="MetaPro-Norm"/>
        </w:rPr>
        <w:footnoteReference w:id="2"/>
      </w:r>
    </w:p>
    <w:p w14:paraId="4E8DDF27" w14:textId="77777777" w:rsidR="00091F5F" w:rsidRDefault="00091F5F" w:rsidP="00772D79">
      <w:pPr>
        <w:rPr>
          <w:rFonts w:ascii="MetaPro-Norm" w:hAnsi="MetaPro-Norm"/>
        </w:rPr>
      </w:pPr>
    </w:p>
    <w:p w14:paraId="4F54729F" w14:textId="2E694AEF" w:rsidR="00581B12" w:rsidRPr="003072D3" w:rsidRDefault="00DA3938" w:rsidP="00772D79">
      <w:pPr>
        <w:rPr>
          <w:rFonts w:ascii="MetaPro-Norm" w:hAnsi="MetaPro-Norm"/>
        </w:rPr>
      </w:pPr>
      <w:r>
        <w:rPr>
          <w:rFonts w:ascii="MetaPro-Norm" w:hAnsi="MetaPro-Norm"/>
        </w:rPr>
        <w:t xml:space="preserve">However, </w:t>
      </w:r>
      <w:r w:rsidR="000C2224" w:rsidRPr="00EB0859">
        <w:rPr>
          <w:rFonts w:ascii="MetaPro-Norm" w:hAnsi="MetaPro-Norm"/>
        </w:rPr>
        <w:t xml:space="preserve">mandatory </w:t>
      </w:r>
      <w:r w:rsidR="001B3005" w:rsidRPr="00CB5C1A">
        <w:rPr>
          <w:rFonts w:ascii="MetaPro-Norm" w:hAnsi="MetaPro-Norm"/>
          <w:i/>
          <w:iCs/>
        </w:rPr>
        <w:t>jilbab</w:t>
      </w:r>
      <w:r w:rsidR="000C2224" w:rsidRPr="00EB0859">
        <w:rPr>
          <w:rFonts w:ascii="MetaPro-Norm" w:hAnsi="MetaPro-Norm"/>
        </w:rPr>
        <w:t xml:space="preserve"> </w:t>
      </w:r>
      <w:r w:rsidR="001B3005">
        <w:rPr>
          <w:rFonts w:ascii="MetaPro-Norm" w:hAnsi="MetaPro-Norm"/>
        </w:rPr>
        <w:t xml:space="preserve">(also called </w:t>
      </w:r>
      <w:r w:rsidR="001B3005" w:rsidRPr="00CB5C1A">
        <w:rPr>
          <w:rFonts w:ascii="MetaPro-Norm" w:hAnsi="MetaPro-Norm"/>
          <w:i/>
          <w:iCs/>
        </w:rPr>
        <w:t>hijab</w:t>
      </w:r>
      <w:r w:rsidR="001B3005">
        <w:rPr>
          <w:rFonts w:ascii="MetaPro-Norm" w:hAnsi="MetaPro-Norm"/>
        </w:rPr>
        <w:t xml:space="preserve">) </w:t>
      </w:r>
      <w:r w:rsidR="000C2224" w:rsidRPr="00EB0859">
        <w:rPr>
          <w:rFonts w:ascii="MetaPro-Norm" w:hAnsi="MetaPro-Norm"/>
        </w:rPr>
        <w:t>regulations</w:t>
      </w:r>
      <w:r w:rsidR="00E27F43">
        <w:rPr>
          <w:rFonts w:ascii="MetaPro-Norm" w:hAnsi="MetaPro-Norm"/>
        </w:rPr>
        <w:t xml:space="preserve"> --</w:t>
      </w:r>
      <w:r w:rsidR="00E143F0">
        <w:rPr>
          <w:rFonts w:ascii="MetaPro-Norm" w:hAnsi="MetaPro-Norm"/>
        </w:rPr>
        <w:t xml:space="preserve"> </w:t>
      </w:r>
      <w:r w:rsidR="000C2224" w:rsidRPr="00EB0859">
        <w:rPr>
          <w:rFonts w:ascii="MetaPro-Norm" w:hAnsi="MetaPro-Norm"/>
        </w:rPr>
        <w:t xml:space="preserve">which mandate that women and girls wear </w:t>
      </w:r>
      <w:r w:rsidR="001B3005">
        <w:rPr>
          <w:rFonts w:ascii="MetaPro-Norm" w:hAnsi="MetaPro-Norm"/>
        </w:rPr>
        <w:t>jilbab</w:t>
      </w:r>
      <w:r w:rsidR="00451392">
        <w:rPr>
          <w:rFonts w:ascii="MetaPro-Norm" w:hAnsi="MetaPro-Norm"/>
        </w:rPr>
        <w:t>s</w:t>
      </w:r>
      <w:r w:rsidR="000C2224" w:rsidRPr="00EB0859">
        <w:rPr>
          <w:rFonts w:ascii="MetaPro-Norm" w:hAnsi="MetaPro-Norm"/>
        </w:rPr>
        <w:t>, prohibit them from wearing close-fitting clothing, and require them to cover</w:t>
      </w:r>
      <w:r w:rsidR="008C54FC">
        <w:rPr>
          <w:rFonts w:ascii="MetaPro-Norm" w:hAnsi="MetaPro-Norm"/>
        </w:rPr>
        <w:t xml:space="preserve"> </w:t>
      </w:r>
      <w:r w:rsidR="000C2224" w:rsidRPr="00EB0859">
        <w:rPr>
          <w:rFonts w:ascii="MetaPro-Norm" w:hAnsi="MetaPro-Norm"/>
        </w:rPr>
        <w:t>their bodies except their hands, feet, and face</w:t>
      </w:r>
      <w:r w:rsidR="00E143F0">
        <w:rPr>
          <w:rFonts w:ascii="MetaPro-Norm" w:hAnsi="MetaPro-Norm"/>
        </w:rPr>
        <w:t xml:space="preserve"> </w:t>
      </w:r>
      <w:r w:rsidR="00E27F43">
        <w:rPr>
          <w:rFonts w:ascii="MetaPro-Norm" w:hAnsi="MetaPro-Norm"/>
        </w:rPr>
        <w:t xml:space="preserve">-- </w:t>
      </w:r>
      <w:r w:rsidR="000402DC">
        <w:rPr>
          <w:rFonts w:ascii="MetaPro-Norm" w:hAnsi="MetaPro-Norm"/>
        </w:rPr>
        <w:t xml:space="preserve">are contrary to international </w:t>
      </w:r>
      <w:r w:rsidR="00E27F43">
        <w:rPr>
          <w:rFonts w:ascii="MetaPro-Norm" w:hAnsi="MetaPro-Norm"/>
        </w:rPr>
        <w:t xml:space="preserve">human rights standards. </w:t>
      </w:r>
      <w:r w:rsidR="001013B6" w:rsidRPr="003072D3">
        <w:rPr>
          <w:rFonts w:ascii="MetaPro-Norm" w:hAnsi="MetaPro-Norm"/>
        </w:rPr>
        <w:t xml:space="preserve">Indonesia’s </w:t>
      </w:r>
      <w:r w:rsidR="001B6251" w:rsidRPr="003072D3">
        <w:rPr>
          <w:rFonts w:ascii="MetaPro-Norm" w:hAnsi="MetaPro-Norm"/>
        </w:rPr>
        <w:t>National Commission on Violence Against Women (</w:t>
      </w:r>
      <w:r w:rsidR="001B6251" w:rsidRPr="003072D3">
        <w:rPr>
          <w:rFonts w:ascii="MetaPro-Norm" w:hAnsi="MetaPro-Norm"/>
          <w:i/>
          <w:iCs/>
        </w:rPr>
        <w:t>Komnas Perempuan</w:t>
      </w:r>
      <w:r w:rsidR="001B6251" w:rsidRPr="003072D3">
        <w:rPr>
          <w:rFonts w:ascii="MetaPro-Norm" w:hAnsi="MetaPro-Norm"/>
        </w:rPr>
        <w:t xml:space="preserve">) </w:t>
      </w:r>
      <w:r w:rsidR="001013B6" w:rsidRPr="003072D3">
        <w:rPr>
          <w:rFonts w:ascii="MetaPro-Norm" w:hAnsi="MetaPro-Norm"/>
        </w:rPr>
        <w:t>identified</w:t>
      </w:r>
      <w:r w:rsidR="001B6251" w:rsidRPr="003072D3">
        <w:rPr>
          <w:rFonts w:ascii="MetaPro-Norm" w:hAnsi="MetaPro-Norm"/>
        </w:rPr>
        <w:t xml:space="preserve"> </w:t>
      </w:r>
      <w:r w:rsidR="00A802BF">
        <w:rPr>
          <w:rFonts w:ascii="MetaPro-Norm" w:hAnsi="MetaPro-Norm"/>
        </w:rPr>
        <w:t xml:space="preserve">how hundreds of </w:t>
      </w:r>
      <w:r w:rsidR="001013B6" w:rsidRPr="003072D3">
        <w:rPr>
          <w:rFonts w:ascii="MetaPro-Norm" w:hAnsi="MetaPro-Norm"/>
        </w:rPr>
        <w:t xml:space="preserve">discriminatory </w:t>
      </w:r>
      <w:r w:rsidR="00A802BF">
        <w:rPr>
          <w:rFonts w:ascii="MetaPro-Norm" w:hAnsi="MetaPro-Norm"/>
        </w:rPr>
        <w:t xml:space="preserve">national and </w:t>
      </w:r>
      <w:r w:rsidR="001013B6" w:rsidRPr="003072D3">
        <w:rPr>
          <w:rFonts w:ascii="MetaPro-Norm" w:hAnsi="MetaPro-Norm"/>
        </w:rPr>
        <w:t xml:space="preserve">local </w:t>
      </w:r>
      <w:r w:rsidR="00A802BF">
        <w:rPr>
          <w:rFonts w:ascii="MetaPro-Norm" w:hAnsi="MetaPro-Norm"/>
        </w:rPr>
        <w:t xml:space="preserve">regulations </w:t>
      </w:r>
      <w:r w:rsidR="00D17919" w:rsidRPr="00EB0859">
        <w:rPr>
          <w:rFonts w:ascii="MetaPro-Norm" w:hAnsi="MetaPro-Norm"/>
        </w:rPr>
        <w:t xml:space="preserve">are </w:t>
      </w:r>
      <w:r w:rsidR="00E27F43">
        <w:rPr>
          <w:rFonts w:ascii="MetaPro-Norm" w:hAnsi="MetaPro-Norm"/>
        </w:rPr>
        <w:t xml:space="preserve">violating </w:t>
      </w:r>
      <w:r w:rsidR="00D17919" w:rsidRPr="00EB0859">
        <w:rPr>
          <w:rFonts w:ascii="MetaPro-Norm" w:hAnsi="MetaPro-Norm"/>
        </w:rPr>
        <w:t>women</w:t>
      </w:r>
      <w:r w:rsidR="00E27F43">
        <w:rPr>
          <w:rFonts w:ascii="MetaPro-Norm" w:hAnsi="MetaPro-Norm"/>
        </w:rPr>
        <w:t>’s rights</w:t>
      </w:r>
      <w:r w:rsidR="00246B8E">
        <w:rPr>
          <w:rFonts w:ascii="MetaPro-Norm" w:hAnsi="MetaPro-Norm"/>
        </w:rPr>
        <w:t xml:space="preserve">, including </w:t>
      </w:r>
      <w:r w:rsidR="00E27F43">
        <w:rPr>
          <w:rFonts w:ascii="MetaPro-Norm" w:hAnsi="MetaPro-Norm"/>
        </w:rPr>
        <w:t xml:space="preserve">by </w:t>
      </w:r>
      <w:r w:rsidR="00E65AA7">
        <w:rPr>
          <w:rFonts w:ascii="MetaPro-Norm" w:hAnsi="MetaPro-Norm"/>
        </w:rPr>
        <w:t xml:space="preserve">forcing women and girls to wear the </w:t>
      </w:r>
      <w:r w:rsidR="001B3005">
        <w:rPr>
          <w:rFonts w:ascii="MetaPro-Norm" w:hAnsi="MetaPro-Norm"/>
        </w:rPr>
        <w:t>jilbab</w:t>
      </w:r>
      <w:r w:rsidR="001013B6" w:rsidRPr="003072D3">
        <w:rPr>
          <w:rFonts w:ascii="MetaPro-Norm" w:hAnsi="MetaPro-Norm"/>
        </w:rPr>
        <w:t xml:space="preserve"> </w:t>
      </w:r>
      <w:r w:rsidR="00E65AA7">
        <w:rPr>
          <w:rFonts w:ascii="MetaPro-Norm" w:hAnsi="MetaPro-Norm"/>
        </w:rPr>
        <w:t>in government buildings, schools</w:t>
      </w:r>
      <w:r w:rsidR="00A802BF">
        <w:rPr>
          <w:rFonts w:ascii="MetaPro-Norm" w:hAnsi="MetaPro-Norm"/>
        </w:rPr>
        <w:t xml:space="preserve"> or public places</w:t>
      </w:r>
      <w:r w:rsidR="001013B6" w:rsidRPr="003072D3">
        <w:rPr>
          <w:rFonts w:ascii="MetaPro-Norm" w:hAnsi="MetaPro-Norm"/>
        </w:rPr>
        <w:t xml:space="preserve">, </w:t>
      </w:r>
      <w:r w:rsidR="00C12F64">
        <w:rPr>
          <w:rFonts w:ascii="MetaPro-Norm" w:hAnsi="MetaPro-Norm"/>
        </w:rPr>
        <w:t xml:space="preserve">and imposing </w:t>
      </w:r>
      <w:r w:rsidR="001013B6" w:rsidRPr="003072D3">
        <w:rPr>
          <w:rFonts w:ascii="MetaPro-Norm" w:hAnsi="MetaPro-Norm"/>
        </w:rPr>
        <w:t xml:space="preserve">curfews and other restrictions </w:t>
      </w:r>
      <w:r w:rsidR="00C12F64">
        <w:rPr>
          <w:rFonts w:ascii="MetaPro-Norm" w:hAnsi="MetaPro-Norm"/>
        </w:rPr>
        <w:t xml:space="preserve">on </w:t>
      </w:r>
      <w:r w:rsidR="001013B6" w:rsidRPr="003072D3">
        <w:rPr>
          <w:rFonts w:ascii="MetaPro-Norm" w:hAnsi="MetaPro-Norm"/>
        </w:rPr>
        <w:t>women</w:t>
      </w:r>
      <w:r w:rsidR="00197C92" w:rsidRPr="003072D3">
        <w:rPr>
          <w:rFonts w:ascii="MetaPro-Norm" w:hAnsi="MetaPro-Norm"/>
        </w:rPr>
        <w:t xml:space="preserve"> and girls</w:t>
      </w:r>
      <w:r w:rsidR="001013B6" w:rsidRPr="003072D3">
        <w:rPr>
          <w:rFonts w:ascii="MetaPro-Norm" w:hAnsi="MetaPro-Norm"/>
        </w:rPr>
        <w:t>.</w:t>
      </w:r>
      <w:r w:rsidR="00F81996">
        <w:rPr>
          <w:rFonts w:ascii="ZWAdobeF" w:hAnsi="ZWAdobeF" w:cs="ZWAdobeF"/>
          <w:sz w:val="2"/>
          <w:szCs w:val="2"/>
        </w:rPr>
        <w:t>2F</w:t>
      </w:r>
      <w:r w:rsidR="001013B6" w:rsidRPr="003072D3">
        <w:rPr>
          <w:rStyle w:val="FootnoteReference"/>
          <w:rFonts w:ascii="MetaPro-Norm" w:hAnsi="MetaPro-Norm"/>
        </w:rPr>
        <w:footnoteReference w:id="3"/>
      </w:r>
    </w:p>
    <w:p w14:paraId="6AED35AD" w14:textId="293117CC" w:rsidR="00197C92" w:rsidRPr="003072D3" w:rsidRDefault="00197C92" w:rsidP="00772D79">
      <w:pPr>
        <w:rPr>
          <w:rFonts w:ascii="MetaPro-Norm" w:hAnsi="MetaPro-Norm"/>
        </w:rPr>
      </w:pPr>
    </w:p>
    <w:p w14:paraId="5B6AC0F4" w14:textId="3697430C" w:rsidR="00197C92" w:rsidRDefault="00197C92" w:rsidP="00772D79">
      <w:pPr>
        <w:rPr>
          <w:rFonts w:ascii="MetaPro-Norm" w:hAnsi="MetaPro-Norm"/>
        </w:rPr>
      </w:pPr>
      <w:r w:rsidRPr="003072D3">
        <w:rPr>
          <w:rFonts w:ascii="MetaPro-Norm" w:hAnsi="MetaPro-Norm"/>
        </w:rPr>
        <w:t>In June 2014, Education Minister Mohammad Nuh issued a</w:t>
      </w:r>
      <w:r w:rsidR="00C12F64">
        <w:rPr>
          <w:rFonts w:ascii="MetaPro-Norm" w:hAnsi="MetaPro-Norm"/>
        </w:rPr>
        <w:t>n ambiguously worded</w:t>
      </w:r>
      <w:r w:rsidRPr="003072D3">
        <w:rPr>
          <w:rFonts w:ascii="MetaPro-Norm" w:hAnsi="MetaPro-Norm"/>
        </w:rPr>
        <w:t xml:space="preserve"> regulation that implie</w:t>
      </w:r>
      <w:r w:rsidR="00DA414C">
        <w:rPr>
          <w:rFonts w:ascii="MetaPro-Norm" w:hAnsi="MetaPro-Norm"/>
        </w:rPr>
        <w:t>d</w:t>
      </w:r>
      <w:r w:rsidRPr="003072D3">
        <w:rPr>
          <w:rFonts w:ascii="MetaPro-Norm" w:hAnsi="MetaPro-Norm"/>
        </w:rPr>
        <w:t xml:space="preserve"> all female Muslim students from grade</w:t>
      </w:r>
      <w:r w:rsidR="000402DC">
        <w:rPr>
          <w:rFonts w:ascii="MetaPro-Norm" w:hAnsi="MetaPro-Norm"/>
        </w:rPr>
        <w:t>s</w:t>
      </w:r>
      <w:r w:rsidRPr="003072D3">
        <w:rPr>
          <w:rFonts w:ascii="MetaPro-Norm" w:hAnsi="MetaPro-Norm"/>
        </w:rPr>
        <w:t xml:space="preserve"> 1 to 12 must wear a </w:t>
      </w:r>
      <w:r w:rsidR="001B3005">
        <w:rPr>
          <w:rFonts w:ascii="MetaPro-Norm" w:hAnsi="MetaPro-Norm"/>
        </w:rPr>
        <w:t>jilbab</w:t>
      </w:r>
      <w:r w:rsidRPr="003072D3">
        <w:rPr>
          <w:rFonts w:ascii="MetaPro-Norm" w:hAnsi="MetaPro-Norm"/>
        </w:rPr>
        <w:t xml:space="preserve"> as part of their </w:t>
      </w:r>
      <w:r w:rsidR="00527DC3">
        <w:rPr>
          <w:rFonts w:ascii="MetaPro-Norm" w:hAnsi="MetaPro-Norm"/>
        </w:rPr>
        <w:t xml:space="preserve">state </w:t>
      </w:r>
      <w:r w:rsidRPr="003072D3">
        <w:rPr>
          <w:rFonts w:ascii="MetaPro-Norm" w:hAnsi="MetaPro-Norm"/>
        </w:rPr>
        <w:t>school uniform.</w:t>
      </w:r>
      <w:r w:rsidR="00682DD3">
        <w:rPr>
          <w:rFonts w:ascii="ZWAdobeF" w:hAnsi="ZWAdobeF" w:cs="ZWAdobeF"/>
          <w:sz w:val="2"/>
          <w:szCs w:val="2"/>
        </w:rPr>
        <w:t>3F</w:t>
      </w:r>
      <w:r w:rsidR="0063213A" w:rsidRPr="003072D3">
        <w:rPr>
          <w:rStyle w:val="FootnoteReference"/>
        </w:rPr>
        <w:footnoteReference w:id="4"/>
      </w:r>
      <w:r w:rsidRPr="003072D3">
        <w:rPr>
          <w:rFonts w:ascii="MetaPro-Norm" w:hAnsi="MetaPro-Norm"/>
        </w:rPr>
        <w:t xml:space="preserve"> </w:t>
      </w:r>
      <w:r w:rsidR="003F78A1">
        <w:rPr>
          <w:rFonts w:ascii="MetaPro-Norm" w:hAnsi="MetaPro-Norm"/>
        </w:rPr>
        <w:t xml:space="preserve">In February 2021, </w:t>
      </w:r>
      <w:r w:rsidR="00F739EF" w:rsidRPr="00F739EF">
        <w:rPr>
          <w:rFonts w:ascii="MetaPro-Norm" w:hAnsi="MetaPro-Norm"/>
        </w:rPr>
        <w:t>Education and Culture Minister Nadiem Makarim, Home Affairs Minister Tito Karnavian, and Religious Affairs Minister Yaqut Cholil Qoumas signed a decree that allows any student or teacher to choose what to wear in school with or without “religious attributes.” The decree orders local governments and school principals to abandon regulations requiring a jilbab</w:t>
      </w:r>
      <w:r w:rsidR="00F739EF">
        <w:rPr>
          <w:rFonts w:ascii="MetaPro-Norm" w:hAnsi="MetaPro-Norm"/>
        </w:rPr>
        <w:t xml:space="preserve"> </w:t>
      </w:r>
      <w:r w:rsidR="00F739EF" w:rsidRPr="00F739EF">
        <w:rPr>
          <w:rFonts w:ascii="MetaPro-Norm" w:hAnsi="MetaPro-Norm"/>
        </w:rPr>
        <w:t>in state schools.</w:t>
      </w:r>
      <w:r w:rsidR="00682DD3">
        <w:rPr>
          <w:rFonts w:ascii="ZWAdobeF" w:hAnsi="ZWAdobeF" w:cs="ZWAdobeF"/>
          <w:sz w:val="2"/>
          <w:szCs w:val="2"/>
        </w:rPr>
        <w:t>4F</w:t>
      </w:r>
      <w:r w:rsidRPr="003072D3">
        <w:rPr>
          <w:rStyle w:val="FootnoteReference"/>
          <w:rFonts w:ascii="MetaPro-Norm" w:hAnsi="MetaPro-Norm"/>
        </w:rPr>
        <w:footnoteReference w:id="5"/>
      </w:r>
    </w:p>
    <w:p w14:paraId="2C3E87E6" w14:textId="75F03DF8" w:rsidR="00F739EF" w:rsidRDefault="00F739EF" w:rsidP="00772D79">
      <w:pPr>
        <w:rPr>
          <w:rFonts w:ascii="MetaPro-Norm" w:hAnsi="MetaPro-Norm"/>
        </w:rPr>
      </w:pPr>
    </w:p>
    <w:p w14:paraId="367D0BCA" w14:textId="47C422C8" w:rsidR="00B32BE1" w:rsidRDefault="00790A33" w:rsidP="00772D79">
      <w:pPr>
        <w:rPr>
          <w:rFonts w:ascii="MetaPro-Norm" w:hAnsi="MetaPro-Norm"/>
        </w:rPr>
      </w:pPr>
      <w:r>
        <w:rPr>
          <w:rFonts w:ascii="MetaPro-Norm" w:hAnsi="MetaPro-Norm"/>
        </w:rPr>
        <w:t xml:space="preserve">In May 2021, </w:t>
      </w:r>
      <w:r w:rsidRPr="00790A33">
        <w:rPr>
          <w:rFonts w:ascii="MetaPro-Norm" w:hAnsi="MetaPro-Norm"/>
        </w:rPr>
        <w:t xml:space="preserve">Indonesia’s Supreme Court canceled </w:t>
      </w:r>
      <w:r>
        <w:rPr>
          <w:rFonts w:ascii="MetaPro-Norm" w:hAnsi="MetaPro-Norm"/>
        </w:rPr>
        <w:t xml:space="preserve">the new </w:t>
      </w:r>
      <w:r w:rsidRPr="00790A33">
        <w:rPr>
          <w:rFonts w:ascii="MetaPro-Norm" w:hAnsi="MetaPro-Norm"/>
        </w:rPr>
        <w:t>regulation</w:t>
      </w:r>
      <w:r>
        <w:rPr>
          <w:rFonts w:ascii="MetaPro-Norm" w:hAnsi="MetaPro-Norm"/>
        </w:rPr>
        <w:t>. T</w:t>
      </w:r>
      <w:r w:rsidRPr="00790A33">
        <w:rPr>
          <w:rFonts w:ascii="MetaPro-Norm" w:hAnsi="MetaPro-Norm"/>
        </w:rPr>
        <w:t>he panel of three judges ruled that the regulation violated four national laws</w:t>
      </w:r>
      <w:r w:rsidR="00312B76">
        <w:rPr>
          <w:rFonts w:ascii="MetaPro-Norm" w:hAnsi="MetaPro-Norm"/>
        </w:rPr>
        <w:t>,</w:t>
      </w:r>
      <w:r w:rsidRPr="00790A33">
        <w:rPr>
          <w:rFonts w:ascii="MetaPro-Norm" w:hAnsi="MetaPro-Norm"/>
        </w:rPr>
        <w:t xml:space="preserve"> and children under 18 have no right to choose their clothes.</w:t>
      </w:r>
      <w:r w:rsidR="00682DD3">
        <w:rPr>
          <w:rFonts w:ascii="ZWAdobeF" w:hAnsi="ZWAdobeF" w:cs="ZWAdobeF"/>
          <w:sz w:val="2"/>
          <w:szCs w:val="2"/>
        </w:rPr>
        <w:t>5F</w:t>
      </w:r>
      <w:r>
        <w:rPr>
          <w:rStyle w:val="FootnoteReference"/>
          <w:rFonts w:ascii="MetaPro-Norm" w:hAnsi="MetaPro-Norm"/>
        </w:rPr>
        <w:footnoteReference w:id="6"/>
      </w:r>
      <w:r w:rsidR="006F145F">
        <w:rPr>
          <w:rFonts w:ascii="MetaPro-Norm" w:hAnsi="MetaPro-Norm"/>
        </w:rPr>
        <w:t xml:space="preserve"> </w:t>
      </w:r>
      <w:r w:rsidR="00C12F64">
        <w:rPr>
          <w:rFonts w:ascii="MetaPro-Norm" w:hAnsi="MetaPro-Norm"/>
        </w:rPr>
        <w:t>L</w:t>
      </w:r>
      <w:r w:rsidR="00BF7704">
        <w:rPr>
          <w:rFonts w:ascii="MetaPro-Norm" w:hAnsi="MetaPro-Norm"/>
        </w:rPr>
        <w:t>ocal, provincial</w:t>
      </w:r>
      <w:r w:rsidR="008B675C">
        <w:rPr>
          <w:rFonts w:ascii="MetaPro-Norm" w:hAnsi="MetaPro-Norm"/>
        </w:rPr>
        <w:t>,</w:t>
      </w:r>
      <w:r w:rsidR="00BF7704">
        <w:rPr>
          <w:rFonts w:ascii="MetaPro-Norm" w:hAnsi="MetaPro-Norm"/>
        </w:rPr>
        <w:t xml:space="preserve"> and national regulations </w:t>
      </w:r>
      <w:r w:rsidR="00C12F64">
        <w:rPr>
          <w:rFonts w:ascii="MetaPro-Norm" w:hAnsi="MetaPro-Norm"/>
        </w:rPr>
        <w:t xml:space="preserve">on jilbabs </w:t>
      </w:r>
      <w:r w:rsidR="0010340F">
        <w:rPr>
          <w:rFonts w:ascii="MetaPro-Norm" w:hAnsi="MetaPro-Norm"/>
        </w:rPr>
        <w:t xml:space="preserve">currently </w:t>
      </w:r>
      <w:r w:rsidR="00BF7704">
        <w:rPr>
          <w:rFonts w:ascii="MetaPro-Norm" w:hAnsi="MetaPro-Norm"/>
        </w:rPr>
        <w:t xml:space="preserve">affect </w:t>
      </w:r>
      <w:r w:rsidR="00312B76">
        <w:rPr>
          <w:rFonts w:ascii="MetaPro-Norm" w:hAnsi="MetaPro-Norm"/>
        </w:rPr>
        <w:t xml:space="preserve">areas in which </w:t>
      </w:r>
      <w:r w:rsidR="00BF7704">
        <w:rPr>
          <w:rFonts w:ascii="MetaPro-Norm" w:hAnsi="MetaPro-Norm"/>
        </w:rPr>
        <w:t xml:space="preserve">about 90 percent of </w:t>
      </w:r>
      <w:r w:rsidR="0010340F">
        <w:rPr>
          <w:rFonts w:ascii="MetaPro-Norm" w:hAnsi="MetaPro-Norm"/>
        </w:rPr>
        <w:t xml:space="preserve">Indonesia’s </w:t>
      </w:r>
      <w:r w:rsidR="00BF7704">
        <w:rPr>
          <w:rFonts w:ascii="MetaPro-Norm" w:hAnsi="MetaPro-Norm"/>
        </w:rPr>
        <w:t>population</w:t>
      </w:r>
      <w:r w:rsidR="00312B76">
        <w:rPr>
          <w:rFonts w:ascii="MetaPro-Norm" w:hAnsi="MetaPro-Norm"/>
        </w:rPr>
        <w:t xml:space="preserve"> reside</w:t>
      </w:r>
      <w:r w:rsidR="00BF7704">
        <w:rPr>
          <w:rFonts w:ascii="MetaPro-Norm" w:hAnsi="MetaPro-Norm"/>
        </w:rPr>
        <w:t>.</w:t>
      </w:r>
      <w:r w:rsidR="00682DD3">
        <w:rPr>
          <w:rFonts w:ascii="ZWAdobeF" w:hAnsi="ZWAdobeF" w:cs="ZWAdobeF"/>
          <w:sz w:val="2"/>
          <w:szCs w:val="2"/>
        </w:rPr>
        <w:t>6F</w:t>
      </w:r>
      <w:r w:rsidR="00F739EF">
        <w:rPr>
          <w:rStyle w:val="FootnoteReference"/>
          <w:rFonts w:ascii="MetaPro-Norm" w:hAnsi="MetaPro-Norm"/>
        </w:rPr>
        <w:footnoteReference w:id="7"/>
      </w:r>
      <w:r w:rsidR="00BF7704">
        <w:rPr>
          <w:rFonts w:ascii="MetaPro-Norm" w:hAnsi="MetaPro-Norm"/>
        </w:rPr>
        <w:t xml:space="preserve"> S</w:t>
      </w:r>
      <w:r w:rsidR="00BF7704" w:rsidRPr="003072D3">
        <w:rPr>
          <w:rFonts w:ascii="MetaPro-Norm" w:hAnsi="MetaPro-Norm"/>
        </w:rPr>
        <w:t xml:space="preserve">ome provinces and regencies </w:t>
      </w:r>
      <w:r w:rsidR="00BF7704">
        <w:rPr>
          <w:rFonts w:ascii="MetaPro-Norm" w:hAnsi="MetaPro-Norm"/>
        </w:rPr>
        <w:t xml:space="preserve">have introduced local rules that </w:t>
      </w:r>
      <w:r w:rsidR="00BF7704" w:rsidRPr="003072D3">
        <w:rPr>
          <w:rFonts w:ascii="MetaPro-Norm" w:hAnsi="MetaPro-Norm"/>
        </w:rPr>
        <w:t xml:space="preserve">force </w:t>
      </w:r>
      <w:r w:rsidR="00BF7704">
        <w:rPr>
          <w:rFonts w:ascii="MetaPro-Norm" w:hAnsi="MetaPro-Norm"/>
        </w:rPr>
        <w:t xml:space="preserve">even non-Muslim </w:t>
      </w:r>
      <w:r w:rsidR="00BF7704" w:rsidRPr="003072D3">
        <w:rPr>
          <w:rFonts w:ascii="MetaPro-Norm" w:hAnsi="MetaPro-Norm"/>
        </w:rPr>
        <w:t xml:space="preserve">girls to wear </w:t>
      </w:r>
      <w:r w:rsidR="00BF7704">
        <w:rPr>
          <w:rFonts w:ascii="MetaPro-Norm" w:hAnsi="MetaPro-Norm"/>
        </w:rPr>
        <w:t>jilbab</w:t>
      </w:r>
      <w:r w:rsidR="00BF7704" w:rsidRPr="003072D3">
        <w:rPr>
          <w:rFonts w:ascii="MetaPro-Norm" w:hAnsi="MetaPro-Norm"/>
        </w:rPr>
        <w:t>s</w:t>
      </w:r>
      <w:r w:rsidR="00BF7704">
        <w:rPr>
          <w:rFonts w:ascii="MetaPro-Norm" w:hAnsi="MetaPro-Norm"/>
        </w:rPr>
        <w:t>,</w:t>
      </w:r>
      <w:r w:rsidR="00BF7704" w:rsidRPr="003072D3">
        <w:rPr>
          <w:rFonts w:ascii="MetaPro-Norm" w:hAnsi="MetaPro-Norm"/>
        </w:rPr>
        <w:t xml:space="preserve"> such as West Sumatra</w:t>
      </w:r>
      <w:r w:rsidR="00682DD3">
        <w:rPr>
          <w:rFonts w:ascii="ZWAdobeF" w:hAnsi="ZWAdobeF" w:cs="ZWAdobeF"/>
          <w:sz w:val="2"/>
          <w:szCs w:val="2"/>
        </w:rPr>
        <w:t>7F</w:t>
      </w:r>
      <w:r w:rsidR="00BF7704" w:rsidRPr="003072D3">
        <w:rPr>
          <w:rStyle w:val="FootnoteReference"/>
          <w:rFonts w:ascii="MetaPro-Norm" w:hAnsi="MetaPro-Norm"/>
        </w:rPr>
        <w:footnoteReference w:id="8"/>
      </w:r>
      <w:r w:rsidR="00BF7704" w:rsidRPr="003072D3">
        <w:rPr>
          <w:rFonts w:ascii="MetaPro-Norm" w:hAnsi="MetaPro-Norm"/>
        </w:rPr>
        <w:t xml:space="preserve"> and Aceh</w:t>
      </w:r>
      <w:r w:rsidR="00682DD3">
        <w:rPr>
          <w:rFonts w:ascii="ZWAdobeF" w:hAnsi="ZWAdobeF" w:cs="ZWAdobeF"/>
          <w:sz w:val="2"/>
          <w:szCs w:val="2"/>
        </w:rPr>
        <w:t>8F</w:t>
      </w:r>
      <w:r w:rsidR="00BF7704" w:rsidRPr="003072D3">
        <w:rPr>
          <w:rStyle w:val="FootnoteReference"/>
        </w:rPr>
        <w:footnoteReference w:id="9"/>
      </w:r>
      <w:r w:rsidR="00BF7704" w:rsidRPr="003072D3">
        <w:rPr>
          <w:rFonts w:ascii="MetaPro-Norm" w:hAnsi="MetaPro-Norm"/>
        </w:rPr>
        <w:t xml:space="preserve">, </w:t>
      </w:r>
      <w:r w:rsidR="00BF7704">
        <w:rPr>
          <w:rFonts w:ascii="MetaPro-Norm" w:hAnsi="MetaPro-Norm"/>
        </w:rPr>
        <w:t xml:space="preserve">and </w:t>
      </w:r>
      <w:r w:rsidR="00BF7704" w:rsidRPr="003072D3">
        <w:rPr>
          <w:rFonts w:ascii="MetaPro-Norm" w:hAnsi="MetaPro-Norm"/>
        </w:rPr>
        <w:t>Yogyakarta</w:t>
      </w:r>
      <w:r w:rsidR="00682DD3">
        <w:rPr>
          <w:rFonts w:ascii="ZWAdobeF" w:hAnsi="ZWAdobeF" w:cs="ZWAdobeF"/>
          <w:sz w:val="2"/>
          <w:szCs w:val="2"/>
        </w:rPr>
        <w:t>9F</w:t>
      </w:r>
      <w:r w:rsidR="00BF7704" w:rsidRPr="003072D3">
        <w:rPr>
          <w:rStyle w:val="FootnoteReference"/>
        </w:rPr>
        <w:footnoteReference w:id="10"/>
      </w:r>
      <w:r w:rsidR="00BF7704" w:rsidRPr="003072D3">
        <w:rPr>
          <w:rFonts w:ascii="MetaPro-Norm" w:hAnsi="MetaPro-Norm"/>
        </w:rPr>
        <w:t xml:space="preserve"> and Banyuwangi</w:t>
      </w:r>
      <w:r w:rsidR="00682DD3">
        <w:rPr>
          <w:rFonts w:ascii="ZWAdobeF" w:hAnsi="ZWAdobeF" w:cs="ZWAdobeF"/>
          <w:sz w:val="2"/>
          <w:szCs w:val="2"/>
        </w:rPr>
        <w:t>10F</w:t>
      </w:r>
      <w:r w:rsidR="00BF7704" w:rsidRPr="003072D3">
        <w:rPr>
          <w:rStyle w:val="FootnoteReference"/>
          <w:rFonts w:ascii="MetaPro-Norm" w:hAnsi="MetaPro-Norm"/>
        </w:rPr>
        <w:footnoteReference w:id="11"/>
      </w:r>
      <w:r w:rsidR="00BF7704" w:rsidRPr="003072D3">
        <w:rPr>
          <w:rFonts w:ascii="MetaPro-Norm" w:hAnsi="MetaPro-Norm"/>
        </w:rPr>
        <w:t>.</w:t>
      </w:r>
      <w:r w:rsidR="00CB3B4D">
        <w:rPr>
          <w:rFonts w:ascii="MetaPro-Norm" w:hAnsi="MetaPro-Norm"/>
        </w:rPr>
        <w:t xml:space="preserve"> </w:t>
      </w:r>
      <w:r w:rsidR="00B32BE1" w:rsidRPr="003072D3">
        <w:rPr>
          <w:rFonts w:ascii="MetaPro-Norm" w:hAnsi="MetaPro-Norm"/>
        </w:rPr>
        <w:lastRenderedPageBreak/>
        <w:t xml:space="preserve">Human Rights Watch opposes both forced veiling </w:t>
      </w:r>
      <w:r w:rsidR="0010340F">
        <w:rPr>
          <w:rFonts w:ascii="MetaPro-Norm" w:hAnsi="MetaPro-Norm"/>
        </w:rPr>
        <w:t xml:space="preserve">as well as </w:t>
      </w:r>
      <w:r w:rsidR="00B32BE1" w:rsidRPr="003072D3">
        <w:rPr>
          <w:rFonts w:ascii="MetaPro-Norm" w:hAnsi="MetaPro-Norm"/>
        </w:rPr>
        <w:t>blanket bans on the wearing of religious dress as disproportionate and discriminatory interference with basic rights.</w:t>
      </w:r>
      <w:r w:rsidR="00682DD3">
        <w:rPr>
          <w:rFonts w:ascii="ZWAdobeF" w:hAnsi="ZWAdobeF" w:cs="ZWAdobeF"/>
          <w:sz w:val="2"/>
          <w:szCs w:val="2"/>
        </w:rPr>
        <w:t>11F</w:t>
      </w:r>
      <w:r w:rsidR="00766BFE">
        <w:rPr>
          <w:rStyle w:val="FootnoteReference"/>
          <w:rFonts w:ascii="MetaPro-Norm" w:hAnsi="MetaPro-Norm"/>
        </w:rPr>
        <w:footnoteReference w:id="12"/>
      </w:r>
    </w:p>
    <w:p w14:paraId="2A5B8D51" w14:textId="13A18C00" w:rsidR="007F3B96" w:rsidRDefault="007F3B96" w:rsidP="00772D79">
      <w:pPr>
        <w:rPr>
          <w:rFonts w:ascii="MetaPro-Norm" w:hAnsi="MetaPro-Norm"/>
        </w:rPr>
      </w:pPr>
    </w:p>
    <w:p w14:paraId="52489D0C" w14:textId="4A772347" w:rsidR="008E7310" w:rsidRPr="00EB0859" w:rsidRDefault="007F3B96" w:rsidP="00772D79">
      <w:pPr>
        <w:rPr>
          <w:rFonts w:ascii="MetaPro-Norm" w:hAnsi="MetaPro-Norm"/>
        </w:rPr>
      </w:pPr>
      <w:r w:rsidRPr="00EB0859">
        <w:rPr>
          <w:rFonts w:ascii="MetaPro-Norm" w:hAnsi="MetaPro-Norm"/>
        </w:rPr>
        <w:t>Aceh is the only one of Indonesia’s 34 provinces that can legally adopt </w:t>
      </w:r>
      <w:r w:rsidR="00904AA8">
        <w:rPr>
          <w:rFonts w:ascii="MetaPro-Norm" w:hAnsi="MetaPro-Norm"/>
        </w:rPr>
        <w:t xml:space="preserve">provincial </w:t>
      </w:r>
      <w:hyperlink r:id="rId12" w:history="1">
        <w:r w:rsidRPr="00EB0859">
          <w:rPr>
            <w:rFonts w:ascii="MetaPro-Norm" w:hAnsi="MetaPro-Norm"/>
          </w:rPr>
          <w:t>bylaws derived from Sharia</w:t>
        </w:r>
      </w:hyperlink>
      <w:r w:rsidR="00504307">
        <w:rPr>
          <w:rFonts w:ascii="MetaPro-Norm" w:hAnsi="MetaPro-Norm"/>
        </w:rPr>
        <w:t xml:space="preserve"> (Islamic law)</w:t>
      </w:r>
      <w:r w:rsidRPr="00EB0859">
        <w:rPr>
          <w:rFonts w:ascii="MetaPro-Norm" w:hAnsi="MetaPro-Norm"/>
        </w:rPr>
        <w:t xml:space="preserve">. Since those bylaws </w:t>
      </w:r>
      <w:r w:rsidR="00DA414C">
        <w:rPr>
          <w:rFonts w:ascii="MetaPro-Norm" w:hAnsi="MetaPro-Norm"/>
        </w:rPr>
        <w:t>went</w:t>
      </w:r>
      <w:r w:rsidRPr="00EB0859">
        <w:rPr>
          <w:rFonts w:ascii="MetaPro-Norm" w:hAnsi="MetaPro-Norm"/>
        </w:rPr>
        <w:t xml:space="preserve"> into effect in 2001, Human Rights Watch has </w:t>
      </w:r>
      <w:hyperlink r:id="rId13" w:history="1">
        <w:r w:rsidRPr="00EB0859">
          <w:rPr>
            <w:rFonts w:ascii="MetaPro-Norm" w:hAnsi="MetaPro-Norm"/>
          </w:rPr>
          <w:t>documented</w:t>
        </w:r>
      </w:hyperlink>
      <w:r w:rsidRPr="00EB0859">
        <w:rPr>
          <w:rFonts w:ascii="MetaPro-Norm" w:hAnsi="MetaPro-Norm"/>
        </w:rPr>
        <w:t> human rights abuses linked to enforcement of Sharia</w:t>
      </w:r>
      <w:r w:rsidR="001F4930">
        <w:rPr>
          <w:rFonts w:ascii="MetaPro-Norm" w:hAnsi="MetaPro-Norm"/>
        </w:rPr>
        <w:t xml:space="preserve">-inspired </w:t>
      </w:r>
      <w:r w:rsidRPr="00EB0859">
        <w:rPr>
          <w:rFonts w:ascii="MetaPro-Norm" w:hAnsi="MetaPro-Norm"/>
        </w:rPr>
        <w:t>bylaws prohibiting adultery and imposing public dress requirements on Muslims.</w:t>
      </w:r>
      <w:r w:rsidR="00955547" w:rsidRPr="00955547">
        <w:rPr>
          <w:rFonts w:ascii="MetaPro-Norm" w:hAnsi="MetaPro-Norm"/>
        </w:rPr>
        <w:t xml:space="preserve"> </w:t>
      </w:r>
      <w:r w:rsidR="00955547" w:rsidRPr="00EB0859">
        <w:rPr>
          <w:rFonts w:ascii="MetaPro-Norm" w:hAnsi="MetaPro-Norm"/>
        </w:rPr>
        <w:t>While the dress requirement is gender-neutral on its face, in practice it imposes far more onerous restrictions on women with the mandatory </w:t>
      </w:r>
      <w:r w:rsidR="001B3005">
        <w:rPr>
          <w:rFonts w:ascii="MetaPro-Norm" w:hAnsi="MetaPro-Norm"/>
        </w:rPr>
        <w:t>jilbab</w:t>
      </w:r>
      <w:r w:rsidR="00955547" w:rsidRPr="00EB0859">
        <w:rPr>
          <w:rFonts w:ascii="MetaPro-Norm" w:hAnsi="MetaPro-Norm"/>
        </w:rPr>
        <w:t xml:space="preserve"> and long skirts.</w:t>
      </w:r>
      <w:r w:rsidR="00682DD3">
        <w:rPr>
          <w:rFonts w:ascii="ZWAdobeF" w:hAnsi="ZWAdobeF" w:cs="ZWAdobeF"/>
          <w:sz w:val="2"/>
          <w:szCs w:val="2"/>
        </w:rPr>
        <w:t>12F</w:t>
      </w:r>
      <w:r w:rsidR="005134BD">
        <w:rPr>
          <w:rStyle w:val="FootnoteReference"/>
          <w:rFonts w:ascii="MetaPro-Norm" w:hAnsi="MetaPro-Norm"/>
        </w:rPr>
        <w:footnoteReference w:id="13"/>
      </w:r>
      <w:r w:rsidRPr="00EB0859">
        <w:rPr>
          <w:rFonts w:ascii="MetaPro-Norm" w:hAnsi="MetaPro-Norm"/>
        </w:rPr>
        <w:t xml:space="preserve"> </w:t>
      </w:r>
    </w:p>
    <w:p w14:paraId="40380E24" w14:textId="579145B7" w:rsidR="00026B25" w:rsidRDefault="007F3B96" w:rsidP="00772D79">
      <w:pPr>
        <w:rPr>
          <w:rFonts w:ascii="MetaPro-Norm" w:hAnsi="MetaPro-Norm"/>
        </w:rPr>
      </w:pPr>
      <w:r w:rsidRPr="00EB0859">
        <w:rPr>
          <w:rFonts w:ascii="MetaPro-Norm" w:hAnsi="MetaPro-Norm"/>
        </w:rPr>
        <w:br/>
      </w:r>
      <w:r w:rsidR="00026B25">
        <w:rPr>
          <w:rFonts w:ascii="MetaPro-Norm" w:hAnsi="MetaPro-Norm"/>
        </w:rPr>
        <w:t xml:space="preserve">Aceh’s </w:t>
      </w:r>
      <w:r w:rsidR="00026B25" w:rsidRPr="00026B25">
        <w:rPr>
          <w:rFonts w:ascii="MetaPro-Norm" w:hAnsi="MetaPro-Norm"/>
        </w:rPr>
        <w:t>2014</w:t>
      </w:r>
      <w:r w:rsidR="00026B25">
        <w:rPr>
          <w:rFonts w:ascii="MetaPro-Norm" w:hAnsi="MetaPro-Norm"/>
        </w:rPr>
        <w:t xml:space="preserve"> </w:t>
      </w:r>
      <w:r w:rsidR="00026B25" w:rsidRPr="00026B25">
        <w:rPr>
          <w:rFonts w:ascii="MetaPro-Norm" w:hAnsi="MetaPro-Norm"/>
        </w:rPr>
        <w:t xml:space="preserve">Principles of the Islamic Bylaw and the Islamic </w:t>
      </w:r>
      <w:r w:rsidR="0010340F">
        <w:rPr>
          <w:rFonts w:ascii="MetaPro-Norm" w:hAnsi="MetaPro-Norm"/>
        </w:rPr>
        <w:t>C</w:t>
      </w:r>
      <w:r w:rsidR="00026B25" w:rsidRPr="00026B25">
        <w:rPr>
          <w:rFonts w:ascii="MetaPro-Norm" w:hAnsi="MetaPro-Norm"/>
        </w:rPr>
        <w:t xml:space="preserve">riminal </w:t>
      </w:r>
      <w:r w:rsidR="0010340F">
        <w:rPr>
          <w:rFonts w:ascii="MetaPro-Norm" w:hAnsi="MetaPro-Norm"/>
        </w:rPr>
        <w:t>C</w:t>
      </w:r>
      <w:r w:rsidR="00026B25" w:rsidRPr="00026B25">
        <w:rPr>
          <w:rFonts w:ascii="MetaPro-Norm" w:hAnsi="MetaPro-Norm"/>
        </w:rPr>
        <w:t>ode (</w:t>
      </w:r>
      <w:r w:rsidR="00B1649C">
        <w:rPr>
          <w:rFonts w:ascii="MetaPro-Norm" w:hAnsi="MetaPro-Norm"/>
          <w:i/>
          <w:iCs/>
        </w:rPr>
        <w:t>q</w:t>
      </w:r>
      <w:r w:rsidR="00026B25" w:rsidRPr="00026B25">
        <w:rPr>
          <w:rFonts w:ascii="MetaPro-Norm" w:hAnsi="MetaPro-Norm"/>
          <w:i/>
          <w:iCs/>
        </w:rPr>
        <w:t xml:space="preserve">anun </w:t>
      </w:r>
      <w:r w:rsidR="00B1649C">
        <w:rPr>
          <w:rFonts w:ascii="MetaPro-Norm" w:hAnsi="MetaPro-Norm"/>
          <w:i/>
          <w:iCs/>
        </w:rPr>
        <w:t>j</w:t>
      </w:r>
      <w:r w:rsidR="00026B25" w:rsidRPr="00026B25">
        <w:rPr>
          <w:rFonts w:ascii="MetaPro-Norm" w:hAnsi="MetaPro-Norm"/>
          <w:i/>
          <w:iCs/>
        </w:rPr>
        <w:t>inayah</w:t>
      </w:r>
      <w:r w:rsidR="00026B25" w:rsidRPr="00026B25">
        <w:rPr>
          <w:rFonts w:ascii="MetaPro-Norm" w:hAnsi="MetaPro-Norm"/>
        </w:rPr>
        <w:t>)</w:t>
      </w:r>
      <w:r w:rsidR="00026B25">
        <w:rPr>
          <w:rFonts w:ascii="MetaPro-Norm" w:hAnsi="MetaPro-Norm"/>
        </w:rPr>
        <w:t xml:space="preserve"> </w:t>
      </w:r>
      <w:r w:rsidR="00026B25" w:rsidRPr="00026B25">
        <w:rPr>
          <w:rFonts w:ascii="MetaPro-Norm" w:hAnsi="MetaPro-Norm"/>
        </w:rPr>
        <w:t>create</w:t>
      </w:r>
      <w:r w:rsidR="00026B25">
        <w:rPr>
          <w:rFonts w:ascii="MetaPro-Norm" w:hAnsi="MetaPro-Norm"/>
        </w:rPr>
        <w:t>d</w:t>
      </w:r>
      <w:r w:rsidR="00026B25" w:rsidRPr="00026B25">
        <w:rPr>
          <w:rFonts w:ascii="MetaPro-Norm" w:hAnsi="MetaPro-Norm"/>
        </w:rPr>
        <w:t xml:space="preserve"> discriminatory offenses that do not exist in Indonesia</w:t>
      </w:r>
      <w:r w:rsidR="00504307">
        <w:rPr>
          <w:rFonts w:ascii="MetaPro-Norm" w:hAnsi="MetaPro-Norm"/>
        </w:rPr>
        <w:t>’s</w:t>
      </w:r>
      <w:r w:rsidR="00026B25" w:rsidRPr="00026B25">
        <w:rPr>
          <w:rFonts w:ascii="MetaPro-Norm" w:hAnsi="MetaPro-Norm"/>
        </w:rPr>
        <w:t xml:space="preserve"> national </w:t>
      </w:r>
      <w:r w:rsidR="00955547">
        <w:rPr>
          <w:rFonts w:ascii="MetaPro-Norm" w:hAnsi="MetaPro-Norm"/>
        </w:rPr>
        <w:t>laws</w:t>
      </w:r>
      <w:r w:rsidR="00026B25" w:rsidRPr="00026B25">
        <w:rPr>
          <w:rFonts w:ascii="MetaPro-Norm" w:hAnsi="MetaPro-Norm"/>
        </w:rPr>
        <w:t>. The bylaws extend Sharia</w:t>
      </w:r>
      <w:r w:rsidR="00026B25">
        <w:rPr>
          <w:rFonts w:ascii="MetaPro-Norm" w:hAnsi="MetaPro-Norm"/>
        </w:rPr>
        <w:t xml:space="preserve"> </w:t>
      </w:r>
      <w:r w:rsidR="00026B25" w:rsidRPr="00026B25">
        <w:rPr>
          <w:rFonts w:ascii="MetaPro-Norm" w:hAnsi="MetaPro-Norm"/>
        </w:rPr>
        <w:t>to non-</w:t>
      </w:r>
      <w:r w:rsidR="00955547" w:rsidRPr="00026B25">
        <w:rPr>
          <w:rFonts w:ascii="MetaPro-Norm" w:hAnsi="MetaPro-Norm"/>
        </w:rPr>
        <w:t>Muslims and</w:t>
      </w:r>
      <w:r w:rsidR="00DA414C" w:rsidRPr="00026B25">
        <w:rPr>
          <w:rFonts w:ascii="MetaPro-Norm" w:hAnsi="MetaPro-Norm"/>
        </w:rPr>
        <w:t xml:space="preserve"> </w:t>
      </w:r>
      <w:r w:rsidR="00026B25" w:rsidRPr="00026B25">
        <w:rPr>
          <w:rFonts w:ascii="MetaPro-Norm" w:hAnsi="MetaPro-Norm"/>
        </w:rPr>
        <w:t xml:space="preserve">criminalize consensual same-sex sexual acts as well as all </w:t>
      </w:r>
      <w:r w:rsidR="00026B25" w:rsidRPr="00D47C3D">
        <w:rPr>
          <w:rFonts w:ascii="MetaPro-Norm" w:hAnsi="MetaPro-Norm"/>
          <w:i/>
          <w:iCs/>
        </w:rPr>
        <w:t>zina</w:t>
      </w:r>
      <w:r w:rsidR="00026B25" w:rsidRPr="00026B25">
        <w:rPr>
          <w:rFonts w:ascii="MetaPro-Norm" w:hAnsi="MetaPro-Norm"/>
        </w:rPr>
        <w:t xml:space="preserve"> (sexual relations outside of marriage). The criminal code permits punishment </w:t>
      </w:r>
      <w:r w:rsidR="0010340F">
        <w:rPr>
          <w:rFonts w:ascii="MetaPro-Norm" w:hAnsi="MetaPro-Norm"/>
        </w:rPr>
        <w:t xml:space="preserve">of </w:t>
      </w:r>
      <w:r w:rsidR="00026B25" w:rsidRPr="00026B25">
        <w:rPr>
          <w:rFonts w:ascii="MetaPro-Norm" w:hAnsi="MetaPro-Norm"/>
        </w:rPr>
        <w:t>up to 100 lashes</w:t>
      </w:r>
      <w:r w:rsidR="0010340F">
        <w:rPr>
          <w:rFonts w:ascii="MetaPro-Norm" w:hAnsi="MetaPro-Norm"/>
        </w:rPr>
        <w:t>,</w:t>
      </w:r>
      <w:r w:rsidR="00026B25" w:rsidRPr="00026B25">
        <w:rPr>
          <w:rFonts w:ascii="MetaPro-Norm" w:hAnsi="MetaPro-Norm"/>
        </w:rPr>
        <w:t xml:space="preserve"> and up to 100 months in prison for same-sex sex</w:t>
      </w:r>
      <w:r w:rsidR="00E143F0">
        <w:rPr>
          <w:rFonts w:ascii="MetaPro-Norm" w:hAnsi="MetaPro-Norm"/>
        </w:rPr>
        <w:t>ual</w:t>
      </w:r>
      <w:r w:rsidR="00026B25" w:rsidRPr="00026B25">
        <w:rPr>
          <w:rFonts w:ascii="MetaPro-Norm" w:hAnsi="MetaPro-Norm"/>
        </w:rPr>
        <w:t xml:space="preserve"> acts, while </w:t>
      </w:r>
      <w:r w:rsidR="00026B25" w:rsidRPr="00D47C3D">
        <w:rPr>
          <w:rFonts w:ascii="MetaPro-Norm" w:hAnsi="MetaPro-Norm"/>
          <w:i/>
          <w:iCs/>
        </w:rPr>
        <w:t>zina</w:t>
      </w:r>
      <w:r w:rsidR="00026B25" w:rsidRPr="00026B25">
        <w:rPr>
          <w:rFonts w:ascii="MetaPro-Norm" w:hAnsi="MetaPro-Norm"/>
        </w:rPr>
        <w:t xml:space="preserve"> violations carry a penalty of 100 lashes.</w:t>
      </w:r>
      <w:r w:rsidR="00682DD3">
        <w:rPr>
          <w:rFonts w:ascii="ZWAdobeF" w:hAnsi="ZWAdobeF" w:cs="ZWAdobeF"/>
          <w:sz w:val="2"/>
          <w:szCs w:val="2"/>
        </w:rPr>
        <w:t>13F</w:t>
      </w:r>
      <w:r w:rsidR="00C034F9">
        <w:rPr>
          <w:rStyle w:val="FootnoteReference"/>
          <w:rFonts w:ascii="MetaPro-Norm" w:hAnsi="MetaPro-Norm"/>
        </w:rPr>
        <w:footnoteReference w:id="14"/>
      </w:r>
    </w:p>
    <w:p w14:paraId="700669FA" w14:textId="3157984C" w:rsidR="00EA0CEB" w:rsidRDefault="00EA0CEB" w:rsidP="00772D79">
      <w:pPr>
        <w:rPr>
          <w:rFonts w:ascii="MetaPro-Norm" w:hAnsi="MetaPro-Norm"/>
        </w:rPr>
      </w:pPr>
    </w:p>
    <w:p w14:paraId="250BEE96" w14:textId="1A658925" w:rsidR="000312C5" w:rsidRDefault="00EA0CEB" w:rsidP="00772D79">
      <w:pPr>
        <w:rPr>
          <w:rFonts w:ascii="MetaPro-Norm" w:hAnsi="MetaPro-Norm"/>
        </w:rPr>
      </w:pPr>
      <w:r>
        <w:rPr>
          <w:rFonts w:ascii="MetaPro-Norm" w:hAnsi="MetaPro-Norm"/>
        </w:rPr>
        <w:t xml:space="preserve">Another challenge is the </w:t>
      </w:r>
      <w:r w:rsidRPr="00EA0CEB">
        <w:rPr>
          <w:rFonts w:ascii="MetaPro-Norm" w:hAnsi="MetaPro-Norm"/>
        </w:rPr>
        <w:t>proposed new criminal code</w:t>
      </w:r>
      <w:r w:rsidR="00E143F0">
        <w:rPr>
          <w:rFonts w:ascii="MetaPro-Norm" w:hAnsi="MetaPro-Norm"/>
        </w:rPr>
        <w:t>,</w:t>
      </w:r>
      <w:r w:rsidR="0011574A">
        <w:rPr>
          <w:rFonts w:ascii="MetaPro-Norm" w:hAnsi="MetaPro-Norm"/>
        </w:rPr>
        <w:t xml:space="preserve"> which</w:t>
      </w:r>
      <w:r>
        <w:rPr>
          <w:rFonts w:ascii="MetaPro-Norm" w:hAnsi="MetaPro-Norm"/>
        </w:rPr>
        <w:t xml:space="preserve"> </w:t>
      </w:r>
      <w:r w:rsidRPr="00EA0CEB">
        <w:rPr>
          <w:rFonts w:ascii="MetaPro-Norm" w:hAnsi="MetaPro-Norm"/>
        </w:rPr>
        <w:t>contains articles that w</w:t>
      </w:r>
      <w:r w:rsidR="00DA414C">
        <w:rPr>
          <w:rFonts w:ascii="MetaPro-Norm" w:hAnsi="MetaPro-Norm"/>
        </w:rPr>
        <w:t>ould</w:t>
      </w:r>
      <w:r w:rsidRPr="00EA0CEB">
        <w:rPr>
          <w:rFonts w:ascii="MetaPro-Norm" w:hAnsi="MetaPro-Norm"/>
        </w:rPr>
        <w:t xml:space="preserve"> violate the rights of women, religious minorities, and </w:t>
      </w:r>
      <w:r w:rsidR="00504307">
        <w:rPr>
          <w:rFonts w:ascii="MetaPro-Norm" w:hAnsi="MetaPro-Norm"/>
        </w:rPr>
        <w:t xml:space="preserve">LGBT </w:t>
      </w:r>
      <w:r w:rsidRPr="00EA0CEB">
        <w:rPr>
          <w:rFonts w:ascii="MetaPro-Norm" w:hAnsi="MetaPro-Norm"/>
        </w:rPr>
        <w:t xml:space="preserve">people, </w:t>
      </w:r>
      <w:r w:rsidR="0010340F">
        <w:rPr>
          <w:rFonts w:ascii="MetaPro-Norm" w:hAnsi="MetaPro-Norm"/>
        </w:rPr>
        <w:t xml:space="preserve">and violate principles of </w:t>
      </w:r>
      <w:r w:rsidRPr="00EA0CEB">
        <w:rPr>
          <w:rFonts w:ascii="MetaPro-Norm" w:hAnsi="MetaPro-Norm"/>
        </w:rPr>
        <w:t>freedom of speech and association.</w:t>
      </w:r>
      <w:r w:rsidR="000312C5">
        <w:rPr>
          <w:rFonts w:ascii="MetaPro-Norm" w:hAnsi="MetaPro-Norm"/>
        </w:rPr>
        <w:t xml:space="preserve"> </w:t>
      </w:r>
    </w:p>
    <w:p w14:paraId="28C65B3B" w14:textId="77777777" w:rsidR="000312C5" w:rsidRDefault="000312C5" w:rsidP="00772D79">
      <w:pPr>
        <w:rPr>
          <w:rFonts w:ascii="MetaPro-Norm" w:hAnsi="MetaPro-Norm"/>
        </w:rPr>
      </w:pPr>
    </w:p>
    <w:p w14:paraId="00EF345A" w14:textId="79AD7924" w:rsidR="000312C5" w:rsidRDefault="00DA414C" w:rsidP="00772D79">
      <w:pPr>
        <w:rPr>
          <w:rFonts w:ascii="MetaPro-Norm" w:hAnsi="MetaPro-Norm"/>
          <w:iCs/>
        </w:rPr>
      </w:pPr>
      <w:r>
        <w:rPr>
          <w:rFonts w:ascii="MetaPro-Norm" w:hAnsi="MetaPro-Norm"/>
        </w:rPr>
        <w:t>Certain p</w:t>
      </w:r>
      <w:r w:rsidR="00EA0CEB" w:rsidRPr="00EA0CEB">
        <w:rPr>
          <w:rFonts w:ascii="MetaPro-Norm" w:hAnsi="MetaPro-Norm"/>
        </w:rPr>
        <w:t xml:space="preserve">rovisions </w:t>
      </w:r>
      <w:r w:rsidR="002F0854">
        <w:rPr>
          <w:rFonts w:ascii="MetaPro-Norm" w:hAnsi="MetaPro-Norm"/>
        </w:rPr>
        <w:t xml:space="preserve">of the new draft criminal code </w:t>
      </w:r>
      <w:r w:rsidR="00EA0CEB" w:rsidRPr="00EA0CEB">
        <w:rPr>
          <w:rFonts w:ascii="MetaPro-Norm" w:hAnsi="MetaPro-Norm"/>
        </w:rPr>
        <w:t>effectively censor the dissemination of information about contraception</w:t>
      </w:r>
      <w:r w:rsidR="002F0854">
        <w:rPr>
          <w:rFonts w:ascii="MetaPro-Norm" w:hAnsi="MetaPro-Norm"/>
        </w:rPr>
        <w:t>,</w:t>
      </w:r>
      <w:r w:rsidR="00EA0CEB" w:rsidRPr="00EA0CEB">
        <w:rPr>
          <w:rFonts w:ascii="MetaPro-Norm" w:hAnsi="MetaPro-Norm"/>
        </w:rPr>
        <w:t xml:space="preserve"> and criminalize abortions</w:t>
      </w:r>
      <w:r w:rsidR="008C650C">
        <w:rPr>
          <w:rFonts w:ascii="MetaPro-Norm" w:hAnsi="MetaPro-Norm"/>
        </w:rPr>
        <w:t xml:space="preserve">. Such </w:t>
      </w:r>
      <w:r w:rsidR="008C650C" w:rsidRPr="008C650C">
        <w:rPr>
          <w:rFonts w:ascii="MetaPro-Norm" w:hAnsi="MetaPro-Norm"/>
        </w:rPr>
        <w:t>restrictions violate the right to health and jeopardize numerous other human rights, including the rights to bodily integrity, non</w:t>
      </w:r>
      <w:r w:rsidR="002F0854">
        <w:rPr>
          <w:rFonts w:ascii="MetaPro-Norm" w:hAnsi="MetaPro-Norm"/>
        </w:rPr>
        <w:t>-</w:t>
      </w:r>
      <w:r w:rsidR="008C650C" w:rsidRPr="008C650C">
        <w:rPr>
          <w:rFonts w:ascii="MetaPro-Norm" w:hAnsi="MetaPro-Norm"/>
        </w:rPr>
        <w:t xml:space="preserve">discrimination, equality, privacy, information, and the right to decide on the number and spacing of children. </w:t>
      </w:r>
    </w:p>
    <w:p w14:paraId="777D7292" w14:textId="77777777" w:rsidR="000312C5" w:rsidRDefault="000312C5" w:rsidP="00772D79">
      <w:pPr>
        <w:rPr>
          <w:rFonts w:ascii="MetaPro-Norm" w:hAnsi="MetaPro-Norm"/>
          <w:iCs/>
        </w:rPr>
      </w:pPr>
    </w:p>
    <w:p w14:paraId="28CBA83D" w14:textId="7B2C5F09" w:rsidR="00EF00C8" w:rsidRDefault="002F0854" w:rsidP="00772D79">
      <w:pPr>
        <w:rPr>
          <w:rFonts w:ascii="MetaPro-Norm" w:hAnsi="MetaPro-Norm"/>
        </w:rPr>
      </w:pPr>
      <w:r>
        <w:rPr>
          <w:rFonts w:ascii="MetaPro-Norm" w:hAnsi="MetaPro-Norm"/>
        </w:rPr>
        <w:t>Furthermore, c</w:t>
      </w:r>
      <w:r w:rsidR="00EF00C8">
        <w:rPr>
          <w:rFonts w:ascii="MetaPro-Norm" w:hAnsi="MetaPro-Norm"/>
        </w:rPr>
        <w:t xml:space="preserve">riminalizing extramarital sex </w:t>
      </w:r>
      <w:r w:rsidR="00EF00C8" w:rsidRPr="00715EBD">
        <w:rPr>
          <w:rFonts w:ascii="MetaPro-Norm" w:hAnsi="MetaPro-Norm"/>
        </w:rPr>
        <w:t>effectively criminalizes all same-sex conduct</w:t>
      </w:r>
      <w:r w:rsidR="00EF00C8">
        <w:rPr>
          <w:rFonts w:ascii="MetaPro-Norm" w:hAnsi="MetaPro-Norm"/>
        </w:rPr>
        <w:t xml:space="preserve">, since same-sex relationships are not recognized in Indonesia. </w:t>
      </w:r>
      <w:r>
        <w:rPr>
          <w:rFonts w:ascii="MetaPro-Norm" w:hAnsi="MetaPro-Norm"/>
        </w:rPr>
        <w:t xml:space="preserve">Such legal provisions </w:t>
      </w:r>
      <w:r w:rsidR="00EF00C8" w:rsidRPr="005E6D57">
        <w:rPr>
          <w:rFonts w:ascii="MetaPro-Norm" w:hAnsi="MetaPro-Norm"/>
        </w:rPr>
        <w:t>will also subject all sex workers to criminal prosecution.</w:t>
      </w:r>
      <w:r w:rsidR="00EF00C8">
        <w:rPr>
          <w:rFonts w:ascii="MetaPro-Norm" w:hAnsi="MetaPro-Norm"/>
        </w:rPr>
        <w:t xml:space="preserve"> </w:t>
      </w:r>
      <w:r w:rsidR="00EF00C8" w:rsidRPr="000312C5">
        <w:rPr>
          <w:rFonts w:ascii="MetaPro-Norm" w:hAnsi="MetaPro-Norm"/>
        </w:rPr>
        <w:t xml:space="preserve">Such provisions </w:t>
      </w:r>
      <w:r>
        <w:rPr>
          <w:rFonts w:ascii="MetaPro-Norm" w:hAnsi="MetaPro-Norm"/>
        </w:rPr>
        <w:t xml:space="preserve">will </w:t>
      </w:r>
      <w:r w:rsidR="00EF00C8" w:rsidRPr="000312C5">
        <w:rPr>
          <w:rFonts w:ascii="MetaPro-Norm" w:hAnsi="MetaPro-Norm"/>
        </w:rPr>
        <w:t xml:space="preserve">exacerbate discriminatory social norms and have heightened impact on women, who may face </w:t>
      </w:r>
      <w:r w:rsidR="00EF00C8" w:rsidRPr="000312C5">
        <w:rPr>
          <w:rFonts w:ascii="MetaPro-Norm" w:hAnsi="MetaPro-Norm"/>
        </w:rPr>
        <w:lastRenderedPageBreak/>
        <w:t>pressure to enter forced marriages if accused of sex outside of marriage</w:t>
      </w:r>
      <w:r>
        <w:rPr>
          <w:rFonts w:ascii="MetaPro-Norm" w:hAnsi="MetaPro-Norm"/>
        </w:rPr>
        <w:t>. Such provisions will also likely cause</w:t>
      </w:r>
      <w:r w:rsidR="00EF00C8" w:rsidRPr="000312C5">
        <w:rPr>
          <w:rFonts w:ascii="MetaPro-Norm" w:hAnsi="MetaPro-Norm"/>
        </w:rPr>
        <w:t xml:space="preserve"> an increase in societal “policing” of their behavior.</w:t>
      </w:r>
      <w:r w:rsidR="00682DD3">
        <w:rPr>
          <w:rFonts w:ascii="ZWAdobeF" w:hAnsi="ZWAdobeF" w:cs="ZWAdobeF"/>
          <w:sz w:val="2"/>
          <w:szCs w:val="2"/>
        </w:rPr>
        <w:t>14F</w:t>
      </w:r>
      <w:r w:rsidR="00EF00C8">
        <w:rPr>
          <w:rStyle w:val="FootnoteReference"/>
          <w:rFonts w:ascii="MetaPro-Norm" w:hAnsi="MetaPro-Norm"/>
          <w:iCs/>
        </w:rPr>
        <w:footnoteReference w:id="15"/>
      </w:r>
    </w:p>
    <w:p w14:paraId="6FD8493D" w14:textId="331572BE" w:rsidR="00EF00C8" w:rsidRDefault="00EF00C8" w:rsidP="00772D79">
      <w:pPr>
        <w:rPr>
          <w:rFonts w:ascii="MetaPro-Norm" w:hAnsi="MetaPro-Norm"/>
        </w:rPr>
      </w:pPr>
    </w:p>
    <w:p w14:paraId="3510CFC4" w14:textId="0E09A840" w:rsidR="009D7D4B" w:rsidRPr="003072D3" w:rsidRDefault="009D7D4B" w:rsidP="00772D79">
      <w:pPr>
        <w:rPr>
          <w:rFonts w:ascii="MetaPro-Norm" w:hAnsi="MetaPro-Norm"/>
          <w:i/>
        </w:rPr>
      </w:pPr>
      <w:r w:rsidRPr="003072D3">
        <w:rPr>
          <w:rFonts w:ascii="MetaPro-Norm" w:hAnsi="MetaPro-Norm"/>
          <w:i/>
        </w:rPr>
        <w:t xml:space="preserve">We encourage the Committee to </w:t>
      </w:r>
      <w:r w:rsidR="00DA51BA">
        <w:rPr>
          <w:rFonts w:ascii="MetaPro-Norm" w:hAnsi="MetaPro-Norm"/>
          <w:i/>
        </w:rPr>
        <w:t xml:space="preserve">raise </w:t>
      </w:r>
      <w:r w:rsidRPr="003072D3">
        <w:rPr>
          <w:rFonts w:ascii="MetaPro-Norm" w:hAnsi="MetaPro-Norm"/>
          <w:i/>
        </w:rPr>
        <w:t>the following questions</w:t>
      </w:r>
      <w:r w:rsidR="00504307">
        <w:rPr>
          <w:rFonts w:ascii="MetaPro-Norm" w:hAnsi="MetaPro-Norm"/>
          <w:i/>
        </w:rPr>
        <w:t xml:space="preserve"> to the Indonesian government</w:t>
      </w:r>
      <w:r w:rsidRPr="003072D3">
        <w:rPr>
          <w:rFonts w:ascii="MetaPro-Norm" w:hAnsi="MetaPro-Norm"/>
          <w:i/>
        </w:rPr>
        <w:t>:</w:t>
      </w:r>
    </w:p>
    <w:p w14:paraId="60FF7389" w14:textId="77777777" w:rsidR="009D7D4B" w:rsidRPr="003072D3" w:rsidRDefault="009D7D4B" w:rsidP="00772D79">
      <w:pPr>
        <w:rPr>
          <w:rFonts w:ascii="MetaPro-Norm" w:hAnsi="MetaPro-Norm"/>
          <w:i/>
        </w:rPr>
      </w:pPr>
    </w:p>
    <w:p w14:paraId="43003DBD" w14:textId="4DDD7F70" w:rsidR="009D7D4B" w:rsidRPr="003072D3" w:rsidRDefault="0084079B" w:rsidP="00772D79">
      <w:pPr>
        <w:pStyle w:val="ListParagraph"/>
        <w:numPr>
          <w:ilvl w:val="0"/>
          <w:numId w:val="1"/>
        </w:numPr>
        <w:spacing w:after="0"/>
        <w:rPr>
          <w:rFonts w:ascii="MetaPro-Norm" w:hAnsi="MetaPro-Norm"/>
          <w:iCs/>
          <w:sz w:val="24"/>
          <w:szCs w:val="24"/>
        </w:rPr>
      </w:pPr>
      <w:r>
        <w:rPr>
          <w:rFonts w:ascii="MetaPro-Norm" w:hAnsi="MetaPro-Norm"/>
          <w:iCs/>
          <w:sz w:val="24"/>
          <w:szCs w:val="24"/>
        </w:rPr>
        <w:t xml:space="preserve">Will the Indonesian government </w:t>
      </w:r>
      <w:r w:rsidR="00610224">
        <w:rPr>
          <w:rFonts w:ascii="MetaPro-Norm" w:hAnsi="MetaPro-Norm"/>
          <w:iCs/>
          <w:sz w:val="24"/>
          <w:szCs w:val="24"/>
        </w:rPr>
        <w:t xml:space="preserve">commit </w:t>
      </w:r>
      <w:r>
        <w:rPr>
          <w:rFonts w:ascii="MetaPro-Norm" w:hAnsi="MetaPro-Norm"/>
          <w:iCs/>
          <w:sz w:val="24"/>
          <w:szCs w:val="24"/>
        </w:rPr>
        <w:t xml:space="preserve">to </w:t>
      </w:r>
      <w:r w:rsidR="00B96DD8">
        <w:rPr>
          <w:rFonts w:ascii="MetaPro-Norm" w:hAnsi="MetaPro-Norm"/>
          <w:iCs/>
          <w:sz w:val="24"/>
          <w:szCs w:val="24"/>
        </w:rPr>
        <w:t xml:space="preserve">an action plan that </w:t>
      </w:r>
      <w:r>
        <w:rPr>
          <w:rFonts w:ascii="MetaPro-Norm" w:hAnsi="MetaPro-Norm"/>
          <w:iCs/>
          <w:sz w:val="24"/>
          <w:szCs w:val="24"/>
        </w:rPr>
        <w:t>ensur</w:t>
      </w:r>
      <w:r w:rsidR="00B96DD8">
        <w:rPr>
          <w:rFonts w:ascii="MetaPro-Norm" w:hAnsi="MetaPro-Norm"/>
          <w:iCs/>
          <w:sz w:val="24"/>
          <w:szCs w:val="24"/>
        </w:rPr>
        <w:t xml:space="preserve">es </w:t>
      </w:r>
      <w:r w:rsidR="00610224">
        <w:rPr>
          <w:rFonts w:ascii="MetaPro-Norm" w:hAnsi="MetaPro-Norm"/>
          <w:iCs/>
          <w:sz w:val="24"/>
          <w:szCs w:val="24"/>
        </w:rPr>
        <w:t xml:space="preserve">that all discriminatory national and local laws </w:t>
      </w:r>
      <w:r w:rsidR="00B96DD8">
        <w:rPr>
          <w:rFonts w:ascii="MetaPro-Norm" w:hAnsi="MetaPro-Norm"/>
          <w:iCs/>
          <w:sz w:val="24"/>
          <w:szCs w:val="24"/>
        </w:rPr>
        <w:t xml:space="preserve">and regulations </w:t>
      </w:r>
      <w:r w:rsidR="00E94B45">
        <w:rPr>
          <w:rFonts w:ascii="MetaPro-Norm" w:hAnsi="MetaPro-Norm"/>
          <w:iCs/>
          <w:sz w:val="24"/>
          <w:szCs w:val="24"/>
        </w:rPr>
        <w:t xml:space="preserve">affecting women and girls </w:t>
      </w:r>
      <w:r w:rsidR="00610224">
        <w:rPr>
          <w:rFonts w:ascii="MetaPro-Norm" w:hAnsi="MetaPro-Norm"/>
          <w:iCs/>
          <w:sz w:val="24"/>
          <w:szCs w:val="24"/>
        </w:rPr>
        <w:t xml:space="preserve">are </w:t>
      </w:r>
      <w:r w:rsidR="00764DC2">
        <w:rPr>
          <w:rFonts w:ascii="MetaPro-Norm" w:hAnsi="MetaPro-Norm"/>
          <w:iCs/>
          <w:sz w:val="24"/>
          <w:szCs w:val="24"/>
        </w:rPr>
        <w:t>repealed, and all discriminatory policies are prohibited</w:t>
      </w:r>
      <w:r w:rsidR="00610224">
        <w:rPr>
          <w:rFonts w:ascii="MetaPro-Norm" w:hAnsi="MetaPro-Norm"/>
          <w:iCs/>
          <w:sz w:val="24"/>
          <w:szCs w:val="24"/>
        </w:rPr>
        <w:t xml:space="preserve">? </w:t>
      </w:r>
    </w:p>
    <w:p w14:paraId="60E44086" w14:textId="35D6AAC4" w:rsidR="009D7D4B" w:rsidRPr="003072D3" w:rsidRDefault="00E94B45" w:rsidP="00772D79">
      <w:pPr>
        <w:pStyle w:val="ListParagraph"/>
        <w:numPr>
          <w:ilvl w:val="0"/>
          <w:numId w:val="1"/>
        </w:numPr>
        <w:spacing w:after="0"/>
        <w:rPr>
          <w:rFonts w:ascii="MetaPro-Norm" w:hAnsi="MetaPro-Norm"/>
          <w:color w:val="000000" w:themeColor="text1"/>
          <w:sz w:val="24"/>
          <w:szCs w:val="24"/>
          <w:shd w:val="clear" w:color="auto" w:fill="FFFFFF"/>
        </w:rPr>
      </w:pPr>
      <w:r>
        <w:rPr>
          <w:rFonts w:ascii="MetaPro-Norm" w:hAnsi="MetaPro-Norm"/>
          <w:color w:val="000000" w:themeColor="text1"/>
          <w:sz w:val="24"/>
          <w:szCs w:val="24"/>
          <w:shd w:val="clear" w:color="auto" w:fill="FFFFFF"/>
        </w:rPr>
        <w:t xml:space="preserve">Regarding Aceh, </w:t>
      </w:r>
      <w:r w:rsidRPr="00EB0859">
        <w:rPr>
          <w:rFonts w:ascii="MetaPro-Norm" w:hAnsi="MetaPro-Norm"/>
          <w:color w:val="000000" w:themeColor="text1"/>
          <w:sz w:val="24"/>
          <w:szCs w:val="24"/>
          <w:shd w:val="clear" w:color="auto" w:fill="FFFFFF"/>
        </w:rPr>
        <w:t xml:space="preserve">will the national home affairs minister </w:t>
      </w:r>
      <w:r w:rsidR="00B96DD8">
        <w:rPr>
          <w:rFonts w:ascii="MetaPro-Norm" w:hAnsi="MetaPro-Norm"/>
          <w:color w:val="000000" w:themeColor="text1"/>
          <w:sz w:val="24"/>
          <w:szCs w:val="24"/>
          <w:shd w:val="clear" w:color="auto" w:fill="FFFFFF"/>
        </w:rPr>
        <w:t xml:space="preserve">commit to </w:t>
      </w:r>
      <w:r w:rsidRPr="00EB0859">
        <w:rPr>
          <w:rFonts w:ascii="MetaPro-Norm" w:hAnsi="MetaPro-Norm"/>
          <w:color w:val="000000" w:themeColor="text1"/>
          <w:sz w:val="24"/>
          <w:szCs w:val="24"/>
          <w:shd w:val="clear" w:color="auto" w:fill="FFFFFF"/>
        </w:rPr>
        <w:t>repeal a</w:t>
      </w:r>
      <w:r w:rsidR="00B96DD8">
        <w:rPr>
          <w:rFonts w:ascii="MetaPro-Norm" w:hAnsi="MetaPro-Norm"/>
          <w:color w:val="000000" w:themeColor="text1"/>
          <w:sz w:val="24"/>
          <w:szCs w:val="24"/>
          <w:shd w:val="clear" w:color="auto" w:fill="FFFFFF"/>
        </w:rPr>
        <w:t xml:space="preserve">ll </w:t>
      </w:r>
      <w:r w:rsidRPr="00EB0859">
        <w:rPr>
          <w:rFonts w:ascii="MetaPro-Norm" w:hAnsi="MetaPro-Norm"/>
          <w:color w:val="000000" w:themeColor="text1"/>
          <w:sz w:val="24"/>
          <w:szCs w:val="24"/>
          <w:shd w:val="clear" w:color="auto" w:fill="FFFFFF"/>
        </w:rPr>
        <w:t>discriminatory local bylaws</w:t>
      </w:r>
      <w:r w:rsidR="00C034F9">
        <w:rPr>
          <w:rFonts w:ascii="MetaPro-Norm" w:hAnsi="MetaPro-Norm"/>
          <w:color w:val="000000" w:themeColor="text1"/>
          <w:sz w:val="24"/>
          <w:szCs w:val="24"/>
          <w:shd w:val="clear" w:color="auto" w:fill="FFFFFF"/>
        </w:rPr>
        <w:t xml:space="preserve"> that contradict Indonesia’s </w:t>
      </w:r>
      <w:r w:rsidR="004D704C">
        <w:rPr>
          <w:rFonts w:ascii="MetaPro-Norm" w:hAnsi="MetaPro-Norm"/>
          <w:color w:val="000000" w:themeColor="text1"/>
          <w:sz w:val="24"/>
          <w:szCs w:val="24"/>
          <w:shd w:val="clear" w:color="auto" w:fill="FFFFFF"/>
        </w:rPr>
        <w:t xml:space="preserve">1945 </w:t>
      </w:r>
      <w:r w:rsidR="00C034F9">
        <w:rPr>
          <w:rFonts w:ascii="MetaPro-Norm" w:hAnsi="MetaPro-Norm"/>
          <w:color w:val="000000" w:themeColor="text1"/>
          <w:sz w:val="24"/>
          <w:szCs w:val="24"/>
          <w:shd w:val="clear" w:color="auto" w:fill="FFFFFF"/>
        </w:rPr>
        <w:t xml:space="preserve">Constitution and </w:t>
      </w:r>
      <w:r w:rsidR="00504307">
        <w:rPr>
          <w:rFonts w:ascii="MetaPro-Norm" w:hAnsi="MetaPro-Norm"/>
          <w:color w:val="000000" w:themeColor="text1"/>
          <w:sz w:val="24"/>
          <w:szCs w:val="24"/>
          <w:shd w:val="clear" w:color="auto" w:fill="FFFFFF"/>
        </w:rPr>
        <w:t>Indonesia’s international human rights obligations</w:t>
      </w:r>
      <w:r w:rsidRPr="00EB0859">
        <w:rPr>
          <w:rFonts w:ascii="MetaPro-Norm" w:hAnsi="MetaPro-Norm"/>
          <w:color w:val="000000" w:themeColor="text1"/>
          <w:sz w:val="24"/>
          <w:szCs w:val="24"/>
          <w:shd w:val="clear" w:color="auto" w:fill="FFFFFF"/>
        </w:rPr>
        <w:t>?</w:t>
      </w:r>
    </w:p>
    <w:p w14:paraId="02A2A7ED" w14:textId="77777777" w:rsidR="009D7D4B" w:rsidRPr="003072D3" w:rsidRDefault="009D7D4B" w:rsidP="00772D79">
      <w:pPr>
        <w:rPr>
          <w:rFonts w:ascii="MetaPro-Norm" w:hAnsi="MetaPro-Norm"/>
        </w:rPr>
      </w:pPr>
    </w:p>
    <w:p w14:paraId="36D3EB90" w14:textId="4A53E6E1" w:rsidR="003B301C" w:rsidRPr="003072D3" w:rsidRDefault="00A327FE" w:rsidP="00772D79">
      <w:pPr>
        <w:rPr>
          <w:rFonts w:ascii="MetaPro-Norm" w:hAnsi="MetaPro-Norm"/>
          <w:iCs/>
        </w:rPr>
      </w:pPr>
      <w:r>
        <w:rPr>
          <w:rFonts w:ascii="MetaPro-Norm" w:hAnsi="MetaPro-Norm"/>
          <w:b/>
          <w:bCs/>
          <w:iCs/>
        </w:rPr>
        <w:t xml:space="preserve">Harmful practices including </w:t>
      </w:r>
      <w:r w:rsidR="001013B6" w:rsidRPr="00772D79">
        <w:rPr>
          <w:rFonts w:ascii="MetaPro-Norm" w:hAnsi="MetaPro-Norm"/>
          <w:b/>
          <w:bCs/>
          <w:iCs/>
        </w:rPr>
        <w:t>“</w:t>
      </w:r>
      <w:r w:rsidR="003B301C" w:rsidRPr="00772D79">
        <w:rPr>
          <w:rFonts w:ascii="MetaPro-Norm" w:hAnsi="MetaPro-Norm"/>
          <w:b/>
          <w:bCs/>
          <w:iCs/>
        </w:rPr>
        <w:t xml:space="preserve">Virginity Testing” </w:t>
      </w:r>
      <w:r w:rsidR="00DA414C">
        <w:rPr>
          <w:rFonts w:ascii="MetaPro-Norm" w:hAnsi="MetaPro-Norm"/>
          <w:b/>
          <w:bCs/>
          <w:iCs/>
        </w:rPr>
        <w:t>(</w:t>
      </w:r>
      <w:r w:rsidR="0004239D" w:rsidRPr="00A327FE">
        <w:rPr>
          <w:rFonts w:ascii="MetaPro-Norm" w:hAnsi="MetaPro-Norm"/>
          <w:b/>
          <w:bCs/>
          <w:iCs/>
        </w:rPr>
        <w:t>Articles 1</w:t>
      </w:r>
      <w:r w:rsidR="00764DC2" w:rsidRPr="00A327FE">
        <w:rPr>
          <w:rFonts w:ascii="MetaPro-Norm" w:hAnsi="MetaPro-Norm"/>
          <w:b/>
          <w:bCs/>
          <w:iCs/>
        </w:rPr>
        <w:t>,</w:t>
      </w:r>
      <w:r w:rsidR="0004239D" w:rsidRPr="00A327FE">
        <w:rPr>
          <w:rFonts w:ascii="MetaPro-Norm" w:hAnsi="MetaPro-Norm"/>
          <w:b/>
          <w:bCs/>
          <w:iCs/>
        </w:rPr>
        <w:t xml:space="preserve"> 2</w:t>
      </w:r>
      <w:r w:rsidR="003538D7" w:rsidRPr="00A327FE">
        <w:rPr>
          <w:rFonts w:ascii="MetaPro-Norm" w:hAnsi="MetaPro-Norm"/>
          <w:b/>
          <w:bCs/>
          <w:iCs/>
        </w:rPr>
        <w:t xml:space="preserve"> </w:t>
      </w:r>
      <w:r w:rsidR="003538D7" w:rsidRPr="0081336F">
        <w:rPr>
          <w:rFonts w:ascii="MetaPro-Norm" w:hAnsi="MetaPro-Norm"/>
          <w:b/>
          <w:bCs/>
          <w:iCs/>
        </w:rPr>
        <w:t xml:space="preserve">and </w:t>
      </w:r>
      <w:r w:rsidR="00764DC2" w:rsidRPr="0081336F">
        <w:rPr>
          <w:rFonts w:ascii="MetaPro-Norm" w:hAnsi="MetaPro-Norm"/>
          <w:b/>
          <w:bCs/>
          <w:iCs/>
        </w:rPr>
        <w:t>5</w:t>
      </w:r>
      <w:r w:rsidR="00DA414C" w:rsidRPr="00A327FE">
        <w:rPr>
          <w:rFonts w:ascii="MetaPro-Norm" w:hAnsi="MetaPro-Norm"/>
          <w:b/>
          <w:bCs/>
          <w:iCs/>
        </w:rPr>
        <w:t>)</w:t>
      </w:r>
    </w:p>
    <w:p w14:paraId="0E5970E6" w14:textId="7046C923" w:rsidR="002D134E" w:rsidRDefault="00610FAD" w:rsidP="002D134E">
      <w:pPr>
        <w:rPr>
          <w:rFonts w:ascii="MetaPro-Norm" w:hAnsi="MetaPro-Norm"/>
        </w:rPr>
      </w:pPr>
      <w:r>
        <w:rPr>
          <w:rFonts w:ascii="MetaPro-Norm" w:hAnsi="MetaPro-Norm"/>
        </w:rPr>
        <w:t xml:space="preserve">In July 2021, </w:t>
      </w:r>
      <w:r w:rsidR="002D134E" w:rsidRPr="002D134E">
        <w:rPr>
          <w:rFonts w:ascii="MetaPro-Norm" w:hAnsi="MetaPro-Norm"/>
        </w:rPr>
        <w:t>Army Chief Gen. Andika Perkasa told army commanders that the required medical check-up in the recruitment process for female officers should be similar to the male medical test, signaling the end of the so-called “virginity test.”</w:t>
      </w:r>
      <w:r w:rsidR="002D134E">
        <w:rPr>
          <w:rFonts w:ascii="MetaPro-Norm" w:hAnsi="MetaPro-Norm"/>
        </w:rPr>
        <w:t xml:space="preserve"> He added</w:t>
      </w:r>
      <w:r w:rsidR="002D134E" w:rsidRPr="002D134E">
        <w:rPr>
          <w:rFonts w:ascii="MetaPro-Norm" w:hAnsi="MetaPro-Norm"/>
        </w:rPr>
        <w:t xml:space="preserve"> that the application for male army personnel to get married should now cover only “administrative matters” without requiring a medical check of </w:t>
      </w:r>
      <w:r>
        <w:rPr>
          <w:rFonts w:ascii="MetaPro-Norm" w:hAnsi="MetaPro-Norm"/>
        </w:rPr>
        <w:t>soldiers</w:t>
      </w:r>
      <w:r w:rsidR="002D134E" w:rsidRPr="002D134E">
        <w:rPr>
          <w:rFonts w:ascii="MetaPro-Norm" w:hAnsi="MetaPro-Norm"/>
        </w:rPr>
        <w:t>’ fiancées.</w:t>
      </w:r>
      <w:r w:rsidR="00682DD3">
        <w:rPr>
          <w:rFonts w:ascii="ZWAdobeF" w:hAnsi="ZWAdobeF" w:cs="ZWAdobeF"/>
          <w:sz w:val="2"/>
          <w:szCs w:val="2"/>
        </w:rPr>
        <w:t>15F</w:t>
      </w:r>
      <w:r w:rsidR="007F2083">
        <w:rPr>
          <w:rStyle w:val="FootnoteReference"/>
          <w:rFonts w:ascii="MetaPro-Norm" w:hAnsi="MetaPro-Norm"/>
        </w:rPr>
        <w:footnoteReference w:id="16"/>
      </w:r>
    </w:p>
    <w:p w14:paraId="5A4D131E" w14:textId="77777777" w:rsidR="002D134E" w:rsidRDefault="002D134E" w:rsidP="00772D79">
      <w:pPr>
        <w:rPr>
          <w:rFonts w:ascii="MetaPro-Norm" w:hAnsi="MetaPro-Norm"/>
        </w:rPr>
      </w:pPr>
    </w:p>
    <w:p w14:paraId="0783A936" w14:textId="11740B69" w:rsidR="00C108A0" w:rsidRPr="003072D3" w:rsidRDefault="007F2083" w:rsidP="00772D79">
      <w:pPr>
        <w:rPr>
          <w:rFonts w:ascii="MetaPro-Norm" w:hAnsi="MetaPro-Norm"/>
        </w:rPr>
      </w:pPr>
      <w:r>
        <w:rPr>
          <w:rFonts w:ascii="MetaPro-Norm" w:hAnsi="MetaPro-Norm"/>
        </w:rPr>
        <w:t xml:space="preserve">But the </w:t>
      </w:r>
      <w:r w:rsidR="00013B64" w:rsidRPr="00EB0859">
        <w:rPr>
          <w:rFonts w:ascii="MetaPro-Norm" w:hAnsi="MetaPro-Norm"/>
        </w:rPr>
        <w:t xml:space="preserve">Indonesian </w:t>
      </w:r>
      <w:r>
        <w:rPr>
          <w:rFonts w:ascii="MetaPro-Norm" w:hAnsi="MetaPro-Norm"/>
        </w:rPr>
        <w:t xml:space="preserve">navy and air force </w:t>
      </w:r>
      <w:r w:rsidR="00013B64" w:rsidRPr="00EB0859">
        <w:rPr>
          <w:rFonts w:ascii="MetaPro-Norm" w:hAnsi="MetaPro-Norm"/>
        </w:rPr>
        <w:t xml:space="preserve">still </w:t>
      </w:r>
      <w:r w:rsidR="00610FAD">
        <w:rPr>
          <w:rFonts w:ascii="MetaPro-Norm" w:hAnsi="MetaPro-Norm"/>
        </w:rPr>
        <w:t xml:space="preserve">have </w:t>
      </w:r>
      <w:r>
        <w:rPr>
          <w:rFonts w:ascii="MetaPro-Norm" w:hAnsi="MetaPro-Norm"/>
        </w:rPr>
        <w:t>not explicitly end</w:t>
      </w:r>
      <w:r w:rsidR="00610FAD">
        <w:rPr>
          <w:rFonts w:ascii="MetaPro-Norm" w:hAnsi="MetaPro-Norm"/>
        </w:rPr>
        <w:t xml:space="preserve">ed use of </w:t>
      </w:r>
      <w:r w:rsidR="00013B64" w:rsidRPr="00EB0859">
        <w:rPr>
          <w:rFonts w:ascii="MetaPro-Norm" w:hAnsi="MetaPro-Norm"/>
        </w:rPr>
        <w:t xml:space="preserve">the unscientific, abusive, and discriminatory </w:t>
      </w:r>
      <w:r w:rsidR="00764DC2">
        <w:rPr>
          <w:rFonts w:ascii="MetaPro-Norm" w:hAnsi="MetaPro-Norm"/>
        </w:rPr>
        <w:t>“</w:t>
      </w:r>
      <w:r w:rsidR="00013B64" w:rsidRPr="00EB0859">
        <w:rPr>
          <w:rFonts w:ascii="MetaPro-Norm" w:hAnsi="MetaPro-Norm"/>
        </w:rPr>
        <w:t>two-finger test</w:t>
      </w:r>
      <w:r w:rsidR="00A54F37">
        <w:rPr>
          <w:rFonts w:ascii="MetaPro-Norm" w:hAnsi="MetaPro-Norm"/>
        </w:rPr>
        <w:t>,</w:t>
      </w:r>
      <w:r w:rsidR="00764DC2">
        <w:rPr>
          <w:rFonts w:ascii="MetaPro-Norm" w:hAnsi="MetaPro-Norm"/>
        </w:rPr>
        <w:t>”</w:t>
      </w:r>
      <w:r w:rsidR="00013B64" w:rsidRPr="00EB0859">
        <w:rPr>
          <w:rFonts w:ascii="MetaPro-Norm" w:hAnsi="MetaPro-Norm"/>
        </w:rPr>
        <w:t xml:space="preserve"> </w:t>
      </w:r>
      <w:r w:rsidR="002621AF">
        <w:rPr>
          <w:rFonts w:ascii="MetaPro-Norm" w:hAnsi="MetaPro-Norm"/>
        </w:rPr>
        <w:t>or so</w:t>
      </w:r>
      <w:r w:rsidR="00764DC2">
        <w:rPr>
          <w:rFonts w:ascii="MetaPro-Norm" w:hAnsi="MetaPro-Norm"/>
        </w:rPr>
        <w:t>-</w:t>
      </w:r>
      <w:r w:rsidR="002621AF">
        <w:rPr>
          <w:rFonts w:ascii="MetaPro-Norm" w:hAnsi="MetaPro-Norm"/>
        </w:rPr>
        <w:t>called “virginity tests</w:t>
      </w:r>
      <w:r w:rsidR="00A54F37">
        <w:rPr>
          <w:rFonts w:ascii="MetaPro-Norm" w:hAnsi="MetaPro-Norm"/>
        </w:rPr>
        <w:t>,</w:t>
      </w:r>
      <w:r w:rsidR="002621AF">
        <w:rPr>
          <w:rFonts w:ascii="MetaPro-Norm" w:hAnsi="MetaPro-Norm"/>
        </w:rPr>
        <w:t xml:space="preserve">” </w:t>
      </w:r>
      <w:r w:rsidR="00013B64" w:rsidRPr="00EB0859">
        <w:rPr>
          <w:rFonts w:ascii="MetaPro-Norm" w:hAnsi="MetaPro-Norm"/>
        </w:rPr>
        <w:t>when recruiting young women.</w:t>
      </w:r>
      <w:r w:rsidR="00610FAD">
        <w:rPr>
          <w:rFonts w:ascii="MetaPro-Norm" w:hAnsi="MetaPro-Norm"/>
        </w:rPr>
        <w:t xml:space="preserve"> Such </w:t>
      </w:r>
      <w:r w:rsidR="00C108A0" w:rsidRPr="00EB0859">
        <w:rPr>
          <w:rFonts w:ascii="MetaPro-Norm" w:hAnsi="MetaPro-Norm"/>
        </w:rPr>
        <w:t xml:space="preserve">testing includes </w:t>
      </w:r>
      <w:r w:rsidR="00764DC2">
        <w:rPr>
          <w:rFonts w:ascii="MetaPro-Norm" w:hAnsi="MetaPro-Norm"/>
        </w:rPr>
        <w:t xml:space="preserve">an </w:t>
      </w:r>
      <w:r w:rsidR="00C108A0" w:rsidRPr="00EB0859">
        <w:rPr>
          <w:rFonts w:ascii="MetaPro-Norm" w:hAnsi="MetaPro-Norm"/>
        </w:rPr>
        <w:t>invasive </w:t>
      </w:r>
      <w:r w:rsidR="00764DC2">
        <w:rPr>
          <w:rFonts w:ascii="MetaPro-Norm" w:hAnsi="MetaPro-Norm"/>
        </w:rPr>
        <w:t xml:space="preserve">examination of a women’s genitals and vagina, with the stated goal of </w:t>
      </w:r>
      <w:r w:rsidR="00C108A0" w:rsidRPr="00EB0859">
        <w:rPr>
          <w:rFonts w:ascii="MetaPro-Norm" w:hAnsi="MetaPro-Norm"/>
        </w:rPr>
        <w:t>determin</w:t>
      </w:r>
      <w:r w:rsidR="00764DC2">
        <w:rPr>
          <w:rFonts w:ascii="MetaPro-Norm" w:hAnsi="MetaPro-Norm"/>
        </w:rPr>
        <w:t>ing</w:t>
      </w:r>
      <w:r w:rsidR="00C108A0" w:rsidRPr="00EB0859">
        <w:rPr>
          <w:rFonts w:ascii="MetaPro-Norm" w:hAnsi="MetaPro-Norm"/>
        </w:rPr>
        <w:t xml:space="preserve"> whether </w:t>
      </w:r>
      <w:r w:rsidR="00764DC2">
        <w:rPr>
          <w:rFonts w:ascii="MetaPro-Norm" w:hAnsi="MetaPro-Norm"/>
        </w:rPr>
        <w:t>her</w:t>
      </w:r>
      <w:r w:rsidR="00C108A0" w:rsidRPr="00EB0859">
        <w:rPr>
          <w:rFonts w:ascii="MetaPro-Norm" w:hAnsi="MetaPro-Norm"/>
        </w:rPr>
        <w:t xml:space="preserve"> hymen</w:t>
      </w:r>
      <w:r w:rsidR="00764DC2">
        <w:rPr>
          <w:rFonts w:ascii="MetaPro-Norm" w:hAnsi="MetaPro-Norm"/>
        </w:rPr>
        <w:t xml:space="preserve"> is</w:t>
      </w:r>
      <w:r w:rsidR="00C108A0" w:rsidRPr="00EB0859">
        <w:rPr>
          <w:rFonts w:ascii="MetaPro-Norm" w:hAnsi="MetaPro-Norm"/>
        </w:rPr>
        <w:t xml:space="preserve"> intact</w:t>
      </w:r>
      <w:r w:rsidR="00764DC2">
        <w:rPr>
          <w:rFonts w:ascii="MetaPro-Norm" w:hAnsi="MetaPro-Norm"/>
        </w:rPr>
        <w:t xml:space="preserve">. </w:t>
      </w:r>
      <w:r w:rsidR="00C108A0" w:rsidRPr="00EB0859">
        <w:rPr>
          <w:rFonts w:ascii="MetaPro-Norm" w:hAnsi="MetaPro-Norm"/>
        </w:rPr>
        <w:t>While Human Rights Watch </w:t>
      </w:r>
      <w:hyperlink r:id="rId14" w:history="1">
        <w:r w:rsidR="00C108A0" w:rsidRPr="00EB0859">
          <w:rPr>
            <w:rFonts w:ascii="MetaPro-Norm" w:hAnsi="MetaPro-Norm"/>
          </w:rPr>
          <w:t>found</w:t>
        </w:r>
      </w:hyperlink>
      <w:r w:rsidR="00C108A0" w:rsidRPr="00EB0859">
        <w:rPr>
          <w:rFonts w:ascii="MetaPro-Norm" w:hAnsi="MetaPro-Norm"/>
        </w:rPr>
        <w:t xml:space="preserve"> that applicants who were deemed to have “failed” were not necessarily penalized, all of the women we spoke </w:t>
      </w:r>
      <w:r w:rsidR="009A0416">
        <w:rPr>
          <w:rFonts w:ascii="MetaPro-Norm" w:hAnsi="MetaPro-Norm"/>
        </w:rPr>
        <w:t xml:space="preserve">to </w:t>
      </w:r>
      <w:r w:rsidR="00C108A0" w:rsidRPr="00EB0859">
        <w:rPr>
          <w:rFonts w:ascii="MetaPro-Norm" w:hAnsi="MetaPro-Norm"/>
        </w:rPr>
        <w:t>described the test as painful, embarrassing, and traumatic.</w:t>
      </w:r>
    </w:p>
    <w:p w14:paraId="6A0194DF" w14:textId="77777777" w:rsidR="003B301C" w:rsidRPr="003072D3" w:rsidRDefault="003B301C" w:rsidP="00772D79">
      <w:pPr>
        <w:rPr>
          <w:rFonts w:ascii="MetaPro-Norm" w:hAnsi="MetaPro-Norm"/>
        </w:rPr>
      </w:pPr>
    </w:p>
    <w:p w14:paraId="674E2C2B" w14:textId="669F4111" w:rsidR="003B301C" w:rsidRDefault="003B301C" w:rsidP="00772D79">
      <w:pPr>
        <w:rPr>
          <w:rFonts w:ascii="MetaPro-Norm" w:hAnsi="MetaPro-Norm"/>
        </w:rPr>
      </w:pPr>
      <w:r w:rsidRPr="003072D3">
        <w:rPr>
          <w:rFonts w:ascii="MetaPro-Norm" w:hAnsi="MetaPro-Norm"/>
        </w:rPr>
        <w:t>Virginity testing is a form of gender-based violence</w:t>
      </w:r>
      <w:r w:rsidR="009A0416">
        <w:rPr>
          <w:rFonts w:ascii="MetaPro-Norm" w:hAnsi="MetaPro-Norm"/>
        </w:rPr>
        <w:t xml:space="preserve"> that </w:t>
      </w:r>
      <w:r w:rsidR="00764DC2">
        <w:rPr>
          <w:rFonts w:ascii="MetaPro-Norm" w:hAnsi="MetaPro-Norm"/>
        </w:rPr>
        <w:t>can constitute sexual assault</w:t>
      </w:r>
      <w:r w:rsidRPr="003072D3">
        <w:rPr>
          <w:rFonts w:ascii="MetaPro-Norm" w:hAnsi="MetaPro-Norm"/>
        </w:rPr>
        <w:t xml:space="preserve">. </w:t>
      </w:r>
      <w:r w:rsidR="00D20A81">
        <w:rPr>
          <w:rFonts w:ascii="MetaPro-Norm" w:hAnsi="MetaPro-Norm"/>
        </w:rPr>
        <w:t xml:space="preserve">In 2014, the Committee </w:t>
      </w:r>
      <w:r w:rsidR="00D20A81" w:rsidRPr="00FF1EF4">
        <w:rPr>
          <w:rFonts w:ascii="MetaPro-Norm" w:hAnsi="MetaPro-Norm"/>
        </w:rPr>
        <w:t xml:space="preserve">on the Elimination of Discrimination against Women and the Committee on the Rights of the Child issued joint General Recommendation No. </w:t>
      </w:r>
      <w:r w:rsidR="00D20A81" w:rsidRPr="00FF1EF4">
        <w:rPr>
          <w:rFonts w:ascii="MetaPro-Norm" w:hAnsi="MetaPro-Norm"/>
        </w:rPr>
        <w:lastRenderedPageBreak/>
        <w:t>31/General Comment No. 18 on harmful practices</w:t>
      </w:r>
      <w:r w:rsidR="003538D7" w:rsidRPr="00FF1EF4">
        <w:rPr>
          <w:rFonts w:ascii="MetaPro-Norm" w:hAnsi="MetaPro-Norm"/>
        </w:rPr>
        <w:t xml:space="preserve">, which included “virginity testing” as a harmful practice that states should </w:t>
      </w:r>
      <w:r w:rsidR="003538D7">
        <w:rPr>
          <w:rFonts w:ascii="MetaPro-Norm" w:hAnsi="MetaPro-Norm"/>
        </w:rPr>
        <w:t>eliminate</w:t>
      </w:r>
      <w:r w:rsidR="00D20A81" w:rsidRPr="00FF1EF4">
        <w:rPr>
          <w:rFonts w:ascii="MetaPro-Norm" w:hAnsi="MetaPro-Norm"/>
        </w:rPr>
        <w:t>.</w:t>
      </w:r>
      <w:r w:rsidR="00682DD3">
        <w:rPr>
          <w:rFonts w:ascii="ZWAdobeF" w:hAnsi="ZWAdobeF" w:cs="ZWAdobeF"/>
          <w:sz w:val="2"/>
          <w:szCs w:val="2"/>
        </w:rPr>
        <w:t>16F</w:t>
      </w:r>
      <w:r w:rsidR="009C0974">
        <w:rPr>
          <w:rStyle w:val="FootnoteReference"/>
          <w:rFonts w:ascii="MetaPro-Norm" w:hAnsi="MetaPro-Norm"/>
        </w:rPr>
        <w:footnoteReference w:id="17"/>
      </w:r>
      <w:r w:rsidR="003538D7" w:rsidRPr="00312877">
        <w:rPr>
          <w:rFonts w:ascii="MetaPro-Norm" w:hAnsi="MetaPro-Norm"/>
        </w:rPr>
        <w:t xml:space="preserve"> </w:t>
      </w:r>
    </w:p>
    <w:p w14:paraId="25357594" w14:textId="6CBC68A8" w:rsidR="00DC665F" w:rsidRDefault="00DC665F" w:rsidP="00772D79">
      <w:pPr>
        <w:rPr>
          <w:rFonts w:ascii="MetaPro-Norm" w:hAnsi="MetaPro-Norm"/>
        </w:rPr>
      </w:pPr>
    </w:p>
    <w:p w14:paraId="389EE5DB" w14:textId="06902509" w:rsidR="001B3BF6" w:rsidRDefault="001B3BF6" w:rsidP="00772D79">
      <w:pPr>
        <w:rPr>
          <w:rFonts w:ascii="MetaPro-Norm" w:hAnsi="MetaPro-Norm"/>
        </w:rPr>
      </w:pPr>
      <w:r>
        <w:rPr>
          <w:rFonts w:ascii="MetaPro-Norm" w:hAnsi="MetaPro-Norm"/>
        </w:rPr>
        <w:t>In 2018, the W</w:t>
      </w:r>
      <w:r w:rsidR="00172FBC">
        <w:rPr>
          <w:rFonts w:ascii="MetaPro-Norm" w:hAnsi="MetaPro-Norm"/>
        </w:rPr>
        <w:t xml:space="preserve">HO, </w:t>
      </w:r>
      <w:r>
        <w:rPr>
          <w:rFonts w:ascii="MetaPro-Norm" w:hAnsi="MetaPro-Norm"/>
        </w:rPr>
        <w:t xml:space="preserve">the Office of the </w:t>
      </w:r>
      <w:r w:rsidR="00A54F37">
        <w:rPr>
          <w:rFonts w:ascii="MetaPro-Norm" w:hAnsi="MetaPro-Norm"/>
        </w:rPr>
        <w:t xml:space="preserve">UN </w:t>
      </w:r>
      <w:r>
        <w:rPr>
          <w:rFonts w:ascii="MetaPro-Norm" w:hAnsi="MetaPro-Norm"/>
        </w:rPr>
        <w:t xml:space="preserve">High Commissioner for </w:t>
      </w:r>
      <w:r w:rsidRPr="009A7D32">
        <w:rPr>
          <w:rFonts w:ascii="MetaPro-Norm" w:hAnsi="MetaPro-Norm"/>
        </w:rPr>
        <w:t xml:space="preserve">Human Rights, </w:t>
      </w:r>
      <w:r>
        <w:rPr>
          <w:rFonts w:ascii="MetaPro-Norm" w:hAnsi="MetaPro-Norm"/>
        </w:rPr>
        <w:t>and UN</w:t>
      </w:r>
      <w:r w:rsidR="008C54FC">
        <w:rPr>
          <w:rFonts w:ascii="MetaPro-Norm" w:hAnsi="MetaPro-Norm"/>
        </w:rPr>
        <w:t xml:space="preserve"> </w:t>
      </w:r>
      <w:r w:rsidRPr="009A7D32">
        <w:rPr>
          <w:rFonts w:ascii="MetaPro-Norm" w:hAnsi="MetaPro-Norm"/>
        </w:rPr>
        <w:t>Women</w:t>
      </w:r>
      <w:r>
        <w:rPr>
          <w:rFonts w:ascii="MetaPro-Norm" w:hAnsi="MetaPro-Norm"/>
        </w:rPr>
        <w:t xml:space="preserve"> declared that this </w:t>
      </w:r>
      <w:r w:rsidR="009A0416">
        <w:rPr>
          <w:rFonts w:ascii="MetaPro-Norm" w:hAnsi="MetaPro-Norm"/>
        </w:rPr>
        <w:t xml:space="preserve">virginity testing </w:t>
      </w:r>
      <w:r>
        <w:rPr>
          <w:rFonts w:ascii="MetaPro-Norm" w:hAnsi="MetaPro-Norm"/>
        </w:rPr>
        <w:t xml:space="preserve">is </w:t>
      </w:r>
      <w:r w:rsidR="00A72938">
        <w:rPr>
          <w:rFonts w:ascii="MetaPro-Norm" w:hAnsi="MetaPro-Norm"/>
        </w:rPr>
        <w:t>a violation of</w:t>
      </w:r>
      <w:r>
        <w:rPr>
          <w:rFonts w:ascii="MetaPro-Norm" w:hAnsi="MetaPro-Norm"/>
        </w:rPr>
        <w:t xml:space="preserve"> women and girls’ </w:t>
      </w:r>
      <w:r w:rsidRPr="00E57CD1">
        <w:rPr>
          <w:rFonts w:ascii="MetaPro-Norm" w:hAnsi="MetaPro-Norm"/>
        </w:rPr>
        <w:t>right to privacy and physical integrity</w:t>
      </w:r>
      <w:r>
        <w:rPr>
          <w:rFonts w:ascii="MetaPro-Norm" w:hAnsi="MetaPro-Norm"/>
        </w:rPr>
        <w:t>, t</w:t>
      </w:r>
      <w:r w:rsidRPr="00E57CD1">
        <w:rPr>
          <w:rFonts w:ascii="MetaPro-Norm" w:hAnsi="MetaPro-Norm"/>
        </w:rPr>
        <w:t>he right to the highest attainable standard of health</w:t>
      </w:r>
      <w:r>
        <w:rPr>
          <w:rFonts w:ascii="MetaPro-Norm" w:hAnsi="MetaPro-Norm"/>
        </w:rPr>
        <w:t>, t</w:t>
      </w:r>
      <w:r w:rsidRPr="00E57CD1">
        <w:rPr>
          <w:rFonts w:ascii="MetaPro-Norm" w:hAnsi="MetaPro-Norm"/>
        </w:rPr>
        <w:t>he right to be protected from discrimination based on sex</w:t>
      </w:r>
      <w:r>
        <w:rPr>
          <w:rFonts w:ascii="MetaPro-Norm" w:hAnsi="MetaPro-Norm"/>
        </w:rPr>
        <w:t>, t</w:t>
      </w:r>
      <w:r w:rsidRPr="00AF1AC8">
        <w:rPr>
          <w:rFonts w:ascii="MetaPro-Norm" w:hAnsi="MetaPro-Norm"/>
        </w:rPr>
        <w:t>he right to be free from torture or cruel, inhuman, or degrading treatment</w:t>
      </w:r>
      <w:r>
        <w:rPr>
          <w:rFonts w:ascii="MetaPro-Norm" w:hAnsi="MetaPro-Norm"/>
        </w:rPr>
        <w:t>, and t</w:t>
      </w:r>
      <w:r w:rsidRPr="00AF1AC8">
        <w:rPr>
          <w:rFonts w:ascii="MetaPro-Norm" w:hAnsi="MetaPro-Norm"/>
        </w:rPr>
        <w:t>he rights of the child</w:t>
      </w:r>
      <w:r>
        <w:rPr>
          <w:rFonts w:ascii="MetaPro-Norm" w:hAnsi="MetaPro-Norm"/>
        </w:rPr>
        <w:t>.</w:t>
      </w:r>
      <w:r w:rsidR="00682DD3">
        <w:rPr>
          <w:rFonts w:ascii="ZWAdobeF" w:hAnsi="ZWAdobeF" w:cs="ZWAdobeF"/>
          <w:sz w:val="2"/>
          <w:szCs w:val="2"/>
        </w:rPr>
        <w:t>17F</w:t>
      </w:r>
      <w:r>
        <w:rPr>
          <w:rStyle w:val="FootnoteReference"/>
          <w:rFonts w:ascii="MetaPro-Norm" w:hAnsi="MetaPro-Norm"/>
        </w:rPr>
        <w:footnoteReference w:id="18"/>
      </w:r>
    </w:p>
    <w:p w14:paraId="2A16AB58" w14:textId="77777777" w:rsidR="001B3BF6" w:rsidRDefault="001B3BF6" w:rsidP="00772D79">
      <w:pPr>
        <w:rPr>
          <w:rFonts w:ascii="MetaPro-Norm" w:hAnsi="MetaPro-Norm"/>
        </w:rPr>
      </w:pPr>
    </w:p>
    <w:p w14:paraId="189C911F" w14:textId="5D632660" w:rsidR="009911B4" w:rsidRPr="003072D3" w:rsidRDefault="009911B4" w:rsidP="00772D79">
      <w:pPr>
        <w:rPr>
          <w:rFonts w:ascii="MetaPro-Norm" w:hAnsi="MetaPro-Norm"/>
          <w:i/>
        </w:rPr>
      </w:pPr>
      <w:r w:rsidRPr="003072D3">
        <w:rPr>
          <w:rFonts w:ascii="MetaPro-Norm" w:hAnsi="MetaPro-Norm"/>
          <w:i/>
        </w:rPr>
        <w:t>We encourage the Committee to pose the following questions</w:t>
      </w:r>
      <w:r w:rsidR="00926D08">
        <w:rPr>
          <w:rFonts w:ascii="MetaPro-Norm" w:hAnsi="MetaPro-Norm"/>
          <w:i/>
        </w:rPr>
        <w:t xml:space="preserve"> to the Indonesian government</w:t>
      </w:r>
      <w:r w:rsidRPr="003072D3">
        <w:rPr>
          <w:rFonts w:ascii="MetaPro-Norm" w:hAnsi="MetaPro-Norm"/>
          <w:i/>
        </w:rPr>
        <w:t>:</w:t>
      </w:r>
    </w:p>
    <w:p w14:paraId="78307109" w14:textId="77777777" w:rsidR="0033250E" w:rsidRPr="003072D3" w:rsidRDefault="0033250E" w:rsidP="00772D79">
      <w:pPr>
        <w:rPr>
          <w:rFonts w:ascii="MetaPro-Norm" w:hAnsi="MetaPro-Norm"/>
          <w:i/>
        </w:rPr>
      </w:pPr>
    </w:p>
    <w:p w14:paraId="37C82D86" w14:textId="3C0FE037" w:rsidR="00420FDA" w:rsidRPr="003072D3" w:rsidRDefault="00A72938" w:rsidP="00772D79">
      <w:pPr>
        <w:pStyle w:val="ListParagraph"/>
        <w:numPr>
          <w:ilvl w:val="0"/>
          <w:numId w:val="1"/>
        </w:numPr>
        <w:spacing w:after="0"/>
        <w:rPr>
          <w:rFonts w:ascii="MetaPro-Norm" w:hAnsi="MetaPro-Norm"/>
          <w:color w:val="000000" w:themeColor="text1"/>
          <w:sz w:val="24"/>
          <w:szCs w:val="24"/>
          <w:shd w:val="clear" w:color="auto" w:fill="FFFFFF"/>
        </w:rPr>
      </w:pPr>
      <w:r>
        <w:rPr>
          <w:rFonts w:ascii="MetaPro-Norm" w:hAnsi="MetaPro-Norm"/>
          <w:sz w:val="24"/>
          <w:szCs w:val="24"/>
        </w:rPr>
        <w:t xml:space="preserve">What </w:t>
      </w:r>
      <w:r w:rsidR="009A0416">
        <w:rPr>
          <w:rFonts w:ascii="MetaPro-Norm" w:hAnsi="MetaPro-Norm"/>
          <w:sz w:val="24"/>
          <w:szCs w:val="24"/>
        </w:rPr>
        <w:t xml:space="preserve">specific </w:t>
      </w:r>
      <w:r>
        <w:rPr>
          <w:rFonts w:ascii="MetaPro-Norm" w:hAnsi="MetaPro-Norm"/>
          <w:sz w:val="24"/>
          <w:szCs w:val="24"/>
        </w:rPr>
        <w:t>steps has</w:t>
      </w:r>
      <w:r w:rsidR="007249E1">
        <w:rPr>
          <w:rFonts w:ascii="MetaPro-Norm" w:hAnsi="MetaPro-Norm"/>
          <w:sz w:val="24"/>
          <w:szCs w:val="24"/>
        </w:rPr>
        <w:t xml:space="preserve"> the Indonesian government </w:t>
      </w:r>
      <w:r w:rsidR="00D47F49">
        <w:rPr>
          <w:rFonts w:ascii="MetaPro-Norm" w:hAnsi="MetaPro-Norm"/>
          <w:sz w:val="24"/>
          <w:szCs w:val="24"/>
        </w:rPr>
        <w:t>take</w:t>
      </w:r>
      <w:r>
        <w:rPr>
          <w:rFonts w:ascii="MetaPro-Norm" w:hAnsi="MetaPro-Norm"/>
          <w:sz w:val="24"/>
          <w:szCs w:val="24"/>
        </w:rPr>
        <w:t>n</w:t>
      </w:r>
      <w:r w:rsidR="00D47F49">
        <w:rPr>
          <w:rFonts w:ascii="MetaPro-Norm" w:hAnsi="MetaPro-Norm"/>
          <w:sz w:val="24"/>
          <w:szCs w:val="24"/>
        </w:rPr>
        <w:t xml:space="preserve"> to </w:t>
      </w:r>
      <w:r w:rsidR="00420FDA" w:rsidRPr="003072D3">
        <w:rPr>
          <w:rFonts w:ascii="MetaPro-Norm" w:hAnsi="MetaPro-Norm"/>
          <w:sz w:val="24"/>
          <w:szCs w:val="24"/>
        </w:rPr>
        <w:t>stop “virginity testing”</w:t>
      </w:r>
      <w:r w:rsidR="009A0416">
        <w:rPr>
          <w:rFonts w:ascii="MetaPro-Norm" w:hAnsi="MetaPro-Norm"/>
          <w:sz w:val="24"/>
          <w:szCs w:val="24"/>
        </w:rPr>
        <w:t xml:space="preserve"> in the armed forces,</w:t>
      </w:r>
      <w:r w:rsidR="00CB3B4D">
        <w:rPr>
          <w:rFonts w:ascii="MetaPro-Norm" w:hAnsi="MetaPro-Norm"/>
          <w:sz w:val="24"/>
          <w:szCs w:val="24"/>
        </w:rPr>
        <w:t xml:space="preserve"> especially in the Navy and the Air Force</w:t>
      </w:r>
      <w:r w:rsidR="00420FDA" w:rsidRPr="003072D3">
        <w:rPr>
          <w:rFonts w:ascii="MetaPro-Norm" w:hAnsi="MetaPro-Norm"/>
          <w:sz w:val="24"/>
          <w:szCs w:val="24"/>
        </w:rPr>
        <w:t xml:space="preserve">? </w:t>
      </w:r>
    </w:p>
    <w:p w14:paraId="29AD86DB" w14:textId="62E98769" w:rsidR="00CB5A56" w:rsidRPr="000E5797" w:rsidRDefault="000D5D31" w:rsidP="00772D79">
      <w:pPr>
        <w:pStyle w:val="ListParagraph"/>
        <w:numPr>
          <w:ilvl w:val="0"/>
          <w:numId w:val="1"/>
        </w:numPr>
        <w:spacing w:after="0"/>
        <w:rPr>
          <w:rFonts w:ascii="MetaPro-Norm" w:hAnsi="MetaPro-Norm"/>
          <w:color w:val="000000" w:themeColor="text1"/>
          <w:sz w:val="24"/>
          <w:szCs w:val="24"/>
          <w:shd w:val="clear" w:color="auto" w:fill="FFFFFF"/>
        </w:rPr>
      </w:pPr>
      <w:r w:rsidRPr="003072D3">
        <w:rPr>
          <w:rFonts w:ascii="MetaPro-Norm" w:hAnsi="MetaPro-Norm"/>
          <w:sz w:val="24"/>
          <w:szCs w:val="24"/>
        </w:rPr>
        <w:t>W</w:t>
      </w:r>
      <w:r w:rsidR="007249E1">
        <w:rPr>
          <w:rFonts w:ascii="MetaPro-Norm" w:hAnsi="MetaPro-Norm"/>
          <w:sz w:val="24"/>
          <w:szCs w:val="24"/>
        </w:rPr>
        <w:t xml:space="preserve">ill </w:t>
      </w:r>
      <w:r w:rsidRPr="003072D3">
        <w:rPr>
          <w:rFonts w:ascii="MetaPro-Norm" w:hAnsi="MetaPro-Norm"/>
          <w:sz w:val="24"/>
          <w:szCs w:val="24"/>
        </w:rPr>
        <w:t xml:space="preserve">the Ministry of Health </w:t>
      </w:r>
      <w:r w:rsidR="00CB5A56" w:rsidRPr="003072D3">
        <w:rPr>
          <w:rFonts w:ascii="MetaPro-Norm" w:hAnsi="MetaPro-Norm"/>
          <w:sz w:val="24"/>
          <w:szCs w:val="24"/>
        </w:rPr>
        <w:t xml:space="preserve">issue </w:t>
      </w:r>
      <w:r w:rsidR="007249E1">
        <w:rPr>
          <w:rFonts w:ascii="MetaPro-Norm" w:hAnsi="MetaPro-Norm"/>
          <w:sz w:val="24"/>
          <w:szCs w:val="24"/>
        </w:rPr>
        <w:t xml:space="preserve">a </w:t>
      </w:r>
      <w:r w:rsidR="00CB5A56" w:rsidRPr="003072D3">
        <w:rPr>
          <w:rFonts w:ascii="MetaPro-Norm" w:hAnsi="MetaPro-Norm"/>
          <w:sz w:val="24"/>
          <w:szCs w:val="24"/>
        </w:rPr>
        <w:t xml:space="preserve">public statement condemning “virginity testing” and demand that Indonesia’s military cease </w:t>
      </w:r>
      <w:r w:rsidR="00A54F37">
        <w:rPr>
          <w:rFonts w:ascii="MetaPro-Norm" w:hAnsi="MetaPro-Norm"/>
          <w:sz w:val="24"/>
          <w:szCs w:val="24"/>
        </w:rPr>
        <w:t>imposing</w:t>
      </w:r>
      <w:r w:rsidR="00A54F37" w:rsidRPr="003072D3">
        <w:rPr>
          <w:rFonts w:ascii="MetaPro-Norm" w:hAnsi="MetaPro-Norm"/>
          <w:sz w:val="24"/>
          <w:szCs w:val="24"/>
        </w:rPr>
        <w:t xml:space="preserve"> </w:t>
      </w:r>
      <w:r w:rsidR="00CB5A56" w:rsidRPr="003072D3">
        <w:rPr>
          <w:rFonts w:ascii="MetaPro-Norm" w:hAnsi="MetaPro-Norm"/>
          <w:sz w:val="24"/>
          <w:szCs w:val="24"/>
        </w:rPr>
        <w:t xml:space="preserve">it on female </w:t>
      </w:r>
      <w:r w:rsidR="009A0416">
        <w:rPr>
          <w:rFonts w:ascii="MetaPro-Norm" w:hAnsi="MetaPro-Norm"/>
          <w:sz w:val="24"/>
          <w:szCs w:val="24"/>
        </w:rPr>
        <w:t>recruits</w:t>
      </w:r>
      <w:r w:rsidRPr="003072D3">
        <w:rPr>
          <w:rFonts w:ascii="MetaPro-Norm" w:hAnsi="MetaPro-Norm"/>
          <w:sz w:val="24"/>
          <w:szCs w:val="24"/>
        </w:rPr>
        <w:t>?</w:t>
      </w:r>
      <w:r w:rsidR="00682DD3">
        <w:rPr>
          <w:rFonts w:ascii="ZWAdobeF" w:hAnsi="ZWAdobeF" w:cs="ZWAdobeF"/>
          <w:sz w:val="2"/>
          <w:szCs w:val="2"/>
        </w:rPr>
        <w:t>18F</w:t>
      </w:r>
      <w:r w:rsidR="00CB5A56" w:rsidRPr="003072D3">
        <w:rPr>
          <w:rStyle w:val="FootnoteReference"/>
          <w:rFonts w:ascii="MetaPro-Norm" w:hAnsi="MetaPro-Norm"/>
          <w:sz w:val="24"/>
          <w:szCs w:val="24"/>
        </w:rPr>
        <w:footnoteReference w:id="19"/>
      </w:r>
    </w:p>
    <w:p w14:paraId="76E030B9" w14:textId="77777777" w:rsidR="009A7D32" w:rsidRDefault="009A7D32" w:rsidP="00772D79">
      <w:pPr>
        <w:rPr>
          <w:rFonts w:ascii="MetaPro-Norm" w:hAnsi="MetaPro-Norm"/>
          <w:i/>
        </w:rPr>
      </w:pPr>
    </w:p>
    <w:p w14:paraId="6669A29F" w14:textId="2AF7A522" w:rsidR="004978F0" w:rsidRPr="00772D79" w:rsidRDefault="004978F0" w:rsidP="00772D79">
      <w:pPr>
        <w:rPr>
          <w:rFonts w:ascii="MetaPro-Norm" w:hAnsi="MetaPro-Norm"/>
          <w:b/>
          <w:bCs/>
          <w:iCs/>
        </w:rPr>
      </w:pPr>
      <w:r w:rsidRPr="00772D79">
        <w:rPr>
          <w:rFonts w:ascii="MetaPro-Norm" w:hAnsi="MetaPro-Norm"/>
          <w:b/>
          <w:bCs/>
          <w:iCs/>
        </w:rPr>
        <w:t xml:space="preserve">Indigenous women </w:t>
      </w:r>
      <w:r w:rsidR="004B1C38" w:rsidRPr="00772D79">
        <w:rPr>
          <w:rFonts w:ascii="MetaPro-Norm" w:hAnsi="MetaPro-Norm"/>
          <w:b/>
          <w:bCs/>
          <w:iCs/>
        </w:rPr>
        <w:t xml:space="preserve">and land </w:t>
      </w:r>
      <w:r w:rsidR="004B1C38" w:rsidRPr="00A327FE">
        <w:rPr>
          <w:rFonts w:ascii="MetaPro-Norm" w:hAnsi="MetaPro-Norm"/>
          <w:b/>
          <w:bCs/>
          <w:iCs/>
        </w:rPr>
        <w:t xml:space="preserve">rights </w:t>
      </w:r>
      <w:r w:rsidR="00A72938" w:rsidRPr="0081336F">
        <w:rPr>
          <w:rFonts w:ascii="MetaPro-Norm" w:hAnsi="MetaPro-Norm"/>
          <w:b/>
          <w:bCs/>
          <w:iCs/>
        </w:rPr>
        <w:t>(A</w:t>
      </w:r>
      <w:r w:rsidR="001E6A5B" w:rsidRPr="0081336F">
        <w:rPr>
          <w:rFonts w:ascii="MetaPro-Norm" w:hAnsi="MetaPro-Norm"/>
          <w:b/>
          <w:bCs/>
          <w:iCs/>
        </w:rPr>
        <w:t xml:space="preserve">rticle </w:t>
      </w:r>
      <w:r w:rsidR="005759F5" w:rsidRPr="0081336F">
        <w:rPr>
          <w:rFonts w:ascii="MetaPro-Norm" w:hAnsi="MetaPro-Norm"/>
          <w:b/>
          <w:bCs/>
          <w:iCs/>
        </w:rPr>
        <w:t>14(2)</w:t>
      </w:r>
      <w:r w:rsidR="00A72938" w:rsidRPr="0081336F">
        <w:rPr>
          <w:rFonts w:ascii="MetaPro-Norm" w:hAnsi="MetaPro-Norm"/>
          <w:b/>
          <w:bCs/>
          <w:iCs/>
        </w:rPr>
        <w:t>)</w:t>
      </w:r>
    </w:p>
    <w:p w14:paraId="2F9A4EFE" w14:textId="2F843817" w:rsidR="004978F0" w:rsidRPr="003072D3" w:rsidRDefault="004978F0" w:rsidP="00772D79">
      <w:pPr>
        <w:rPr>
          <w:rFonts w:ascii="MetaPro-Norm" w:hAnsi="MetaPro-Norm"/>
          <w:iCs/>
        </w:rPr>
      </w:pPr>
    </w:p>
    <w:p w14:paraId="0EE885F0" w14:textId="33FCA960" w:rsidR="004978F0" w:rsidRPr="003072D3" w:rsidRDefault="004978F0" w:rsidP="00772D79">
      <w:pPr>
        <w:rPr>
          <w:rFonts w:ascii="MetaPro-Norm" w:hAnsi="MetaPro-Norm"/>
          <w:iCs/>
        </w:rPr>
      </w:pPr>
      <w:r w:rsidRPr="003072D3">
        <w:rPr>
          <w:rFonts w:ascii="MetaPro-Norm" w:hAnsi="MetaPro-Norm"/>
          <w:iCs/>
        </w:rPr>
        <w:t xml:space="preserve">Between 2001 to 2017, Indonesia lost 24 million hectares of forest cover, </w:t>
      </w:r>
      <w:r w:rsidR="00431809" w:rsidRPr="003072D3">
        <w:rPr>
          <w:rFonts w:ascii="MetaPro-Norm" w:hAnsi="MetaPro-Norm"/>
          <w:iCs/>
        </w:rPr>
        <w:t xml:space="preserve">mostly on the islands of Sumatra, </w:t>
      </w:r>
      <w:r w:rsidR="00E86298" w:rsidRPr="003072D3">
        <w:rPr>
          <w:rFonts w:ascii="MetaPro-Norm" w:hAnsi="MetaPro-Norm"/>
          <w:iCs/>
        </w:rPr>
        <w:t>Kalimantan,</w:t>
      </w:r>
      <w:r w:rsidR="00431809" w:rsidRPr="003072D3">
        <w:rPr>
          <w:rFonts w:ascii="MetaPro-Norm" w:hAnsi="MetaPro-Norm"/>
          <w:iCs/>
        </w:rPr>
        <w:t xml:space="preserve"> and Papua.</w:t>
      </w:r>
      <w:r w:rsidRPr="003072D3">
        <w:rPr>
          <w:rFonts w:ascii="MetaPro-Norm" w:hAnsi="MetaPro-Norm"/>
          <w:iCs/>
        </w:rPr>
        <w:t xml:space="preserve"> Government sources estimate that oil palm plantations account for over half of all forest depletion in Indonesia.</w:t>
      </w:r>
      <w:r w:rsidR="00682DD3">
        <w:rPr>
          <w:rFonts w:ascii="ZWAdobeF" w:hAnsi="ZWAdobeF" w:cs="ZWAdobeF"/>
          <w:iCs/>
          <w:sz w:val="2"/>
          <w:szCs w:val="2"/>
        </w:rPr>
        <w:t>19F</w:t>
      </w:r>
      <w:r w:rsidR="00DA439C">
        <w:rPr>
          <w:rStyle w:val="FootnoteReference"/>
          <w:rFonts w:ascii="MetaPro-Norm" w:hAnsi="MetaPro-Norm"/>
          <w:iCs/>
        </w:rPr>
        <w:footnoteReference w:id="20"/>
      </w:r>
    </w:p>
    <w:p w14:paraId="503BAA22" w14:textId="77777777" w:rsidR="004978F0" w:rsidRPr="003072D3" w:rsidRDefault="004978F0" w:rsidP="00772D79">
      <w:pPr>
        <w:rPr>
          <w:rFonts w:ascii="MetaPro-Norm" w:hAnsi="MetaPro-Norm"/>
          <w:iCs/>
        </w:rPr>
      </w:pPr>
    </w:p>
    <w:p w14:paraId="684F1F5A" w14:textId="6B983707" w:rsidR="00431809" w:rsidRPr="003072D3" w:rsidRDefault="004978F0" w:rsidP="00772D79">
      <w:pPr>
        <w:rPr>
          <w:rFonts w:ascii="MetaPro-Norm" w:hAnsi="MetaPro-Norm"/>
          <w:iCs/>
        </w:rPr>
      </w:pPr>
      <w:r w:rsidRPr="003072D3">
        <w:rPr>
          <w:rFonts w:ascii="MetaPro-Norm" w:hAnsi="MetaPro-Norm"/>
          <w:iCs/>
        </w:rPr>
        <w:t>Deforestation on such massive scale threatens the well</w:t>
      </w:r>
      <w:r w:rsidR="00926D08">
        <w:rPr>
          <w:rFonts w:ascii="MetaPro-Norm" w:hAnsi="MetaPro-Norm"/>
          <w:iCs/>
        </w:rPr>
        <w:t>-</w:t>
      </w:r>
      <w:r w:rsidRPr="003072D3">
        <w:rPr>
          <w:rFonts w:ascii="MetaPro-Norm" w:hAnsi="MetaPro-Norm"/>
          <w:iCs/>
        </w:rPr>
        <w:t>being and culture of the</w:t>
      </w:r>
      <w:r w:rsidR="00246B8E">
        <w:rPr>
          <w:rFonts w:ascii="MetaPro-Norm" w:hAnsi="MetaPro-Norm"/>
          <w:iCs/>
        </w:rPr>
        <w:t xml:space="preserve"> Indigenous </w:t>
      </w:r>
      <w:r w:rsidRPr="003072D3">
        <w:rPr>
          <w:rFonts w:ascii="MetaPro-Norm" w:hAnsi="MetaPro-Norm"/>
          <w:iCs/>
        </w:rPr>
        <w:t>population</w:t>
      </w:r>
      <w:r w:rsidR="00A67FEF">
        <w:rPr>
          <w:rFonts w:ascii="MetaPro-Norm" w:hAnsi="MetaPro-Norm"/>
          <w:iCs/>
        </w:rPr>
        <w:t>.</w:t>
      </w:r>
      <w:r w:rsidRPr="003072D3">
        <w:rPr>
          <w:rFonts w:ascii="MetaPro-Norm" w:hAnsi="MetaPro-Norm"/>
          <w:iCs/>
        </w:rPr>
        <w:t xml:space="preserve"> </w:t>
      </w:r>
      <w:r w:rsidR="00ED4938" w:rsidRPr="003072D3">
        <w:rPr>
          <w:rFonts w:ascii="MetaPro-Norm" w:hAnsi="MetaPro-Norm"/>
          <w:iCs/>
        </w:rPr>
        <w:t xml:space="preserve">Indonesia is home to about 50 to 70 million Indigenous people and over 2,330 Indigenous communities. Most Indigenous communities have not been legally recognized due to a poorly </w:t>
      </w:r>
      <w:r w:rsidR="00A67FEF">
        <w:rPr>
          <w:rFonts w:ascii="MetaPro-Norm" w:hAnsi="MetaPro-Norm"/>
          <w:iCs/>
        </w:rPr>
        <w:t xml:space="preserve">established and implemented </w:t>
      </w:r>
      <w:r w:rsidR="00ED4938" w:rsidRPr="003072D3">
        <w:rPr>
          <w:rFonts w:ascii="MetaPro-Norm" w:hAnsi="MetaPro-Norm"/>
          <w:iCs/>
        </w:rPr>
        <w:t>regulatory framework.</w:t>
      </w:r>
      <w:r w:rsidR="00431809" w:rsidRPr="003072D3">
        <w:rPr>
          <w:rFonts w:ascii="MetaPro-Norm" w:hAnsi="MetaPro-Norm"/>
          <w:iCs/>
        </w:rPr>
        <w:t xml:space="preserve"> </w:t>
      </w:r>
    </w:p>
    <w:p w14:paraId="50FF85D5" w14:textId="77777777" w:rsidR="00431809" w:rsidRPr="003072D3" w:rsidRDefault="00431809" w:rsidP="00772D79">
      <w:pPr>
        <w:rPr>
          <w:rFonts w:ascii="MetaPro-Norm" w:hAnsi="MetaPro-Norm"/>
          <w:iCs/>
        </w:rPr>
      </w:pPr>
    </w:p>
    <w:p w14:paraId="07D2B94E" w14:textId="1CFD887D" w:rsidR="00757800" w:rsidRPr="003072D3" w:rsidRDefault="004978F0" w:rsidP="00772D79">
      <w:pPr>
        <w:rPr>
          <w:rFonts w:ascii="MetaPro-Norm" w:hAnsi="MetaPro-Norm"/>
          <w:iCs/>
        </w:rPr>
      </w:pPr>
      <w:r w:rsidRPr="003072D3">
        <w:rPr>
          <w:rFonts w:ascii="MetaPro-Norm" w:hAnsi="MetaPro-Norm"/>
          <w:iCs/>
        </w:rPr>
        <w:lastRenderedPageBreak/>
        <w:t>Without forests</w:t>
      </w:r>
      <w:r w:rsidR="00555061">
        <w:rPr>
          <w:rFonts w:ascii="MetaPro-Norm" w:hAnsi="MetaPro-Norm"/>
          <w:iCs/>
        </w:rPr>
        <w:t>,</w:t>
      </w:r>
      <w:r w:rsidR="00246B8E">
        <w:rPr>
          <w:rFonts w:ascii="MetaPro-Norm" w:hAnsi="MetaPro-Norm"/>
          <w:iCs/>
        </w:rPr>
        <w:t xml:space="preserve"> Indigenous </w:t>
      </w:r>
      <w:r w:rsidRPr="003072D3">
        <w:rPr>
          <w:rFonts w:ascii="MetaPro-Norm" w:hAnsi="MetaPro-Norm"/>
          <w:iCs/>
        </w:rPr>
        <w:t xml:space="preserve">women </w:t>
      </w:r>
      <w:r w:rsidR="00CF00B9" w:rsidRPr="003072D3">
        <w:rPr>
          <w:rFonts w:ascii="MetaPro-Norm" w:hAnsi="MetaPro-Norm"/>
          <w:iCs/>
        </w:rPr>
        <w:t>cannot</w:t>
      </w:r>
      <w:r w:rsidRPr="003072D3">
        <w:rPr>
          <w:rFonts w:ascii="MetaPro-Norm" w:hAnsi="MetaPro-Norm"/>
          <w:iCs/>
        </w:rPr>
        <w:t xml:space="preserve"> pass on inter</w:t>
      </w:r>
      <w:r w:rsidR="00A67FEF">
        <w:rPr>
          <w:rFonts w:ascii="MetaPro-Norm" w:hAnsi="MetaPro-Norm"/>
          <w:iCs/>
        </w:rPr>
        <w:t>-</w:t>
      </w:r>
      <w:r w:rsidRPr="003072D3">
        <w:rPr>
          <w:rFonts w:ascii="MetaPro-Norm" w:hAnsi="MetaPro-Norm"/>
          <w:iCs/>
        </w:rPr>
        <w:t xml:space="preserve">generational knowledge and </w:t>
      </w:r>
      <w:r w:rsidR="00A67FEF">
        <w:rPr>
          <w:rFonts w:ascii="MetaPro-Norm" w:hAnsi="MetaPro-Norm"/>
          <w:iCs/>
        </w:rPr>
        <w:t xml:space="preserve">traditional livelihoods based on forest-based products, such as production of traditional handicrafts, and </w:t>
      </w:r>
      <w:r w:rsidRPr="003072D3">
        <w:rPr>
          <w:rFonts w:ascii="MetaPro-Norm" w:hAnsi="MetaPro-Norm"/>
          <w:iCs/>
        </w:rPr>
        <w:t>lost supplemental incomes from sales of these products.</w:t>
      </w:r>
      <w:r w:rsidR="00431809" w:rsidRPr="003072D3">
        <w:rPr>
          <w:rFonts w:ascii="MetaPro-Norm" w:hAnsi="MetaPro-Norm"/>
          <w:iCs/>
        </w:rPr>
        <w:t xml:space="preserve"> </w:t>
      </w:r>
      <w:r w:rsidRPr="003072D3">
        <w:rPr>
          <w:rFonts w:ascii="MetaPro-Norm" w:hAnsi="MetaPro-Norm"/>
          <w:iCs/>
        </w:rPr>
        <w:t xml:space="preserve">In cases where monetary compensation was made to some households it did not account for loss of the community’s </w:t>
      </w:r>
      <w:r w:rsidRPr="006B198D">
        <w:rPr>
          <w:rFonts w:ascii="MetaPro-Norm" w:hAnsi="MetaPro-Norm"/>
          <w:i/>
        </w:rPr>
        <w:t>adat forest</w:t>
      </w:r>
      <w:r w:rsidRPr="003072D3">
        <w:rPr>
          <w:rFonts w:ascii="MetaPro-Norm" w:hAnsi="MetaPro-Norm"/>
          <w:iCs/>
        </w:rPr>
        <w:t xml:space="preserve"> (customary forests), wild rubber, and other forest products that women used for food or as a source of revenue.</w:t>
      </w:r>
    </w:p>
    <w:p w14:paraId="47C68533" w14:textId="25F0DAE8" w:rsidR="00431809" w:rsidRPr="003072D3" w:rsidRDefault="00431809" w:rsidP="00772D79">
      <w:pPr>
        <w:rPr>
          <w:rFonts w:ascii="MetaPro-Norm" w:hAnsi="MetaPro-Norm"/>
          <w:iCs/>
        </w:rPr>
      </w:pPr>
    </w:p>
    <w:p w14:paraId="64DDFB43" w14:textId="60611EE1" w:rsidR="00431809" w:rsidRPr="003072D3" w:rsidRDefault="00431809" w:rsidP="00772D79">
      <w:pPr>
        <w:rPr>
          <w:rFonts w:ascii="MetaPro-Norm" w:hAnsi="MetaPro-Norm"/>
          <w:i/>
        </w:rPr>
      </w:pPr>
      <w:r w:rsidRPr="003072D3">
        <w:rPr>
          <w:rFonts w:ascii="MetaPro-Norm" w:hAnsi="MetaPro-Norm"/>
          <w:i/>
        </w:rPr>
        <w:t xml:space="preserve">We encourage the Committee to </w:t>
      </w:r>
      <w:r w:rsidR="00EC4FB8" w:rsidRPr="003072D3">
        <w:rPr>
          <w:rFonts w:ascii="MetaPro-Norm" w:hAnsi="MetaPro-Norm"/>
          <w:i/>
        </w:rPr>
        <w:t>put</w:t>
      </w:r>
      <w:r w:rsidRPr="003072D3">
        <w:rPr>
          <w:rFonts w:ascii="MetaPro-Norm" w:hAnsi="MetaPro-Norm"/>
          <w:i/>
        </w:rPr>
        <w:t xml:space="preserve"> the following questions</w:t>
      </w:r>
      <w:r w:rsidR="00926D08" w:rsidRPr="00926D08">
        <w:rPr>
          <w:rFonts w:ascii="MetaPro-Norm" w:hAnsi="MetaPro-Norm"/>
          <w:i/>
        </w:rPr>
        <w:t xml:space="preserve"> </w:t>
      </w:r>
      <w:r w:rsidR="00926D08">
        <w:rPr>
          <w:rFonts w:ascii="MetaPro-Norm" w:hAnsi="MetaPro-Norm"/>
          <w:i/>
        </w:rPr>
        <w:t>to the Indonesian government</w:t>
      </w:r>
      <w:r w:rsidRPr="003072D3">
        <w:rPr>
          <w:rFonts w:ascii="MetaPro-Norm" w:hAnsi="MetaPro-Norm"/>
          <w:i/>
        </w:rPr>
        <w:t>:</w:t>
      </w:r>
    </w:p>
    <w:p w14:paraId="240AC6E8" w14:textId="77777777" w:rsidR="00431809" w:rsidRPr="003072D3" w:rsidRDefault="00431809" w:rsidP="00772D79">
      <w:pPr>
        <w:rPr>
          <w:rFonts w:ascii="MetaPro-Norm" w:hAnsi="MetaPro-Norm"/>
          <w:iCs/>
        </w:rPr>
      </w:pPr>
    </w:p>
    <w:p w14:paraId="19FB095A" w14:textId="7D90B35B" w:rsidR="00DA439C" w:rsidRPr="00DA439C" w:rsidRDefault="00EC4FB8" w:rsidP="00772D79">
      <w:pPr>
        <w:pStyle w:val="ListParagraph"/>
        <w:numPr>
          <w:ilvl w:val="0"/>
          <w:numId w:val="4"/>
        </w:numPr>
        <w:spacing w:after="0"/>
        <w:rPr>
          <w:rFonts w:ascii="MetaPro-Norm" w:hAnsi="MetaPro-Norm"/>
          <w:iCs/>
          <w:sz w:val="24"/>
          <w:szCs w:val="24"/>
        </w:rPr>
      </w:pPr>
      <w:r>
        <w:rPr>
          <w:rFonts w:ascii="MetaPro-Norm" w:hAnsi="MetaPro-Norm"/>
          <w:iCs/>
          <w:sz w:val="24"/>
          <w:szCs w:val="24"/>
        </w:rPr>
        <w:t xml:space="preserve">What concrete policies and actions </w:t>
      </w:r>
      <w:r w:rsidR="0007003D">
        <w:rPr>
          <w:rFonts w:ascii="MetaPro-Norm" w:hAnsi="MetaPro-Norm"/>
          <w:iCs/>
          <w:sz w:val="24"/>
          <w:szCs w:val="24"/>
        </w:rPr>
        <w:t xml:space="preserve">will the Indonesian government </w:t>
      </w:r>
      <w:r w:rsidR="00B601A5">
        <w:rPr>
          <w:rFonts w:ascii="MetaPro-Norm" w:hAnsi="MetaPro-Norm"/>
          <w:iCs/>
          <w:sz w:val="24"/>
          <w:szCs w:val="24"/>
        </w:rPr>
        <w:t xml:space="preserve">adopt </w:t>
      </w:r>
      <w:r>
        <w:rPr>
          <w:rFonts w:ascii="MetaPro-Norm" w:hAnsi="MetaPro-Norm"/>
          <w:iCs/>
          <w:sz w:val="24"/>
          <w:szCs w:val="24"/>
        </w:rPr>
        <w:t xml:space="preserve">to </w:t>
      </w:r>
      <w:r w:rsidR="00DA439C" w:rsidRPr="00DA439C">
        <w:rPr>
          <w:rFonts w:ascii="MetaPro-Norm" w:hAnsi="MetaPro-Norm"/>
          <w:iCs/>
          <w:sz w:val="24"/>
          <w:szCs w:val="24"/>
        </w:rPr>
        <w:t>recognize and protect</w:t>
      </w:r>
      <w:r w:rsidR="00246B8E">
        <w:rPr>
          <w:rFonts w:ascii="MetaPro-Norm" w:hAnsi="MetaPro-Norm"/>
          <w:iCs/>
          <w:sz w:val="24"/>
          <w:szCs w:val="24"/>
        </w:rPr>
        <w:t xml:space="preserve"> Indigenous </w:t>
      </w:r>
      <w:r w:rsidR="005759F5">
        <w:rPr>
          <w:rFonts w:ascii="MetaPro-Norm" w:hAnsi="MetaPro-Norm"/>
          <w:iCs/>
          <w:sz w:val="24"/>
          <w:szCs w:val="24"/>
        </w:rPr>
        <w:t>women,</w:t>
      </w:r>
      <w:r w:rsidR="00DA439C" w:rsidRPr="00DA439C">
        <w:rPr>
          <w:rFonts w:ascii="MetaPro-Norm" w:hAnsi="MetaPro-Norm"/>
          <w:iCs/>
          <w:sz w:val="24"/>
          <w:szCs w:val="24"/>
        </w:rPr>
        <w:t xml:space="preserve"> and their community rights to land and forests</w:t>
      </w:r>
      <w:r w:rsidR="0007003D">
        <w:rPr>
          <w:rFonts w:ascii="MetaPro-Norm" w:hAnsi="MetaPro-Norm"/>
          <w:iCs/>
          <w:sz w:val="24"/>
          <w:szCs w:val="24"/>
        </w:rPr>
        <w:t>?</w:t>
      </w:r>
    </w:p>
    <w:p w14:paraId="15BD48CB" w14:textId="333DB055" w:rsidR="005759F5" w:rsidRDefault="00B601A5" w:rsidP="00772D79">
      <w:pPr>
        <w:pStyle w:val="ListParagraph"/>
        <w:numPr>
          <w:ilvl w:val="0"/>
          <w:numId w:val="4"/>
        </w:numPr>
        <w:spacing w:after="0"/>
        <w:rPr>
          <w:rFonts w:ascii="MetaPro-Norm" w:hAnsi="MetaPro-Norm"/>
          <w:iCs/>
          <w:sz w:val="24"/>
          <w:szCs w:val="24"/>
        </w:rPr>
      </w:pPr>
      <w:r>
        <w:rPr>
          <w:rFonts w:ascii="MetaPro-Norm" w:hAnsi="MetaPro-Norm"/>
          <w:iCs/>
          <w:sz w:val="24"/>
          <w:szCs w:val="24"/>
        </w:rPr>
        <w:t xml:space="preserve">What concrete steps </w:t>
      </w:r>
      <w:r w:rsidR="0007003D">
        <w:rPr>
          <w:rFonts w:ascii="MetaPro-Norm" w:hAnsi="MetaPro-Norm"/>
          <w:iCs/>
          <w:sz w:val="24"/>
          <w:szCs w:val="24"/>
        </w:rPr>
        <w:t xml:space="preserve">will the Indonesian government </w:t>
      </w:r>
      <w:r>
        <w:rPr>
          <w:rFonts w:ascii="MetaPro-Norm" w:hAnsi="MetaPro-Norm"/>
          <w:iCs/>
          <w:sz w:val="24"/>
          <w:szCs w:val="24"/>
        </w:rPr>
        <w:t xml:space="preserve">take to </w:t>
      </w:r>
      <w:r w:rsidR="0007003D">
        <w:rPr>
          <w:rFonts w:ascii="MetaPro-Norm" w:hAnsi="MetaPro-Norm"/>
          <w:iCs/>
          <w:sz w:val="24"/>
          <w:szCs w:val="24"/>
        </w:rPr>
        <w:t>ensure that</w:t>
      </w:r>
      <w:r w:rsidR="00246B8E">
        <w:rPr>
          <w:rFonts w:ascii="MetaPro-Norm" w:hAnsi="MetaPro-Norm"/>
          <w:iCs/>
          <w:sz w:val="24"/>
          <w:szCs w:val="24"/>
        </w:rPr>
        <w:t xml:space="preserve"> Indigenous </w:t>
      </w:r>
      <w:r w:rsidR="005759F5">
        <w:rPr>
          <w:rFonts w:ascii="MetaPro-Norm" w:hAnsi="MetaPro-Norm"/>
          <w:iCs/>
          <w:sz w:val="24"/>
          <w:szCs w:val="24"/>
        </w:rPr>
        <w:t xml:space="preserve">women are involved in formulating policies related to </w:t>
      </w:r>
      <w:r>
        <w:rPr>
          <w:rFonts w:ascii="MetaPro-Norm" w:hAnsi="MetaPro-Norm"/>
          <w:iCs/>
          <w:sz w:val="24"/>
          <w:szCs w:val="24"/>
        </w:rPr>
        <w:t xml:space="preserve">all aspects of </w:t>
      </w:r>
      <w:r w:rsidR="005759F5">
        <w:rPr>
          <w:rFonts w:ascii="MetaPro-Norm" w:hAnsi="MetaPro-Norm"/>
          <w:iCs/>
          <w:sz w:val="24"/>
          <w:szCs w:val="24"/>
        </w:rPr>
        <w:t>management of</w:t>
      </w:r>
      <w:r w:rsidR="00246B8E">
        <w:rPr>
          <w:rFonts w:ascii="MetaPro-Norm" w:hAnsi="MetaPro-Norm"/>
          <w:iCs/>
          <w:sz w:val="24"/>
          <w:szCs w:val="24"/>
        </w:rPr>
        <w:t xml:space="preserve"> Indigenous </w:t>
      </w:r>
      <w:r w:rsidR="005759F5">
        <w:rPr>
          <w:rFonts w:ascii="MetaPro-Norm" w:hAnsi="MetaPro-Norm"/>
          <w:iCs/>
          <w:sz w:val="24"/>
          <w:szCs w:val="24"/>
        </w:rPr>
        <w:t xml:space="preserve">peoples’ territories? </w:t>
      </w:r>
    </w:p>
    <w:p w14:paraId="199E46A0" w14:textId="03843871" w:rsidR="005759F5" w:rsidRDefault="005759F5" w:rsidP="00772D79">
      <w:pPr>
        <w:pStyle w:val="ListParagraph"/>
        <w:numPr>
          <w:ilvl w:val="0"/>
          <w:numId w:val="4"/>
        </w:numPr>
        <w:spacing w:after="0"/>
        <w:rPr>
          <w:rFonts w:ascii="MetaPro-Norm" w:hAnsi="MetaPro-Norm"/>
          <w:iCs/>
          <w:sz w:val="24"/>
          <w:szCs w:val="24"/>
        </w:rPr>
      </w:pPr>
      <w:r>
        <w:rPr>
          <w:rFonts w:ascii="MetaPro-Norm" w:hAnsi="MetaPro-Norm"/>
          <w:iCs/>
          <w:sz w:val="24"/>
          <w:szCs w:val="24"/>
        </w:rPr>
        <w:t>What steps ha</w:t>
      </w:r>
      <w:r w:rsidR="00A72938">
        <w:rPr>
          <w:rFonts w:ascii="MetaPro-Norm" w:hAnsi="MetaPro-Norm"/>
          <w:iCs/>
          <w:sz w:val="24"/>
          <w:szCs w:val="24"/>
        </w:rPr>
        <w:t>s</w:t>
      </w:r>
      <w:r>
        <w:rPr>
          <w:rFonts w:ascii="MetaPro-Norm" w:hAnsi="MetaPro-Norm"/>
          <w:iCs/>
          <w:sz w:val="24"/>
          <w:szCs w:val="24"/>
        </w:rPr>
        <w:t xml:space="preserve"> the Indonesian government taken </w:t>
      </w:r>
      <w:r w:rsidR="00B601A5">
        <w:rPr>
          <w:rFonts w:ascii="MetaPro-Norm" w:hAnsi="MetaPro-Norm"/>
          <w:iCs/>
          <w:sz w:val="24"/>
          <w:szCs w:val="24"/>
        </w:rPr>
        <w:t xml:space="preserve">with regard </w:t>
      </w:r>
      <w:r>
        <w:rPr>
          <w:rFonts w:ascii="MetaPro-Norm" w:hAnsi="MetaPro-Norm"/>
          <w:iCs/>
          <w:sz w:val="24"/>
          <w:szCs w:val="24"/>
        </w:rPr>
        <w:t xml:space="preserve">to </w:t>
      </w:r>
      <w:r w:rsidR="00B601A5">
        <w:rPr>
          <w:rFonts w:ascii="MetaPro-Norm" w:hAnsi="MetaPro-Norm"/>
          <w:iCs/>
          <w:sz w:val="24"/>
          <w:szCs w:val="24"/>
        </w:rPr>
        <w:t xml:space="preserve">instances of </w:t>
      </w:r>
      <w:r>
        <w:rPr>
          <w:rFonts w:ascii="MetaPro-Norm" w:hAnsi="MetaPro-Norm"/>
          <w:iCs/>
          <w:sz w:val="24"/>
          <w:szCs w:val="24"/>
        </w:rPr>
        <w:t>ongoing and completed resettlement</w:t>
      </w:r>
      <w:r w:rsidR="00B601A5">
        <w:rPr>
          <w:rFonts w:ascii="MetaPro-Norm" w:hAnsi="MetaPro-Norm"/>
          <w:iCs/>
          <w:sz w:val="24"/>
          <w:szCs w:val="24"/>
        </w:rPr>
        <w:t xml:space="preserve"> of communities </w:t>
      </w:r>
      <w:r>
        <w:rPr>
          <w:rFonts w:ascii="MetaPro-Norm" w:hAnsi="MetaPro-Norm"/>
          <w:iCs/>
          <w:sz w:val="24"/>
          <w:szCs w:val="24"/>
        </w:rPr>
        <w:t>to ensure that displaced</w:t>
      </w:r>
      <w:r w:rsidR="00246B8E">
        <w:rPr>
          <w:rFonts w:ascii="MetaPro-Norm" w:hAnsi="MetaPro-Norm"/>
          <w:iCs/>
          <w:sz w:val="24"/>
          <w:szCs w:val="24"/>
        </w:rPr>
        <w:t xml:space="preserve"> Indigenous </w:t>
      </w:r>
      <w:r>
        <w:rPr>
          <w:rFonts w:ascii="MetaPro-Norm" w:hAnsi="MetaPro-Norm"/>
          <w:iCs/>
          <w:sz w:val="24"/>
          <w:szCs w:val="24"/>
        </w:rPr>
        <w:t xml:space="preserve">communities, including women, were involved in planning </w:t>
      </w:r>
      <w:r w:rsidR="00B601A5">
        <w:rPr>
          <w:rFonts w:ascii="MetaPro-Norm" w:hAnsi="MetaPro-Norm"/>
          <w:iCs/>
          <w:sz w:val="24"/>
          <w:szCs w:val="24"/>
        </w:rPr>
        <w:t xml:space="preserve">decisions, and </w:t>
      </w:r>
      <w:r w:rsidR="00F81199">
        <w:rPr>
          <w:rFonts w:ascii="MetaPro-Norm" w:hAnsi="MetaPro-Norm"/>
          <w:iCs/>
          <w:sz w:val="24"/>
          <w:szCs w:val="24"/>
        </w:rPr>
        <w:t>ensuring just</w:t>
      </w:r>
      <w:r>
        <w:rPr>
          <w:rFonts w:ascii="MetaPro-Norm" w:hAnsi="MetaPro-Norm"/>
          <w:iCs/>
          <w:sz w:val="24"/>
          <w:szCs w:val="24"/>
        </w:rPr>
        <w:t>, fair, and equitable compensation in accordance with international human rights standards?</w:t>
      </w:r>
    </w:p>
    <w:p w14:paraId="3BFFD488" w14:textId="0E158B93" w:rsidR="00F936C3" w:rsidRPr="0007003D" w:rsidRDefault="005759F5" w:rsidP="00772D79">
      <w:pPr>
        <w:pStyle w:val="ListParagraph"/>
        <w:numPr>
          <w:ilvl w:val="0"/>
          <w:numId w:val="4"/>
        </w:numPr>
        <w:spacing w:after="0"/>
        <w:rPr>
          <w:rFonts w:ascii="MetaPro-Norm" w:hAnsi="MetaPro-Norm"/>
          <w:iCs/>
          <w:sz w:val="24"/>
          <w:szCs w:val="24"/>
        </w:rPr>
      </w:pPr>
      <w:r>
        <w:rPr>
          <w:rFonts w:ascii="MetaPro-Norm" w:hAnsi="MetaPro-Norm"/>
          <w:iCs/>
          <w:sz w:val="24"/>
          <w:szCs w:val="24"/>
        </w:rPr>
        <w:t>What steps ha</w:t>
      </w:r>
      <w:r w:rsidR="00A72938">
        <w:rPr>
          <w:rFonts w:ascii="MetaPro-Norm" w:hAnsi="MetaPro-Norm"/>
          <w:iCs/>
          <w:sz w:val="24"/>
          <w:szCs w:val="24"/>
        </w:rPr>
        <w:t>s</w:t>
      </w:r>
      <w:r>
        <w:rPr>
          <w:rFonts w:ascii="MetaPro-Norm" w:hAnsi="MetaPro-Norm"/>
          <w:iCs/>
          <w:sz w:val="24"/>
          <w:szCs w:val="24"/>
        </w:rPr>
        <w:t xml:space="preserve"> the Indonesian government taken to ensure that </w:t>
      </w:r>
      <w:r w:rsidR="0007003D">
        <w:rPr>
          <w:rFonts w:ascii="MetaPro-Norm" w:hAnsi="MetaPro-Norm"/>
          <w:iCs/>
          <w:sz w:val="24"/>
          <w:szCs w:val="24"/>
        </w:rPr>
        <w:t>a</w:t>
      </w:r>
      <w:r w:rsidR="00DA439C" w:rsidRPr="00DA439C">
        <w:rPr>
          <w:rFonts w:ascii="MetaPro-Norm" w:hAnsi="MetaPro-Norm"/>
          <w:iCs/>
          <w:sz w:val="24"/>
          <w:szCs w:val="24"/>
        </w:rPr>
        <w:t xml:space="preserve">ll companies operating </w:t>
      </w:r>
      <w:r w:rsidR="00A54F37">
        <w:rPr>
          <w:rFonts w:ascii="MetaPro-Norm" w:hAnsi="MetaPro-Norm"/>
          <w:iCs/>
          <w:sz w:val="24"/>
          <w:szCs w:val="24"/>
        </w:rPr>
        <w:t xml:space="preserve">oil </w:t>
      </w:r>
      <w:r w:rsidR="00B601A5">
        <w:rPr>
          <w:rFonts w:ascii="MetaPro-Norm" w:hAnsi="MetaPro-Norm"/>
          <w:iCs/>
          <w:sz w:val="24"/>
          <w:szCs w:val="24"/>
        </w:rPr>
        <w:t xml:space="preserve">palm </w:t>
      </w:r>
      <w:r w:rsidR="00DA439C" w:rsidRPr="00DA439C">
        <w:rPr>
          <w:rFonts w:ascii="MetaPro-Norm" w:hAnsi="MetaPro-Norm"/>
          <w:iCs/>
          <w:sz w:val="24"/>
          <w:szCs w:val="24"/>
        </w:rPr>
        <w:t>plantations carry out robust human rights due diligence and provide just, fair, and equitable compensation</w:t>
      </w:r>
      <w:r w:rsidR="00B601A5">
        <w:rPr>
          <w:rFonts w:ascii="MetaPro-Norm" w:hAnsi="MetaPro-Norm"/>
          <w:iCs/>
          <w:sz w:val="24"/>
          <w:szCs w:val="24"/>
        </w:rPr>
        <w:t xml:space="preserve"> to displaced communities</w:t>
      </w:r>
      <w:r w:rsidR="0007003D">
        <w:rPr>
          <w:rFonts w:ascii="MetaPro-Norm" w:hAnsi="MetaPro-Norm"/>
          <w:iCs/>
          <w:sz w:val="24"/>
          <w:szCs w:val="24"/>
        </w:rPr>
        <w:t>?</w:t>
      </w:r>
    </w:p>
    <w:p w14:paraId="59F2A3C3" w14:textId="067D8E38" w:rsidR="009A7D32" w:rsidRDefault="009A7D32" w:rsidP="00772D79">
      <w:pPr>
        <w:rPr>
          <w:rFonts w:ascii="MetaPro-Norm" w:hAnsi="MetaPro-Norm"/>
          <w:iCs/>
        </w:rPr>
      </w:pPr>
    </w:p>
    <w:p w14:paraId="1DD4551C" w14:textId="68072014" w:rsidR="00373A2A" w:rsidRPr="00772D79" w:rsidRDefault="00373A2A" w:rsidP="00772D79">
      <w:pPr>
        <w:rPr>
          <w:rFonts w:ascii="MetaPro-Norm" w:hAnsi="MetaPro-Norm"/>
          <w:b/>
          <w:bCs/>
          <w:iCs/>
        </w:rPr>
      </w:pPr>
      <w:r w:rsidRPr="00772D79">
        <w:rPr>
          <w:rFonts w:ascii="MetaPro-Norm" w:hAnsi="MetaPro-Norm"/>
          <w:b/>
          <w:bCs/>
          <w:iCs/>
        </w:rPr>
        <w:t xml:space="preserve">Lesbian and bisexual women and transgender people </w:t>
      </w:r>
      <w:r w:rsidR="00A72938" w:rsidRPr="00213DF1">
        <w:rPr>
          <w:rFonts w:ascii="MetaPro-Norm" w:hAnsi="MetaPro-Norm"/>
          <w:b/>
          <w:bCs/>
          <w:iCs/>
        </w:rPr>
        <w:t>(A</w:t>
      </w:r>
      <w:r w:rsidRPr="00213DF1">
        <w:rPr>
          <w:rFonts w:ascii="MetaPro-Norm" w:hAnsi="MetaPro-Norm"/>
          <w:b/>
          <w:bCs/>
          <w:iCs/>
        </w:rPr>
        <w:t>rticle</w:t>
      </w:r>
      <w:r w:rsidR="00FE60A7" w:rsidRPr="00213DF1">
        <w:rPr>
          <w:rFonts w:ascii="MetaPro-Norm" w:hAnsi="MetaPro-Norm"/>
          <w:b/>
          <w:bCs/>
          <w:iCs/>
        </w:rPr>
        <w:t xml:space="preserve"> 2</w:t>
      </w:r>
      <w:r w:rsidR="00A72938" w:rsidRPr="00213DF1">
        <w:rPr>
          <w:rFonts w:ascii="MetaPro-Norm" w:hAnsi="MetaPro-Norm"/>
          <w:b/>
          <w:bCs/>
          <w:iCs/>
        </w:rPr>
        <w:t>)</w:t>
      </w:r>
    </w:p>
    <w:p w14:paraId="75D1D4CE" w14:textId="77777777" w:rsidR="00373A2A" w:rsidRPr="003072D3" w:rsidRDefault="00373A2A" w:rsidP="00772D79">
      <w:pPr>
        <w:rPr>
          <w:rFonts w:ascii="MetaPro-Norm" w:hAnsi="MetaPro-Norm"/>
          <w:iCs/>
        </w:rPr>
      </w:pPr>
    </w:p>
    <w:p w14:paraId="07D5B79B" w14:textId="70DB527C" w:rsidR="0020669A" w:rsidRDefault="00486528" w:rsidP="00772D79">
      <w:pPr>
        <w:rPr>
          <w:rFonts w:ascii="MetaPro-Norm" w:hAnsi="MetaPro-Norm"/>
          <w:iCs/>
        </w:rPr>
      </w:pPr>
      <w:r>
        <w:rPr>
          <w:rFonts w:ascii="MetaPro-Norm" w:hAnsi="MetaPro-Norm"/>
          <w:iCs/>
        </w:rPr>
        <w:t xml:space="preserve">Government </w:t>
      </w:r>
      <w:r w:rsidR="00373A2A" w:rsidRPr="00EB0859">
        <w:rPr>
          <w:rFonts w:ascii="MetaPro-Norm" w:hAnsi="MetaPro-Norm"/>
          <w:iCs/>
        </w:rPr>
        <w:t xml:space="preserve">authorities have </w:t>
      </w:r>
      <w:r>
        <w:rPr>
          <w:rFonts w:ascii="MetaPro-Norm" w:hAnsi="MetaPro-Norm"/>
          <w:iCs/>
        </w:rPr>
        <w:t xml:space="preserve">consistently </w:t>
      </w:r>
      <w:r w:rsidR="00373A2A" w:rsidRPr="00EB0859">
        <w:rPr>
          <w:rFonts w:ascii="MetaPro-Norm" w:hAnsi="MetaPro-Norm"/>
          <w:iCs/>
        </w:rPr>
        <w:t xml:space="preserve">failed to protect the basic rights of LGBT people. </w:t>
      </w:r>
      <w:r w:rsidR="00373A2A" w:rsidRPr="003072D3">
        <w:rPr>
          <w:rFonts w:ascii="MetaPro-Norm" w:hAnsi="MetaPro-Norm"/>
          <w:iCs/>
        </w:rPr>
        <w:t xml:space="preserve">Human Rights Watch has documented numerous cases of intimidation, humiliation, and arbitrary arrest </w:t>
      </w:r>
      <w:r w:rsidR="00373A2A">
        <w:rPr>
          <w:rFonts w:ascii="MetaPro-Norm" w:hAnsi="MetaPro-Norm"/>
          <w:iCs/>
        </w:rPr>
        <w:t>on the grounds of sexual orientation and gender identity</w:t>
      </w:r>
      <w:r w:rsidR="00373A2A" w:rsidRPr="003072D3">
        <w:rPr>
          <w:rFonts w:ascii="MetaPro-Norm" w:hAnsi="MetaPro-Norm"/>
          <w:iCs/>
        </w:rPr>
        <w:t xml:space="preserve"> since Aceh</w:t>
      </w:r>
      <w:r w:rsidR="006B198D">
        <w:rPr>
          <w:rFonts w:ascii="MetaPro-Norm" w:hAnsi="MetaPro-Norm"/>
          <w:iCs/>
        </w:rPr>
        <w:t xml:space="preserve"> </w:t>
      </w:r>
      <w:r w:rsidR="00373A2A" w:rsidRPr="003072D3">
        <w:rPr>
          <w:rFonts w:ascii="MetaPro-Norm" w:hAnsi="MetaPro-Norm"/>
          <w:iCs/>
        </w:rPr>
        <w:t xml:space="preserve">officially </w:t>
      </w:r>
      <w:r w:rsidR="00926D08">
        <w:rPr>
          <w:rFonts w:ascii="MetaPro-Norm" w:hAnsi="MetaPro-Norm"/>
          <w:iCs/>
        </w:rPr>
        <w:t xml:space="preserve">enforced </w:t>
      </w:r>
      <w:r>
        <w:rPr>
          <w:rFonts w:ascii="MetaPro-Norm" w:hAnsi="MetaPro-Norm"/>
          <w:iCs/>
        </w:rPr>
        <w:t xml:space="preserve">its </w:t>
      </w:r>
      <w:r w:rsidR="006B198D">
        <w:rPr>
          <w:rFonts w:ascii="MetaPro-Norm" w:hAnsi="MetaPro-Norm"/>
          <w:iCs/>
        </w:rPr>
        <w:t xml:space="preserve">Islamic criminal code </w:t>
      </w:r>
      <w:r w:rsidR="00373A2A" w:rsidRPr="003072D3">
        <w:rPr>
          <w:rFonts w:ascii="MetaPro-Norm" w:hAnsi="MetaPro-Norm"/>
          <w:iCs/>
        </w:rPr>
        <w:t xml:space="preserve">in October 2015, which criminalizes </w:t>
      </w:r>
      <w:r w:rsidR="00373A2A" w:rsidRPr="003072D3">
        <w:rPr>
          <w:rFonts w:ascii="MetaPro-Norm" w:hAnsi="MetaPro-Norm"/>
          <w:iCs/>
        </w:rPr>
        <w:lastRenderedPageBreak/>
        <w:t xml:space="preserve">same-sex relations. </w:t>
      </w:r>
      <w:r w:rsidR="0093787B">
        <w:rPr>
          <w:rFonts w:ascii="MetaPro-Norm" w:hAnsi="MetaPro-Norm"/>
          <w:iCs/>
        </w:rPr>
        <w:t>Police have arbitrarily arrested w</w:t>
      </w:r>
      <w:r w:rsidR="00373A2A">
        <w:rPr>
          <w:rFonts w:ascii="MetaPro-Norm" w:hAnsi="MetaPro-Norm"/>
          <w:iCs/>
        </w:rPr>
        <w:t>omen accused of “lesbian deviant behavior”</w:t>
      </w:r>
      <w:r w:rsidR="00682DD3">
        <w:rPr>
          <w:rFonts w:ascii="ZWAdobeF" w:hAnsi="ZWAdobeF" w:cs="ZWAdobeF"/>
          <w:iCs/>
          <w:sz w:val="2"/>
          <w:szCs w:val="2"/>
        </w:rPr>
        <w:t>20F</w:t>
      </w:r>
      <w:r w:rsidR="00CC22AF">
        <w:rPr>
          <w:rStyle w:val="FootnoteReference"/>
          <w:rFonts w:ascii="MetaPro-Norm" w:hAnsi="MetaPro-Norm"/>
          <w:iCs/>
        </w:rPr>
        <w:footnoteReference w:id="21"/>
      </w:r>
      <w:r w:rsidR="00373A2A">
        <w:rPr>
          <w:rFonts w:ascii="MetaPro-Norm" w:hAnsi="MetaPro-Norm"/>
          <w:iCs/>
        </w:rPr>
        <w:t xml:space="preserve"> as well as trans</w:t>
      </w:r>
      <w:r w:rsidR="0093787B">
        <w:rPr>
          <w:rFonts w:ascii="MetaPro-Norm" w:hAnsi="MetaPro-Norm"/>
          <w:iCs/>
        </w:rPr>
        <w:t>gender</w:t>
      </w:r>
      <w:r w:rsidR="00373A2A">
        <w:rPr>
          <w:rFonts w:ascii="MetaPro-Norm" w:hAnsi="MetaPro-Norm"/>
          <w:iCs/>
        </w:rPr>
        <w:t xml:space="preserve"> women</w:t>
      </w:r>
      <w:r w:rsidR="0093787B">
        <w:rPr>
          <w:rFonts w:ascii="MetaPro-Norm" w:hAnsi="MetaPro-Norm"/>
          <w:iCs/>
        </w:rPr>
        <w:t>.</w:t>
      </w:r>
      <w:r w:rsidR="00682DD3">
        <w:rPr>
          <w:rFonts w:ascii="ZWAdobeF" w:hAnsi="ZWAdobeF" w:cs="ZWAdobeF"/>
          <w:iCs/>
          <w:sz w:val="2"/>
          <w:szCs w:val="2"/>
        </w:rPr>
        <w:t>21F</w:t>
      </w:r>
      <w:r w:rsidR="002C32E8">
        <w:rPr>
          <w:rStyle w:val="FootnoteReference"/>
          <w:rFonts w:ascii="MetaPro-Norm" w:hAnsi="MetaPro-Norm"/>
          <w:iCs/>
        </w:rPr>
        <w:footnoteReference w:id="22"/>
      </w:r>
      <w:r w:rsidR="00373A2A">
        <w:rPr>
          <w:rFonts w:ascii="MetaPro-Norm" w:hAnsi="MetaPro-Norm"/>
          <w:iCs/>
        </w:rPr>
        <w:t xml:space="preserve"> </w:t>
      </w:r>
    </w:p>
    <w:p w14:paraId="439B80B6" w14:textId="77777777" w:rsidR="0020669A" w:rsidRDefault="0020669A" w:rsidP="00772D79">
      <w:pPr>
        <w:rPr>
          <w:rFonts w:ascii="MetaPro-Norm" w:hAnsi="MetaPro-Norm"/>
          <w:iCs/>
        </w:rPr>
      </w:pPr>
    </w:p>
    <w:p w14:paraId="38265C29" w14:textId="5A3A39B4" w:rsidR="0093787B" w:rsidRDefault="0020669A" w:rsidP="00772D79">
      <w:pPr>
        <w:rPr>
          <w:rFonts w:ascii="MetaPro-Norm" w:hAnsi="MetaPro-Norm"/>
          <w:iCs/>
        </w:rPr>
      </w:pPr>
      <w:r>
        <w:rPr>
          <w:rFonts w:ascii="MetaPro-Norm" w:hAnsi="MetaPro-Norm"/>
          <w:iCs/>
        </w:rPr>
        <w:t xml:space="preserve">Starting in earnest in 2016, </w:t>
      </w:r>
      <w:r w:rsidR="0093787B">
        <w:rPr>
          <w:rFonts w:ascii="MetaPro-Norm" w:hAnsi="MetaPro-Norm"/>
          <w:iCs/>
        </w:rPr>
        <w:t xml:space="preserve">a government driven </w:t>
      </w:r>
      <w:r w:rsidR="00373A2A" w:rsidRPr="003072D3">
        <w:rPr>
          <w:rFonts w:ascii="MetaPro-Norm" w:hAnsi="MetaPro-Norm"/>
          <w:iCs/>
        </w:rPr>
        <w:t>anti-LGBT campaign intensified when top officials issued anti-LGBT statements.</w:t>
      </w:r>
      <w:r w:rsidR="00373A2A" w:rsidRPr="003072D3">
        <w:rPr>
          <w:rStyle w:val="FootnoteReference"/>
          <w:rFonts w:ascii="MetaPro-Norm" w:hAnsi="MetaPro-Norm"/>
          <w:iCs/>
        </w:rPr>
        <w:t xml:space="preserve"> </w:t>
      </w:r>
      <w:r w:rsidR="00682DD3">
        <w:rPr>
          <w:rFonts w:ascii="ZWAdobeF" w:hAnsi="ZWAdobeF" w:cs="ZWAdobeF"/>
          <w:iCs/>
          <w:sz w:val="2"/>
          <w:szCs w:val="2"/>
        </w:rPr>
        <w:t>22F</w:t>
      </w:r>
      <w:r w:rsidR="00373A2A" w:rsidRPr="003072D3">
        <w:rPr>
          <w:rStyle w:val="FootnoteReference"/>
          <w:rFonts w:ascii="MetaPro-Norm" w:hAnsi="MetaPro-Norm"/>
          <w:iCs/>
        </w:rPr>
        <w:footnoteReference w:id="23"/>
      </w:r>
      <w:r w:rsidR="00373A2A" w:rsidRPr="003072D3">
        <w:rPr>
          <w:rFonts w:ascii="MetaPro-Norm" w:hAnsi="MetaPro-Norm"/>
          <w:iCs/>
        </w:rPr>
        <w:t xml:space="preserve"> </w:t>
      </w:r>
      <w:r w:rsidR="0093787B">
        <w:rPr>
          <w:rFonts w:ascii="MetaPro-Norm" w:hAnsi="MetaPro-Norm"/>
          <w:iCs/>
        </w:rPr>
        <w:t>Indonesian LGBT organizations have documented 45 provincial and municipal ordinances that discriminate based on sexual orientation or gender identity, including 23 that explicitly mention homosexuality, lesbian, and transgender</w:t>
      </w:r>
      <w:r w:rsidR="0093787B" w:rsidRPr="003072D3">
        <w:rPr>
          <w:rFonts w:ascii="MetaPro-Norm" w:hAnsi="MetaPro-Norm"/>
          <w:iCs/>
        </w:rPr>
        <w:t>.</w:t>
      </w:r>
      <w:r w:rsidR="00682DD3">
        <w:rPr>
          <w:rFonts w:ascii="ZWAdobeF" w:hAnsi="ZWAdobeF" w:cs="ZWAdobeF"/>
          <w:iCs/>
          <w:sz w:val="2"/>
          <w:szCs w:val="2"/>
        </w:rPr>
        <w:t>23F</w:t>
      </w:r>
      <w:r w:rsidR="0093787B" w:rsidRPr="003072D3">
        <w:rPr>
          <w:rStyle w:val="FootnoteReference"/>
          <w:rFonts w:ascii="MetaPro-Norm" w:hAnsi="MetaPro-Norm"/>
          <w:iCs/>
        </w:rPr>
        <w:footnoteReference w:id="24"/>
      </w:r>
      <w:r w:rsidR="0093787B">
        <w:rPr>
          <w:rFonts w:ascii="MetaPro-Norm" w:hAnsi="MetaPro-Norm"/>
          <w:iCs/>
        </w:rPr>
        <w:t xml:space="preserve"> </w:t>
      </w:r>
    </w:p>
    <w:p w14:paraId="541614A7" w14:textId="77777777" w:rsidR="00C008F8" w:rsidRDefault="00C008F8" w:rsidP="00772D79">
      <w:pPr>
        <w:rPr>
          <w:rFonts w:ascii="MetaPro-Norm" w:hAnsi="MetaPro-Norm"/>
          <w:iCs/>
        </w:rPr>
      </w:pPr>
    </w:p>
    <w:p w14:paraId="78A3E308" w14:textId="06C49D97" w:rsidR="00373A2A" w:rsidRDefault="00C008F8" w:rsidP="00772D79">
      <w:pPr>
        <w:rPr>
          <w:rFonts w:ascii="MetaPro-Norm" w:hAnsi="MetaPro-Norm"/>
          <w:iCs/>
        </w:rPr>
      </w:pPr>
      <w:r>
        <w:rPr>
          <w:rFonts w:ascii="MetaPro-Norm" w:hAnsi="MetaPro-Norm"/>
          <w:iCs/>
        </w:rPr>
        <w:t>T</w:t>
      </w:r>
      <w:r w:rsidR="00373A2A">
        <w:rPr>
          <w:rFonts w:ascii="MetaPro-Norm" w:hAnsi="MetaPro-Norm"/>
          <w:iCs/>
        </w:rPr>
        <w:t xml:space="preserve">he draft criminal code </w:t>
      </w:r>
      <w:r w:rsidR="00373A2A" w:rsidRPr="000312C5">
        <w:rPr>
          <w:rFonts w:ascii="MetaPro-Norm" w:hAnsi="MetaPro-Norm"/>
          <w:iCs/>
        </w:rPr>
        <w:t>punishes extramarital sex by up to one year in jail</w:t>
      </w:r>
      <w:r w:rsidR="00373A2A">
        <w:rPr>
          <w:rFonts w:ascii="MetaPro-Norm" w:hAnsi="MetaPro-Norm"/>
          <w:iCs/>
        </w:rPr>
        <w:t>, impacting lesbian and bisexual women</w:t>
      </w:r>
      <w:r w:rsidR="00373A2A" w:rsidRPr="000312C5">
        <w:rPr>
          <w:rFonts w:ascii="MetaPro-Norm" w:hAnsi="MetaPro-Norm"/>
          <w:iCs/>
        </w:rPr>
        <w:t>.</w:t>
      </w:r>
      <w:r w:rsidR="0093787B">
        <w:rPr>
          <w:rFonts w:ascii="MetaPro-Norm" w:hAnsi="MetaPro-Norm"/>
          <w:iCs/>
        </w:rPr>
        <w:t xml:space="preserve"> It can also </w:t>
      </w:r>
      <w:r w:rsidR="00470815">
        <w:rPr>
          <w:rFonts w:ascii="MetaPro-Norm" w:hAnsi="MetaPro-Norm"/>
          <w:iCs/>
        </w:rPr>
        <w:t xml:space="preserve">affect </w:t>
      </w:r>
      <w:r w:rsidR="0093787B">
        <w:rPr>
          <w:rFonts w:ascii="MetaPro-Norm" w:hAnsi="MetaPro-Norm"/>
          <w:iCs/>
        </w:rPr>
        <w:t>transgender people, who are legally recognized according to their birth sex because Indonesia lacks a procedure to change legal gender, and therefore not able to legally marry their partners.</w:t>
      </w:r>
      <w:r w:rsidR="00682DD3">
        <w:rPr>
          <w:rFonts w:ascii="ZWAdobeF" w:hAnsi="ZWAdobeF" w:cs="ZWAdobeF"/>
          <w:iCs/>
          <w:sz w:val="2"/>
          <w:szCs w:val="2"/>
        </w:rPr>
        <w:t>24F</w:t>
      </w:r>
      <w:r w:rsidR="00373A2A">
        <w:rPr>
          <w:rStyle w:val="FootnoteReference"/>
          <w:rFonts w:ascii="MetaPro-Norm" w:hAnsi="MetaPro-Norm"/>
          <w:iCs/>
        </w:rPr>
        <w:footnoteReference w:id="25"/>
      </w:r>
    </w:p>
    <w:p w14:paraId="4249B0DA" w14:textId="77777777" w:rsidR="00373A2A" w:rsidRPr="003072D3" w:rsidRDefault="00373A2A" w:rsidP="00772D79">
      <w:pPr>
        <w:rPr>
          <w:rFonts w:ascii="MetaPro-Norm" w:hAnsi="MetaPro-Norm"/>
          <w:iCs/>
        </w:rPr>
      </w:pPr>
    </w:p>
    <w:p w14:paraId="4AB20A49" w14:textId="54B20582" w:rsidR="00373A2A" w:rsidRPr="003072D3" w:rsidRDefault="00373A2A" w:rsidP="00772D79">
      <w:pPr>
        <w:rPr>
          <w:rFonts w:ascii="MetaPro-Norm" w:hAnsi="MetaPro-Norm"/>
          <w:i/>
        </w:rPr>
      </w:pPr>
      <w:r w:rsidRPr="003072D3">
        <w:rPr>
          <w:rFonts w:ascii="MetaPro-Norm" w:hAnsi="MetaPro-Norm"/>
          <w:i/>
        </w:rPr>
        <w:t xml:space="preserve">We encourage the Committee to </w:t>
      </w:r>
      <w:r w:rsidR="0020669A">
        <w:rPr>
          <w:rFonts w:ascii="MetaPro-Norm" w:hAnsi="MetaPro-Norm"/>
          <w:i/>
        </w:rPr>
        <w:t xml:space="preserve">raise </w:t>
      </w:r>
      <w:r w:rsidRPr="003072D3">
        <w:rPr>
          <w:rFonts w:ascii="MetaPro-Norm" w:hAnsi="MetaPro-Norm"/>
          <w:i/>
        </w:rPr>
        <w:t>the following question</w:t>
      </w:r>
      <w:r w:rsidR="00AC5FAD" w:rsidRPr="00AC5FAD">
        <w:rPr>
          <w:rFonts w:ascii="MetaPro-Norm" w:hAnsi="MetaPro-Norm"/>
          <w:i/>
        </w:rPr>
        <w:t xml:space="preserve"> </w:t>
      </w:r>
      <w:r w:rsidR="00AC5FAD">
        <w:rPr>
          <w:rFonts w:ascii="MetaPro-Norm" w:hAnsi="MetaPro-Norm"/>
          <w:i/>
        </w:rPr>
        <w:t>to the Indonesian government</w:t>
      </w:r>
      <w:r w:rsidRPr="003072D3">
        <w:rPr>
          <w:rFonts w:ascii="MetaPro-Norm" w:hAnsi="MetaPro-Norm"/>
          <w:i/>
        </w:rPr>
        <w:t>:</w:t>
      </w:r>
    </w:p>
    <w:p w14:paraId="2B417B0C" w14:textId="77777777" w:rsidR="00373A2A" w:rsidRPr="003072D3" w:rsidRDefault="00373A2A" w:rsidP="00772D79">
      <w:pPr>
        <w:rPr>
          <w:rFonts w:ascii="MetaPro-Norm" w:hAnsi="MetaPro-Norm"/>
          <w:iCs/>
        </w:rPr>
      </w:pPr>
    </w:p>
    <w:p w14:paraId="09543BC4" w14:textId="01DDDBEB" w:rsidR="0093787B" w:rsidRPr="003072D3" w:rsidRDefault="0093787B" w:rsidP="0093787B">
      <w:pPr>
        <w:pStyle w:val="ListParagraph"/>
        <w:numPr>
          <w:ilvl w:val="0"/>
          <w:numId w:val="4"/>
        </w:numPr>
        <w:spacing w:after="0"/>
        <w:rPr>
          <w:rFonts w:ascii="MetaPro-Norm" w:hAnsi="MetaPro-Norm"/>
          <w:iCs/>
          <w:sz w:val="24"/>
          <w:szCs w:val="24"/>
        </w:rPr>
      </w:pPr>
      <w:r>
        <w:rPr>
          <w:rFonts w:ascii="MetaPro-Norm" w:hAnsi="MetaPro-Norm"/>
          <w:iCs/>
          <w:sz w:val="24"/>
          <w:szCs w:val="24"/>
        </w:rPr>
        <w:t>W</w:t>
      </w:r>
      <w:r w:rsidRPr="003072D3">
        <w:rPr>
          <w:rFonts w:ascii="MetaPro-Norm" w:hAnsi="MetaPro-Norm"/>
          <w:iCs/>
          <w:sz w:val="24"/>
          <w:szCs w:val="24"/>
        </w:rPr>
        <w:t xml:space="preserve">ill the government </w:t>
      </w:r>
      <w:r>
        <w:rPr>
          <w:rFonts w:ascii="MetaPro-Norm" w:hAnsi="MetaPro-Norm"/>
          <w:iCs/>
          <w:sz w:val="24"/>
          <w:szCs w:val="24"/>
        </w:rPr>
        <w:t xml:space="preserve">communicate to officials and the public that the government opposes </w:t>
      </w:r>
      <w:r w:rsidRPr="003072D3">
        <w:rPr>
          <w:rFonts w:ascii="MetaPro-Norm" w:hAnsi="MetaPro-Norm"/>
          <w:iCs/>
          <w:sz w:val="24"/>
          <w:szCs w:val="24"/>
        </w:rPr>
        <w:t>criminalizing sex outside of marriage</w:t>
      </w:r>
      <w:r>
        <w:rPr>
          <w:rFonts w:ascii="MetaPro-Norm" w:hAnsi="MetaPro-Norm"/>
          <w:iCs/>
          <w:sz w:val="24"/>
          <w:szCs w:val="24"/>
        </w:rPr>
        <w:t xml:space="preserve"> and </w:t>
      </w:r>
      <w:r w:rsidRPr="003072D3">
        <w:rPr>
          <w:rFonts w:ascii="MetaPro-Norm" w:hAnsi="MetaPro-Norm"/>
          <w:iCs/>
          <w:sz w:val="24"/>
          <w:szCs w:val="24"/>
        </w:rPr>
        <w:t>same-sex conduct</w:t>
      </w:r>
      <w:r>
        <w:rPr>
          <w:rFonts w:ascii="MetaPro-Norm" w:hAnsi="MetaPro-Norm"/>
          <w:iCs/>
          <w:sz w:val="24"/>
          <w:szCs w:val="24"/>
        </w:rPr>
        <w:t>,</w:t>
      </w:r>
      <w:r w:rsidRPr="003072D3">
        <w:rPr>
          <w:rFonts w:ascii="MetaPro-Norm" w:hAnsi="MetaPro-Norm"/>
          <w:iCs/>
          <w:sz w:val="24"/>
          <w:szCs w:val="24"/>
        </w:rPr>
        <w:t xml:space="preserve"> </w:t>
      </w:r>
      <w:r>
        <w:rPr>
          <w:rFonts w:ascii="MetaPro-Norm" w:hAnsi="MetaPro-Norm"/>
          <w:iCs/>
          <w:sz w:val="24"/>
          <w:szCs w:val="24"/>
        </w:rPr>
        <w:t xml:space="preserve">because </w:t>
      </w:r>
      <w:r w:rsidRPr="003072D3">
        <w:rPr>
          <w:rFonts w:ascii="MetaPro-Norm" w:hAnsi="MetaPro-Norm"/>
          <w:iCs/>
          <w:sz w:val="24"/>
          <w:szCs w:val="24"/>
        </w:rPr>
        <w:t>such measures violate the constitution and Indonesia’s international human rights obligations?</w:t>
      </w:r>
      <w:r>
        <w:rPr>
          <w:rFonts w:ascii="MetaPro-Norm" w:hAnsi="MetaPro-Norm"/>
          <w:iCs/>
          <w:sz w:val="24"/>
          <w:szCs w:val="24"/>
        </w:rPr>
        <w:t xml:space="preserve"> </w:t>
      </w:r>
    </w:p>
    <w:p w14:paraId="2FE92244" w14:textId="27759499" w:rsidR="00373A2A" w:rsidRPr="00E24F2C" w:rsidRDefault="00373A2A" w:rsidP="006B198D">
      <w:pPr>
        <w:rPr>
          <w:rFonts w:ascii="MetaPro-Norm" w:hAnsi="MetaPro-Norm"/>
          <w:iCs/>
        </w:rPr>
      </w:pPr>
    </w:p>
    <w:p w14:paraId="7A2EA30E" w14:textId="4CE50D72" w:rsidR="00E24F2C" w:rsidRPr="00E24F2C" w:rsidRDefault="00E24F2C" w:rsidP="00772D79">
      <w:pPr>
        <w:shd w:val="clear" w:color="auto" w:fill="FFFFFF"/>
        <w:rPr>
          <w:rFonts w:ascii="MetaPro-Norm" w:hAnsi="MetaPro-Norm"/>
          <w:b/>
          <w:iCs/>
        </w:rPr>
      </w:pPr>
      <w:r w:rsidRPr="00E24F2C">
        <w:rPr>
          <w:rFonts w:ascii="MetaPro-Norm" w:hAnsi="MetaPro-Norm"/>
          <w:b/>
          <w:iCs/>
        </w:rPr>
        <w:t>Protection of Education During Armed Conflict (Article 10)</w:t>
      </w:r>
    </w:p>
    <w:p w14:paraId="0A419B85" w14:textId="4CA1ED43" w:rsidR="00E24F2C" w:rsidRDefault="00E24F2C" w:rsidP="00772D79">
      <w:pPr>
        <w:shd w:val="clear" w:color="auto" w:fill="FFFFFF"/>
        <w:rPr>
          <w:rFonts w:ascii="MetaPro-Norm" w:hAnsi="MetaPro-Norm"/>
          <w:b/>
          <w:iCs/>
        </w:rPr>
      </w:pPr>
    </w:p>
    <w:p w14:paraId="387F3B40" w14:textId="4E1FF509" w:rsidR="008B0F51" w:rsidRDefault="008B0F51" w:rsidP="008B0F51">
      <w:pPr>
        <w:shd w:val="clear" w:color="auto" w:fill="FFFFFF"/>
        <w:rPr>
          <w:rFonts w:ascii="MetaPro-Norm" w:hAnsi="MetaPro-Norm"/>
          <w:bCs/>
          <w:iCs/>
          <w:color w:val="000000" w:themeColor="text1"/>
          <w:lang w:eastAsia="en-GB"/>
        </w:rPr>
      </w:pPr>
      <w:r w:rsidRPr="00797EDC">
        <w:rPr>
          <w:rFonts w:ascii="MetaPro-Norm" w:hAnsi="MetaPro-Norm"/>
          <w:bCs/>
          <w:iCs/>
          <w:color w:val="000000" w:themeColor="text1"/>
          <w:lang w:eastAsia="en-GB"/>
        </w:rPr>
        <w:t>Indonesian schools were closed for more than 41 weeks due to Covid-1</w:t>
      </w:r>
      <w:r w:rsidR="00051A57">
        <w:rPr>
          <w:rFonts w:ascii="MetaPro-Norm" w:hAnsi="MetaPro-Norm"/>
          <w:bCs/>
          <w:iCs/>
          <w:color w:val="000000" w:themeColor="text1"/>
          <w:lang w:eastAsia="en-GB"/>
        </w:rPr>
        <w:t>9</w:t>
      </w:r>
      <w:r w:rsidRPr="00797EDC">
        <w:rPr>
          <w:rFonts w:ascii="MetaPro-Norm" w:hAnsi="MetaPro-Norm"/>
          <w:bCs/>
          <w:iCs/>
          <w:color w:val="000000" w:themeColor="text1"/>
          <w:lang w:eastAsia="en-GB"/>
        </w:rPr>
        <w:t xml:space="preserve">, according to </w:t>
      </w:r>
      <w:r w:rsidRPr="008B0F51">
        <w:rPr>
          <w:rFonts w:ascii="MetaPro-Norm" w:hAnsi="MetaPro-Norm"/>
          <w:bCs/>
          <w:iCs/>
          <w:color w:val="000000" w:themeColor="text1"/>
          <w:lang w:eastAsia="en-GB"/>
        </w:rPr>
        <w:t>UNESCO</w:t>
      </w:r>
      <w:r w:rsidRPr="00797EDC">
        <w:rPr>
          <w:rFonts w:ascii="MetaPro-Norm" w:hAnsi="MetaPro-Norm"/>
          <w:bCs/>
          <w:iCs/>
          <w:color w:val="000000" w:themeColor="text1"/>
          <w:lang w:eastAsia="en-GB"/>
        </w:rPr>
        <w:t>.</w:t>
      </w:r>
      <w:r w:rsidR="00682DD3">
        <w:rPr>
          <w:rFonts w:ascii="ZWAdobeF" w:hAnsi="ZWAdobeF" w:cs="ZWAdobeF"/>
          <w:bCs/>
          <w:iCs/>
          <w:sz w:val="2"/>
          <w:szCs w:val="2"/>
          <w:lang w:eastAsia="en-GB"/>
        </w:rPr>
        <w:t>25F</w:t>
      </w:r>
      <w:r>
        <w:rPr>
          <w:rStyle w:val="FootnoteReference"/>
          <w:rFonts w:ascii="MetaPro-Norm" w:hAnsi="MetaPro-Norm"/>
          <w:bCs/>
          <w:iCs/>
          <w:color w:val="000000" w:themeColor="text1"/>
          <w:lang w:eastAsia="en-GB"/>
        </w:rPr>
        <w:footnoteReference w:id="26"/>
      </w:r>
      <w:r w:rsidRPr="00797EDC">
        <w:rPr>
          <w:rFonts w:ascii="MetaPro-Norm" w:hAnsi="MetaPro-Norm"/>
          <w:bCs/>
          <w:iCs/>
          <w:color w:val="000000" w:themeColor="text1"/>
          <w:lang w:eastAsia="en-GB"/>
        </w:rPr>
        <w:t xml:space="preserve"> </w:t>
      </w:r>
      <w:r>
        <w:rPr>
          <w:rFonts w:ascii="MetaPro-Norm" w:hAnsi="MetaPro-Norm"/>
          <w:bCs/>
          <w:iCs/>
          <w:color w:val="000000" w:themeColor="text1"/>
          <w:lang w:eastAsia="en-GB"/>
        </w:rPr>
        <w:t xml:space="preserve">Our </w:t>
      </w:r>
      <w:r w:rsidRPr="008B0F51">
        <w:rPr>
          <w:rFonts w:ascii="MetaPro-Norm" w:hAnsi="MetaPro-Norm"/>
          <w:bCs/>
          <w:iCs/>
          <w:color w:val="000000" w:themeColor="text1"/>
          <w:lang w:eastAsia="en-GB"/>
        </w:rPr>
        <w:t>May 2021</w:t>
      </w:r>
      <w:r w:rsidRPr="00AD26D3">
        <w:rPr>
          <w:color w:val="000000" w:themeColor="text1"/>
        </w:rPr>
        <w:t xml:space="preserve"> report</w:t>
      </w:r>
      <w:r w:rsidRPr="00797EDC">
        <w:rPr>
          <w:rFonts w:ascii="MetaPro-Norm" w:hAnsi="MetaPro-Norm"/>
          <w:bCs/>
          <w:iCs/>
          <w:color w:val="000000" w:themeColor="text1"/>
          <w:lang w:eastAsia="en-GB"/>
        </w:rPr>
        <w:t xml:space="preserve"> on education during Covid</w:t>
      </w:r>
      <w:r w:rsidR="00051A57">
        <w:rPr>
          <w:rFonts w:ascii="MetaPro-Norm" w:hAnsi="MetaPro-Norm"/>
          <w:bCs/>
          <w:iCs/>
          <w:color w:val="000000" w:themeColor="text1"/>
          <w:lang w:eastAsia="en-GB"/>
        </w:rPr>
        <w:t>-19</w:t>
      </w:r>
      <w:r w:rsidRPr="00797EDC">
        <w:rPr>
          <w:rFonts w:ascii="MetaPro-Norm" w:hAnsi="MetaPro-Norm"/>
          <w:bCs/>
          <w:iCs/>
          <w:color w:val="000000" w:themeColor="text1"/>
          <w:lang w:eastAsia="en-GB"/>
        </w:rPr>
        <w:t xml:space="preserve"> found that girls were particularly affected as they were more likely to be expected to do housework, less likely </w:t>
      </w:r>
      <w:r w:rsidRPr="00797EDC">
        <w:rPr>
          <w:rFonts w:ascii="MetaPro-Norm" w:hAnsi="MetaPro-Norm"/>
          <w:bCs/>
          <w:iCs/>
          <w:color w:val="000000" w:themeColor="text1"/>
          <w:lang w:eastAsia="en-GB"/>
        </w:rPr>
        <w:lastRenderedPageBreak/>
        <w:t>to have access to the internet than boys, and at risk of child marriage and gender-based violence.</w:t>
      </w:r>
      <w:r w:rsidR="00682DD3">
        <w:rPr>
          <w:rFonts w:ascii="ZWAdobeF" w:hAnsi="ZWAdobeF" w:cs="ZWAdobeF"/>
          <w:bCs/>
          <w:iCs/>
          <w:sz w:val="2"/>
          <w:szCs w:val="2"/>
          <w:lang w:eastAsia="en-GB"/>
        </w:rPr>
        <w:t>26F</w:t>
      </w:r>
      <w:r>
        <w:rPr>
          <w:rStyle w:val="FootnoteReference"/>
          <w:rFonts w:ascii="MetaPro-Norm" w:hAnsi="MetaPro-Norm"/>
          <w:bCs/>
          <w:iCs/>
          <w:color w:val="000000" w:themeColor="text1"/>
          <w:lang w:eastAsia="en-GB"/>
        </w:rPr>
        <w:footnoteReference w:id="27"/>
      </w:r>
      <w:r w:rsidRPr="00797EDC">
        <w:rPr>
          <w:rFonts w:ascii="MetaPro-Norm" w:hAnsi="MetaPro-Norm"/>
          <w:bCs/>
          <w:iCs/>
          <w:color w:val="000000" w:themeColor="text1"/>
          <w:lang w:eastAsia="en-GB"/>
        </w:rPr>
        <w:t xml:space="preserve"> </w:t>
      </w:r>
    </w:p>
    <w:p w14:paraId="3D9C83F6" w14:textId="77777777" w:rsidR="008B0F51" w:rsidRPr="00E24F2C" w:rsidRDefault="008B0F51" w:rsidP="00772D79">
      <w:pPr>
        <w:shd w:val="clear" w:color="auto" w:fill="FFFFFF"/>
        <w:rPr>
          <w:rFonts w:ascii="MetaPro-Norm" w:hAnsi="MetaPro-Norm"/>
          <w:b/>
          <w:iCs/>
        </w:rPr>
      </w:pPr>
    </w:p>
    <w:p w14:paraId="6A325A8E" w14:textId="3B08468B" w:rsidR="00E24F2C" w:rsidRPr="00E24F2C" w:rsidRDefault="00E24F2C" w:rsidP="00772D79">
      <w:pPr>
        <w:shd w:val="clear" w:color="auto" w:fill="FFFFFF"/>
        <w:rPr>
          <w:rFonts w:ascii="MetaPro-Norm" w:hAnsi="MetaPro-Norm"/>
          <w:bCs/>
          <w:iCs/>
          <w:color w:val="000000" w:themeColor="text1"/>
          <w:lang w:eastAsia="en-GB"/>
        </w:rPr>
      </w:pPr>
      <w:r w:rsidRPr="00E24F2C">
        <w:rPr>
          <w:rFonts w:ascii="MetaPro-Norm" w:hAnsi="MetaPro-Norm"/>
          <w:bCs/>
          <w:iCs/>
          <w:color w:val="000000" w:themeColor="text1"/>
          <w:lang w:eastAsia="en-GB"/>
        </w:rPr>
        <w:t xml:space="preserve">Ongoing clashes between the </w:t>
      </w:r>
      <w:r>
        <w:rPr>
          <w:rFonts w:ascii="MetaPro-Norm" w:hAnsi="MetaPro-Norm"/>
          <w:bCs/>
          <w:iCs/>
          <w:color w:val="000000" w:themeColor="text1"/>
          <w:lang w:eastAsia="en-GB"/>
        </w:rPr>
        <w:t xml:space="preserve">Indonesian security forces </w:t>
      </w:r>
      <w:r w:rsidRPr="00E24F2C">
        <w:rPr>
          <w:rFonts w:ascii="MetaPro-Norm" w:hAnsi="MetaPro-Norm"/>
          <w:bCs/>
          <w:iCs/>
          <w:color w:val="000000" w:themeColor="text1"/>
          <w:lang w:eastAsia="en-GB"/>
        </w:rPr>
        <w:t xml:space="preserve">and </w:t>
      </w:r>
      <w:r>
        <w:rPr>
          <w:rFonts w:ascii="MetaPro-Norm" w:hAnsi="MetaPro-Norm"/>
          <w:bCs/>
          <w:iCs/>
          <w:color w:val="000000" w:themeColor="text1"/>
          <w:lang w:eastAsia="en-GB"/>
        </w:rPr>
        <w:t xml:space="preserve">Papuan militants </w:t>
      </w:r>
      <w:r w:rsidRPr="00E24F2C">
        <w:rPr>
          <w:rFonts w:ascii="MetaPro-Norm" w:hAnsi="MetaPro-Norm"/>
          <w:bCs/>
          <w:iCs/>
          <w:color w:val="000000" w:themeColor="text1"/>
          <w:lang w:eastAsia="en-GB"/>
        </w:rPr>
        <w:t xml:space="preserve">in the insurgency in West Papua </w:t>
      </w:r>
      <w:r>
        <w:rPr>
          <w:rFonts w:ascii="MetaPro-Norm" w:hAnsi="MetaPro-Norm"/>
          <w:bCs/>
          <w:iCs/>
          <w:color w:val="000000" w:themeColor="text1"/>
          <w:lang w:eastAsia="en-GB"/>
        </w:rPr>
        <w:t xml:space="preserve">and Papua provinces </w:t>
      </w:r>
      <w:r w:rsidRPr="00E24F2C">
        <w:rPr>
          <w:rFonts w:ascii="MetaPro-Norm" w:hAnsi="MetaPro-Norm"/>
          <w:bCs/>
          <w:iCs/>
          <w:color w:val="000000" w:themeColor="text1"/>
          <w:lang w:eastAsia="en-GB"/>
        </w:rPr>
        <w:t>ha</w:t>
      </w:r>
      <w:r w:rsidR="008B0F51">
        <w:rPr>
          <w:rFonts w:ascii="MetaPro-Norm" w:hAnsi="MetaPro-Norm"/>
          <w:bCs/>
          <w:iCs/>
          <w:color w:val="000000" w:themeColor="text1"/>
          <w:lang w:eastAsia="en-GB"/>
        </w:rPr>
        <w:t>ve</w:t>
      </w:r>
      <w:r w:rsidRPr="00E24F2C">
        <w:rPr>
          <w:rFonts w:ascii="MetaPro-Norm" w:hAnsi="MetaPro-Norm"/>
          <w:bCs/>
          <w:iCs/>
          <w:color w:val="000000" w:themeColor="text1"/>
          <w:lang w:eastAsia="en-GB"/>
        </w:rPr>
        <w:t xml:space="preserve"> had an adverse effect on education. </w:t>
      </w:r>
      <w:r>
        <w:rPr>
          <w:rFonts w:ascii="MetaPro-Norm" w:hAnsi="MetaPro-Norm"/>
          <w:bCs/>
          <w:iCs/>
          <w:color w:val="000000" w:themeColor="text1"/>
          <w:lang w:eastAsia="en-GB"/>
        </w:rPr>
        <w:t>Fifteen o</w:t>
      </w:r>
      <w:r w:rsidRPr="00E24F2C">
        <w:rPr>
          <w:rFonts w:ascii="MetaPro-Norm" w:hAnsi="MetaPro-Norm"/>
          <w:bCs/>
          <w:iCs/>
          <w:color w:val="000000" w:themeColor="text1"/>
          <w:lang w:eastAsia="en-GB"/>
        </w:rPr>
        <w:t>f the 16 schools in Nduga</w:t>
      </w:r>
      <w:r>
        <w:rPr>
          <w:rFonts w:ascii="MetaPro-Norm" w:hAnsi="MetaPro-Norm"/>
          <w:bCs/>
          <w:iCs/>
          <w:color w:val="000000" w:themeColor="text1"/>
          <w:lang w:eastAsia="en-GB"/>
        </w:rPr>
        <w:t xml:space="preserve"> regency </w:t>
      </w:r>
      <w:r w:rsidRPr="00E24F2C">
        <w:rPr>
          <w:rFonts w:ascii="MetaPro-Norm" w:hAnsi="MetaPro-Norm"/>
          <w:bCs/>
          <w:iCs/>
          <w:color w:val="000000" w:themeColor="text1"/>
          <w:lang w:eastAsia="en-GB"/>
        </w:rPr>
        <w:t>were closed as of April 2019.</w:t>
      </w:r>
      <w:r w:rsidR="00682DD3">
        <w:rPr>
          <w:rFonts w:ascii="ZWAdobeF" w:hAnsi="ZWAdobeF" w:cs="ZWAdobeF"/>
          <w:bCs/>
          <w:iCs/>
          <w:sz w:val="2"/>
          <w:szCs w:val="2"/>
          <w:lang w:eastAsia="en-GB"/>
        </w:rPr>
        <w:t>27F</w:t>
      </w:r>
      <w:r w:rsidRPr="00E24F2C">
        <w:rPr>
          <w:rStyle w:val="FootnoteReference"/>
          <w:bCs/>
          <w:iCs/>
          <w:color w:val="000000" w:themeColor="text1"/>
          <w:lang w:eastAsia="en-GB"/>
        </w:rPr>
        <w:footnoteReference w:id="28"/>
      </w:r>
      <w:r w:rsidRPr="00E24F2C">
        <w:rPr>
          <w:rFonts w:ascii="MetaPro-Norm" w:hAnsi="MetaPro-Norm"/>
          <w:bCs/>
          <w:iCs/>
          <w:color w:val="000000" w:themeColor="text1"/>
          <w:lang w:eastAsia="en-GB"/>
        </w:rPr>
        <w:t xml:space="preserve"> </w:t>
      </w:r>
    </w:p>
    <w:p w14:paraId="28C8DDEB" w14:textId="77777777" w:rsidR="00E24F2C" w:rsidRPr="00E24F2C" w:rsidRDefault="00E24F2C" w:rsidP="00772D79">
      <w:pPr>
        <w:shd w:val="clear" w:color="auto" w:fill="FFFFFF"/>
        <w:rPr>
          <w:rFonts w:ascii="MetaPro-Norm" w:hAnsi="MetaPro-Norm"/>
          <w:bCs/>
          <w:iCs/>
          <w:color w:val="000000" w:themeColor="text1"/>
          <w:lang w:eastAsia="en-GB"/>
        </w:rPr>
      </w:pPr>
    </w:p>
    <w:p w14:paraId="3CF63C2A" w14:textId="47870808" w:rsidR="00E24F2C" w:rsidRPr="00E24F2C" w:rsidRDefault="006B198D" w:rsidP="00772D79">
      <w:pPr>
        <w:shd w:val="clear" w:color="auto" w:fill="FFFFFF"/>
        <w:rPr>
          <w:rFonts w:ascii="MetaPro-Norm" w:hAnsi="MetaPro-Norm"/>
          <w:bCs/>
          <w:iCs/>
          <w:color w:val="000000" w:themeColor="text1"/>
          <w:lang w:eastAsia="en-GB"/>
        </w:rPr>
      </w:pPr>
      <w:r>
        <w:rPr>
          <w:rFonts w:ascii="MetaPro-Norm" w:hAnsi="MetaPro-Norm"/>
          <w:color w:val="000000" w:themeColor="text1"/>
        </w:rPr>
        <w:t>A</w:t>
      </w:r>
      <w:r w:rsidR="00E24F2C" w:rsidRPr="00E24F2C">
        <w:rPr>
          <w:rFonts w:ascii="MetaPro-Norm" w:hAnsi="MetaPro-Norm"/>
          <w:color w:val="000000" w:themeColor="text1"/>
        </w:rPr>
        <w:t xml:space="preserve">ttacks on students and schools, and the use of schools for military purposes, disproportionately affect girls, who are sometimes the focus of targeted attacks and are more likely to be kept </w:t>
      </w:r>
      <w:r w:rsidR="008D0526">
        <w:rPr>
          <w:rFonts w:ascii="MetaPro-Norm" w:hAnsi="MetaPro-Norm"/>
          <w:color w:val="000000" w:themeColor="text1"/>
        </w:rPr>
        <w:t xml:space="preserve">by parents </w:t>
      </w:r>
      <w:r w:rsidR="00E24F2C" w:rsidRPr="00E24F2C">
        <w:rPr>
          <w:rFonts w:ascii="MetaPro-Norm" w:hAnsi="MetaPro-Norm"/>
          <w:color w:val="000000" w:themeColor="text1"/>
        </w:rPr>
        <w:t>out of school due to security concerns.</w:t>
      </w:r>
      <w:r w:rsidR="00682DD3">
        <w:rPr>
          <w:rFonts w:ascii="ZWAdobeF" w:hAnsi="ZWAdobeF" w:cs="ZWAdobeF"/>
          <w:sz w:val="2"/>
          <w:szCs w:val="2"/>
        </w:rPr>
        <w:t>28F</w:t>
      </w:r>
      <w:r w:rsidR="00E24F2C" w:rsidRPr="00E24F2C">
        <w:rPr>
          <w:rStyle w:val="FootnoteReference"/>
          <w:rFonts w:eastAsia="SimSun"/>
          <w:color w:val="000000" w:themeColor="text1"/>
        </w:rPr>
        <w:footnoteReference w:id="29"/>
      </w:r>
    </w:p>
    <w:p w14:paraId="1B7F2668" w14:textId="77777777" w:rsidR="00E24F2C" w:rsidRPr="00E24F2C" w:rsidRDefault="00E24F2C" w:rsidP="00772D79">
      <w:pPr>
        <w:rPr>
          <w:rFonts w:ascii="MetaPro-Norm" w:hAnsi="MetaPro-Norm"/>
          <w:color w:val="000000" w:themeColor="text1"/>
          <w:lang w:val="en-GB"/>
        </w:rPr>
      </w:pPr>
    </w:p>
    <w:p w14:paraId="77F12185" w14:textId="224BE3F7" w:rsidR="00E24F2C" w:rsidRPr="00E24F2C" w:rsidRDefault="00E24F2C" w:rsidP="00772D79">
      <w:pPr>
        <w:rPr>
          <w:rFonts w:ascii="MetaPro-Norm" w:hAnsi="MetaPro-Norm"/>
          <w:color w:val="000000" w:themeColor="text1"/>
        </w:rPr>
      </w:pPr>
      <w:r w:rsidRPr="00E24F2C">
        <w:rPr>
          <w:rFonts w:ascii="MetaPro-Norm" w:hAnsi="MetaPro-Norm"/>
          <w:color w:val="000000" w:themeColor="text1"/>
        </w:rPr>
        <w:t>As of April 2020, Indonesia was contributing 2,847 troops to UN peacekeeping operations around the world. Such troops are required to comply with the UN Department of Peacekeeping Operations “UN Infantry Battalion Manual” (2012), which includes the provision that “schools shall not be used by the military in their operations.”</w:t>
      </w:r>
      <w:r w:rsidR="00682DD3">
        <w:rPr>
          <w:rFonts w:ascii="ZWAdobeF" w:hAnsi="ZWAdobeF" w:cs="ZWAdobeF"/>
          <w:sz w:val="2"/>
          <w:szCs w:val="2"/>
        </w:rPr>
        <w:t>29F</w:t>
      </w:r>
      <w:r w:rsidRPr="00E24F2C">
        <w:rPr>
          <w:rStyle w:val="FootnoteReference"/>
          <w:rFonts w:eastAsia="SimSun"/>
          <w:color w:val="000000" w:themeColor="text1"/>
        </w:rPr>
        <w:footnoteReference w:id="30"/>
      </w:r>
      <w:r w:rsidRPr="00E24F2C">
        <w:rPr>
          <w:rFonts w:ascii="MetaPro-Norm" w:hAnsi="MetaPro-Norm"/>
          <w:color w:val="000000" w:themeColor="text1"/>
        </w:rPr>
        <w:t xml:space="preserve"> </w:t>
      </w:r>
    </w:p>
    <w:p w14:paraId="789FDEED" w14:textId="77777777" w:rsidR="00E24F2C" w:rsidRPr="00E24F2C" w:rsidRDefault="00E24F2C" w:rsidP="00772D79">
      <w:pPr>
        <w:rPr>
          <w:rFonts w:ascii="MetaPro-Norm" w:hAnsi="MetaPro-Norm"/>
          <w:color w:val="000000" w:themeColor="text1"/>
        </w:rPr>
      </w:pPr>
    </w:p>
    <w:p w14:paraId="283834CB" w14:textId="2F0D1255" w:rsidR="00E24F2C" w:rsidRPr="00E24F2C" w:rsidRDefault="00E24F2C" w:rsidP="00772D79">
      <w:pPr>
        <w:rPr>
          <w:rFonts w:ascii="MetaPro-Norm" w:hAnsi="MetaPro-Norm"/>
          <w:color w:val="000000" w:themeColor="text1"/>
        </w:rPr>
      </w:pPr>
      <w:r w:rsidRPr="00E24F2C">
        <w:rPr>
          <w:rFonts w:ascii="MetaPro-Norm" w:hAnsi="MetaPro-Norm"/>
          <w:color w:val="000000" w:themeColor="text1"/>
        </w:rPr>
        <w:t>The Safe Schools Declaration is an inter-governmental political commitment that provides countries the opportunity to express political support for the protection of students, teachers, and schools during times of armed conflict</w:t>
      </w:r>
      <w:r w:rsidR="00682DD3">
        <w:rPr>
          <w:rFonts w:ascii="ZWAdobeF" w:hAnsi="ZWAdobeF" w:cs="ZWAdobeF"/>
          <w:sz w:val="2"/>
          <w:szCs w:val="2"/>
        </w:rPr>
        <w:t>30F</w:t>
      </w:r>
      <w:r w:rsidRPr="00E24F2C">
        <w:rPr>
          <w:rStyle w:val="FootnoteReference"/>
          <w:rFonts w:eastAsia="SimSun"/>
          <w:color w:val="000000" w:themeColor="text1"/>
        </w:rPr>
        <w:footnoteReference w:id="31"/>
      </w:r>
      <w:r w:rsidR="00051A57">
        <w:rPr>
          <w:rFonts w:ascii="MetaPro-Norm" w:hAnsi="MetaPro-Norm"/>
          <w:color w:val="000000" w:themeColor="text1"/>
        </w:rPr>
        <w:t>;</w:t>
      </w:r>
      <w:r w:rsidRPr="00E24F2C">
        <w:rPr>
          <w:rFonts w:ascii="MetaPro-Norm" w:hAnsi="MetaPro-Norm"/>
          <w:color w:val="000000" w:themeColor="text1"/>
        </w:rPr>
        <w:t xml:space="preserve"> the importance of the continuation of education during armed conflict; and the implementation of the </w:t>
      </w:r>
      <w:r w:rsidRPr="00E24F2C">
        <w:rPr>
          <w:rFonts w:ascii="MetaPro-Norm" w:hAnsi="MetaPro-Norm"/>
          <w:i/>
          <w:color w:val="000000" w:themeColor="text1"/>
        </w:rPr>
        <w:t>Guidelines for Protecting Schools and Universities from Military Use during Armed Conflict.</w:t>
      </w:r>
      <w:r w:rsidR="00682DD3">
        <w:rPr>
          <w:rFonts w:ascii="ZWAdobeF" w:hAnsi="ZWAdobeF" w:cs="ZWAdobeF"/>
          <w:sz w:val="2"/>
          <w:szCs w:val="2"/>
        </w:rPr>
        <w:t>31F</w:t>
      </w:r>
      <w:r w:rsidRPr="00E24F2C">
        <w:rPr>
          <w:rStyle w:val="FootnoteReference"/>
          <w:rFonts w:eastAsia="SimSun"/>
        </w:rPr>
        <w:footnoteReference w:id="32"/>
      </w:r>
      <w:r w:rsidRPr="00E24F2C">
        <w:rPr>
          <w:rFonts w:ascii="MetaPro-Norm" w:hAnsi="MetaPro-Norm"/>
          <w:color w:val="000000" w:themeColor="text1"/>
        </w:rPr>
        <w:t xml:space="preserve"> Indonesia </w:t>
      </w:r>
      <w:r w:rsidR="00AC5FAD">
        <w:rPr>
          <w:rFonts w:ascii="MetaPro-Norm" w:hAnsi="MetaPro-Norm"/>
          <w:color w:val="000000" w:themeColor="text1"/>
        </w:rPr>
        <w:t xml:space="preserve">has </w:t>
      </w:r>
      <w:r w:rsidR="008D0526">
        <w:rPr>
          <w:rFonts w:ascii="MetaPro-Norm" w:hAnsi="MetaPro-Norm"/>
          <w:color w:val="000000" w:themeColor="text1"/>
        </w:rPr>
        <w:t xml:space="preserve">unfortunately </w:t>
      </w:r>
      <w:r w:rsidR="00AC5FAD">
        <w:rPr>
          <w:rFonts w:ascii="MetaPro-Norm" w:hAnsi="MetaPro-Norm"/>
          <w:color w:val="000000" w:themeColor="text1"/>
        </w:rPr>
        <w:t>not</w:t>
      </w:r>
      <w:r w:rsidRPr="00E24F2C">
        <w:rPr>
          <w:rFonts w:ascii="MetaPro-Norm" w:hAnsi="MetaPro-Norm"/>
          <w:color w:val="000000" w:themeColor="text1"/>
        </w:rPr>
        <w:t xml:space="preserve"> endorse</w:t>
      </w:r>
      <w:r w:rsidR="00AC5FAD">
        <w:rPr>
          <w:rFonts w:ascii="MetaPro-Norm" w:hAnsi="MetaPro-Norm"/>
          <w:color w:val="000000" w:themeColor="text1"/>
        </w:rPr>
        <w:t>d</w:t>
      </w:r>
      <w:r w:rsidRPr="00E24F2C">
        <w:rPr>
          <w:rFonts w:ascii="MetaPro-Norm" w:hAnsi="MetaPro-Norm"/>
          <w:color w:val="000000" w:themeColor="text1"/>
        </w:rPr>
        <w:t xml:space="preserve"> this important declaration.</w:t>
      </w:r>
    </w:p>
    <w:p w14:paraId="0F4E0B9E" w14:textId="77777777" w:rsidR="00E24F2C" w:rsidRPr="00E24F2C" w:rsidRDefault="00E24F2C" w:rsidP="00772D79">
      <w:pPr>
        <w:rPr>
          <w:rFonts w:ascii="MetaPro-Norm" w:hAnsi="MetaPro-Norm"/>
          <w:i/>
        </w:rPr>
      </w:pPr>
    </w:p>
    <w:p w14:paraId="402064E5" w14:textId="3342F56B" w:rsidR="00E24F2C" w:rsidRPr="00E24F2C" w:rsidRDefault="00A72938" w:rsidP="00772D79">
      <w:pPr>
        <w:rPr>
          <w:rFonts w:ascii="MetaPro-Norm" w:hAnsi="MetaPro-Norm"/>
          <w:i/>
        </w:rPr>
      </w:pPr>
      <w:r>
        <w:rPr>
          <w:rFonts w:ascii="MetaPro-Norm" w:hAnsi="MetaPro-Norm"/>
          <w:i/>
        </w:rPr>
        <w:lastRenderedPageBreak/>
        <w:t>We encourage the</w:t>
      </w:r>
      <w:r w:rsidR="00E24F2C" w:rsidRPr="00E24F2C">
        <w:rPr>
          <w:rFonts w:ascii="MetaPro-Norm" w:hAnsi="MetaPro-Norm"/>
          <w:i/>
        </w:rPr>
        <w:t xml:space="preserve"> Committee </w:t>
      </w:r>
      <w:r>
        <w:rPr>
          <w:rFonts w:ascii="MetaPro-Norm" w:hAnsi="MetaPro-Norm"/>
          <w:i/>
        </w:rPr>
        <w:t>to pose the following questions</w:t>
      </w:r>
      <w:r w:rsidR="00AC5FAD" w:rsidRPr="00AC5FAD">
        <w:rPr>
          <w:rFonts w:ascii="MetaPro-Norm" w:hAnsi="MetaPro-Norm"/>
          <w:i/>
        </w:rPr>
        <w:t xml:space="preserve"> </w:t>
      </w:r>
      <w:r w:rsidR="00AC5FAD">
        <w:rPr>
          <w:rFonts w:ascii="MetaPro-Norm" w:hAnsi="MetaPro-Norm"/>
          <w:i/>
        </w:rPr>
        <w:t>to the Indonesian government</w:t>
      </w:r>
      <w:r w:rsidR="00E24F2C" w:rsidRPr="00E24F2C">
        <w:rPr>
          <w:rFonts w:ascii="MetaPro-Norm" w:hAnsi="MetaPro-Norm"/>
          <w:i/>
        </w:rPr>
        <w:t>:</w:t>
      </w:r>
    </w:p>
    <w:p w14:paraId="35CB7D62" w14:textId="77777777" w:rsidR="00E24F2C" w:rsidRPr="00E24F2C" w:rsidRDefault="00E24F2C" w:rsidP="00772D79">
      <w:pPr>
        <w:rPr>
          <w:rFonts w:ascii="MetaPro-Norm" w:hAnsi="MetaPro-Norm"/>
          <w:i/>
        </w:rPr>
      </w:pPr>
    </w:p>
    <w:p w14:paraId="20148A94" w14:textId="632835AD" w:rsidR="005C5114" w:rsidRPr="005C5114" w:rsidRDefault="00E24F2C" w:rsidP="00772D79">
      <w:pPr>
        <w:pStyle w:val="ListParagraph"/>
        <w:numPr>
          <w:ilvl w:val="0"/>
          <w:numId w:val="5"/>
        </w:numPr>
        <w:spacing w:after="0" w:line="240" w:lineRule="auto"/>
        <w:rPr>
          <w:rFonts w:ascii="MetaPro-Norm" w:hAnsi="MetaPro-Norm"/>
          <w:i/>
          <w:sz w:val="24"/>
          <w:szCs w:val="24"/>
        </w:rPr>
      </w:pPr>
      <w:r w:rsidRPr="00E24F2C">
        <w:rPr>
          <w:rFonts w:ascii="MetaPro-Norm" w:hAnsi="MetaPro-Norm"/>
          <w:sz w:val="24"/>
          <w:szCs w:val="24"/>
        </w:rPr>
        <w:t>Do any Indonesian laws</w:t>
      </w:r>
      <w:r w:rsidR="005C5114">
        <w:rPr>
          <w:rFonts w:ascii="MetaPro-Norm" w:hAnsi="MetaPro-Norm"/>
          <w:sz w:val="24"/>
          <w:szCs w:val="24"/>
        </w:rPr>
        <w:t xml:space="preserve"> or </w:t>
      </w:r>
      <w:r w:rsidRPr="00E24F2C">
        <w:rPr>
          <w:rFonts w:ascii="MetaPro-Norm" w:hAnsi="MetaPro-Norm"/>
          <w:sz w:val="24"/>
          <w:szCs w:val="24"/>
        </w:rPr>
        <w:t xml:space="preserve">policies provide explicit protection for schools and universities from military use during armed conflict? </w:t>
      </w:r>
    </w:p>
    <w:p w14:paraId="444F1890" w14:textId="51253C26" w:rsidR="00E24F2C" w:rsidRPr="00E24F2C" w:rsidRDefault="005C5114" w:rsidP="00772D79">
      <w:pPr>
        <w:pStyle w:val="ListParagraph"/>
        <w:numPr>
          <w:ilvl w:val="0"/>
          <w:numId w:val="5"/>
        </w:numPr>
        <w:spacing w:after="0" w:line="240" w:lineRule="auto"/>
        <w:rPr>
          <w:rFonts w:ascii="MetaPro-Norm" w:hAnsi="MetaPro-Norm"/>
          <w:i/>
          <w:sz w:val="24"/>
          <w:szCs w:val="24"/>
        </w:rPr>
      </w:pPr>
      <w:r>
        <w:rPr>
          <w:rFonts w:ascii="MetaPro-Norm" w:hAnsi="MetaPro-Norm"/>
          <w:sz w:val="24"/>
          <w:szCs w:val="24"/>
        </w:rPr>
        <w:t xml:space="preserve">Do soldiers receive pre-deployment training about protecting schools? </w:t>
      </w:r>
    </w:p>
    <w:p w14:paraId="79547EC2" w14:textId="06791C6F" w:rsidR="00182551" w:rsidRPr="001C5C15" w:rsidRDefault="00E24F2C" w:rsidP="006B198D">
      <w:pPr>
        <w:pStyle w:val="ListParagraph"/>
        <w:numPr>
          <w:ilvl w:val="0"/>
          <w:numId w:val="5"/>
        </w:numPr>
        <w:spacing w:after="0" w:line="240" w:lineRule="auto"/>
      </w:pPr>
      <w:r w:rsidRPr="00E24F2C">
        <w:rPr>
          <w:rFonts w:ascii="MetaPro-Norm" w:hAnsi="MetaPro-Norm"/>
          <w:sz w:val="24"/>
          <w:szCs w:val="24"/>
        </w:rPr>
        <w:t>Why has the government of Indonesia not e</w:t>
      </w:r>
      <w:r w:rsidRPr="00E24F2C">
        <w:rPr>
          <w:rFonts w:ascii="MetaPro-Norm" w:hAnsi="MetaPro-Norm"/>
          <w:color w:val="000000" w:themeColor="text1"/>
          <w:sz w:val="24"/>
          <w:szCs w:val="24"/>
        </w:rPr>
        <w:t>ndorsed the Safe Schools Declaration</w:t>
      </w:r>
      <w:r w:rsidR="005C5114">
        <w:rPr>
          <w:rFonts w:ascii="MetaPro-Norm" w:hAnsi="MetaPro-Norm"/>
          <w:color w:val="000000" w:themeColor="text1"/>
          <w:sz w:val="24"/>
          <w:szCs w:val="24"/>
        </w:rPr>
        <w:t xml:space="preserve">? </w:t>
      </w:r>
      <w:r w:rsidRPr="00E24F2C">
        <w:rPr>
          <w:rFonts w:ascii="MetaPro-Norm" w:hAnsi="MetaPro-Norm"/>
          <w:color w:val="000000" w:themeColor="text1"/>
          <w:sz w:val="24"/>
          <w:szCs w:val="24"/>
        </w:rPr>
        <w:t xml:space="preserve"> </w:t>
      </w:r>
      <w:r w:rsidR="005C5114">
        <w:rPr>
          <w:rFonts w:ascii="MetaPro-Norm" w:hAnsi="MetaPro-Norm"/>
          <w:color w:val="000000" w:themeColor="text1"/>
          <w:sz w:val="24"/>
          <w:szCs w:val="24"/>
        </w:rPr>
        <w:t xml:space="preserve">Does it have any plans to bring </w:t>
      </w:r>
      <w:r w:rsidRPr="00E24F2C">
        <w:rPr>
          <w:rFonts w:ascii="MetaPro-Norm" w:hAnsi="MetaPro-Norm"/>
          <w:color w:val="000000" w:themeColor="text1"/>
          <w:sz w:val="24"/>
          <w:szCs w:val="24"/>
        </w:rPr>
        <w:t xml:space="preserve">the </w:t>
      </w:r>
      <w:r w:rsidRPr="00E24F2C">
        <w:rPr>
          <w:rFonts w:ascii="MetaPro-Norm" w:hAnsi="MetaPro-Norm"/>
          <w:i/>
          <w:color w:val="000000" w:themeColor="text1"/>
          <w:sz w:val="24"/>
          <w:szCs w:val="24"/>
        </w:rPr>
        <w:t>Guidelines for Protecting Schools and Universities from Military Use during Armed Conflict</w:t>
      </w:r>
      <w:r w:rsidRPr="00E24F2C">
        <w:rPr>
          <w:rFonts w:ascii="MetaPro-Norm" w:hAnsi="MetaPro-Norm"/>
          <w:color w:val="000000" w:themeColor="text1"/>
          <w:sz w:val="24"/>
          <w:szCs w:val="24"/>
        </w:rPr>
        <w:t xml:space="preserve"> into domestic military policy</w:t>
      </w:r>
      <w:r w:rsidR="005C5114">
        <w:rPr>
          <w:rFonts w:ascii="MetaPro-Norm" w:hAnsi="MetaPro-Norm"/>
          <w:color w:val="000000" w:themeColor="text1"/>
          <w:sz w:val="24"/>
          <w:szCs w:val="24"/>
        </w:rPr>
        <w:t xml:space="preserve">, operations, and training </w:t>
      </w:r>
      <w:r w:rsidRPr="00E24F2C">
        <w:rPr>
          <w:rFonts w:ascii="MetaPro-Norm" w:hAnsi="MetaPro-Norm"/>
          <w:color w:val="000000" w:themeColor="text1"/>
          <w:sz w:val="24"/>
          <w:szCs w:val="24"/>
        </w:rPr>
        <w:t>frameworks?</w:t>
      </w:r>
    </w:p>
    <w:p w14:paraId="01854652" w14:textId="1E569E57" w:rsidR="001C5C15" w:rsidRPr="001C5C15" w:rsidRDefault="001C5C15" w:rsidP="001C5C15">
      <w:pPr>
        <w:rPr>
          <w:rFonts w:ascii="MetaPro-Norm" w:hAnsi="MetaPro-Norm"/>
        </w:rPr>
      </w:pPr>
    </w:p>
    <w:p w14:paraId="70445E94" w14:textId="77777777" w:rsidR="001C5C15" w:rsidRPr="001C5C15" w:rsidRDefault="001C5C15" w:rsidP="001C5C15">
      <w:pPr>
        <w:rPr>
          <w:rFonts w:ascii="MetaPro-Norm" w:eastAsiaTheme="minorEastAsia" w:hAnsi="MetaPro-Norm"/>
        </w:rPr>
      </w:pPr>
      <w:r w:rsidRPr="001C5C15">
        <w:rPr>
          <w:rFonts w:ascii="MetaPro-Norm" w:eastAsiaTheme="minorEastAsia" w:hAnsi="MetaPro-Norm"/>
          <w:b/>
        </w:rPr>
        <w:t xml:space="preserve">Shackling of Women and Girls with Psychosocial Disabilities </w:t>
      </w:r>
      <w:r w:rsidRPr="001C5C15">
        <w:rPr>
          <w:rFonts w:ascii="MetaPro-Norm" w:eastAsiaTheme="minorEastAsia" w:hAnsi="MetaPro-Norm"/>
        </w:rPr>
        <w:t>(Articles 1, 12, and 15)</w:t>
      </w:r>
    </w:p>
    <w:p w14:paraId="64B29FBC" w14:textId="77777777" w:rsidR="001C5C15" w:rsidRPr="001C5C15" w:rsidRDefault="001C5C15" w:rsidP="001C5C15">
      <w:pPr>
        <w:rPr>
          <w:rFonts w:ascii="MetaPro-Norm" w:eastAsiaTheme="minorEastAsia" w:hAnsi="MetaPro-Norm"/>
        </w:rPr>
      </w:pPr>
    </w:p>
    <w:p w14:paraId="09ED3B18" w14:textId="427384FA" w:rsidR="001C5C15" w:rsidRDefault="001C5C15" w:rsidP="001C5C15">
      <w:pPr>
        <w:rPr>
          <w:rFonts w:ascii="MetaPro-Norm" w:eastAsia="Calibri" w:hAnsi="MetaPro-Norm" w:cstheme="minorHAnsi"/>
        </w:rPr>
      </w:pPr>
      <w:r w:rsidRPr="001C5C15">
        <w:rPr>
          <w:rFonts w:ascii="MetaPro-Norm" w:eastAsiaTheme="minorEastAsia" w:hAnsi="MetaPro-Norm"/>
        </w:rPr>
        <w:t xml:space="preserve">More than 57,000 </w:t>
      </w:r>
      <w:r w:rsidR="00E16157">
        <w:rPr>
          <w:rFonts w:ascii="MetaPro-Norm" w:eastAsiaTheme="minorEastAsia" w:hAnsi="MetaPro-Norm"/>
        </w:rPr>
        <w:t xml:space="preserve">Indonesian </w:t>
      </w:r>
      <w:r w:rsidRPr="001C5C15">
        <w:rPr>
          <w:rFonts w:ascii="MetaPro-Norm" w:eastAsiaTheme="minorEastAsia" w:hAnsi="MetaPro-Norm"/>
        </w:rPr>
        <w:t>people with psychosocial disabilities</w:t>
      </w:r>
      <w:r w:rsidR="00FB2E99">
        <w:rPr>
          <w:rFonts w:ascii="MetaPro-Norm" w:eastAsiaTheme="minorEastAsia" w:hAnsi="MetaPro-Norm"/>
        </w:rPr>
        <w:t xml:space="preserve"> (mental health conditions)</w:t>
      </w:r>
      <w:r w:rsidRPr="001C5C15">
        <w:rPr>
          <w:rFonts w:ascii="MetaPro-Norm" w:eastAsiaTheme="minorEastAsia" w:hAnsi="MetaPro-Norm"/>
        </w:rPr>
        <w:t xml:space="preserve">, including women and girls, have been subjected to </w:t>
      </w:r>
      <w:r w:rsidRPr="001C5C15">
        <w:rPr>
          <w:rFonts w:ascii="MetaPro-Norm" w:eastAsiaTheme="minorEastAsia" w:hAnsi="MetaPro-Norm"/>
          <w:i/>
        </w:rPr>
        <w:t>pasung</w:t>
      </w:r>
      <w:r w:rsidRPr="001C5C15">
        <w:rPr>
          <w:rFonts w:ascii="MetaPro-Norm" w:eastAsiaTheme="minorEastAsia" w:hAnsi="MetaPro-Norm"/>
        </w:rPr>
        <w:t xml:space="preserve"> – chained or locked up in confined space –</w:t>
      </w:r>
      <w:r w:rsidR="00E16157">
        <w:rPr>
          <w:rFonts w:ascii="MetaPro-Norm" w:eastAsiaTheme="minorEastAsia" w:hAnsi="MetaPro-Norm"/>
        </w:rPr>
        <w:t xml:space="preserve"> </w:t>
      </w:r>
      <w:r w:rsidRPr="001C5C15">
        <w:rPr>
          <w:rFonts w:ascii="MetaPro-Norm" w:eastAsiaTheme="minorEastAsia" w:hAnsi="MetaPro-Norm"/>
        </w:rPr>
        <w:t>at least once in their lives, with about 15,000 still living in chains as of November 2019.</w:t>
      </w:r>
      <w:r w:rsidR="00682DD3">
        <w:rPr>
          <w:rFonts w:ascii="ZWAdobeF" w:eastAsiaTheme="minorEastAsia" w:hAnsi="ZWAdobeF" w:cs="ZWAdobeF"/>
          <w:sz w:val="2"/>
          <w:szCs w:val="2"/>
        </w:rPr>
        <w:t>32F</w:t>
      </w:r>
      <w:r w:rsidRPr="001C5C15">
        <w:rPr>
          <w:rStyle w:val="FootnoteReference"/>
          <w:rFonts w:ascii="MetaPro-Norm" w:hAnsi="MetaPro-Norm"/>
        </w:rPr>
        <w:footnoteReference w:id="33"/>
      </w:r>
      <w:r w:rsidRPr="001C5C15">
        <w:rPr>
          <w:rFonts w:ascii="MetaPro-Norm" w:eastAsiaTheme="minorEastAsia" w:hAnsi="MetaPro-Norm"/>
        </w:rPr>
        <w:t xml:space="preserve"> </w:t>
      </w:r>
      <w:r w:rsidRPr="001C5C15">
        <w:rPr>
          <w:rFonts w:ascii="MetaPro-Norm" w:eastAsia="Calibri" w:hAnsi="MetaPro-Norm" w:cstheme="minorHAnsi"/>
        </w:rPr>
        <w:t xml:space="preserve">The UN </w:t>
      </w:r>
      <w:r w:rsidR="00E30543">
        <w:rPr>
          <w:rFonts w:ascii="MetaPro-Norm" w:eastAsia="Calibri" w:hAnsi="MetaPro-Norm" w:cstheme="minorHAnsi"/>
        </w:rPr>
        <w:t>S</w:t>
      </w:r>
      <w:r w:rsidRPr="001C5C15">
        <w:rPr>
          <w:rFonts w:ascii="MetaPro-Norm" w:eastAsia="Calibri" w:hAnsi="MetaPro-Norm" w:cstheme="minorHAnsi"/>
        </w:rPr>
        <w:t xml:space="preserve">pecial </w:t>
      </w:r>
      <w:r w:rsidR="00E30543">
        <w:rPr>
          <w:rFonts w:ascii="MetaPro-Norm" w:eastAsia="Calibri" w:hAnsi="MetaPro-Norm" w:cstheme="minorHAnsi"/>
        </w:rPr>
        <w:t>R</w:t>
      </w:r>
      <w:r w:rsidRPr="001C5C15">
        <w:rPr>
          <w:rFonts w:ascii="MetaPro-Norm" w:eastAsia="Calibri" w:hAnsi="MetaPro-Norm" w:cstheme="minorHAnsi"/>
        </w:rPr>
        <w:t>apporteur on torture has noted that shackling “unequivocally amount(s) to torture even if committed by non-State actors under conditions in which the State knows or ought to know about them.”</w:t>
      </w:r>
      <w:r w:rsidR="00682DD3">
        <w:rPr>
          <w:rFonts w:ascii="ZWAdobeF" w:eastAsia="Calibri" w:hAnsi="ZWAdobeF" w:cs="ZWAdobeF"/>
          <w:sz w:val="2"/>
          <w:szCs w:val="2"/>
        </w:rPr>
        <w:t>33F</w:t>
      </w:r>
      <w:r w:rsidRPr="001C5C15">
        <w:rPr>
          <w:rStyle w:val="FootnoteReference"/>
          <w:rFonts w:ascii="MetaPro-Norm" w:hAnsi="MetaPro-Norm"/>
        </w:rPr>
        <w:footnoteReference w:id="34"/>
      </w:r>
    </w:p>
    <w:p w14:paraId="70D2D1BD" w14:textId="77777777" w:rsidR="001C5C15" w:rsidRPr="001C5C15" w:rsidRDefault="001C5C15" w:rsidP="001C5C15">
      <w:pPr>
        <w:rPr>
          <w:rFonts w:ascii="MetaPro-Norm" w:eastAsia="Calibri" w:hAnsi="MetaPro-Norm" w:cstheme="minorHAnsi"/>
        </w:rPr>
      </w:pPr>
    </w:p>
    <w:p w14:paraId="7CB867E7" w14:textId="637AE34C" w:rsidR="00FB2E99" w:rsidRDefault="001C5C15" w:rsidP="001C5C15">
      <w:pPr>
        <w:rPr>
          <w:rFonts w:ascii="MetaPro-Norm" w:eastAsiaTheme="minorEastAsia" w:hAnsi="MetaPro-Norm"/>
          <w:shd w:val="clear" w:color="auto" w:fill="FFFFFF"/>
        </w:rPr>
      </w:pPr>
      <w:r w:rsidRPr="001C5C15" w:rsidDel="00356E56">
        <w:rPr>
          <w:rFonts w:ascii="MetaPro-Norm" w:eastAsiaTheme="minorEastAsia" w:hAnsi="MetaPro-Norm"/>
        </w:rPr>
        <w:t>Despite a 1977 government ban</w:t>
      </w:r>
      <w:r w:rsidR="00DF2716">
        <w:rPr>
          <w:rFonts w:ascii="MetaPro-Norm" w:eastAsiaTheme="minorEastAsia" w:hAnsi="MetaPro-Norm"/>
        </w:rPr>
        <w:t xml:space="preserve"> on such practices</w:t>
      </w:r>
      <w:r w:rsidRPr="001C5C15">
        <w:rPr>
          <w:rFonts w:ascii="MetaPro-Norm" w:eastAsiaTheme="minorEastAsia" w:hAnsi="MetaPro-Norm"/>
        </w:rPr>
        <w:t xml:space="preserve">, </w:t>
      </w:r>
      <w:r w:rsidR="00DF2716">
        <w:rPr>
          <w:rFonts w:ascii="MetaPro-Norm" w:eastAsiaTheme="minorEastAsia" w:hAnsi="MetaPro-Norm"/>
        </w:rPr>
        <w:t xml:space="preserve">the reality is </w:t>
      </w:r>
      <w:r w:rsidRPr="001C5C15">
        <w:rPr>
          <w:rFonts w:ascii="MetaPro-Norm" w:eastAsiaTheme="minorEastAsia" w:hAnsi="MetaPro-Norm"/>
        </w:rPr>
        <w:t xml:space="preserve">families, traditional healers, and staff in </w:t>
      </w:r>
      <w:r w:rsidR="00053225">
        <w:rPr>
          <w:rFonts w:ascii="MetaPro-Norm" w:eastAsiaTheme="minorEastAsia" w:hAnsi="MetaPro-Norm"/>
        </w:rPr>
        <w:t xml:space="preserve">private </w:t>
      </w:r>
      <w:r w:rsidRPr="001C5C15">
        <w:rPr>
          <w:rFonts w:ascii="MetaPro-Norm" w:eastAsiaTheme="minorEastAsia" w:hAnsi="MetaPro-Norm"/>
        </w:rPr>
        <w:t>institutions continue to shackle women with psychosocial disabilities, sometimes for years at a time, due to prevalent stigma and the absence of adequate community-based services</w:t>
      </w:r>
      <w:r w:rsidRPr="001C5C15">
        <w:rPr>
          <w:rFonts w:ascii="MetaPro-Norm" w:hAnsi="MetaPro-Norm" w:cstheme="minorHAnsi"/>
          <w:shd w:val="clear" w:color="auto" w:fill="FFFFFF"/>
        </w:rPr>
        <w:t>.</w:t>
      </w:r>
      <w:r w:rsidR="00682DD3">
        <w:rPr>
          <w:rFonts w:ascii="ZWAdobeF" w:hAnsi="ZWAdobeF" w:cs="ZWAdobeF"/>
          <w:sz w:val="2"/>
          <w:szCs w:val="2"/>
          <w:shd w:val="clear" w:color="auto" w:fill="FFFFFF"/>
        </w:rPr>
        <w:t>34F</w:t>
      </w:r>
      <w:r w:rsidRPr="001C5C15">
        <w:rPr>
          <w:rStyle w:val="FootnoteReference"/>
          <w:rFonts w:ascii="MetaPro-Norm" w:hAnsi="MetaPro-Norm"/>
          <w:shd w:val="clear" w:color="auto" w:fill="FFFFFF"/>
        </w:rPr>
        <w:footnoteReference w:id="35"/>
      </w:r>
      <w:r w:rsidRPr="001C5C15">
        <w:rPr>
          <w:rFonts w:ascii="MetaPro-Norm" w:eastAsiaTheme="minorEastAsia" w:hAnsi="MetaPro-Norm"/>
        </w:rPr>
        <w:t xml:space="preserve"> State-run residential institutions </w:t>
      </w:r>
      <w:r w:rsidR="00FB2E99">
        <w:rPr>
          <w:rFonts w:ascii="MetaPro-Norm" w:eastAsiaTheme="minorEastAsia" w:hAnsi="MetaPro-Norm"/>
        </w:rPr>
        <w:t xml:space="preserve">and </w:t>
      </w:r>
      <w:r w:rsidR="00053225">
        <w:rPr>
          <w:rFonts w:ascii="MetaPro-Norm" w:eastAsiaTheme="minorEastAsia" w:hAnsi="MetaPro-Norm"/>
        </w:rPr>
        <w:t xml:space="preserve">private </w:t>
      </w:r>
      <w:r w:rsidR="00FB2E99">
        <w:rPr>
          <w:rFonts w:ascii="MetaPro-Norm" w:eastAsiaTheme="minorEastAsia" w:hAnsi="MetaPro-Norm"/>
        </w:rPr>
        <w:t xml:space="preserve">faith-healing centers where women and girls </w:t>
      </w:r>
      <w:r w:rsidR="00DF2716">
        <w:rPr>
          <w:rFonts w:ascii="MetaPro-Norm" w:eastAsiaTheme="minorEastAsia" w:hAnsi="MetaPro-Norm"/>
        </w:rPr>
        <w:t xml:space="preserve">with disabilities are </w:t>
      </w:r>
      <w:r w:rsidR="00FB2E99">
        <w:rPr>
          <w:rFonts w:ascii="MetaPro-Norm" w:eastAsiaTheme="minorEastAsia" w:hAnsi="MetaPro-Norm"/>
        </w:rPr>
        <w:t xml:space="preserve">arbitrarily detained are </w:t>
      </w:r>
      <w:r w:rsidRPr="001C5C15">
        <w:rPr>
          <w:rFonts w:ascii="MetaPro-Norm" w:eastAsiaTheme="minorEastAsia" w:hAnsi="MetaPro-Norm"/>
        </w:rPr>
        <w:t xml:space="preserve">exceptionally overcrowded, unsanitary, and lack </w:t>
      </w:r>
      <w:r w:rsidR="00DF2716">
        <w:rPr>
          <w:rFonts w:ascii="MetaPro-Norm" w:eastAsiaTheme="minorEastAsia" w:hAnsi="MetaPro-Norm"/>
        </w:rPr>
        <w:t xml:space="preserve">measures to support </w:t>
      </w:r>
      <w:r w:rsidRPr="001C5C15">
        <w:rPr>
          <w:rFonts w:ascii="MetaPro-Norm" w:eastAsiaTheme="minorEastAsia" w:hAnsi="MetaPro-Norm"/>
        </w:rPr>
        <w:t>personal hygiene.</w:t>
      </w:r>
      <w:r w:rsidR="00682DD3">
        <w:rPr>
          <w:rFonts w:ascii="ZWAdobeF" w:eastAsiaTheme="minorEastAsia" w:hAnsi="ZWAdobeF" w:cs="ZWAdobeF"/>
          <w:sz w:val="2"/>
          <w:szCs w:val="2"/>
        </w:rPr>
        <w:t>35F</w:t>
      </w:r>
      <w:r w:rsidRPr="001C5C15">
        <w:rPr>
          <w:rStyle w:val="FootnoteReference"/>
          <w:rFonts w:ascii="MetaPro-Norm" w:hAnsi="MetaPro-Norm"/>
        </w:rPr>
        <w:footnoteReference w:id="36"/>
      </w:r>
      <w:r w:rsidRPr="001C5C15">
        <w:rPr>
          <w:rFonts w:ascii="MetaPro-Norm" w:eastAsiaTheme="minorEastAsia" w:hAnsi="MetaPro-Norm"/>
        </w:rPr>
        <w:t xml:space="preserve"> </w:t>
      </w:r>
      <w:r w:rsidR="00053225">
        <w:rPr>
          <w:rFonts w:ascii="MetaPro-Norm" w:eastAsiaTheme="minorEastAsia" w:hAnsi="MetaPro-Norm"/>
        </w:rPr>
        <w:lastRenderedPageBreak/>
        <w:t xml:space="preserve">Within these institutions, they also </w:t>
      </w:r>
      <w:r w:rsidRPr="001C5C15">
        <w:rPr>
          <w:rFonts w:ascii="MetaPro-Norm" w:eastAsiaTheme="minorEastAsia" w:hAnsi="MetaPro-Norm"/>
          <w:shd w:val="clear" w:color="auto" w:fill="FFFFFF"/>
        </w:rPr>
        <w:t xml:space="preserve">experience physical and sexual violence and </w:t>
      </w:r>
      <w:r w:rsidR="00FB2E99">
        <w:rPr>
          <w:rFonts w:ascii="MetaPro-Norm" w:eastAsiaTheme="minorEastAsia" w:hAnsi="MetaPro-Norm"/>
          <w:shd w:val="clear" w:color="auto" w:fill="FFFFFF"/>
        </w:rPr>
        <w:t xml:space="preserve">in some cases </w:t>
      </w:r>
      <w:r w:rsidRPr="001C5C15">
        <w:rPr>
          <w:rFonts w:ascii="MetaPro-Norm" w:eastAsiaTheme="minorEastAsia" w:hAnsi="MetaPro-Norm"/>
          <w:shd w:val="clear" w:color="auto" w:fill="FFFFFF"/>
        </w:rPr>
        <w:t>forced contraception.</w:t>
      </w:r>
      <w:r w:rsidR="00682DD3">
        <w:rPr>
          <w:rFonts w:ascii="ZWAdobeF" w:eastAsiaTheme="minorEastAsia" w:hAnsi="ZWAdobeF" w:cs="ZWAdobeF"/>
          <w:sz w:val="2"/>
          <w:szCs w:val="2"/>
          <w:shd w:val="clear" w:color="auto" w:fill="FFFFFF"/>
        </w:rPr>
        <w:t>36F</w:t>
      </w:r>
      <w:r w:rsidRPr="001C5C15">
        <w:rPr>
          <w:rStyle w:val="FootnoteReference"/>
          <w:rFonts w:ascii="MetaPro-Norm" w:hAnsi="MetaPro-Norm" w:cstheme="minorHAnsi"/>
          <w:shd w:val="clear" w:color="auto" w:fill="FFFFFF"/>
        </w:rPr>
        <w:footnoteReference w:id="37"/>
      </w:r>
      <w:r w:rsidRPr="001C5C15">
        <w:rPr>
          <w:rFonts w:ascii="MetaPro-Norm" w:eastAsiaTheme="minorEastAsia" w:hAnsi="MetaPro-Norm"/>
          <w:shd w:val="clear" w:color="auto" w:fill="FFFFFF"/>
        </w:rPr>
        <w:t xml:space="preserve"> </w:t>
      </w:r>
    </w:p>
    <w:p w14:paraId="7383C003" w14:textId="77777777" w:rsidR="00FB2E99" w:rsidRDefault="00FB2E99" w:rsidP="001C5C15">
      <w:pPr>
        <w:rPr>
          <w:rFonts w:ascii="MetaPro-Norm" w:eastAsiaTheme="minorEastAsia" w:hAnsi="MetaPro-Norm"/>
          <w:shd w:val="clear" w:color="auto" w:fill="FFFFFF"/>
        </w:rPr>
      </w:pPr>
    </w:p>
    <w:p w14:paraId="60DBB7F5" w14:textId="40A85372" w:rsidR="001C5C15" w:rsidRPr="001C5C15" w:rsidRDefault="001C5C15" w:rsidP="001C5C15">
      <w:pPr>
        <w:rPr>
          <w:rFonts w:ascii="MetaPro-Norm" w:eastAsiaTheme="minorEastAsia" w:hAnsi="MetaPro-Norm"/>
        </w:rPr>
      </w:pPr>
      <w:r w:rsidRPr="001C5C15">
        <w:rPr>
          <w:rFonts w:ascii="MetaPro-Norm" w:eastAsiaTheme="minorEastAsia" w:hAnsi="MetaPro-Norm"/>
        </w:rPr>
        <w:t xml:space="preserve">In addition, </w:t>
      </w:r>
      <w:r w:rsidR="00FB2E99">
        <w:rPr>
          <w:rFonts w:ascii="MetaPro-Norm" w:eastAsiaTheme="minorEastAsia" w:hAnsi="MetaPro-Norm"/>
        </w:rPr>
        <w:t xml:space="preserve">in state-run mental hospitals </w:t>
      </w:r>
      <w:r w:rsidRPr="001C5C15">
        <w:rPr>
          <w:rFonts w:ascii="MetaPro-Norm" w:eastAsiaTheme="minorEastAsia" w:hAnsi="MetaPro-Norm"/>
        </w:rPr>
        <w:t xml:space="preserve">they are </w:t>
      </w:r>
      <w:r w:rsidR="00FB2E99">
        <w:rPr>
          <w:rFonts w:ascii="MetaPro-Norm" w:eastAsiaTheme="minorEastAsia" w:hAnsi="MetaPro-Norm"/>
        </w:rPr>
        <w:t xml:space="preserve">routinely forced to take medication, locked </w:t>
      </w:r>
      <w:r w:rsidR="00E30543">
        <w:rPr>
          <w:rFonts w:ascii="MetaPro-Norm" w:eastAsiaTheme="minorEastAsia" w:hAnsi="MetaPro-Norm"/>
        </w:rPr>
        <w:t xml:space="preserve">in </w:t>
      </w:r>
      <w:r w:rsidR="00FB2E99">
        <w:rPr>
          <w:rFonts w:ascii="MetaPro-Norm" w:eastAsiaTheme="minorEastAsia" w:hAnsi="MetaPro-Norm"/>
        </w:rPr>
        <w:t xml:space="preserve">isolation rooms and </w:t>
      </w:r>
      <w:r w:rsidRPr="001C5C15">
        <w:rPr>
          <w:rFonts w:ascii="MetaPro-Norm" w:eastAsiaTheme="minorEastAsia" w:hAnsi="MetaPro-Norm"/>
        </w:rPr>
        <w:t>subjected to involuntary treatment ranging from physical and chemical restraint</w:t>
      </w:r>
      <w:r w:rsidR="00DF2716">
        <w:rPr>
          <w:rFonts w:ascii="MetaPro-Norm" w:eastAsiaTheme="minorEastAsia" w:hAnsi="MetaPro-Norm"/>
        </w:rPr>
        <w:t>s</w:t>
      </w:r>
      <w:r w:rsidRPr="001C5C15">
        <w:rPr>
          <w:rFonts w:ascii="MetaPro-Norm" w:eastAsiaTheme="minorEastAsia" w:hAnsi="MetaPro-Norm"/>
        </w:rPr>
        <w:t xml:space="preserve"> to electroconvulsive therapy (ECT).</w:t>
      </w:r>
      <w:r w:rsidR="00682DD3">
        <w:rPr>
          <w:rFonts w:ascii="ZWAdobeF" w:eastAsiaTheme="minorEastAsia" w:hAnsi="ZWAdobeF" w:cs="ZWAdobeF"/>
          <w:sz w:val="2"/>
          <w:szCs w:val="2"/>
        </w:rPr>
        <w:t>37F</w:t>
      </w:r>
      <w:r w:rsidRPr="001C5C15">
        <w:rPr>
          <w:rStyle w:val="FootnoteReference"/>
          <w:rFonts w:ascii="MetaPro-Norm" w:hAnsi="MetaPro-Norm"/>
        </w:rPr>
        <w:footnoteReference w:id="38"/>
      </w:r>
      <w:r w:rsidRPr="001C5C15">
        <w:rPr>
          <w:rFonts w:ascii="MetaPro-Norm" w:eastAsiaTheme="minorEastAsia" w:hAnsi="MetaPro-Norm"/>
        </w:rPr>
        <w:t xml:space="preserve"> The UN </w:t>
      </w:r>
      <w:r w:rsidR="00E30543">
        <w:rPr>
          <w:rFonts w:ascii="MetaPro-Norm" w:eastAsiaTheme="minorEastAsia" w:hAnsi="MetaPro-Norm"/>
        </w:rPr>
        <w:t>S</w:t>
      </w:r>
      <w:r w:rsidRPr="001C5C15">
        <w:rPr>
          <w:rFonts w:ascii="MetaPro-Norm" w:eastAsiaTheme="minorEastAsia" w:hAnsi="MetaPro-Norm"/>
        </w:rPr>
        <w:t xml:space="preserve">pecial </w:t>
      </w:r>
      <w:r w:rsidR="00E30543">
        <w:rPr>
          <w:rFonts w:ascii="MetaPro-Norm" w:eastAsiaTheme="minorEastAsia" w:hAnsi="MetaPro-Norm"/>
        </w:rPr>
        <w:t>R</w:t>
      </w:r>
      <w:r w:rsidRPr="001C5C15">
        <w:rPr>
          <w:rFonts w:ascii="MetaPro-Norm" w:eastAsiaTheme="minorEastAsia" w:hAnsi="MetaPro-Norm"/>
        </w:rPr>
        <w:t>apporteur on violence against women has condemned forced psychiatric treatment as a form of violence.</w:t>
      </w:r>
      <w:r w:rsidR="00682DD3">
        <w:rPr>
          <w:rFonts w:ascii="ZWAdobeF" w:eastAsiaTheme="minorEastAsia" w:hAnsi="ZWAdobeF" w:cs="ZWAdobeF"/>
          <w:sz w:val="2"/>
          <w:szCs w:val="2"/>
        </w:rPr>
        <w:t>38F</w:t>
      </w:r>
      <w:r w:rsidRPr="001C5C15">
        <w:rPr>
          <w:rStyle w:val="FootnoteReference"/>
          <w:rFonts w:ascii="MetaPro-Norm" w:hAnsi="MetaPro-Norm"/>
        </w:rPr>
        <w:footnoteReference w:id="39"/>
      </w:r>
    </w:p>
    <w:p w14:paraId="682D2B3C" w14:textId="77777777" w:rsidR="001C5C15" w:rsidRPr="001C5C15" w:rsidRDefault="001C5C15" w:rsidP="001C5C15">
      <w:pPr>
        <w:rPr>
          <w:rFonts w:ascii="MetaPro-Norm" w:eastAsiaTheme="minorEastAsia" w:hAnsi="MetaPro-Norm"/>
        </w:rPr>
      </w:pPr>
    </w:p>
    <w:p w14:paraId="593E7BC7" w14:textId="25DE34F9" w:rsidR="001C5C15" w:rsidRPr="001C5C15" w:rsidRDefault="001C5C15" w:rsidP="001C5C15">
      <w:pPr>
        <w:rPr>
          <w:rFonts w:ascii="MetaPro-Norm" w:eastAsiaTheme="minorEastAsia" w:hAnsi="MetaPro-Norm"/>
        </w:rPr>
      </w:pPr>
      <w:r w:rsidRPr="001C5C15">
        <w:rPr>
          <w:rFonts w:ascii="MetaPro-Norm" w:eastAsiaTheme="minorEastAsia" w:hAnsi="MetaPro-Norm"/>
        </w:rPr>
        <w:t xml:space="preserve">We recommend the Committee </w:t>
      </w:r>
      <w:r w:rsidR="00DF2716">
        <w:rPr>
          <w:rFonts w:ascii="MetaPro-Norm" w:eastAsiaTheme="minorEastAsia" w:hAnsi="MetaPro-Norm"/>
        </w:rPr>
        <w:t xml:space="preserve">to raise concerns and </w:t>
      </w:r>
      <w:r w:rsidRPr="001C5C15">
        <w:rPr>
          <w:rFonts w:ascii="MetaPro-Norm" w:eastAsiaTheme="minorEastAsia" w:hAnsi="MetaPro-Norm"/>
        </w:rPr>
        <w:t>urge the Indonesian government to:</w:t>
      </w:r>
    </w:p>
    <w:p w14:paraId="4D1F61BA" w14:textId="77777777" w:rsidR="001C5C15" w:rsidRPr="001C5C15" w:rsidRDefault="001C5C15" w:rsidP="001C5C15">
      <w:pPr>
        <w:rPr>
          <w:rFonts w:ascii="MetaPro-Norm" w:eastAsiaTheme="minorEastAsia" w:hAnsi="MetaPro-Norm"/>
        </w:rPr>
      </w:pPr>
    </w:p>
    <w:p w14:paraId="47F4EDA4" w14:textId="77777777" w:rsidR="001C5C15" w:rsidRPr="001C5C15" w:rsidRDefault="001C5C15" w:rsidP="001C5C15">
      <w:pPr>
        <w:pStyle w:val="ListParagraph"/>
        <w:numPr>
          <w:ilvl w:val="0"/>
          <w:numId w:val="6"/>
        </w:numPr>
        <w:spacing w:after="0" w:line="240" w:lineRule="auto"/>
        <w:rPr>
          <w:rFonts w:ascii="MetaPro-Norm" w:eastAsiaTheme="minorEastAsia" w:hAnsi="MetaPro-Norm"/>
          <w:sz w:val="24"/>
          <w:szCs w:val="24"/>
        </w:rPr>
      </w:pPr>
      <w:r w:rsidRPr="001C5C15">
        <w:rPr>
          <w:rFonts w:ascii="MetaPro-Norm" w:eastAsiaTheme="minorEastAsia" w:hAnsi="MetaPro-Norm"/>
          <w:sz w:val="24"/>
          <w:szCs w:val="24"/>
        </w:rPr>
        <w:t xml:space="preserve">Strengthen and monitor the implementation of laws banning </w:t>
      </w:r>
      <w:r w:rsidRPr="001C5C15">
        <w:rPr>
          <w:rFonts w:ascii="MetaPro-Norm" w:eastAsiaTheme="minorEastAsia" w:hAnsi="MetaPro-Norm"/>
          <w:i/>
          <w:sz w:val="24"/>
          <w:szCs w:val="24"/>
        </w:rPr>
        <w:t xml:space="preserve">pasung. </w:t>
      </w:r>
    </w:p>
    <w:p w14:paraId="1A4D9AF3" w14:textId="77777777" w:rsidR="001C5C15" w:rsidRPr="001C5C15" w:rsidRDefault="001C5C15" w:rsidP="001C5C15">
      <w:pPr>
        <w:pStyle w:val="ListParagraph"/>
        <w:numPr>
          <w:ilvl w:val="0"/>
          <w:numId w:val="6"/>
        </w:numPr>
        <w:spacing w:after="0" w:line="240" w:lineRule="auto"/>
        <w:rPr>
          <w:rFonts w:ascii="MetaPro-Norm" w:eastAsiaTheme="minorEastAsia" w:hAnsi="MetaPro-Norm"/>
          <w:sz w:val="24"/>
          <w:szCs w:val="24"/>
        </w:rPr>
      </w:pPr>
      <w:r w:rsidRPr="001C5C15">
        <w:rPr>
          <w:rFonts w:ascii="MetaPro-Norm" w:eastAsiaTheme="minorEastAsia" w:hAnsi="MetaPro-Norm"/>
          <w:sz w:val="24"/>
          <w:szCs w:val="24"/>
        </w:rPr>
        <w:t xml:space="preserve">Develop a time-bound plan to shift progressively to voluntary community-based mental health, support, and independent living services. </w:t>
      </w:r>
    </w:p>
    <w:p w14:paraId="2E3E251C" w14:textId="77777777" w:rsidR="001C5C15" w:rsidRPr="001C5C15" w:rsidRDefault="001C5C15" w:rsidP="001C5C15">
      <w:pPr>
        <w:pStyle w:val="ListParagraph"/>
        <w:numPr>
          <w:ilvl w:val="0"/>
          <w:numId w:val="6"/>
        </w:numPr>
        <w:spacing w:after="0" w:line="240" w:lineRule="auto"/>
        <w:rPr>
          <w:rFonts w:ascii="MetaPro-Norm" w:eastAsiaTheme="minorEastAsia" w:hAnsi="MetaPro-Norm"/>
          <w:sz w:val="24"/>
          <w:szCs w:val="24"/>
        </w:rPr>
      </w:pPr>
      <w:r w:rsidRPr="001C5C15">
        <w:rPr>
          <w:rFonts w:ascii="MetaPro-Norm" w:eastAsiaTheme="minorEastAsia" w:hAnsi="MetaPro-Norm"/>
          <w:sz w:val="24"/>
          <w:szCs w:val="24"/>
        </w:rPr>
        <w:t xml:space="preserve">Create and implement a de-institutionalization policy and a time-bound action plan for de-institutionalization, based on the values of equality, independence, and inclusion for persons with disabilities. </w:t>
      </w:r>
    </w:p>
    <w:p w14:paraId="21226BEE" w14:textId="77777777" w:rsidR="001C5C15" w:rsidRPr="001C5C15" w:rsidRDefault="001C5C15" w:rsidP="001C5C15">
      <w:pPr>
        <w:rPr>
          <w:rFonts w:ascii="MetaPro-Norm" w:eastAsiaTheme="minorEastAsia" w:hAnsi="MetaPro-Norm"/>
        </w:rPr>
      </w:pPr>
    </w:p>
    <w:p w14:paraId="7C053EBA" w14:textId="77777777" w:rsidR="001C5C15" w:rsidRPr="001C5C15" w:rsidRDefault="001C5C15" w:rsidP="001C5C15">
      <w:pPr>
        <w:rPr>
          <w:rFonts w:ascii="MetaPro-Norm" w:hAnsi="MetaPro-Norm"/>
        </w:rPr>
      </w:pPr>
    </w:p>
    <w:sectPr w:rsidR="001C5C15" w:rsidRPr="001C5C15">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19B64" w14:textId="77777777" w:rsidR="00975670" w:rsidRDefault="00975670" w:rsidP="00854206">
      <w:r>
        <w:separator/>
      </w:r>
    </w:p>
  </w:endnote>
  <w:endnote w:type="continuationSeparator" w:id="0">
    <w:p w14:paraId="585FB43C" w14:textId="77777777" w:rsidR="00975670" w:rsidRDefault="00975670" w:rsidP="00854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ZWAdobeF">
    <w:panose1 w:val="00000000000000000000"/>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3738526"/>
      <w:docPartObj>
        <w:docPartGallery w:val="Page Numbers (Bottom of Page)"/>
        <w:docPartUnique/>
      </w:docPartObj>
    </w:sdtPr>
    <w:sdtEndPr>
      <w:rPr>
        <w:noProof/>
      </w:rPr>
    </w:sdtEndPr>
    <w:sdtContent>
      <w:p w14:paraId="137D12C5" w14:textId="4EFC52CE" w:rsidR="005B6C4C" w:rsidRDefault="005B6C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30FFD5" w14:textId="77777777" w:rsidR="005B6C4C" w:rsidRDefault="005B6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3480C" w14:textId="77777777" w:rsidR="00975670" w:rsidRDefault="00975670" w:rsidP="00854206">
      <w:r>
        <w:separator/>
      </w:r>
    </w:p>
  </w:footnote>
  <w:footnote w:type="continuationSeparator" w:id="0">
    <w:p w14:paraId="21CEB5E7" w14:textId="77777777" w:rsidR="00975670" w:rsidRDefault="00975670" w:rsidP="00854206">
      <w:r>
        <w:continuationSeparator/>
      </w:r>
    </w:p>
  </w:footnote>
  <w:footnote w:id="1">
    <w:p w14:paraId="1ED0D066" w14:textId="7DC39B10" w:rsidR="005B6C4C" w:rsidRPr="008B675C" w:rsidRDefault="005B6C4C">
      <w:pPr>
        <w:pStyle w:val="FootnoteText"/>
        <w:rPr>
          <w:sz w:val="16"/>
          <w:szCs w:val="16"/>
        </w:rPr>
      </w:pPr>
      <w:r w:rsidRPr="008B675C">
        <w:rPr>
          <w:rStyle w:val="FootnoteReference"/>
          <w:sz w:val="16"/>
          <w:szCs w:val="16"/>
        </w:rPr>
        <w:footnoteRef/>
      </w:r>
      <w:r w:rsidRPr="008B675C">
        <w:rPr>
          <w:sz w:val="16"/>
          <w:szCs w:val="16"/>
        </w:rPr>
        <w:t xml:space="preserve"> United Nations Treaty Database (Geneva: United Nations Human Rights), </w:t>
      </w:r>
      <w:hyperlink r:id="rId1" w:history="1">
        <w:r w:rsidRPr="008B675C">
          <w:rPr>
            <w:rStyle w:val="Hyperlink"/>
            <w:sz w:val="16"/>
            <w:szCs w:val="16"/>
          </w:rPr>
          <w:t>https://tbinternet.ohchr.org/_layouts/15/TreatyBodyExternal/Treaty.aspx?CountryID=80&amp;Lang=EN</w:t>
        </w:r>
      </w:hyperlink>
      <w:r w:rsidRPr="008B675C">
        <w:rPr>
          <w:sz w:val="16"/>
          <w:szCs w:val="16"/>
        </w:rPr>
        <w:t xml:space="preserve"> (accessed on May 28, 2020). </w:t>
      </w:r>
    </w:p>
  </w:footnote>
  <w:footnote w:id="2">
    <w:p w14:paraId="325BBB74" w14:textId="140E7C93" w:rsidR="005B6C4C" w:rsidRPr="008B675C" w:rsidRDefault="005B6C4C" w:rsidP="00727217">
      <w:pPr>
        <w:pStyle w:val="FootnoteText"/>
        <w:rPr>
          <w:sz w:val="16"/>
          <w:szCs w:val="16"/>
        </w:rPr>
      </w:pPr>
      <w:r w:rsidRPr="008B675C">
        <w:rPr>
          <w:rStyle w:val="FootnoteReference"/>
          <w:sz w:val="16"/>
          <w:szCs w:val="16"/>
        </w:rPr>
        <w:footnoteRef/>
      </w:r>
      <w:r w:rsidRPr="008B675C">
        <w:rPr>
          <w:sz w:val="16"/>
          <w:szCs w:val="16"/>
        </w:rPr>
        <w:t xml:space="preserve"> “Indonesia State Report: Eighth periodic report submitted by Indonesia under article 18 of the Convention, due in 2016,” Committee on the Elimination of Discrimination against Women, October 22, 2019, </w:t>
      </w:r>
      <w:hyperlink r:id="rId2" w:history="1">
        <w:r w:rsidRPr="008B675C">
          <w:rPr>
            <w:rStyle w:val="Hyperlink"/>
            <w:sz w:val="16"/>
            <w:szCs w:val="16"/>
          </w:rPr>
          <w:t>https://tbinternet.ohchr.org/_layouts/15/treatybodyexternal/Download.aspx?symbolno=CEDAW%2fC%2fPER%2f9&amp;Lang=en</w:t>
        </w:r>
      </w:hyperlink>
      <w:r w:rsidRPr="008B675C">
        <w:rPr>
          <w:sz w:val="16"/>
          <w:szCs w:val="16"/>
        </w:rPr>
        <w:t xml:space="preserve"> (accessed on June 3, 2020). </w:t>
      </w:r>
    </w:p>
  </w:footnote>
  <w:footnote w:id="3">
    <w:p w14:paraId="3B75C532" w14:textId="162A2A93" w:rsidR="005B6C4C" w:rsidRPr="008B675C" w:rsidRDefault="005B6C4C" w:rsidP="001013B6">
      <w:pPr>
        <w:pStyle w:val="FootnoteText"/>
        <w:rPr>
          <w:sz w:val="16"/>
          <w:szCs w:val="16"/>
        </w:rPr>
      </w:pPr>
      <w:r w:rsidRPr="008B675C">
        <w:rPr>
          <w:rStyle w:val="FootnoteReference"/>
          <w:sz w:val="16"/>
          <w:szCs w:val="16"/>
        </w:rPr>
        <w:footnoteRef/>
      </w:r>
      <w:r w:rsidRPr="008B675C">
        <w:rPr>
          <w:sz w:val="16"/>
          <w:szCs w:val="16"/>
        </w:rPr>
        <w:t xml:space="preserve"> Andy Yentriyani, Azriana, Ismail Hasani, Kamala Chandrakirana, Taty Krisnawaty, </w:t>
      </w:r>
      <w:r w:rsidRPr="008B675C">
        <w:rPr>
          <w:i/>
          <w:iCs/>
          <w:sz w:val="16"/>
          <w:szCs w:val="16"/>
        </w:rPr>
        <w:t>Atas Nama Otonomi Daerah: Pelembagaan Diskriminasi Dalam Tatanan Negara-Bangsa Indonesia</w:t>
      </w:r>
      <w:r w:rsidRPr="008B675C">
        <w:rPr>
          <w:sz w:val="16"/>
          <w:szCs w:val="16"/>
        </w:rPr>
        <w:t xml:space="preserve"> (Jakarta: Komnas Perempuan, 2010), </w:t>
      </w:r>
      <w:hyperlink r:id="rId3" w:history="1">
        <w:r w:rsidRPr="008B675C">
          <w:rPr>
            <w:rStyle w:val="Hyperlink"/>
            <w:sz w:val="16"/>
            <w:szCs w:val="16"/>
          </w:rPr>
          <w:t>https://www.komnasperempuan.go.id/file/pdf_file/Modul%20dan%20Pedoman/PP2_Atas%20Nama%20Otonomi%20Daerah.pdf</w:t>
        </w:r>
      </w:hyperlink>
      <w:r w:rsidRPr="008B675C">
        <w:rPr>
          <w:sz w:val="16"/>
          <w:szCs w:val="16"/>
        </w:rPr>
        <w:t xml:space="preserve"> (accessed on May 25, 2020).</w:t>
      </w:r>
    </w:p>
  </w:footnote>
  <w:footnote w:id="4">
    <w:p w14:paraId="3BB9D28D" w14:textId="77777777" w:rsidR="005B6C4C" w:rsidRPr="008B675C" w:rsidRDefault="005B6C4C" w:rsidP="0063213A">
      <w:pPr>
        <w:pStyle w:val="FootnoteText"/>
        <w:rPr>
          <w:sz w:val="16"/>
          <w:szCs w:val="16"/>
        </w:rPr>
      </w:pPr>
      <w:r w:rsidRPr="008B675C">
        <w:rPr>
          <w:rStyle w:val="FootnoteReference"/>
          <w:sz w:val="16"/>
          <w:szCs w:val="16"/>
        </w:rPr>
        <w:footnoteRef/>
      </w:r>
      <w:r w:rsidRPr="008B675C">
        <w:rPr>
          <w:sz w:val="16"/>
          <w:szCs w:val="16"/>
        </w:rPr>
        <w:t xml:space="preserve"> “Peraturan Menteri Pendidikan dan Kebudayaan tentang Pakaian Seragam Sekolah Bagi Peserta Didik Jenjang Pendidikan Dasar dan Menengah” (Minister of Education and Culture Regulation on School Uniform for Primary and High Education), no. 45/2014, </w:t>
      </w:r>
      <w:hyperlink r:id="rId4" w:history="1">
        <w:r w:rsidRPr="008B675C">
          <w:rPr>
            <w:rStyle w:val="Hyperlink"/>
            <w:sz w:val="16"/>
            <w:szCs w:val="16"/>
          </w:rPr>
          <w:t>http://simpuh.kemenag.go.id/regulasi/permendikbud_45_14.pdf</w:t>
        </w:r>
      </w:hyperlink>
      <w:r w:rsidRPr="008B675C">
        <w:rPr>
          <w:sz w:val="16"/>
          <w:szCs w:val="16"/>
        </w:rPr>
        <w:t xml:space="preserve"> (accessed on August 7, 2019).</w:t>
      </w:r>
    </w:p>
  </w:footnote>
  <w:footnote w:id="5">
    <w:p w14:paraId="29D8116A" w14:textId="5DD820F9" w:rsidR="005B6C4C" w:rsidRPr="008B675C" w:rsidRDefault="005B6C4C" w:rsidP="00197C92">
      <w:pPr>
        <w:pStyle w:val="FootnoteText"/>
        <w:rPr>
          <w:sz w:val="16"/>
          <w:szCs w:val="16"/>
        </w:rPr>
      </w:pPr>
      <w:r w:rsidRPr="008B675C">
        <w:rPr>
          <w:rStyle w:val="FootnoteReference"/>
          <w:sz w:val="16"/>
          <w:szCs w:val="16"/>
        </w:rPr>
        <w:footnoteRef/>
      </w:r>
      <w:r w:rsidRPr="008B675C">
        <w:rPr>
          <w:sz w:val="16"/>
          <w:szCs w:val="16"/>
        </w:rPr>
        <w:t xml:space="preserve"> </w:t>
      </w:r>
      <w:r w:rsidR="00F739EF" w:rsidRPr="008B675C">
        <w:rPr>
          <w:sz w:val="16"/>
          <w:szCs w:val="16"/>
        </w:rPr>
        <w:t xml:space="preserve">“Indonesia: Enforce Dress Code Ban,” Human Rights Watch news release, February 5, 2021, </w:t>
      </w:r>
      <w:hyperlink r:id="rId5" w:history="1">
        <w:r w:rsidR="00F739EF" w:rsidRPr="008B675C">
          <w:rPr>
            <w:rStyle w:val="Hyperlink"/>
            <w:sz w:val="16"/>
            <w:szCs w:val="16"/>
          </w:rPr>
          <w:t>https://www.hrw.org/news/2021/02/05/indonesia-enforce-dress-code-ban</w:t>
        </w:r>
      </w:hyperlink>
      <w:r w:rsidR="00F739EF" w:rsidRPr="008B675C">
        <w:rPr>
          <w:sz w:val="16"/>
          <w:szCs w:val="16"/>
        </w:rPr>
        <w:t>.</w:t>
      </w:r>
    </w:p>
  </w:footnote>
  <w:footnote w:id="6">
    <w:p w14:paraId="56B150BF" w14:textId="722DAA9C" w:rsidR="00790A33" w:rsidRPr="008B675C" w:rsidRDefault="00790A33">
      <w:pPr>
        <w:pStyle w:val="FootnoteText"/>
        <w:rPr>
          <w:sz w:val="16"/>
          <w:szCs w:val="16"/>
        </w:rPr>
      </w:pPr>
      <w:r w:rsidRPr="008B675C">
        <w:rPr>
          <w:rStyle w:val="FootnoteReference"/>
          <w:sz w:val="16"/>
          <w:szCs w:val="16"/>
        </w:rPr>
        <w:footnoteRef/>
      </w:r>
      <w:r w:rsidRPr="008B675C">
        <w:rPr>
          <w:sz w:val="16"/>
          <w:szCs w:val="16"/>
        </w:rPr>
        <w:t xml:space="preserve"> </w:t>
      </w:r>
      <w:r w:rsidR="00D646B4" w:rsidRPr="008B675C">
        <w:rPr>
          <w:sz w:val="16"/>
          <w:szCs w:val="16"/>
        </w:rPr>
        <w:t xml:space="preserve">Andreas Harsono, “Indonesia Supreme Court Supports Mandatory Jilbab Rule,” Human Rights Watch, July 1, 2021, </w:t>
      </w:r>
      <w:hyperlink r:id="rId6" w:history="1">
        <w:r w:rsidR="00D646B4" w:rsidRPr="008B675C">
          <w:rPr>
            <w:rStyle w:val="Hyperlink"/>
            <w:sz w:val="16"/>
            <w:szCs w:val="16"/>
          </w:rPr>
          <w:t>https://www.hrw.org/news/2021/07/01/indonesia-supreme-court-supports-mandatory-jilbab-rule</w:t>
        </w:r>
      </w:hyperlink>
      <w:r w:rsidR="00D646B4" w:rsidRPr="008B675C">
        <w:rPr>
          <w:sz w:val="16"/>
          <w:szCs w:val="16"/>
        </w:rPr>
        <w:t xml:space="preserve">. </w:t>
      </w:r>
    </w:p>
  </w:footnote>
  <w:footnote w:id="7">
    <w:p w14:paraId="1122E624" w14:textId="3139AEFE" w:rsidR="00F739EF" w:rsidRPr="008B675C" w:rsidRDefault="00F739EF" w:rsidP="00F739EF">
      <w:pPr>
        <w:pStyle w:val="FootnoteText"/>
        <w:rPr>
          <w:sz w:val="16"/>
          <w:szCs w:val="16"/>
        </w:rPr>
      </w:pPr>
      <w:r w:rsidRPr="008B675C">
        <w:rPr>
          <w:rStyle w:val="FootnoteReference"/>
          <w:sz w:val="16"/>
          <w:szCs w:val="16"/>
        </w:rPr>
        <w:footnoteRef/>
      </w:r>
      <w:r w:rsidRPr="008B675C">
        <w:rPr>
          <w:sz w:val="16"/>
          <w:szCs w:val="16"/>
        </w:rPr>
        <w:t xml:space="preserve"> These jilbab regulations are effective in 24 of Indonesia’s 34 provinces with a total of 214 million people or around 90 percent of a total national population of 238 million in 2010. A 2019 report by the Jakarta-based Alvara Research Centre found that about 75 percent of Muslim women in Indonesia were wearing the jilbab. Alvara Research Center, </w:t>
      </w:r>
      <w:r w:rsidRPr="008B675C">
        <w:rPr>
          <w:i/>
          <w:iCs/>
          <w:sz w:val="16"/>
          <w:szCs w:val="16"/>
        </w:rPr>
        <w:t>Indonesia Muslim Report 2019</w:t>
      </w:r>
      <w:r w:rsidRPr="008B675C">
        <w:rPr>
          <w:sz w:val="16"/>
          <w:szCs w:val="16"/>
        </w:rPr>
        <w:t xml:space="preserve">: </w:t>
      </w:r>
      <w:r w:rsidRPr="008B675C">
        <w:rPr>
          <w:i/>
          <w:iCs/>
          <w:sz w:val="16"/>
          <w:szCs w:val="16"/>
        </w:rPr>
        <w:t>The Challenges of Indonesia Moderate Moslems</w:t>
      </w:r>
      <w:r w:rsidRPr="008B675C">
        <w:rPr>
          <w:sz w:val="16"/>
          <w:szCs w:val="16"/>
        </w:rPr>
        <w:t>” (Jakarta: December 2019).</w:t>
      </w:r>
      <w:r w:rsidR="00766BFE" w:rsidRPr="008B675C">
        <w:rPr>
          <w:sz w:val="16"/>
          <w:szCs w:val="16"/>
        </w:rPr>
        <w:t xml:space="preserve"> </w:t>
      </w:r>
    </w:p>
  </w:footnote>
  <w:footnote w:id="8">
    <w:p w14:paraId="0D69DF27" w14:textId="77777777" w:rsidR="00BF7704" w:rsidRPr="008B675C" w:rsidRDefault="00BF7704" w:rsidP="00BF7704">
      <w:pPr>
        <w:pStyle w:val="FootnoteText"/>
        <w:rPr>
          <w:sz w:val="16"/>
          <w:szCs w:val="16"/>
        </w:rPr>
      </w:pPr>
      <w:r w:rsidRPr="008B675C">
        <w:rPr>
          <w:rStyle w:val="FootnoteReference"/>
          <w:sz w:val="16"/>
          <w:szCs w:val="16"/>
        </w:rPr>
        <w:footnoteRef/>
      </w:r>
      <w:r w:rsidRPr="008B675C">
        <w:rPr>
          <w:sz w:val="16"/>
          <w:szCs w:val="16"/>
        </w:rPr>
        <w:t xml:space="preserve"> In August 2005, Gamawan Fauzi, the governor of West Sumatra, issued a letter number 260/2005, calling on all Muslims to wear Islamic attire. A copy is available upon request.</w:t>
      </w:r>
    </w:p>
  </w:footnote>
  <w:footnote w:id="9">
    <w:p w14:paraId="31A28248" w14:textId="77777777" w:rsidR="00BF7704" w:rsidRPr="008B675C" w:rsidRDefault="00BF7704" w:rsidP="00BF7704">
      <w:pPr>
        <w:pStyle w:val="FootnoteText"/>
        <w:rPr>
          <w:sz w:val="16"/>
          <w:szCs w:val="16"/>
        </w:rPr>
      </w:pPr>
      <w:r w:rsidRPr="008B675C">
        <w:rPr>
          <w:rStyle w:val="FootnoteReference"/>
          <w:sz w:val="16"/>
          <w:szCs w:val="16"/>
        </w:rPr>
        <w:footnoteRef/>
      </w:r>
      <w:r w:rsidRPr="008B675C">
        <w:rPr>
          <w:sz w:val="16"/>
          <w:szCs w:val="16"/>
        </w:rPr>
        <w:t xml:space="preserve"> Human Rights Watch, </w:t>
      </w:r>
      <w:r w:rsidRPr="008B675C">
        <w:rPr>
          <w:i/>
          <w:sz w:val="16"/>
          <w:szCs w:val="16"/>
        </w:rPr>
        <w:t>Policing Morality: Abuses in the Application of Sharia in Aceh, Indonesia</w:t>
      </w:r>
      <w:r w:rsidRPr="008B675C">
        <w:rPr>
          <w:sz w:val="16"/>
          <w:szCs w:val="16"/>
        </w:rPr>
        <w:t xml:space="preserve"> (New York: Human Rights Watch, 2010) </w:t>
      </w:r>
      <w:hyperlink r:id="rId7" w:history="1">
        <w:r w:rsidRPr="008B675C">
          <w:rPr>
            <w:rStyle w:val="Hyperlink"/>
            <w:sz w:val="16"/>
            <w:szCs w:val="16"/>
          </w:rPr>
          <w:t>https://www.hrw.org/report/2010/11/30/policing-morality/abuses-application-sharia-aceh-indonesia</w:t>
        </w:r>
      </w:hyperlink>
      <w:r w:rsidRPr="008B675C">
        <w:rPr>
          <w:sz w:val="16"/>
          <w:szCs w:val="16"/>
        </w:rPr>
        <w:t>.</w:t>
      </w:r>
    </w:p>
  </w:footnote>
  <w:footnote w:id="10">
    <w:p w14:paraId="426CD6F4" w14:textId="77777777" w:rsidR="00BF7704" w:rsidRPr="008B675C" w:rsidRDefault="00BF7704" w:rsidP="00BF7704">
      <w:pPr>
        <w:pStyle w:val="FootnoteText"/>
        <w:rPr>
          <w:sz w:val="16"/>
          <w:szCs w:val="16"/>
        </w:rPr>
      </w:pPr>
      <w:r w:rsidRPr="008B675C">
        <w:rPr>
          <w:rStyle w:val="FootnoteReference"/>
          <w:sz w:val="16"/>
          <w:szCs w:val="16"/>
        </w:rPr>
        <w:footnoteRef/>
      </w:r>
      <w:r w:rsidRPr="008B675C">
        <w:rPr>
          <w:sz w:val="16"/>
          <w:szCs w:val="16"/>
        </w:rPr>
        <w:t xml:space="preserve"> “Ombudsman Minta Revisi Aturan Wajib Jilbab di SMP Yogyakarta,” (Ombusdman Asks Revision of the Mandatory Jilbab Regulation in Yogyakarta School), </w:t>
      </w:r>
      <w:r w:rsidRPr="008B675C">
        <w:rPr>
          <w:i/>
          <w:iCs/>
          <w:sz w:val="16"/>
          <w:szCs w:val="16"/>
        </w:rPr>
        <w:t>CNN Indonesia</w:t>
      </w:r>
      <w:r w:rsidRPr="008B675C">
        <w:rPr>
          <w:sz w:val="16"/>
          <w:szCs w:val="16"/>
        </w:rPr>
        <w:t xml:space="preserve">, February 8, 2019, </w:t>
      </w:r>
      <w:hyperlink r:id="rId8" w:history="1">
        <w:r w:rsidRPr="008B675C">
          <w:rPr>
            <w:rStyle w:val="Hyperlink"/>
            <w:sz w:val="16"/>
            <w:szCs w:val="16"/>
          </w:rPr>
          <w:t>https://www.cnnindonesia.com/nasional/20190208074321-20-367371/ombudsman-minta-revisi-aturan-wajib-jilbab-di-smp-yogyakarta</w:t>
        </w:r>
      </w:hyperlink>
      <w:r w:rsidRPr="008B675C">
        <w:rPr>
          <w:sz w:val="16"/>
          <w:szCs w:val="16"/>
        </w:rPr>
        <w:t xml:space="preserve"> (accessed on April 21, 2019).</w:t>
      </w:r>
    </w:p>
  </w:footnote>
  <w:footnote w:id="11">
    <w:p w14:paraId="647F1D77" w14:textId="77777777" w:rsidR="00BF7704" w:rsidRPr="008B675C" w:rsidRDefault="00BF7704" w:rsidP="00BF7704">
      <w:pPr>
        <w:pStyle w:val="FootnoteText"/>
        <w:rPr>
          <w:sz w:val="16"/>
          <w:szCs w:val="16"/>
        </w:rPr>
      </w:pPr>
      <w:r w:rsidRPr="008B675C">
        <w:rPr>
          <w:rStyle w:val="FootnoteReference"/>
          <w:sz w:val="16"/>
          <w:szCs w:val="16"/>
        </w:rPr>
        <w:footnoteRef/>
      </w:r>
      <w:r w:rsidRPr="008B675C">
        <w:rPr>
          <w:sz w:val="16"/>
          <w:szCs w:val="16"/>
        </w:rPr>
        <w:t xml:space="preserve"> On July 16, 2017, </w:t>
      </w:r>
      <w:r w:rsidRPr="008B675C">
        <w:rPr>
          <w:i/>
          <w:iCs/>
          <w:sz w:val="16"/>
          <w:szCs w:val="16"/>
        </w:rPr>
        <w:t>Kompas</w:t>
      </w:r>
      <w:r w:rsidRPr="008B675C">
        <w:rPr>
          <w:sz w:val="16"/>
          <w:szCs w:val="16"/>
        </w:rPr>
        <w:t xml:space="preserve"> newspaper reported that Yenima Swandina Alfa, a new student in SMPN3 junior high school in Genteng area, Banyuwangi, had cancelled her enrollment after she was asked to sign a document declaring that she was willing to wear the jilbab as part of her school uniform despite her Catholic faith. Banyuwangi regent Abdullah Azwar Anas apologized to her and her parents, asking the school to revoke the rule but Human Rights Watch had verified that the school did not do that as of August 2018. "Ada Diskriminasi Terhadap Siswi Non Muslim di Banyuwangi, Bupati Anas Marah," (Discrimination Against Non-Muslim Student in Banyuwang, Regent Anas Upset), </w:t>
      </w:r>
      <w:r w:rsidRPr="008B675C">
        <w:rPr>
          <w:i/>
          <w:iCs/>
          <w:sz w:val="16"/>
          <w:szCs w:val="16"/>
        </w:rPr>
        <w:t>Kompas</w:t>
      </w:r>
      <w:r w:rsidRPr="008B675C">
        <w:rPr>
          <w:sz w:val="16"/>
          <w:szCs w:val="16"/>
        </w:rPr>
        <w:t xml:space="preserve">, July 16, 2017, </w:t>
      </w:r>
      <w:hyperlink r:id="rId9" w:history="1">
        <w:r w:rsidRPr="008B675C">
          <w:rPr>
            <w:rStyle w:val="Hyperlink"/>
            <w:sz w:val="16"/>
            <w:szCs w:val="16"/>
          </w:rPr>
          <w:t>https://regional.kompas.com/read/2017/07/16/23005061/ada-diskriminasi-terhadap-siswi-non-muslim-di-banyuwangi-bupati-anas-marah</w:t>
        </w:r>
      </w:hyperlink>
      <w:r w:rsidRPr="008B675C">
        <w:rPr>
          <w:sz w:val="16"/>
          <w:szCs w:val="16"/>
        </w:rPr>
        <w:t xml:space="preserve"> (accessed on May 25, 2018).</w:t>
      </w:r>
    </w:p>
  </w:footnote>
  <w:footnote w:id="12">
    <w:p w14:paraId="17F7D6A0" w14:textId="21D82C3D" w:rsidR="00766BFE" w:rsidRPr="008B675C" w:rsidRDefault="00766BFE" w:rsidP="00766BFE">
      <w:pPr>
        <w:pStyle w:val="FootnoteText"/>
        <w:rPr>
          <w:sz w:val="16"/>
          <w:szCs w:val="16"/>
        </w:rPr>
      </w:pPr>
      <w:r w:rsidRPr="008B675C">
        <w:rPr>
          <w:rStyle w:val="FootnoteReference"/>
          <w:sz w:val="16"/>
          <w:szCs w:val="16"/>
        </w:rPr>
        <w:footnoteRef/>
      </w:r>
      <w:r w:rsidRPr="008B675C">
        <w:rPr>
          <w:sz w:val="16"/>
          <w:szCs w:val="16"/>
        </w:rPr>
        <w:t xml:space="preserve"> Human Rights Watch, </w:t>
      </w:r>
      <w:r w:rsidRPr="008B675C">
        <w:rPr>
          <w:i/>
          <w:iCs/>
          <w:sz w:val="16"/>
          <w:szCs w:val="16"/>
        </w:rPr>
        <w:t>“I Wanted to Run Away”: Abusive Dress Codes for Women and Girls in Indonesia</w:t>
      </w:r>
      <w:r w:rsidRPr="008B675C">
        <w:rPr>
          <w:sz w:val="16"/>
          <w:szCs w:val="16"/>
        </w:rPr>
        <w:t xml:space="preserve"> (New York: Human Rights Watch, 2021) </w:t>
      </w:r>
      <w:hyperlink r:id="rId10" w:history="1">
        <w:r w:rsidRPr="008B675C">
          <w:rPr>
            <w:rStyle w:val="Hyperlink"/>
            <w:sz w:val="16"/>
            <w:szCs w:val="16"/>
          </w:rPr>
          <w:t>https://www.hrw.org/report/2021/03/18/i-wanted-run-away/abusive-dress-codes-women-and-girls-indonesia</w:t>
        </w:r>
      </w:hyperlink>
      <w:r w:rsidRPr="008B675C">
        <w:rPr>
          <w:sz w:val="16"/>
          <w:szCs w:val="16"/>
        </w:rPr>
        <w:t xml:space="preserve">.  </w:t>
      </w:r>
    </w:p>
  </w:footnote>
  <w:footnote w:id="13">
    <w:p w14:paraId="4B35BE97" w14:textId="145BA256" w:rsidR="005B6C4C" w:rsidRPr="008B675C" w:rsidRDefault="005B6C4C">
      <w:pPr>
        <w:pStyle w:val="FootnoteText"/>
        <w:rPr>
          <w:sz w:val="16"/>
          <w:szCs w:val="16"/>
        </w:rPr>
      </w:pPr>
      <w:r w:rsidRPr="008B675C">
        <w:rPr>
          <w:rStyle w:val="FootnoteReference"/>
          <w:sz w:val="16"/>
          <w:szCs w:val="16"/>
        </w:rPr>
        <w:footnoteRef/>
      </w:r>
      <w:r w:rsidRPr="008B675C">
        <w:rPr>
          <w:sz w:val="16"/>
          <w:szCs w:val="16"/>
        </w:rPr>
        <w:t xml:space="preserve"> Human Rights Watch, </w:t>
      </w:r>
      <w:r w:rsidRPr="008B675C">
        <w:rPr>
          <w:i/>
          <w:iCs/>
          <w:sz w:val="16"/>
          <w:szCs w:val="16"/>
        </w:rPr>
        <w:t>Policing Morality: Abuses in the Application of Sharia in Aceh, Indonesia</w:t>
      </w:r>
      <w:r w:rsidRPr="008B675C">
        <w:rPr>
          <w:sz w:val="16"/>
          <w:szCs w:val="16"/>
        </w:rPr>
        <w:t xml:space="preserve"> (New York: Human Rights Watch, 2010), </w:t>
      </w:r>
      <w:hyperlink r:id="rId11" w:history="1">
        <w:r w:rsidRPr="008B675C">
          <w:rPr>
            <w:rStyle w:val="Hyperlink"/>
            <w:sz w:val="16"/>
            <w:szCs w:val="16"/>
          </w:rPr>
          <w:t>https://www.hrw.org/en/reports/2010/12/01/policing-morality-0</w:t>
        </w:r>
      </w:hyperlink>
      <w:r w:rsidRPr="008B675C">
        <w:rPr>
          <w:sz w:val="16"/>
          <w:szCs w:val="16"/>
        </w:rPr>
        <w:t>.</w:t>
      </w:r>
    </w:p>
  </w:footnote>
  <w:footnote w:id="14">
    <w:p w14:paraId="7C836C13" w14:textId="68E4A711" w:rsidR="005B6C4C" w:rsidRPr="008B675C" w:rsidRDefault="005B6C4C">
      <w:pPr>
        <w:pStyle w:val="FootnoteText"/>
        <w:rPr>
          <w:sz w:val="16"/>
          <w:szCs w:val="16"/>
        </w:rPr>
      </w:pPr>
      <w:r w:rsidRPr="008B675C">
        <w:rPr>
          <w:rStyle w:val="FootnoteReference"/>
          <w:sz w:val="16"/>
          <w:szCs w:val="16"/>
        </w:rPr>
        <w:footnoteRef/>
      </w:r>
      <w:r w:rsidRPr="008B675C">
        <w:rPr>
          <w:sz w:val="16"/>
          <w:szCs w:val="16"/>
        </w:rPr>
        <w:t xml:space="preserve"> “Indonesia: Aceh’s New Islamic Laws Violate Rights,” Human Rights Watch news release, October 2, 2014, </w:t>
      </w:r>
      <w:hyperlink r:id="rId12" w:history="1">
        <w:r w:rsidRPr="008B675C">
          <w:rPr>
            <w:rStyle w:val="Hyperlink"/>
            <w:sz w:val="16"/>
            <w:szCs w:val="16"/>
          </w:rPr>
          <w:t>https://www.hrw.org/news/2014/10/02/indonesia-acehs-new-islamic-laws-violate-rights</w:t>
        </w:r>
      </w:hyperlink>
      <w:r w:rsidRPr="008B675C">
        <w:rPr>
          <w:sz w:val="16"/>
          <w:szCs w:val="16"/>
        </w:rPr>
        <w:t>.</w:t>
      </w:r>
    </w:p>
  </w:footnote>
  <w:footnote w:id="15">
    <w:p w14:paraId="06B970DD" w14:textId="77777777" w:rsidR="00EF00C8" w:rsidRPr="008B675C" w:rsidRDefault="00EF00C8" w:rsidP="00EF00C8">
      <w:pPr>
        <w:pStyle w:val="FootnoteText"/>
        <w:rPr>
          <w:sz w:val="16"/>
          <w:szCs w:val="16"/>
        </w:rPr>
      </w:pPr>
      <w:r w:rsidRPr="008B675C">
        <w:rPr>
          <w:rStyle w:val="FootnoteReference"/>
          <w:sz w:val="16"/>
          <w:szCs w:val="16"/>
        </w:rPr>
        <w:footnoteRef/>
      </w:r>
      <w:r w:rsidRPr="008B675C">
        <w:rPr>
          <w:sz w:val="16"/>
          <w:szCs w:val="16"/>
        </w:rPr>
        <w:t xml:space="preserve"> “Indonesia: Draft Criminal Code Disastrous for Rights,” Human Rights Watch news release, September 18, 2019, </w:t>
      </w:r>
      <w:hyperlink r:id="rId13" w:history="1">
        <w:r w:rsidRPr="008B675C">
          <w:rPr>
            <w:rStyle w:val="Hyperlink"/>
            <w:sz w:val="16"/>
            <w:szCs w:val="16"/>
          </w:rPr>
          <w:t>https://www.hrw.org/news/2019/09/18/indonesia-draft-criminal-code-disastrous-rights</w:t>
        </w:r>
      </w:hyperlink>
      <w:r w:rsidRPr="008B675C">
        <w:rPr>
          <w:sz w:val="16"/>
          <w:szCs w:val="16"/>
        </w:rPr>
        <w:t xml:space="preserve">. </w:t>
      </w:r>
    </w:p>
  </w:footnote>
  <w:footnote w:id="16">
    <w:p w14:paraId="448D62D0" w14:textId="0B814268" w:rsidR="007F2083" w:rsidRPr="008B675C" w:rsidRDefault="007F2083">
      <w:pPr>
        <w:pStyle w:val="FootnoteText"/>
        <w:rPr>
          <w:sz w:val="16"/>
          <w:szCs w:val="16"/>
        </w:rPr>
      </w:pPr>
      <w:r w:rsidRPr="008B675C">
        <w:rPr>
          <w:rStyle w:val="FootnoteReference"/>
          <w:sz w:val="16"/>
          <w:szCs w:val="16"/>
        </w:rPr>
        <w:footnoteRef/>
      </w:r>
      <w:r w:rsidRPr="008B675C">
        <w:rPr>
          <w:sz w:val="16"/>
          <w:szCs w:val="16"/>
        </w:rPr>
        <w:t xml:space="preserve"> Andreas Harsono, “Indonesia Army Chief to Terminate Unscientific ‘Virginity Test,</w:t>
      </w:r>
      <w:r w:rsidR="00E30543" w:rsidRPr="008B675C">
        <w:rPr>
          <w:sz w:val="16"/>
          <w:szCs w:val="16"/>
        </w:rPr>
        <w:t>’</w:t>
      </w:r>
      <w:r w:rsidRPr="008B675C">
        <w:rPr>
          <w:sz w:val="16"/>
          <w:szCs w:val="16"/>
        </w:rPr>
        <w:t xml:space="preserve">” Human Rights Watch, August 3, 2021, </w:t>
      </w:r>
      <w:hyperlink r:id="rId14" w:history="1">
        <w:r w:rsidRPr="008B675C">
          <w:rPr>
            <w:rStyle w:val="Hyperlink"/>
            <w:sz w:val="16"/>
            <w:szCs w:val="16"/>
          </w:rPr>
          <w:t>https://www.hrw.org/news/2021/08/03/indonesia-army-chief-terminate-unscientific-virginity-test</w:t>
        </w:r>
      </w:hyperlink>
      <w:r w:rsidRPr="008B675C">
        <w:rPr>
          <w:sz w:val="16"/>
          <w:szCs w:val="16"/>
        </w:rPr>
        <w:t xml:space="preserve">.  </w:t>
      </w:r>
    </w:p>
  </w:footnote>
  <w:footnote w:id="17">
    <w:p w14:paraId="49F8079B" w14:textId="50174C79" w:rsidR="009C0974" w:rsidRPr="008B675C" w:rsidRDefault="009C0974">
      <w:pPr>
        <w:pStyle w:val="FootnoteText"/>
        <w:rPr>
          <w:sz w:val="16"/>
          <w:szCs w:val="16"/>
        </w:rPr>
      </w:pPr>
      <w:r w:rsidRPr="008B675C">
        <w:rPr>
          <w:rStyle w:val="FootnoteReference"/>
          <w:sz w:val="16"/>
          <w:szCs w:val="16"/>
        </w:rPr>
        <w:footnoteRef/>
      </w:r>
      <w:r w:rsidRPr="008B675C">
        <w:rPr>
          <w:sz w:val="16"/>
          <w:szCs w:val="16"/>
        </w:rPr>
        <w:t xml:space="preserve"> </w:t>
      </w:r>
      <w:r w:rsidR="007953C2" w:rsidRPr="008B675C">
        <w:rPr>
          <w:sz w:val="16"/>
          <w:szCs w:val="16"/>
        </w:rPr>
        <w:t xml:space="preserve">“General Recommendation,” </w:t>
      </w:r>
      <w:r w:rsidRPr="008B675C">
        <w:rPr>
          <w:sz w:val="16"/>
          <w:szCs w:val="16"/>
        </w:rPr>
        <w:t>CEDAW and CRC</w:t>
      </w:r>
      <w:r w:rsidR="007953C2" w:rsidRPr="008B675C">
        <w:rPr>
          <w:sz w:val="16"/>
          <w:szCs w:val="16"/>
        </w:rPr>
        <w:t>, 2014,</w:t>
      </w:r>
      <w:r w:rsidRPr="008B675C">
        <w:rPr>
          <w:sz w:val="16"/>
          <w:szCs w:val="16"/>
        </w:rPr>
        <w:t xml:space="preserve"> </w:t>
      </w:r>
      <w:hyperlink r:id="rId15" w:history="1">
        <w:r w:rsidR="007953C2" w:rsidRPr="008B675C">
          <w:rPr>
            <w:rStyle w:val="Hyperlink"/>
            <w:sz w:val="16"/>
            <w:szCs w:val="16"/>
          </w:rPr>
          <w:t>https://documents-dds-ny.un.org/doc/UNDOC/GEN/N14/627/78/PDF/N1462778.pdf?OpenElement</w:t>
        </w:r>
      </w:hyperlink>
      <w:r w:rsidR="007953C2" w:rsidRPr="008B675C">
        <w:rPr>
          <w:sz w:val="16"/>
          <w:szCs w:val="16"/>
        </w:rPr>
        <w:t xml:space="preserve"> (accessed on June 3, 2020).</w:t>
      </w:r>
    </w:p>
  </w:footnote>
  <w:footnote w:id="18">
    <w:p w14:paraId="42E4C7A5" w14:textId="77777777" w:rsidR="001B3BF6" w:rsidRPr="008B675C" w:rsidRDefault="001B3BF6" w:rsidP="001B3BF6">
      <w:pPr>
        <w:pStyle w:val="FootnoteText"/>
        <w:rPr>
          <w:sz w:val="16"/>
          <w:szCs w:val="16"/>
        </w:rPr>
      </w:pPr>
      <w:r w:rsidRPr="008B675C">
        <w:rPr>
          <w:rStyle w:val="FootnoteReference"/>
          <w:sz w:val="16"/>
          <w:szCs w:val="16"/>
        </w:rPr>
        <w:footnoteRef/>
      </w:r>
      <w:r w:rsidRPr="008B675C">
        <w:rPr>
          <w:sz w:val="16"/>
          <w:szCs w:val="16"/>
        </w:rPr>
        <w:t xml:space="preserve"> World Health Organization, United Nations Office of the High Commissioner for Human Rights, United Nation Women, </w:t>
      </w:r>
      <w:r w:rsidRPr="008B675C">
        <w:rPr>
          <w:i/>
          <w:iCs/>
          <w:sz w:val="16"/>
          <w:szCs w:val="16"/>
        </w:rPr>
        <w:t>Eliminating Virginity Testing: An Interagency Statement</w:t>
      </w:r>
      <w:r w:rsidRPr="008B675C">
        <w:rPr>
          <w:sz w:val="16"/>
          <w:szCs w:val="16"/>
        </w:rPr>
        <w:t xml:space="preserve"> (Geneva: United Nations, 2018), </w:t>
      </w:r>
      <w:hyperlink r:id="rId16" w:history="1">
        <w:r w:rsidRPr="008B675C">
          <w:rPr>
            <w:rStyle w:val="Hyperlink"/>
            <w:sz w:val="16"/>
            <w:szCs w:val="16"/>
          </w:rPr>
          <w:t>https://apps.who.int/iris/bitstream/handle/10665/275451/WHO-RHR-18.15-eng.pdf?ua=1</w:t>
        </w:r>
      </w:hyperlink>
      <w:r w:rsidRPr="008B675C">
        <w:rPr>
          <w:sz w:val="16"/>
          <w:szCs w:val="16"/>
        </w:rPr>
        <w:t xml:space="preserve"> (accessed on June 3, 2020).</w:t>
      </w:r>
    </w:p>
  </w:footnote>
  <w:footnote w:id="19">
    <w:p w14:paraId="011B3C1B" w14:textId="78DD3DA2" w:rsidR="005B6C4C" w:rsidRPr="008B675C" w:rsidRDefault="005B6C4C" w:rsidP="00CB5A56">
      <w:pPr>
        <w:pStyle w:val="FootnoteText"/>
        <w:rPr>
          <w:sz w:val="16"/>
          <w:szCs w:val="16"/>
        </w:rPr>
      </w:pPr>
      <w:r w:rsidRPr="008B675C">
        <w:rPr>
          <w:rStyle w:val="FootnoteReference"/>
          <w:sz w:val="16"/>
          <w:szCs w:val="16"/>
        </w:rPr>
        <w:footnoteRef/>
      </w:r>
      <w:r w:rsidRPr="008B675C">
        <w:rPr>
          <w:sz w:val="16"/>
          <w:szCs w:val="16"/>
        </w:rPr>
        <w:t xml:space="preserve"> “Indonesia: Medical Groups Silent on Abusive ‘Virginity Tests</w:t>
      </w:r>
      <w:r w:rsidR="00E30543" w:rsidRPr="008B675C">
        <w:rPr>
          <w:sz w:val="16"/>
          <w:szCs w:val="16"/>
        </w:rPr>
        <w:t>,</w:t>
      </w:r>
      <w:r w:rsidRPr="008B675C">
        <w:rPr>
          <w:sz w:val="16"/>
          <w:szCs w:val="16"/>
        </w:rPr>
        <w:t xml:space="preserve">’” Human Rights Watch news release, July 3, 2018, </w:t>
      </w:r>
      <w:hyperlink r:id="rId17" w:history="1">
        <w:r w:rsidRPr="008B675C">
          <w:rPr>
            <w:rStyle w:val="Hyperlink"/>
            <w:sz w:val="16"/>
            <w:szCs w:val="16"/>
          </w:rPr>
          <w:t>https://www.hrw.org/news/2018/03/07/indonesia-medical-groups-silent-abusive-virginity-tests</w:t>
        </w:r>
      </w:hyperlink>
      <w:r w:rsidRPr="008B675C">
        <w:rPr>
          <w:sz w:val="16"/>
          <w:szCs w:val="16"/>
        </w:rPr>
        <w:t>.</w:t>
      </w:r>
    </w:p>
  </w:footnote>
  <w:footnote w:id="20">
    <w:p w14:paraId="60BAECAD" w14:textId="71607D24" w:rsidR="005B6C4C" w:rsidRPr="008B675C" w:rsidRDefault="005B6C4C">
      <w:pPr>
        <w:pStyle w:val="FootnoteText"/>
        <w:rPr>
          <w:sz w:val="16"/>
          <w:szCs w:val="16"/>
        </w:rPr>
      </w:pPr>
      <w:r w:rsidRPr="008B675C">
        <w:rPr>
          <w:rStyle w:val="FootnoteReference"/>
          <w:sz w:val="16"/>
          <w:szCs w:val="16"/>
        </w:rPr>
        <w:footnoteRef/>
      </w:r>
      <w:r w:rsidRPr="008B675C">
        <w:rPr>
          <w:sz w:val="16"/>
          <w:szCs w:val="16"/>
        </w:rPr>
        <w:t xml:space="preserve"> Human Rights Watch, </w:t>
      </w:r>
      <w:r w:rsidR="0050170B" w:rsidRPr="008B675C">
        <w:rPr>
          <w:sz w:val="16"/>
          <w:szCs w:val="16"/>
        </w:rPr>
        <w:t>“</w:t>
      </w:r>
      <w:r w:rsidRPr="008B675C">
        <w:rPr>
          <w:i/>
          <w:iCs/>
          <w:sz w:val="16"/>
          <w:szCs w:val="16"/>
        </w:rPr>
        <w:t>When We Lost the Forest, We Lost Everything”: Oil Palm Plantations and Rights Violations in Indonesia</w:t>
      </w:r>
      <w:r w:rsidRPr="008B675C">
        <w:rPr>
          <w:sz w:val="16"/>
          <w:szCs w:val="16"/>
        </w:rPr>
        <w:t xml:space="preserve"> (New York</w:t>
      </w:r>
      <w:r w:rsidR="0050170B" w:rsidRPr="008B675C">
        <w:rPr>
          <w:sz w:val="16"/>
          <w:szCs w:val="16"/>
        </w:rPr>
        <w:t>:</w:t>
      </w:r>
      <w:r w:rsidRPr="008B675C">
        <w:rPr>
          <w:sz w:val="16"/>
          <w:szCs w:val="16"/>
        </w:rPr>
        <w:t xml:space="preserve"> Human Rights Watch, 2019), </w:t>
      </w:r>
      <w:hyperlink r:id="rId18" w:history="1">
        <w:r w:rsidRPr="008B675C">
          <w:rPr>
            <w:rStyle w:val="Hyperlink"/>
            <w:sz w:val="16"/>
            <w:szCs w:val="16"/>
          </w:rPr>
          <w:t>https://www.hrw.org/report/2019/09/23/when-we-lost-forest-we-lost-everything/oil-palm-plantations-and-rights-violations</w:t>
        </w:r>
      </w:hyperlink>
      <w:r w:rsidRPr="008B675C">
        <w:rPr>
          <w:sz w:val="16"/>
          <w:szCs w:val="16"/>
        </w:rPr>
        <w:t xml:space="preserve">. </w:t>
      </w:r>
    </w:p>
  </w:footnote>
  <w:footnote w:id="21">
    <w:p w14:paraId="0D23814D" w14:textId="5A927659" w:rsidR="00CC22AF" w:rsidRPr="008B675C" w:rsidRDefault="00CC22AF">
      <w:pPr>
        <w:pStyle w:val="FootnoteText"/>
        <w:rPr>
          <w:sz w:val="16"/>
          <w:szCs w:val="16"/>
        </w:rPr>
      </w:pPr>
      <w:r w:rsidRPr="008B675C">
        <w:rPr>
          <w:rStyle w:val="FootnoteReference"/>
          <w:sz w:val="16"/>
          <w:szCs w:val="16"/>
        </w:rPr>
        <w:footnoteRef/>
      </w:r>
      <w:r w:rsidRPr="008B675C">
        <w:rPr>
          <w:sz w:val="16"/>
          <w:szCs w:val="16"/>
        </w:rPr>
        <w:t xml:space="preserve"> “Indonesia: Stop Raids on Homes of ‘Suspected Lesbians</w:t>
      </w:r>
      <w:r w:rsidR="00E30543" w:rsidRPr="008B675C">
        <w:rPr>
          <w:sz w:val="16"/>
          <w:szCs w:val="16"/>
        </w:rPr>
        <w:t>,</w:t>
      </w:r>
      <w:r w:rsidRPr="008B675C">
        <w:rPr>
          <w:sz w:val="16"/>
          <w:szCs w:val="16"/>
        </w:rPr>
        <w:t xml:space="preserve">’” Human Rights Watch news release, September 5, 2017, </w:t>
      </w:r>
      <w:hyperlink r:id="rId19" w:history="1">
        <w:r w:rsidRPr="008B675C">
          <w:rPr>
            <w:rStyle w:val="Hyperlink"/>
            <w:sz w:val="16"/>
            <w:szCs w:val="16"/>
          </w:rPr>
          <w:t>https://www.hrw.org/news/2017/09/05/indonesia-stop-raids-homes-suspected-lesbians</w:t>
        </w:r>
      </w:hyperlink>
      <w:r w:rsidRPr="008B675C">
        <w:rPr>
          <w:sz w:val="16"/>
          <w:szCs w:val="16"/>
        </w:rPr>
        <w:t xml:space="preserve">. </w:t>
      </w:r>
    </w:p>
  </w:footnote>
  <w:footnote w:id="22">
    <w:p w14:paraId="59411666" w14:textId="379C4F75" w:rsidR="002C32E8" w:rsidRPr="008B675C" w:rsidRDefault="002C32E8">
      <w:pPr>
        <w:pStyle w:val="FootnoteText"/>
        <w:rPr>
          <w:sz w:val="16"/>
          <w:szCs w:val="16"/>
        </w:rPr>
      </w:pPr>
      <w:r w:rsidRPr="008B675C">
        <w:rPr>
          <w:rStyle w:val="FootnoteReference"/>
          <w:sz w:val="16"/>
          <w:szCs w:val="16"/>
        </w:rPr>
        <w:footnoteRef/>
      </w:r>
      <w:r w:rsidRPr="008B675C">
        <w:rPr>
          <w:sz w:val="16"/>
          <w:szCs w:val="16"/>
        </w:rPr>
        <w:t xml:space="preserve"> Kyle Knight, “Vigilantes Stalk Indonesian Transgender Women,” Human Rights Watch dispatch, December 18, 2018, </w:t>
      </w:r>
      <w:hyperlink r:id="rId20" w:history="1">
        <w:r w:rsidRPr="008B675C">
          <w:rPr>
            <w:rStyle w:val="Hyperlink"/>
            <w:sz w:val="16"/>
            <w:szCs w:val="16"/>
          </w:rPr>
          <w:t>https://www.hrw.org/news/2017/12/18/vigilantes-stalk-indonesian-transgender-women</w:t>
        </w:r>
      </w:hyperlink>
      <w:r w:rsidRPr="008B675C">
        <w:rPr>
          <w:sz w:val="16"/>
          <w:szCs w:val="16"/>
        </w:rPr>
        <w:t xml:space="preserve">. </w:t>
      </w:r>
    </w:p>
  </w:footnote>
  <w:footnote w:id="23">
    <w:p w14:paraId="18E492FD" w14:textId="77777777" w:rsidR="00373A2A" w:rsidRPr="008B675C" w:rsidRDefault="00373A2A" w:rsidP="00373A2A">
      <w:pPr>
        <w:pStyle w:val="FootnoteText"/>
        <w:rPr>
          <w:sz w:val="16"/>
          <w:szCs w:val="16"/>
        </w:rPr>
      </w:pPr>
      <w:r w:rsidRPr="008B675C">
        <w:rPr>
          <w:rStyle w:val="FootnoteReference"/>
          <w:sz w:val="16"/>
          <w:szCs w:val="16"/>
        </w:rPr>
        <w:footnoteRef/>
      </w:r>
      <w:r w:rsidRPr="008B675C">
        <w:rPr>
          <w:sz w:val="16"/>
          <w:szCs w:val="16"/>
        </w:rPr>
        <w:t xml:space="preserve"> Andreas Harsono, “Indonesian Police Harass Transgender Women,” Human Rights Watch dispatch, November 8, 2018, </w:t>
      </w:r>
      <w:hyperlink r:id="rId21" w:history="1">
        <w:r w:rsidRPr="008B675C">
          <w:rPr>
            <w:rStyle w:val="Hyperlink"/>
            <w:sz w:val="16"/>
            <w:szCs w:val="16"/>
          </w:rPr>
          <w:t>https://www.hrw.org/news/2018/11/08/indonesian-police-harass-transgender-women</w:t>
        </w:r>
      </w:hyperlink>
      <w:r w:rsidRPr="008B675C">
        <w:rPr>
          <w:sz w:val="16"/>
          <w:szCs w:val="16"/>
        </w:rPr>
        <w:t xml:space="preserve">. </w:t>
      </w:r>
    </w:p>
  </w:footnote>
  <w:footnote w:id="24">
    <w:p w14:paraId="1EE8EADB" w14:textId="136B9915" w:rsidR="0093787B" w:rsidRPr="008B675C" w:rsidRDefault="0093787B" w:rsidP="0093787B">
      <w:pPr>
        <w:pStyle w:val="FootnoteText"/>
        <w:rPr>
          <w:sz w:val="16"/>
          <w:szCs w:val="16"/>
        </w:rPr>
      </w:pPr>
      <w:r w:rsidRPr="008B675C">
        <w:rPr>
          <w:rStyle w:val="FootnoteReference"/>
          <w:sz w:val="16"/>
          <w:szCs w:val="16"/>
        </w:rPr>
        <w:footnoteRef/>
      </w:r>
      <w:r w:rsidRPr="008B675C">
        <w:rPr>
          <w:sz w:val="16"/>
          <w:szCs w:val="16"/>
        </w:rPr>
        <w:t xml:space="preserve"> Arus Pelangi, </w:t>
      </w:r>
      <w:r w:rsidRPr="008B675C">
        <w:rPr>
          <w:i/>
          <w:iCs/>
          <w:sz w:val="16"/>
          <w:szCs w:val="16"/>
        </w:rPr>
        <w:t>Catatan Kelam: 12 Tahun Persekusi LGBTI di Indonesia</w:t>
      </w:r>
      <w:r w:rsidRPr="008B675C">
        <w:rPr>
          <w:sz w:val="16"/>
          <w:szCs w:val="16"/>
        </w:rPr>
        <w:t xml:space="preserve"> (Dark Note: 12 Years of Persecutions of LGBTI in Indonesia), p</w:t>
      </w:r>
      <w:r w:rsidR="00E30543" w:rsidRPr="008B675C">
        <w:rPr>
          <w:sz w:val="16"/>
          <w:szCs w:val="16"/>
        </w:rPr>
        <w:t>p</w:t>
      </w:r>
      <w:r w:rsidRPr="008B675C">
        <w:rPr>
          <w:sz w:val="16"/>
          <w:szCs w:val="16"/>
        </w:rPr>
        <w:t xml:space="preserve">. 72-83, Jakarta: 2019. </w:t>
      </w:r>
    </w:p>
  </w:footnote>
  <w:footnote w:id="25">
    <w:p w14:paraId="3C578CBF" w14:textId="77777777" w:rsidR="00373A2A" w:rsidRPr="008B675C" w:rsidRDefault="00373A2A" w:rsidP="00373A2A">
      <w:pPr>
        <w:pStyle w:val="FootnoteText"/>
        <w:rPr>
          <w:sz w:val="16"/>
          <w:szCs w:val="16"/>
        </w:rPr>
      </w:pPr>
      <w:r w:rsidRPr="008B675C">
        <w:rPr>
          <w:rStyle w:val="FootnoteReference"/>
          <w:sz w:val="16"/>
          <w:szCs w:val="16"/>
        </w:rPr>
        <w:footnoteRef/>
      </w:r>
      <w:r w:rsidRPr="008B675C">
        <w:rPr>
          <w:sz w:val="16"/>
          <w:szCs w:val="16"/>
        </w:rPr>
        <w:t xml:space="preserve"> “Indonesia: Draft Criminal Code Disastrous for Rights,” Human Rights Watch news release, September 18, 2019, </w:t>
      </w:r>
      <w:hyperlink r:id="rId22" w:history="1">
        <w:r w:rsidRPr="008B675C">
          <w:rPr>
            <w:rStyle w:val="Hyperlink"/>
            <w:sz w:val="16"/>
            <w:szCs w:val="16"/>
          </w:rPr>
          <w:t>https://www.hrw.org/news/2019/09/18/indonesia-draft-criminal-code-disastrous-rights</w:t>
        </w:r>
      </w:hyperlink>
      <w:r w:rsidRPr="008B675C">
        <w:rPr>
          <w:sz w:val="16"/>
          <w:szCs w:val="16"/>
        </w:rPr>
        <w:t xml:space="preserve">. </w:t>
      </w:r>
    </w:p>
  </w:footnote>
  <w:footnote w:id="26">
    <w:p w14:paraId="0410D9A6" w14:textId="77777777" w:rsidR="008B0F51" w:rsidRPr="008B675C" w:rsidRDefault="008B0F51" w:rsidP="008B0F51">
      <w:pPr>
        <w:pStyle w:val="FootnoteText"/>
        <w:rPr>
          <w:sz w:val="16"/>
          <w:szCs w:val="16"/>
        </w:rPr>
      </w:pPr>
      <w:r w:rsidRPr="008B675C">
        <w:rPr>
          <w:rStyle w:val="FootnoteReference"/>
          <w:sz w:val="16"/>
          <w:szCs w:val="16"/>
        </w:rPr>
        <w:footnoteRef/>
      </w:r>
      <w:r w:rsidRPr="008B675C">
        <w:rPr>
          <w:sz w:val="16"/>
          <w:szCs w:val="16"/>
        </w:rPr>
        <w:t xml:space="preserve"> UNESCO, “Education: From disruption to recovery,” </w:t>
      </w:r>
      <w:hyperlink r:id="rId23" w:anchor="durationschoolclosures" w:history="1">
        <w:r w:rsidRPr="008B675C">
          <w:rPr>
            <w:rStyle w:val="Hyperlink"/>
            <w:sz w:val="16"/>
            <w:szCs w:val="16"/>
          </w:rPr>
          <w:t>https://en.unesco.org/covid19/educationresponse#durationschoolclosures</w:t>
        </w:r>
      </w:hyperlink>
      <w:r w:rsidRPr="008B675C">
        <w:rPr>
          <w:sz w:val="16"/>
          <w:szCs w:val="16"/>
        </w:rPr>
        <w:t xml:space="preserve"> </w:t>
      </w:r>
    </w:p>
  </w:footnote>
  <w:footnote w:id="27">
    <w:p w14:paraId="157A6F27" w14:textId="77777777" w:rsidR="008B0F51" w:rsidRPr="008B675C" w:rsidRDefault="008B0F51" w:rsidP="008B0F51">
      <w:pPr>
        <w:pStyle w:val="FootnoteText"/>
        <w:rPr>
          <w:sz w:val="16"/>
          <w:szCs w:val="16"/>
        </w:rPr>
      </w:pPr>
      <w:r w:rsidRPr="008B675C">
        <w:rPr>
          <w:rStyle w:val="FootnoteReference"/>
          <w:sz w:val="16"/>
          <w:szCs w:val="16"/>
        </w:rPr>
        <w:footnoteRef/>
      </w:r>
      <w:r w:rsidRPr="008B675C">
        <w:rPr>
          <w:sz w:val="16"/>
          <w:szCs w:val="16"/>
        </w:rPr>
        <w:t xml:space="preserve"> Human Rights Watch, </w:t>
      </w:r>
      <w:r w:rsidRPr="008B675C">
        <w:rPr>
          <w:i/>
          <w:iCs/>
          <w:sz w:val="16"/>
          <w:szCs w:val="16"/>
        </w:rPr>
        <w:t>“Years Don’t Wait for Them”: Increased Inequalities in Children’s Right to Education Due to the Covid-19 Pandemic</w:t>
      </w:r>
      <w:r w:rsidRPr="008B675C">
        <w:rPr>
          <w:sz w:val="16"/>
          <w:szCs w:val="16"/>
        </w:rPr>
        <w:t xml:space="preserve"> (New York: Human Rights Watch, 2021), </w:t>
      </w:r>
      <w:hyperlink r:id="rId24" w:history="1">
        <w:r w:rsidRPr="008B675C">
          <w:rPr>
            <w:rStyle w:val="Hyperlink"/>
            <w:sz w:val="16"/>
            <w:szCs w:val="16"/>
          </w:rPr>
          <w:t>https://www.hrw.org/report/2021/05/17/years-dont-wait-them/increased-inequalities-childrens-right-education-due-covid</w:t>
        </w:r>
      </w:hyperlink>
      <w:r w:rsidRPr="008B675C">
        <w:rPr>
          <w:sz w:val="16"/>
          <w:szCs w:val="16"/>
        </w:rPr>
        <w:t xml:space="preserve"> </w:t>
      </w:r>
    </w:p>
  </w:footnote>
  <w:footnote w:id="28">
    <w:p w14:paraId="42B0AF78" w14:textId="77777777" w:rsidR="005B6C4C" w:rsidRPr="008B675C" w:rsidRDefault="005B6C4C" w:rsidP="00E24F2C">
      <w:pPr>
        <w:pStyle w:val="FootnoteText"/>
        <w:rPr>
          <w:sz w:val="16"/>
          <w:szCs w:val="16"/>
        </w:rPr>
      </w:pPr>
      <w:r w:rsidRPr="008B675C">
        <w:rPr>
          <w:rStyle w:val="FootnoteReference"/>
          <w:sz w:val="16"/>
          <w:szCs w:val="16"/>
        </w:rPr>
        <w:footnoteRef/>
      </w:r>
      <w:r w:rsidRPr="008B675C">
        <w:rPr>
          <w:sz w:val="16"/>
          <w:szCs w:val="16"/>
        </w:rPr>
        <w:t xml:space="preserve"> “Over 37,000 displaced by separatist conflict in Indonesia’s Papua province,” </w:t>
      </w:r>
      <w:r w:rsidRPr="008B675C">
        <w:rPr>
          <w:i/>
          <w:iCs/>
          <w:sz w:val="16"/>
          <w:szCs w:val="16"/>
        </w:rPr>
        <w:t xml:space="preserve">Agencia EFE, </w:t>
      </w:r>
      <w:r w:rsidRPr="008B675C">
        <w:rPr>
          <w:sz w:val="16"/>
          <w:szCs w:val="16"/>
        </w:rPr>
        <w:t xml:space="preserve">April 3, 2019, </w:t>
      </w:r>
      <w:hyperlink r:id="rId25" w:history="1">
        <w:r w:rsidRPr="008B675C">
          <w:rPr>
            <w:rStyle w:val="Hyperlink"/>
            <w:sz w:val="16"/>
            <w:szCs w:val="16"/>
          </w:rPr>
          <w:t>https://www.efe.com/efe/english/agencia-efe/over-37-000-displaced-by-separatist-conflict-in-indonesia-s-papua-province/50000270-3943024</w:t>
        </w:r>
      </w:hyperlink>
    </w:p>
    <w:p w14:paraId="0F486CA2" w14:textId="77777777" w:rsidR="005B6C4C" w:rsidRPr="008B675C" w:rsidRDefault="005B6C4C" w:rsidP="00E24F2C">
      <w:pPr>
        <w:pStyle w:val="FootnoteText"/>
        <w:rPr>
          <w:i/>
          <w:iCs/>
          <w:sz w:val="16"/>
          <w:szCs w:val="16"/>
        </w:rPr>
      </w:pPr>
      <w:r w:rsidRPr="008B675C">
        <w:rPr>
          <w:sz w:val="16"/>
          <w:szCs w:val="16"/>
        </w:rPr>
        <w:t xml:space="preserve">“Hundreds of students flee violence in Papua,” </w:t>
      </w:r>
      <w:r w:rsidRPr="008B675C">
        <w:rPr>
          <w:i/>
          <w:iCs/>
          <w:sz w:val="16"/>
          <w:szCs w:val="16"/>
        </w:rPr>
        <w:t xml:space="preserve">The Jakarta Post, </w:t>
      </w:r>
      <w:r w:rsidRPr="008B675C">
        <w:rPr>
          <w:sz w:val="16"/>
          <w:szCs w:val="16"/>
        </w:rPr>
        <w:t xml:space="preserve">February 20, 2019, </w:t>
      </w:r>
      <w:hyperlink r:id="rId26" w:history="1">
        <w:r w:rsidRPr="008B675C">
          <w:rPr>
            <w:rStyle w:val="Hyperlink"/>
            <w:sz w:val="16"/>
            <w:szCs w:val="16"/>
          </w:rPr>
          <w:t>https://www.thejakartapost.com/news/2019/02/20/hundreds-of-students-flee-violence-in-papua.html</w:t>
        </w:r>
      </w:hyperlink>
      <w:r w:rsidRPr="008B675C">
        <w:rPr>
          <w:i/>
          <w:iCs/>
          <w:sz w:val="16"/>
          <w:szCs w:val="16"/>
        </w:rPr>
        <w:t xml:space="preserve"> </w:t>
      </w:r>
    </w:p>
  </w:footnote>
  <w:footnote w:id="29">
    <w:p w14:paraId="687C34C0" w14:textId="3FD30FF8" w:rsidR="005B6C4C" w:rsidRPr="008B675C" w:rsidRDefault="005B6C4C" w:rsidP="00E24F2C">
      <w:pPr>
        <w:contextualSpacing/>
        <w:jc w:val="both"/>
        <w:rPr>
          <w:rFonts w:ascii="MetaPro-Norm" w:hAnsi="MetaPro-Norm"/>
          <w:color w:val="000000" w:themeColor="text1"/>
          <w:sz w:val="16"/>
          <w:szCs w:val="16"/>
        </w:rPr>
      </w:pPr>
      <w:r w:rsidRPr="008B675C">
        <w:rPr>
          <w:rStyle w:val="FootnoteReference"/>
          <w:rFonts w:ascii="MetaPro-Norm" w:eastAsia="SimSun" w:hAnsi="MetaPro-Norm"/>
          <w:color w:val="000000" w:themeColor="text1"/>
          <w:sz w:val="16"/>
          <w:szCs w:val="16"/>
        </w:rPr>
        <w:footnoteRef/>
      </w:r>
      <w:r w:rsidRPr="008B675C">
        <w:rPr>
          <w:rFonts w:ascii="MetaPro-Norm" w:hAnsi="MetaPro-Norm"/>
          <w:color w:val="000000" w:themeColor="text1"/>
          <w:sz w:val="16"/>
          <w:szCs w:val="16"/>
        </w:rPr>
        <w:t xml:space="preserve"> UN Committee on the Elimination of Discrimination against Women, General Recommendation No. 30, Access to Education, UN Doc. CEDAW/C/GC/30 (2013), para. 48.</w:t>
      </w:r>
    </w:p>
  </w:footnote>
  <w:footnote w:id="30">
    <w:p w14:paraId="452FC165" w14:textId="77777777" w:rsidR="005B6C4C" w:rsidRPr="008B675C" w:rsidRDefault="005B6C4C" w:rsidP="00E24F2C">
      <w:pPr>
        <w:pStyle w:val="NoSpacing"/>
        <w:rPr>
          <w:rFonts w:ascii="MetaPro-Norm" w:hAnsi="MetaPro-Norm"/>
          <w:color w:val="000000" w:themeColor="text1"/>
          <w:sz w:val="16"/>
          <w:szCs w:val="16"/>
        </w:rPr>
      </w:pPr>
      <w:r w:rsidRPr="008B675C">
        <w:rPr>
          <w:rStyle w:val="FootnoteReference"/>
          <w:rFonts w:ascii="MetaPro-Norm" w:hAnsi="MetaPro-Norm"/>
          <w:color w:val="000000" w:themeColor="text1"/>
          <w:sz w:val="16"/>
          <w:szCs w:val="16"/>
        </w:rPr>
        <w:footnoteRef/>
      </w:r>
      <w:r w:rsidRPr="008B675C">
        <w:rPr>
          <w:rFonts w:ascii="MetaPro-Norm" w:hAnsi="MetaPro-Norm"/>
          <w:color w:val="000000" w:themeColor="text1"/>
          <w:sz w:val="16"/>
          <w:szCs w:val="16"/>
        </w:rPr>
        <w:t xml:space="preserve"> United Nations Infantry Battalion Manual, 2012, section 2.13, “Schools shall not be used by the military in their operations.”</w:t>
      </w:r>
    </w:p>
  </w:footnote>
  <w:footnote w:id="31">
    <w:p w14:paraId="541B0C7E" w14:textId="77777777" w:rsidR="005B6C4C" w:rsidRPr="008B675C" w:rsidRDefault="005B6C4C" w:rsidP="00E24F2C">
      <w:pPr>
        <w:pStyle w:val="NoSpacing"/>
        <w:rPr>
          <w:rFonts w:ascii="MetaPro-Norm" w:hAnsi="MetaPro-Norm"/>
          <w:color w:val="000000" w:themeColor="text1"/>
          <w:sz w:val="16"/>
          <w:szCs w:val="16"/>
        </w:rPr>
      </w:pPr>
      <w:r w:rsidRPr="008B675C">
        <w:rPr>
          <w:rStyle w:val="FootnoteReference"/>
          <w:rFonts w:ascii="MetaPro-Norm" w:hAnsi="MetaPro-Norm"/>
          <w:color w:val="000000" w:themeColor="text1"/>
          <w:sz w:val="16"/>
          <w:szCs w:val="16"/>
        </w:rPr>
        <w:footnoteRef/>
      </w:r>
      <w:r w:rsidRPr="008B675C">
        <w:rPr>
          <w:rFonts w:ascii="MetaPro-Norm" w:hAnsi="MetaPro-Norm"/>
          <w:color w:val="000000" w:themeColor="text1"/>
          <w:sz w:val="16"/>
          <w:szCs w:val="16"/>
        </w:rPr>
        <w:t xml:space="preserve"> Safe Schools Declaration, May 28, 2015, </w:t>
      </w:r>
      <w:hyperlink r:id="rId27" w:history="1">
        <w:r w:rsidRPr="008B675C">
          <w:rPr>
            <w:rStyle w:val="Hyperlink"/>
            <w:rFonts w:ascii="MetaPro-Norm" w:hAnsi="MetaPro-Norm"/>
            <w:color w:val="000000" w:themeColor="text1"/>
            <w:sz w:val="16"/>
            <w:szCs w:val="16"/>
          </w:rPr>
          <w:t>https://www.regjeringen.no/globalassets/departementene/ud/vedlegg/utvikling/safe_schools_declaration.pdf</w:t>
        </w:r>
      </w:hyperlink>
      <w:r w:rsidRPr="008B675C">
        <w:rPr>
          <w:rFonts w:ascii="MetaPro-Norm" w:hAnsi="MetaPro-Norm"/>
          <w:color w:val="000000" w:themeColor="text1"/>
          <w:sz w:val="16"/>
          <w:szCs w:val="16"/>
        </w:rPr>
        <w:t xml:space="preserve"> (accessed January 23, 2020).</w:t>
      </w:r>
    </w:p>
  </w:footnote>
  <w:footnote w:id="32">
    <w:p w14:paraId="2CBB1E95" w14:textId="77777777" w:rsidR="005B6C4C" w:rsidRPr="008B675C" w:rsidRDefault="005B6C4C" w:rsidP="00E24F2C">
      <w:pPr>
        <w:pStyle w:val="NoSpacing"/>
        <w:rPr>
          <w:rFonts w:ascii="MetaPro-Norm" w:hAnsi="MetaPro-Norm"/>
          <w:color w:val="000000" w:themeColor="text1"/>
          <w:sz w:val="16"/>
          <w:szCs w:val="16"/>
        </w:rPr>
      </w:pPr>
      <w:r w:rsidRPr="008B675C">
        <w:rPr>
          <w:rStyle w:val="FootnoteReference"/>
          <w:rFonts w:ascii="MetaPro-Norm" w:hAnsi="MetaPro-Norm"/>
          <w:color w:val="000000" w:themeColor="text1"/>
          <w:sz w:val="16"/>
          <w:szCs w:val="16"/>
        </w:rPr>
        <w:footnoteRef/>
      </w:r>
      <w:r w:rsidRPr="008B675C">
        <w:rPr>
          <w:rFonts w:ascii="MetaPro-Norm" w:hAnsi="MetaPro-Norm"/>
          <w:color w:val="000000" w:themeColor="text1"/>
          <w:sz w:val="16"/>
          <w:szCs w:val="16"/>
        </w:rPr>
        <w:t xml:space="preserve"> Guidelines for Protecting Schools and Universities from Military Use during Armed Conflict, March 18, 2014, </w:t>
      </w:r>
      <w:hyperlink r:id="rId28" w:history="1">
        <w:r w:rsidRPr="008B675C">
          <w:rPr>
            <w:rStyle w:val="Hyperlink"/>
            <w:rFonts w:ascii="MetaPro-Norm" w:hAnsi="MetaPro-Norm"/>
            <w:color w:val="000000" w:themeColor="text1"/>
            <w:sz w:val="16"/>
            <w:szCs w:val="16"/>
          </w:rPr>
          <w:t>http://protectingeducation.org/sites/default/files/documents/guidelines_en.pdf</w:t>
        </w:r>
      </w:hyperlink>
      <w:r w:rsidRPr="008B675C">
        <w:rPr>
          <w:rFonts w:ascii="MetaPro-Norm" w:hAnsi="MetaPro-Norm"/>
          <w:color w:val="000000" w:themeColor="text1"/>
          <w:sz w:val="16"/>
          <w:szCs w:val="16"/>
        </w:rPr>
        <w:t xml:space="preserve"> (accessed January 23, 2020).</w:t>
      </w:r>
    </w:p>
  </w:footnote>
  <w:footnote w:id="33">
    <w:p w14:paraId="6DBA9C28" w14:textId="096F16CD" w:rsidR="001C5C15" w:rsidRPr="008B675C" w:rsidRDefault="001C5C15" w:rsidP="001C5C15">
      <w:pPr>
        <w:pStyle w:val="FootnoteText"/>
        <w:rPr>
          <w:rFonts w:cstheme="minorHAnsi"/>
          <w:sz w:val="16"/>
          <w:szCs w:val="16"/>
        </w:rPr>
      </w:pPr>
      <w:r w:rsidRPr="008B675C">
        <w:rPr>
          <w:rStyle w:val="FootnoteReference"/>
          <w:rFonts w:cstheme="minorHAnsi"/>
          <w:sz w:val="16"/>
          <w:szCs w:val="16"/>
        </w:rPr>
        <w:footnoteRef/>
      </w:r>
      <w:r w:rsidRPr="008B675C">
        <w:rPr>
          <w:rFonts w:cstheme="minorHAnsi"/>
          <w:sz w:val="16"/>
          <w:szCs w:val="16"/>
        </w:rPr>
        <w:t xml:space="preserve"> Human Rights Watch, </w:t>
      </w:r>
      <w:r w:rsidRPr="008B675C">
        <w:rPr>
          <w:rFonts w:cstheme="minorHAnsi"/>
          <w:i/>
          <w:iCs/>
          <w:sz w:val="16"/>
          <w:szCs w:val="16"/>
        </w:rPr>
        <w:t>Living in Hell:</w:t>
      </w:r>
      <w:r w:rsidRPr="008B675C">
        <w:rPr>
          <w:rFonts w:cstheme="minorHAnsi"/>
          <w:sz w:val="16"/>
          <w:szCs w:val="16"/>
        </w:rPr>
        <w:t xml:space="preserve"> </w:t>
      </w:r>
      <w:r w:rsidRPr="008B675C">
        <w:rPr>
          <w:rFonts w:cstheme="minorHAnsi"/>
          <w:i/>
          <w:iCs/>
          <w:sz w:val="16"/>
          <w:szCs w:val="16"/>
        </w:rPr>
        <w:t>Abuses against People with Psychosocial Disabilities in Indonesia</w:t>
      </w:r>
      <w:r w:rsidRPr="008B675C">
        <w:rPr>
          <w:rFonts w:cstheme="minorHAnsi"/>
          <w:sz w:val="16"/>
          <w:szCs w:val="16"/>
        </w:rPr>
        <w:t xml:space="preserve">, March 2016, https://www.hrw.org/sites/default/files/report_pdf/indonesia0316web.pdf, p. 35; Human Rights Watch, </w:t>
      </w:r>
      <w:r w:rsidRPr="008B675C">
        <w:rPr>
          <w:rFonts w:cstheme="minorHAnsi"/>
          <w:i/>
          <w:iCs/>
          <w:sz w:val="16"/>
          <w:szCs w:val="16"/>
        </w:rPr>
        <w:t>Living in Chains: Shackling of People with Psychosocial Disabilities Worldwide</w:t>
      </w:r>
      <w:r w:rsidRPr="008B675C">
        <w:rPr>
          <w:rFonts w:cstheme="minorHAnsi"/>
          <w:sz w:val="16"/>
          <w:szCs w:val="16"/>
        </w:rPr>
        <w:t>, October 2020, https://www.hrw.org/sites/default/files/media_2020/10/global_shackling1020_web_2.pdf, p. 40,  Ministry of Health of Republic of Indonesia, “Stop Stigma and Discrimination to People with ‘Mental Disorder,</w:t>
      </w:r>
      <w:r w:rsidR="00E30543" w:rsidRPr="008B675C">
        <w:rPr>
          <w:rFonts w:cstheme="minorHAnsi"/>
          <w:sz w:val="16"/>
          <w:szCs w:val="16"/>
        </w:rPr>
        <w:t>’</w:t>
      </w:r>
      <w:r w:rsidRPr="008B675C">
        <w:rPr>
          <w:rFonts w:cstheme="minorHAnsi"/>
          <w:sz w:val="16"/>
          <w:szCs w:val="16"/>
        </w:rPr>
        <w:t xml:space="preserve">” October 10, 2014, http://www.depkes.go.id/article/view/201410270011/stop-stigma-dan-diskriminasi-terhadap-orang-dengan-gangguan-jiwa-odgj.html (accessed August 20, 2015); Marsel Rombe, “Indonesian Mental Health Law Passed after Five Years,” </w:t>
      </w:r>
      <w:r w:rsidRPr="008B675C">
        <w:rPr>
          <w:rFonts w:cstheme="minorHAnsi"/>
          <w:i/>
          <w:iCs/>
          <w:sz w:val="16"/>
          <w:szCs w:val="16"/>
        </w:rPr>
        <w:t>Jakarta Globe</w:t>
      </w:r>
      <w:r w:rsidRPr="008B675C">
        <w:rPr>
          <w:rFonts w:cstheme="minorHAnsi"/>
          <w:sz w:val="16"/>
          <w:szCs w:val="16"/>
        </w:rPr>
        <w:t>, July 13, 2014, http://jakartaglobe.beritasatu.com/news/indonesian-mental-health-law-passed-five-years (accessed August 19, 2015).</w:t>
      </w:r>
    </w:p>
  </w:footnote>
  <w:footnote w:id="34">
    <w:p w14:paraId="2B05966E" w14:textId="4C49735E" w:rsidR="001C5C15" w:rsidRPr="008B675C" w:rsidRDefault="001C5C15" w:rsidP="001C5C15">
      <w:pPr>
        <w:pStyle w:val="FootnoteText"/>
        <w:rPr>
          <w:rFonts w:cstheme="minorHAnsi"/>
          <w:sz w:val="16"/>
          <w:szCs w:val="16"/>
        </w:rPr>
      </w:pPr>
      <w:r w:rsidRPr="008B675C">
        <w:rPr>
          <w:rStyle w:val="FootnoteReference"/>
          <w:rFonts w:cstheme="minorHAnsi"/>
          <w:sz w:val="16"/>
          <w:szCs w:val="16"/>
        </w:rPr>
        <w:footnoteRef/>
      </w:r>
      <w:r w:rsidRPr="008B675C">
        <w:rPr>
          <w:rFonts w:cstheme="minorHAnsi"/>
          <w:sz w:val="16"/>
          <w:szCs w:val="16"/>
        </w:rPr>
        <w:t xml:space="preserve"> UNHRC, Follow up report of the Special Rapporteur on torture and other cruel, inhuman or degrading treatment or punishment on his follow-up visit to the Republic of Ghana, Session 31, A/HRC/31/57/Add.2, February 25, 2015, </w:t>
      </w:r>
      <w:hyperlink r:id="rId29" w:history="1">
        <w:r w:rsidR="00E30543" w:rsidRPr="008B675C">
          <w:rPr>
            <w:rStyle w:val="Hyperlink"/>
            <w:rFonts w:cstheme="minorHAnsi"/>
            <w:sz w:val="16"/>
            <w:szCs w:val="16"/>
          </w:rPr>
          <w:t>https://undocs.org/en/A/HRC/31/57/Add.2</w:t>
        </w:r>
      </w:hyperlink>
      <w:r w:rsidRPr="008B675C">
        <w:rPr>
          <w:rFonts w:cstheme="minorHAnsi"/>
          <w:sz w:val="16"/>
          <w:szCs w:val="16"/>
        </w:rPr>
        <w:t>,</w:t>
      </w:r>
      <w:r w:rsidR="00E30543" w:rsidRPr="008B675C">
        <w:rPr>
          <w:rFonts w:cstheme="minorHAnsi"/>
          <w:sz w:val="16"/>
          <w:szCs w:val="16"/>
        </w:rPr>
        <w:t xml:space="preserve"> </w:t>
      </w:r>
      <w:r w:rsidRPr="008B675C">
        <w:rPr>
          <w:rFonts w:cstheme="minorHAnsi"/>
          <w:sz w:val="16"/>
          <w:szCs w:val="16"/>
        </w:rPr>
        <w:t>para. 72.</w:t>
      </w:r>
    </w:p>
  </w:footnote>
  <w:footnote w:id="35">
    <w:p w14:paraId="1068C305" w14:textId="77777777" w:rsidR="001C5C15" w:rsidRPr="008B675C" w:rsidRDefault="001C5C15" w:rsidP="001C5C15">
      <w:pPr>
        <w:pStyle w:val="FootnoteText"/>
        <w:rPr>
          <w:rFonts w:cstheme="minorHAnsi"/>
          <w:sz w:val="16"/>
          <w:szCs w:val="16"/>
        </w:rPr>
      </w:pPr>
      <w:r w:rsidRPr="008B675C">
        <w:rPr>
          <w:rStyle w:val="FootnoteReference"/>
          <w:rFonts w:cstheme="minorHAnsi"/>
          <w:sz w:val="16"/>
          <w:szCs w:val="16"/>
        </w:rPr>
        <w:footnoteRef/>
      </w:r>
      <w:r w:rsidRPr="008B675C">
        <w:rPr>
          <w:rFonts w:cstheme="minorHAnsi"/>
          <w:sz w:val="16"/>
          <w:szCs w:val="16"/>
        </w:rPr>
        <w:t xml:space="preserve"> Human Rights Watch, </w:t>
      </w:r>
      <w:r w:rsidRPr="008B675C">
        <w:rPr>
          <w:rFonts w:cstheme="minorHAnsi"/>
          <w:i/>
          <w:sz w:val="16"/>
          <w:szCs w:val="16"/>
        </w:rPr>
        <w:t>Living in Hell</w:t>
      </w:r>
      <w:r w:rsidRPr="008B675C">
        <w:rPr>
          <w:rFonts w:cstheme="minorHAnsi"/>
          <w:sz w:val="16"/>
          <w:szCs w:val="16"/>
        </w:rPr>
        <w:t>, p. 3.</w:t>
      </w:r>
    </w:p>
  </w:footnote>
  <w:footnote w:id="36">
    <w:p w14:paraId="1E0E4E1E" w14:textId="77777777" w:rsidR="001C5C15" w:rsidRPr="008B675C" w:rsidRDefault="001C5C15" w:rsidP="001C5C15">
      <w:pPr>
        <w:pStyle w:val="FootnoteText"/>
        <w:rPr>
          <w:rFonts w:cstheme="minorHAnsi"/>
          <w:sz w:val="16"/>
          <w:szCs w:val="16"/>
        </w:rPr>
      </w:pPr>
      <w:r w:rsidRPr="008B675C">
        <w:rPr>
          <w:rStyle w:val="FootnoteReference"/>
          <w:rFonts w:cstheme="minorHAnsi"/>
          <w:sz w:val="16"/>
          <w:szCs w:val="16"/>
        </w:rPr>
        <w:footnoteRef/>
      </w:r>
      <w:r w:rsidRPr="008B675C">
        <w:rPr>
          <w:rFonts w:cstheme="minorHAnsi"/>
          <w:sz w:val="16"/>
          <w:szCs w:val="16"/>
        </w:rPr>
        <w:t xml:space="preserve"> Ibid., p. 45.</w:t>
      </w:r>
    </w:p>
  </w:footnote>
  <w:footnote w:id="37">
    <w:p w14:paraId="25D78A53" w14:textId="77777777" w:rsidR="001C5C15" w:rsidRPr="008B675C" w:rsidRDefault="001C5C15" w:rsidP="001C5C15">
      <w:pPr>
        <w:pStyle w:val="FootnoteText"/>
        <w:rPr>
          <w:rFonts w:cstheme="minorHAnsi"/>
          <w:sz w:val="16"/>
          <w:szCs w:val="16"/>
        </w:rPr>
      </w:pPr>
      <w:r w:rsidRPr="008B675C">
        <w:rPr>
          <w:rStyle w:val="FootnoteReference"/>
          <w:rFonts w:cstheme="minorHAnsi"/>
          <w:sz w:val="16"/>
          <w:szCs w:val="16"/>
        </w:rPr>
        <w:footnoteRef/>
      </w:r>
      <w:r w:rsidRPr="008B675C">
        <w:rPr>
          <w:rFonts w:cstheme="minorHAnsi"/>
          <w:sz w:val="16"/>
          <w:szCs w:val="16"/>
        </w:rPr>
        <w:t xml:space="preserve"> Ibid., pp. 58-60.</w:t>
      </w:r>
    </w:p>
  </w:footnote>
  <w:footnote w:id="38">
    <w:p w14:paraId="58E2592F" w14:textId="77777777" w:rsidR="001C5C15" w:rsidRPr="008B675C" w:rsidRDefault="001C5C15" w:rsidP="001C5C15">
      <w:pPr>
        <w:pStyle w:val="FootnoteText"/>
        <w:rPr>
          <w:sz w:val="16"/>
          <w:szCs w:val="16"/>
        </w:rPr>
      </w:pPr>
      <w:r w:rsidRPr="008B675C">
        <w:rPr>
          <w:rStyle w:val="FootnoteReference"/>
          <w:rFonts w:cstheme="minorHAnsi"/>
          <w:sz w:val="16"/>
          <w:szCs w:val="16"/>
        </w:rPr>
        <w:footnoteRef/>
      </w:r>
      <w:r w:rsidRPr="008B675C">
        <w:rPr>
          <w:rFonts w:cstheme="minorHAnsi"/>
          <w:sz w:val="16"/>
          <w:szCs w:val="16"/>
        </w:rPr>
        <w:t xml:space="preserve"> Ibid., pp. 46-58.</w:t>
      </w:r>
    </w:p>
  </w:footnote>
  <w:footnote w:id="39">
    <w:p w14:paraId="7E844167" w14:textId="77777777" w:rsidR="001C5C15" w:rsidRPr="008B675C" w:rsidRDefault="001C5C15" w:rsidP="001C5C15">
      <w:pPr>
        <w:rPr>
          <w:rFonts w:ascii="MetaPro-Norm" w:eastAsia="Calibri" w:hAnsi="MetaPro-Norm" w:cstheme="minorHAnsi"/>
          <w:sz w:val="16"/>
          <w:szCs w:val="16"/>
        </w:rPr>
      </w:pPr>
      <w:r w:rsidRPr="008B675C">
        <w:rPr>
          <w:rStyle w:val="FootnoteReference"/>
          <w:rFonts w:ascii="MetaPro-Norm" w:hAnsi="MetaPro-Norm" w:cstheme="minorHAnsi"/>
          <w:sz w:val="16"/>
          <w:szCs w:val="16"/>
        </w:rPr>
        <w:footnoteRef/>
      </w:r>
      <w:r w:rsidRPr="008B675C">
        <w:rPr>
          <w:rFonts w:ascii="MetaPro-Norm" w:hAnsi="MetaPro-Norm" w:cstheme="minorHAnsi"/>
          <w:sz w:val="16"/>
          <w:szCs w:val="16"/>
        </w:rPr>
        <w:t xml:space="preserve"> </w:t>
      </w:r>
      <w:r w:rsidRPr="008B675C">
        <w:rPr>
          <w:rFonts w:ascii="MetaPro-Norm" w:eastAsia="Calibri" w:hAnsi="MetaPro-Norm" w:cstheme="minorHAnsi"/>
          <w:sz w:val="16"/>
          <w:szCs w:val="16"/>
        </w:rPr>
        <w:t>UN General Assembly, Report of the Special Rapporteur on violence against women, its causes and consequences, Rashida Manjoo, Advancement of women, A/67/227, August 3, 2012, http://www.ohchr.org/Documents/Issues/Women/A.67.227.pdf (accessed December 10, 2013), pp. 10, 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E106FD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994C3D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5AA5D1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CC88FF3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360B53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128962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D9285A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5C8443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84EC1D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B7229C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C025F81"/>
    <w:multiLevelType w:val="hybridMultilevel"/>
    <w:tmpl w:val="2E0272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9E16F9A"/>
    <w:multiLevelType w:val="hybridMultilevel"/>
    <w:tmpl w:val="D9C4F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282C51"/>
    <w:multiLevelType w:val="hybridMultilevel"/>
    <w:tmpl w:val="A69C1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8A50F9"/>
    <w:multiLevelType w:val="hybridMultilevel"/>
    <w:tmpl w:val="0A9C60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4770A7"/>
    <w:multiLevelType w:val="hybridMultilevel"/>
    <w:tmpl w:val="FD203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EA15CE"/>
    <w:multiLevelType w:val="hybridMultilevel"/>
    <w:tmpl w:val="6E401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13"/>
  </w:num>
  <w:num w:numId="4">
    <w:abstractNumId w:val="11"/>
  </w:num>
  <w:num w:numId="5">
    <w:abstractNumId w:val="10"/>
  </w:num>
  <w:num w:numId="6">
    <w:abstractNumId w:val="1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296"/>
    <w:rsid w:val="00013B64"/>
    <w:rsid w:val="00026B25"/>
    <w:rsid w:val="000312C5"/>
    <w:rsid w:val="00034578"/>
    <w:rsid w:val="000402DC"/>
    <w:rsid w:val="0004239D"/>
    <w:rsid w:val="00047BED"/>
    <w:rsid w:val="00051A57"/>
    <w:rsid w:val="00053225"/>
    <w:rsid w:val="00053F1E"/>
    <w:rsid w:val="000603D4"/>
    <w:rsid w:val="0007003D"/>
    <w:rsid w:val="00091F5F"/>
    <w:rsid w:val="000A5AD6"/>
    <w:rsid w:val="000B257C"/>
    <w:rsid w:val="000C2224"/>
    <w:rsid w:val="000D5D31"/>
    <w:rsid w:val="000E1CE5"/>
    <w:rsid w:val="000E5797"/>
    <w:rsid w:val="000F65F5"/>
    <w:rsid w:val="000F75F3"/>
    <w:rsid w:val="001013B6"/>
    <w:rsid w:val="0010340F"/>
    <w:rsid w:val="0011574A"/>
    <w:rsid w:val="00165546"/>
    <w:rsid w:val="00172FBC"/>
    <w:rsid w:val="00182551"/>
    <w:rsid w:val="00197C92"/>
    <w:rsid w:val="001B3005"/>
    <w:rsid w:val="001B3BF6"/>
    <w:rsid w:val="001B6251"/>
    <w:rsid w:val="001C5C15"/>
    <w:rsid w:val="001D5C18"/>
    <w:rsid w:val="001E6A5B"/>
    <w:rsid w:val="001F28A1"/>
    <w:rsid w:val="001F4930"/>
    <w:rsid w:val="00204C4F"/>
    <w:rsid w:val="0020669A"/>
    <w:rsid w:val="002130E7"/>
    <w:rsid w:val="00213DF1"/>
    <w:rsid w:val="002312F7"/>
    <w:rsid w:val="00234AF6"/>
    <w:rsid w:val="00244E70"/>
    <w:rsid w:val="00246B8E"/>
    <w:rsid w:val="002549F1"/>
    <w:rsid w:val="002621AF"/>
    <w:rsid w:val="00267C54"/>
    <w:rsid w:val="00274551"/>
    <w:rsid w:val="00292B2C"/>
    <w:rsid w:val="00294347"/>
    <w:rsid w:val="00294B55"/>
    <w:rsid w:val="002A31D1"/>
    <w:rsid w:val="002B1A3F"/>
    <w:rsid w:val="002B49FF"/>
    <w:rsid w:val="002C23E2"/>
    <w:rsid w:val="002C2C66"/>
    <w:rsid w:val="002C32E8"/>
    <w:rsid w:val="002C5D9B"/>
    <w:rsid w:val="002D134E"/>
    <w:rsid w:val="002D7C1E"/>
    <w:rsid w:val="002F0854"/>
    <w:rsid w:val="002F35A7"/>
    <w:rsid w:val="00304B8D"/>
    <w:rsid w:val="003072D3"/>
    <w:rsid w:val="00312877"/>
    <w:rsid w:val="00312B76"/>
    <w:rsid w:val="00314959"/>
    <w:rsid w:val="0032204F"/>
    <w:rsid w:val="00330D2C"/>
    <w:rsid w:val="0033250E"/>
    <w:rsid w:val="00337EF3"/>
    <w:rsid w:val="0034671B"/>
    <w:rsid w:val="003538D7"/>
    <w:rsid w:val="0036127C"/>
    <w:rsid w:val="00362F34"/>
    <w:rsid w:val="00370308"/>
    <w:rsid w:val="00373A2A"/>
    <w:rsid w:val="00386851"/>
    <w:rsid w:val="00387753"/>
    <w:rsid w:val="003976F1"/>
    <w:rsid w:val="003A4B6A"/>
    <w:rsid w:val="003B301C"/>
    <w:rsid w:val="003D30BD"/>
    <w:rsid w:val="003E66F2"/>
    <w:rsid w:val="003F78A1"/>
    <w:rsid w:val="00407201"/>
    <w:rsid w:val="00407F2A"/>
    <w:rsid w:val="004102B4"/>
    <w:rsid w:val="0041210D"/>
    <w:rsid w:val="00420FDA"/>
    <w:rsid w:val="00426B13"/>
    <w:rsid w:val="00431809"/>
    <w:rsid w:val="00451392"/>
    <w:rsid w:val="004611D1"/>
    <w:rsid w:val="00470815"/>
    <w:rsid w:val="00486528"/>
    <w:rsid w:val="00492296"/>
    <w:rsid w:val="004924A0"/>
    <w:rsid w:val="004978F0"/>
    <w:rsid w:val="004979FA"/>
    <w:rsid w:val="004B1C38"/>
    <w:rsid w:val="004B61AA"/>
    <w:rsid w:val="004D704C"/>
    <w:rsid w:val="0050170B"/>
    <w:rsid w:val="00504307"/>
    <w:rsid w:val="005134BD"/>
    <w:rsid w:val="00521104"/>
    <w:rsid w:val="00522548"/>
    <w:rsid w:val="00527DC3"/>
    <w:rsid w:val="00540B39"/>
    <w:rsid w:val="00551C32"/>
    <w:rsid w:val="00555061"/>
    <w:rsid w:val="005645A3"/>
    <w:rsid w:val="005759F5"/>
    <w:rsid w:val="00581B12"/>
    <w:rsid w:val="005B6C4C"/>
    <w:rsid w:val="005C5114"/>
    <w:rsid w:val="005D504C"/>
    <w:rsid w:val="005E1DEF"/>
    <w:rsid w:val="00606134"/>
    <w:rsid w:val="00610224"/>
    <w:rsid w:val="006106A3"/>
    <w:rsid w:val="00610FAD"/>
    <w:rsid w:val="00625F77"/>
    <w:rsid w:val="0063213A"/>
    <w:rsid w:val="00644776"/>
    <w:rsid w:val="0065215F"/>
    <w:rsid w:val="0066406D"/>
    <w:rsid w:val="006731E0"/>
    <w:rsid w:val="00682DD3"/>
    <w:rsid w:val="00691FE6"/>
    <w:rsid w:val="006A1844"/>
    <w:rsid w:val="006B198D"/>
    <w:rsid w:val="006B5265"/>
    <w:rsid w:val="006F145F"/>
    <w:rsid w:val="006F5427"/>
    <w:rsid w:val="006F7E23"/>
    <w:rsid w:val="007249E1"/>
    <w:rsid w:val="00727217"/>
    <w:rsid w:val="00737F60"/>
    <w:rsid w:val="00747E45"/>
    <w:rsid w:val="00757800"/>
    <w:rsid w:val="00764DC2"/>
    <w:rsid w:val="00766BFE"/>
    <w:rsid w:val="00770783"/>
    <w:rsid w:val="00772D79"/>
    <w:rsid w:val="00775214"/>
    <w:rsid w:val="00777475"/>
    <w:rsid w:val="00790526"/>
    <w:rsid w:val="00790A33"/>
    <w:rsid w:val="007953C2"/>
    <w:rsid w:val="007C0D45"/>
    <w:rsid w:val="007C6383"/>
    <w:rsid w:val="007C6FEA"/>
    <w:rsid w:val="007C75F5"/>
    <w:rsid w:val="007F2083"/>
    <w:rsid w:val="007F3B96"/>
    <w:rsid w:val="007F74C9"/>
    <w:rsid w:val="00803596"/>
    <w:rsid w:val="00811AC3"/>
    <w:rsid w:val="0081336F"/>
    <w:rsid w:val="00816592"/>
    <w:rsid w:val="0084079B"/>
    <w:rsid w:val="00854206"/>
    <w:rsid w:val="0085753E"/>
    <w:rsid w:val="00863DB8"/>
    <w:rsid w:val="00871DE7"/>
    <w:rsid w:val="00897751"/>
    <w:rsid w:val="008B0F51"/>
    <w:rsid w:val="008B675C"/>
    <w:rsid w:val="008C54FC"/>
    <w:rsid w:val="008C650C"/>
    <w:rsid w:val="008D0526"/>
    <w:rsid w:val="008E0246"/>
    <w:rsid w:val="008E7310"/>
    <w:rsid w:val="008F69EB"/>
    <w:rsid w:val="00904AA8"/>
    <w:rsid w:val="009161EF"/>
    <w:rsid w:val="00920C47"/>
    <w:rsid w:val="0092198B"/>
    <w:rsid w:val="00926D08"/>
    <w:rsid w:val="00936EF1"/>
    <w:rsid w:val="0093787B"/>
    <w:rsid w:val="00946E65"/>
    <w:rsid w:val="00955547"/>
    <w:rsid w:val="00975670"/>
    <w:rsid w:val="00980AC9"/>
    <w:rsid w:val="009911B4"/>
    <w:rsid w:val="00994F16"/>
    <w:rsid w:val="009A0416"/>
    <w:rsid w:val="009A2C36"/>
    <w:rsid w:val="009A5128"/>
    <w:rsid w:val="009A7D32"/>
    <w:rsid w:val="009C0974"/>
    <w:rsid w:val="009D205B"/>
    <w:rsid w:val="009D7D4B"/>
    <w:rsid w:val="009F4CD9"/>
    <w:rsid w:val="00A06485"/>
    <w:rsid w:val="00A2666D"/>
    <w:rsid w:val="00A327FE"/>
    <w:rsid w:val="00A54F37"/>
    <w:rsid w:val="00A67FEF"/>
    <w:rsid w:val="00A72938"/>
    <w:rsid w:val="00A802BF"/>
    <w:rsid w:val="00A967A5"/>
    <w:rsid w:val="00AA1195"/>
    <w:rsid w:val="00AA4321"/>
    <w:rsid w:val="00AA768A"/>
    <w:rsid w:val="00AC5FAD"/>
    <w:rsid w:val="00AD7225"/>
    <w:rsid w:val="00AE3113"/>
    <w:rsid w:val="00AE43F8"/>
    <w:rsid w:val="00AF1AC8"/>
    <w:rsid w:val="00AF3868"/>
    <w:rsid w:val="00B02FF0"/>
    <w:rsid w:val="00B1649C"/>
    <w:rsid w:val="00B16778"/>
    <w:rsid w:val="00B27E24"/>
    <w:rsid w:val="00B32BE1"/>
    <w:rsid w:val="00B503AD"/>
    <w:rsid w:val="00B568C2"/>
    <w:rsid w:val="00B601A5"/>
    <w:rsid w:val="00B65AFC"/>
    <w:rsid w:val="00B866A0"/>
    <w:rsid w:val="00B96DD8"/>
    <w:rsid w:val="00BA556A"/>
    <w:rsid w:val="00BF42BF"/>
    <w:rsid w:val="00BF6954"/>
    <w:rsid w:val="00BF7704"/>
    <w:rsid w:val="00BF7840"/>
    <w:rsid w:val="00C008F8"/>
    <w:rsid w:val="00C034F9"/>
    <w:rsid w:val="00C108A0"/>
    <w:rsid w:val="00C12F64"/>
    <w:rsid w:val="00C33698"/>
    <w:rsid w:val="00C362D7"/>
    <w:rsid w:val="00C4362C"/>
    <w:rsid w:val="00C47E1B"/>
    <w:rsid w:val="00C51CA0"/>
    <w:rsid w:val="00C86913"/>
    <w:rsid w:val="00CA004E"/>
    <w:rsid w:val="00CB3B4D"/>
    <w:rsid w:val="00CB5A56"/>
    <w:rsid w:val="00CB5C1A"/>
    <w:rsid w:val="00CC22AF"/>
    <w:rsid w:val="00CD5F85"/>
    <w:rsid w:val="00CF00B9"/>
    <w:rsid w:val="00CF7033"/>
    <w:rsid w:val="00D154F6"/>
    <w:rsid w:val="00D17919"/>
    <w:rsid w:val="00D20A81"/>
    <w:rsid w:val="00D219B0"/>
    <w:rsid w:val="00D27F48"/>
    <w:rsid w:val="00D325FE"/>
    <w:rsid w:val="00D406AC"/>
    <w:rsid w:val="00D43444"/>
    <w:rsid w:val="00D449C7"/>
    <w:rsid w:val="00D47C3D"/>
    <w:rsid w:val="00D47F49"/>
    <w:rsid w:val="00D62F45"/>
    <w:rsid w:val="00D646B4"/>
    <w:rsid w:val="00D8131E"/>
    <w:rsid w:val="00DA3938"/>
    <w:rsid w:val="00DA414C"/>
    <w:rsid w:val="00DA439C"/>
    <w:rsid w:val="00DA51BA"/>
    <w:rsid w:val="00DA5E29"/>
    <w:rsid w:val="00DC1D41"/>
    <w:rsid w:val="00DC665F"/>
    <w:rsid w:val="00DD2505"/>
    <w:rsid w:val="00DF2716"/>
    <w:rsid w:val="00DF5082"/>
    <w:rsid w:val="00DF7BC9"/>
    <w:rsid w:val="00E079EC"/>
    <w:rsid w:val="00E143F0"/>
    <w:rsid w:val="00E16157"/>
    <w:rsid w:val="00E24F2C"/>
    <w:rsid w:val="00E27CAF"/>
    <w:rsid w:val="00E27F43"/>
    <w:rsid w:val="00E30543"/>
    <w:rsid w:val="00E33457"/>
    <w:rsid w:val="00E37F97"/>
    <w:rsid w:val="00E57CD1"/>
    <w:rsid w:val="00E65AA7"/>
    <w:rsid w:val="00E73AEB"/>
    <w:rsid w:val="00E80690"/>
    <w:rsid w:val="00E83BCE"/>
    <w:rsid w:val="00E86298"/>
    <w:rsid w:val="00E94B45"/>
    <w:rsid w:val="00E95AA6"/>
    <w:rsid w:val="00EA0CEB"/>
    <w:rsid w:val="00EB0859"/>
    <w:rsid w:val="00EC4FB8"/>
    <w:rsid w:val="00ED4938"/>
    <w:rsid w:val="00EF00C8"/>
    <w:rsid w:val="00F06647"/>
    <w:rsid w:val="00F3366D"/>
    <w:rsid w:val="00F4013A"/>
    <w:rsid w:val="00F515D2"/>
    <w:rsid w:val="00F55208"/>
    <w:rsid w:val="00F61C9D"/>
    <w:rsid w:val="00F739EF"/>
    <w:rsid w:val="00F7449C"/>
    <w:rsid w:val="00F81199"/>
    <w:rsid w:val="00F81996"/>
    <w:rsid w:val="00F936C3"/>
    <w:rsid w:val="00F951E2"/>
    <w:rsid w:val="00FB2E99"/>
    <w:rsid w:val="00FC07BB"/>
    <w:rsid w:val="00FE60A7"/>
    <w:rsid w:val="00FF1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635835"/>
  <w15:chartTrackingRefBased/>
  <w15:docId w15:val="{AAEF301B-C0A2-48DD-A8EF-DBF5BCA74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29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8199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8199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8199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F81996"/>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81996"/>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81996"/>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81996"/>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8199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8199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92296"/>
    <w:pPr>
      <w:suppressAutoHyphens/>
      <w:spacing w:after="0" w:line="240" w:lineRule="auto"/>
    </w:pPr>
    <w:rPr>
      <w:rFonts w:cs="Times New Roman"/>
      <w:lang w:val="en-GB"/>
    </w:rPr>
  </w:style>
  <w:style w:type="paragraph" w:styleId="ListParagraph">
    <w:name w:val="List Paragraph"/>
    <w:basedOn w:val="Normal"/>
    <w:uiPriority w:val="34"/>
    <w:qFormat/>
    <w:rsid w:val="009911B4"/>
    <w:pPr>
      <w:spacing w:after="160" w:line="259" w:lineRule="auto"/>
      <w:ind w:left="720"/>
      <w:contextualSpacing/>
    </w:pPr>
    <w:rPr>
      <w:rFonts w:asciiTheme="minorHAnsi" w:eastAsiaTheme="minorHAnsi" w:hAnsiTheme="minorHAnsi" w:cstheme="minorBidi"/>
      <w:sz w:val="22"/>
      <w:szCs w:val="22"/>
      <w:lang w:val="en-GB"/>
    </w:rPr>
  </w:style>
  <w:style w:type="paragraph" w:styleId="NormalWeb">
    <w:name w:val="Normal (Web)"/>
    <w:basedOn w:val="Normal"/>
    <w:uiPriority w:val="99"/>
    <w:unhideWhenUsed/>
    <w:rsid w:val="009911B4"/>
    <w:pPr>
      <w:spacing w:before="100" w:beforeAutospacing="1" w:after="100" w:afterAutospacing="1"/>
    </w:p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tr"/>
    <w:basedOn w:val="DefaultParagraphFont"/>
    <w:link w:val="4GCharCharChar"/>
    <w:uiPriority w:val="99"/>
    <w:unhideWhenUsed/>
    <w:qFormat/>
    <w:rsid w:val="00854206"/>
    <w:rPr>
      <w:vertAlign w:val="superscript"/>
    </w:rPr>
  </w:style>
  <w:style w:type="paragraph" w:styleId="BalloonText">
    <w:name w:val="Balloon Text"/>
    <w:basedOn w:val="Normal"/>
    <w:link w:val="BalloonTextChar"/>
    <w:uiPriority w:val="99"/>
    <w:semiHidden/>
    <w:unhideWhenUsed/>
    <w:rsid w:val="001B62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6251"/>
    <w:rPr>
      <w:rFonts w:ascii="Segoe UI" w:eastAsia="Times New Roman" w:hAnsi="Segoe UI" w:cs="Segoe UI"/>
      <w:sz w:val="18"/>
      <w:szCs w:val="18"/>
    </w:rPr>
  </w:style>
  <w:style w:type="character" w:styleId="Hyperlink">
    <w:name w:val="Hyperlink"/>
    <w:uiPriority w:val="99"/>
    <w:qFormat/>
    <w:rsid w:val="001B6251"/>
    <w:rPr>
      <w:color w:val="0000FF"/>
      <w:u w:val="single"/>
    </w:rPr>
  </w:style>
  <w:style w:type="paragraph" w:styleId="FootnoteText">
    <w:name w:val="footnote text"/>
    <w:aliases w:val="Char Char,Char,fn,Footnote Text Char Char,Footnote Text Char Char Char,ft,footnotes,Footnote Text Char2 Char,Footnote Text Char Char1 Char,Footnote Text Char2 Char Char Char,Footnote Text Char1 Char Char Char Char, Char Char, Char,5_G"/>
    <w:basedOn w:val="Normal"/>
    <w:link w:val="FootnoteTextChar"/>
    <w:uiPriority w:val="99"/>
    <w:qFormat/>
    <w:rsid w:val="001B6251"/>
    <w:pPr>
      <w:spacing w:after="40"/>
    </w:pPr>
    <w:rPr>
      <w:rFonts w:ascii="MetaPro-Norm" w:eastAsia="SimSun" w:hAnsi="MetaPro-Norm"/>
      <w:sz w:val="18"/>
      <w:szCs w:val="20"/>
      <w:lang w:eastAsia="zh-CN"/>
    </w:rPr>
  </w:style>
  <w:style w:type="character" w:customStyle="1" w:styleId="FootnoteTextChar">
    <w:name w:val="Footnote Text Char"/>
    <w:aliases w:val="Char Char Char,Char Char1,fn Char,Footnote Text Char Char Char1,Footnote Text Char Char Char Char,ft Char,footnotes Char,Footnote Text Char2 Char Char,Footnote Text Char Char1 Char Char,Footnote Text Char2 Char Char Char Char,5_G Char"/>
    <w:basedOn w:val="DefaultParagraphFont"/>
    <w:link w:val="FootnoteText"/>
    <w:uiPriority w:val="99"/>
    <w:qFormat/>
    <w:rsid w:val="001B6251"/>
    <w:rPr>
      <w:rFonts w:ascii="MetaPro-Norm" w:eastAsia="SimSun" w:hAnsi="MetaPro-Norm" w:cs="Times New Roman"/>
      <w:sz w:val="18"/>
      <w:szCs w:val="20"/>
      <w:lang w:eastAsia="zh-CN"/>
    </w:rPr>
  </w:style>
  <w:style w:type="character" w:styleId="CommentReference">
    <w:name w:val="annotation reference"/>
    <w:basedOn w:val="DefaultParagraphFont"/>
    <w:uiPriority w:val="99"/>
    <w:unhideWhenUsed/>
    <w:rsid w:val="001B6251"/>
    <w:rPr>
      <w:sz w:val="16"/>
      <w:szCs w:val="16"/>
    </w:rPr>
  </w:style>
  <w:style w:type="paragraph" w:styleId="CommentText">
    <w:name w:val="annotation text"/>
    <w:basedOn w:val="Normal"/>
    <w:link w:val="CommentTextChar"/>
    <w:uiPriority w:val="99"/>
    <w:unhideWhenUsed/>
    <w:rsid w:val="001B6251"/>
    <w:pPr>
      <w:jc w:val="both"/>
    </w:pPr>
    <w:rPr>
      <w:rFonts w:ascii="Arial" w:hAnsi="Arial"/>
      <w:sz w:val="20"/>
      <w:szCs w:val="20"/>
      <w:lang w:val="en-AU"/>
    </w:rPr>
  </w:style>
  <w:style w:type="character" w:customStyle="1" w:styleId="CommentTextChar">
    <w:name w:val="Comment Text Char"/>
    <w:basedOn w:val="DefaultParagraphFont"/>
    <w:link w:val="CommentText"/>
    <w:uiPriority w:val="99"/>
    <w:rsid w:val="001B6251"/>
    <w:rPr>
      <w:rFonts w:ascii="Arial" w:eastAsia="Times New Roman" w:hAnsi="Arial" w:cs="Times New Roman"/>
      <w:sz w:val="20"/>
      <w:szCs w:val="20"/>
      <w:lang w:val="en-AU"/>
    </w:rPr>
  </w:style>
  <w:style w:type="character" w:styleId="UnresolvedMention">
    <w:name w:val="Unresolved Mention"/>
    <w:basedOn w:val="DefaultParagraphFont"/>
    <w:uiPriority w:val="99"/>
    <w:semiHidden/>
    <w:unhideWhenUsed/>
    <w:rsid w:val="002C2C66"/>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2549F1"/>
    <w:pPr>
      <w:jc w:val="left"/>
    </w:pPr>
    <w:rPr>
      <w:rFonts w:ascii="Times New Roman" w:hAnsi="Times New Roman"/>
      <w:b/>
      <w:bCs/>
      <w:lang w:val="en-US"/>
    </w:rPr>
  </w:style>
  <w:style w:type="character" w:customStyle="1" w:styleId="CommentSubjectChar">
    <w:name w:val="Comment Subject Char"/>
    <w:basedOn w:val="CommentTextChar"/>
    <w:link w:val="CommentSubject"/>
    <w:uiPriority w:val="99"/>
    <w:semiHidden/>
    <w:rsid w:val="002549F1"/>
    <w:rPr>
      <w:rFonts w:ascii="Times New Roman" w:eastAsia="Times New Roman" w:hAnsi="Times New Roman" w:cs="Times New Roman"/>
      <w:b/>
      <w:bCs/>
      <w:sz w:val="20"/>
      <w:szCs w:val="20"/>
      <w:lang w:val="en-AU"/>
    </w:rPr>
  </w:style>
  <w:style w:type="character" w:styleId="FollowedHyperlink">
    <w:name w:val="FollowedHyperlink"/>
    <w:basedOn w:val="DefaultParagraphFont"/>
    <w:uiPriority w:val="99"/>
    <w:semiHidden/>
    <w:unhideWhenUsed/>
    <w:rsid w:val="00770783"/>
    <w:rPr>
      <w:color w:val="954F72" w:themeColor="followedHyperlink"/>
      <w:u w:val="single"/>
    </w:rPr>
  </w:style>
  <w:style w:type="character" w:styleId="Emphasis">
    <w:name w:val="Emphasis"/>
    <w:basedOn w:val="DefaultParagraphFont"/>
    <w:uiPriority w:val="20"/>
    <w:qFormat/>
    <w:rsid w:val="007F3B96"/>
    <w:rPr>
      <w:i/>
      <w:iCs/>
    </w:rPr>
  </w:style>
  <w:style w:type="paragraph" w:styleId="Revision">
    <w:name w:val="Revision"/>
    <w:hidden/>
    <w:uiPriority w:val="99"/>
    <w:semiHidden/>
    <w:rsid w:val="00EB0859"/>
    <w:pPr>
      <w:spacing w:after="0" w:line="240" w:lineRule="auto"/>
    </w:pPr>
    <w:rPr>
      <w:rFonts w:ascii="Times New Roman" w:eastAsia="Times New Roman" w:hAnsi="Times New Roman" w:cs="Times New Roman"/>
      <w:sz w:val="24"/>
      <w:szCs w:val="24"/>
    </w:rPr>
  </w:style>
  <w:style w:type="paragraph" w:customStyle="1" w:styleId="xmsonormal">
    <w:name w:val="x_msonormal"/>
    <w:basedOn w:val="Normal"/>
    <w:rsid w:val="00E24F2C"/>
    <w:rPr>
      <w:rFonts w:ascii="Calibri" w:eastAsiaTheme="minorHAnsi" w:hAnsi="Calibri" w:cs="Calibri"/>
      <w:sz w:val="22"/>
      <w:szCs w:val="22"/>
      <w:lang w:val="en-GB" w:eastAsia="en-GB"/>
    </w:rPr>
  </w:style>
  <w:style w:type="paragraph" w:styleId="Header">
    <w:name w:val="header"/>
    <w:basedOn w:val="Normal"/>
    <w:link w:val="HeaderChar"/>
    <w:uiPriority w:val="99"/>
    <w:unhideWhenUsed/>
    <w:rsid w:val="00CD5F85"/>
    <w:pPr>
      <w:tabs>
        <w:tab w:val="center" w:pos="4680"/>
        <w:tab w:val="right" w:pos="9360"/>
      </w:tabs>
    </w:pPr>
  </w:style>
  <w:style w:type="character" w:customStyle="1" w:styleId="HeaderChar">
    <w:name w:val="Header Char"/>
    <w:basedOn w:val="DefaultParagraphFont"/>
    <w:link w:val="Header"/>
    <w:uiPriority w:val="99"/>
    <w:rsid w:val="00CD5F8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D5F85"/>
    <w:pPr>
      <w:tabs>
        <w:tab w:val="center" w:pos="4680"/>
        <w:tab w:val="right" w:pos="9360"/>
      </w:tabs>
    </w:pPr>
  </w:style>
  <w:style w:type="character" w:customStyle="1" w:styleId="FooterChar">
    <w:name w:val="Footer Char"/>
    <w:basedOn w:val="DefaultParagraphFont"/>
    <w:link w:val="Footer"/>
    <w:uiPriority w:val="99"/>
    <w:rsid w:val="00CD5F85"/>
    <w:rPr>
      <w:rFonts w:ascii="Times New Roman" w:eastAsia="Times New Roman" w:hAnsi="Times New Roman" w:cs="Times New Roman"/>
      <w:sz w:val="24"/>
      <w:szCs w:val="24"/>
    </w:rPr>
  </w:style>
  <w:style w:type="character" w:styleId="Strong">
    <w:name w:val="Strong"/>
    <w:basedOn w:val="DefaultParagraphFont"/>
    <w:uiPriority w:val="22"/>
    <w:qFormat/>
    <w:rsid w:val="00D20A81"/>
    <w:rPr>
      <w:b/>
      <w:bC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1C5C15"/>
    <w:pPr>
      <w:spacing w:after="160" w:line="240" w:lineRule="exact"/>
      <w:jc w:val="both"/>
    </w:pPr>
    <w:rPr>
      <w:rFonts w:asciiTheme="minorHAnsi" w:eastAsiaTheme="minorHAnsi" w:hAnsiTheme="minorHAnsi" w:cstheme="minorBidi"/>
      <w:sz w:val="22"/>
      <w:szCs w:val="22"/>
      <w:vertAlign w:val="superscript"/>
    </w:rPr>
  </w:style>
  <w:style w:type="paragraph" w:styleId="Bibliography">
    <w:name w:val="Bibliography"/>
    <w:basedOn w:val="Normal"/>
    <w:next w:val="Normal"/>
    <w:uiPriority w:val="37"/>
    <w:semiHidden/>
    <w:unhideWhenUsed/>
    <w:rsid w:val="00F81996"/>
  </w:style>
  <w:style w:type="paragraph" w:styleId="BlockText">
    <w:name w:val="Block Text"/>
    <w:basedOn w:val="Normal"/>
    <w:uiPriority w:val="99"/>
    <w:semiHidden/>
    <w:unhideWhenUsed/>
    <w:rsid w:val="00F81996"/>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paragraph" w:styleId="BodyText">
    <w:name w:val="Body Text"/>
    <w:basedOn w:val="Normal"/>
    <w:link w:val="BodyTextChar"/>
    <w:uiPriority w:val="99"/>
    <w:semiHidden/>
    <w:unhideWhenUsed/>
    <w:rsid w:val="00F81996"/>
    <w:pPr>
      <w:spacing w:after="120"/>
    </w:pPr>
  </w:style>
  <w:style w:type="character" w:customStyle="1" w:styleId="BodyTextChar">
    <w:name w:val="Body Text Char"/>
    <w:basedOn w:val="DefaultParagraphFont"/>
    <w:link w:val="BodyText"/>
    <w:uiPriority w:val="99"/>
    <w:semiHidden/>
    <w:rsid w:val="00F81996"/>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F81996"/>
    <w:pPr>
      <w:spacing w:after="120" w:line="480" w:lineRule="auto"/>
    </w:pPr>
  </w:style>
  <w:style w:type="character" w:customStyle="1" w:styleId="BodyText2Char">
    <w:name w:val="Body Text 2 Char"/>
    <w:basedOn w:val="DefaultParagraphFont"/>
    <w:link w:val="BodyText2"/>
    <w:uiPriority w:val="99"/>
    <w:semiHidden/>
    <w:rsid w:val="00F81996"/>
    <w:rPr>
      <w:rFonts w:ascii="Times New Roman" w:eastAsia="Times New Roman" w:hAnsi="Times New Roman" w:cs="Times New Roman"/>
      <w:sz w:val="24"/>
      <w:szCs w:val="24"/>
    </w:rPr>
  </w:style>
  <w:style w:type="paragraph" w:styleId="BodyText3">
    <w:name w:val="Body Text 3"/>
    <w:basedOn w:val="Normal"/>
    <w:link w:val="BodyText3Char"/>
    <w:uiPriority w:val="99"/>
    <w:semiHidden/>
    <w:unhideWhenUsed/>
    <w:rsid w:val="00F81996"/>
    <w:pPr>
      <w:spacing w:after="120"/>
    </w:pPr>
    <w:rPr>
      <w:sz w:val="16"/>
      <w:szCs w:val="16"/>
    </w:rPr>
  </w:style>
  <w:style w:type="character" w:customStyle="1" w:styleId="BodyText3Char">
    <w:name w:val="Body Text 3 Char"/>
    <w:basedOn w:val="DefaultParagraphFont"/>
    <w:link w:val="BodyText3"/>
    <w:uiPriority w:val="99"/>
    <w:semiHidden/>
    <w:rsid w:val="00F81996"/>
    <w:rPr>
      <w:rFonts w:ascii="Times New Roman" w:eastAsia="Times New Roman" w:hAnsi="Times New Roman" w:cs="Times New Roman"/>
      <w:sz w:val="16"/>
      <w:szCs w:val="16"/>
    </w:rPr>
  </w:style>
  <w:style w:type="paragraph" w:styleId="BodyTextFirstIndent">
    <w:name w:val="Body Text First Indent"/>
    <w:basedOn w:val="BodyText"/>
    <w:link w:val="BodyTextFirstIndentChar"/>
    <w:uiPriority w:val="99"/>
    <w:semiHidden/>
    <w:unhideWhenUsed/>
    <w:rsid w:val="00F81996"/>
    <w:pPr>
      <w:spacing w:after="0"/>
      <w:ind w:firstLine="360"/>
    </w:pPr>
  </w:style>
  <w:style w:type="character" w:customStyle="1" w:styleId="BodyTextFirstIndentChar">
    <w:name w:val="Body Text First Indent Char"/>
    <w:basedOn w:val="BodyTextChar"/>
    <w:link w:val="BodyTextFirstIndent"/>
    <w:uiPriority w:val="99"/>
    <w:semiHidden/>
    <w:rsid w:val="00F81996"/>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F81996"/>
    <w:pPr>
      <w:spacing w:after="120"/>
      <w:ind w:left="360"/>
    </w:pPr>
  </w:style>
  <w:style w:type="character" w:customStyle="1" w:styleId="BodyTextIndentChar">
    <w:name w:val="Body Text Indent Char"/>
    <w:basedOn w:val="DefaultParagraphFont"/>
    <w:link w:val="BodyTextIndent"/>
    <w:uiPriority w:val="99"/>
    <w:semiHidden/>
    <w:rsid w:val="00F81996"/>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uiPriority w:val="99"/>
    <w:semiHidden/>
    <w:unhideWhenUsed/>
    <w:rsid w:val="00F81996"/>
    <w:pPr>
      <w:spacing w:after="0"/>
      <w:ind w:firstLine="360"/>
    </w:pPr>
  </w:style>
  <w:style w:type="character" w:customStyle="1" w:styleId="BodyTextFirstIndent2Char">
    <w:name w:val="Body Text First Indent 2 Char"/>
    <w:basedOn w:val="BodyTextIndentChar"/>
    <w:link w:val="BodyTextFirstIndent2"/>
    <w:uiPriority w:val="99"/>
    <w:semiHidden/>
    <w:rsid w:val="00F81996"/>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unhideWhenUsed/>
    <w:rsid w:val="00F81996"/>
    <w:pPr>
      <w:spacing w:after="120" w:line="480" w:lineRule="auto"/>
      <w:ind w:left="360"/>
    </w:pPr>
  </w:style>
  <w:style w:type="character" w:customStyle="1" w:styleId="BodyTextIndent2Char">
    <w:name w:val="Body Text Indent 2 Char"/>
    <w:basedOn w:val="DefaultParagraphFont"/>
    <w:link w:val="BodyTextIndent2"/>
    <w:uiPriority w:val="99"/>
    <w:semiHidden/>
    <w:rsid w:val="00F81996"/>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semiHidden/>
    <w:unhideWhenUsed/>
    <w:rsid w:val="00F81996"/>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81996"/>
    <w:rPr>
      <w:rFonts w:ascii="Times New Roman" w:eastAsia="Times New Roman" w:hAnsi="Times New Roman" w:cs="Times New Roman"/>
      <w:sz w:val="16"/>
      <w:szCs w:val="16"/>
    </w:rPr>
  </w:style>
  <w:style w:type="paragraph" w:styleId="Caption">
    <w:name w:val="caption"/>
    <w:basedOn w:val="Normal"/>
    <w:next w:val="Normal"/>
    <w:uiPriority w:val="35"/>
    <w:semiHidden/>
    <w:unhideWhenUsed/>
    <w:qFormat/>
    <w:rsid w:val="00F81996"/>
    <w:pPr>
      <w:spacing w:after="200"/>
    </w:pPr>
    <w:rPr>
      <w:i/>
      <w:iCs/>
      <w:color w:val="44546A" w:themeColor="text2"/>
      <w:sz w:val="18"/>
      <w:szCs w:val="18"/>
    </w:rPr>
  </w:style>
  <w:style w:type="paragraph" w:styleId="Closing">
    <w:name w:val="Closing"/>
    <w:basedOn w:val="Normal"/>
    <w:link w:val="ClosingChar"/>
    <w:uiPriority w:val="99"/>
    <w:semiHidden/>
    <w:unhideWhenUsed/>
    <w:rsid w:val="00F81996"/>
    <w:pPr>
      <w:ind w:left="4320"/>
    </w:pPr>
  </w:style>
  <w:style w:type="character" w:customStyle="1" w:styleId="ClosingChar">
    <w:name w:val="Closing Char"/>
    <w:basedOn w:val="DefaultParagraphFont"/>
    <w:link w:val="Closing"/>
    <w:uiPriority w:val="99"/>
    <w:semiHidden/>
    <w:rsid w:val="00F81996"/>
    <w:rPr>
      <w:rFonts w:ascii="Times New Roman" w:eastAsia="Times New Roman" w:hAnsi="Times New Roman" w:cs="Times New Roman"/>
      <w:sz w:val="24"/>
      <w:szCs w:val="24"/>
    </w:rPr>
  </w:style>
  <w:style w:type="paragraph" w:styleId="Date">
    <w:name w:val="Date"/>
    <w:basedOn w:val="Normal"/>
    <w:next w:val="Normal"/>
    <w:link w:val="DateChar"/>
    <w:uiPriority w:val="99"/>
    <w:semiHidden/>
    <w:unhideWhenUsed/>
    <w:rsid w:val="00F81996"/>
  </w:style>
  <w:style w:type="character" w:customStyle="1" w:styleId="DateChar">
    <w:name w:val="Date Char"/>
    <w:basedOn w:val="DefaultParagraphFont"/>
    <w:link w:val="Date"/>
    <w:uiPriority w:val="99"/>
    <w:semiHidden/>
    <w:rsid w:val="00F81996"/>
    <w:rPr>
      <w:rFonts w:ascii="Times New Roman" w:eastAsia="Times New Roman" w:hAnsi="Times New Roman" w:cs="Times New Roman"/>
      <w:sz w:val="24"/>
      <w:szCs w:val="24"/>
    </w:rPr>
  </w:style>
  <w:style w:type="paragraph" w:styleId="DocumentMap">
    <w:name w:val="Document Map"/>
    <w:basedOn w:val="Normal"/>
    <w:link w:val="DocumentMapChar"/>
    <w:uiPriority w:val="99"/>
    <w:semiHidden/>
    <w:unhideWhenUsed/>
    <w:rsid w:val="00F81996"/>
    <w:rPr>
      <w:rFonts w:ascii="Segoe UI" w:hAnsi="Segoe UI" w:cs="Segoe UI"/>
      <w:sz w:val="16"/>
      <w:szCs w:val="16"/>
    </w:rPr>
  </w:style>
  <w:style w:type="character" w:customStyle="1" w:styleId="DocumentMapChar">
    <w:name w:val="Document Map Char"/>
    <w:basedOn w:val="DefaultParagraphFont"/>
    <w:link w:val="DocumentMap"/>
    <w:uiPriority w:val="99"/>
    <w:semiHidden/>
    <w:rsid w:val="00F81996"/>
    <w:rPr>
      <w:rFonts w:ascii="Segoe UI" w:eastAsia="Times New Roman" w:hAnsi="Segoe UI" w:cs="Segoe UI"/>
      <w:sz w:val="16"/>
      <w:szCs w:val="16"/>
    </w:rPr>
  </w:style>
  <w:style w:type="paragraph" w:styleId="E-mailSignature">
    <w:name w:val="E-mail Signature"/>
    <w:basedOn w:val="Normal"/>
    <w:link w:val="E-mailSignatureChar"/>
    <w:uiPriority w:val="99"/>
    <w:semiHidden/>
    <w:unhideWhenUsed/>
    <w:rsid w:val="00F81996"/>
  </w:style>
  <w:style w:type="character" w:customStyle="1" w:styleId="E-mailSignatureChar">
    <w:name w:val="E-mail Signature Char"/>
    <w:basedOn w:val="DefaultParagraphFont"/>
    <w:link w:val="E-mailSignature"/>
    <w:uiPriority w:val="99"/>
    <w:semiHidden/>
    <w:rsid w:val="00F81996"/>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F81996"/>
    <w:rPr>
      <w:sz w:val="20"/>
      <w:szCs w:val="20"/>
    </w:rPr>
  </w:style>
  <w:style w:type="character" w:customStyle="1" w:styleId="EndnoteTextChar">
    <w:name w:val="Endnote Text Char"/>
    <w:basedOn w:val="DefaultParagraphFont"/>
    <w:link w:val="EndnoteText"/>
    <w:uiPriority w:val="99"/>
    <w:semiHidden/>
    <w:rsid w:val="00F81996"/>
    <w:rPr>
      <w:rFonts w:ascii="Times New Roman" w:eastAsia="Times New Roman" w:hAnsi="Times New Roman" w:cs="Times New Roman"/>
      <w:sz w:val="20"/>
      <w:szCs w:val="20"/>
    </w:rPr>
  </w:style>
  <w:style w:type="paragraph" w:styleId="EnvelopeAddress">
    <w:name w:val="envelope address"/>
    <w:basedOn w:val="Normal"/>
    <w:uiPriority w:val="99"/>
    <w:semiHidden/>
    <w:unhideWhenUsed/>
    <w:rsid w:val="00F81996"/>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F81996"/>
    <w:rPr>
      <w:rFonts w:asciiTheme="majorHAnsi" w:eastAsiaTheme="majorEastAsia" w:hAnsiTheme="majorHAnsi" w:cstheme="majorBidi"/>
      <w:sz w:val="20"/>
      <w:szCs w:val="20"/>
    </w:rPr>
  </w:style>
  <w:style w:type="character" w:customStyle="1" w:styleId="Heading1Char">
    <w:name w:val="Heading 1 Char"/>
    <w:basedOn w:val="DefaultParagraphFont"/>
    <w:link w:val="Heading1"/>
    <w:uiPriority w:val="9"/>
    <w:rsid w:val="00F8199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8199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8199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81996"/>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F81996"/>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F81996"/>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uiPriority w:val="9"/>
    <w:semiHidden/>
    <w:rsid w:val="00F81996"/>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uiPriority w:val="9"/>
    <w:semiHidden/>
    <w:rsid w:val="00F8199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81996"/>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F81996"/>
    <w:rPr>
      <w:i/>
      <w:iCs/>
    </w:rPr>
  </w:style>
  <w:style w:type="character" w:customStyle="1" w:styleId="HTMLAddressChar">
    <w:name w:val="HTML Address Char"/>
    <w:basedOn w:val="DefaultParagraphFont"/>
    <w:link w:val="HTMLAddress"/>
    <w:uiPriority w:val="99"/>
    <w:semiHidden/>
    <w:rsid w:val="00F81996"/>
    <w:rPr>
      <w:rFonts w:ascii="Times New Roman" w:eastAsia="Times New Roman" w:hAnsi="Times New Roman" w:cs="Times New Roman"/>
      <w:i/>
      <w:iCs/>
      <w:sz w:val="24"/>
      <w:szCs w:val="24"/>
    </w:rPr>
  </w:style>
  <w:style w:type="paragraph" w:styleId="HTMLPreformatted">
    <w:name w:val="HTML Preformatted"/>
    <w:basedOn w:val="Normal"/>
    <w:link w:val="HTMLPreformattedChar"/>
    <w:uiPriority w:val="99"/>
    <w:semiHidden/>
    <w:unhideWhenUsed/>
    <w:rsid w:val="00F8199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81996"/>
    <w:rPr>
      <w:rFonts w:ascii="Consolas" w:eastAsia="Times New Roman" w:hAnsi="Consolas" w:cs="Times New Roman"/>
      <w:sz w:val="20"/>
      <w:szCs w:val="20"/>
    </w:rPr>
  </w:style>
  <w:style w:type="paragraph" w:styleId="Index1">
    <w:name w:val="index 1"/>
    <w:basedOn w:val="Normal"/>
    <w:next w:val="Normal"/>
    <w:autoRedefine/>
    <w:uiPriority w:val="99"/>
    <w:semiHidden/>
    <w:unhideWhenUsed/>
    <w:rsid w:val="00F81996"/>
    <w:pPr>
      <w:ind w:left="240" w:hanging="240"/>
    </w:pPr>
  </w:style>
  <w:style w:type="paragraph" w:styleId="Index2">
    <w:name w:val="index 2"/>
    <w:basedOn w:val="Normal"/>
    <w:next w:val="Normal"/>
    <w:autoRedefine/>
    <w:uiPriority w:val="99"/>
    <w:semiHidden/>
    <w:unhideWhenUsed/>
    <w:rsid w:val="00F81996"/>
    <w:pPr>
      <w:ind w:left="480" w:hanging="240"/>
    </w:pPr>
  </w:style>
  <w:style w:type="paragraph" w:styleId="Index3">
    <w:name w:val="index 3"/>
    <w:basedOn w:val="Normal"/>
    <w:next w:val="Normal"/>
    <w:autoRedefine/>
    <w:uiPriority w:val="99"/>
    <w:semiHidden/>
    <w:unhideWhenUsed/>
    <w:rsid w:val="00F81996"/>
    <w:pPr>
      <w:ind w:left="720" w:hanging="240"/>
    </w:pPr>
  </w:style>
  <w:style w:type="paragraph" w:styleId="Index4">
    <w:name w:val="index 4"/>
    <w:basedOn w:val="Normal"/>
    <w:next w:val="Normal"/>
    <w:autoRedefine/>
    <w:uiPriority w:val="99"/>
    <w:semiHidden/>
    <w:unhideWhenUsed/>
    <w:rsid w:val="00F81996"/>
    <w:pPr>
      <w:ind w:left="960" w:hanging="240"/>
    </w:pPr>
  </w:style>
  <w:style w:type="paragraph" w:styleId="Index5">
    <w:name w:val="index 5"/>
    <w:basedOn w:val="Normal"/>
    <w:next w:val="Normal"/>
    <w:autoRedefine/>
    <w:uiPriority w:val="99"/>
    <w:semiHidden/>
    <w:unhideWhenUsed/>
    <w:rsid w:val="00F81996"/>
    <w:pPr>
      <w:ind w:left="1200" w:hanging="240"/>
    </w:pPr>
  </w:style>
  <w:style w:type="paragraph" w:styleId="Index6">
    <w:name w:val="index 6"/>
    <w:basedOn w:val="Normal"/>
    <w:next w:val="Normal"/>
    <w:autoRedefine/>
    <w:uiPriority w:val="99"/>
    <w:semiHidden/>
    <w:unhideWhenUsed/>
    <w:rsid w:val="00F81996"/>
    <w:pPr>
      <w:ind w:left="1440" w:hanging="240"/>
    </w:pPr>
  </w:style>
  <w:style w:type="paragraph" w:styleId="Index7">
    <w:name w:val="index 7"/>
    <w:basedOn w:val="Normal"/>
    <w:next w:val="Normal"/>
    <w:autoRedefine/>
    <w:uiPriority w:val="99"/>
    <w:semiHidden/>
    <w:unhideWhenUsed/>
    <w:rsid w:val="00F81996"/>
    <w:pPr>
      <w:ind w:left="1680" w:hanging="240"/>
    </w:pPr>
  </w:style>
  <w:style w:type="paragraph" w:styleId="Index8">
    <w:name w:val="index 8"/>
    <w:basedOn w:val="Normal"/>
    <w:next w:val="Normal"/>
    <w:autoRedefine/>
    <w:uiPriority w:val="99"/>
    <w:semiHidden/>
    <w:unhideWhenUsed/>
    <w:rsid w:val="00F81996"/>
    <w:pPr>
      <w:ind w:left="1920" w:hanging="240"/>
    </w:pPr>
  </w:style>
  <w:style w:type="paragraph" w:styleId="Index9">
    <w:name w:val="index 9"/>
    <w:basedOn w:val="Normal"/>
    <w:next w:val="Normal"/>
    <w:autoRedefine/>
    <w:uiPriority w:val="99"/>
    <w:semiHidden/>
    <w:unhideWhenUsed/>
    <w:rsid w:val="00F81996"/>
    <w:pPr>
      <w:ind w:left="2160" w:hanging="240"/>
    </w:pPr>
  </w:style>
  <w:style w:type="paragraph" w:styleId="IndexHeading">
    <w:name w:val="index heading"/>
    <w:basedOn w:val="Normal"/>
    <w:next w:val="Index1"/>
    <w:uiPriority w:val="99"/>
    <w:semiHidden/>
    <w:unhideWhenUsed/>
    <w:rsid w:val="00F81996"/>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F8199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81996"/>
    <w:rPr>
      <w:rFonts w:ascii="Times New Roman" w:eastAsia="Times New Roman" w:hAnsi="Times New Roman" w:cs="Times New Roman"/>
      <w:i/>
      <w:iCs/>
      <w:color w:val="4472C4" w:themeColor="accent1"/>
      <w:sz w:val="24"/>
      <w:szCs w:val="24"/>
    </w:rPr>
  </w:style>
  <w:style w:type="paragraph" w:styleId="List">
    <w:name w:val="List"/>
    <w:basedOn w:val="Normal"/>
    <w:uiPriority w:val="99"/>
    <w:semiHidden/>
    <w:unhideWhenUsed/>
    <w:rsid w:val="00F81996"/>
    <w:pPr>
      <w:ind w:left="360" w:hanging="360"/>
      <w:contextualSpacing/>
    </w:pPr>
  </w:style>
  <w:style w:type="paragraph" w:styleId="List2">
    <w:name w:val="List 2"/>
    <w:basedOn w:val="Normal"/>
    <w:uiPriority w:val="99"/>
    <w:semiHidden/>
    <w:unhideWhenUsed/>
    <w:rsid w:val="00F81996"/>
    <w:pPr>
      <w:ind w:left="720" w:hanging="360"/>
      <w:contextualSpacing/>
    </w:pPr>
  </w:style>
  <w:style w:type="paragraph" w:styleId="List3">
    <w:name w:val="List 3"/>
    <w:basedOn w:val="Normal"/>
    <w:uiPriority w:val="99"/>
    <w:semiHidden/>
    <w:unhideWhenUsed/>
    <w:rsid w:val="00F81996"/>
    <w:pPr>
      <w:ind w:left="1080" w:hanging="360"/>
      <w:contextualSpacing/>
    </w:pPr>
  </w:style>
  <w:style w:type="paragraph" w:styleId="List4">
    <w:name w:val="List 4"/>
    <w:basedOn w:val="Normal"/>
    <w:uiPriority w:val="99"/>
    <w:semiHidden/>
    <w:unhideWhenUsed/>
    <w:rsid w:val="00F81996"/>
    <w:pPr>
      <w:ind w:left="1440" w:hanging="360"/>
      <w:contextualSpacing/>
    </w:pPr>
  </w:style>
  <w:style w:type="paragraph" w:styleId="List5">
    <w:name w:val="List 5"/>
    <w:basedOn w:val="Normal"/>
    <w:uiPriority w:val="99"/>
    <w:semiHidden/>
    <w:unhideWhenUsed/>
    <w:rsid w:val="00F81996"/>
    <w:pPr>
      <w:ind w:left="1800" w:hanging="360"/>
      <w:contextualSpacing/>
    </w:pPr>
  </w:style>
  <w:style w:type="paragraph" w:styleId="ListBullet">
    <w:name w:val="List Bullet"/>
    <w:basedOn w:val="Normal"/>
    <w:uiPriority w:val="99"/>
    <w:semiHidden/>
    <w:unhideWhenUsed/>
    <w:rsid w:val="00F81996"/>
    <w:pPr>
      <w:numPr>
        <w:numId w:val="7"/>
      </w:numPr>
      <w:contextualSpacing/>
    </w:pPr>
  </w:style>
  <w:style w:type="paragraph" w:styleId="ListBullet2">
    <w:name w:val="List Bullet 2"/>
    <w:basedOn w:val="Normal"/>
    <w:uiPriority w:val="99"/>
    <w:semiHidden/>
    <w:unhideWhenUsed/>
    <w:rsid w:val="00F81996"/>
    <w:pPr>
      <w:numPr>
        <w:numId w:val="8"/>
      </w:numPr>
      <w:contextualSpacing/>
    </w:pPr>
  </w:style>
  <w:style w:type="paragraph" w:styleId="ListBullet3">
    <w:name w:val="List Bullet 3"/>
    <w:basedOn w:val="Normal"/>
    <w:uiPriority w:val="99"/>
    <w:semiHidden/>
    <w:unhideWhenUsed/>
    <w:rsid w:val="00F81996"/>
    <w:pPr>
      <w:numPr>
        <w:numId w:val="9"/>
      </w:numPr>
      <w:contextualSpacing/>
    </w:pPr>
  </w:style>
  <w:style w:type="paragraph" w:styleId="ListBullet4">
    <w:name w:val="List Bullet 4"/>
    <w:basedOn w:val="Normal"/>
    <w:uiPriority w:val="99"/>
    <w:semiHidden/>
    <w:unhideWhenUsed/>
    <w:rsid w:val="00F81996"/>
    <w:pPr>
      <w:numPr>
        <w:numId w:val="10"/>
      </w:numPr>
      <w:contextualSpacing/>
    </w:pPr>
  </w:style>
  <w:style w:type="paragraph" w:styleId="ListBullet5">
    <w:name w:val="List Bullet 5"/>
    <w:basedOn w:val="Normal"/>
    <w:uiPriority w:val="99"/>
    <w:semiHidden/>
    <w:unhideWhenUsed/>
    <w:rsid w:val="00F81996"/>
    <w:pPr>
      <w:numPr>
        <w:numId w:val="11"/>
      </w:numPr>
      <w:contextualSpacing/>
    </w:pPr>
  </w:style>
  <w:style w:type="paragraph" w:styleId="ListContinue">
    <w:name w:val="List Continue"/>
    <w:basedOn w:val="Normal"/>
    <w:uiPriority w:val="99"/>
    <w:semiHidden/>
    <w:unhideWhenUsed/>
    <w:rsid w:val="00F81996"/>
    <w:pPr>
      <w:spacing w:after="120"/>
      <w:ind w:left="360"/>
      <w:contextualSpacing/>
    </w:pPr>
  </w:style>
  <w:style w:type="paragraph" w:styleId="ListContinue2">
    <w:name w:val="List Continue 2"/>
    <w:basedOn w:val="Normal"/>
    <w:uiPriority w:val="99"/>
    <w:semiHidden/>
    <w:unhideWhenUsed/>
    <w:rsid w:val="00F81996"/>
    <w:pPr>
      <w:spacing w:after="120"/>
      <w:ind w:left="720"/>
      <w:contextualSpacing/>
    </w:pPr>
  </w:style>
  <w:style w:type="paragraph" w:styleId="ListContinue3">
    <w:name w:val="List Continue 3"/>
    <w:basedOn w:val="Normal"/>
    <w:uiPriority w:val="99"/>
    <w:semiHidden/>
    <w:unhideWhenUsed/>
    <w:rsid w:val="00F81996"/>
    <w:pPr>
      <w:spacing w:after="120"/>
      <w:ind w:left="1080"/>
      <w:contextualSpacing/>
    </w:pPr>
  </w:style>
  <w:style w:type="paragraph" w:styleId="ListContinue4">
    <w:name w:val="List Continue 4"/>
    <w:basedOn w:val="Normal"/>
    <w:uiPriority w:val="99"/>
    <w:semiHidden/>
    <w:unhideWhenUsed/>
    <w:rsid w:val="00F81996"/>
    <w:pPr>
      <w:spacing w:after="120"/>
      <w:ind w:left="1440"/>
      <w:contextualSpacing/>
    </w:pPr>
  </w:style>
  <w:style w:type="paragraph" w:styleId="ListContinue5">
    <w:name w:val="List Continue 5"/>
    <w:basedOn w:val="Normal"/>
    <w:uiPriority w:val="99"/>
    <w:semiHidden/>
    <w:unhideWhenUsed/>
    <w:rsid w:val="00F81996"/>
    <w:pPr>
      <w:spacing w:after="120"/>
      <w:ind w:left="1800"/>
      <w:contextualSpacing/>
    </w:pPr>
  </w:style>
  <w:style w:type="paragraph" w:styleId="ListNumber">
    <w:name w:val="List Number"/>
    <w:basedOn w:val="Normal"/>
    <w:uiPriority w:val="99"/>
    <w:semiHidden/>
    <w:unhideWhenUsed/>
    <w:rsid w:val="00F81996"/>
    <w:pPr>
      <w:numPr>
        <w:numId w:val="12"/>
      </w:numPr>
      <w:contextualSpacing/>
    </w:pPr>
  </w:style>
  <w:style w:type="paragraph" w:styleId="ListNumber2">
    <w:name w:val="List Number 2"/>
    <w:basedOn w:val="Normal"/>
    <w:uiPriority w:val="99"/>
    <w:semiHidden/>
    <w:unhideWhenUsed/>
    <w:rsid w:val="00F81996"/>
    <w:pPr>
      <w:numPr>
        <w:numId w:val="13"/>
      </w:numPr>
      <w:contextualSpacing/>
    </w:pPr>
  </w:style>
  <w:style w:type="paragraph" w:styleId="ListNumber3">
    <w:name w:val="List Number 3"/>
    <w:basedOn w:val="Normal"/>
    <w:uiPriority w:val="99"/>
    <w:semiHidden/>
    <w:unhideWhenUsed/>
    <w:rsid w:val="00F81996"/>
    <w:pPr>
      <w:numPr>
        <w:numId w:val="14"/>
      </w:numPr>
      <w:contextualSpacing/>
    </w:pPr>
  </w:style>
  <w:style w:type="paragraph" w:styleId="ListNumber4">
    <w:name w:val="List Number 4"/>
    <w:basedOn w:val="Normal"/>
    <w:uiPriority w:val="99"/>
    <w:semiHidden/>
    <w:unhideWhenUsed/>
    <w:rsid w:val="00F81996"/>
    <w:pPr>
      <w:numPr>
        <w:numId w:val="15"/>
      </w:numPr>
      <w:contextualSpacing/>
    </w:pPr>
  </w:style>
  <w:style w:type="paragraph" w:styleId="ListNumber5">
    <w:name w:val="List Number 5"/>
    <w:basedOn w:val="Normal"/>
    <w:uiPriority w:val="99"/>
    <w:semiHidden/>
    <w:unhideWhenUsed/>
    <w:rsid w:val="00F81996"/>
    <w:pPr>
      <w:numPr>
        <w:numId w:val="16"/>
      </w:numPr>
      <w:contextualSpacing/>
    </w:pPr>
  </w:style>
  <w:style w:type="paragraph" w:styleId="MacroText">
    <w:name w:val="macro"/>
    <w:link w:val="MacroTextChar"/>
    <w:uiPriority w:val="99"/>
    <w:semiHidden/>
    <w:unhideWhenUsed/>
    <w:rsid w:val="00F8199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Times New Roman" w:hAnsi="Consolas" w:cs="Times New Roman"/>
      <w:sz w:val="20"/>
      <w:szCs w:val="20"/>
    </w:rPr>
  </w:style>
  <w:style w:type="character" w:customStyle="1" w:styleId="MacroTextChar">
    <w:name w:val="Macro Text Char"/>
    <w:basedOn w:val="DefaultParagraphFont"/>
    <w:link w:val="MacroText"/>
    <w:uiPriority w:val="99"/>
    <w:semiHidden/>
    <w:rsid w:val="00F81996"/>
    <w:rPr>
      <w:rFonts w:ascii="Consolas" w:eastAsia="Times New Roman" w:hAnsi="Consolas" w:cs="Times New Roman"/>
      <w:sz w:val="20"/>
      <w:szCs w:val="20"/>
    </w:rPr>
  </w:style>
  <w:style w:type="paragraph" w:styleId="MessageHeader">
    <w:name w:val="Message Header"/>
    <w:basedOn w:val="Normal"/>
    <w:link w:val="MessageHeaderChar"/>
    <w:uiPriority w:val="99"/>
    <w:semiHidden/>
    <w:unhideWhenUsed/>
    <w:rsid w:val="00F81996"/>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F81996"/>
    <w:rPr>
      <w:rFonts w:asciiTheme="majorHAnsi" w:eastAsiaTheme="majorEastAsia" w:hAnsiTheme="majorHAnsi" w:cstheme="majorBidi"/>
      <w:sz w:val="24"/>
      <w:szCs w:val="24"/>
      <w:shd w:val="pct20" w:color="auto" w:fill="auto"/>
    </w:rPr>
  </w:style>
  <w:style w:type="paragraph" w:styleId="NormalIndent">
    <w:name w:val="Normal Indent"/>
    <w:basedOn w:val="Normal"/>
    <w:uiPriority w:val="99"/>
    <w:semiHidden/>
    <w:unhideWhenUsed/>
    <w:rsid w:val="00F81996"/>
    <w:pPr>
      <w:ind w:left="720"/>
    </w:pPr>
  </w:style>
  <w:style w:type="paragraph" w:styleId="NoteHeading">
    <w:name w:val="Note Heading"/>
    <w:basedOn w:val="Normal"/>
    <w:next w:val="Normal"/>
    <w:link w:val="NoteHeadingChar"/>
    <w:uiPriority w:val="99"/>
    <w:semiHidden/>
    <w:unhideWhenUsed/>
    <w:rsid w:val="00F81996"/>
  </w:style>
  <w:style w:type="character" w:customStyle="1" w:styleId="NoteHeadingChar">
    <w:name w:val="Note Heading Char"/>
    <w:basedOn w:val="DefaultParagraphFont"/>
    <w:link w:val="NoteHeading"/>
    <w:uiPriority w:val="99"/>
    <w:semiHidden/>
    <w:rsid w:val="00F81996"/>
    <w:rPr>
      <w:rFonts w:ascii="Times New Roman" w:eastAsia="Times New Roman" w:hAnsi="Times New Roman" w:cs="Times New Roman"/>
      <w:sz w:val="24"/>
      <w:szCs w:val="24"/>
    </w:rPr>
  </w:style>
  <w:style w:type="paragraph" w:styleId="PlainText">
    <w:name w:val="Plain Text"/>
    <w:basedOn w:val="Normal"/>
    <w:link w:val="PlainTextChar"/>
    <w:uiPriority w:val="99"/>
    <w:semiHidden/>
    <w:unhideWhenUsed/>
    <w:rsid w:val="00F81996"/>
    <w:rPr>
      <w:rFonts w:ascii="Consolas" w:hAnsi="Consolas"/>
      <w:sz w:val="21"/>
      <w:szCs w:val="21"/>
    </w:rPr>
  </w:style>
  <w:style w:type="character" w:customStyle="1" w:styleId="PlainTextChar">
    <w:name w:val="Plain Text Char"/>
    <w:basedOn w:val="DefaultParagraphFont"/>
    <w:link w:val="PlainText"/>
    <w:uiPriority w:val="99"/>
    <w:semiHidden/>
    <w:rsid w:val="00F81996"/>
    <w:rPr>
      <w:rFonts w:ascii="Consolas" w:eastAsia="Times New Roman" w:hAnsi="Consolas" w:cs="Times New Roman"/>
      <w:sz w:val="21"/>
      <w:szCs w:val="21"/>
    </w:rPr>
  </w:style>
  <w:style w:type="paragraph" w:styleId="Quote">
    <w:name w:val="Quote"/>
    <w:basedOn w:val="Normal"/>
    <w:next w:val="Normal"/>
    <w:link w:val="QuoteChar"/>
    <w:uiPriority w:val="29"/>
    <w:qFormat/>
    <w:rsid w:val="00F8199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81996"/>
    <w:rPr>
      <w:rFonts w:ascii="Times New Roman" w:eastAsia="Times New Roman" w:hAnsi="Times New Roman" w:cs="Times New Roman"/>
      <w:i/>
      <w:iCs/>
      <w:color w:val="404040" w:themeColor="text1" w:themeTint="BF"/>
      <w:sz w:val="24"/>
      <w:szCs w:val="24"/>
    </w:rPr>
  </w:style>
  <w:style w:type="paragraph" w:styleId="Salutation">
    <w:name w:val="Salutation"/>
    <w:basedOn w:val="Normal"/>
    <w:next w:val="Normal"/>
    <w:link w:val="SalutationChar"/>
    <w:uiPriority w:val="99"/>
    <w:semiHidden/>
    <w:unhideWhenUsed/>
    <w:rsid w:val="00F81996"/>
  </w:style>
  <w:style w:type="character" w:customStyle="1" w:styleId="SalutationChar">
    <w:name w:val="Salutation Char"/>
    <w:basedOn w:val="DefaultParagraphFont"/>
    <w:link w:val="Salutation"/>
    <w:uiPriority w:val="99"/>
    <w:semiHidden/>
    <w:rsid w:val="00F81996"/>
    <w:rPr>
      <w:rFonts w:ascii="Times New Roman" w:eastAsia="Times New Roman" w:hAnsi="Times New Roman" w:cs="Times New Roman"/>
      <w:sz w:val="24"/>
      <w:szCs w:val="24"/>
    </w:rPr>
  </w:style>
  <w:style w:type="paragraph" w:styleId="Signature">
    <w:name w:val="Signature"/>
    <w:basedOn w:val="Normal"/>
    <w:link w:val="SignatureChar"/>
    <w:uiPriority w:val="99"/>
    <w:semiHidden/>
    <w:unhideWhenUsed/>
    <w:rsid w:val="00F81996"/>
    <w:pPr>
      <w:ind w:left="4320"/>
    </w:pPr>
  </w:style>
  <w:style w:type="character" w:customStyle="1" w:styleId="SignatureChar">
    <w:name w:val="Signature Char"/>
    <w:basedOn w:val="DefaultParagraphFont"/>
    <w:link w:val="Signature"/>
    <w:uiPriority w:val="99"/>
    <w:semiHidden/>
    <w:rsid w:val="00F81996"/>
    <w:rPr>
      <w:rFonts w:ascii="Times New Roman" w:eastAsia="Times New Roman" w:hAnsi="Times New Roman" w:cs="Times New Roman"/>
      <w:sz w:val="24"/>
      <w:szCs w:val="24"/>
    </w:rPr>
  </w:style>
  <w:style w:type="paragraph" w:styleId="Subtitle">
    <w:name w:val="Subtitle"/>
    <w:basedOn w:val="Normal"/>
    <w:next w:val="Normal"/>
    <w:link w:val="SubtitleChar"/>
    <w:uiPriority w:val="11"/>
    <w:qFormat/>
    <w:rsid w:val="00F8199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81996"/>
    <w:rPr>
      <w:rFonts w:eastAsiaTheme="minorEastAsia"/>
      <w:color w:val="5A5A5A" w:themeColor="text1" w:themeTint="A5"/>
      <w:spacing w:val="15"/>
    </w:rPr>
  </w:style>
  <w:style w:type="paragraph" w:styleId="TableofAuthorities">
    <w:name w:val="table of authorities"/>
    <w:basedOn w:val="Normal"/>
    <w:next w:val="Normal"/>
    <w:uiPriority w:val="99"/>
    <w:semiHidden/>
    <w:unhideWhenUsed/>
    <w:rsid w:val="00F81996"/>
    <w:pPr>
      <w:ind w:left="240" w:hanging="240"/>
    </w:pPr>
  </w:style>
  <w:style w:type="paragraph" w:styleId="TableofFigures">
    <w:name w:val="table of figures"/>
    <w:basedOn w:val="Normal"/>
    <w:next w:val="Normal"/>
    <w:uiPriority w:val="99"/>
    <w:semiHidden/>
    <w:unhideWhenUsed/>
    <w:rsid w:val="00F81996"/>
  </w:style>
  <w:style w:type="paragraph" w:styleId="Title">
    <w:name w:val="Title"/>
    <w:basedOn w:val="Normal"/>
    <w:next w:val="Normal"/>
    <w:link w:val="TitleChar"/>
    <w:uiPriority w:val="10"/>
    <w:qFormat/>
    <w:rsid w:val="00F8199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1996"/>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F81996"/>
    <w:pPr>
      <w:spacing w:before="12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rsid w:val="00F81996"/>
    <w:pPr>
      <w:spacing w:after="100"/>
    </w:pPr>
  </w:style>
  <w:style w:type="paragraph" w:styleId="TOC2">
    <w:name w:val="toc 2"/>
    <w:basedOn w:val="Normal"/>
    <w:next w:val="Normal"/>
    <w:autoRedefine/>
    <w:uiPriority w:val="39"/>
    <w:semiHidden/>
    <w:unhideWhenUsed/>
    <w:rsid w:val="00F81996"/>
    <w:pPr>
      <w:spacing w:after="100"/>
      <w:ind w:left="240"/>
    </w:pPr>
  </w:style>
  <w:style w:type="paragraph" w:styleId="TOC3">
    <w:name w:val="toc 3"/>
    <w:basedOn w:val="Normal"/>
    <w:next w:val="Normal"/>
    <w:autoRedefine/>
    <w:uiPriority w:val="39"/>
    <w:semiHidden/>
    <w:unhideWhenUsed/>
    <w:rsid w:val="00F81996"/>
    <w:pPr>
      <w:spacing w:after="100"/>
      <w:ind w:left="480"/>
    </w:pPr>
  </w:style>
  <w:style w:type="paragraph" w:styleId="TOC4">
    <w:name w:val="toc 4"/>
    <w:basedOn w:val="Normal"/>
    <w:next w:val="Normal"/>
    <w:autoRedefine/>
    <w:uiPriority w:val="39"/>
    <w:semiHidden/>
    <w:unhideWhenUsed/>
    <w:rsid w:val="00F81996"/>
    <w:pPr>
      <w:spacing w:after="100"/>
      <w:ind w:left="720"/>
    </w:pPr>
  </w:style>
  <w:style w:type="paragraph" w:styleId="TOC5">
    <w:name w:val="toc 5"/>
    <w:basedOn w:val="Normal"/>
    <w:next w:val="Normal"/>
    <w:autoRedefine/>
    <w:uiPriority w:val="39"/>
    <w:semiHidden/>
    <w:unhideWhenUsed/>
    <w:rsid w:val="00F81996"/>
    <w:pPr>
      <w:spacing w:after="100"/>
      <w:ind w:left="960"/>
    </w:pPr>
  </w:style>
  <w:style w:type="paragraph" w:styleId="TOC6">
    <w:name w:val="toc 6"/>
    <w:basedOn w:val="Normal"/>
    <w:next w:val="Normal"/>
    <w:autoRedefine/>
    <w:uiPriority w:val="39"/>
    <w:semiHidden/>
    <w:unhideWhenUsed/>
    <w:rsid w:val="00F81996"/>
    <w:pPr>
      <w:spacing w:after="100"/>
      <w:ind w:left="1200"/>
    </w:pPr>
  </w:style>
  <w:style w:type="paragraph" w:styleId="TOC7">
    <w:name w:val="toc 7"/>
    <w:basedOn w:val="Normal"/>
    <w:next w:val="Normal"/>
    <w:autoRedefine/>
    <w:uiPriority w:val="39"/>
    <w:semiHidden/>
    <w:unhideWhenUsed/>
    <w:rsid w:val="00F81996"/>
    <w:pPr>
      <w:spacing w:after="100"/>
      <w:ind w:left="1440"/>
    </w:pPr>
  </w:style>
  <w:style w:type="paragraph" w:styleId="TOC8">
    <w:name w:val="toc 8"/>
    <w:basedOn w:val="Normal"/>
    <w:next w:val="Normal"/>
    <w:autoRedefine/>
    <w:uiPriority w:val="39"/>
    <w:semiHidden/>
    <w:unhideWhenUsed/>
    <w:rsid w:val="00F81996"/>
    <w:pPr>
      <w:spacing w:after="100"/>
      <w:ind w:left="1680"/>
    </w:pPr>
  </w:style>
  <w:style w:type="paragraph" w:styleId="TOC9">
    <w:name w:val="toc 9"/>
    <w:basedOn w:val="Normal"/>
    <w:next w:val="Normal"/>
    <w:autoRedefine/>
    <w:uiPriority w:val="39"/>
    <w:semiHidden/>
    <w:unhideWhenUsed/>
    <w:rsid w:val="00F81996"/>
    <w:pPr>
      <w:spacing w:after="100"/>
      <w:ind w:left="1920"/>
    </w:pPr>
  </w:style>
  <w:style w:type="paragraph" w:styleId="TOCHeading">
    <w:name w:val="TOC Heading"/>
    <w:basedOn w:val="Heading1"/>
    <w:next w:val="Normal"/>
    <w:uiPriority w:val="39"/>
    <w:semiHidden/>
    <w:unhideWhenUsed/>
    <w:qFormat/>
    <w:rsid w:val="00F8199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693905">
      <w:bodyDiv w:val="1"/>
      <w:marLeft w:val="0"/>
      <w:marRight w:val="0"/>
      <w:marTop w:val="0"/>
      <w:marBottom w:val="0"/>
      <w:divBdr>
        <w:top w:val="none" w:sz="0" w:space="0" w:color="auto"/>
        <w:left w:val="none" w:sz="0" w:space="0" w:color="auto"/>
        <w:bottom w:val="none" w:sz="0" w:space="0" w:color="auto"/>
        <w:right w:val="none" w:sz="0" w:space="0" w:color="auto"/>
      </w:divBdr>
    </w:div>
    <w:div w:id="795833905">
      <w:bodyDiv w:val="1"/>
      <w:marLeft w:val="0"/>
      <w:marRight w:val="0"/>
      <w:marTop w:val="0"/>
      <w:marBottom w:val="0"/>
      <w:divBdr>
        <w:top w:val="none" w:sz="0" w:space="0" w:color="auto"/>
        <w:left w:val="none" w:sz="0" w:space="0" w:color="auto"/>
        <w:bottom w:val="none" w:sz="0" w:space="0" w:color="auto"/>
        <w:right w:val="none" w:sz="0" w:space="0" w:color="auto"/>
      </w:divBdr>
    </w:div>
    <w:div w:id="876046444">
      <w:bodyDiv w:val="1"/>
      <w:marLeft w:val="0"/>
      <w:marRight w:val="0"/>
      <w:marTop w:val="0"/>
      <w:marBottom w:val="0"/>
      <w:divBdr>
        <w:top w:val="none" w:sz="0" w:space="0" w:color="auto"/>
        <w:left w:val="none" w:sz="0" w:space="0" w:color="auto"/>
        <w:bottom w:val="none" w:sz="0" w:space="0" w:color="auto"/>
        <w:right w:val="none" w:sz="0" w:space="0" w:color="auto"/>
      </w:divBdr>
    </w:div>
    <w:div w:id="1168399179">
      <w:bodyDiv w:val="1"/>
      <w:marLeft w:val="0"/>
      <w:marRight w:val="0"/>
      <w:marTop w:val="0"/>
      <w:marBottom w:val="0"/>
      <w:divBdr>
        <w:top w:val="none" w:sz="0" w:space="0" w:color="auto"/>
        <w:left w:val="none" w:sz="0" w:space="0" w:color="auto"/>
        <w:bottom w:val="none" w:sz="0" w:space="0" w:color="auto"/>
        <w:right w:val="none" w:sz="0" w:space="0" w:color="auto"/>
      </w:divBdr>
    </w:div>
    <w:div w:id="119068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w.org/news/2010/12/01/indonesia-local-sharia-laws-violate-rights-aceh"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rw.org/news/2014/10/02/indonesia-acehs-new-islamic-laws-violate-righ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w.org/news/2015/05/13/indonesia-military-imposing-virginity-test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cnnindonesia.com/nasional/20190208074321-20-367371/ombudsman-minta-revisi-aturan-wajib-jilbab-di-smp-yogyakarta" TargetMode="External"/><Relationship Id="rId13" Type="http://schemas.openxmlformats.org/officeDocument/2006/relationships/hyperlink" Target="https://www.hrw.org/news/2019/09/18/indonesia-draft-criminal-code-disastrous-rights" TargetMode="External"/><Relationship Id="rId18" Type="http://schemas.openxmlformats.org/officeDocument/2006/relationships/hyperlink" Target="https://www.hrw.org/report/2019/09/23/when-we-lost-forest-we-lost-everything/oil-palm-plantations-and-rights-violations" TargetMode="External"/><Relationship Id="rId26" Type="http://schemas.openxmlformats.org/officeDocument/2006/relationships/hyperlink" Target="https://www.thejakartapost.com/news/2019/02/20/hundreds-of-students-flee-violence-in-papua.html" TargetMode="External"/><Relationship Id="rId3" Type="http://schemas.openxmlformats.org/officeDocument/2006/relationships/hyperlink" Target="https://www.komnasperempuan.go.id/file/pdf_file/Modul%20dan%20Pedoman/PP2_Atas%20Nama%20Otonomi%20Daerah.pdf" TargetMode="External"/><Relationship Id="rId21" Type="http://schemas.openxmlformats.org/officeDocument/2006/relationships/hyperlink" Target="https://www.hrw.org/news/2018/11/08/indonesian-police-harass-transgender-women" TargetMode="External"/><Relationship Id="rId7" Type="http://schemas.openxmlformats.org/officeDocument/2006/relationships/hyperlink" Target="https://www.hrw.org/report/2010/11/30/policing-morality/abuses-application-sharia-aceh-indonesia" TargetMode="External"/><Relationship Id="rId12" Type="http://schemas.openxmlformats.org/officeDocument/2006/relationships/hyperlink" Target="https://www.hrw.org/news/2014/10/02/indonesia-acehs-new-islamic-laws-violate-rights" TargetMode="External"/><Relationship Id="rId17" Type="http://schemas.openxmlformats.org/officeDocument/2006/relationships/hyperlink" Target="https://www.hrw.org/news/2018/03/07/indonesia-medical-groups-silent-abusive-virginity-tests" TargetMode="External"/><Relationship Id="rId25" Type="http://schemas.openxmlformats.org/officeDocument/2006/relationships/hyperlink" Target="https://www.efe.com/efe/english/agencia-efe/over-37-000-displaced-by-separatist-conflict-in-indonesia-s-papua-province/50000270-3943024" TargetMode="External"/><Relationship Id="rId2" Type="http://schemas.openxmlformats.org/officeDocument/2006/relationships/hyperlink" Target="https://tbinternet.ohchr.org/_layouts/15/treatybodyexternal/Download.aspx?symbolno=CEDAW%2fC%2fPER%2f9&amp;Lang=en" TargetMode="External"/><Relationship Id="rId16" Type="http://schemas.openxmlformats.org/officeDocument/2006/relationships/hyperlink" Target="https://apps.who.int/iris/bitstream/handle/10665/275451/WHO-RHR-18.15-eng.pdf?ua=1" TargetMode="External"/><Relationship Id="rId20" Type="http://schemas.openxmlformats.org/officeDocument/2006/relationships/hyperlink" Target="https://www.hrw.org/news/2017/12/18/vigilantes-stalk-indonesian-transgender-women" TargetMode="External"/><Relationship Id="rId29" Type="http://schemas.openxmlformats.org/officeDocument/2006/relationships/hyperlink" Target="https://undocs.org/en/A/HRC/31/57/Add.2" TargetMode="External"/><Relationship Id="rId1" Type="http://schemas.openxmlformats.org/officeDocument/2006/relationships/hyperlink" Target="https://tbinternet.ohchr.org/_layouts/15/TreatyBodyExternal/Treaty.aspx?CountryID=80&amp;Lang=EN" TargetMode="External"/><Relationship Id="rId6" Type="http://schemas.openxmlformats.org/officeDocument/2006/relationships/hyperlink" Target="https://www.hrw.org/news/2021/07/01/indonesia-supreme-court-supports-mandatory-jilbab-rule" TargetMode="External"/><Relationship Id="rId11" Type="http://schemas.openxmlformats.org/officeDocument/2006/relationships/hyperlink" Target="https://www.hrw.org/en/reports/2010/12/01/policing-morality-0" TargetMode="External"/><Relationship Id="rId24" Type="http://schemas.openxmlformats.org/officeDocument/2006/relationships/hyperlink" Target="https://www.hrw.org/report/2021/05/17/years-dont-wait-them/increased-inequalities-childrens-right-education-due-covid" TargetMode="External"/><Relationship Id="rId5" Type="http://schemas.openxmlformats.org/officeDocument/2006/relationships/hyperlink" Target="https://www.hrw.org/news/2021/02/05/indonesia-enforce-dress-code-ban" TargetMode="External"/><Relationship Id="rId15" Type="http://schemas.openxmlformats.org/officeDocument/2006/relationships/hyperlink" Target="https://documents-dds-ny.un.org/doc/UNDOC/GEN/N14/627/78/PDF/N1462778.pdf?OpenElement" TargetMode="External"/><Relationship Id="rId23" Type="http://schemas.openxmlformats.org/officeDocument/2006/relationships/hyperlink" Target="https://en.unesco.org/covid19/educationresponse" TargetMode="External"/><Relationship Id="rId28" Type="http://schemas.openxmlformats.org/officeDocument/2006/relationships/hyperlink" Target="http://protectingeducation.org/sites/default/files/documents/guidelines_en.pdf" TargetMode="External"/><Relationship Id="rId10" Type="http://schemas.openxmlformats.org/officeDocument/2006/relationships/hyperlink" Target="https://www.hrw.org/report/2021/03/18/i-wanted-run-away/abusive-dress-codes-women-and-girls-indonesia" TargetMode="External"/><Relationship Id="rId19" Type="http://schemas.openxmlformats.org/officeDocument/2006/relationships/hyperlink" Target="https://www.hrw.org/news/2017/09/05/indonesia-stop-raids-homes-suspected-lesbians" TargetMode="External"/><Relationship Id="rId4" Type="http://schemas.openxmlformats.org/officeDocument/2006/relationships/hyperlink" Target="http://simpuh.kemenag.go.id/regulasi/permendikbud_45_14.pdf" TargetMode="External"/><Relationship Id="rId9" Type="http://schemas.openxmlformats.org/officeDocument/2006/relationships/hyperlink" Target="https://regional.kompas.com/read/2017/07/16/23005061/ada-diskriminasi-terhadap-siswi-non-muslim-di-banyuwangi-bupati-anas-marah" TargetMode="External"/><Relationship Id="rId14" Type="http://schemas.openxmlformats.org/officeDocument/2006/relationships/hyperlink" Target="https://www.hrw.org/news/2021/08/03/indonesia-army-chief-terminate-unscientific-virginity-test" TargetMode="External"/><Relationship Id="rId22" Type="http://schemas.openxmlformats.org/officeDocument/2006/relationships/hyperlink" Target="https://www.hrw.org/news/2019/09/18/indonesia-draft-criminal-code-disastrous-rights" TargetMode="External"/><Relationship Id="rId27" Type="http://schemas.openxmlformats.org/officeDocument/2006/relationships/hyperlink" Target="https://www.regjeringen.no/globalassets/departementene/ud/vedlegg/utvikling/safe_schools_declar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034EB5-69CB-4408-950F-EA0E4ABD14B1}">
  <ds:schemaRefs>
    <ds:schemaRef ds:uri="http://schemas.microsoft.com/sharepoint/v3/contenttype/forms"/>
  </ds:schemaRefs>
</ds:datastoreItem>
</file>

<file path=customXml/itemProps2.xml><?xml version="1.0" encoding="utf-8"?>
<ds:datastoreItem xmlns:ds="http://schemas.openxmlformats.org/officeDocument/2006/customXml" ds:itemID="{5775C332-D626-403A-9ED6-6FF9F34D8F35}">
  <ds:schemaRefs>
    <ds:schemaRef ds:uri="http://schemas.openxmlformats.org/officeDocument/2006/bibliography"/>
  </ds:schemaRefs>
</ds:datastoreItem>
</file>

<file path=customXml/itemProps3.xml><?xml version="1.0" encoding="utf-8"?>
<ds:datastoreItem xmlns:ds="http://schemas.openxmlformats.org/officeDocument/2006/customXml" ds:itemID="{EE81BD5A-9321-4B2B-9211-B82A55DCD72F}"/>
</file>

<file path=customXml/itemProps4.xml><?xml version="1.0" encoding="utf-8"?>
<ds:datastoreItem xmlns:ds="http://schemas.openxmlformats.org/officeDocument/2006/customXml" ds:itemID="{A3D1A354-BB59-46A9-903E-2FA220A77FF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2300</Words>
  <Characters>13466</Characters>
  <Application>Microsoft Office Word</Application>
  <DocSecurity>0</DocSecurity>
  <Lines>255</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Harsono</dc:creator>
  <cp:keywords/>
  <dc:description/>
  <cp:lastModifiedBy>Alex Firth</cp:lastModifiedBy>
  <cp:revision>4</cp:revision>
  <cp:lastPrinted>2021-09-20T08:51:00Z</cp:lastPrinted>
  <dcterms:created xsi:type="dcterms:W3CDTF">2021-09-20T08:50:00Z</dcterms:created>
  <dcterms:modified xsi:type="dcterms:W3CDTF">2021-09-20T08:51:00Z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