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D4428" w14:textId="21AB9C92" w:rsidR="00DD03C2" w:rsidRPr="005D03AD" w:rsidRDefault="004D69BD" w:rsidP="005D03AD">
      <w:pPr>
        <w:pStyle w:val="Header"/>
        <w:tabs>
          <w:tab w:val="left" w:pos="720"/>
        </w:tabs>
        <w:ind w:left="-1418" w:right="-1370"/>
        <w:jc w:val="center"/>
        <w:rPr>
          <w:lang w:val="fr-CH"/>
        </w:rPr>
      </w:pPr>
      <w:bookmarkStart w:id="0" w:name="_GoBack"/>
      <w:bookmarkEnd w:id="0"/>
      <w:r w:rsidRPr="009A108C">
        <w:rPr>
          <w:rFonts w:ascii="Courier New" w:hAnsi="Courier New" w:cs="Courier New"/>
          <w:noProof/>
          <w:lang w:val="en-GB" w:eastAsia="en-GB"/>
        </w:rPr>
        <w:drawing>
          <wp:inline distT="0" distB="0" distL="0" distR="0" wp14:anchorId="0A468453" wp14:editId="0F8FFB62">
            <wp:extent cx="1343025" cy="1095375"/>
            <wp:effectExtent l="0" t="0" r="0" b="9525"/>
            <wp:docPr id="1" name="Picture 2" descr="C:\Users\RLO-MASHREQ\Desktop\Logo-Alkarama2016_200px_trans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LO-MASHREQ\Desktop\Logo-Alkarama2016_200px_transp.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3025" cy="1095375"/>
                    </a:xfrm>
                    <a:prstGeom prst="rect">
                      <a:avLst/>
                    </a:prstGeom>
                    <a:noFill/>
                    <a:ln>
                      <a:noFill/>
                    </a:ln>
                  </pic:spPr>
                </pic:pic>
              </a:graphicData>
            </a:graphic>
          </wp:inline>
        </w:drawing>
      </w:r>
    </w:p>
    <w:p w14:paraId="0F8C9391" w14:textId="77777777" w:rsidR="0031260E" w:rsidRDefault="0031260E"/>
    <w:p w14:paraId="1F05DDC5" w14:textId="77777777" w:rsidR="0031260E" w:rsidRDefault="0031260E"/>
    <w:p w14:paraId="3F199BF8" w14:textId="77777777" w:rsidR="0031260E" w:rsidRDefault="0031260E"/>
    <w:p w14:paraId="548144EC" w14:textId="77777777" w:rsidR="00E539D8" w:rsidRDefault="00E539D8"/>
    <w:p w14:paraId="7E3DE4AD" w14:textId="77777777" w:rsidR="00E539D8" w:rsidRDefault="00E539D8"/>
    <w:p w14:paraId="277AC3F9" w14:textId="77777777" w:rsidR="00E539D8" w:rsidRDefault="00E539D8"/>
    <w:p w14:paraId="2BBCFC81" w14:textId="77777777" w:rsidR="0031260E" w:rsidRDefault="0031260E"/>
    <w:p w14:paraId="0C2F9A90" w14:textId="77777777" w:rsidR="00E539D8" w:rsidRPr="00E539D8" w:rsidRDefault="008D7AE9" w:rsidP="00E539D8">
      <w:pPr>
        <w:jc w:val="center"/>
        <w:rPr>
          <w:b/>
          <w:bCs/>
          <w:sz w:val="40"/>
          <w:lang w:val="en-US"/>
        </w:rPr>
      </w:pPr>
      <w:r>
        <w:rPr>
          <w:b/>
          <w:bCs/>
          <w:sz w:val="40"/>
          <w:lang w:val="en-US"/>
        </w:rPr>
        <w:t>Saudi Arabia</w:t>
      </w:r>
    </w:p>
    <w:p w14:paraId="1949348C" w14:textId="77777777" w:rsidR="0031260E" w:rsidRPr="00F5746D" w:rsidRDefault="0031260E" w:rsidP="0031260E">
      <w:pPr>
        <w:jc w:val="center"/>
        <w:rPr>
          <w:b/>
          <w:bCs/>
          <w:sz w:val="28"/>
          <w:lang w:val="en-US"/>
        </w:rPr>
      </w:pPr>
    </w:p>
    <w:p w14:paraId="2871951C" w14:textId="77777777" w:rsidR="0031260E" w:rsidRPr="00F5746D" w:rsidRDefault="0031260E" w:rsidP="0031260E">
      <w:pPr>
        <w:jc w:val="center"/>
        <w:rPr>
          <w:b/>
          <w:bCs/>
          <w:sz w:val="28"/>
          <w:lang w:val="en-US"/>
        </w:rPr>
      </w:pPr>
    </w:p>
    <w:p w14:paraId="28721A21" w14:textId="77777777" w:rsidR="00C3036C" w:rsidRDefault="00C3036C" w:rsidP="0031260E">
      <w:pPr>
        <w:jc w:val="center"/>
        <w:rPr>
          <w:b/>
          <w:bCs/>
          <w:sz w:val="28"/>
          <w:lang w:val="en-US"/>
        </w:rPr>
      </w:pPr>
    </w:p>
    <w:p w14:paraId="3C613E5A" w14:textId="77777777" w:rsidR="00E539D8" w:rsidRDefault="00E539D8" w:rsidP="0031260E">
      <w:pPr>
        <w:jc w:val="center"/>
        <w:rPr>
          <w:b/>
          <w:bCs/>
          <w:sz w:val="28"/>
          <w:lang w:val="en-US"/>
        </w:rPr>
      </w:pPr>
    </w:p>
    <w:p w14:paraId="79A1DEC7" w14:textId="37B023F9" w:rsidR="00E539D8" w:rsidRPr="00F5746D" w:rsidRDefault="00C3036C" w:rsidP="008D7AE9">
      <w:pPr>
        <w:rPr>
          <w:b/>
          <w:bCs/>
          <w:sz w:val="28"/>
          <w:lang w:val="en-US"/>
        </w:rPr>
      </w:pPr>
      <w:r>
        <w:rPr>
          <w:b/>
          <w:bCs/>
          <w:sz w:val="28"/>
          <w:lang w:val="en-US"/>
        </w:rPr>
        <w:t xml:space="preserve">Follow-up to the </w:t>
      </w:r>
      <w:r w:rsidR="00733904">
        <w:rPr>
          <w:b/>
          <w:bCs/>
          <w:sz w:val="28"/>
          <w:lang w:val="en-US"/>
        </w:rPr>
        <w:t>Committee against T</w:t>
      </w:r>
      <w:r w:rsidR="008D7AE9">
        <w:rPr>
          <w:b/>
          <w:bCs/>
          <w:sz w:val="28"/>
          <w:lang w:val="en-US"/>
        </w:rPr>
        <w:t>orture</w:t>
      </w:r>
      <w:r w:rsidR="00925187">
        <w:rPr>
          <w:b/>
          <w:bCs/>
          <w:sz w:val="28"/>
          <w:lang w:val="en-US"/>
        </w:rPr>
        <w:t>’s</w:t>
      </w:r>
      <w:r>
        <w:rPr>
          <w:b/>
          <w:bCs/>
          <w:sz w:val="28"/>
          <w:lang w:val="en-US"/>
        </w:rPr>
        <w:t xml:space="preserve"> recommendations</w:t>
      </w:r>
    </w:p>
    <w:p w14:paraId="51EC8190" w14:textId="77777777" w:rsidR="0031260E" w:rsidRDefault="0031260E" w:rsidP="0031260E">
      <w:pPr>
        <w:jc w:val="center"/>
        <w:rPr>
          <w:b/>
          <w:bCs/>
          <w:sz w:val="28"/>
          <w:lang w:val="en-US"/>
        </w:rPr>
      </w:pPr>
    </w:p>
    <w:p w14:paraId="79334228" w14:textId="77777777" w:rsidR="00E539D8" w:rsidRDefault="00E539D8" w:rsidP="0031260E">
      <w:pPr>
        <w:jc w:val="center"/>
        <w:rPr>
          <w:b/>
          <w:bCs/>
          <w:sz w:val="28"/>
          <w:lang w:val="en-US"/>
        </w:rPr>
      </w:pPr>
    </w:p>
    <w:p w14:paraId="3E7DF85C" w14:textId="77777777" w:rsidR="00E539D8" w:rsidRDefault="00E539D8" w:rsidP="0031260E">
      <w:pPr>
        <w:jc w:val="center"/>
        <w:rPr>
          <w:b/>
          <w:bCs/>
          <w:sz w:val="28"/>
          <w:lang w:val="en-US"/>
        </w:rPr>
      </w:pPr>
    </w:p>
    <w:p w14:paraId="01ADB6C5" w14:textId="77777777" w:rsidR="00E539D8" w:rsidRPr="00F5746D" w:rsidRDefault="00E539D8" w:rsidP="0031260E">
      <w:pPr>
        <w:jc w:val="center"/>
        <w:rPr>
          <w:b/>
          <w:bCs/>
          <w:sz w:val="28"/>
          <w:lang w:val="en-US"/>
        </w:rPr>
      </w:pPr>
    </w:p>
    <w:p w14:paraId="004952C7" w14:textId="2403A45A" w:rsidR="00E539D8" w:rsidRPr="00E63550" w:rsidRDefault="00E63550" w:rsidP="00925187">
      <w:pPr>
        <w:jc w:val="center"/>
        <w:rPr>
          <w:b/>
          <w:bCs/>
          <w:sz w:val="24"/>
          <w:szCs w:val="24"/>
          <w:lang w:val="en-US"/>
        </w:rPr>
      </w:pPr>
      <w:r>
        <w:rPr>
          <w:b/>
          <w:bCs/>
          <w:lang w:val="en-US"/>
        </w:rPr>
        <w:t xml:space="preserve"> </w:t>
      </w:r>
      <w:r w:rsidRPr="00E63550">
        <w:rPr>
          <w:b/>
          <w:bCs/>
          <w:sz w:val="24"/>
          <w:szCs w:val="24"/>
          <w:lang w:val="en-US"/>
        </w:rPr>
        <w:t xml:space="preserve">Alkarama Foundation – </w:t>
      </w:r>
      <w:r w:rsidR="00925187">
        <w:rPr>
          <w:b/>
          <w:bCs/>
          <w:sz w:val="24"/>
          <w:szCs w:val="24"/>
          <w:lang w:val="en-US"/>
        </w:rPr>
        <w:t xml:space="preserve">23 June </w:t>
      </w:r>
      <w:r w:rsidR="008D7AE9">
        <w:rPr>
          <w:b/>
          <w:bCs/>
          <w:sz w:val="24"/>
          <w:szCs w:val="24"/>
          <w:lang w:val="en-US"/>
        </w:rPr>
        <w:t>2017</w:t>
      </w:r>
    </w:p>
    <w:p w14:paraId="17F93A0B" w14:textId="77777777" w:rsidR="007B2E81" w:rsidRDefault="007B2E81" w:rsidP="0031260E">
      <w:pPr>
        <w:jc w:val="center"/>
        <w:rPr>
          <w:b/>
          <w:bCs/>
          <w:lang w:val="en-US"/>
        </w:rPr>
      </w:pPr>
    </w:p>
    <w:p w14:paraId="4F3486BD" w14:textId="77777777" w:rsidR="00DD03C2" w:rsidRPr="00696CAE" w:rsidRDefault="00E539D8" w:rsidP="00925187">
      <w:pPr>
        <w:pStyle w:val="Heading1"/>
        <w:numPr>
          <w:ilvl w:val="0"/>
          <w:numId w:val="0"/>
        </w:numPr>
        <w:ind w:left="360" w:hanging="360"/>
      </w:pPr>
      <w:r w:rsidRPr="00696CAE">
        <w:br w:type="page"/>
      </w:r>
      <w:bookmarkStart w:id="1" w:name="_Toc222224482"/>
      <w:bookmarkStart w:id="2" w:name="_Toc222226005"/>
      <w:bookmarkStart w:id="3" w:name="_Toc222895123"/>
      <w:bookmarkStart w:id="4" w:name="_Toc483832364"/>
      <w:r w:rsidR="00D112C4" w:rsidRPr="00696CAE">
        <w:lastRenderedPageBreak/>
        <w:t>Table of c</w:t>
      </w:r>
      <w:r w:rsidRPr="00696CAE">
        <w:t>ontents</w:t>
      </w:r>
      <w:bookmarkEnd w:id="1"/>
      <w:bookmarkEnd w:id="2"/>
      <w:bookmarkEnd w:id="3"/>
      <w:bookmarkEnd w:id="4"/>
    </w:p>
    <w:p w14:paraId="2D21ECEF" w14:textId="77777777" w:rsidR="001377A0" w:rsidRPr="00925187" w:rsidRDefault="001377A0">
      <w:pPr>
        <w:pStyle w:val="TOC1"/>
        <w:tabs>
          <w:tab w:val="left" w:pos="440"/>
          <w:tab w:val="right" w:leader="dot" w:pos="9062"/>
        </w:tabs>
        <w:rPr>
          <w:lang w:val="en-US"/>
        </w:rPr>
      </w:pPr>
    </w:p>
    <w:p w14:paraId="098B525C" w14:textId="77777777" w:rsidR="001377A0" w:rsidRPr="00925187" w:rsidRDefault="001377A0">
      <w:pPr>
        <w:pStyle w:val="TOC1"/>
        <w:tabs>
          <w:tab w:val="left" w:pos="440"/>
          <w:tab w:val="right" w:leader="dot" w:pos="9062"/>
        </w:tabs>
        <w:rPr>
          <w:lang w:val="en-US"/>
        </w:rPr>
      </w:pPr>
    </w:p>
    <w:p w14:paraId="57E4C7F9" w14:textId="77777777" w:rsidR="00E05E10" w:rsidRDefault="00CA1F0D">
      <w:pPr>
        <w:pStyle w:val="TOC1"/>
        <w:tabs>
          <w:tab w:val="left" w:pos="400"/>
          <w:tab w:val="right" w:leader="dot" w:pos="9062"/>
        </w:tabs>
        <w:rPr>
          <w:rFonts w:asciiTheme="minorHAnsi" w:eastAsiaTheme="minorEastAsia" w:hAnsiTheme="minorHAnsi" w:cstheme="minorBidi"/>
          <w:b w:val="0"/>
          <w:bCs w:val="0"/>
          <w:caps w:val="0"/>
          <w:noProof/>
          <w:sz w:val="22"/>
          <w:szCs w:val="22"/>
          <w:lang w:val="en-US"/>
        </w:rPr>
      </w:pPr>
      <w:r w:rsidRPr="00CA1F0D">
        <w:rPr>
          <w:rFonts w:ascii="Tahoma" w:hAnsi="Tahoma" w:cs="Tahoma"/>
          <w:i/>
          <w:iCs/>
          <w:caps w:val="0"/>
        </w:rPr>
        <w:fldChar w:fldCharType="begin"/>
      </w:r>
      <w:r w:rsidRPr="00CA1F0D">
        <w:rPr>
          <w:rFonts w:ascii="Tahoma" w:hAnsi="Tahoma" w:cs="Tahoma"/>
          <w:i/>
          <w:iCs/>
          <w:caps w:val="0"/>
        </w:rPr>
        <w:instrText xml:space="preserve"> TOC \o "1-3" \h \z \u </w:instrText>
      </w:r>
      <w:r w:rsidRPr="00CA1F0D">
        <w:rPr>
          <w:rFonts w:ascii="Tahoma" w:hAnsi="Tahoma" w:cs="Tahoma"/>
          <w:i/>
          <w:iCs/>
          <w:caps w:val="0"/>
        </w:rPr>
        <w:fldChar w:fldCharType="separate"/>
      </w:r>
      <w:hyperlink w:anchor="_Toc483832364" w:history="1">
        <w:r w:rsidR="00E05E10" w:rsidRPr="00D34C75">
          <w:rPr>
            <w:rStyle w:val="Hyperlink"/>
            <w:noProof/>
          </w:rPr>
          <w:t>1.</w:t>
        </w:r>
        <w:r w:rsidR="00E05E10">
          <w:rPr>
            <w:rFonts w:asciiTheme="minorHAnsi" w:eastAsiaTheme="minorEastAsia" w:hAnsiTheme="minorHAnsi" w:cstheme="minorBidi"/>
            <w:b w:val="0"/>
            <w:bCs w:val="0"/>
            <w:caps w:val="0"/>
            <w:noProof/>
            <w:sz w:val="22"/>
            <w:szCs w:val="22"/>
            <w:lang w:val="en-US"/>
          </w:rPr>
          <w:tab/>
        </w:r>
        <w:r w:rsidR="00E05E10" w:rsidRPr="00D34C75">
          <w:rPr>
            <w:rStyle w:val="Hyperlink"/>
            <w:noProof/>
          </w:rPr>
          <w:t>Table of contents</w:t>
        </w:r>
        <w:r w:rsidR="00E05E10">
          <w:rPr>
            <w:noProof/>
            <w:webHidden/>
          </w:rPr>
          <w:tab/>
        </w:r>
        <w:r w:rsidR="00E05E10">
          <w:rPr>
            <w:noProof/>
            <w:webHidden/>
          </w:rPr>
          <w:fldChar w:fldCharType="begin"/>
        </w:r>
        <w:r w:rsidR="00E05E10">
          <w:rPr>
            <w:noProof/>
            <w:webHidden/>
          </w:rPr>
          <w:instrText xml:space="preserve"> PAGEREF _Toc483832364 \h </w:instrText>
        </w:r>
        <w:r w:rsidR="00E05E10">
          <w:rPr>
            <w:noProof/>
            <w:webHidden/>
          </w:rPr>
        </w:r>
        <w:r w:rsidR="00E05E10">
          <w:rPr>
            <w:noProof/>
            <w:webHidden/>
          </w:rPr>
          <w:fldChar w:fldCharType="separate"/>
        </w:r>
        <w:r w:rsidR="0064480C">
          <w:rPr>
            <w:noProof/>
            <w:webHidden/>
          </w:rPr>
          <w:t>2</w:t>
        </w:r>
        <w:r w:rsidR="00E05E10">
          <w:rPr>
            <w:noProof/>
            <w:webHidden/>
          </w:rPr>
          <w:fldChar w:fldCharType="end"/>
        </w:r>
      </w:hyperlink>
    </w:p>
    <w:p w14:paraId="7ED89211" w14:textId="77777777" w:rsidR="00E05E10" w:rsidRDefault="00B04F75">
      <w:pPr>
        <w:pStyle w:val="TOC1"/>
        <w:tabs>
          <w:tab w:val="left" w:pos="400"/>
          <w:tab w:val="right" w:leader="dot" w:pos="9062"/>
        </w:tabs>
        <w:rPr>
          <w:rFonts w:asciiTheme="minorHAnsi" w:eastAsiaTheme="minorEastAsia" w:hAnsiTheme="minorHAnsi" w:cstheme="minorBidi"/>
          <w:b w:val="0"/>
          <w:bCs w:val="0"/>
          <w:caps w:val="0"/>
          <w:noProof/>
          <w:sz w:val="22"/>
          <w:szCs w:val="22"/>
          <w:lang w:val="en-US"/>
        </w:rPr>
      </w:pPr>
      <w:hyperlink w:anchor="_Toc483832365" w:history="1">
        <w:r w:rsidR="00E05E10" w:rsidRPr="00D34C75">
          <w:rPr>
            <w:rStyle w:val="Hyperlink"/>
            <w:noProof/>
          </w:rPr>
          <w:t>2.</w:t>
        </w:r>
        <w:r w:rsidR="00E05E10">
          <w:rPr>
            <w:rFonts w:asciiTheme="minorHAnsi" w:eastAsiaTheme="minorEastAsia" w:hAnsiTheme="minorHAnsi" w:cstheme="minorBidi"/>
            <w:b w:val="0"/>
            <w:bCs w:val="0"/>
            <w:caps w:val="0"/>
            <w:noProof/>
            <w:sz w:val="22"/>
            <w:szCs w:val="22"/>
            <w:lang w:val="en-US"/>
          </w:rPr>
          <w:tab/>
        </w:r>
        <w:r w:rsidR="00E05E10" w:rsidRPr="00D34C75">
          <w:rPr>
            <w:rStyle w:val="Hyperlink"/>
            <w:noProof/>
          </w:rPr>
          <w:t>Introduction</w:t>
        </w:r>
        <w:r w:rsidR="00E05E10">
          <w:rPr>
            <w:noProof/>
            <w:webHidden/>
          </w:rPr>
          <w:tab/>
        </w:r>
        <w:r w:rsidR="00E05E10">
          <w:rPr>
            <w:noProof/>
            <w:webHidden/>
          </w:rPr>
          <w:fldChar w:fldCharType="begin"/>
        </w:r>
        <w:r w:rsidR="00E05E10">
          <w:rPr>
            <w:noProof/>
            <w:webHidden/>
          </w:rPr>
          <w:instrText xml:space="preserve"> PAGEREF _Toc483832365 \h </w:instrText>
        </w:r>
        <w:r w:rsidR="00E05E10">
          <w:rPr>
            <w:noProof/>
            <w:webHidden/>
          </w:rPr>
        </w:r>
        <w:r w:rsidR="00E05E10">
          <w:rPr>
            <w:noProof/>
            <w:webHidden/>
          </w:rPr>
          <w:fldChar w:fldCharType="separate"/>
        </w:r>
        <w:r w:rsidR="0064480C">
          <w:rPr>
            <w:noProof/>
            <w:webHidden/>
          </w:rPr>
          <w:t>3</w:t>
        </w:r>
        <w:r w:rsidR="00E05E10">
          <w:rPr>
            <w:noProof/>
            <w:webHidden/>
          </w:rPr>
          <w:fldChar w:fldCharType="end"/>
        </w:r>
      </w:hyperlink>
    </w:p>
    <w:p w14:paraId="5568849E" w14:textId="77777777" w:rsidR="00E05E10" w:rsidRDefault="00B04F75">
      <w:pPr>
        <w:pStyle w:val="TOC1"/>
        <w:tabs>
          <w:tab w:val="left" w:pos="400"/>
          <w:tab w:val="right" w:leader="dot" w:pos="9062"/>
        </w:tabs>
        <w:rPr>
          <w:rFonts w:asciiTheme="minorHAnsi" w:eastAsiaTheme="minorEastAsia" w:hAnsiTheme="minorHAnsi" w:cstheme="minorBidi"/>
          <w:b w:val="0"/>
          <w:bCs w:val="0"/>
          <w:caps w:val="0"/>
          <w:noProof/>
          <w:sz w:val="22"/>
          <w:szCs w:val="22"/>
          <w:lang w:val="en-US"/>
        </w:rPr>
      </w:pPr>
      <w:hyperlink w:anchor="_Toc483832366" w:history="1">
        <w:r w:rsidR="00E05E10" w:rsidRPr="00D34C75">
          <w:rPr>
            <w:rStyle w:val="Hyperlink"/>
            <w:noProof/>
            <w:lang w:eastAsia="fr-FR"/>
          </w:rPr>
          <w:t>3.</w:t>
        </w:r>
        <w:r w:rsidR="00E05E10">
          <w:rPr>
            <w:rFonts w:asciiTheme="minorHAnsi" w:eastAsiaTheme="minorEastAsia" w:hAnsiTheme="minorHAnsi" w:cstheme="minorBidi"/>
            <w:b w:val="0"/>
            <w:bCs w:val="0"/>
            <w:caps w:val="0"/>
            <w:noProof/>
            <w:sz w:val="22"/>
            <w:szCs w:val="22"/>
            <w:lang w:val="en-US"/>
          </w:rPr>
          <w:tab/>
        </w:r>
        <w:r w:rsidR="00E05E10" w:rsidRPr="00D34C75">
          <w:rPr>
            <w:rStyle w:val="Hyperlink"/>
            <w:noProof/>
            <w:lang w:eastAsia="fr-FR"/>
          </w:rPr>
          <w:t>Corporal punishment</w:t>
        </w:r>
        <w:r w:rsidR="00E05E10">
          <w:rPr>
            <w:noProof/>
            <w:webHidden/>
          </w:rPr>
          <w:tab/>
        </w:r>
        <w:r w:rsidR="00E05E10">
          <w:rPr>
            <w:noProof/>
            <w:webHidden/>
          </w:rPr>
          <w:fldChar w:fldCharType="begin"/>
        </w:r>
        <w:r w:rsidR="00E05E10">
          <w:rPr>
            <w:noProof/>
            <w:webHidden/>
          </w:rPr>
          <w:instrText xml:space="preserve"> PAGEREF _Toc483832366 \h </w:instrText>
        </w:r>
        <w:r w:rsidR="00E05E10">
          <w:rPr>
            <w:noProof/>
            <w:webHidden/>
          </w:rPr>
        </w:r>
        <w:r w:rsidR="00E05E10">
          <w:rPr>
            <w:noProof/>
            <w:webHidden/>
          </w:rPr>
          <w:fldChar w:fldCharType="separate"/>
        </w:r>
        <w:r w:rsidR="0064480C">
          <w:rPr>
            <w:noProof/>
            <w:webHidden/>
          </w:rPr>
          <w:t>3</w:t>
        </w:r>
        <w:r w:rsidR="00E05E10">
          <w:rPr>
            <w:noProof/>
            <w:webHidden/>
          </w:rPr>
          <w:fldChar w:fldCharType="end"/>
        </w:r>
      </w:hyperlink>
    </w:p>
    <w:p w14:paraId="1C2CF3B1" w14:textId="77777777" w:rsidR="00E05E10" w:rsidRDefault="00B04F75">
      <w:pPr>
        <w:pStyle w:val="TOC2"/>
        <w:tabs>
          <w:tab w:val="right" w:leader="dot" w:pos="9062"/>
        </w:tabs>
        <w:rPr>
          <w:rFonts w:asciiTheme="minorHAnsi" w:eastAsiaTheme="minorEastAsia" w:hAnsiTheme="minorHAnsi" w:cstheme="minorBidi"/>
          <w:smallCaps w:val="0"/>
          <w:noProof/>
          <w:sz w:val="22"/>
          <w:szCs w:val="22"/>
          <w:lang w:val="en-US"/>
        </w:rPr>
      </w:pPr>
      <w:hyperlink w:anchor="_Toc483832368" w:history="1">
        <w:r w:rsidR="00E05E10" w:rsidRPr="00D34C75">
          <w:rPr>
            <w:rStyle w:val="Hyperlink"/>
            <w:noProof/>
            <w:lang w:val="en-US"/>
          </w:rPr>
          <w:t>3</w:t>
        </w:r>
        <w:r w:rsidR="00E05E10" w:rsidRPr="00D34C75">
          <w:rPr>
            <w:rStyle w:val="Hyperlink"/>
            <w:noProof/>
          </w:rPr>
          <w:t>.1</w:t>
        </w:r>
        <w:r w:rsidR="00E05E10" w:rsidRPr="00D34C75">
          <w:rPr>
            <w:rStyle w:val="Hyperlink"/>
            <w:noProof/>
            <w:lang w:val="en-US"/>
          </w:rPr>
          <w:t xml:space="preserve"> Lashing of Rai’f Badawi</w:t>
        </w:r>
        <w:r w:rsidR="00E05E10">
          <w:rPr>
            <w:noProof/>
            <w:webHidden/>
          </w:rPr>
          <w:tab/>
        </w:r>
        <w:r w:rsidR="00E05E10">
          <w:rPr>
            <w:noProof/>
            <w:webHidden/>
          </w:rPr>
          <w:fldChar w:fldCharType="begin"/>
        </w:r>
        <w:r w:rsidR="00E05E10">
          <w:rPr>
            <w:noProof/>
            <w:webHidden/>
          </w:rPr>
          <w:instrText xml:space="preserve"> PAGEREF _Toc483832368 \h </w:instrText>
        </w:r>
        <w:r w:rsidR="00E05E10">
          <w:rPr>
            <w:noProof/>
            <w:webHidden/>
          </w:rPr>
        </w:r>
        <w:r w:rsidR="00E05E10">
          <w:rPr>
            <w:noProof/>
            <w:webHidden/>
          </w:rPr>
          <w:fldChar w:fldCharType="separate"/>
        </w:r>
        <w:r w:rsidR="0064480C">
          <w:rPr>
            <w:noProof/>
            <w:webHidden/>
          </w:rPr>
          <w:t>3</w:t>
        </w:r>
        <w:r w:rsidR="00E05E10">
          <w:rPr>
            <w:noProof/>
            <w:webHidden/>
          </w:rPr>
          <w:fldChar w:fldCharType="end"/>
        </w:r>
      </w:hyperlink>
    </w:p>
    <w:p w14:paraId="678958D7" w14:textId="7279A0B8" w:rsidR="00E05E10" w:rsidRDefault="00B04F75">
      <w:pPr>
        <w:pStyle w:val="TOC1"/>
        <w:tabs>
          <w:tab w:val="left" w:pos="400"/>
          <w:tab w:val="right" w:leader="dot" w:pos="9062"/>
        </w:tabs>
        <w:rPr>
          <w:rFonts w:asciiTheme="minorHAnsi" w:eastAsiaTheme="minorEastAsia" w:hAnsiTheme="minorHAnsi" w:cstheme="minorBidi"/>
          <w:b w:val="0"/>
          <w:bCs w:val="0"/>
          <w:caps w:val="0"/>
          <w:noProof/>
          <w:sz w:val="22"/>
          <w:szCs w:val="22"/>
          <w:lang w:val="en-US"/>
        </w:rPr>
      </w:pPr>
      <w:hyperlink w:anchor="_Toc483832370" w:history="1">
        <w:r w:rsidR="00E05E10" w:rsidRPr="00D34C75">
          <w:rPr>
            <w:rStyle w:val="Hyperlink"/>
            <w:noProof/>
            <w:lang w:eastAsia="fr-FR"/>
          </w:rPr>
          <w:t>4.</w:t>
        </w:r>
        <w:r w:rsidR="00E05E10">
          <w:rPr>
            <w:rFonts w:asciiTheme="minorHAnsi" w:eastAsiaTheme="minorEastAsia" w:hAnsiTheme="minorHAnsi" w:cstheme="minorBidi"/>
            <w:b w:val="0"/>
            <w:bCs w:val="0"/>
            <w:caps w:val="0"/>
            <w:noProof/>
            <w:sz w:val="22"/>
            <w:szCs w:val="22"/>
            <w:lang w:val="en-US"/>
          </w:rPr>
          <w:tab/>
        </w:r>
        <w:r w:rsidR="00E05E10" w:rsidRPr="00D34C75">
          <w:rPr>
            <w:rStyle w:val="Hyperlink"/>
            <w:noProof/>
            <w:lang w:eastAsia="fr-FR"/>
          </w:rPr>
          <w:t>Reprisals against and harassment, intimidation and arrest of human rights defender</w:t>
        </w:r>
        <w:r w:rsidR="00171E17">
          <w:rPr>
            <w:rStyle w:val="Hyperlink"/>
            <w:noProof/>
            <w:lang w:eastAsia="fr-FR"/>
          </w:rPr>
          <w:t>s</w:t>
        </w:r>
        <w:r w:rsidR="00171E17">
          <w:rPr>
            <w:rStyle w:val="Hyperlink"/>
            <w:noProof/>
            <w:lang w:eastAsia="fr-FR"/>
          </w:rPr>
          <w:br/>
        </w:r>
        <w:r w:rsidR="00925187">
          <w:rPr>
            <w:rStyle w:val="Hyperlink"/>
            <w:noProof/>
            <w:lang w:eastAsia="fr-FR"/>
          </w:rPr>
          <w:t xml:space="preserve">    </w:t>
        </w:r>
        <w:r w:rsidR="00171E17">
          <w:rPr>
            <w:rStyle w:val="Hyperlink"/>
            <w:noProof/>
            <w:lang w:eastAsia="fr-FR"/>
          </w:rPr>
          <w:t xml:space="preserve"> </w:t>
        </w:r>
        <w:r w:rsidR="00E05E10" w:rsidRPr="00D34C75">
          <w:rPr>
            <w:rStyle w:val="Hyperlink"/>
            <w:noProof/>
            <w:lang w:eastAsia="fr-FR"/>
          </w:rPr>
          <w:t>and journalists</w:t>
        </w:r>
        <w:r w:rsidR="00E05E10">
          <w:rPr>
            <w:noProof/>
            <w:webHidden/>
          </w:rPr>
          <w:tab/>
        </w:r>
        <w:r w:rsidR="00E05E10">
          <w:rPr>
            <w:noProof/>
            <w:webHidden/>
          </w:rPr>
          <w:fldChar w:fldCharType="begin"/>
        </w:r>
        <w:r w:rsidR="00E05E10">
          <w:rPr>
            <w:noProof/>
            <w:webHidden/>
          </w:rPr>
          <w:instrText xml:space="preserve"> PAGEREF _Toc483832370 \h </w:instrText>
        </w:r>
        <w:r w:rsidR="00E05E10">
          <w:rPr>
            <w:noProof/>
            <w:webHidden/>
          </w:rPr>
        </w:r>
        <w:r w:rsidR="00E05E10">
          <w:rPr>
            <w:noProof/>
            <w:webHidden/>
          </w:rPr>
          <w:fldChar w:fldCharType="separate"/>
        </w:r>
        <w:r w:rsidR="0064480C">
          <w:rPr>
            <w:noProof/>
            <w:webHidden/>
          </w:rPr>
          <w:t>4</w:t>
        </w:r>
        <w:r w:rsidR="00E05E10">
          <w:rPr>
            <w:noProof/>
            <w:webHidden/>
          </w:rPr>
          <w:fldChar w:fldCharType="end"/>
        </w:r>
      </w:hyperlink>
    </w:p>
    <w:p w14:paraId="1B2226B8" w14:textId="77777777" w:rsidR="00E05E10" w:rsidRDefault="00B04F75">
      <w:pPr>
        <w:pStyle w:val="TOC1"/>
        <w:tabs>
          <w:tab w:val="left" w:pos="400"/>
          <w:tab w:val="right" w:leader="dot" w:pos="9062"/>
        </w:tabs>
        <w:rPr>
          <w:rFonts w:asciiTheme="minorHAnsi" w:eastAsiaTheme="minorEastAsia" w:hAnsiTheme="minorHAnsi" w:cstheme="minorBidi"/>
          <w:b w:val="0"/>
          <w:bCs w:val="0"/>
          <w:caps w:val="0"/>
          <w:noProof/>
          <w:sz w:val="22"/>
          <w:szCs w:val="22"/>
          <w:lang w:val="en-US"/>
        </w:rPr>
      </w:pPr>
      <w:hyperlink w:anchor="_Toc483832371" w:history="1">
        <w:r w:rsidR="00E05E10" w:rsidRPr="00D34C75">
          <w:rPr>
            <w:rStyle w:val="Hyperlink"/>
            <w:noProof/>
            <w:lang w:eastAsia="fr-FR"/>
          </w:rPr>
          <w:t>5.</w:t>
        </w:r>
        <w:r w:rsidR="00E05E10">
          <w:rPr>
            <w:rFonts w:asciiTheme="minorHAnsi" w:eastAsiaTheme="minorEastAsia" w:hAnsiTheme="minorHAnsi" w:cstheme="minorBidi"/>
            <w:b w:val="0"/>
            <w:bCs w:val="0"/>
            <w:caps w:val="0"/>
            <w:noProof/>
            <w:sz w:val="22"/>
            <w:szCs w:val="22"/>
            <w:lang w:val="en-US"/>
          </w:rPr>
          <w:tab/>
        </w:r>
        <w:r w:rsidR="00E05E10" w:rsidRPr="00D34C75">
          <w:rPr>
            <w:rStyle w:val="Hyperlink"/>
            <w:noProof/>
            <w:lang w:eastAsia="fr-FR"/>
          </w:rPr>
          <w:t>Death penalty</w:t>
        </w:r>
        <w:r w:rsidR="00E05E10">
          <w:rPr>
            <w:noProof/>
            <w:webHidden/>
          </w:rPr>
          <w:tab/>
        </w:r>
        <w:r w:rsidR="00E05E10">
          <w:rPr>
            <w:noProof/>
            <w:webHidden/>
          </w:rPr>
          <w:fldChar w:fldCharType="begin"/>
        </w:r>
        <w:r w:rsidR="00E05E10">
          <w:rPr>
            <w:noProof/>
            <w:webHidden/>
          </w:rPr>
          <w:instrText xml:space="preserve"> PAGEREF _Toc483832371 \h </w:instrText>
        </w:r>
        <w:r w:rsidR="00E05E10">
          <w:rPr>
            <w:noProof/>
            <w:webHidden/>
          </w:rPr>
        </w:r>
        <w:r w:rsidR="00E05E10">
          <w:rPr>
            <w:noProof/>
            <w:webHidden/>
          </w:rPr>
          <w:fldChar w:fldCharType="separate"/>
        </w:r>
        <w:r w:rsidR="0064480C">
          <w:rPr>
            <w:noProof/>
            <w:webHidden/>
          </w:rPr>
          <w:t>5</w:t>
        </w:r>
        <w:r w:rsidR="00E05E10">
          <w:rPr>
            <w:noProof/>
            <w:webHidden/>
          </w:rPr>
          <w:fldChar w:fldCharType="end"/>
        </w:r>
      </w:hyperlink>
    </w:p>
    <w:p w14:paraId="10B95980" w14:textId="77777777" w:rsidR="007D1A0F" w:rsidRDefault="00CA1F0D" w:rsidP="007D1A0F">
      <w:pPr>
        <w:spacing w:line="360" w:lineRule="auto"/>
      </w:pPr>
      <w:r w:rsidRPr="00CA1F0D">
        <w:rPr>
          <w:rFonts w:cs="Tahoma"/>
          <w:i/>
          <w:iCs/>
          <w:caps/>
          <w:szCs w:val="24"/>
        </w:rPr>
        <w:fldChar w:fldCharType="end"/>
      </w:r>
    </w:p>
    <w:p w14:paraId="31AB33C1" w14:textId="77777777" w:rsidR="001377A0" w:rsidRDefault="001377A0" w:rsidP="007D1A0F">
      <w:pPr>
        <w:jc w:val="left"/>
      </w:pPr>
    </w:p>
    <w:p w14:paraId="1D8B7FDE" w14:textId="4FFD6347" w:rsidR="00742D61" w:rsidRPr="00E270D0" w:rsidRDefault="00DD03C2" w:rsidP="00925187">
      <w:pPr>
        <w:jc w:val="left"/>
        <w:rPr>
          <w:lang w:eastAsia="fr-FR"/>
        </w:rPr>
      </w:pPr>
      <w:r w:rsidRPr="007D1A0F">
        <w:rPr>
          <w:b/>
          <w:bCs/>
        </w:rPr>
        <w:br w:type="page"/>
      </w:r>
    </w:p>
    <w:p w14:paraId="0BB525C4" w14:textId="77777777" w:rsidR="00742D61" w:rsidRPr="00E270D0" w:rsidRDefault="00742D61" w:rsidP="00742D61"/>
    <w:p w14:paraId="3F7699EF" w14:textId="77777777" w:rsidR="00742D61" w:rsidRPr="001377A0" w:rsidRDefault="00742D61" w:rsidP="00990ABE">
      <w:pPr>
        <w:pStyle w:val="Heading1"/>
      </w:pPr>
      <w:bookmarkStart w:id="5" w:name="_Toc222226007"/>
      <w:bookmarkStart w:id="6" w:name="_Toc222895125"/>
      <w:bookmarkStart w:id="7" w:name="_Toc483832365"/>
      <w:r w:rsidRPr="001377A0">
        <w:t>Introduction</w:t>
      </w:r>
      <w:bookmarkEnd w:id="5"/>
      <w:bookmarkEnd w:id="6"/>
      <w:bookmarkEnd w:id="7"/>
    </w:p>
    <w:p w14:paraId="43FC3579" w14:textId="77777777" w:rsidR="001377A0" w:rsidRPr="00E270D0" w:rsidRDefault="001377A0" w:rsidP="001377A0">
      <w:pPr>
        <w:rPr>
          <w:lang w:eastAsia="fr-FR"/>
        </w:rPr>
      </w:pPr>
    </w:p>
    <w:p w14:paraId="3D9C4005" w14:textId="77777777" w:rsidR="00482B4E" w:rsidRDefault="00482B4E" w:rsidP="00482B4E">
      <w:pPr>
        <w:rPr>
          <w:lang w:val="en-GB" w:eastAsia="fr-FR"/>
        </w:rPr>
      </w:pPr>
      <w:r w:rsidRPr="00482B4E">
        <w:rPr>
          <w:lang w:val="en-GB" w:eastAsia="fr-FR"/>
        </w:rPr>
        <w:t>In its Concluding Observations to Saudi Arabia’s second periodic report, the Committee against Torture (CAT) highlighted three priority recommendations and requested the State to provide follow-up information on their implementation. The Committee had prioritised, over all other concerns, the imposition of corporal punishment, the reprisals against human rights defenders and the execution of the death penalty.</w:t>
      </w:r>
    </w:p>
    <w:p w14:paraId="46D68903" w14:textId="77777777" w:rsidR="00925187" w:rsidRPr="00482B4E" w:rsidRDefault="00925187" w:rsidP="00482B4E">
      <w:pPr>
        <w:rPr>
          <w:lang w:val="en-GB" w:eastAsia="fr-FR"/>
        </w:rPr>
      </w:pPr>
    </w:p>
    <w:p w14:paraId="2E50CA39" w14:textId="77777777" w:rsidR="00482B4E" w:rsidRPr="00482B4E" w:rsidRDefault="00482B4E" w:rsidP="00482B4E">
      <w:pPr>
        <w:rPr>
          <w:rtl/>
          <w:lang w:eastAsia="fr-FR" w:bidi="ar-LB"/>
        </w:rPr>
      </w:pPr>
      <w:r w:rsidRPr="00482B4E">
        <w:rPr>
          <w:lang w:val="en-GB" w:eastAsia="fr-FR"/>
        </w:rPr>
        <w:t>On 11 May 2017, Saudi Arabia submitted its follow-up report, which provided vague elements on the implementation of the Committee’s recommendations. It is our opinion that none of these recommendations have been implemented to date.</w:t>
      </w:r>
    </w:p>
    <w:p w14:paraId="6C6AAE58" w14:textId="77777777" w:rsidR="00724EA7" w:rsidRPr="001C2048" w:rsidRDefault="00724EA7" w:rsidP="00261D85">
      <w:pPr>
        <w:rPr>
          <w:lang w:val="en-GB" w:eastAsia="fr-FR"/>
        </w:rPr>
      </w:pPr>
    </w:p>
    <w:p w14:paraId="05DC3231" w14:textId="6F9EB836" w:rsidR="00261D85" w:rsidRDefault="00482B4E" w:rsidP="00007901">
      <w:pPr>
        <w:pStyle w:val="Heading1"/>
        <w:rPr>
          <w:lang w:eastAsia="fr-FR"/>
        </w:rPr>
      </w:pPr>
      <w:bookmarkStart w:id="8" w:name="_Toc483832366"/>
      <w:r>
        <w:rPr>
          <w:lang w:eastAsia="fr-FR"/>
        </w:rPr>
        <w:t>Corporal punishment</w:t>
      </w:r>
      <w:bookmarkEnd w:id="8"/>
    </w:p>
    <w:p w14:paraId="6B7E2AB6" w14:textId="77777777" w:rsidR="00482B4E" w:rsidRPr="00482B4E" w:rsidRDefault="00482B4E" w:rsidP="00482B4E">
      <w:pPr>
        <w:rPr>
          <w:lang w:val="en-US" w:eastAsia="fr-FR"/>
        </w:rPr>
      </w:pPr>
    </w:p>
    <w:p w14:paraId="623968B3" w14:textId="2440522E" w:rsidR="00724EA7" w:rsidRDefault="00482B4E" w:rsidP="00482B4E">
      <w:pPr>
        <w:rPr>
          <w:i/>
          <w:iCs/>
          <w:lang w:val="en-US" w:eastAsia="fr-FR"/>
        </w:rPr>
      </w:pPr>
      <w:r w:rsidRPr="00482B4E">
        <w:rPr>
          <w:i/>
          <w:iCs/>
          <w:lang w:val="en-US" w:eastAsia="fr-FR"/>
        </w:rPr>
        <w:t>The State party should immediately put an end to the practices of flogging/lashing, amputation of limbs and any other form of corporal punishment. In addition, the State party should amend its legislation in order to abolish all such forms of corporal punishment as they amount to torture and cruel, inhuman or degrading treatment or punishment, in violation of the Convention.</w:t>
      </w:r>
      <w:r w:rsidR="00935DC8">
        <w:rPr>
          <w:rStyle w:val="FootnoteReference"/>
          <w:i/>
          <w:iCs/>
          <w:lang w:val="en-US" w:eastAsia="fr-FR"/>
        </w:rPr>
        <w:footnoteReference w:id="1"/>
      </w:r>
    </w:p>
    <w:p w14:paraId="4F727A1C" w14:textId="77777777" w:rsidR="00482B4E" w:rsidRDefault="00482B4E" w:rsidP="00482B4E">
      <w:pPr>
        <w:pStyle w:val="Heading3"/>
        <w:numPr>
          <w:ilvl w:val="0"/>
          <w:numId w:val="0"/>
        </w:numPr>
        <w:rPr>
          <w:b w:val="0"/>
          <w:szCs w:val="22"/>
          <w:lang w:val="en-US" w:eastAsia="en-US"/>
        </w:rPr>
      </w:pPr>
      <w:bookmarkStart w:id="9" w:name="_Toc222226015"/>
    </w:p>
    <w:p w14:paraId="75C37144" w14:textId="1494EB8F" w:rsidR="00482B4E" w:rsidRDefault="00482B4E" w:rsidP="00925187">
      <w:pPr>
        <w:pStyle w:val="Heading3"/>
        <w:numPr>
          <w:ilvl w:val="0"/>
          <w:numId w:val="0"/>
        </w:numPr>
        <w:rPr>
          <w:b w:val="0"/>
          <w:szCs w:val="22"/>
          <w:lang w:val="en-US"/>
        </w:rPr>
      </w:pPr>
      <w:bookmarkStart w:id="10" w:name="_Toc483827358"/>
      <w:bookmarkStart w:id="11" w:name="_Toc483832367"/>
      <w:r w:rsidRPr="00482B4E">
        <w:rPr>
          <w:b w:val="0"/>
          <w:szCs w:val="22"/>
          <w:lang w:val="en-US"/>
        </w:rPr>
        <w:t>In its follow-up report, Saudi Arabia explained that corporal punishme</w:t>
      </w:r>
      <w:r>
        <w:rPr>
          <w:b w:val="0"/>
          <w:szCs w:val="22"/>
          <w:lang w:val="en-US"/>
        </w:rPr>
        <w:t xml:space="preserve">nt was a penalty allowed for by </w:t>
      </w:r>
      <w:r w:rsidRPr="00482B4E">
        <w:rPr>
          <w:b w:val="0"/>
          <w:szCs w:val="22"/>
          <w:lang w:val="en-US"/>
        </w:rPr>
        <w:t>Sharia law</w:t>
      </w:r>
      <w:r w:rsidR="00925187">
        <w:rPr>
          <w:b w:val="0"/>
          <w:szCs w:val="22"/>
          <w:lang w:val="en-US"/>
        </w:rPr>
        <w:t>,</w:t>
      </w:r>
      <w:r w:rsidR="00935DC8">
        <w:rPr>
          <w:rStyle w:val="FootnoteReference"/>
          <w:b w:val="0"/>
          <w:szCs w:val="22"/>
          <w:lang w:val="en-US"/>
        </w:rPr>
        <w:footnoteReference w:id="2"/>
      </w:r>
      <w:r w:rsidRPr="00482B4E">
        <w:rPr>
          <w:b w:val="0"/>
          <w:szCs w:val="22"/>
          <w:lang w:val="en-US"/>
        </w:rPr>
        <w:t xml:space="preserve"> upon which the penal system of the Kingdom is based. It declared that no judicial or governmental </w:t>
      </w:r>
      <w:proofErr w:type="gramStart"/>
      <w:r w:rsidRPr="00482B4E">
        <w:rPr>
          <w:b w:val="0"/>
          <w:szCs w:val="22"/>
          <w:lang w:val="en-US"/>
        </w:rPr>
        <w:t>instance,</w:t>
      </w:r>
      <w:proofErr w:type="gramEnd"/>
      <w:r w:rsidRPr="00482B4E">
        <w:rPr>
          <w:b w:val="0"/>
          <w:szCs w:val="22"/>
          <w:lang w:val="en-US"/>
        </w:rPr>
        <w:t xml:space="preserve"> or any other institution had the power to repeal the use of corporal punishment</w:t>
      </w:r>
      <w:r w:rsidR="00925187">
        <w:rPr>
          <w:b w:val="0"/>
          <w:szCs w:val="22"/>
          <w:lang w:val="en-US"/>
        </w:rPr>
        <w:t>.</w:t>
      </w:r>
      <w:r w:rsidR="00935DC8">
        <w:rPr>
          <w:rStyle w:val="FootnoteReference"/>
          <w:b w:val="0"/>
          <w:szCs w:val="22"/>
          <w:lang w:val="en-US"/>
        </w:rPr>
        <w:footnoteReference w:id="3"/>
      </w:r>
      <w:r w:rsidRPr="00482B4E">
        <w:rPr>
          <w:b w:val="0"/>
          <w:szCs w:val="22"/>
          <w:lang w:val="en-US"/>
        </w:rPr>
        <w:t xml:space="preserve"> Furthermore, the State insisted that corporal punishment, as a lawful sanction, falls within the savings clause of article 1 of the Convention against Torture (UNCAT),</w:t>
      </w:r>
      <w:r w:rsidR="00925187">
        <w:rPr>
          <w:rStyle w:val="FootnoteReference"/>
          <w:b w:val="0"/>
          <w:szCs w:val="22"/>
          <w:lang w:val="en-US"/>
        </w:rPr>
        <w:footnoteReference w:id="4"/>
      </w:r>
      <w:r w:rsidRPr="00482B4E">
        <w:rPr>
          <w:b w:val="0"/>
          <w:szCs w:val="22"/>
          <w:lang w:val="en-US"/>
        </w:rPr>
        <w:t xml:space="preserve"> which provides that the definition articulated “does not include pain or suffering arising only from, inherent in or incidental to lawful sanctions”. The State thus argued that corporal punishment could not be considered as amounting to torture. However, it has been repeatedly stated by the Special </w:t>
      </w:r>
      <w:r w:rsidR="00925187">
        <w:rPr>
          <w:b w:val="0"/>
          <w:szCs w:val="22"/>
          <w:lang w:val="en-US"/>
        </w:rPr>
        <w:t>R</w:t>
      </w:r>
      <w:r w:rsidRPr="00482B4E">
        <w:rPr>
          <w:b w:val="0"/>
          <w:szCs w:val="22"/>
          <w:lang w:val="en-US"/>
        </w:rPr>
        <w:t xml:space="preserve">apporteur on </w:t>
      </w:r>
      <w:r w:rsidR="00925187">
        <w:rPr>
          <w:b w:val="0"/>
          <w:szCs w:val="22"/>
          <w:lang w:val="en-US"/>
        </w:rPr>
        <w:t>t</w:t>
      </w:r>
      <w:r w:rsidRPr="00482B4E">
        <w:rPr>
          <w:b w:val="0"/>
          <w:szCs w:val="22"/>
          <w:lang w:val="en-US"/>
        </w:rPr>
        <w:t>orture that corporal punishment is contrary to international law and cannot be considered a lawful sanction and that any form of corporal punishment should be considered as contrary t</w:t>
      </w:r>
      <w:r>
        <w:rPr>
          <w:b w:val="0"/>
          <w:szCs w:val="22"/>
          <w:lang w:val="en-US"/>
        </w:rPr>
        <w:t>o the prohibition of torture.</w:t>
      </w:r>
      <w:r>
        <w:rPr>
          <w:rStyle w:val="FootnoteReference"/>
          <w:b w:val="0"/>
          <w:szCs w:val="22"/>
          <w:lang w:val="en-US"/>
        </w:rPr>
        <w:footnoteReference w:id="5"/>
      </w:r>
      <w:bookmarkEnd w:id="10"/>
      <w:bookmarkEnd w:id="11"/>
    </w:p>
    <w:p w14:paraId="65DD2986" w14:textId="77777777" w:rsidR="000A6C3C" w:rsidRDefault="000A6C3C" w:rsidP="000A6C3C">
      <w:pPr>
        <w:rPr>
          <w:lang w:val="en-US" w:eastAsia="fr-FR"/>
        </w:rPr>
      </w:pPr>
    </w:p>
    <w:p w14:paraId="3488CDA4" w14:textId="000EE211" w:rsidR="000A6C3C" w:rsidRPr="00925187" w:rsidRDefault="000A6C3C" w:rsidP="00925187">
      <w:pPr>
        <w:rPr>
          <w:i/>
          <w:iCs/>
          <w:u w:val="single"/>
          <w:lang w:val="en-US"/>
        </w:rPr>
      </w:pPr>
      <w:bookmarkStart w:id="12" w:name="_Toc483832368"/>
      <w:r w:rsidRPr="00925187">
        <w:rPr>
          <w:i/>
          <w:iCs/>
          <w:u w:val="single"/>
          <w:lang w:val="en-US"/>
        </w:rPr>
        <w:t xml:space="preserve">Lashing of </w:t>
      </w:r>
      <w:proofErr w:type="spellStart"/>
      <w:r w:rsidRPr="00925187">
        <w:rPr>
          <w:i/>
          <w:iCs/>
          <w:u w:val="single"/>
          <w:lang w:val="en-US"/>
        </w:rPr>
        <w:t>Rai’f</w:t>
      </w:r>
      <w:proofErr w:type="spellEnd"/>
      <w:r w:rsidRPr="00925187">
        <w:rPr>
          <w:i/>
          <w:iCs/>
          <w:u w:val="single"/>
          <w:lang w:val="en-US"/>
        </w:rPr>
        <w:t xml:space="preserve"> </w:t>
      </w:r>
      <w:proofErr w:type="spellStart"/>
      <w:r w:rsidRPr="00925187">
        <w:rPr>
          <w:i/>
          <w:iCs/>
          <w:u w:val="single"/>
          <w:lang w:val="en-US"/>
        </w:rPr>
        <w:t>Badawi</w:t>
      </w:r>
      <w:bookmarkEnd w:id="12"/>
      <w:proofErr w:type="spellEnd"/>
    </w:p>
    <w:p w14:paraId="37EDF221" w14:textId="77777777" w:rsidR="00007901" w:rsidRPr="00007901" w:rsidRDefault="00007901" w:rsidP="00007901">
      <w:pPr>
        <w:rPr>
          <w:lang w:val="en-US"/>
        </w:rPr>
      </w:pPr>
    </w:p>
    <w:p w14:paraId="7F45E404" w14:textId="56036198" w:rsidR="000A6C3C" w:rsidRDefault="000A6C3C" w:rsidP="000A6C3C">
      <w:pPr>
        <w:rPr>
          <w:i/>
          <w:iCs/>
          <w:lang w:val="en-US" w:eastAsia="fr-FR"/>
        </w:rPr>
      </w:pPr>
      <w:r w:rsidRPr="000A6C3C">
        <w:rPr>
          <w:i/>
          <w:iCs/>
          <w:lang w:val="en-US" w:eastAsia="fr-FR"/>
        </w:rPr>
        <w:t xml:space="preserve">The State party should review the case of </w:t>
      </w:r>
      <w:proofErr w:type="spellStart"/>
      <w:r w:rsidRPr="000A6C3C">
        <w:rPr>
          <w:i/>
          <w:iCs/>
          <w:lang w:val="en-US" w:eastAsia="fr-FR"/>
        </w:rPr>
        <w:t>Ra’if</w:t>
      </w:r>
      <w:proofErr w:type="spellEnd"/>
      <w:r w:rsidRPr="000A6C3C">
        <w:rPr>
          <w:i/>
          <w:iCs/>
          <w:lang w:val="en-US" w:eastAsia="fr-FR"/>
        </w:rPr>
        <w:t xml:space="preserve"> </w:t>
      </w:r>
      <w:proofErr w:type="spellStart"/>
      <w:r w:rsidRPr="000A6C3C">
        <w:rPr>
          <w:i/>
          <w:iCs/>
          <w:lang w:val="en-US" w:eastAsia="fr-FR"/>
        </w:rPr>
        <w:t>Badawi</w:t>
      </w:r>
      <w:proofErr w:type="spellEnd"/>
      <w:r w:rsidRPr="000A6C3C">
        <w:rPr>
          <w:i/>
          <w:iCs/>
          <w:lang w:val="en-US" w:eastAsia="fr-FR"/>
        </w:rPr>
        <w:t xml:space="preserve"> as well as the cases of all individuals currently sentenced to lashing and any other form of corporal punishment with a view to, at a minimum, invalidating any aspect of their sentences involving corporal punishment. In addition, the State party should ensure that Mr. </w:t>
      </w:r>
      <w:proofErr w:type="spellStart"/>
      <w:r w:rsidRPr="000A6C3C">
        <w:rPr>
          <w:i/>
          <w:iCs/>
          <w:lang w:val="en-US" w:eastAsia="fr-FR"/>
        </w:rPr>
        <w:t>Badawi</w:t>
      </w:r>
      <w:proofErr w:type="spellEnd"/>
      <w:r w:rsidRPr="000A6C3C">
        <w:rPr>
          <w:i/>
          <w:iCs/>
          <w:lang w:val="en-US" w:eastAsia="fr-FR"/>
        </w:rPr>
        <w:t xml:space="preserve"> receives prompt medical care and redress, including rehabilitation, as required by article 14 of the Convention. It should also provide updated information on his status to the Committee.</w:t>
      </w:r>
      <w:r w:rsidR="00A802E2">
        <w:rPr>
          <w:rStyle w:val="FootnoteReference"/>
          <w:i/>
          <w:iCs/>
          <w:lang w:val="en-US" w:eastAsia="fr-FR"/>
        </w:rPr>
        <w:footnoteReference w:id="6"/>
      </w:r>
    </w:p>
    <w:p w14:paraId="37496CAF" w14:textId="77777777" w:rsidR="000A6C3C" w:rsidRPr="000A6C3C" w:rsidRDefault="000A6C3C" w:rsidP="000A6C3C">
      <w:pPr>
        <w:rPr>
          <w:i/>
          <w:iCs/>
          <w:lang w:val="en-US" w:eastAsia="fr-FR"/>
        </w:rPr>
      </w:pPr>
    </w:p>
    <w:p w14:paraId="16DB3989" w14:textId="7DE879B7" w:rsidR="0067211F" w:rsidRDefault="00482B4E" w:rsidP="00925187">
      <w:pPr>
        <w:pStyle w:val="Heading3"/>
        <w:numPr>
          <w:ilvl w:val="0"/>
          <w:numId w:val="0"/>
        </w:numPr>
        <w:rPr>
          <w:b w:val="0"/>
          <w:szCs w:val="22"/>
          <w:lang w:val="en-US"/>
        </w:rPr>
      </w:pPr>
      <w:bookmarkStart w:id="13" w:name="_Toc483827360"/>
      <w:bookmarkStart w:id="14" w:name="_Toc483832369"/>
      <w:r w:rsidRPr="00482B4E">
        <w:rPr>
          <w:b w:val="0"/>
          <w:szCs w:val="22"/>
          <w:lang w:val="en-US"/>
        </w:rPr>
        <w:lastRenderedPageBreak/>
        <w:t xml:space="preserve">Failing to abide by the Committee’s recommendation, the State did not provide in its follow-up report, any updated information on the case of </w:t>
      </w:r>
      <w:proofErr w:type="spellStart"/>
      <w:r w:rsidRPr="00482B4E">
        <w:rPr>
          <w:b w:val="0"/>
          <w:szCs w:val="22"/>
          <w:lang w:val="en-US"/>
        </w:rPr>
        <w:t>Raif</w:t>
      </w:r>
      <w:proofErr w:type="spellEnd"/>
      <w:r w:rsidRPr="00482B4E">
        <w:rPr>
          <w:b w:val="0"/>
          <w:szCs w:val="22"/>
          <w:lang w:val="en-US"/>
        </w:rPr>
        <w:t xml:space="preserve"> </w:t>
      </w:r>
      <w:proofErr w:type="spellStart"/>
      <w:r w:rsidRPr="00482B4E">
        <w:rPr>
          <w:b w:val="0"/>
          <w:szCs w:val="22"/>
          <w:lang w:val="en-US"/>
        </w:rPr>
        <w:t>Badawi</w:t>
      </w:r>
      <w:proofErr w:type="spellEnd"/>
      <w:r w:rsidRPr="00482B4E">
        <w:rPr>
          <w:b w:val="0"/>
          <w:szCs w:val="22"/>
          <w:lang w:val="en-US"/>
        </w:rPr>
        <w:t xml:space="preserve">, who remains incarcerated and awaits the completion of the punishment pronounced against him, </w:t>
      </w:r>
      <w:proofErr w:type="spellStart"/>
      <w:r w:rsidRPr="00482B4E">
        <w:rPr>
          <w:b w:val="0"/>
          <w:szCs w:val="22"/>
          <w:lang w:val="en-US"/>
        </w:rPr>
        <w:t>i.e</w:t>
      </w:r>
      <w:proofErr w:type="spellEnd"/>
      <w:r w:rsidRPr="00482B4E">
        <w:rPr>
          <w:b w:val="0"/>
          <w:szCs w:val="22"/>
          <w:lang w:val="en-US"/>
        </w:rPr>
        <w:t xml:space="preserve"> he is still to receive 950 lashes out of the 1000 lashes he was sentenced to in 2014. We would like to note that, as stated by the Saudi authorities, the sentence of corporal punishment may only be suspended by clemency of the King or by request of the person to whom “blood is owed”.</w:t>
      </w:r>
      <w:bookmarkEnd w:id="13"/>
      <w:bookmarkEnd w:id="14"/>
      <w:r w:rsidR="00925187">
        <w:rPr>
          <w:rStyle w:val="FootnoteReference"/>
          <w:b w:val="0"/>
          <w:szCs w:val="22"/>
          <w:lang w:val="en-US"/>
        </w:rPr>
        <w:footnoteReference w:id="7"/>
      </w:r>
      <w:r w:rsidR="00925187">
        <w:rPr>
          <w:b w:val="0"/>
          <w:szCs w:val="22"/>
          <w:lang w:val="en-US"/>
        </w:rPr>
        <w:t xml:space="preserve"> </w:t>
      </w:r>
      <w:bookmarkEnd w:id="9"/>
    </w:p>
    <w:p w14:paraId="733B0CF1" w14:textId="77777777" w:rsidR="000A6C3C" w:rsidRDefault="000A6C3C" w:rsidP="000A6C3C">
      <w:pPr>
        <w:rPr>
          <w:lang w:val="en-US" w:eastAsia="fr-FR"/>
        </w:rPr>
      </w:pPr>
    </w:p>
    <w:p w14:paraId="3B6C6107" w14:textId="77777777" w:rsidR="000A6C3C" w:rsidRDefault="000A6C3C" w:rsidP="000A6C3C">
      <w:pPr>
        <w:pStyle w:val="Heading1"/>
        <w:rPr>
          <w:lang w:eastAsia="fr-FR"/>
        </w:rPr>
      </w:pPr>
      <w:bookmarkStart w:id="15" w:name="_Toc483832370"/>
      <w:r w:rsidRPr="000A6C3C">
        <w:rPr>
          <w:lang w:eastAsia="fr-FR"/>
        </w:rPr>
        <w:t>Reprisals against and harassment, intimidation and arrest of human rights defenders and journalists</w:t>
      </w:r>
      <w:bookmarkEnd w:id="15"/>
    </w:p>
    <w:p w14:paraId="0921025D" w14:textId="77777777" w:rsidR="000A6C3C" w:rsidRPr="000A6C3C" w:rsidRDefault="000A6C3C" w:rsidP="000A6C3C">
      <w:pPr>
        <w:rPr>
          <w:i/>
          <w:iCs/>
          <w:lang w:val="en-US" w:eastAsia="fr-FR"/>
        </w:rPr>
      </w:pPr>
    </w:p>
    <w:p w14:paraId="52646B59" w14:textId="35FAACB5" w:rsidR="000A6C3C" w:rsidRDefault="000A6C3C" w:rsidP="000A6C3C">
      <w:pPr>
        <w:rPr>
          <w:i/>
          <w:iCs/>
          <w:lang w:val="en-US" w:eastAsia="fr-FR"/>
        </w:rPr>
      </w:pPr>
      <w:r w:rsidRPr="000A6C3C">
        <w:rPr>
          <w:i/>
          <w:iCs/>
          <w:lang w:val="en-US" w:eastAsia="fr-FR"/>
        </w:rPr>
        <w:t xml:space="preserve">The State party should acknowledge the legitimacy of peaceful criticism and </w:t>
      </w:r>
      <w:proofErr w:type="gramStart"/>
      <w:r w:rsidRPr="000A6C3C">
        <w:rPr>
          <w:i/>
          <w:iCs/>
          <w:lang w:val="en-US" w:eastAsia="fr-FR"/>
        </w:rPr>
        <w:t>advocacy related to violations of the Convention and consider</w:t>
      </w:r>
      <w:proofErr w:type="gramEnd"/>
      <w:r w:rsidRPr="000A6C3C">
        <w:rPr>
          <w:i/>
          <w:iCs/>
          <w:lang w:val="en-US" w:eastAsia="fr-FR"/>
        </w:rPr>
        <w:t xml:space="preserve"> reviewing the cases of the above-mentioned individuals and releasing any individual detained solely for peaceful criticism or human rights advocacy.</w:t>
      </w:r>
      <w:r w:rsidR="00A802E2">
        <w:rPr>
          <w:rStyle w:val="FootnoteReference"/>
          <w:i/>
          <w:iCs/>
          <w:lang w:val="en-US" w:eastAsia="fr-FR"/>
        </w:rPr>
        <w:footnoteReference w:id="8"/>
      </w:r>
    </w:p>
    <w:p w14:paraId="71770CB2" w14:textId="77777777" w:rsidR="000A6C3C" w:rsidRDefault="000A6C3C" w:rsidP="000A6C3C">
      <w:pPr>
        <w:rPr>
          <w:i/>
          <w:iCs/>
          <w:lang w:val="en-US" w:eastAsia="fr-FR"/>
        </w:rPr>
      </w:pPr>
    </w:p>
    <w:p w14:paraId="7F2F00EC" w14:textId="580C1005" w:rsidR="00CB326C" w:rsidRDefault="00CB326C" w:rsidP="008F7A15">
      <w:pPr>
        <w:rPr>
          <w:lang w:val="en-GB" w:eastAsia="fr-FR"/>
        </w:rPr>
      </w:pPr>
      <w:r w:rsidRPr="00CB326C">
        <w:rPr>
          <w:lang w:val="en-GB" w:eastAsia="fr-FR"/>
        </w:rPr>
        <w:t xml:space="preserve">With regards to the prosecution of human rights defenders, Saudi Arabia cited the </w:t>
      </w:r>
      <w:r w:rsidR="008F7A15">
        <w:rPr>
          <w:lang w:val="en-GB" w:eastAsia="fr-FR"/>
        </w:rPr>
        <w:t>promulgation, in December 2015</w:t>
      </w:r>
      <w:r w:rsidR="00925187">
        <w:rPr>
          <w:lang w:val="en-GB" w:eastAsia="fr-FR"/>
        </w:rPr>
        <w:t>,</w:t>
      </w:r>
      <w:r w:rsidR="008F7A15">
        <w:rPr>
          <w:lang w:val="en-GB" w:eastAsia="fr-FR"/>
        </w:rPr>
        <w:t xml:space="preserve"> of the</w:t>
      </w:r>
      <w:r w:rsidRPr="00CB326C">
        <w:rPr>
          <w:lang w:val="en-GB" w:eastAsia="fr-FR"/>
        </w:rPr>
        <w:t xml:space="preserve"> Law for the Regulation of Civil Associations and Foundations</w:t>
      </w:r>
      <w:r w:rsidR="00171E17">
        <w:rPr>
          <w:lang w:val="en-GB" w:eastAsia="fr-FR"/>
        </w:rPr>
        <w:t>,</w:t>
      </w:r>
      <w:r w:rsidRPr="00CB326C">
        <w:rPr>
          <w:lang w:val="en-GB" w:eastAsia="fr-FR"/>
        </w:rPr>
        <w:t xml:space="preserve"> which allows for the establishment of civil society organisations</w:t>
      </w:r>
      <w:r w:rsidR="00925187">
        <w:rPr>
          <w:lang w:val="en-GB" w:eastAsia="fr-FR"/>
        </w:rPr>
        <w:t>.</w:t>
      </w:r>
      <w:r w:rsidR="00527B35">
        <w:rPr>
          <w:rStyle w:val="FootnoteReference"/>
          <w:lang w:val="en-GB" w:eastAsia="fr-FR"/>
        </w:rPr>
        <w:footnoteReference w:id="9"/>
      </w:r>
      <w:r>
        <w:rPr>
          <w:lang w:val="en-GB" w:eastAsia="fr-FR"/>
        </w:rPr>
        <w:t xml:space="preserve"> </w:t>
      </w:r>
      <w:r w:rsidRPr="00CB326C">
        <w:rPr>
          <w:lang w:val="en-GB" w:eastAsia="fr-FR"/>
        </w:rPr>
        <w:t>Prior to this law, only charities were allowed to be registered in the Kingdom, and civil society organisations were considered illegal and their members prosecuted. The State insists in its follow-up report that any organisation that is not registered under this law is illegal and cannot exist within the Kingdom</w:t>
      </w:r>
      <w:r w:rsidR="00925187">
        <w:rPr>
          <w:lang w:val="en-GB" w:eastAsia="fr-FR"/>
        </w:rPr>
        <w:t>.</w:t>
      </w:r>
      <w:r w:rsidR="003E70C7">
        <w:rPr>
          <w:rStyle w:val="FootnoteReference"/>
          <w:lang w:val="en-GB" w:eastAsia="fr-FR"/>
        </w:rPr>
        <w:footnoteReference w:id="10"/>
      </w:r>
      <w:r w:rsidRPr="00CB326C">
        <w:rPr>
          <w:lang w:val="en-GB" w:eastAsia="fr-FR"/>
        </w:rPr>
        <w:t xml:space="preserve"> </w:t>
      </w:r>
    </w:p>
    <w:p w14:paraId="6CC06FBF" w14:textId="77777777" w:rsidR="00925187" w:rsidRPr="00CB326C" w:rsidRDefault="00925187" w:rsidP="008F7A15">
      <w:pPr>
        <w:rPr>
          <w:lang w:val="en-GB" w:eastAsia="fr-FR"/>
        </w:rPr>
      </w:pPr>
    </w:p>
    <w:p w14:paraId="49434C1A" w14:textId="7261C2D0" w:rsidR="00CB326C" w:rsidRPr="00CB326C" w:rsidRDefault="00CB326C" w:rsidP="00925187">
      <w:pPr>
        <w:rPr>
          <w:lang w:val="en-GB" w:eastAsia="fr-FR"/>
        </w:rPr>
      </w:pPr>
      <w:r w:rsidRPr="00CB326C">
        <w:rPr>
          <w:lang w:val="en-GB" w:eastAsia="fr-FR"/>
        </w:rPr>
        <w:t>However, in its definition of organisations and foundations, the 2015 Law enumerated the nature and aims of these entities</w:t>
      </w:r>
      <w:r w:rsidR="00171E17">
        <w:rPr>
          <w:lang w:val="en-GB" w:eastAsia="fr-FR"/>
        </w:rPr>
        <w:t>,</w:t>
      </w:r>
      <w:r w:rsidRPr="00CB326C">
        <w:rPr>
          <w:lang w:val="en-GB" w:eastAsia="fr-FR"/>
        </w:rPr>
        <w:t xml:space="preserve"> but failed to include human rights and political organisations</w:t>
      </w:r>
      <w:r w:rsidR="00925187">
        <w:rPr>
          <w:lang w:val="en-GB" w:eastAsia="fr-FR"/>
        </w:rPr>
        <w:t>.</w:t>
      </w:r>
      <w:r w:rsidR="003E70C7">
        <w:rPr>
          <w:rStyle w:val="FootnoteReference"/>
          <w:lang w:val="en-GB" w:eastAsia="fr-FR"/>
        </w:rPr>
        <w:footnoteReference w:id="11"/>
      </w:r>
      <w:r w:rsidRPr="00CB326C">
        <w:rPr>
          <w:lang w:val="en-GB" w:eastAsia="fr-FR"/>
        </w:rPr>
        <w:t xml:space="preserve"> Human rights and political organisations may therefore not register under this law</w:t>
      </w:r>
      <w:r w:rsidR="001C2048">
        <w:rPr>
          <w:lang w:val="en-GB" w:eastAsia="fr-FR"/>
        </w:rPr>
        <w:t xml:space="preserve">, in furtherance of </w:t>
      </w:r>
      <w:r w:rsidRPr="00CB326C">
        <w:rPr>
          <w:lang w:val="en-GB" w:eastAsia="fr-FR"/>
        </w:rPr>
        <w:t>the Saudi authorities</w:t>
      </w:r>
      <w:r w:rsidR="001C2048">
        <w:rPr>
          <w:lang w:val="en-GB" w:eastAsia="fr-FR"/>
        </w:rPr>
        <w:t>’</w:t>
      </w:r>
      <w:r w:rsidRPr="00CB326C">
        <w:rPr>
          <w:lang w:val="en-GB" w:eastAsia="fr-FR"/>
        </w:rPr>
        <w:t xml:space="preserve"> repeated and continuous repress</w:t>
      </w:r>
      <w:r w:rsidR="001C2048">
        <w:rPr>
          <w:lang w:val="en-GB" w:eastAsia="fr-FR"/>
        </w:rPr>
        <w:t xml:space="preserve">ion of </w:t>
      </w:r>
      <w:r w:rsidRPr="00CB326C">
        <w:rPr>
          <w:lang w:val="en-GB" w:eastAsia="fr-FR"/>
        </w:rPr>
        <w:t>human rights and political organisations. The case of the Saudi Civil and Political Rights Association (ACPRA), whose members were all prosecuted under a number of charges including the “establishment of an unlicensed organisation”, illustrates this practice</w:t>
      </w:r>
      <w:r w:rsidR="00925187">
        <w:rPr>
          <w:lang w:val="en-GB" w:eastAsia="fr-FR"/>
        </w:rPr>
        <w:t>.</w:t>
      </w:r>
      <w:r>
        <w:rPr>
          <w:rStyle w:val="FootnoteReference"/>
          <w:lang w:val="en-GB" w:eastAsia="fr-FR"/>
        </w:rPr>
        <w:footnoteReference w:id="12"/>
      </w:r>
      <w:r w:rsidRPr="00CB326C">
        <w:rPr>
          <w:lang w:val="en-GB" w:eastAsia="fr-FR"/>
        </w:rPr>
        <w:t xml:space="preserve"> By excluding human rights and political organisations, the law allows for further repression of the right to freedom of association of peaceful rights activists or political opponents. Other provisions of the 2015 Law prohibit activities that may “prejudice public order and national cohesion”</w:t>
      </w:r>
      <w:r w:rsidR="00925187">
        <w:rPr>
          <w:rStyle w:val="FootnoteReference"/>
          <w:lang w:val="en-GB" w:eastAsia="fr-FR"/>
        </w:rPr>
        <w:footnoteReference w:id="13"/>
      </w:r>
      <w:r w:rsidRPr="00CB326C">
        <w:rPr>
          <w:lang w:val="en-GB" w:eastAsia="fr-FR"/>
        </w:rPr>
        <w:t xml:space="preserve"> or any act that “incites dredges and divisions between the citizens</w:t>
      </w:r>
      <w:r w:rsidR="0064480C">
        <w:rPr>
          <w:lang w:val="en-GB" w:eastAsia="fr-FR"/>
        </w:rPr>
        <w:t>”</w:t>
      </w:r>
      <w:r w:rsidR="003E70C7">
        <w:rPr>
          <w:rStyle w:val="FootnoteReference"/>
          <w:lang w:val="en-GB" w:eastAsia="fr-FR"/>
        </w:rPr>
        <w:footnoteReference w:id="14"/>
      </w:r>
      <w:r w:rsidR="0064480C">
        <w:rPr>
          <w:lang w:val="en-GB" w:eastAsia="fr-FR"/>
        </w:rPr>
        <w:t>;</w:t>
      </w:r>
      <w:r w:rsidRPr="00CB326C">
        <w:rPr>
          <w:lang w:val="en-GB" w:eastAsia="fr-FR"/>
        </w:rPr>
        <w:t xml:space="preserve"> a vague wording which allows for repression of free speech and peaceful criticism. We recall that charges such as “prejudicing public order” have been used to prosecute human rights activists or anyone critical of the authorities</w:t>
      </w:r>
      <w:r w:rsidR="00925187">
        <w:rPr>
          <w:lang w:val="en-GB" w:eastAsia="fr-FR"/>
        </w:rPr>
        <w:t>.</w:t>
      </w:r>
      <w:r w:rsidR="002C24B8">
        <w:rPr>
          <w:rStyle w:val="FootnoteReference"/>
          <w:lang w:val="en-GB" w:eastAsia="fr-FR"/>
        </w:rPr>
        <w:footnoteReference w:id="15"/>
      </w:r>
      <w:r w:rsidRPr="00CB326C">
        <w:rPr>
          <w:lang w:val="en-GB" w:eastAsia="fr-FR"/>
        </w:rPr>
        <w:t xml:space="preserve"> </w:t>
      </w:r>
    </w:p>
    <w:p w14:paraId="35CB70B7" w14:textId="77777777" w:rsidR="002C24B8" w:rsidRDefault="002C24B8" w:rsidP="00CB326C">
      <w:pPr>
        <w:rPr>
          <w:lang w:val="en-GB" w:eastAsia="fr-FR"/>
        </w:rPr>
      </w:pPr>
    </w:p>
    <w:p w14:paraId="45B7CC1A" w14:textId="77777777" w:rsidR="00925187" w:rsidRDefault="00CB326C" w:rsidP="00CB326C">
      <w:pPr>
        <w:rPr>
          <w:lang w:val="en-GB" w:eastAsia="fr-FR"/>
        </w:rPr>
      </w:pPr>
      <w:r w:rsidRPr="00CB326C">
        <w:rPr>
          <w:lang w:val="en-GB" w:eastAsia="fr-FR"/>
        </w:rPr>
        <w:t>In its Concluding Observations, the Committee requested updated information on a number of cases of human rights defenders, among whom ACPRA members. In its follow-up report, Saudi Arabia failed to provide information on the situation of these human rights defenders and highlighted that it had not accepted the individual complaint mechanism of article 22 of the UNCAT</w:t>
      </w:r>
      <w:r w:rsidR="00436B6A">
        <w:rPr>
          <w:rStyle w:val="FootnoteReference"/>
          <w:lang w:val="en-GB" w:eastAsia="fr-FR"/>
        </w:rPr>
        <w:footnoteReference w:id="16"/>
      </w:r>
      <w:r w:rsidRPr="00CB326C">
        <w:rPr>
          <w:lang w:val="en-GB" w:eastAsia="fr-FR"/>
        </w:rPr>
        <w:t xml:space="preserve"> and that it had insisted during the review on the lack of veracity of the elements of the cases mentioned by the Committee</w:t>
      </w:r>
      <w:r w:rsidR="00925187">
        <w:rPr>
          <w:lang w:val="en-GB" w:eastAsia="fr-FR"/>
        </w:rPr>
        <w:t>.</w:t>
      </w:r>
      <w:r w:rsidR="00436B6A">
        <w:rPr>
          <w:rStyle w:val="FootnoteReference"/>
          <w:lang w:val="en-GB" w:eastAsia="fr-FR"/>
        </w:rPr>
        <w:footnoteReference w:id="17"/>
      </w:r>
    </w:p>
    <w:p w14:paraId="58AFEC34" w14:textId="371DEE18" w:rsidR="00CB326C" w:rsidRPr="00CB326C" w:rsidRDefault="00CB326C" w:rsidP="00CB326C">
      <w:pPr>
        <w:rPr>
          <w:lang w:val="en-GB" w:eastAsia="fr-FR"/>
        </w:rPr>
      </w:pPr>
      <w:r w:rsidRPr="00CB326C">
        <w:rPr>
          <w:lang w:val="en-GB" w:eastAsia="fr-FR"/>
        </w:rPr>
        <w:t xml:space="preserve"> </w:t>
      </w:r>
    </w:p>
    <w:p w14:paraId="1AE3A605" w14:textId="370DE0C3" w:rsidR="00436B6A" w:rsidRPr="00CB326C" w:rsidRDefault="00CB326C" w:rsidP="00007901">
      <w:pPr>
        <w:rPr>
          <w:lang w:val="en-GB" w:eastAsia="fr-FR"/>
        </w:rPr>
      </w:pPr>
      <w:r w:rsidRPr="00CB326C">
        <w:rPr>
          <w:lang w:val="en-GB" w:eastAsia="fr-FR"/>
        </w:rPr>
        <w:t xml:space="preserve">Nevertheless, since the </w:t>
      </w:r>
      <w:r>
        <w:rPr>
          <w:lang w:val="en-GB" w:eastAsia="fr-FR"/>
        </w:rPr>
        <w:t>adoption of the CAT’s concluding observations</w:t>
      </w:r>
      <w:r w:rsidRPr="00CB326C">
        <w:rPr>
          <w:lang w:val="en-GB" w:eastAsia="fr-FR"/>
        </w:rPr>
        <w:t xml:space="preserve">, two more ACPRA members have been sentenced by the Specialised Criminal Court. Despite a 2015 Opinion issued by the Working </w:t>
      </w:r>
      <w:r w:rsidRPr="00CB326C">
        <w:rPr>
          <w:lang w:val="en-GB" w:eastAsia="fr-FR"/>
        </w:rPr>
        <w:lastRenderedPageBreak/>
        <w:t>Group on Arbitrary Detention calling for the release of detained ACPRA members</w:t>
      </w:r>
      <w:r w:rsidRPr="00CB326C">
        <w:rPr>
          <w:vertAlign w:val="superscript"/>
          <w:lang w:val="en-GB" w:eastAsia="fr-FR"/>
        </w:rPr>
        <w:footnoteReference w:id="18"/>
      </w:r>
      <w:r w:rsidRPr="00CB326C">
        <w:rPr>
          <w:lang w:val="en-GB" w:eastAsia="fr-FR"/>
        </w:rPr>
        <w:t xml:space="preserve"> and the recommendation made by the CAT to “review the cases of [these] individuals and releasing [those] detained solely for their peaceful criticism or human rights activism”, Saudi Arabia continues to silence dissenting voices. </w:t>
      </w:r>
    </w:p>
    <w:p w14:paraId="1E0FAD0C" w14:textId="77777777" w:rsidR="00A74351" w:rsidRDefault="00A74351" w:rsidP="00CB326C">
      <w:pPr>
        <w:rPr>
          <w:i/>
          <w:lang w:val="en-GB" w:eastAsia="fr-FR"/>
        </w:rPr>
      </w:pPr>
    </w:p>
    <w:p w14:paraId="56FCBAB6" w14:textId="77777777" w:rsidR="004F5609" w:rsidRDefault="004F5609" w:rsidP="00007901">
      <w:pPr>
        <w:rPr>
          <w:i/>
          <w:u w:val="single"/>
          <w:lang w:val="en-GB" w:eastAsia="fr-FR"/>
        </w:rPr>
      </w:pPr>
    </w:p>
    <w:p w14:paraId="3893A97D" w14:textId="77777777" w:rsidR="004F5609" w:rsidRDefault="004F5609" w:rsidP="00007901">
      <w:pPr>
        <w:rPr>
          <w:i/>
          <w:u w:val="single"/>
          <w:lang w:val="en-GB" w:eastAsia="fr-FR"/>
        </w:rPr>
      </w:pPr>
    </w:p>
    <w:p w14:paraId="13DA044B" w14:textId="77777777" w:rsidR="004F5609" w:rsidRDefault="004F5609" w:rsidP="00007901">
      <w:pPr>
        <w:rPr>
          <w:i/>
          <w:u w:val="single"/>
          <w:lang w:val="en-GB" w:eastAsia="fr-FR"/>
        </w:rPr>
      </w:pPr>
    </w:p>
    <w:p w14:paraId="75497D01" w14:textId="77777777" w:rsidR="00007901" w:rsidRDefault="00CB326C" w:rsidP="00007901">
      <w:pPr>
        <w:rPr>
          <w:i/>
          <w:u w:val="single"/>
          <w:lang w:val="en-GB" w:eastAsia="fr-FR"/>
        </w:rPr>
      </w:pPr>
      <w:r w:rsidRPr="00925187">
        <w:rPr>
          <w:i/>
          <w:u w:val="single"/>
          <w:lang w:val="en-GB" w:eastAsia="fr-FR"/>
        </w:rPr>
        <w:t>Prosecution of ACPRA members</w:t>
      </w:r>
    </w:p>
    <w:p w14:paraId="2DE36998" w14:textId="77777777" w:rsidR="004F5609" w:rsidRPr="00925187" w:rsidRDefault="004F5609" w:rsidP="00007901">
      <w:pPr>
        <w:rPr>
          <w:i/>
          <w:u w:val="single"/>
          <w:lang w:val="en-GB" w:eastAsia="fr-FR"/>
        </w:rPr>
      </w:pPr>
    </w:p>
    <w:p w14:paraId="788B9291" w14:textId="1F4D91F7" w:rsidR="00CB326C" w:rsidRDefault="00CB326C" w:rsidP="00007901">
      <w:pPr>
        <w:rPr>
          <w:lang w:val="en-GB" w:eastAsia="fr-FR"/>
        </w:rPr>
      </w:pPr>
      <w:r w:rsidRPr="00CB326C">
        <w:rPr>
          <w:lang w:val="en-GB" w:eastAsia="fr-FR"/>
        </w:rPr>
        <w:t xml:space="preserve">In the case of </w:t>
      </w:r>
      <w:proofErr w:type="spellStart"/>
      <w:r w:rsidRPr="00CB326C">
        <w:rPr>
          <w:b/>
          <w:lang w:val="en-GB" w:eastAsia="fr-FR"/>
        </w:rPr>
        <w:t>Abdulaziz</w:t>
      </w:r>
      <w:proofErr w:type="spellEnd"/>
      <w:r w:rsidRPr="00CB326C">
        <w:rPr>
          <w:b/>
          <w:lang w:val="en-GB" w:eastAsia="fr-FR"/>
        </w:rPr>
        <w:t xml:space="preserve"> Al </w:t>
      </w:r>
      <w:proofErr w:type="spellStart"/>
      <w:r w:rsidRPr="00CB326C">
        <w:rPr>
          <w:b/>
          <w:lang w:val="en-GB" w:eastAsia="fr-FR"/>
        </w:rPr>
        <w:t>Shubaily</w:t>
      </w:r>
      <w:proofErr w:type="spellEnd"/>
      <w:r w:rsidRPr="00CB326C">
        <w:rPr>
          <w:lang w:val="en-GB" w:eastAsia="fr-FR"/>
        </w:rPr>
        <w:t xml:space="preserve"> mentioned in the CAT’s Concluding Observations, the Specialised Criminal Court sentenced him in May 2016 to eight years in prison followed by an eight year travel ban.</w:t>
      </w:r>
      <w:r w:rsidR="00436B6A">
        <w:rPr>
          <w:rStyle w:val="FootnoteReference"/>
          <w:lang w:val="en-GB" w:eastAsia="fr-FR"/>
        </w:rPr>
        <w:footnoteReference w:id="19"/>
      </w:r>
    </w:p>
    <w:p w14:paraId="33E9CDA2" w14:textId="77777777" w:rsidR="00925187" w:rsidRPr="00CB326C" w:rsidRDefault="00925187" w:rsidP="00007901">
      <w:pPr>
        <w:rPr>
          <w:i/>
          <w:lang w:val="en-GB" w:eastAsia="fr-FR"/>
        </w:rPr>
      </w:pPr>
    </w:p>
    <w:p w14:paraId="1D82C255" w14:textId="77777777" w:rsidR="00CB326C" w:rsidRPr="00CB326C" w:rsidRDefault="00CB326C" w:rsidP="00436B6A">
      <w:pPr>
        <w:rPr>
          <w:lang w:val="en-GB" w:eastAsia="fr-FR"/>
        </w:rPr>
      </w:pPr>
      <w:r w:rsidRPr="00CB326C">
        <w:rPr>
          <w:lang w:val="en-GB" w:eastAsia="fr-FR"/>
        </w:rPr>
        <w:t xml:space="preserve">Furthermore, in December 2016, </w:t>
      </w:r>
      <w:r w:rsidRPr="00CB326C">
        <w:rPr>
          <w:b/>
          <w:lang w:val="en-GB" w:eastAsia="fr-FR"/>
        </w:rPr>
        <w:t>Essa Al Hamid</w:t>
      </w:r>
      <w:r w:rsidRPr="00CB326C">
        <w:rPr>
          <w:lang w:val="en-GB" w:eastAsia="fr-FR"/>
        </w:rPr>
        <w:t>, one of ACPRA’s founding members, saw his sentence increased to 11 years in prison followed by an 11-year travel ban. Al Hamid had originally been sentenced by the Specialised Criminal Court to nine years in prison.</w:t>
      </w:r>
      <w:r w:rsidR="00436B6A">
        <w:rPr>
          <w:rStyle w:val="FootnoteReference"/>
          <w:lang w:val="en-GB" w:eastAsia="fr-FR"/>
        </w:rPr>
        <w:footnoteReference w:id="20"/>
      </w:r>
    </w:p>
    <w:p w14:paraId="212220E8" w14:textId="77777777" w:rsidR="00A74351" w:rsidRDefault="00A74351" w:rsidP="00CB326C">
      <w:pPr>
        <w:rPr>
          <w:i/>
          <w:lang w:val="en-GB" w:eastAsia="fr-FR"/>
        </w:rPr>
      </w:pPr>
    </w:p>
    <w:p w14:paraId="3C6601E2" w14:textId="77777777" w:rsidR="00CB326C" w:rsidRPr="00925187" w:rsidRDefault="00CB326C" w:rsidP="00CB326C">
      <w:pPr>
        <w:rPr>
          <w:i/>
          <w:u w:val="single"/>
          <w:lang w:val="en-GB" w:eastAsia="fr-FR"/>
        </w:rPr>
      </w:pPr>
      <w:r w:rsidRPr="00925187">
        <w:rPr>
          <w:i/>
          <w:u w:val="single"/>
          <w:lang w:val="en-GB" w:eastAsia="fr-FR"/>
        </w:rPr>
        <w:t>Prosecution of other human rights defenders</w:t>
      </w:r>
    </w:p>
    <w:p w14:paraId="2B829C51" w14:textId="77777777" w:rsidR="00925187" w:rsidRPr="00CB326C" w:rsidRDefault="00925187" w:rsidP="00CB326C">
      <w:pPr>
        <w:rPr>
          <w:i/>
          <w:lang w:val="en-GB" w:eastAsia="fr-FR"/>
        </w:rPr>
      </w:pPr>
    </w:p>
    <w:p w14:paraId="30630E20" w14:textId="77777777" w:rsidR="00CB326C" w:rsidRPr="00CB326C" w:rsidRDefault="00CB326C" w:rsidP="00CB326C">
      <w:pPr>
        <w:rPr>
          <w:lang w:val="en-GB" w:eastAsia="fr-FR"/>
        </w:rPr>
      </w:pPr>
      <w:r w:rsidRPr="00CB326C">
        <w:rPr>
          <w:lang w:val="en-GB" w:eastAsia="fr-FR"/>
        </w:rPr>
        <w:t xml:space="preserve">Other human rights defenders are currently being tried and prosecuted before the Specialised Criminal Court for their activism; notably </w:t>
      </w:r>
      <w:r w:rsidRPr="00CB326C">
        <w:rPr>
          <w:b/>
          <w:lang w:val="en-GB" w:eastAsia="fr-FR"/>
        </w:rPr>
        <w:t xml:space="preserve">Mohamad Al </w:t>
      </w:r>
      <w:proofErr w:type="spellStart"/>
      <w:r w:rsidRPr="00CB326C">
        <w:rPr>
          <w:b/>
          <w:lang w:val="en-GB" w:eastAsia="fr-FR"/>
        </w:rPr>
        <w:t>Oteibi</w:t>
      </w:r>
      <w:proofErr w:type="spellEnd"/>
      <w:r w:rsidRPr="00CB326C">
        <w:rPr>
          <w:lang w:val="en-GB" w:eastAsia="fr-FR"/>
        </w:rPr>
        <w:t xml:space="preserve"> and </w:t>
      </w:r>
      <w:r w:rsidRPr="00CB326C">
        <w:rPr>
          <w:b/>
          <w:lang w:val="en-GB" w:eastAsia="fr-FR"/>
        </w:rPr>
        <w:t xml:space="preserve">Abdullah Al </w:t>
      </w:r>
      <w:proofErr w:type="spellStart"/>
      <w:r w:rsidRPr="00CB326C">
        <w:rPr>
          <w:b/>
          <w:lang w:val="en-GB" w:eastAsia="fr-FR"/>
        </w:rPr>
        <w:t>Atawi</w:t>
      </w:r>
      <w:proofErr w:type="spellEnd"/>
      <w:r w:rsidRPr="00CB326C">
        <w:rPr>
          <w:lang w:val="en-GB" w:eastAsia="fr-FR"/>
        </w:rPr>
        <w:t>, founders of the Union for Human Rights. In November 2016, they were charged with “illegally founding” their organisation and “harming the reputation of the State and its institutions as well as the national unity, security and stability of the state.” Their trial is currently ongoing.</w:t>
      </w:r>
      <w:r w:rsidR="001401FD">
        <w:rPr>
          <w:rStyle w:val="FootnoteReference"/>
          <w:lang w:val="en-GB" w:eastAsia="fr-FR"/>
        </w:rPr>
        <w:footnoteReference w:id="21"/>
      </w:r>
    </w:p>
    <w:p w14:paraId="3555223F" w14:textId="77777777" w:rsidR="00A74351" w:rsidRDefault="00A74351" w:rsidP="00CB326C">
      <w:pPr>
        <w:rPr>
          <w:i/>
          <w:lang w:val="en-GB" w:eastAsia="fr-FR"/>
        </w:rPr>
      </w:pPr>
    </w:p>
    <w:p w14:paraId="63219EFD" w14:textId="77777777" w:rsidR="00CB326C" w:rsidRPr="00925187" w:rsidRDefault="00CB326C" w:rsidP="00CB326C">
      <w:pPr>
        <w:rPr>
          <w:i/>
          <w:u w:val="single"/>
          <w:lang w:val="en-GB" w:eastAsia="fr-FR"/>
        </w:rPr>
      </w:pPr>
      <w:r w:rsidRPr="00925187">
        <w:rPr>
          <w:i/>
          <w:u w:val="single"/>
          <w:lang w:val="en-GB" w:eastAsia="fr-FR"/>
        </w:rPr>
        <w:t>Arbitrary detention of human rights defenders</w:t>
      </w:r>
    </w:p>
    <w:p w14:paraId="4CB38872" w14:textId="77777777" w:rsidR="00925187" w:rsidRDefault="00925187" w:rsidP="00CB326C">
      <w:pPr>
        <w:rPr>
          <w:lang w:val="en-GB" w:eastAsia="fr-FR"/>
        </w:rPr>
      </w:pPr>
    </w:p>
    <w:p w14:paraId="1BDD470C" w14:textId="1E866006" w:rsidR="00CB326C" w:rsidRDefault="00CB326C" w:rsidP="00CB326C">
      <w:pPr>
        <w:rPr>
          <w:lang w:val="en-GB" w:eastAsia="fr-FR"/>
        </w:rPr>
      </w:pPr>
      <w:r w:rsidRPr="00CB326C">
        <w:rPr>
          <w:lang w:val="en-GB" w:eastAsia="fr-FR"/>
        </w:rPr>
        <w:t xml:space="preserve">In December 2016, </w:t>
      </w:r>
      <w:proofErr w:type="spellStart"/>
      <w:r w:rsidRPr="00CB326C">
        <w:rPr>
          <w:b/>
          <w:lang w:val="en-GB" w:eastAsia="fr-FR"/>
        </w:rPr>
        <w:t>Issa</w:t>
      </w:r>
      <w:proofErr w:type="spellEnd"/>
      <w:r w:rsidRPr="00CB326C">
        <w:rPr>
          <w:b/>
          <w:lang w:val="en-GB" w:eastAsia="fr-FR"/>
        </w:rPr>
        <w:t xml:space="preserve"> Al </w:t>
      </w:r>
      <w:proofErr w:type="spellStart"/>
      <w:r w:rsidRPr="00CB326C">
        <w:rPr>
          <w:b/>
          <w:lang w:val="en-GB" w:eastAsia="fr-FR"/>
        </w:rPr>
        <w:t>Nukheifi</w:t>
      </w:r>
      <w:proofErr w:type="spellEnd"/>
      <w:r w:rsidRPr="00CB326C">
        <w:rPr>
          <w:lang w:val="en-GB" w:eastAsia="fr-FR"/>
        </w:rPr>
        <w:t>, a prominent human rights defender</w:t>
      </w:r>
      <w:r w:rsidR="00925187">
        <w:rPr>
          <w:lang w:val="en-GB" w:eastAsia="fr-FR"/>
        </w:rPr>
        <w:t>,</w:t>
      </w:r>
      <w:r w:rsidRPr="00CB326C">
        <w:rPr>
          <w:lang w:val="en-GB" w:eastAsia="fr-FR"/>
        </w:rPr>
        <w:t xml:space="preserve"> was arrested once more, right before the conduct of a country visit by the UN Special Rapporteur on extreme poverty. Al </w:t>
      </w:r>
      <w:proofErr w:type="spellStart"/>
      <w:r w:rsidRPr="00CB326C">
        <w:rPr>
          <w:lang w:val="en-GB" w:eastAsia="fr-FR"/>
        </w:rPr>
        <w:t>Nukheifi</w:t>
      </w:r>
      <w:proofErr w:type="spellEnd"/>
      <w:r w:rsidRPr="00CB326C">
        <w:rPr>
          <w:lang w:val="en-GB" w:eastAsia="fr-FR"/>
        </w:rPr>
        <w:t xml:space="preserve"> had been assisting the UN Special Procedure mandate holder organise his visit to the Kingdom.</w:t>
      </w:r>
      <w:r w:rsidR="00436B6A">
        <w:rPr>
          <w:rStyle w:val="FootnoteReference"/>
          <w:lang w:val="en-GB" w:eastAsia="fr-FR"/>
        </w:rPr>
        <w:footnoteReference w:id="22"/>
      </w:r>
      <w:r w:rsidRPr="00CB326C">
        <w:rPr>
          <w:lang w:val="en-GB" w:eastAsia="fr-FR"/>
        </w:rPr>
        <w:t xml:space="preserve"> </w:t>
      </w:r>
    </w:p>
    <w:p w14:paraId="241E7B28" w14:textId="77777777" w:rsidR="00925187" w:rsidRPr="00CB326C" w:rsidRDefault="00925187" w:rsidP="00CB326C">
      <w:pPr>
        <w:rPr>
          <w:lang w:val="en-GB" w:eastAsia="fr-FR"/>
        </w:rPr>
      </w:pPr>
    </w:p>
    <w:p w14:paraId="12FB69DC" w14:textId="5B6B5F98" w:rsidR="00CB326C" w:rsidRPr="00CB326C" w:rsidRDefault="00CB326C" w:rsidP="00CB326C">
      <w:pPr>
        <w:rPr>
          <w:lang w:val="en-GB" w:eastAsia="fr-FR"/>
        </w:rPr>
      </w:pPr>
      <w:r w:rsidRPr="00CB326C">
        <w:rPr>
          <w:lang w:val="en-GB" w:eastAsia="fr-FR"/>
        </w:rPr>
        <w:t xml:space="preserve">As for </w:t>
      </w:r>
      <w:r w:rsidRPr="00CB326C">
        <w:rPr>
          <w:b/>
          <w:bCs/>
          <w:lang w:val="en-GB" w:eastAsia="fr-FR"/>
        </w:rPr>
        <w:t xml:space="preserve">Khaled Al </w:t>
      </w:r>
      <w:proofErr w:type="spellStart"/>
      <w:r w:rsidRPr="00CB326C">
        <w:rPr>
          <w:b/>
          <w:bCs/>
          <w:lang w:val="en-GB" w:eastAsia="fr-FR"/>
        </w:rPr>
        <w:t>Omeir</w:t>
      </w:r>
      <w:proofErr w:type="spellEnd"/>
      <w:r w:rsidRPr="00CB326C">
        <w:rPr>
          <w:lang w:val="en-GB" w:eastAsia="fr-FR"/>
        </w:rPr>
        <w:t xml:space="preserve">, who had been arrested in 2009 for having planned to participate in a demonstration in support of the people of Gaza, he remained deprived of his liberty despite having served his full sentence. After his arrest, Al </w:t>
      </w:r>
      <w:proofErr w:type="spellStart"/>
      <w:r w:rsidRPr="00CB326C">
        <w:rPr>
          <w:lang w:val="en-GB" w:eastAsia="fr-FR"/>
        </w:rPr>
        <w:t>Omeir</w:t>
      </w:r>
      <w:proofErr w:type="spellEnd"/>
      <w:r w:rsidRPr="00CB326C">
        <w:rPr>
          <w:lang w:val="en-GB" w:eastAsia="fr-FR"/>
        </w:rPr>
        <w:t xml:space="preserve"> was detained for two years before trial proceedings began. He was sentenced in 2011 by the Specialised Criminal Court to eight years in prison for “attempted illegal gathering” and “publishing information online.” On 5 October 2016, his sentence legally expired, but Al </w:t>
      </w:r>
      <w:proofErr w:type="spellStart"/>
      <w:r w:rsidRPr="00CB326C">
        <w:rPr>
          <w:lang w:val="en-GB" w:eastAsia="fr-FR"/>
        </w:rPr>
        <w:t>Omeir</w:t>
      </w:r>
      <w:proofErr w:type="spellEnd"/>
      <w:r w:rsidRPr="00CB326C">
        <w:rPr>
          <w:lang w:val="en-GB" w:eastAsia="fr-FR"/>
        </w:rPr>
        <w:t xml:space="preserve"> was transferred under administrative detention to the Mohammed Bin </w:t>
      </w:r>
      <w:proofErr w:type="spellStart"/>
      <w:r w:rsidRPr="00CB326C">
        <w:rPr>
          <w:lang w:val="en-GB" w:eastAsia="fr-FR"/>
        </w:rPr>
        <w:t>Nayef</w:t>
      </w:r>
      <w:proofErr w:type="spellEnd"/>
      <w:r w:rsidRPr="00CB326C">
        <w:rPr>
          <w:lang w:val="en-GB" w:eastAsia="fr-FR"/>
        </w:rPr>
        <w:t xml:space="preserve"> Centre for </w:t>
      </w:r>
      <w:proofErr w:type="spellStart"/>
      <w:r w:rsidRPr="00CB326C">
        <w:rPr>
          <w:lang w:val="en-GB" w:eastAsia="fr-FR"/>
        </w:rPr>
        <w:t>Counseling</w:t>
      </w:r>
      <w:proofErr w:type="spellEnd"/>
      <w:r w:rsidRPr="00CB326C">
        <w:rPr>
          <w:lang w:val="en-GB" w:eastAsia="fr-FR"/>
        </w:rPr>
        <w:t xml:space="preserve"> and Care, a rehabilitation centre for terrorists</w:t>
      </w:r>
      <w:r w:rsidR="00925187">
        <w:rPr>
          <w:lang w:val="en-GB" w:eastAsia="fr-FR"/>
        </w:rPr>
        <w:t>.</w:t>
      </w:r>
      <w:r w:rsidR="001401FD">
        <w:rPr>
          <w:rStyle w:val="FootnoteReference"/>
          <w:lang w:val="en-GB" w:eastAsia="fr-FR"/>
        </w:rPr>
        <w:footnoteReference w:id="23"/>
      </w:r>
      <w:r w:rsidRPr="00CB326C">
        <w:rPr>
          <w:lang w:val="en-GB" w:eastAsia="fr-FR"/>
        </w:rPr>
        <w:t xml:space="preserve"> He was released on 12 April 2017, seven months after the legal expiry of his sentence.</w:t>
      </w:r>
    </w:p>
    <w:p w14:paraId="1CEB8BA2" w14:textId="77777777" w:rsidR="000A6C3C" w:rsidRDefault="000A6C3C" w:rsidP="000A6C3C">
      <w:pPr>
        <w:rPr>
          <w:lang w:val="en-US" w:eastAsia="fr-FR"/>
        </w:rPr>
      </w:pPr>
    </w:p>
    <w:p w14:paraId="135895BA" w14:textId="77777777" w:rsidR="000A6C3C" w:rsidRPr="000A6C3C" w:rsidRDefault="000A6C3C" w:rsidP="000A6C3C">
      <w:pPr>
        <w:pStyle w:val="Heading1"/>
        <w:rPr>
          <w:lang w:eastAsia="fr-FR"/>
        </w:rPr>
      </w:pPr>
      <w:bookmarkStart w:id="16" w:name="_Toc483832371"/>
      <w:r w:rsidRPr="000A6C3C">
        <w:rPr>
          <w:lang w:eastAsia="fr-FR"/>
        </w:rPr>
        <w:lastRenderedPageBreak/>
        <w:t>Death penalty</w:t>
      </w:r>
      <w:bookmarkEnd w:id="16"/>
    </w:p>
    <w:p w14:paraId="4874CC2C" w14:textId="77777777" w:rsidR="0067211F" w:rsidRDefault="0067211F" w:rsidP="00724EA7">
      <w:pPr>
        <w:rPr>
          <w:lang w:val="en-US" w:eastAsia="fr-FR"/>
        </w:rPr>
      </w:pPr>
    </w:p>
    <w:p w14:paraId="43C99863" w14:textId="77777777" w:rsidR="008F7A15" w:rsidRDefault="008F7A15" w:rsidP="008F7A15">
      <w:pPr>
        <w:rPr>
          <w:i/>
          <w:iCs/>
          <w:lang w:val="en-US" w:eastAsia="fr-FR"/>
        </w:rPr>
      </w:pPr>
      <w:r w:rsidRPr="00A802E2">
        <w:rPr>
          <w:i/>
          <w:iCs/>
          <w:lang w:val="en-US" w:eastAsia="fr-FR"/>
        </w:rPr>
        <w:t>The Committee encourages the State party to establish a moratorium on executions, to commute all existing death sentences, to become a party to the International Covenant on Civil and Political Rights and, in particular, its Second Optional Protocol aimed at the abolition of the death penalty. The Committee calls upon the State party to provide disaggregated data on the number of individuals currently on death row, the number executed, detailing the offences and whether any minors or mentally disabled have been sentenced to death and/or executed, and the other data requested.</w:t>
      </w:r>
      <w:r w:rsidR="00A802E2">
        <w:rPr>
          <w:rStyle w:val="FootnoteReference"/>
          <w:i/>
          <w:iCs/>
          <w:lang w:val="en-US" w:eastAsia="fr-FR"/>
        </w:rPr>
        <w:footnoteReference w:id="24"/>
      </w:r>
    </w:p>
    <w:p w14:paraId="27E7F717" w14:textId="77777777" w:rsidR="00935DC8" w:rsidRPr="00A802E2" w:rsidRDefault="00935DC8" w:rsidP="008F7A15">
      <w:pPr>
        <w:rPr>
          <w:i/>
          <w:iCs/>
          <w:lang w:val="en-GB" w:eastAsia="fr-FR"/>
        </w:rPr>
      </w:pPr>
    </w:p>
    <w:p w14:paraId="08FF0121" w14:textId="77777777" w:rsidR="008F7A15" w:rsidRDefault="008F7A15" w:rsidP="008F7A15">
      <w:pPr>
        <w:rPr>
          <w:lang w:val="en-GB" w:eastAsia="fr-FR"/>
        </w:rPr>
      </w:pPr>
      <w:r w:rsidRPr="008F7A15">
        <w:rPr>
          <w:lang w:val="en-GB" w:eastAsia="fr-FR"/>
        </w:rPr>
        <w:t>In response to the Committee’s recommendation to establish a moratorium on the death penalty in Saudi Arabia, the State insisted that the death penalty “is only imposed for the gravest of crimes in accordance with the Islamic Sharia”.</w:t>
      </w:r>
      <w:r w:rsidR="001401FD">
        <w:rPr>
          <w:rStyle w:val="FootnoteReference"/>
          <w:lang w:val="en-GB" w:eastAsia="fr-FR"/>
        </w:rPr>
        <w:footnoteReference w:id="25"/>
      </w:r>
      <w:r w:rsidRPr="008F7A15">
        <w:rPr>
          <w:lang w:val="en-GB" w:eastAsia="fr-FR"/>
        </w:rPr>
        <w:t xml:space="preserve"> </w:t>
      </w:r>
    </w:p>
    <w:p w14:paraId="78E58DFE" w14:textId="77777777" w:rsidR="00925187" w:rsidRPr="008F7A15" w:rsidRDefault="00925187" w:rsidP="008F7A15">
      <w:pPr>
        <w:rPr>
          <w:lang w:val="en-GB" w:eastAsia="fr-FR"/>
        </w:rPr>
      </w:pPr>
    </w:p>
    <w:p w14:paraId="39DB0550" w14:textId="78BC7AC7" w:rsidR="008F7A15" w:rsidRDefault="008F7A15" w:rsidP="008F7A15">
      <w:pPr>
        <w:rPr>
          <w:lang w:val="en-GB" w:eastAsia="fr-FR"/>
        </w:rPr>
      </w:pPr>
      <w:r w:rsidRPr="008F7A15">
        <w:rPr>
          <w:lang w:val="en-GB" w:eastAsia="fr-FR"/>
        </w:rPr>
        <w:t>However, as demonstrated by a case documented by Alkarama, in which the victim had been sentenced to death and originally arrested for his participation in a demonstration, it appears that the imposition of the death penalty in Saudi Arabia is not restricted to the “gravest of crimes”.</w:t>
      </w:r>
      <w:r w:rsidR="00925187">
        <w:rPr>
          <w:lang w:val="en-GB" w:eastAsia="fr-FR"/>
        </w:rPr>
        <w:t xml:space="preserve"> </w:t>
      </w:r>
      <w:r w:rsidRPr="008F7A15">
        <w:rPr>
          <w:lang w:val="en-GB" w:eastAsia="fr-FR"/>
        </w:rPr>
        <w:t xml:space="preserve">Indeed, </w:t>
      </w:r>
      <w:proofErr w:type="spellStart"/>
      <w:r w:rsidRPr="008F7A15">
        <w:rPr>
          <w:b/>
          <w:bCs/>
          <w:lang w:val="en-GB" w:eastAsia="fr-FR"/>
        </w:rPr>
        <w:t>Mounir</w:t>
      </w:r>
      <w:proofErr w:type="spellEnd"/>
      <w:r w:rsidRPr="008F7A15">
        <w:rPr>
          <w:b/>
          <w:bCs/>
          <w:lang w:val="en-GB" w:eastAsia="fr-FR"/>
        </w:rPr>
        <w:t xml:space="preserve"> </w:t>
      </w:r>
      <w:proofErr w:type="spellStart"/>
      <w:r w:rsidRPr="008F7A15">
        <w:rPr>
          <w:b/>
          <w:bCs/>
          <w:lang w:val="en-GB" w:eastAsia="fr-FR"/>
        </w:rPr>
        <w:t>Aal</w:t>
      </w:r>
      <w:proofErr w:type="spellEnd"/>
      <w:r w:rsidRPr="008F7A15">
        <w:rPr>
          <w:b/>
          <w:bCs/>
          <w:lang w:val="en-GB" w:eastAsia="fr-FR"/>
        </w:rPr>
        <w:t xml:space="preserve"> Adam</w:t>
      </w:r>
      <w:r w:rsidRPr="008F7A15">
        <w:rPr>
          <w:lang w:val="en-GB" w:eastAsia="fr-FR"/>
        </w:rPr>
        <w:t xml:space="preserve"> had been arrested for his “participation in illegal gatherings” and forced under torture to confess his taking part in demonstrations. He was later also charged with “joining a terrorist organisation”.</w:t>
      </w:r>
      <w:r w:rsidR="00A802E2">
        <w:rPr>
          <w:rStyle w:val="FootnoteReference"/>
          <w:lang w:val="en-GB" w:eastAsia="fr-FR"/>
        </w:rPr>
        <w:footnoteReference w:id="26"/>
      </w:r>
      <w:r w:rsidRPr="008F7A15">
        <w:rPr>
          <w:lang w:val="en-GB" w:eastAsia="fr-FR"/>
        </w:rPr>
        <w:t xml:space="preserve"> </w:t>
      </w:r>
    </w:p>
    <w:p w14:paraId="0D2880D5" w14:textId="77777777" w:rsidR="00925187" w:rsidRPr="00E05E10" w:rsidRDefault="00925187" w:rsidP="00925187">
      <w:pPr>
        <w:rPr>
          <w:lang w:val="en-US" w:eastAsia="fr-FR"/>
        </w:rPr>
      </w:pPr>
    </w:p>
    <w:p w14:paraId="65E32E96" w14:textId="0B8477D5" w:rsidR="00925187" w:rsidRDefault="00925187" w:rsidP="00925187">
      <w:pPr>
        <w:rPr>
          <w:lang w:val="en-GB" w:eastAsia="fr-FR"/>
        </w:rPr>
      </w:pPr>
      <w:proofErr w:type="spellStart"/>
      <w:r w:rsidRPr="008F7A15">
        <w:rPr>
          <w:lang w:val="en-GB" w:eastAsia="fr-FR"/>
        </w:rPr>
        <w:t>Mounir</w:t>
      </w:r>
      <w:proofErr w:type="spellEnd"/>
      <w:r w:rsidRPr="008F7A15">
        <w:rPr>
          <w:lang w:val="en-GB" w:eastAsia="fr-FR"/>
        </w:rPr>
        <w:t xml:space="preserve"> </w:t>
      </w:r>
      <w:proofErr w:type="spellStart"/>
      <w:r w:rsidRPr="008F7A15">
        <w:rPr>
          <w:lang w:val="en-GB" w:eastAsia="fr-FR"/>
        </w:rPr>
        <w:t>Aal</w:t>
      </w:r>
      <w:proofErr w:type="spellEnd"/>
      <w:r w:rsidRPr="008F7A15">
        <w:rPr>
          <w:lang w:val="en-GB" w:eastAsia="fr-FR"/>
        </w:rPr>
        <w:t xml:space="preserve"> Adam was not allowed to consult his lawyer before his second hearing; he was furthermore only allowed to contact his family four months after his arrest</w:t>
      </w:r>
      <w:r>
        <w:rPr>
          <w:lang w:val="en-GB" w:eastAsia="fr-FR"/>
        </w:rPr>
        <w:t>,</w:t>
      </w:r>
      <w:r w:rsidRPr="008F7A15">
        <w:rPr>
          <w:lang w:val="en-GB" w:eastAsia="fr-FR"/>
        </w:rPr>
        <w:t xml:space="preserve"> during which time he had been subjected to torture and forced to make confessions. Moreover, despite the fact that his written confession stated that he had “mandated the investigator to write the confession on [his] behalf due to [his] illegible handwriting”; the court ignored the torture allegations he had made and refused to launch an investigation into his claims.</w:t>
      </w:r>
      <w:r>
        <w:rPr>
          <w:lang w:val="en-GB" w:eastAsia="fr-FR"/>
        </w:rPr>
        <w:t xml:space="preserve"> UN Special Rapporteurs described his case as a “typical case of torture and ill-treatment in Saudi Arabia</w:t>
      </w:r>
      <w:r w:rsidR="000F3F84">
        <w:rPr>
          <w:lang w:val="en-GB" w:eastAsia="fr-FR"/>
        </w:rPr>
        <w:t>”</w:t>
      </w:r>
      <w:r>
        <w:rPr>
          <w:lang w:val="en-GB" w:eastAsia="fr-FR"/>
        </w:rPr>
        <w:t>.</w:t>
      </w:r>
      <w:r>
        <w:rPr>
          <w:rStyle w:val="FootnoteReference"/>
          <w:lang w:val="en-GB" w:eastAsia="fr-FR"/>
        </w:rPr>
        <w:footnoteReference w:id="27"/>
      </w:r>
      <w:r w:rsidRPr="008F7A15">
        <w:rPr>
          <w:lang w:val="en-GB" w:eastAsia="fr-FR"/>
        </w:rPr>
        <w:t xml:space="preserve"> On 25 May 2017, the court of appeals upheld </w:t>
      </w:r>
      <w:proofErr w:type="spellStart"/>
      <w:r w:rsidRPr="008F7A15">
        <w:rPr>
          <w:lang w:val="en-GB" w:eastAsia="fr-FR"/>
        </w:rPr>
        <w:t>Aal</w:t>
      </w:r>
      <w:proofErr w:type="spellEnd"/>
      <w:r w:rsidRPr="008F7A15">
        <w:rPr>
          <w:lang w:val="en-GB" w:eastAsia="fr-FR"/>
        </w:rPr>
        <w:t xml:space="preserve"> Adam’s sentence.</w:t>
      </w:r>
    </w:p>
    <w:p w14:paraId="451752DD" w14:textId="77777777" w:rsidR="00925187" w:rsidRPr="00A802E2" w:rsidRDefault="00925187" w:rsidP="00925187">
      <w:pPr>
        <w:rPr>
          <w:lang w:val="en-GB" w:eastAsia="fr-FR"/>
        </w:rPr>
      </w:pPr>
    </w:p>
    <w:p w14:paraId="05F686F0" w14:textId="39B067CE" w:rsidR="00E05E10" w:rsidRDefault="008F7A15" w:rsidP="00925187">
      <w:pPr>
        <w:rPr>
          <w:lang w:val="en-US" w:eastAsia="fr-FR"/>
        </w:rPr>
      </w:pPr>
      <w:r w:rsidRPr="008F7A15">
        <w:rPr>
          <w:lang w:val="en-GB" w:eastAsia="fr-FR"/>
        </w:rPr>
        <w:t>In its follow-up report, Saudi Arabia further mentions the number of legal safeguards applicable in cases in which the death penalty is imposed</w:t>
      </w:r>
      <w:r w:rsidR="00925187">
        <w:rPr>
          <w:lang w:val="en-GB" w:eastAsia="fr-FR"/>
        </w:rPr>
        <w:t>.</w:t>
      </w:r>
      <w:r w:rsidR="00A802E2">
        <w:rPr>
          <w:rStyle w:val="FootnoteReference"/>
          <w:lang w:val="en-GB" w:eastAsia="fr-FR"/>
        </w:rPr>
        <w:footnoteReference w:id="28"/>
      </w:r>
      <w:r w:rsidRPr="008F7A15">
        <w:rPr>
          <w:lang w:val="en-GB" w:eastAsia="fr-FR"/>
        </w:rPr>
        <w:t xml:space="preserve"> However, as illustrated by the case of </w:t>
      </w:r>
      <w:proofErr w:type="spellStart"/>
      <w:r w:rsidRPr="008F7A15">
        <w:rPr>
          <w:lang w:val="en-GB" w:eastAsia="fr-FR"/>
        </w:rPr>
        <w:t>Mounir</w:t>
      </w:r>
      <w:proofErr w:type="spellEnd"/>
      <w:r w:rsidRPr="008F7A15">
        <w:rPr>
          <w:lang w:val="en-GB" w:eastAsia="fr-FR"/>
        </w:rPr>
        <w:t xml:space="preserve"> </w:t>
      </w:r>
      <w:proofErr w:type="spellStart"/>
      <w:r w:rsidRPr="008F7A15">
        <w:rPr>
          <w:lang w:val="en-GB" w:eastAsia="fr-FR"/>
        </w:rPr>
        <w:t>Aal</w:t>
      </w:r>
      <w:proofErr w:type="spellEnd"/>
      <w:r w:rsidRPr="008F7A15">
        <w:rPr>
          <w:lang w:val="en-GB" w:eastAsia="fr-FR"/>
        </w:rPr>
        <w:t xml:space="preserve"> Adam, fair trial standards are not upheld. </w:t>
      </w:r>
      <w:r w:rsidR="00E05E10" w:rsidRPr="00E05E10">
        <w:rPr>
          <w:lang w:val="en-GB" w:eastAsia="fr-FR"/>
        </w:rPr>
        <w:t xml:space="preserve">Following the visit he conducted in May 2017 to Saudi Arabia, the Special Rapporteur on </w:t>
      </w:r>
      <w:r w:rsidR="00925187">
        <w:rPr>
          <w:lang w:val="en-GB" w:eastAsia="fr-FR"/>
        </w:rPr>
        <w:t>c</w:t>
      </w:r>
      <w:r w:rsidR="00E05E10" w:rsidRPr="00E05E10">
        <w:rPr>
          <w:lang w:val="en-GB" w:eastAsia="fr-FR"/>
        </w:rPr>
        <w:t xml:space="preserve">ounter-terrorism and human rights expressed his concern about </w:t>
      </w:r>
      <w:r w:rsidR="00E05E10" w:rsidRPr="00E05E10">
        <w:rPr>
          <w:lang w:val="en-US" w:eastAsia="fr-FR"/>
        </w:rPr>
        <w:t>the reported use of confessions obtained under duress, and the use of the death penalty in proceedings which are said to fal</w:t>
      </w:r>
      <w:r w:rsidR="00925187">
        <w:rPr>
          <w:lang w:val="en-US" w:eastAsia="fr-FR"/>
        </w:rPr>
        <w:t>l short of proper legal process</w:t>
      </w:r>
      <w:r w:rsidR="00E05E10" w:rsidRPr="00E05E10">
        <w:rPr>
          <w:lang w:val="en-US" w:eastAsia="fr-FR"/>
        </w:rPr>
        <w:t>”</w:t>
      </w:r>
      <w:r w:rsidR="00925187">
        <w:rPr>
          <w:lang w:val="en-US" w:eastAsia="fr-FR"/>
        </w:rPr>
        <w:t>.</w:t>
      </w:r>
      <w:r w:rsidR="00E05E10" w:rsidRPr="00E05E10">
        <w:rPr>
          <w:vertAlign w:val="superscript"/>
          <w:lang w:val="en-US" w:eastAsia="fr-FR"/>
        </w:rPr>
        <w:footnoteReference w:id="29"/>
      </w:r>
    </w:p>
    <w:p w14:paraId="241665A7" w14:textId="77777777" w:rsidR="0067211F" w:rsidRPr="001C2048" w:rsidRDefault="0067211F" w:rsidP="00724EA7">
      <w:pPr>
        <w:rPr>
          <w:lang w:val="en-GB"/>
        </w:rPr>
      </w:pPr>
    </w:p>
    <w:sectPr w:rsidR="0067211F" w:rsidRPr="001C2048" w:rsidSect="000A3F6E">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567" w:footer="39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82ED88" w14:textId="77777777" w:rsidR="008D7AE9" w:rsidRDefault="008D7AE9" w:rsidP="00E539D8">
      <w:r>
        <w:separator/>
      </w:r>
    </w:p>
  </w:endnote>
  <w:endnote w:type="continuationSeparator" w:id="0">
    <w:p w14:paraId="53713771" w14:textId="77777777" w:rsidR="008D7AE9" w:rsidRDefault="008D7AE9" w:rsidP="00E53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4F9878" w14:textId="77777777" w:rsidR="00864C1B" w:rsidRDefault="00864C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E193B" w14:textId="77777777" w:rsidR="00363E7D" w:rsidRDefault="00363E7D" w:rsidP="00B876E8">
    <w:pPr>
      <w:pStyle w:val="Footer"/>
      <w:jc w:val="right"/>
    </w:pPr>
    <w:r>
      <w:fldChar w:fldCharType="begin"/>
    </w:r>
    <w:r>
      <w:instrText xml:space="preserve"> PAGE   \* MERGEFORMAT </w:instrText>
    </w:r>
    <w:r>
      <w:fldChar w:fldCharType="separate"/>
    </w:r>
    <w:r w:rsidR="00B04F75">
      <w:rPr>
        <w:noProof/>
      </w:rPr>
      <w:t>6</w:t>
    </w:r>
    <w:r>
      <w:fldChar w:fldCharType="end"/>
    </w:r>
  </w:p>
  <w:p w14:paraId="07AA956C" w14:textId="0A56AF75" w:rsidR="00792A1C" w:rsidRDefault="00792A1C" w:rsidP="00792A1C">
    <w:pPr>
      <w:pStyle w:val="Header"/>
      <w:jc w:val="center"/>
      <w:rPr>
        <w:rFonts w:ascii="Arial" w:hAnsi="Arial" w:cs="Arial"/>
        <w:lang w:val="fr-CH"/>
      </w:rPr>
    </w:pPr>
    <w:r>
      <w:rPr>
        <w:rFonts w:ascii="Arial" w:hAnsi="Arial" w:cs="Arial"/>
        <w:lang w:val="fr-CH"/>
      </w:rPr>
      <w:t xml:space="preserve">Alkarama </w:t>
    </w:r>
    <w:proofErr w:type="spellStart"/>
    <w:r>
      <w:rPr>
        <w:rFonts w:ascii="Arial" w:hAnsi="Arial" w:cs="Arial"/>
        <w:lang w:val="fr-CH"/>
      </w:rPr>
      <w:t>Foundation</w:t>
    </w:r>
    <w:proofErr w:type="spellEnd"/>
    <w:r>
      <w:rPr>
        <w:rFonts w:ascii="Arial" w:hAnsi="Arial" w:cs="Arial"/>
        <w:lang w:val="fr-CH"/>
      </w:rPr>
      <w:t xml:space="preserve"> – 150 route de </w:t>
    </w:r>
    <w:proofErr w:type="spellStart"/>
    <w:r>
      <w:rPr>
        <w:rFonts w:ascii="Arial" w:hAnsi="Arial" w:cs="Arial"/>
        <w:lang w:val="fr-CH"/>
      </w:rPr>
      <w:t>Ferney</w:t>
    </w:r>
    <w:proofErr w:type="spellEnd"/>
    <w:r>
      <w:rPr>
        <w:rFonts w:ascii="Arial" w:hAnsi="Arial" w:cs="Arial"/>
        <w:lang w:val="fr-CH"/>
      </w:rPr>
      <w:t>, C.P. 2100 CH – 1211</w:t>
    </w:r>
    <w:r w:rsidR="00925187">
      <w:rPr>
        <w:rFonts w:ascii="Arial" w:hAnsi="Arial" w:cs="Arial"/>
        <w:lang w:val="fr-CH"/>
      </w:rPr>
      <w:t xml:space="preserve"> </w:t>
    </w:r>
    <w:r>
      <w:rPr>
        <w:rFonts w:ascii="Arial" w:hAnsi="Arial" w:cs="Arial"/>
        <w:lang w:val="fr-CH"/>
      </w:rPr>
      <w:t xml:space="preserve">Genève 2 – </w:t>
    </w:r>
    <w:proofErr w:type="spellStart"/>
    <w:r>
      <w:rPr>
        <w:rFonts w:ascii="Arial" w:hAnsi="Arial" w:cs="Arial"/>
        <w:lang w:val="fr-CH"/>
      </w:rPr>
      <w:t>Switzerland</w:t>
    </w:r>
    <w:proofErr w:type="spellEnd"/>
  </w:p>
  <w:p w14:paraId="3633116C" w14:textId="77777777" w:rsidR="00792A1C" w:rsidRDefault="00792A1C" w:rsidP="00E00C39">
    <w:pPr>
      <w:pStyle w:val="Header"/>
      <w:spacing w:before="20"/>
      <w:jc w:val="center"/>
      <w:rPr>
        <w:rFonts w:ascii="Arial" w:hAnsi="Arial"/>
        <w:lang w:val="fr-CH"/>
      </w:rPr>
    </w:pPr>
    <w:r>
      <w:rPr>
        <w:rFonts w:ascii="Arial Narrow" w:hAnsi="Arial Narrow"/>
        <w:lang w:val="en-US"/>
      </w:rPr>
      <w:sym w:font="Wingdings" w:char="0028"/>
    </w:r>
    <w:r>
      <w:rPr>
        <w:rFonts w:ascii="Arial" w:hAnsi="Arial"/>
        <w:lang w:val="fr-CH"/>
      </w:rPr>
      <w:t xml:space="preserve"> +41 22 734 10 06 – </w:t>
    </w:r>
    <w:r>
      <w:rPr>
        <w:rFonts w:ascii="Arial Narrow" w:hAnsi="Arial Narrow"/>
        <w:lang w:val="en-US"/>
      </w:rPr>
      <w:sym w:font="Wingdings 2" w:char="0037"/>
    </w:r>
    <w:r>
      <w:rPr>
        <w:rFonts w:ascii="Arial" w:hAnsi="Arial"/>
        <w:lang w:val="fr-CH"/>
      </w:rPr>
      <w:t xml:space="preserve"> +41 22 </w:t>
    </w:r>
    <w:r w:rsidR="00E00C39">
      <w:rPr>
        <w:rFonts w:ascii="Arial" w:hAnsi="Arial"/>
        <w:lang w:val="fr-CH"/>
      </w:rPr>
      <w:t>734</w:t>
    </w:r>
    <w:r>
      <w:rPr>
        <w:rFonts w:ascii="Arial" w:hAnsi="Arial"/>
        <w:lang w:val="fr-CH"/>
      </w:rPr>
      <w:t xml:space="preserve"> </w:t>
    </w:r>
    <w:r w:rsidR="00E00C39">
      <w:rPr>
        <w:rFonts w:ascii="Arial" w:hAnsi="Arial"/>
        <w:lang w:val="fr-CH"/>
      </w:rPr>
      <w:t>10</w:t>
    </w:r>
    <w:r>
      <w:rPr>
        <w:rFonts w:ascii="Arial" w:hAnsi="Arial"/>
        <w:lang w:val="fr-CH"/>
      </w:rPr>
      <w:t xml:space="preserve"> </w:t>
    </w:r>
    <w:r w:rsidR="00E00C39">
      <w:rPr>
        <w:rFonts w:ascii="Arial" w:hAnsi="Arial"/>
        <w:lang w:val="fr-CH"/>
      </w:rPr>
      <w:t>34</w:t>
    </w:r>
    <w:r>
      <w:rPr>
        <w:rFonts w:ascii="Arial" w:hAnsi="Arial"/>
        <w:lang w:val="fr-CH"/>
      </w:rPr>
      <w:t xml:space="preserve"> – </w:t>
    </w:r>
    <w:r>
      <w:rPr>
        <w:rFonts w:ascii="Arial" w:hAnsi="Arial"/>
        <w:lang w:val="en-US"/>
      </w:rPr>
      <w:sym w:font="Wingdings" w:char="002A"/>
    </w:r>
    <w:r>
      <w:rPr>
        <w:rFonts w:ascii="Arial" w:hAnsi="Arial"/>
        <w:lang w:val="fr-CH"/>
      </w:rPr>
      <w:t xml:space="preserve"> </w:t>
    </w:r>
    <w:r w:rsidR="00E00C39">
      <w:rPr>
        <w:rFonts w:ascii="Arial" w:hAnsi="Arial"/>
        <w:lang w:val="fr-CH"/>
      </w:rPr>
      <w:t>info</w:t>
    </w:r>
    <w:r>
      <w:rPr>
        <w:rFonts w:ascii="Arial" w:hAnsi="Arial"/>
        <w:lang w:val="fr-CH"/>
      </w:rPr>
      <w:t xml:space="preserve">@alkarama.org – </w:t>
    </w:r>
    <w:r>
      <w:rPr>
        <w:rFonts w:ascii="Arial" w:hAnsi="Arial"/>
        <w:lang w:val="en-US"/>
      </w:rPr>
      <w:sym w:font="Wingdings" w:char="0038"/>
    </w:r>
    <w:r>
      <w:rPr>
        <w:rFonts w:ascii="Arial" w:hAnsi="Arial"/>
        <w:lang w:val="fr-CH"/>
      </w:rPr>
      <w:t xml:space="preserve"> www.alkarama.org</w:t>
    </w:r>
  </w:p>
  <w:p w14:paraId="6030371F" w14:textId="77777777" w:rsidR="00B876E8" w:rsidRPr="00C8157E" w:rsidRDefault="00B876E8" w:rsidP="00B876E8">
    <w:pPr>
      <w:pStyle w:val="Header"/>
      <w:spacing w:before="20"/>
      <w:jc w:val="center"/>
      <w:rPr>
        <w:rFonts w:ascii="Arial" w:hAnsi="Arial"/>
        <w:lang w:val="fr-CH"/>
      </w:rPr>
    </w:pPr>
  </w:p>
  <w:p w14:paraId="34BF86C4" w14:textId="77777777" w:rsidR="00363E7D" w:rsidRPr="00B876E8" w:rsidRDefault="00363E7D">
    <w:pPr>
      <w:pStyle w:val="Footer"/>
      <w:rPr>
        <w:lang w:val="fr-CH"/>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5A149" w14:textId="1ED67482" w:rsidR="00792A1C" w:rsidRDefault="00792A1C" w:rsidP="00792A1C">
    <w:pPr>
      <w:pStyle w:val="Header"/>
      <w:jc w:val="center"/>
      <w:rPr>
        <w:rFonts w:ascii="Arial" w:hAnsi="Arial" w:cs="Arial"/>
        <w:lang w:val="fr-CH"/>
      </w:rPr>
    </w:pPr>
    <w:r>
      <w:rPr>
        <w:rFonts w:ascii="Arial" w:hAnsi="Arial" w:cs="Arial"/>
        <w:lang w:val="fr-CH"/>
      </w:rPr>
      <w:t xml:space="preserve">Alkarama </w:t>
    </w:r>
    <w:proofErr w:type="spellStart"/>
    <w:r>
      <w:rPr>
        <w:rFonts w:ascii="Arial" w:hAnsi="Arial" w:cs="Arial"/>
        <w:lang w:val="fr-CH"/>
      </w:rPr>
      <w:t>Foundation</w:t>
    </w:r>
    <w:proofErr w:type="spellEnd"/>
    <w:r>
      <w:rPr>
        <w:rFonts w:ascii="Arial" w:hAnsi="Arial" w:cs="Arial"/>
        <w:lang w:val="fr-CH"/>
      </w:rPr>
      <w:t xml:space="preserve"> – 150 route de </w:t>
    </w:r>
    <w:proofErr w:type="spellStart"/>
    <w:r>
      <w:rPr>
        <w:rFonts w:ascii="Arial" w:hAnsi="Arial" w:cs="Arial"/>
        <w:lang w:val="fr-CH"/>
      </w:rPr>
      <w:t>Ferney</w:t>
    </w:r>
    <w:proofErr w:type="spellEnd"/>
    <w:r>
      <w:rPr>
        <w:rFonts w:ascii="Arial" w:hAnsi="Arial" w:cs="Arial"/>
        <w:lang w:val="fr-CH"/>
      </w:rPr>
      <w:t>, C.P. 2100 CH – 1211</w:t>
    </w:r>
    <w:r w:rsidR="00925187">
      <w:rPr>
        <w:rFonts w:ascii="Arial" w:hAnsi="Arial" w:cs="Arial"/>
        <w:lang w:val="fr-CH"/>
      </w:rPr>
      <w:t xml:space="preserve"> </w:t>
    </w:r>
    <w:r>
      <w:rPr>
        <w:rFonts w:ascii="Arial" w:hAnsi="Arial" w:cs="Arial"/>
        <w:lang w:val="fr-CH"/>
      </w:rPr>
      <w:t xml:space="preserve">Genève 2 – </w:t>
    </w:r>
    <w:proofErr w:type="spellStart"/>
    <w:r>
      <w:rPr>
        <w:rFonts w:ascii="Arial" w:hAnsi="Arial" w:cs="Arial"/>
        <w:lang w:val="fr-CH"/>
      </w:rPr>
      <w:t>Switzerland</w:t>
    </w:r>
    <w:proofErr w:type="spellEnd"/>
  </w:p>
  <w:p w14:paraId="33794244" w14:textId="77777777" w:rsidR="00792A1C" w:rsidRDefault="00792A1C" w:rsidP="00864C1B">
    <w:pPr>
      <w:pStyle w:val="Header"/>
      <w:spacing w:before="20"/>
      <w:jc w:val="center"/>
      <w:rPr>
        <w:rFonts w:ascii="Arial" w:hAnsi="Arial"/>
        <w:lang w:val="fr-CH"/>
      </w:rPr>
    </w:pPr>
    <w:r>
      <w:rPr>
        <w:rFonts w:ascii="Arial Narrow" w:hAnsi="Arial Narrow"/>
        <w:lang w:val="en-US"/>
      </w:rPr>
      <w:sym w:font="Wingdings" w:char="0028"/>
    </w:r>
    <w:r>
      <w:rPr>
        <w:rFonts w:ascii="Arial" w:hAnsi="Arial"/>
        <w:lang w:val="fr-CH"/>
      </w:rPr>
      <w:t xml:space="preserve"> +41 22 734 10 06 – </w:t>
    </w:r>
    <w:r>
      <w:rPr>
        <w:rFonts w:ascii="Arial Narrow" w:hAnsi="Arial Narrow"/>
        <w:lang w:val="en-US"/>
      </w:rPr>
      <w:sym w:font="Wingdings 2" w:char="0037"/>
    </w:r>
    <w:r>
      <w:rPr>
        <w:rFonts w:ascii="Arial" w:hAnsi="Arial"/>
        <w:lang w:val="fr-CH"/>
      </w:rPr>
      <w:t xml:space="preserve"> +41 22 </w:t>
    </w:r>
    <w:r w:rsidR="00864C1B">
      <w:rPr>
        <w:rFonts w:ascii="Arial" w:hAnsi="Arial"/>
        <w:lang w:val="fr-CH"/>
      </w:rPr>
      <w:t>734</w:t>
    </w:r>
    <w:r>
      <w:rPr>
        <w:rFonts w:ascii="Arial" w:hAnsi="Arial"/>
        <w:lang w:val="fr-CH"/>
      </w:rPr>
      <w:t xml:space="preserve"> </w:t>
    </w:r>
    <w:r w:rsidR="00864C1B">
      <w:rPr>
        <w:rFonts w:ascii="Arial" w:hAnsi="Arial"/>
        <w:lang w:val="fr-CH"/>
      </w:rPr>
      <w:t>10</w:t>
    </w:r>
    <w:r>
      <w:rPr>
        <w:rFonts w:ascii="Arial" w:hAnsi="Arial"/>
        <w:lang w:val="fr-CH"/>
      </w:rPr>
      <w:t xml:space="preserve"> </w:t>
    </w:r>
    <w:r w:rsidR="00864C1B">
      <w:rPr>
        <w:rFonts w:ascii="Arial" w:hAnsi="Arial"/>
        <w:lang w:val="fr-CH"/>
      </w:rPr>
      <w:t>34</w:t>
    </w:r>
    <w:r>
      <w:rPr>
        <w:rFonts w:ascii="Arial" w:hAnsi="Arial"/>
        <w:lang w:val="fr-CH"/>
      </w:rPr>
      <w:t xml:space="preserve"> – </w:t>
    </w:r>
    <w:r>
      <w:rPr>
        <w:rFonts w:ascii="Arial" w:hAnsi="Arial"/>
        <w:lang w:val="en-US"/>
      </w:rPr>
      <w:sym w:font="Wingdings" w:char="002A"/>
    </w:r>
    <w:r>
      <w:rPr>
        <w:rFonts w:ascii="Arial" w:hAnsi="Arial"/>
        <w:lang w:val="fr-CH"/>
      </w:rPr>
      <w:t xml:space="preserve"> </w:t>
    </w:r>
    <w:r w:rsidR="00864C1B">
      <w:rPr>
        <w:rFonts w:ascii="Arial" w:hAnsi="Arial"/>
        <w:lang w:val="fr-CH"/>
      </w:rPr>
      <w:t>info</w:t>
    </w:r>
    <w:r>
      <w:rPr>
        <w:rFonts w:ascii="Arial" w:hAnsi="Arial"/>
        <w:lang w:val="fr-CH"/>
      </w:rPr>
      <w:t xml:space="preserve">@alkarama.org – </w:t>
    </w:r>
    <w:r>
      <w:rPr>
        <w:rFonts w:ascii="Arial" w:hAnsi="Arial"/>
        <w:lang w:val="en-US"/>
      </w:rPr>
      <w:sym w:font="Wingdings" w:char="0038"/>
    </w:r>
    <w:r>
      <w:rPr>
        <w:rFonts w:ascii="Arial" w:hAnsi="Arial"/>
        <w:lang w:val="fr-CH"/>
      </w:rPr>
      <w:t xml:space="preserve"> www.alkarama.org</w:t>
    </w:r>
  </w:p>
  <w:p w14:paraId="4DEFEEE3" w14:textId="77777777" w:rsidR="00363E7D" w:rsidRDefault="00363E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F6A823" w14:textId="77777777" w:rsidR="008D7AE9" w:rsidRDefault="008D7AE9" w:rsidP="00E539D8">
      <w:r>
        <w:separator/>
      </w:r>
    </w:p>
  </w:footnote>
  <w:footnote w:type="continuationSeparator" w:id="0">
    <w:p w14:paraId="0F7AC7F4" w14:textId="77777777" w:rsidR="008D7AE9" w:rsidRDefault="008D7AE9" w:rsidP="00E539D8">
      <w:r>
        <w:continuationSeparator/>
      </w:r>
    </w:p>
  </w:footnote>
  <w:footnote w:id="1">
    <w:p w14:paraId="68D45FB7" w14:textId="4D0EC980" w:rsidR="00935DC8" w:rsidRPr="00A802E2" w:rsidRDefault="00935DC8" w:rsidP="00925187">
      <w:pPr>
        <w:pStyle w:val="FootnoteText"/>
        <w:rPr>
          <w:lang w:val="en-US"/>
        </w:rPr>
      </w:pPr>
      <w:r>
        <w:rPr>
          <w:rStyle w:val="FootnoteReference"/>
        </w:rPr>
        <w:footnoteRef/>
      </w:r>
      <w:r>
        <w:t xml:space="preserve"> </w:t>
      </w:r>
      <w:proofErr w:type="gramStart"/>
      <w:r w:rsidR="00733904">
        <w:rPr>
          <w:lang w:val="en-US"/>
        </w:rPr>
        <w:t>Committee a</w:t>
      </w:r>
      <w:r>
        <w:rPr>
          <w:lang w:val="en-US"/>
        </w:rPr>
        <w:t>gainst Torture, Concluding Observations on the Second Periodic Report of Saudi Arabia</w:t>
      </w:r>
      <w:r w:rsidR="00925187">
        <w:rPr>
          <w:lang w:val="en-US"/>
        </w:rPr>
        <w:t>,</w:t>
      </w:r>
      <w:r>
        <w:rPr>
          <w:lang w:val="en-US"/>
        </w:rPr>
        <w:t xml:space="preserve"> 8 June 2016, </w:t>
      </w:r>
      <w:r w:rsidR="00925187">
        <w:rPr>
          <w:lang w:val="en-US"/>
        </w:rPr>
        <w:t xml:space="preserve">CAT/C/SAU/CO/2, </w:t>
      </w:r>
      <w:r>
        <w:rPr>
          <w:lang w:val="en-US"/>
        </w:rPr>
        <w:t>para.11</w:t>
      </w:r>
      <w:r w:rsidR="00925187">
        <w:rPr>
          <w:lang w:val="en-US"/>
        </w:rPr>
        <w:t>.</w:t>
      </w:r>
      <w:proofErr w:type="gramEnd"/>
      <w:r>
        <w:rPr>
          <w:lang w:val="en-US"/>
        </w:rPr>
        <w:t xml:space="preserve"> </w:t>
      </w:r>
    </w:p>
  </w:footnote>
  <w:footnote w:id="2">
    <w:p w14:paraId="3668CF8A" w14:textId="1A926AD2" w:rsidR="00935DC8" w:rsidRPr="00935DC8" w:rsidRDefault="00935DC8" w:rsidP="00925187">
      <w:pPr>
        <w:pStyle w:val="FootnoteText"/>
      </w:pPr>
      <w:r>
        <w:rPr>
          <w:rStyle w:val="FootnoteReference"/>
        </w:rPr>
        <w:footnoteRef/>
      </w:r>
      <w:r>
        <w:t xml:space="preserve"> </w:t>
      </w:r>
      <w:proofErr w:type="gramStart"/>
      <w:r w:rsidRPr="00935DC8">
        <w:rPr>
          <w:lang w:val="en-GB"/>
        </w:rPr>
        <w:t>Committee against Torture, Follow-up State Party’s Report</w:t>
      </w:r>
      <w:r w:rsidR="00925187">
        <w:rPr>
          <w:lang w:val="en-GB"/>
        </w:rPr>
        <w:t>,</w:t>
      </w:r>
      <w:r w:rsidRPr="00935DC8">
        <w:rPr>
          <w:lang w:val="en-GB"/>
        </w:rPr>
        <w:t xml:space="preserve"> </w:t>
      </w:r>
      <w:r w:rsidR="00925187" w:rsidRPr="00935DC8">
        <w:rPr>
          <w:lang w:val="en-GB"/>
        </w:rPr>
        <w:t xml:space="preserve">13 May 2017, </w:t>
      </w:r>
      <w:r w:rsidR="00925187">
        <w:rPr>
          <w:lang w:val="en-GB"/>
        </w:rPr>
        <w:t>CAT/C/SAU/CO/2/Add.1</w:t>
      </w:r>
      <w:r w:rsidRPr="00935DC8">
        <w:rPr>
          <w:lang w:val="en-GB"/>
        </w:rPr>
        <w:t>, para.</w:t>
      </w:r>
      <w:proofErr w:type="gramEnd"/>
      <w:r>
        <w:rPr>
          <w:lang w:val="en-GB"/>
        </w:rPr>
        <w:t xml:space="preserve"> 2</w:t>
      </w:r>
      <w:r w:rsidR="00925187">
        <w:rPr>
          <w:lang w:val="en-GB"/>
        </w:rPr>
        <w:t>.</w:t>
      </w:r>
    </w:p>
  </w:footnote>
  <w:footnote w:id="3">
    <w:p w14:paraId="6DEEB5B9" w14:textId="77777777" w:rsidR="00935DC8" w:rsidRPr="00A802E2" w:rsidRDefault="00935DC8">
      <w:pPr>
        <w:pStyle w:val="FootnoteText"/>
        <w:rPr>
          <w:lang w:val="en-US"/>
        </w:rPr>
      </w:pPr>
      <w:r>
        <w:rPr>
          <w:rStyle w:val="FootnoteReference"/>
        </w:rPr>
        <w:footnoteRef/>
      </w:r>
      <w:r>
        <w:t xml:space="preserve"> </w:t>
      </w:r>
      <w:r w:rsidRPr="00925187">
        <w:rPr>
          <w:i/>
          <w:iCs/>
          <w:lang w:val="en-US"/>
        </w:rPr>
        <w:t>Ibid</w:t>
      </w:r>
      <w:r>
        <w:rPr>
          <w:lang w:val="en-US"/>
        </w:rPr>
        <w:t>.</w:t>
      </w:r>
    </w:p>
  </w:footnote>
  <w:footnote w:id="4">
    <w:p w14:paraId="73CC8621" w14:textId="77777777" w:rsidR="00925187" w:rsidRPr="00A802E2" w:rsidRDefault="00925187" w:rsidP="00925187">
      <w:pPr>
        <w:pStyle w:val="FootnoteText"/>
        <w:rPr>
          <w:lang w:val="en-US"/>
        </w:rPr>
      </w:pPr>
      <w:r>
        <w:rPr>
          <w:rStyle w:val="FootnoteReference"/>
        </w:rPr>
        <w:footnoteRef/>
      </w:r>
      <w:r>
        <w:t xml:space="preserve"> </w:t>
      </w:r>
      <w:r w:rsidRPr="00925187">
        <w:rPr>
          <w:i/>
          <w:iCs/>
          <w:lang w:val="en-US"/>
        </w:rPr>
        <w:t>Ibid</w:t>
      </w:r>
      <w:r>
        <w:rPr>
          <w:lang w:val="en-US"/>
        </w:rPr>
        <w:t>.</w:t>
      </w:r>
    </w:p>
  </w:footnote>
  <w:footnote w:id="5">
    <w:p w14:paraId="1BD53B09" w14:textId="638934A1" w:rsidR="00482B4E" w:rsidRPr="00482B4E" w:rsidRDefault="00482B4E" w:rsidP="00925187">
      <w:pPr>
        <w:pStyle w:val="FootnoteText"/>
        <w:rPr>
          <w:lang w:val="en-US"/>
        </w:rPr>
      </w:pPr>
      <w:r>
        <w:rPr>
          <w:rStyle w:val="FootnoteReference"/>
        </w:rPr>
        <w:footnoteRef/>
      </w:r>
      <w:r>
        <w:t xml:space="preserve"> </w:t>
      </w:r>
      <w:proofErr w:type="gramStart"/>
      <w:r w:rsidRPr="00482B4E">
        <w:rPr>
          <w:lang w:val="en-GB"/>
        </w:rPr>
        <w:t>General Assembly, Torture and other cruel, inhuman or deg</w:t>
      </w:r>
      <w:r w:rsidR="00925187">
        <w:rPr>
          <w:lang w:val="en-GB"/>
        </w:rPr>
        <w:t>rading treatment or punishment</w:t>
      </w:r>
      <w:r w:rsidRPr="00482B4E">
        <w:rPr>
          <w:lang w:val="en-GB"/>
        </w:rPr>
        <w:t xml:space="preserve">, 30 August 2005, </w:t>
      </w:r>
      <w:r w:rsidR="00925187" w:rsidRPr="00482B4E">
        <w:rPr>
          <w:lang w:val="en-GB"/>
        </w:rPr>
        <w:t>A/60/316</w:t>
      </w:r>
      <w:r w:rsidR="00925187">
        <w:rPr>
          <w:lang w:val="en-GB"/>
        </w:rPr>
        <w:t xml:space="preserve">, </w:t>
      </w:r>
      <w:r w:rsidRPr="00482B4E">
        <w:rPr>
          <w:lang w:val="en-GB"/>
        </w:rPr>
        <w:t>paras.</w:t>
      </w:r>
      <w:proofErr w:type="gramEnd"/>
      <w:r w:rsidRPr="00482B4E">
        <w:rPr>
          <w:lang w:val="en-GB"/>
        </w:rPr>
        <w:t xml:space="preserve"> </w:t>
      </w:r>
      <w:proofErr w:type="gramStart"/>
      <w:r w:rsidRPr="00482B4E">
        <w:rPr>
          <w:lang w:val="en-GB"/>
        </w:rPr>
        <w:t>27, 28.</w:t>
      </w:r>
      <w:proofErr w:type="gramEnd"/>
    </w:p>
  </w:footnote>
  <w:footnote w:id="6">
    <w:p w14:paraId="5E467C58" w14:textId="5F72C652" w:rsidR="00A802E2" w:rsidRPr="00A802E2" w:rsidRDefault="00A802E2" w:rsidP="00925187">
      <w:pPr>
        <w:pStyle w:val="FootnoteText"/>
      </w:pPr>
      <w:r>
        <w:rPr>
          <w:rStyle w:val="FootnoteReference"/>
        </w:rPr>
        <w:footnoteRef/>
      </w:r>
      <w:r>
        <w:t xml:space="preserve"> </w:t>
      </w:r>
      <w:r w:rsidR="00733904">
        <w:rPr>
          <w:lang w:val="en-US"/>
        </w:rPr>
        <w:t>Committee a</w:t>
      </w:r>
      <w:r w:rsidRPr="00A802E2">
        <w:rPr>
          <w:lang w:val="en-US"/>
        </w:rPr>
        <w:t>gainst Torture, Concluding Observations on the Second P</w:t>
      </w:r>
      <w:r w:rsidR="00925187">
        <w:rPr>
          <w:lang w:val="en-US"/>
        </w:rPr>
        <w:t xml:space="preserve">eriodic Report of Saudi </w:t>
      </w:r>
      <w:proofErr w:type="spellStart"/>
      <w:r w:rsidR="00925187">
        <w:rPr>
          <w:lang w:val="en-US"/>
        </w:rPr>
        <w:t>Arabia</w:t>
      </w:r>
      <w:r w:rsidRPr="00A802E2">
        <w:rPr>
          <w:lang w:val="en-US"/>
        </w:rPr>
        <w:t>,</w:t>
      </w:r>
      <w:r w:rsidR="00925187" w:rsidRPr="00A802E2">
        <w:rPr>
          <w:lang w:val="en-US"/>
        </w:rPr>
        <w:t>CAT</w:t>
      </w:r>
      <w:proofErr w:type="spellEnd"/>
      <w:r w:rsidR="00925187" w:rsidRPr="00A802E2">
        <w:rPr>
          <w:lang w:val="en-US"/>
        </w:rPr>
        <w:t>/C/SAU/CO/2</w:t>
      </w:r>
      <w:r w:rsidRPr="00A802E2">
        <w:rPr>
          <w:lang w:val="en-US"/>
        </w:rPr>
        <w:t>8 June 2016, para.1</w:t>
      </w:r>
      <w:r>
        <w:rPr>
          <w:lang w:val="en-US"/>
        </w:rPr>
        <w:t>3</w:t>
      </w:r>
      <w:r w:rsidR="00925187">
        <w:rPr>
          <w:lang w:val="en-US"/>
        </w:rPr>
        <w:t>.</w:t>
      </w:r>
    </w:p>
  </w:footnote>
  <w:footnote w:id="7">
    <w:p w14:paraId="6B5C53D4" w14:textId="25D6A167" w:rsidR="00925187" w:rsidRPr="00482B4E" w:rsidRDefault="00925187" w:rsidP="00925187">
      <w:pPr>
        <w:pStyle w:val="FootnoteText"/>
        <w:rPr>
          <w:lang w:val="en-US"/>
        </w:rPr>
      </w:pPr>
      <w:r>
        <w:rPr>
          <w:rStyle w:val="FootnoteReference"/>
        </w:rPr>
        <w:footnoteRef/>
      </w:r>
      <w:r>
        <w:t xml:space="preserve"> </w:t>
      </w:r>
      <w:proofErr w:type="gramStart"/>
      <w:r w:rsidRPr="00482B4E">
        <w:rPr>
          <w:lang w:val="en-GB"/>
        </w:rPr>
        <w:t xml:space="preserve">Committee against Torture, </w:t>
      </w:r>
      <w:r>
        <w:rPr>
          <w:lang w:val="en-GB"/>
        </w:rPr>
        <w:t>Follow-up State Party’s Report</w:t>
      </w:r>
      <w:r w:rsidRPr="00482B4E">
        <w:rPr>
          <w:lang w:val="en-GB"/>
        </w:rPr>
        <w:t>, 13 May 2017, CAT/C/SAU/CO/2/Add.1</w:t>
      </w:r>
      <w:r>
        <w:rPr>
          <w:lang w:val="en-GB"/>
        </w:rPr>
        <w:t xml:space="preserve">, </w:t>
      </w:r>
      <w:r w:rsidRPr="00482B4E">
        <w:rPr>
          <w:lang w:val="en-GB"/>
        </w:rPr>
        <w:t>para.</w:t>
      </w:r>
      <w:proofErr w:type="gramEnd"/>
      <w:r w:rsidRPr="00482B4E">
        <w:rPr>
          <w:lang w:val="en-GB"/>
        </w:rPr>
        <w:t xml:space="preserve"> 2.</w:t>
      </w:r>
    </w:p>
  </w:footnote>
  <w:footnote w:id="8">
    <w:p w14:paraId="653C07F6" w14:textId="4A794BC8" w:rsidR="00A802E2" w:rsidRPr="00A802E2" w:rsidRDefault="00A802E2" w:rsidP="00925187">
      <w:pPr>
        <w:pStyle w:val="FootnoteText"/>
        <w:rPr>
          <w:lang w:val="en-US"/>
        </w:rPr>
      </w:pPr>
      <w:r>
        <w:rPr>
          <w:rStyle w:val="FootnoteReference"/>
        </w:rPr>
        <w:footnoteRef/>
      </w:r>
      <w:r>
        <w:t xml:space="preserve"> </w:t>
      </w:r>
      <w:proofErr w:type="gramStart"/>
      <w:r w:rsidR="00733904">
        <w:rPr>
          <w:lang w:val="en-US"/>
        </w:rPr>
        <w:t>Committee a</w:t>
      </w:r>
      <w:r w:rsidRPr="00A802E2">
        <w:rPr>
          <w:lang w:val="en-US"/>
        </w:rPr>
        <w:t>gainst Torture, Concluding Observations on the Second Periodic Report of Saudi Arabia</w:t>
      </w:r>
      <w:r w:rsidR="00925187">
        <w:rPr>
          <w:lang w:val="en-US"/>
        </w:rPr>
        <w:t>,</w:t>
      </w:r>
      <w:r w:rsidRPr="00A802E2">
        <w:rPr>
          <w:lang w:val="en-US"/>
        </w:rPr>
        <w:t xml:space="preserve"> </w:t>
      </w:r>
      <w:r>
        <w:rPr>
          <w:lang w:val="en-US"/>
        </w:rPr>
        <w:t xml:space="preserve">8 June 2016, </w:t>
      </w:r>
      <w:r w:rsidR="00925187" w:rsidRPr="00A802E2">
        <w:rPr>
          <w:lang w:val="en-US"/>
        </w:rPr>
        <w:t>CAT/C/SAU/CO/2</w:t>
      </w:r>
      <w:r w:rsidR="00925187">
        <w:rPr>
          <w:lang w:val="en-US"/>
        </w:rPr>
        <w:t xml:space="preserve">, </w:t>
      </w:r>
      <w:r>
        <w:rPr>
          <w:lang w:val="en-US"/>
        </w:rPr>
        <w:t>para.</w:t>
      </w:r>
      <w:proofErr w:type="gramEnd"/>
      <w:r w:rsidR="00925187">
        <w:rPr>
          <w:lang w:val="en-US"/>
        </w:rPr>
        <w:t xml:space="preserve"> </w:t>
      </w:r>
      <w:r>
        <w:rPr>
          <w:lang w:val="en-US"/>
        </w:rPr>
        <w:t>20</w:t>
      </w:r>
      <w:r w:rsidR="00925187">
        <w:rPr>
          <w:lang w:val="en-US"/>
        </w:rPr>
        <w:t>.</w:t>
      </w:r>
    </w:p>
  </w:footnote>
  <w:footnote w:id="9">
    <w:p w14:paraId="4B0A5FF4" w14:textId="77777777" w:rsidR="00527B35" w:rsidRPr="00527B35" w:rsidRDefault="00527B35" w:rsidP="003E70C7">
      <w:pPr>
        <w:pStyle w:val="FootnoteText"/>
      </w:pPr>
      <w:r>
        <w:rPr>
          <w:rStyle w:val="FootnoteReference"/>
        </w:rPr>
        <w:footnoteRef/>
      </w:r>
      <w:r>
        <w:t xml:space="preserve"> </w:t>
      </w:r>
      <w:proofErr w:type="gramStart"/>
      <w:r w:rsidR="003E70C7" w:rsidRPr="00925187">
        <w:rPr>
          <w:i/>
          <w:iCs/>
          <w:lang w:val="en-GB"/>
        </w:rPr>
        <w:t>Ibid</w:t>
      </w:r>
      <w:r w:rsidRPr="00527B35">
        <w:rPr>
          <w:lang w:val="en-GB"/>
        </w:rPr>
        <w:t>, para</w:t>
      </w:r>
      <w:r>
        <w:rPr>
          <w:lang w:val="en-GB"/>
        </w:rPr>
        <w:t>.</w:t>
      </w:r>
      <w:proofErr w:type="gramEnd"/>
      <w:r>
        <w:rPr>
          <w:lang w:val="en-GB"/>
        </w:rPr>
        <w:t xml:space="preserve"> 7.</w:t>
      </w:r>
    </w:p>
  </w:footnote>
  <w:footnote w:id="10">
    <w:p w14:paraId="680FE995" w14:textId="4F04EBDA" w:rsidR="003E70C7" w:rsidRPr="00A802E2" w:rsidRDefault="003E70C7">
      <w:pPr>
        <w:pStyle w:val="FootnoteText"/>
        <w:rPr>
          <w:lang w:val="en-US"/>
        </w:rPr>
      </w:pPr>
      <w:r>
        <w:rPr>
          <w:rStyle w:val="FootnoteReference"/>
        </w:rPr>
        <w:footnoteRef/>
      </w:r>
      <w:r>
        <w:t xml:space="preserve"> </w:t>
      </w:r>
      <w:proofErr w:type="gramStart"/>
      <w:r w:rsidRPr="00925187">
        <w:rPr>
          <w:i/>
          <w:iCs/>
          <w:lang w:val="en-US"/>
        </w:rPr>
        <w:t>Ibid</w:t>
      </w:r>
      <w:r>
        <w:rPr>
          <w:lang w:val="en-US"/>
        </w:rPr>
        <w:t>, para.</w:t>
      </w:r>
      <w:proofErr w:type="gramEnd"/>
      <w:r w:rsidR="00925187">
        <w:rPr>
          <w:lang w:val="en-US"/>
        </w:rPr>
        <w:t xml:space="preserve"> </w:t>
      </w:r>
      <w:r>
        <w:rPr>
          <w:lang w:val="en-US"/>
        </w:rPr>
        <w:t>9</w:t>
      </w:r>
      <w:r w:rsidR="00925187">
        <w:rPr>
          <w:lang w:val="en-US"/>
        </w:rPr>
        <w:t>.</w:t>
      </w:r>
      <w:r>
        <w:rPr>
          <w:lang w:val="en-US"/>
        </w:rPr>
        <w:t xml:space="preserve"> </w:t>
      </w:r>
    </w:p>
  </w:footnote>
  <w:footnote w:id="11">
    <w:p w14:paraId="4580E015" w14:textId="0AD8EADB" w:rsidR="003E70C7" w:rsidRPr="00A802E2" w:rsidRDefault="003E70C7" w:rsidP="003E70C7">
      <w:pPr>
        <w:pStyle w:val="FootnoteText"/>
        <w:rPr>
          <w:lang w:val="en-US"/>
        </w:rPr>
      </w:pPr>
      <w:r>
        <w:rPr>
          <w:rStyle w:val="FootnoteReference"/>
        </w:rPr>
        <w:footnoteRef/>
      </w:r>
      <w:r>
        <w:t xml:space="preserve"> </w:t>
      </w:r>
      <w:r>
        <w:rPr>
          <w:lang w:val="en-US"/>
        </w:rPr>
        <w:t xml:space="preserve">Saudi Arabia, </w:t>
      </w:r>
      <w:r w:rsidRPr="003E70C7">
        <w:rPr>
          <w:lang w:val="en-US"/>
        </w:rPr>
        <w:t>Royal Decree M/8 of the year 1437 (2015) for the Regulation of Civil Associations and Foundations,</w:t>
      </w:r>
      <w:r>
        <w:rPr>
          <w:lang w:val="en-US"/>
        </w:rPr>
        <w:t xml:space="preserve"> article 3</w:t>
      </w:r>
      <w:r w:rsidR="00925187">
        <w:rPr>
          <w:lang w:val="en-US"/>
        </w:rPr>
        <w:t>.</w:t>
      </w:r>
    </w:p>
  </w:footnote>
  <w:footnote w:id="12">
    <w:p w14:paraId="7C214F21" w14:textId="77F2A7B2" w:rsidR="00CB326C" w:rsidRPr="00A802E2" w:rsidRDefault="00CB326C" w:rsidP="00925187">
      <w:pPr>
        <w:pStyle w:val="FootnoteText"/>
        <w:rPr>
          <w:lang w:val="en-US"/>
        </w:rPr>
      </w:pPr>
      <w:r>
        <w:rPr>
          <w:rStyle w:val="FootnoteReference"/>
        </w:rPr>
        <w:footnoteRef/>
      </w:r>
      <w:r>
        <w:t xml:space="preserve"> </w:t>
      </w:r>
      <w:r>
        <w:rPr>
          <w:lang w:val="en-US"/>
        </w:rPr>
        <w:t xml:space="preserve">Alkarama, </w:t>
      </w:r>
      <w:r w:rsidRPr="00925187">
        <w:rPr>
          <w:i/>
          <w:iCs/>
          <w:lang w:val="en-US"/>
        </w:rPr>
        <w:t>Kingdom of Arbitrary Detention, How Saudi Arabia shuts down its most vocal critics</w:t>
      </w:r>
      <w:r>
        <w:rPr>
          <w:lang w:val="en-US"/>
        </w:rPr>
        <w:t xml:space="preserve">, </w:t>
      </w:r>
      <w:r w:rsidR="008F7A15">
        <w:rPr>
          <w:lang w:val="en-US"/>
        </w:rPr>
        <w:t xml:space="preserve">12 October 2016, </w:t>
      </w:r>
      <w:hyperlink r:id="rId1" w:history="1">
        <w:r w:rsidR="008F7A15" w:rsidRPr="005E30F0">
          <w:rPr>
            <w:rStyle w:val="Hyperlink"/>
            <w:lang w:val="en-US"/>
          </w:rPr>
          <w:t>https://www.alkarama.org/en/documents/kingdomofarbitrarydetention-how-saudi-arabia-shuts-down-its-most-vocal-critics</w:t>
        </w:r>
      </w:hyperlink>
      <w:r w:rsidR="008F7A15">
        <w:rPr>
          <w:lang w:val="en-US"/>
        </w:rPr>
        <w:t xml:space="preserve"> </w:t>
      </w:r>
      <w:r w:rsidR="00925187">
        <w:rPr>
          <w:lang w:val="en-US"/>
        </w:rPr>
        <w:t>(accessed on 22 June 2017).</w:t>
      </w:r>
    </w:p>
  </w:footnote>
  <w:footnote w:id="13">
    <w:p w14:paraId="2160CEDE" w14:textId="7D38E0FD" w:rsidR="00925187" w:rsidRPr="002C24B8" w:rsidRDefault="00925187" w:rsidP="00925187">
      <w:pPr>
        <w:pStyle w:val="FootnoteText"/>
      </w:pPr>
      <w:r>
        <w:rPr>
          <w:rStyle w:val="FootnoteReference"/>
        </w:rPr>
        <w:footnoteRef/>
      </w:r>
      <w:r>
        <w:t xml:space="preserve"> </w:t>
      </w:r>
      <w:r w:rsidRPr="002C24B8">
        <w:rPr>
          <w:lang w:val="en-US"/>
        </w:rPr>
        <w:t>Saudi Arabia, Royal Decree M/8 of the year 1437 (2015) for the Regulation of Civil Associations and Foundations, article</w:t>
      </w:r>
      <w:r>
        <w:rPr>
          <w:lang w:val="en-US"/>
        </w:rPr>
        <w:t xml:space="preserve"> 23.</w:t>
      </w:r>
    </w:p>
  </w:footnote>
  <w:footnote w:id="14">
    <w:p w14:paraId="1A15EDEE" w14:textId="0A1C3A3B" w:rsidR="003E70C7" w:rsidRPr="003E70C7" w:rsidRDefault="003E70C7" w:rsidP="002C24B8">
      <w:pPr>
        <w:pStyle w:val="FootnoteText"/>
      </w:pPr>
      <w:r>
        <w:rPr>
          <w:rStyle w:val="FootnoteReference"/>
        </w:rPr>
        <w:footnoteRef/>
      </w:r>
      <w:r>
        <w:t xml:space="preserve"> </w:t>
      </w:r>
      <w:r w:rsidR="002C24B8" w:rsidRPr="00925187">
        <w:rPr>
          <w:i/>
          <w:iCs/>
          <w:lang w:val="en-US"/>
        </w:rPr>
        <w:t>Ibid</w:t>
      </w:r>
      <w:r w:rsidR="002C24B8">
        <w:rPr>
          <w:lang w:val="en-US"/>
        </w:rPr>
        <w:t xml:space="preserve">, article </w:t>
      </w:r>
      <w:r>
        <w:rPr>
          <w:lang w:val="en-US"/>
        </w:rPr>
        <w:t>39</w:t>
      </w:r>
      <w:r w:rsidR="00925187">
        <w:rPr>
          <w:lang w:val="en-US"/>
        </w:rPr>
        <w:t>.</w:t>
      </w:r>
    </w:p>
  </w:footnote>
  <w:footnote w:id="15">
    <w:p w14:paraId="56558CBD" w14:textId="23AE97A6" w:rsidR="002C24B8" w:rsidRPr="00A802E2" w:rsidRDefault="002C24B8" w:rsidP="00925187">
      <w:pPr>
        <w:pStyle w:val="FootnoteText"/>
        <w:rPr>
          <w:lang w:val="en-US"/>
        </w:rPr>
      </w:pPr>
      <w:r>
        <w:rPr>
          <w:rStyle w:val="FootnoteReference"/>
        </w:rPr>
        <w:footnoteRef/>
      </w:r>
      <w:r>
        <w:t xml:space="preserve"> </w:t>
      </w:r>
      <w:r>
        <w:rPr>
          <w:lang w:val="en-US"/>
        </w:rPr>
        <w:t xml:space="preserve">Alkarama, </w:t>
      </w:r>
      <w:r w:rsidRPr="00925187">
        <w:rPr>
          <w:i/>
          <w:iCs/>
          <w:lang w:val="en-US"/>
        </w:rPr>
        <w:t xml:space="preserve">Saudi Arabia: </w:t>
      </w:r>
      <w:proofErr w:type="spellStart"/>
      <w:r w:rsidRPr="00925187">
        <w:rPr>
          <w:i/>
          <w:iCs/>
          <w:lang w:val="en-US"/>
        </w:rPr>
        <w:t>Jaber</w:t>
      </w:r>
      <w:proofErr w:type="spellEnd"/>
      <w:r w:rsidRPr="00925187">
        <w:rPr>
          <w:i/>
          <w:iCs/>
          <w:lang w:val="en-US"/>
        </w:rPr>
        <w:t xml:space="preserve"> Al </w:t>
      </w:r>
      <w:proofErr w:type="spellStart"/>
      <w:r w:rsidRPr="00925187">
        <w:rPr>
          <w:i/>
          <w:iCs/>
          <w:lang w:val="en-US"/>
        </w:rPr>
        <w:t>Amri</w:t>
      </w:r>
      <w:proofErr w:type="spellEnd"/>
      <w:r w:rsidRPr="00925187">
        <w:rPr>
          <w:i/>
          <w:iCs/>
          <w:lang w:val="en-US"/>
        </w:rPr>
        <w:t xml:space="preserve"> sentenced to seven years in prison for posting a </w:t>
      </w:r>
      <w:proofErr w:type="spellStart"/>
      <w:r w:rsidRPr="00925187">
        <w:rPr>
          <w:i/>
          <w:iCs/>
          <w:lang w:val="en-US"/>
        </w:rPr>
        <w:t>youtube</w:t>
      </w:r>
      <w:proofErr w:type="spellEnd"/>
      <w:r w:rsidRPr="00925187">
        <w:rPr>
          <w:i/>
          <w:iCs/>
          <w:lang w:val="en-US"/>
        </w:rPr>
        <w:t xml:space="preserve"> video</w:t>
      </w:r>
      <w:r>
        <w:rPr>
          <w:lang w:val="en-US"/>
        </w:rPr>
        <w:t xml:space="preserve">, 16 February 2017, </w:t>
      </w:r>
      <w:hyperlink r:id="rId2" w:history="1">
        <w:r w:rsidRPr="005E30F0">
          <w:rPr>
            <w:rStyle w:val="Hyperlink"/>
            <w:lang w:val="en-US"/>
          </w:rPr>
          <w:t>https://www.alkarama.org/en/articles/saudi-arabia-jaber-al-amri-sentenced-seven-years-prison-posting-youtube-video</w:t>
        </w:r>
      </w:hyperlink>
      <w:r>
        <w:rPr>
          <w:lang w:val="en-US"/>
        </w:rPr>
        <w:t xml:space="preserve"> </w:t>
      </w:r>
      <w:r w:rsidR="00925187">
        <w:rPr>
          <w:lang w:val="en-US"/>
        </w:rPr>
        <w:t>(accessed on 22 June 2017).</w:t>
      </w:r>
    </w:p>
  </w:footnote>
  <w:footnote w:id="16">
    <w:p w14:paraId="2B05213A" w14:textId="0B557174" w:rsidR="00436B6A" w:rsidRPr="00436B6A" w:rsidRDefault="00436B6A" w:rsidP="00925187">
      <w:pPr>
        <w:pStyle w:val="FootnoteText"/>
      </w:pPr>
      <w:r>
        <w:rPr>
          <w:rStyle w:val="FootnoteReference"/>
        </w:rPr>
        <w:footnoteRef/>
      </w:r>
      <w:r>
        <w:t xml:space="preserve"> </w:t>
      </w:r>
      <w:proofErr w:type="gramStart"/>
      <w:r w:rsidRPr="00436B6A">
        <w:rPr>
          <w:lang w:val="en-GB"/>
        </w:rPr>
        <w:t xml:space="preserve">Committee against Torture, </w:t>
      </w:r>
      <w:r w:rsidR="00925187">
        <w:rPr>
          <w:lang w:val="en-GB"/>
        </w:rPr>
        <w:t>Follow-up State Party’s Report</w:t>
      </w:r>
      <w:r w:rsidRPr="00436B6A">
        <w:rPr>
          <w:lang w:val="en-GB"/>
        </w:rPr>
        <w:t xml:space="preserve">, 13 May 2017, </w:t>
      </w:r>
      <w:r w:rsidR="00925187" w:rsidRPr="00436B6A">
        <w:rPr>
          <w:lang w:val="en-GB"/>
        </w:rPr>
        <w:t>CAT/C/SAU/CO/2/Add.1</w:t>
      </w:r>
      <w:r w:rsidR="00925187">
        <w:rPr>
          <w:lang w:val="en-GB"/>
        </w:rPr>
        <w:t xml:space="preserve">, </w:t>
      </w:r>
      <w:r w:rsidRPr="00436B6A">
        <w:rPr>
          <w:lang w:val="en-GB"/>
        </w:rPr>
        <w:t>para.</w:t>
      </w:r>
      <w:proofErr w:type="gramEnd"/>
      <w:r>
        <w:rPr>
          <w:lang w:val="en-GB"/>
        </w:rPr>
        <w:t xml:space="preserve"> 6</w:t>
      </w:r>
      <w:r w:rsidR="00925187">
        <w:rPr>
          <w:lang w:val="en-GB"/>
        </w:rPr>
        <w:t>.</w:t>
      </w:r>
    </w:p>
  </w:footnote>
  <w:footnote w:id="17">
    <w:p w14:paraId="7ED87D7E" w14:textId="67EE16B3" w:rsidR="00436B6A" w:rsidRPr="00A802E2" w:rsidRDefault="00436B6A">
      <w:pPr>
        <w:pStyle w:val="FootnoteText"/>
        <w:rPr>
          <w:lang w:val="en-US"/>
        </w:rPr>
      </w:pPr>
      <w:r>
        <w:rPr>
          <w:rStyle w:val="FootnoteReference"/>
        </w:rPr>
        <w:footnoteRef/>
      </w:r>
      <w:r>
        <w:t xml:space="preserve"> </w:t>
      </w:r>
      <w:proofErr w:type="gramStart"/>
      <w:r w:rsidRPr="00925187">
        <w:rPr>
          <w:i/>
          <w:iCs/>
          <w:lang w:val="en-US"/>
        </w:rPr>
        <w:t>Ibid</w:t>
      </w:r>
      <w:r>
        <w:rPr>
          <w:lang w:val="en-US"/>
        </w:rPr>
        <w:t xml:space="preserve">, </w:t>
      </w:r>
      <w:r w:rsidRPr="00925187">
        <w:rPr>
          <w:lang w:val="en-US"/>
        </w:rPr>
        <w:t>para</w:t>
      </w:r>
      <w:r>
        <w:rPr>
          <w:lang w:val="en-US"/>
        </w:rPr>
        <w:t>.10</w:t>
      </w:r>
      <w:r w:rsidR="00925187">
        <w:rPr>
          <w:lang w:val="en-US"/>
        </w:rPr>
        <w:t>.</w:t>
      </w:r>
      <w:proofErr w:type="gramEnd"/>
    </w:p>
  </w:footnote>
  <w:footnote w:id="18">
    <w:p w14:paraId="5253394B" w14:textId="77777777" w:rsidR="00CB326C" w:rsidRDefault="00CB326C" w:rsidP="00CB326C">
      <w:pPr>
        <w:pStyle w:val="FootnoteText"/>
      </w:pPr>
      <w:r>
        <w:rPr>
          <w:rStyle w:val="FootnoteReference"/>
        </w:rPr>
        <w:footnoteRef/>
      </w:r>
      <w:r>
        <w:t xml:space="preserve"> </w:t>
      </w:r>
      <w:r>
        <w:t>Human Rights Council, Opinions adopted by the Working Group on Arbitrary Detention, Opinion No. 38/2015 (A/HRC/WGAD/2015), 26 October 2015.</w:t>
      </w:r>
    </w:p>
  </w:footnote>
  <w:footnote w:id="19">
    <w:p w14:paraId="5DC9C916" w14:textId="02D6154E" w:rsidR="00436B6A" w:rsidRPr="00A802E2" w:rsidRDefault="00436B6A" w:rsidP="00925187">
      <w:pPr>
        <w:pStyle w:val="FootnoteText"/>
        <w:rPr>
          <w:lang w:val="en-US"/>
        </w:rPr>
      </w:pPr>
      <w:r>
        <w:rPr>
          <w:rStyle w:val="FootnoteReference"/>
        </w:rPr>
        <w:footnoteRef/>
      </w:r>
      <w:r>
        <w:t xml:space="preserve"> </w:t>
      </w:r>
      <w:r w:rsidR="00A802E2" w:rsidRPr="00A802E2">
        <w:rPr>
          <w:lang w:val="en-US"/>
        </w:rPr>
        <w:t xml:space="preserve">Foundation, </w:t>
      </w:r>
      <w:r w:rsidR="00A802E2" w:rsidRPr="00925187">
        <w:rPr>
          <w:i/>
          <w:iCs/>
          <w:lang w:val="en-US"/>
        </w:rPr>
        <w:t>Kingdom of Arbitrary Detention, How Saudi Arabia shuts down its most vocal critics</w:t>
      </w:r>
      <w:r w:rsidR="00A802E2" w:rsidRPr="00A802E2">
        <w:rPr>
          <w:lang w:val="en-US"/>
        </w:rPr>
        <w:t>, 12 October 2016,</w:t>
      </w:r>
      <w:r w:rsidR="00A802E2">
        <w:rPr>
          <w:lang w:val="en-US"/>
        </w:rPr>
        <w:t xml:space="preserve"> </w:t>
      </w:r>
      <w:hyperlink r:id="rId3" w:history="1">
        <w:r w:rsidR="00A802E2" w:rsidRPr="00A802E2">
          <w:rPr>
            <w:rStyle w:val="Hyperlink"/>
            <w:lang w:val="en-US"/>
          </w:rPr>
          <w:t>https://www.alkarama.org/en/documents/kingdomofarbitrarydetention-how-saudi-arabia-shuts-down-its-most-vocal-critics</w:t>
        </w:r>
      </w:hyperlink>
      <w:r w:rsidR="00925187" w:rsidRPr="00925187">
        <w:rPr>
          <w:lang w:val="en-US"/>
        </w:rPr>
        <w:t xml:space="preserve"> </w:t>
      </w:r>
      <w:r w:rsidR="00925187">
        <w:rPr>
          <w:lang w:val="en-US"/>
        </w:rPr>
        <w:t xml:space="preserve">(accessed on 22 June 2017), </w:t>
      </w:r>
      <w:proofErr w:type="gramStart"/>
      <w:r w:rsidR="00925187">
        <w:rPr>
          <w:lang w:val="en-US"/>
        </w:rPr>
        <w:t>p.17</w:t>
      </w:r>
      <w:proofErr w:type="gramEnd"/>
      <w:r w:rsidR="00925187">
        <w:rPr>
          <w:lang w:val="en-US"/>
        </w:rPr>
        <w:t>.</w:t>
      </w:r>
    </w:p>
  </w:footnote>
  <w:footnote w:id="20">
    <w:p w14:paraId="21343ED7" w14:textId="42F78697" w:rsidR="00436B6A" w:rsidRPr="00A802E2" w:rsidRDefault="00436B6A" w:rsidP="00925187">
      <w:pPr>
        <w:pStyle w:val="FootnoteText"/>
        <w:rPr>
          <w:lang w:val="en-US"/>
        </w:rPr>
      </w:pPr>
      <w:r>
        <w:rPr>
          <w:rStyle w:val="FootnoteReference"/>
        </w:rPr>
        <w:footnoteRef/>
      </w:r>
      <w:r>
        <w:t xml:space="preserve"> </w:t>
      </w:r>
      <w:r>
        <w:rPr>
          <w:lang w:val="en-US"/>
        </w:rPr>
        <w:t xml:space="preserve">Alkarama, </w:t>
      </w:r>
      <w:r w:rsidRPr="00925187">
        <w:rPr>
          <w:i/>
          <w:iCs/>
          <w:lang w:val="en-US"/>
        </w:rPr>
        <w:t>Saudi Arabia: Sentence of prominent human rights defender and ACPRA member Essa Al Hamid increased to eleven years in prison</w:t>
      </w:r>
      <w:r>
        <w:rPr>
          <w:lang w:val="en-US"/>
        </w:rPr>
        <w:t xml:space="preserve">, 2 December 2016, </w:t>
      </w:r>
      <w:hyperlink r:id="rId4" w:history="1">
        <w:r w:rsidRPr="005E30F0">
          <w:rPr>
            <w:rStyle w:val="Hyperlink"/>
            <w:lang w:val="en-US"/>
          </w:rPr>
          <w:t>https://www.alkarama.org/en/articles/saudi-arabia-sentence-prominent-human-rights-defender-and-acpra-member-essa-al-hamid</w:t>
        </w:r>
      </w:hyperlink>
      <w:r>
        <w:rPr>
          <w:lang w:val="en-US"/>
        </w:rPr>
        <w:t xml:space="preserve"> </w:t>
      </w:r>
      <w:r w:rsidR="00925187">
        <w:rPr>
          <w:lang w:val="en-US"/>
        </w:rPr>
        <w:t>(accessed on 22 June 2017).</w:t>
      </w:r>
    </w:p>
  </w:footnote>
  <w:footnote w:id="21">
    <w:p w14:paraId="65DE129B" w14:textId="3E567F42" w:rsidR="00E05E10" w:rsidRPr="00A802E2" w:rsidRDefault="001401FD" w:rsidP="00925187">
      <w:pPr>
        <w:pStyle w:val="FootnoteText"/>
        <w:jc w:val="left"/>
        <w:rPr>
          <w:lang w:val="en-US"/>
        </w:rPr>
      </w:pPr>
      <w:r>
        <w:rPr>
          <w:rStyle w:val="FootnoteReference"/>
        </w:rPr>
        <w:footnoteRef/>
      </w:r>
      <w:r>
        <w:t xml:space="preserve"> </w:t>
      </w:r>
      <w:r>
        <w:rPr>
          <w:lang w:val="en-US"/>
        </w:rPr>
        <w:t xml:space="preserve">Alkarama, </w:t>
      </w:r>
      <w:r w:rsidRPr="00925187">
        <w:rPr>
          <w:i/>
          <w:iCs/>
          <w:lang w:val="en-US"/>
        </w:rPr>
        <w:t xml:space="preserve">Saudi Arabia: Two human </w:t>
      </w:r>
      <w:proofErr w:type="spellStart"/>
      <w:r w:rsidRPr="00925187">
        <w:rPr>
          <w:i/>
          <w:iCs/>
          <w:lang w:val="en-US"/>
        </w:rPr>
        <w:t>righjts</w:t>
      </w:r>
      <w:proofErr w:type="spellEnd"/>
      <w:r w:rsidRPr="00925187">
        <w:rPr>
          <w:i/>
          <w:iCs/>
          <w:lang w:val="en-US"/>
        </w:rPr>
        <w:t xml:space="preserve"> defenders prosecuted before the </w:t>
      </w:r>
      <w:proofErr w:type="spellStart"/>
      <w:r w:rsidRPr="00925187">
        <w:rPr>
          <w:i/>
          <w:iCs/>
          <w:lang w:val="en-US"/>
        </w:rPr>
        <w:t>Specialised</w:t>
      </w:r>
      <w:proofErr w:type="spellEnd"/>
      <w:r w:rsidRPr="00925187">
        <w:rPr>
          <w:i/>
          <w:iCs/>
          <w:lang w:val="en-US"/>
        </w:rPr>
        <w:t xml:space="preserve"> Cr</w:t>
      </w:r>
      <w:r w:rsidR="00733904" w:rsidRPr="00925187">
        <w:rPr>
          <w:i/>
          <w:iCs/>
          <w:lang w:val="en-US"/>
        </w:rPr>
        <w:t>iminal Court</w:t>
      </w:r>
      <w:r w:rsidR="00733904">
        <w:rPr>
          <w:lang w:val="en-US"/>
        </w:rPr>
        <w:t xml:space="preserve">, 21 November 2016, </w:t>
      </w:r>
      <w:hyperlink r:id="rId5" w:history="1">
        <w:r w:rsidR="00A17DFC" w:rsidRPr="005E30F0">
          <w:rPr>
            <w:rStyle w:val="Hyperlink"/>
            <w:lang w:val="en-US"/>
          </w:rPr>
          <w:t>https://www.alkarama.org/en/articles/saudi-arabia-two-human-rights-defenders-prosecuted-specialised-criminal-court</w:t>
        </w:r>
      </w:hyperlink>
      <w:r w:rsidR="00A17DFC">
        <w:rPr>
          <w:lang w:val="en-US"/>
        </w:rPr>
        <w:t xml:space="preserve"> </w:t>
      </w:r>
      <w:r w:rsidR="00925187">
        <w:rPr>
          <w:lang w:val="en-US"/>
        </w:rPr>
        <w:t>(accessed on 22 June 2017).</w:t>
      </w:r>
    </w:p>
  </w:footnote>
  <w:footnote w:id="22">
    <w:p w14:paraId="0CC4DFEC" w14:textId="4DD0F093" w:rsidR="00436B6A" w:rsidRPr="00A802E2" w:rsidRDefault="00436B6A" w:rsidP="00925187">
      <w:pPr>
        <w:pStyle w:val="FootnoteText"/>
        <w:rPr>
          <w:lang w:val="en-US"/>
        </w:rPr>
      </w:pPr>
      <w:r>
        <w:rPr>
          <w:rStyle w:val="FootnoteReference"/>
        </w:rPr>
        <w:footnoteRef/>
      </w:r>
      <w:r>
        <w:t xml:space="preserve"> </w:t>
      </w:r>
      <w:r>
        <w:rPr>
          <w:lang w:val="en-US"/>
        </w:rPr>
        <w:t xml:space="preserve">Alkarama, </w:t>
      </w:r>
      <w:r w:rsidRPr="00925187">
        <w:rPr>
          <w:i/>
          <w:iCs/>
          <w:lang w:val="en-US"/>
        </w:rPr>
        <w:t xml:space="preserve">Saudi Arabia: Prominent human rights defender </w:t>
      </w:r>
      <w:proofErr w:type="spellStart"/>
      <w:r w:rsidRPr="00925187">
        <w:rPr>
          <w:i/>
          <w:iCs/>
          <w:lang w:val="en-US"/>
        </w:rPr>
        <w:t>Issa</w:t>
      </w:r>
      <w:proofErr w:type="spellEnd"/>
      <w:r w:rsidRPr="00925187">
        <w:rPr>
          <w:i/>
          <w:iCs/>
          <w:lang w:val="en-US"/>
        </w:rPr>
        <w:t xml:space="preserve"> Al </w:t>
      </w:r>
      <w:proofErr w:type="spellStart"/>
      <w:r w:rsidRPr="00925187">
        <w:rPr>
          <w:i/>
          <w:iCs/>
          <w:lang w:val="en-US"/>
        </w:rPr>
        <w:t>Nukheifi</w:t>
      </w:r>
      <w:proofErr w:type="spellEnd"/>
      <w:r w:rsidRPr="00925187">
        <w:rPr>
          <w:i/>
          <w:iCs/>
          <w:lang w:val="en-US"/>
        </w:rPr>
        <w:t xml:space="preserve"> arrested again</w:t>
      </w:r>
      <w:r>
        <w:rPr>
          <w:lang w:val="en-US"/>
        </w:rPr>
        <w:t xml:space="preserve">, 18 January 2017, </w:t>
      </w:r>
      <w:hyperlink r:id="rId6" w:history="1">
        <w:r w:rsidRPr="005E30F0">
          <w:rPr>
            <w:rStyle w:val="Hyperlink"/>
            <w:lang w:val="en-US"/>
          </w:rPr>
          <w:t>https://www.alkarama.org/en/articles/saudi-arabia-prominent-human-rights-defender-issa-al-nukheifi-arrested-again</w:t>
        </w:r>
      </w:hyperlink>
      <w:r>
        <w:rPr>
          <w:lang w:val="en-US"/>
        </w:rPr>
        <w:t xml:space="preserve"> </w:t>
      </w:r>
      <w:r w:rsidR="00925187">
        <w:rPr>
          <w:lang w:val="en-US"/>
        </w:rPr>
        <w:t>(accessed on 22 June 2017).</w:t>
      </w:r>
    </w:p>
  </w:footnote>
  <w:footnote w:id="23">
    <w:p w14:paraId="77CF1FE5" w14:textId="63AA0999" w:rsidR="001401FD" w:rsidRPr="00A802E2" w:rsidRDefault="001401FD" w:rsidP="00925187">
      <w:pPr>
        <w:pStyle w:val="FootnoteText"/>
        <w:rPr>
          <w:lang w:val="en-US"/>
        </w:rPr>
      </w:pPr>
      <w:r>
        <w:rPr>
          <w:rStyle w:val="FootnoteReference"/>
        </w:rPr>
        <w:footnoteRef/>
      </w:r>
      <w:r>
        <w:t xml:space="preserve"> </w:t>
      </w:r>
      <w:r>
        <w:rPr>
          <w:lang w:val="en-US"/>
        </w:rPr>
        <w:t xml:space="preserve">Alkarama, </w:t>
      </w:r>
      <w:r w:rsidRPr="00925187">
        <w:rPr>
          <w:i/>
          <w:iCs/>
          <w:lang w:val="en-US"/>
        </w:rPr>
        <w:t xml:space="preserve">Saudi Arabia: Authorities refuse to release Khaled Al </w:t>
      </w:r>
      <w:proofErr w:type="spellStart"/>
      <w:r w:rsidRPr="00925187">
        <w:rPr>
          <w:i/>
          <w:iCs/>
          <w:lang w:val="en-US"/>
        </w:rPr>
        <w:t>Omeir</w:t>
      </w:r>
      <w:proofErr w:type="spellEnd"/>
      <w:r w:rsidRPr="00925187">
        <w:rPr>
          <w:i/>
          <w:iCs/>
          <w:lang w:val="en-US"/>
        </w:rPr>
        <w:t xml:space="preserve"> after he served his full sentence</w:t>
      </w:r>
      <w:r>
        <w:rPr>
          <w:lang w:val="en-US"/>
        </w:rPr>
        <w:t xml:space="preserve">, 18 October 2016, </w:t>
      </w:r>
      <w:hyperlink r:id="rId7" w:history="1">
        <w:r w:rsidR="00A17DFC" w:rsidRPr="005E30F0">
          <w:rPr>
            <w:rStyle w:val="Hyperlink"/>
            <w:lang w:val="en-US"/>
          </w:rPr>
          <w:t>https://www.alkarama.org/en/articles/saudi-arabia-authorities-refuse-release-khaled-al-omeir-after-he-served-his-full-sentence</w:t>
        </w:r>
      </w:hyperlink>
      <w:r w:rsidR="00A17DFC">
        <w:rPr>
          <w:lang w:val="en-US"/>
        </w:rPr>
        <w:t xml:space="preserve"> </w:t>
      </w:r>
    </w:p>
  </w:footnote>
  <w:footnote w:id="24">
    <w:p w14:paraId="6007991D" w14:textId="0769977F" w:rsidR="00A802E2" w:rsidRPr="00A802E2" w:rsidRDefault="00A802E2" w:rsidP="00925187">
      <w:pPr>
        <w:pStyle w:val="FootnoteText"/>
      </w:pPr>
      <w:r>
        <w:rPr>
          <w:rStyle w:val="FootnoteReference"/>
        </w:rPr>
        <w:footnoteRef/>
      </w:r>
      <w:r>
        <w:t xml:space="preserve"> </w:t>
      </w:r>
      <w:proofErr w:type="gramStart"/>
      <w:r w:rsidR="00733904">
        <w:rPr>
          <w:lang w:val="en-US"/>
        </w:rPr>
        <w:t>Committee a</w:t>
      </w:r>
      <w:r w:rsidRPr="00A802E2">
        <w:rPr>
          <w:lang w:val="en-US"/>
        </w:rPr>
        <w:t>gainst Torture, Concluding Observations on the Second P</w:t>
      </w:r>
      <w:r w:rsidR="00925187">
        <w:rPr>
          <w:lang w:val="en-US"/>
        </w:rPr>
        <w:t>eriodic Report of Saudi Arabia</w:t>
      </w:r>
      <w:r w:rsidRPr="00A802E2">
        <w:rPr>
          <w:lang w:val="en-US"/>
        </w:rPr>
        <w:t xml:space="preserve">, 8 June 2016, </w:t>
      </w:r>
      <w:r w:rsidR="00925187" w:rsidRPr="00A802E2">
        <w:rPr>
          <w:lang w:val="en-US"/>
        </w:rPr>
        <w:t>CAT/C/SAU/CO/2</w:t>
      </w:r>
      <w:r w:rsidR="00925187">
        <w:rPr>
          <w:lang w:val="en-US"/>
        </w:rPr>
        <w:t xml:space="preserve">, </w:t>
      </w:r>
      <w:r w:rsidRPr="00A802E2">
        <w:rPr>
          <w:lang w:val="en-US"/>
        </w:rPr>
        <w:t>para.</w:t>
      </w:r>
      <w:proofErr w:type="gramEnd"/>
      <w:r w:rsidR="00925187">
        <w:rPr>
          <w:lang w:val="en-US"/>
        </w:rPr>
        <w:t xml:space="preserve"> </w:t>
      </w:r>
      <w:r>
        <w:rPr>
          <w:lang w:val="en-US"/>
        </w:rPr>
        <w:t>43</w:t>
      </w:r>
      <w:r w:rsidR="00925187">
        <w:rPr>
          <w:lang w:val="en-US"/>
        </w:rPr>
        <w:t>.</w:t>
      </w:r>
    </w:p>
  </w:footnote>
  <w:footnote w:id="25">
    <w:p w14:paraId="1E89D05E" w14:textId="661698E6" w:rsidR="001401FD" w:rsidRPr="00A802E2" w:rsidRDefault="001401FD" w:rsidP="000F3F84">
      <w:pPr>
        <w:pStyle w:val="FootnoteText"/>
        <w:rPr>
          <w:lang w:val="en-US"/>
        </w:rPr>
      </w:pPr>
      <w:r>
        <w:rPr>
          <w:rStyle w:val="FootnoteReference"/>
        </w:rPr>
        <w:footnoteRef/>
      </w:r>
      <w:r>
        <w:t xml:space="preserve"> </w:t>
      </w:r>
      <w:proofErr w:type="gramStart"/>
      <w:r w:rsidR="00A802E2" w:rsidRPr="00A802E2">
        <w:rPr>
          <w:lang w:val="en-GB"/>
        </w:rPr>
        <w:t xml:space="preserve">Committee against Torture, </w:t>
      </w:r>
      <w:r w:rsidR="000F3F84">
        <w:rPr>
          <w:lang w:val="en-GB"/>
        </w:rPr>
        <w:t>Follow-up State Party’s Report</w:t>
      </w:r>
      <w:r w:rsidR="00A802E2" w:rsidRPr="00A802E2">
        <w:rPr>
          <w:lang w:val="en-GB"/>
        </w:rPr>
        <w:t xml:space="preserve">, 13 May 2017, </w:t>
      </w:r>
      <w:r w:rsidR="000F3F84" w:rsidRPr="00A802E2">
        <w:rPr>
          <w:lang w:val="en-GB"/>
        </w:rPr>
        <w:t>CAT/C/SAU/CO/2/Add.1</w:t>
      </w:r>
      <w:r w:rsidR="000F3F84">
        <w:rPr>
          <w:lang w:val="en-GB"/>
        </w:rPr>
        <w:t xml:space="preserve">, </w:t>
      </w:r>
      <w:r w:rsidR="00A802E2" w:rsidRPr="00A802E2">
        <w:rPr>
          <w:lang w:val="en-GB"/>
        </w:rPr>
        <w:t>para.</w:t>
      </w:r>
      <w:proofErr w:type="gramEnd"/>
      <w:r w:rsidR="00A802E2">
        <w:rPr>
          <w:lang w:val="en-GB"/>
        </w:rPr>
        <w:t xml:space="preserve"> 13</w:t>
      </w:r>
      <w:r w:rsidR="000F3F84">
        <w:rPr>
          <w:lang w:val="en-GB"/>
        </w:rPr>
        <w:t>.</w:t>
      </w:r>
    </w:p>
  </w:footnote>
  <w:footnote w:id="26">
    <w:p w14:paraId="280B7008" w14:textId="48AC144A" w:rsidR="00A802E2" w:rsidRPr="00A802E2" w:rsidRDefault="00A802E2" w:rsidP="000F3F84">
      <w:pPr>
        <w:pStyle w:val="FootnoteText"/>
        <w:rPr>
          <w:lang w:val="en-US"/>
        </w:rPr>
      </w:pPr>
      <w:r>
        <w:rPr>
          <w:rStyle w:val="FootnoteReference"/>
        </w:rPr>
        <w:footnoteRef/>
      </w:r>
      <w:r>
        <w:t xml:space="preserve"> </w:t>
      </w:r>
      <w:r>
        <w:rPr>
          <w:lang w:val="en-US"/>
        </w:rPr>
        <w:t xml:space="preserve">Alkarama, </w:t>
      </w:r>
      <w:r w:rsidRPr="000F3F84">
        <w:rPr>
          <w:i/>
          <w:iCs/>
          <w:lang w:val="en-US"/>
        </w:rPr>
        <w:t xml:space="preserve">Saudi Arabia: </w:t>
      </w:r>
      <w:proofErr w:type="spellStart"/>
      <w:r w:rsidRPr="000F3F84">
        <w:rPr>
          <w:i/>
          <w:iCs/>
          <w:lang w:val="en-US"/>
        </w:rPr>
        <w:t>Specialised</w:t>
      </w:r>
      <w:proofErr w:type="spellEnd"/>
      <w:r w:rsidRPr="000F3F84">
        <w:rPr>
          <w:i/>
          <w:iCs/>
          <w:lang w:val="en-US"/>
        </w:rPr>
        <w:t xml:space="preserve"> Criminal Court sentences man to death after severely flawed trial</w:t>
      </w:r>
      <w:r>
        <w:rPr>
          <w:lang w:val="en-US"/>
        </w:rPr>
        <w:t xml:space="preserve">, 17 August 2016, </w:t>
      </w:r>
      <w:hyperlink r:id="rId8" w:history="1">
        <w:r w:rsidRPr="005E30F0">
          <w:rPr>
            <w:rStyle w:val="Hyperlink"/>
            <w:lang w:val="en-US"/>
          </w:rPr>
          <w:t>https://www.alkarama.org/en/articles/saudi-arabia-specialised-criminal-court-sentences-man-death-after-severely-flawed-trial</w:t>
        </w:r>
      </w:hyperlink>
      <w:r>
        <w:rPr>
          <w:lang w:val="en-US"/>
        </w:rPr>
        <w:t xml:space="preserve"> </w:t>
      </w:r>
      <w:r w:rsidR="000F3F84">
        <w:rPr>
          <w:lang w:val="en-GB"/>
        </w:rPr>
        <w:t>(accessed on 22 June 2017).</w:t>
      </w:r>
    </w:p>
  </w:footnote>
  <w:footnote w:id="27">
    <w:p w14:paraId="577F2E12" w14:textId="34FCA3B8" w:rsidR="00925187" w:rsidRPr="008B2F68" w:rsidRDefault="00925187" w:rsidP="000F3F84">
      <w:pPr>
        <w:pStyle w:val="FootnoteText"/>
        <w:rPr>
          <w:lang w:val="en-US"/>
        </w:rPr>
      </w:pPr>
      <w:r>
        <w:rPr>
          <w:rStyle w:val="FootnoteReference"/>
        </w:rPr>
        <w:footnoteRef/>
      </w:r>
      <w:r>
        <w:t xml:space="preserve"> </w:t>
      </w:r>
      <w:proofErr w:type="gramStart"/>
      <w:r w:rsidR="000F3F84">
        <w:rPr>
          <w:lang w:val="en-US"/>
        </w:rPr>
        <w:t>Mandates o</w:t>
      </w:r>
      <w:r>
        <w:rPr>
          <w:lang w:val="en-US"/>
        </w:rPr>
        <w:t xml:space="preserve">f the </w:t>
      </w:r>
      <w:r w:rsidR="000F3F84">
        <w:rPr>
          <w:lang w:val="en-US"/>
        </w:rPr>
        <w:t>Special R</w:t>
      </w:r>
      <w:r>
        <w:rPr>
          <w:lang w:val="en-US"/>
        </w:rPr>
        <w:t>apporteur on extrajudicial, summary or arbitrary executions, et al.</w:t>
      </w:r>
      <w:r w:rsidR="000F3F84">
        <w:rPr>
          <w:lang w:val="en-US"/>
        </w:rPr>
        <w:t>,</w:t>
      </w:r>
      <w:r>
        <w:rPr>
          <w:lang w:val="en-US"/>
        </w:rPr>
        <w:t xml:space="preserve"> </w:t>
      </w:r>
      <w:r w:rsidR="000F3F84">
        <w:rPr>
          <w:lang w:val="en-US"/>
        </w:rPr>
        <w:t>Case</w:t>
      </w:r>
      <w:r>
        <w:rPr>
          <w:lang w:val="en-US"/>
        </w:rPr>
        <w:t xml:space="preserve"> SAU 5/2016, 31 August 2016</w:t>
      </w:r>
      <w:r w:rsidR="000F3F84">
        <w:rPr>
          <w:lang w:val="en-US"/>
        </w:rPr>
        <w:t>.</w:t>
      </w:r>
      <w:proofErr w:type="gramEnd"/>
      <w:r>
        <w:rPr>
          <w:lang w:val="en-US"/>
        </w:rPr>
        <w:t xml:space="preserve"> </w:t>
      </w:r>
    </w:p>
  </w:footnote>
  <w:footnote w:id="28">
    <w:p w14:paraId="59D59A21" w14:textId="08024855" w:rsidR="00A802E2" w:rsidRPr="00A802E2" w:rsidRDefault="00A802E2" w:rsidP="000F3F84">
      <w:pPr>
        <w:pStyle w:val="FootnoteText"/>
        <w:rPr>
          <w:lang w:val="en-US"/>
        </w:rPr>
      </w:pPr>
      <w:r>
        <w:rPr>
          <w:rStyle w:val="FootnoteReference"/>
        </w:rPr>
        <w:footnoteRef/>
      </w:r>
      <w:r>
        <w:t xml:space="preserve"> </w:t>
      </w:r>
      <w:proofErr w:type="gramStart"/>
      <w:r w:rsidRPr="00A802E2">
        <w:rPr>
          <w:lang w:val="en-GB"/>
        </w:rPr>
        <w:t xml:space="preserve">Committee against Torture, </w:t>
      </w:r>
      <w:r w:rsidR="000F3F84">
        <w:rPr>
          <w:lang w:val="en-GB"/>
        </w:rPr>
        <w:t>Follow-up State Party’s Report</w:t>
      </w:r>
      <w:r w:rsidRPr="00A802E2">
        <w:rPr>
          <w:lang w:val="en-GB"/>
        </w:rPr>
        <w:t xml:space="preserve">, 13 May 2017, </w:t>
      </w:r>
      <w:r w:rsidR="000F3F84" w:rsidRPr="00A802E2">
        <w:rPr>
          <w:lang w:val="en-GB"/>
        </w:rPr>
        <w:t>CAT/C/SAU/CO/2/Add.1</w:t>
      </w:r>
      <w:r w:rsidR="000F3F84">
        <w:rPr>
          <w:lang w:val="en-GB"/>
        </w:rPr>
        <w:t xml:space="preserve">, </w:t>
      </w:r>
      <w:r w:rsidRPr="00A802E2">
        <w:rPr>
          <w:lang w:val="en-GB"/>
        </w:rPr>
        <w:t>para.</w:t>
      </w:r>
      <w:proofErr w:type="gramEnd"/>
      <w:r w:rsidRPr="00A802E2">
        <w:rPr>
          <w:lang w:val="en-GB"/>
        </w:rPr>
        <w:t xml:space="preserve"> 1</w:t>
      </w:r>
      <w:r w:rsidR="000F3F84">
        <w:rPr>
          <w:lang w:val="en-GB"/>
        </w:rPr>
        <w:t>.</w:t>
      </w:r>
      <w:r w:rsidRPr="00A802E2">
        <w:rPr>
          <w:lang w:val="en-GB"/>
        </w:rPr>
        <w:t>3</w:t>
      </w:r>
    </w:p>
  </w:footnote>
  <w:footnote w:id="29">
    <w:p w14:paraId="5DA34CD3" w14:textId="5A9DA59E" w:rsidR="00E05E10" w:rsidRPr="00315142" w:rsidRDefault="00E05E10" w:rsidP="00E05E10">
      <w:pPr>
        <w:pStyle w:val="FootnoteText"/>
        <w:rPr>
          <w:lang w:val="en-US"/>
        </w:rPr>
      </w:pPr>
      <w:r>
        <w:rPr>
          <w:rStyle w:val="FootnoteReference"/>
        </w:rPr>
        <w:footnoteRef/>
      </w:r>
      <w:r>
        <w:t xml:space="preserve"> </w:t>
      </w:r>
      <w:r>
        <w:rPr>
          <w:lang w:val="en-US"/>
        </w:rPr>
        <w:t xml:space="preserve">UN OHCHR, </w:t>
      </w:r>
      <w:r w:rsidRPr="000F3F84">
        <w:rPr>
          <w:i/>
          <w:iCs/>
          <w:lang w:val="en-US"/>
        </w:rPr>
        <w:t>Saudi Arabia must reform counter-terror law and free peaceful critics, says UN rights expert</w:t>
      </w:r>
      <w:r>
        <w:rPr>
          <w:lang w:val="en-US"/>
        </w:rPr>
        <w:t xml:space="preserve">, 5 May 2017, </w:t>
      </w:r>
      <w:hyperlink r:id="rId9" w:history="1">
        <w:r w:rsidRPr="005E30F0">
          <w:rPr>
            <w:rStyle w:val="Hyperlink"/>
            <w:lang w:val="en-US"/>
          </w:rPr>
          <w:t>http://www.ohchr.org/EN/NewsEvents/Pages/DisplayNews.aspx?NewsID=21585&amp;LangID=E</w:t>
        </w:r>
      </w:hyperlink>
      <w:r>
        <w:rPr>
          <w:lang w:val="en-US"/>
        </w:rPr>
        <w:t xml:space="preserve"> </w:t>
      </w:r>
      <w:r w:rsidR="000F3F84">
        <w:rPr>
          <w:lang w:val="en-US"/>
        </w:rPr>
        <w:t>(accessed on 22 June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99AC30" w14:textId="77777777" w:rsidR="00864C1B" w:rsidRDefault="00864C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CE6CB1" w14:textId="77777777" w:rsidR="00363E7D" w:rsidRDefault="00363E7D">
    <w:pPr>
      <w:pStyle w:val="Header"/>
      <w:jc w:val="right"/>
    </w:pPr>
  </w:p>
  <w:p w14:paraId="532CB803" w14:textId="77777777" w:rsidR="00363E7D" w:rsidRPr="006F2A9F" w:rsidRDefault="00363E7D" w:rsidP="00B03317">
    <w:pPr>
      <w:pStyle w:val="Header"/>
      <w:jc w:val="cent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284D0" w14:textId="77777777" w:rsidR="00864C1B" w:rsidRDefault="00864C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142E3D6"/>
    <w:lvl w:ilvl="0">
      <w:start w:val="1"/>
      <w:numFmt w:val="decimal"/>
      <w:lvlText w:val="%1."/>
      <w:lvlJc w:val="left"/>
      <w:pPr>
        <w:tabs>
          <w:tab w:val="num" w:pos="1492"/>
        </w:tabs>
        <w:ind w:left="1492" w:hanging="360"/>
      </w:pPr>
    </w:lvl>
  </w:abstractNum>
  <w:abstractNum w:abstractNumId="1">
    <w:nsid w:val="FFFFFF7D"/>
    <w:multiLevelType w:val="singleLevel"/>
    <w:tmpl w:val="E6C222E6"/>
    <w:lvl w:ilvl="0">
      <w:start w:val="1"/>
      <w:numFmt w:val="decimal"/>
      <w:lvlText w:val="%1."/>
      <w:lvlJc w:val="left"/>
      <w:pPr>
        <w:tabs>
          <w:tab w:val="num" w:pos="1209"/>
        </w:tabs>
        <w:ind w:left="1209" w:hanging="360"/>
      </w:pPr>
    </w:lvl>
  </w:abstractNum>
  <w:abstractNum w:abstractNumId="2">
    <w:nsid w:val="FFFFFF7E"/>
    <w:multiLevelType w:val="singleLevel"/>
    <w:tmpl w:val="662AED86"/>
    <w:lvl w:ilvl="0">
      <w:start w:val="1"/>
      <w:numFmt w:val="decimal"/>
      <w:lvlText w:val="%1."/>
      <w:lvlJc w:val="left"/>
      <w:pPr>
        <w:tabs>
          <w:tab w:val="num" w:pos="926"/>
        </w:tabs>
        <w:ind w:left="926" w:hanging="360"/>
      </w:pPr>
    </w:lvl>
  </w:abstractNum>
  <w:abstractNum w:abstractNumId="3">
    <w:nsid w:val="FFFFFF7F"/>
    <w:multiLevelType w:val="singleLevel"/>
    <w:tmpl w:val="1430F346"/>
    <w:lvl w:ilvl="0">
      <w:start w:val="1"/>
      <w:numFmt w:val="decimal"/>
      <w:lvlText w:val="%1."/>
      <w:lvlJc w:val="left"/>
      <w:pPr>
        <w:tabs>
          <w:tab w:val="num" w:pos="643"/>
        </w:tabs>
        <w:ind w:left="643" w:hanging="360"/>
      </w:pPr>
    </w:lvl>
  </w:abstractNum>
  <w:abstractNum w:abstractNumId="4">
    <w:nsid w:val="FFFFFF80"/>
    <w:multiLevelType w:val="singleLevel"/>
    <w:tmpl w:val="3FA297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CFC44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6AC7D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AE47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7C8A53A"/>
    <w:lvl w:ilvl="0">
      <w:start w:val="1"/>
      <w:numFmt w:val="decimal"/>
      <w:lvlText w:val="%1."/>
      <w:lvlJc w:val="left"/>
      <w:pPr>
        <w:tabs>
          <w:tab w:val="num" w:pos="360"/>
        </w:tabs>
        <w:ind w:left="360" w:hanging="360"/>
      </w:pPr>
    </w:lvl>
  </w:abstractNum>
  <w:abstractNum w:abstractNumId="9">
    <w:nsid w:val="FFFFFF89"/>
    <w:multiLevelType w:val="singleLevel"/>
    <w:tmpl w:val="05C011EC"/>
    <w:lvl w:ilvl="0">
      <w:start w:val="1"/>
      <w:numFmt w:val="bullet"/>
      <w:lvlText w:val=""/>
      <w:lvlJc w:val="left"/>
      <w:pPr>
        <w:tabs>
          <w:tab w:val="num" w:pos="360"/>
        </w:tabs>
        <w:ind w:left="360" w:hanging="360"/>
      </w:pPr>
      <w:rPr>
        <w:rFonts w:ascii="Symbol" w:hAnsi="Symbol" w:hint="default"/>
      </w:rPr>
    </w:lvl>
  </w:abstractNum>
  <w:abstractNum w:abstractNumId="10">
    <w:nsid w:val="09EA09B6"/>
    <w:multiLevelType w:val="hybridMultilevel"/>
    <w:tmpl w:val="191A6DD8"/>
    <w:lvl w:ilvl="0" w:tplc="0C0A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74F07A40"/>
    <w:multiLevelType w:val="multilevel"/>
    <w:tmpl w:val="3FDC648C"/>
    <w:lvl w:ilvl="0">
      <w:start w:val="1"/>
      <w:numFmt w:val="decimal"/>
      <w:pStyle w:val="Heading1"/>
      <w:lvlText w:val="%1."/>
      <w:lvlJc w:val="left"/>
      <w:pPr>
        <w:ind w:left="720" w:hanging="360"/>
      </w:pPr>
    </w:lvl>
    <w:lvl w:ilvl="1">
      <w:start w:val="2"/>
      <w:numFmt w:val="decimal"/>
      <w:pStyle w:val="Heading2"/>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0"/>
  </w:num>
  <w:num w:numId="2">
    <w:abstractNumId w:val="1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AE9"/>
    <w:rsid w:val="00007901"/>
    <w:rsid w:val="000162D2"/>
    <w:rsid w:val="000373BF"/>
    <w:rsid w:val="000A3F6E"/>
    <w:rsid w:val="000A6C3C"/>
    <w:rsid w:val="000C5964"/>
    <w:rsid w:val="000E734A"/>
    <w:rsid w:val="000F3F84"/>
    <w:rsid w:val="000F7708"/>
    <w:rsid w:val="001204F6"/>
    <w:rsid w:val="00124E40"/>
    <w:rsid w:val="001377A0"/>
    <w:rsid w:val="001401FD"/>
    <w:rsid w:val="00171E17"/>
    <w:rsid w:val="00177620"/>
    <w:rsid w:val="001C2048"/>
    <w:rsid w:val="002034A8"/>
    <w:rsid w:val="00214697"/>
    <w:rsid w:val="00227CBD"/>
    <w:rsid w:val="00231CCE"/>
    <w:rsid w:val="00261D85"/>
    <w:rsid w:val="00295CD0"/>
    <w:rsid w:val="002C24B8"/>
    <w:rsid w:val="002C4DCB"/>
    <w:rsid w:val="002D0D76"/>
    <w:rsid w:val="002E3886"/>
    <w:rsid w:val="0031260E"/>
    <w:rsid w:val="0033497B"/>
    <w:rsid w:val="0035128C"/>
    <w:rsid w:val="00363E7D"/>
    <w:rsid w:val="00374BC6"/>
    <w:rsid w:val="003D0735"/>
    <w:rsid w:val="003D615C"/>
    <w:rsid w:val="003D7F13"/>
    <w:rsid w:val="003E70C7"/>
    <w:rsid w:val="00415C8B"/>
    <w:rsid w:val="004243DF"/>
    <w:rsid w:val="00436B6A"/>
    <w:rsid w:val="004504C9"/>
    <w:rsid w:val="00482B4E"/>
    <w:rsid w:val="004D69BD"/>
    <w:rsid w:val="004F3B87"/>
    <w:rsid w:val="004F5609"/>
    <w:rsid w:val="00527B35"/>
    <w:rsid w:val="00536347"/>
    <w:rsid w:val="00556BFA"/>
    <w:rsid w:val="00563D71"/>
    <w:rsid w:val="00596CFB"/>
    <w:rsid w:val="005B5783"/>
    <w:rsid w:val="005C4E8C"/>
    <w:rsid w:val="005D03AD"/>
    <w:rsid w:val="006236F8"/>
    <w:rsid w:val="0064480C"/>
    <w:rsid w:val="00654BA6"/>
    <w:rsid w:val="0067211F"/>
    <w:rsid w:val="00696CAE"/>
    <w:rsid w:val="006A0B96"/>
    <w:rsid w:val="006A5AC1"/>
    <w:rsid w:val="006C1EB2"/>
    <w:rsid w:val="006E0B6F"/>
    <w:rsid w:val="006F2A9F"/>
    <w:rsid w:val="0070663A"/>
    <w:rsid w:val="00724EA7"/>
    <w:rsid w:val="00733904"/>
    <w:rsid w:val="00736031"/>
    <w:rsid w:val="00742D61"/>
    <w:rsid w:val="0076739A"/>
    <w:rsid w:val="0077392A"/>
    <w:rsid w:val="00792A1C"/>
    <w:rsid w:val="007A2B35"/>
    <w:rsid w:val="007B2E81"/>
    <w:rsid w:val="007D1A0F"/>
    <w:rsid w:val="007F0498"/>
    <w:rsid w:val="00831445"/>
    <w:rsid w:val="00840DAE"/>
    <w:rsid w:val="00856AEF"/>
    <w:rsid w:val="00857140"/>
    <w:rsid w:val="00864C1B"/>
    <w:rsid w:val="008A144F"/>
    <w:rsid w:val="008B2F68"/>
    <w:rsid w:val="008C2424"/>
    <w:rsid w:val="008D7AE9"/>
    <w:rsid w:val="008F7A15"/>
    <w:rsid w:val="00904875"/>
    <w:rsid w:val="00906A36"/>
    <w:rsid w:val="00915C03"/>
    <w:rsid w:val="00925187"/>
    <w:rsid w:val="00935DC8"/>
    <w:rsid w:val="00941A9C"/>
    <w:rsid w:val="009425B8"/>
    <w:rsid w:val="0096312A"/>
    <w:rsid w:val="00984CCB"/>
    <w:rsid w:val="00990ABE"/>
    <w:rsid w:val="009A108C"/>
    <w:rsid w:val="009C11E6"/>
    <w:rsid w:val="00A03778"/>
    <w:rsid w:val="00A17DFC"/>
    <w:rsid w:val="00A74351"/>
    <w:rsid w:val="00A802E2"/>
    <w:rsid w:val="00AB1536"/>
    <w:rsid w:val="00AD3586"/>
    <w:rsid w:val="00B03317"/>
    <w:rsid w:val="00B04F75"/>
    <w:rsid w:val="00B4606A"/>
    <w:rsid w:val="00B52F00"/>
    <w:rsid w:val="00B70351"/>
    <w:rsid w:val="00B85AE3"/>
    <w:rsid w:val="00B876E8"/>
    <w:rsid w:val="00B956EA"/>
    <w:rsid w:val="00BC6AD2"/>
    <w:rsid w:val="00C3036C"/>
    <w:rsid w:val="00C66954"/>
    <w:rsid w:val="00C66EA0"/>
    <w:rsid w:val="00C8157E"/>
    <w:rsid w:val="00CA1F0D"/>
    <w:rsid w:val="00CB326C"/>
    <w:rsid w:val="00CD72C7"/>
    <w:rsid w:val="00CF25D5"/>
    <w:rsid w:val="00D112C4"/>
    <w:rsid w:val="00D1687D"/>
    <w:rsid w:val="00D72E53"/>
    <w:rsid w:val="00D82D46"/>
    <w:rsid w:val="00DC0DE8"/>
    <w:rsid w:val="00DC7208"/>
    <w:rsid w:val="00DD03C2"/>
    <w:rsid w:val="00DE3933"/>
    <w:rsid w:val="00E00C39"/>
    <w:rsid w:val="00E05E10"/>
    <w:rsid w:val="00E270D0"/>
    <w:rsid w:val="00E46A70"/>
    <w:rsid w:val="00E539D8"/>
    <w:rsid w:val="00E63550"/>
    <w:rsid w:val="00E759AE"/>
    <w:rsid w:val="00F025C1"/>
    <w:rsid w:val="00F1221F"/>
    <w:rsid w:val="00F219DB"/>
    <w:rsid w:val="00F46BF2"/>
    <w:rsid w:val="00F61E3B"/>
    <w:rsid w:val="00F677FF"/>
    <w:rsid w:val="00FA14CA"/>
    <w:rsid w:val="00FF79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F3DB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Helvetica"/>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373BF"/>
    <w:pPr>
      <w:jc w:val="both"/>
    </w:pPr>
    <w:rPr>
      <w:rFonts w:ascii="Tahoma" w:hAnsi="Tahoma"/>
      <w:szCs w:val="22"/>
      <w:lang w:val="fr-FR"/>
    </w:rPr>
  </w:style>
  <w:style w:type="paragraph" w:styleId="Heading1">
    <w:name w:val="heading 1"/>
    <w:basedOn w:val="Normal"/>
    <w:next w:val="Normal"/>
    <w:link w:val="Heading1Char"/>
    <w:uiPriority w:val="9"/>
    <w:qFormat/>
    <w:rsid w:val="00990ABE"/>
    <w:pPr>
      <w:keepNext/>
      <w:numPr>
        <w:numId w:val="2"/>
      </w:numPr>
      <w:pBdr>
        <w:bottom w:val="single" w:sz="12" w:space="1" w:color="auto"/>
      </w:pBdr>
      <w:shd w:val="clear" w:color="auto" w:fill="FFFFFF"/>
      <w:ind w:left="360"/>
      <w:outlineLvl w:val="0"/>
    </w:pPr>
    <w:rPr>
      <w:rFonts w:eastAsia="Times New Roman" w:cs="Times New Roman"/>
      <w:b/>
      <w:bCs/>
      <w:kern w:val="32"/>
      <w:sz w:val="24"/>
      <w:szCs w:val="32"/>
      <w:lang w:val="en-US"/>
    </w:rPr>
  </w:style>
  <w:style w:type="paragraph" w:styleId="Heading2">
    <w:name w:val="heading 2"/>
    <w:basedOn w:val="Normal"/>
    <w:next w:val="Normal"/>
    <w:link w:val="Heading2Char"/>
    <w:uiPriority w:val="9"/>
    <w:qFormat/>
    <w:rsid w:val="00840DAE"/>
    <w:pPr>
      <w:keepNext/>
      <w:numPr>
        <w:ilvl w:val="1"/>
        <w:numId w:val="2"/>
      </w:numPr>
      <w:shd w:val="clear" w:color="auto" w:fill="FFFFFF"/>
      <w:outlineLvl w:val="1"/>
    </w:pPr>
    <w:rPr>
      <w:rFonts w:eastAsia="Times New Roman" w:cs="Times New Roman"/>
      <w:b/>
      <w:bCs/>
      <w:iCs/>
      <w:sz w:val="22"/>
      <w:szCs w:val="28"/>
      <w:lang w:val="x-none"/>
    </w:rPr>
  </w:style>
  <w:style w:type="paragraph" w:styleId="Heading3">
    <w:name w:val="heading 3"/>
    <w:basedOn w:val="Normal"/>
    <w:next w:val="Normal"/>
    <w:link w:val="Heading3Char"/>
    <w:uiPriority w:val="9"/>
    <w:qFormat/>
    <w:rsid w:val="00CD72C7"/>
    <w:pPr>
      <w:keepNext/>
      <w:numPr>
        <w:ilvl w:val="2"/>
        <w:numId w:val="2"/>
      </w:numPr>
      <w:ind w:left="720"/>
      <w:outlineLvl w:val="2"/>
    </w:pPr>
    <w:rPr>
      <w:b/>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60E"/>
    <w:pPr>
      <w:tabs>
        <w:tab w:val="center" w:pos="4536"/>
        <w:tab w:val="right" w:pos="9072"/>
      </w:tabs>
    </w:pPr>
    <w:rPr>
      <w:rFonts w:cs="Times New Roman"/>
      <w:szCs w:val="20"/>
      <w:lang w:val="x-none" w:eastAsia="x-none"/>
    </w:rPr>
  </w:style>
  <w:style w:type="character" w:customStyle="1" w:styleId="HeaderChar">
    <w:name w:val="Header Char"/>
    <w:link w:val="Header"/>
    <w:uiPriority w:val="99"/>
    <w:rsid w:val="0031260E"/>
    <w:rPr>
      <w:rFonts w:ascii="Tahoma" w:eastAsia="Calibri" w:hAnsi="Tahoma" w:cs="Arial"/>
    </w:rPr>
  </w:style>
  <w:style w:type="paragraph" w:styleId="BalloonText">
    <w:name w:val="Balloon Text"/>
    <w:basedOn w:val="Normal"/>
    <w:link w:val="BalloonTextChar"/>
    <w:uiPriority w:val="99"/>
    <w:semiHidden/>
    <w:unhideWhenUsed/>
    <w:rsid w:val="0031260E"/>
    <w:rPr>
      <w:rFonts w:cs="Times New Roman"/>
      <w:sz w:val="16"/>
      <w:szCs w:val="16"/>
      <w:lang w:val="x-none" w:eastAsia="x-none"/>
    </w:rPr>
  </w:style>
  <w:style w:type="character" w:customStyle="1" w:styleId="BalloonTextChar">
    <w:name w:val="Balloon Text Char"/>
    <w:link w:val="BalloonText"/>
    <w:uiPriority w:val="99"/>
    <w:semiHidden/>
    <w:rsid w:val="0031260E"/>
    <w:rPr>
      <w:rFonts w:ascii="Tahoma" w:hAnsi="Tahoma" w:cs="Tahoma"/>
      <w:sz w:val="16"/>
      <w:szCs w:val="16"/>
    </w:rPr>
  </w:style>
  <w:style w:type="paragraph" w:styleId="NormalWeb">
    <w:name w:val="Normal (Web)"/>
    <w:basedOn w:val="Normal"/>
    <w:uiPriority w:val="99"/>
    <w:rsid w:val="0031260E"/>
    <w:pPr>
      <w:suppressAutoHyphens/>
      <w:spacing w:before="100" w:after="100"/>
      <w:ind w:firstLine="284"/>
      <w:jc w:val="left"/>
    </w:pPr>
    <w:rPr>
      <w:rFonts w:eastAsia="Times New Roman" w:cs="Times New Roman"/>
      <w:szCs w:val="24"/>
      <w:lang w:val="de-DE" w:eastAsia="ar-SA"/>
    </w:rPr>
  </w:style>
  <w:style w:type="paragraph" w:customStyle="1" w:styleId="Default">
    <w:name w:val="Default"/>
    <w:rsid w:val="003D0735"/>
    <w:pPr>
      <w:autoSpaceDE w:val="0"/>
      <w:autoSpaceDN w:val="0"/>
      <w:adjustRightInd w:val="0"/>
    </w:pPr>
    <w:rPr>
      <w:rFonts w:ascii="Cambria" w:hAnsi="Cambria" w:cs="Cambria"/>
      <w:color w:val="000000"/>
      <w:sz w:val="24"/>
      <w:szCs w:val="24"/>
      <w:lang w:val="fr-FR" w:eastAsia="fr-FR"/>
    </w:rPr>
  </w:style>
  <w:style w:type="paragraph" w:styleId="Footer">
    <w:name w:val="footer"/>
    <w:basedOn w:val="Normal"/>
    <w:link w:val="FooterChar"/>
    <w:uiPriority w:val="99"/>
    <w:unhideWhenUsed/>
    <w:rsid w:val="00840DAE"/>
    <w:pPr>
      <w:tabs>
        <w:tab w:val="center" w:pos="4536"/>
        <w:tab w:val="right" w:pos="9072"/>
      </w:tabs>
    </w:pPr>
    <w:rPr>
      <w:rFonts w:cs="Times New Roman"/>
      <w:lang w:val="x-none"/>
    </w:rPr>
  </w:style>
  <w:style w:type="character" w:customStyle="1" w:styleId="FooterChar">
    <w:name w:val="Footer Char"/>
    <w:link w:val="Footer"/>
    <w:uiPriority w:val="99"/>
    <w:rsid w:val="00840DAE"/>
    <w:rPr>
      <w:rFonts w:ascii="Tahoma" w:hAnsi="Tahoma"/>
      <w:szCs w:val="22"/>
      <w:lang w:eastAsia="en-US"/>
    </w:rPr>
  </w:style>
  <w:style w:type="character" w:customStyle="1" w:styleId="Heading1Char">
    <w:name w:val="Heading 1 Char"/>
    <w:link w:val="Heading1"/>
    <w:uiPriority w:val="9"/>
    <w:rsid w:val="00990ABE"/>
    <w:rPr>
      <w:rFonts w:ascii="Tahoma" w:eastAsia="Times New Roman" w:hAnsi="Tahoma" w:cs="Times New Roman"/>
      <w:b/>
      <w:bCs/>
      <w:kern w:val="32"/>
      <w:sz w:val="24"/>
      <w:szCs w:val="32"/>
      <w:shd w:val="clear" w:color="auto" w:fill="FFFFFF"/>
      <w:lang w:val="en-US" w:eastAsia="en-US"/>
    </w:rPr>
  </w:style>
  <w:style w:type="character" w:customStyle="1" w:styleId="Heading2Char">
    <w:name w:val="Heading 2 Char"/>
    <w:link w:val="Heading2"/>
    <w:uiPriority w:val="9"/>
    <w:rsid w:val="00840DAE"/>
    <w:rPr>
      <w:rFonts w:ascii="Tahoma" w:eastAsia="Times New Roman" w:hAnsi="Tahoma" w:cs="Times New Roman"/>
      <w:b/>
      <w:bCs/>
      <w:iCs/>
      <w:sz w:val="22"/>
      <w:szCs w:val="28"/>
      <w:shd w:val="clear" w:color="auto" w:fill="FFFFFF"/>
      <w:lang w:eastAsia="en-US"/>
    </w:rPr>
  </w:style>
  <w:style w:type="paragraph" w:styleId="TOCHeading">
    <w:name w:val="TOC Heading"/>
    <w:basedOn w:val="Heading1"/>
    <w:next w:val="Normal"/>
    <w:uiPriority w:val="39"/>
    <w:qFormat/>
    <w:rsid w:val="001377A0"/>
    <w:pPr>
      <w:keepLines/>
      <w:numPr>
        <w:numId w:val="0"/>
      </w:numPr>
      <w:pBdr>
        <w:bottom w:val="none" w:sz="0" w:space="0" w:color="auto"/>
      </w:pBdr>
      <w:spacing w:before="480" w:line="276" w:lineRule="auto"/>
      <w:jc w:val="left"/>
      <w:outlineLvl w:val="9"/>
    </w:pPr>
    <w:rPr>
      <w:rFonts w:ascii="Cambria" w:hAnsi="Cambria"/>
      <w:color w:val="365F91"/>
      <w:kern w:val="0"/>
      <w:szCs w:val="28"/>
      <w:lang w:val="fr-FR"/>
    </w:rPr>
  </w:style>
  <w:style w:type="paragraph" w:styleId="TOC1">
    <w:name w:val="toc 1"/>
    <w:basedOn w:val="Normal"/>
    <w:next w:val="Normal"/>
    <w:autoRedefine/>
    <w:uiPriority w:val="39"/>
    <w:unhideWhenUsed/>
    <w:qFormat/>
    <w:rsid w:val="001377A0"/>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1377A0"/>
    <w:pPr>
      <w:ind w:left="200"/>
      <w:jc w:val="left"/>
    </w:pPr>
    <w:rPr>
      <w:rFonts w:ascii="Calibri" w:hAnsi="Calibri" w:cs="Times New Roman"/>
      <w:smallCaps/>
      <w:szCs w:val="24"/>
    </w:rPr>
  </w:style>
  <w:style w:type="character" w:styleId="Hyperlink">
    <w:name w:val="Hyperlink"/>
    <w:uiPriority w:val="99"/>
    <w:unhideWhenUsed/>
    <w:rsid w:val="001377A0"/>
    <w:rPr>
      <w:color w:val="0000FF"/>
      <w:u w:val="single"/>
    </w:rPr>
  </w:style>
  <w:style w:type="paragraph" w:styleId="FootnoteText">
    <w:name w:val="footnote text"/>
    <w:basedOn w:val="Normal"/>
    <w:link w:val="FootnoteTextChar"/>
    <w:uiPriority w:val="9"/>
    <w:qFormat/>
    <w:rsid w:val="00840DAE"/>
    <w:rPr>
      <w:rFonts w:cs="Times New Roman"/>
      <w:sz w:val="16"/>
      <w:szCs w:val="20"/>
      <w:lang w:val="x-none"/>
    </w:rPr>
  </w:style>
  <w:style w:type="character" w:customStyle="1" w:styleId="FootnoteTextChar">
    <w:name w:val="Footnote Text Char"/>
    <w:link w:val="FootnoteText"/>
    <w:uiPriority w:val="9"/>
    <w:rsid w:val="000373BF"/>
    <w:rPr>
      <w:rFonts w:ascii="Tahoma" w:hAnsi="Tahoma"/>
      <w:sz w:val="16"/>
      <w:lang w:eastAsia="en-US"/>
    </w:rPr>
  </w:style>
  <w:style w:type="character" w:styleId="FootnoteReference">
    <w:name w:val="footnote reference"/>
    <w:uiPriority w:val="99"/>
    <w:unhideWhenUsed/>
    <w:rsid w:val="00B70351"/>
    <w:rPr>
      <w:vertAlign w:val="superscript"/>
    </w:rPr>
  </w:style>
  <w:style w:type="character" w:customStyle="1" w:styleId="Heading3Char">
    <w:name w:val="Heading 3 Char"/>
    <w:link w:val="Heading3"/>
    <w:uiPriority w:val="9"/>
    <w:rsid w:val="00CD72C7"/>
    <w:rPr>
      <w:rFonts w:ascii="Tahoma" w:hAnsi="Tahoma"/>
      <w:b/>
      <w:szCs w:val="26"/>
      <w:lang w:val="fr-FR" w:eastAsia="fr-FR" w:bidi="ar-SA"/>
    </w:rPr>
  </w:style>
  <w:style w:type="paragraph" w:styleId="TOC3">
    <w:name w:val="toc 3"/>
    <w:basedOn w:val="Normal"/>
    <w:next w:val="Normal"/>
    <w:autoRedefine/>
    <w:uiPriority w:val="39"/>
    <w:unhideWhenUsed/>
    <w:qFormat/>
    <w:rsid w:val="007D1A0F"/>
    <w:pPr>
      <w:ind w:left="400"/>
      <w:jc w:val="left"/>
    </w:pPr>
    <w:rPr>
      <w:rFonts w:ascii="Calibri" w:hAnsi="Calibri" w:cs="Times New Roman"/>
      <w:i/>
      <w:iCs/>
      <w:szCs w:val="24"/>
    </w:rPr>
  </w:style>
  <w:style w:type="paragraph" w:customStyle="1" w:styleId="Style1">
    <w:name w:val="Style1"/>
    <w:basedOn w:val="Heading1"/>
    <w:rsid w:val="00CD72C7"/>
    <w:rPr>
      <w:caps/>
    </w:rPr>
  </w:style>
  <w:style w:type="paragraph" w:styleId="TOC4">
    <w:name w:val="toc 4"/>
    <w:basedOn w:val="Normal"/>
    <w:next w:val="Normal"/>
    <w:autoRedefine/>
    <w:uiPriority w:val="39"/>
    <w:unhideWhenUsed/>
    <w:rsid w:val="00CA1F0D"/>
    <w:pPr>
      <w:ind w:left="600"/>
      <w:jc w:val="left"/>
    </w:pPr>
    <w:rPr>
      <w:rFonts w:ascii="Calibri" w:hAnsi="Calibri" w:cs="Times New Roman"/>
      <w:sz w:val="18"/>
      <w:szCs w:val="21"/>
    </w:rPr>
  </w:style>
  <w:style w:type="paragraph" w:styleId="TOC5">
    <w:name w:val="toc 5"/>
    <w:basedOn w:val="Normal"/>
    <w:next w:val="Normal"/>
    <w:autoRedefine/>
    <w:uiPriority w:val="39"/>
    <w:unhideWhenUsed/>
    <w:rsid w:val="00CA1F0D"/>
    <w:pPr>
      <w:ind w:left="800"/>
      <w:jc w:val="left"/>
    </w:pPr>
    <w:rPr>
      <w:rFonts w:ascii="Calibri" w:hAnsi="Calibri" w:cs="Times New Roman"/>
      <w:sz w:val="18"/>
      <w:szCs w:val="21"/>
    </w:rPr>
  </w:style>
  <w:style w:type="paragraph" w:styleId="TOC6">
    <w:name w:val="toc 6"/>
    <w:basedOn w:val="Normal"/>
    <w:next w:val="Normal"/>
    <w:autoRedefine/>
    <w:uiPriority w:val="39"/>
    <w:unhideWhenUsed/>
    <w:rsid w:val="00CA1F0D"/>
    <w:pPr>
      <w:ind w:left="1000"/>
      <w:jc w:val="left"/>
    </w:pPr>
    <w:rPr>
      <w:rFonts w:ascii="Calibri" w:hAnsi="Calibri" w:cs="Times New Roman"/>
      <w:sz w:val="18"/>
      <w:szCs w:val="21"/>
    </w:rPr>
  </w:style>
  <w:style w:type="paragraph" w:styleId="TOC7">
    <w:name w:val="toc 7"/>
    <w:basedOn w:val="Normal"/>
    <w:next w:val="Normal"/>
    <w:autoRedefine/>
    <w:uiPriority w:val="39"/>
    <w:unhideWhenUsed/>
    <w:rsid w:val="00CA1F0D"/>
    <w:pPr>
      <w:ind w:left="1200"/>
      <w:jc w:val="left"/>
    </w:pPr>
    <w:rPr>
      <w:rFonts w:ascii="Calibri" w:hAnsi="Calibri" w:cs="Times New Roman"/>
      <w:sz w:val="18"/>
      <w:szCs w:val="21"/>
    </w:rPr>
  </w:style>
  <w:style w:type="paragraph" w:styleId="TOC8">
    <w:name w:val="toc 8"/>
    <w:basedOn w:val="Normal"/>
    <w:next w:val="Normal"/>
    <w:autoRedefine/>
    <w:uiPriority w:val="39"/>
    <w:unhideWhenUsed/>
    <w:rsid w:val="00CA1F0D"/>
    <w:pPr>
      <w:ind w:left="1400"/>
      <w:jc w:val="left"/>
    </w:pPr>
    <w:rPr>
      <w:rFonts w:ascii="Calibri" w:hAnsi="Calibri" w:cs="Times New Roman"/>
      <w:sz w:val="18"/>
      <w:szCs w:val="21"/>
    </w:rPr>
  </w:style>
  <w:style w:type="paragraph" w:styleId="TOC9">
    <w:name w:val="toc 9"/>
    <w:basedOn w:val="Normal"/>
    <w:next w:val="Normal"/>
    <w:autoRedefine/>
    <w:uiPriority w:val="39"/>
    <w:unhideWhenUsed/>
    <w:rsid w:val="00CA1F0D"/>
    <w:pPr>
      <w:ind w:left="1600"/>
      <w:jc w:val="left"/>
    </w:pPr>
    <w:rPr>
      <w:rFonts w:ascii="Calibri" w:hAnsi="Calibri" w:cs="Times New Roman"/>
      <w:sz w:val="18"/>
      <w:szCs w:val="21"/>
    </w:rPr>
  </w:style>
  <w:style w:type="character" w:styleId="CommentReference">
    <w:name w:val="annotation reference"/>
    <w:uiPriority w:val="99"/>
    <w:semiHidden/>
    <w:unhideWhenUsed/>
    <w:rsid w:val="00CB326C"/>
    <w:rPr>
      <w:sz w:val="16"/>
      <w:szCs w:val="16"/>
    </w:rPr>
  </w:style>
  <w:style w:type="paragraph" w:styleId="CommentText">
    <w:name w:val="annotation text"/>
    <w:basedOn w:val="Normal"/>
    <w:link w:val="CommentTextChar"/>
    <w:uiPriority w:val="99"/>
    <w:semiHidden/>
    <w:unhideWhenUsed/>
    <w:rsid w:val="00CB326C"/>
    <w:pPr>
      <w:spacing w:after="160"/>
      <w:jc w:val="left"/>
    </w:pPr>
    <w:rPr>
      <w:rFonts w:ascii="Calibri" w:hAnsi="Calibri" w:cs="Arial"/>
      <w:szCs w:val="20"/>
      <w:lang w:val="en-GB"/>
    </w:rPr>
  </w:style>
  <w:style w:type="character" w:customStyle="1" w:styleId="CommentTextChar">
    <w:name w:val="Comment Text Char"/>
    <w:basedOn w:val="DefaultParagraphFont"/>
    <w:link w:val="CommentText"/>
    <w:uiPriority w:val="99"/>
    <w:semiHidden/>
    <w:rsid w:val="00CB326C"/>
    <w:rPr>
      <w:rFonts w:cs="Arial"/>
      <w:lang w:val="en-GB"/>
    </w:rPr>
  </w:style>
  <w:style w:type="paragraph" w:styleId="CommentSubject">
    <w:name w:val="annotation subject"/>
    <w:basedOn w:val="CommentText"/>
    <w:next w:val="CommentText"/>
    <w:link w:val="CommentSubjectChar"/>
    <w:uiPriority w:val="99"/>
    <w:semiHidden/>
    <w:unhideWhenUsed/>
    <w:rsid w:val="00436B6A"/>
    <w:pPr>
      <w:spacing w:after="0"/>
      <w:jc w:val="both"/>
    </w:pPr>
    <w:rPr>
      <w:rFonts w:ascii="Tahoma" w:hAnsi="Tahoma" w:cs="Helvetica"/>
      <w:b/>
      <w:bCs/>
      <w:lang w:val="fr-FR"/>
    </w:rPr>
  </w:style>
  <w:style w:type="character" w:customStyle="1" w:styleId="CommentSubjectChar">
    <w:name w:val="Comment Subject Char"/>
    <w:basedOn w:val="CommentTextChar"/>
    <w:link w:val="CommentSubject"/>
    <w:uiPriority w:val="99"/>
    <w:semiHidden/>
    <w:rsid w:val="00436B6A"/>
    <w:rPr>
      <w:rFonts w:ascii="Tahoma" w:hAnsi="Tahoma" w:cs="Arial"/>
      <w:b/>
      <w:bCs/>
      <w:lang w:val="fr-FR"/>
    </w:rPr>
  </w:style>
  <w:style w:type="character" w:styleId="FollowedHyperlink">
    <w:name w:val="FollowedHyperlink"/>
    <w:basedOn w:val="DefaultParagraphFont"/>
    <w:uiPriority w:val="99"/>
    <w:semiHidden/>
    <w:unhideWhenUsed/>
    <w:rsid w:val="0017762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Helvetica"/>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373BF"/>
    <w:pPr>
      <w:jc w:val="both"/>
    </w:pPr>
    <w:rPr>
      <w:rFonts w:ascii="Tahoma" w:hAnsi="Tahoma"/>
      <w:szCs w:val="22"/>
      <w:lang w:val="fr-FR"/>
    </w:rPr>
  </w:style>
  <w:style w:type="paragraph" w:styleId="Heading1">
    <w:name w:val="heading 1"/>
    <w:basedOn w:val="Normal"/>
    <w:next w:val="Normal"/>
    <w:link w:val="Heading1Char"/>
    <w:uiPriority w:val="9"/>
    <w:qFormat/>
    <w:rsid w:val="00990ABE"/>
    <w:pPr>
      <w:keepNext/>
      <w:numPr>
        <w:numId w:val="2"/>
      </w:numPr>
      <w:pBdr>
        <w:bottom w:val="single" w:sz="12" w:space="1" w:color="auto"/>
      </w:pBdr>
      <w:shd w:val="clear" w:color="auto" w:fill="FFFFFF"/>
      <w:ind w:left="360"/>
      <w:outlineLvl w:val="0"/>
    </w:pPr>
    <w:rPr>
      <w:rFonts w:eastAsia="Times New Roman" w:cs="Times New Roman"/>
      <w:b/>
      <w:bCs/>
      <w:kern w:val="32"/>
      <w:sz w:val="24"/>
      <w:szCs w:val="32"/>
      <w:lang w:val="en-US"/>
    </w:rPr>
  </w:style>
  <w:style w:type="paragraph" w:styleId="Heading2">
    <w:name w:val="heading 2"/>
    <w:basedOn w:val="Normal"/>
    <w:next w:val="Normal"/>
    <w:link w:val="Heading2Char"/>
    <w:uiPriority w:val="9"/>
    <w:qFormat/>
    <w:rsid w:val="00840DAE"/>
    <w:pPr>
      <w:keepNext/>
      <w:numPr>
        <w:ilvl w:val="1"/>
        <w:numId w:val="2"/>
      </w:numPr>
      <w:shd w:val="clear" w:color="auto" w:fill="FFFFFF"/>
      <w:outlineLvl w:val="1"/>
    </w:pPr>
    <w:rPr>
      <w:rFonts w:eastAsia="Times New Roman" w:cs="Times New Roman"/>
      <w:b/>
      <w:bCs/>
      <w:iCs/>
      <w:sz w:val="22"/>
      <w:szCs w:val="28"/>
      <w:lang w:val="x-none"/>
    </w:rPr>
  </w:style>
  <w:style w:type="paragraph" w:styleId="Heading3">
    <w:name w:val="heading 3"/>
    <w:basedOn w:val="Normal"/>
    <w:next w:val="Normal"/>
    <w:link w:val="Heading3Char"/>
    <w:uiPriority w:val="9"/>
    <w:qFormat/>
    <w:rsid w:val="00CD72C7"/>
    <w:pPr>
      <w:keepNext/>
      <w:numPr>
        <w:ilvl w:val="2"/>
        <w:numId w:val="2"/>
      </w:numPr>
      <w:ind w:left="720"/>
      <w:outlineLvl w:val="2"/>
    </w:pPr>
    <w:rPr>
      <w:b/>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60E"/>
    <w:pPr>
      <w:tabs>
        <w:tab w:val="center" w:pos="4536"/>
        <w:tab w:val="right" w:pos="9072"/>
      </w:tabs>
    </w:pPr>
    <w:rPr>
      <w:rFonts w:cs="Times New Roman"/>
      <w:szCs w:val="20"/>
      <w:lang w:val="x-none" w:eastAsia="x-none"/>
    </w:rPr>
  </w:style>
  <w:style w:type="character" w:customStyle="1" w:styleId="HeaderChar">
    <w:name w:val="Header Char"/>
    <w:link w:val="Header"/>
    <w:uiPriority w:val="99"/>
    <w:rsid w:val="0031260E"/>
    <w:rPr>
      <w:rFonts w:ascii="Tahoma" w:eastAsia="Calibri" w:hAnsi="Tahoma" w:cs="Arial"/>
    </w:rPr>
  </w:style>
  <w:style w:type="paragraph" w:styleId="BalloonText">
    <w:name w:val="Balloon Text"/>
    <w:basedOn w:val="Normal"/>
    <w:link w:val="BalloonTextChar"/>
    <w:uiPriority w:val="99"/>
    <w:semiHidden/>
    <w:unhideWhenUsed/>
    <w:rsid w:val="0031260E"/>
    <w:rPr>
      <w:rFonts w:cs="Times New Roman"/>
      <w:sz w:val="16"/>
      <w:szCs w:val="16"/>
      <w:lang w:val="x-none" w:eastAsia="x-none"/>
    </w:rPr>
  </w:style>
  <w:style w:type="character" w:customStyle="1" w:styleId="BalloonTextChar">
    <w:name w:val="Balloon Text Char"/>
    <w:link w:val="BalloonText"/>
    <w:uiPriority w:val="99"/>
    <w:semiHidden/>
    <w:rsid w:val="0031260E"/>
    <w:rPr>
      <w:rFonts w:ascii="Tahoma" w:hAnsi="Tahoma" w:cs="Tahoma"/>
      <w:sz w:val="16"/>
      <w:szCs w:val="16"/>
    </w:rPr>
  </w:style>
  <w:style w:type="paragraph" w:styleId="NormalWeb">
    <w:name w:val="Normal (Web)"/>
    <w:basedOn w:val="Normal"/>
    <w:uiPriority w:val="99"/>
    <w:rsid w:val="0031260E"/>
    <w:pPr>
      <w:suppressAutoHyphens/>
      <w:spacing w:before="100" w:after="100"/>
      <w:ind w:firstLine="284"/>
      <w:jc w:val="left"/>
    </w:pPr>
    <w:rPr>
      <w:rFonts w:eastAsia="Times New Roman" w:cs="Times New Roman"/>
      <w:szCs w:val="24"/>
      <w:lang w:val="de-DE" w:eastAsia="ar-SA"/>
    </w:rPr>
  </w:style>
  <w:style w:type="paragraph" w:customStyle="1" w:styleId="Default">
    <w:name w:val="Default"/>
    <w:rsid w:val="003D0735"/>
    <w:pPr>
      <w:autoSpaceDE w:val="0"/>
      <w:autoSpaceDN w:val="0"/>
      <w:adjustRightInd w:val="0"/>
    </w:pPr>
    <w:rPr>
      <w:rFonts w:ascii="Cambria" w:hAnsi="Cambria" w:cs="Cambria"/>
      <w:color w:val="000000"/>
      <w:sz w:val="24"/>
      <w:szCs w:val="24"/>
      <w:lang w:val="fr-FR" w:eastAsia="fr-FR"/>
    </w:rPr>
  </w:style>
  <w:style w:type="paragraph" w:styleId="Footer">
    <w:name w:val="footer"/>
    <w:basedOn w:val="Normal"/>
    <w:link w:val="FooterChar"/>
    <w:uiPriority w:val="99"/>
    <w:unhideWhenUsed/>
    <w:rsid w:val="00840DAE"/>
    <w:pPr>
      <w:tabs>
        <w:tab w:val="center" w:pos="4536"/>
        <w:tab w:val="right" w:pos="9072"/>
      </w:tabs>
    </w:pPr>
    <w:rPr>
      <w:rFonts w:cs="Times New Roman"/>
      <w:lang w:val="x-none"/>
    </w:rPr>
  </w:style>
  <w:style w:type="character" w:customStyle="1" w:styleId="FooterChar">
    <w:name w:val="Footer Char"/>
    <w:link w:val="Footer"/>
    <w:uiPriority w:val="99"/>
    <w:rsid w:val="00840DAE"/>
    <w:rPr>
      <w:rFonts w:ascii="Tahoma" w:hAnsi="Tahoma"/>
      <w:szCs w:val="22"/>
      <w:lang w:eastAsia="en-US"/>
    </w:rPr>
  </w:style>
  <w:style w:type="character" w:customStyle="1" w:styleId="Heading1Char">
    <w:name w:val="Heading 1 Char"/>
    <w:link w:val="Heading1"/>
    <w:uiPriority w:val="9"/>
    <w:rsid w:val="00990ABE"/>
    <w:rPr>
      <w:rFonts w:ascii="Tahoma" w:eastAsia="Times New Roman" w:hAnsi="Tahoma" w:cs="Times New Roman"/>
      <w:b/>
      <w:bCs/>
      <w:kern w:val="32"/>
      <w:sz w:val="24"/>
      <w:szCs w:val="32"/>
      <w:shd w:val="clear" w:color="auto" w:fill="FFFFFF"/>
      <w:lang w:val="en-US" w:eastAsia="en-US"/>
    </w:rPr>
  </w:style>
  <w:style w:type="character" w:customStyle="1" w:styleId="Heading2Char">
    <w:name w:val="Heading 2 Char"/>
    <w:link w:val="Heading2"/>
    <w:uiPriority w:val="9"/>
    <w:rsid w:val="00840DAE"/>
    <w:rPr>
      <w:rFonts w:ascii="Tahoma" w:eastAsia="Times New Roman" w:hAnsi="Tahoma" w:cs="Times New Roman"/>
      <w:b/>
      <w:bCs/>
      <w:iCs/>
      <w:sz w:val="22"/>
      <w:szCs w:val="28"/>
      <w:shd w:val="clear" w:color="auto" w:fill="FFFFFF"/>
      <w:lang w:eastAsia="en-US"/>
    </w:rPr>
  </w:style>
  <w:style w:type="paragraph" w:styleId="TOCHeading">
    <w:name w:val="TOC Heading"/>
    <w:basedOn w:val="Heading1"/>
    <w:next w:val="Normal"/>
    <w:uiPriority w:val="39"/>
    <w:qFormat/>
    <w:rsid w:val="001377A0"/>
    <w:pPr>
      <w:keepLines/>
      <w:numPr>
        <w:numId w:val="0"/>
      </w:numPr>
      <w:pBdr>
        <w:bottom w:val="none" w:sz="0" w:space="0" w:color="auto"/>
      </w:pBdr>
      <w:spacing w:before="480" w:line="276" w:lineRule="auto"/>
      <w:jc w:val="left"/>
      <w:outlineLvl w:val="9"/>
    </w:pPr>
    <w:rPr>
      <w:rFonts w:ascii="Cambria" w:hAnsi="Cambria"/>
      <w:color w:val="365F91"/>
      <w:kern w:val="0"/>
      <w:szCs w:val="28"/>
      <w:lang w:val="fr-FR"/>
    </w:rPr>
  </w:style>
  <w:style w:type="paragraph" w:styleId="TOC1">
    <w:name w:val="toc 1"/>
    <w:basedOn w:val="Normal"/>
    <w:next w:val="Normal"/>
    <w:autoRedefine/>
    <w:uiPriority w:val="39"/>
    <w:unhideWhenUsed/>
    <w:qFormat/>
    <w:rsid w:val="001377A0"/>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1377A0"/>
    <w:pPr>
      <w:ind w:left="200"/>
      <w:jc w:val="left"/>
    </w:pPr>
    <w:rPr>
      <w:rFonts w:ascii="Calibri" w:hAnsi="Calibri" w:cs="Times New Roman"/>
      <w:smallCaps/>
      <w:szCs w:val="24"/>
    </w:rPr>
  </w:style>
  <w:style w:type="character" w:styleId="Hyperlink">
    <w:name w:val="Hyperlink"/>
    <w:uiPriority w:val="99"/>
    <w:unhideWhenUsed/>
    <w:rsid w:val="001377A0"/>
    <w:rPr>
      <w:color w:val="0000FF"/>
      <w:u w:val="single"/>
    </w:rPr>
  </w:style>
  <w:style w:type="paragraph" w:styleId="FootnoteText">
    <w:name w:val="footnote text"/>
    <w:basedOn w:val="Normal"/>
    <w:link w:val="FootnoteTextChar"/>
    <w:uiPriority w:val="9"/>
    <w:qFormat/>
    <w:rsid w:val="00840DAE"/>
    <w:rPr>
      <w:rFonts w:cs="Times New Roman"/>
      <w:sz w:val="16"/>
      <w:szCs w:val="20"/>
      <w:lang w:val="x-none"/>
    </w:rPr>
  </w:style>
  <w:style w:type="character" w:customStyle="1" w:styleId="FootnoteTextChar">
    <w:name w:val="Footnote Text Char"/>
    <w:link w:val="FootnoteText"/>
    <w:uiPriority w:val="9"/>
    <w:rsid w:val="000373BF"/>
    <w:rPr>
      <w:rFonts w:ascii="Tahoma" w:hAnsi="Tahoma"/>
      <w:sz w:val="16"/>
      <w:lang w:eastAsia="en-US"/>
    </w:rPr>
  </w:style>
  <w:style w:type="character" w:styleId="FootnoteReference">
    <w:name w:val="footnote reference"/>
    <w:uiPriority w:val="99"/>
    <w:unhideWhenUsed/>
    <w:rsid w:val="00B70351"/>
    <w:rPr>
      <w:vertAlign w:val="superscript"/>
    </w:rPr>
  </w:style>
  <w:style w:type="character" w:customStyle="1" w:styleId="Heading3Char">
    <w:name w:val="Heading 3 Char"/>
    <w:link w:val="Heading3"/>
    <w:uiPriority w:val="9"/>
    <w:rsid w:val="00CD72C7"/>
    <w:rPr>
      <w:rFonts w:ascii="Tahoma" w:hAnsi="Tahoma"/>
      <w:b/>
      <w:szCs w:val="26"/>
      <w:lang w:val="fr-FR" w:eastAsia="fr-FR" w:bidi="ar-SA"/>
    </w:rPr>
  </w:style>
  <w:style w:type="paragraph" w:styleId="TOC3">
    <w:name w:val="toc 3"/>
    <w:basedOn w:val="Normal"/>
    <w:next w:val="Normal"/>
    <w:autoRedefine/>
    <w:uiPriority w:val="39"/>
    <w:unhideWhenUsed/>
    <w:qFormat/>
    <w:rsid w:val="007D1A0F"/>
    <w:pPr>
      <w:ind w:left="400"/>
      <w:jc w:val="left"/>
    </w:pPr>
    <w:rPr>
      <w:rFonts w:ascii="Calibri" w:hAnsi="Calibri" w:cs="Times New Roman"/>
      <w:i/>
      <w:iCs/>
      <w:szCs w:val="24"/>
    </w:rPr>
  </w:style>
  <w:style w:type="paragraph" w:customStyle="1" w:styleId="Style1">
    <w:name w:val="Style1"/>
    <w:basedOn w:val="Heading1"/>
    <w:rsid w:val="00CD72C7"/>
    <w:rPr>
      <w:caps/>
    </w:rPr>
  </w:style>
  <w:style w:type="paragraph" w:styleId="TOC4">
    <w:name w:val="toc 4"/>
    <w:basedOn w:val="Normal"/>
    <w:next w:val="Normal"/>
    <w:autoRedefine/>
    <w:uiPriority w:val="39"/>
    <w:unhideWhenUsed/>
    <w:rsid w:val="00CA1F0D"/>
    <w:pPr>
      <w:ind w:left="600"/>
      <w:jc w:val="left"/>
    </w:pPr>
    <w:rPr>
      <w:rFonts w:ascii="Calibri" w:hAnsi="Calibri" w:cs="Times New Roman"/>
      <w:sz w:val="18"/>
      <w:szCs w:val="21"/>
    </w:rPr>
  </w:style>
  <w:style w:type="paragraph" w:styleId="TOC5">
    <w:name w:val="toc 5"/>
    <w:basedOn w:val="Normal"/>
    <w:next w:val="Normal"/>
    <w:autoRedefine/>
    <w:uiPriority w:val="39"/>
    <w:unhideWhenUsed/>
    <w:rsid w:val="00CA1F0D"/>
    <w:pPr>
      <w:ind w:left="800"/>
      <w:jc w:val="left"/>
    </w:pPr>
    <w:rPr>
      <w:rFonts w:ascii="Calibri" w:hAnsi="Calibri" w:cs="Times New Roman"/>
      <w:sz w:val="18"/>
      <w:szCs w:val="21"/>
    </w:rPr>
  </w:style>
  <w:style w:type="paragraph" w:styleId="TOC6">
    <w:name w:val="toc 6"/>
    <w:basedOn w:val="Normal"/>
    <w:next w:val="Normal"/>
    <w:autoRedefine/>
    <w:uiPriority w:val="39"/>
    <w:unhideWhenUsed/>
    <w:rsid w:val="00CA1F0D"/>
    <w:pPr>
      <w:ind w:left="1000"/>
      <w:jc w:val="left"/>
    </w:pPr>
    <w:rPr>
      <w:rFonts w:ascii="Calibri" w:hAnsi="Calibri" w:cs="Times New Roman"/>
      <w:sz w:val="18"/>
      <w:szCs w:val="21"/>
    </w:rPr>
  </w:style>
  <w:style w:type="paragraph" w:styleId="TOC7">
    <w:name w:val="toc 7"/>
    <w:basedOn w:val="Normal"/>
    <w:next w:val="Normal"/>
    <w:autoRedefine/>
    <w:uiPriority w:val="39"/>
    <w:unhideWhenUsed/>
    <w:rsid w:val="00CA1F0D"/>
    <w:pPr>
      <w:ind w:left="1200"/>
      <w:jc w:val="left"/>
    </w:pPr>
    <w:rPr>
      <w:rFonts w:ascii="Calibri" w:hAnsi="Calibri" w:cs="Times New Roman"/>
      <w:sz w:val="18"/>
      <w:szCs w:val="21"/>
    </w:rPr>
  </w:style>
  <w:style w:type="paragraph" w:styleId="TOC8">
    <w:name w:val="toc 8"/>
    <w:basedOn w:val="Normal"/>
    <w:next w:val="Normal"/>
    <w:autoRedefine/>
    <w:uiPriority w:val="39"/>
    <w:unhideWhenUsed/>
    <w:rsid w:val="00CA1F0D"/>
    <w:pPr>
      <w:ind w:left="1400"/>
      <w:jc w:val="left"/>
    </w:pPr>
    <w:rPr>
      <w:rFonts w:ascii="Calibri" w:hAnsi="Calibri" w:cs="Times New Roman"/>
      <w:sz w:val="18"/>
      <w:szCs w:val="21"/>
    </w:rPr>
  </w:style>
  <w:style w:type="paragraph" w:styleId="TOC9">
    <w:name w:val="toc 9"/>
    <w:basedOn w:val="Normal"/>
    <w:next w:val="Normal"/>
    <w:autoRedefine/>
    <w:uiPriority w:val="39"/>
    <w:unhideWhenUsed/>
    <w:rsid w:val="00CA1F0D"/>
    <w:pPr>
      <w:ind w:left="1600"/>
      <w:jc w:val="left"/>
    </w:pPr>
    <w:rPr>
      <w:rFonts w:ascii="Calibri" w:hAnsi="Calibri" w:cs="Times New Roman"/>
      <w:sz w:val="18"/>
      <w:szCs w:val="21"/>
    </w:rPr>
  </w:style>
  <w:style w:type="character" w:styleId="CommentReference">
    <w:name w:val="annotation reference"/>
    <w:uiPriority w:val="99"/>
    <w:semiHidden/>
    <w:unhideWhenUsed/>
    <w:rsid w:val="00CB326C"/>
    <w:rPr>
      <w:sz w:val="16"/>
      <w:szCs w:val="16"/>
    </w:rPr>
  </w:style>
  <w:style w:type="paragraph" w:styleId="CommentText">
    <w:name w:val="annotation text"/>
    <w:basedOn w:val="Normal"/>
    <w:link w:val="CommentTextChar"/>
    <w:uiPriority w:val="99"/>
    <w:semiHidden/>
    <w:unhideWhenUsed/>
    <w:rsid w:val="00CB326C"/>
    <w:pPr>
      <w:spacing w:after="160"/>
      <w:jc w:val="left"/>
    </w:pPr>
    <w:rPr>
      <w:rFonts w:ascii="Calibri" w:hAnsi="Calibri" w:cs="Arial"/>
      <w:szCs w:val="20"/>
      <w:lang w:val="en-GB"/>
    </w:rPr>
  </w:style>
  <w:style w:type="character" w:customStyle="1" w:styleId="CommentTextChar">
    <w:name w:val="Comment Text Char"/>
    <w:basedOn w:val="DefaultParagraphFont"/>
    <w:link w:val="CommentText"/>
    <w:uiPriority w:val="99"/>
    <w:semiHidden/>
    <w:rsid w:val="00CB326C"/>
    <w:rPr>
      <w:rFonts w:cs="Arial"/>
      <w:lang w:val="en-GB"/>
    </w:rPr>
  </w:style>
  <w:style w:type="paragraph" w:styleId="CommentSubject">
    <w:name w:val="annotation subject"/>
    <w:basedOn w:val="CommentText"/>
    <w:next w:val="CommentText"/>
    <w:link w:val="CommentSubjectChar"/>
    <w:uiPriority w:val="99"/>
    <w:semiHidden/>
    <w:unhideWhenUsed/>
    <w:rsid w:val="00436B6A"/>
    <w:pPr>
      <w:spacing w:after="0"/>
      <w:jc w:val="both"/>
    </w:pPr>
    <w:rPr>
      <w:rFonts w:ascii="Tahoma" w:hAnsi="Tahoma" w:cs="Helvetica"/>
      <w:b/>
      <w:bCs/>
      <w:lang w:val="fr-FR"/>
    </w:rPr>
  </w:style>
  <w:style w:type="character" w:customStyle="1" w:styleId="CommentSubjectChar">
    <w:name w:val="Comment Subject Char"/>
    <w:basedOn w:val="CommentTextChar"/>
    <w:link w:val="CommentSubject"/>
    <w:uiPriority w:val="99"/>
    <w:semiHidden/>
    <w:rsid w:val="00436B6A"/>
    <w:rPr>
      <w:rFonts w:ascii="Tahoma" w:hAnsi="Tahoma" w:cs="Arial"/>
      <w:b/>
      <w:bCs/>
      <w:lang w:val="fr-FR"/>
    </w:rPr>
  </w:style>
  <w:style w:type="character" w:styleId="FollowedHyperlink">
    <w:name w:val="FollowedHyperlink"/>
    <w:basedOn w:val="DefaultParagraphFont"/>
    <w:uiPriority w:val="99"/>
    <w:semiHidden/>
    <w:unhideWhenUsed/>
    <w:rsid w:val="001776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231586">
      <w:bodyDiv w:val="1"/>
      <w:marLeft w:val="0"/>
      <w:marRight w:val="0"/>
      <w:marTop w:val="0"/>
      <w:marBottom w:val="0"/>
      <w:divBdr>
        <w:top w:val="none" w:sz="0" w:space="0" w:color="auto"/>
        <w:left w:val="none" w:sz="0" w:space="0" w:color="auto"/>
        <w:bottom w:val="none" w:sz="0" w:space="0" w:color="auto"/>
        <w:right w:val="none" w:sz="0" w:space="0" w:color="auto"/>
      </w:divBdr>
    </w:div>
    <w:div w:id="841167350">
      <w:bodyDiv w:val="1"/>
      <w:marLeft w:val="0"/>
      <w:marRight w:val="0"/>
      <w:marTop w:val="0"/>
      <w:marBottom w:val="0"/>
      <w:divBdr>
        <w:top w:val="none" w:sz="0" w:space="0" w:color="auto"/>
        <w:left w:val="none" w:sz="0" w:space="0" w:color="auto"/>
        <w:bottom w:val="none" w:sz="0" w:space="0" w:color="auto"/>
        <w:right w:val="none" w:sz="0" w:space="0" w:color="auto"/>
      </w:divBdr>
    </w:div>
    <w:div w:id="924150395">
      <w:bodyDiv w:val="1"/>
      <w:marLeft w:val="0"/>
      <w:marRight w:val="0"/>
      <w:marTop w:val="0"/>
      <w:marBottom w:val="0"/>
      <w:divBdr>
        <w:top w:val="none" w:sz="0" w:space="0" w:color="auto"/>
        <w:left w:val="none" w:sz="0" w:space="0" w:color="auto"/>
        <w:bottom w:val="none" w:sz="0" w:space="0" w:color="auto"/>
        <w:right w:val="none" w:sz="0" w:space="0" w:color="auto"/>
      </w:divBdr>
    </w:div>
    <w:div w:id="1369725471">
      <w:bodyDiv w:val="1"/>
      <w:marLeft w:val="0"/>
      <w:marRight w:val="0"/>
      <w:marTop w:val="0"/>
      <w:marBottom w:val="0"/>
      <w:divBdr>
        <w:top w:val="none" w:sz="0" w:space="0" w:color="auto"/>
        <w:left w:val="none" w:sz="0" w:space="0" w:color="auto"/>
        <w:bottom w:val="none" w:sz="0" w:space="0" w:color="auto"/>
        <w:right w:val="none" w:sz="0" w:space="0" w:color="auto"/>
      </w:divBdr>
    </w:div>
    <w:div w:id="1589266512">
      <w:bodyDiv w:val="1"/>
      <w:marLeft w:val="0"/>
      <w:marRight w:val="0"/>
      <w:marTop w:val="0"/>
      <w:marBottom w:val="0"/>
      <w:divBdr>
        <w:top w:val="none" w:sz="0" w:space="0" w:color="auto"/>
        <w:left w:val="none" w:sz="0" w:space="0" w:color="auto"/>
        <w:bottom w:val="none" w:sz="0" w:space="0" w:color="auto"/>
        <w:right w:val="none" w:sz="0" w:space="0" w:color="auto"/>
      </w:divBdr>
    </w:div>
    <w:div w:id="1851480322">
      <w:bodyDiv w:val="1"/>
      <w:marLeft w:val="0"/>
      <w:marRight w:val="0"/>
      <w:marTop w:val="0"/>
      <w:marBottom w:val="0"/>
      <w:divBdr>
        <w:top w:val="none" w:sz="0" w:space="0" w:color="auto"/>
        <w:left w:val="none" w:sz="0" w:space="0" w:color="auto"/>
        <w:bottom w:val="none" w:sz="0" w:space="0" w:color="auto"/>
        <w:right w:val="none" w:sz="0" w:space="0" w:color="auto"/>
      </w:divBdr>
    </w:div>
    <w:div w:id="212469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alkarama.org/en/articles/saudi-arabia-specialised-criminal-court-sentences-man-death-after-severely-flawed-trial" TargetMode="External"/><Relationship Id="rId3" Type="http://schemas.openxmlformats.org/officeDocument/2006/relationships/hyperlink" Target="https://www.alkarama.org/en/documents/kingdomofarbitrarydetention-how-saudi-arabia-shuts-down-its-most-vocal-critics" TargetMode="External"/><Relationship Id="rId7" Type="http://schemas.openxmlformats.org/officeDocument/2006/relationships/hyperlink" Target="https://www.alkarama.org/en/articles/saudi-arabia-authorities-refuse-release-khaled-al-omeir-after-he-served-his-full-sentence" TargetMode="External"/><Relationship Id="rId2" Type="http://schemas.openxmlformats.org/officeDocument/2006/relationships/hyperlink" Target="https://www.alkarama.org/en/articles/saudi-arabia-jaber-al-amri-sentenced-seven-years-prison-posting-youtube-video" TargetMode="External"/><Relationship Id="rId1" Type="http://schemas.openxmlformats.org/officeDocument/2006/relationships/hyperlink" Target="https://www.alkarama.org/en/documents/kingdomofarbitrarydetention-how-saudi-arabia-shuts-down-its-most-vocal-critics" TargetMode="External"/><Relationship Id="rId6" Type="http://schemas.openxmlformats.org/officeDocument/2006/relationships/hyperlink" Target="https://www.alkarama.org/en/articles/saudi-arabia-prominent-human-rights-defender-issa-al-nukheifi-arrested-again" TargetMode="External"/><Relationship Id="rId5" Type="http://schemas.openxmlformats.org/officeDocument/2006/relationships/hyperlink" Target="https://www.alkarama.org/en/articles/saudi-arabia-two-human-rights-defenders-prosecuted-specialised-criminal-court" TargetMode="External"/><Relationship Id="rId4" Type="http://schemas.openxmlformats.org/officeDocument/2006/relationships/hyperlink" Target="https://www.alkarama.org/en/articles/saudi-arabia-sentence-prominent-human-rights-defender-and-acpra-member-essa-al-hamid" TargetMode="External"/><Relationship Id="rId9" Type="http://schemas.openxmlformats.org/officeDocument/2006/relationships/hyperlink" Target="http://www.ohchr.org/EN/NewsEvents/Pages/DisplayNews.aspx?NewsID=21585&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ZDrive\1.Shared\Questionnaires%20and%20templates\Templates\ENG\Reports\TB_Follow%20U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335E5-C304-4153-BCFF-3D5BE19664B6}"/>
</file>

<file path=customXml/itemProps2.xml><?xml version="1.0" encoding="utf-8"?>
<ds:datastoreItem xmlns:ds="http://schemas.openxmlformats.org/officeDocument/2006/customXml" ds:itemID="{9EB76896-AB5F-459F-AAAE-A78E21BE09C9}"/>
</file>

<file path=customXml/itemProps3.xml><?xml version="1.0" encoding="utf-8"?>
<ds:datastoreItem xmlns:ds="http://schemas.openxmlformats.org/officeDocument/2006/customXml" ds:itemID="{3308CA22-D7FC-45F1-8ACD-C20A8DC93C6A}"/>
</file>

<file path=customXml/itemProps4.xml><?xml version="1.0" encoding="utf-8"?>
<ds:datastoreItem xmlns:ds="http://schemas.openxmlformats.org/officeDocument/2006/customXml" ds:itemID="{BC78F1BA-B99A-4AD2-8A55-DB057F434826}"/>
</file>

<file path=docProps/app.xml><?xml version="1.0" encoding="utf-8"?>
<Properties xmlns="http://schemas.openxmlformats.org/officeDocument/2006/extended-properties" xmlns:vt="http://schemas.openxmlformats.org/officeDocument/2006/docPropsVTypes">
  <Template>TB_Follow Up.dot</Template>
  <TotalTime>1</TotalTime>
  <Pages>6</Pages>
  <Words>1767</Words>
  <Characters>10074</Characters>
  <Application>Microsoft Office Word</Application>
  <DocSecurity>0</DocSecurity>
  <Lines>83</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11818</CharactersWithSpaces>
  <SharedDoc>false</SharedDoc>
  <HLinks>
    <vt:vector size="72" baseType="variant">
      <vt:variant>
        <vt:i4>1966141</vt:i4>
      </vt:variant>
      <vt:variant>
        <vt:i4>68</vt:i4>
      </vt:variant>
      <vt:variant>
        <vt:i4>0</vt:i4>
      </vt:variant>
      <vt:variant>
        <vt:i4>5</vt:i4>
      </vt:variant>
      <vt:variant>
        <vt:lpwstr/>
      </vt:variant>
      <vt:variant>
        <vt:lpwstr>_Toc222895468</vt:lpwstr>
      </vt:variant>
      <vt:variant>
        <vt:i4>1966141</vt:i4>
      </vt:variant>
      <vt:variant>
        <vt:i4>62</vt:i4>
      </vt:variant>
      <vt:variant>
        <vt:i4>0</vt:i4>
      </vt:variant>
      <vt:variant>
        <vt:i4>5</vt:i4>
      </vt:variant>
      <vt:variant>
        <vt:lpwstr/>
      </vt:variant>
      <vt:variant>
        <vt:lpwstr>_Toc222895467</vt:lpwstr>
      </vt:variant>
      <vt:variant>
        <vt:i4>1966141</vt:i4>
      </vt:variant>
      <vt:variant>
        <vt:i4>56</vt:i4>
      </vt:variant>
      <vt:variant>
        <vt:i4>0</vt:i4>
      </vt:variant>
      <vt:variant>
        <vt:i4>5</vt:i4>
      </vt:variant>
      <vt:variant>
        <vt:lpwstr/>
      </vt:variant>
      <vt:variant>
        <vt:lpwstr>_Toc222895466</vt:lpwstr>
      </vt:variant>
      <vt:variant>
        <vt:i4>1966141</vt:i4>
      </vt:variant>
      <vt:variant>
        <vt:i4>50</vt:i4>
      </vt:variant>
      <vt:variant>
        <vt:i4>0</vt:i4>
      </vt:variant>
      <vt:variant>
        <vt:i4>5</vt:i4>
      </vt:variant>
      <vt:variant>
        <vt:lpwstr/>
      </vt:variant>
      <vt:variant>
        <vt:lpwstr>_Toc222895465</vt:lpwstr>
      </vt:variant>
      <vt:variant>
        <vt:i4>1966141</vt:i4>
      </vt:variant>
      <vt:variant>
        <vt:i4>44</vt:i4>
      </vt:variant>
      <vt:variant>
        <vt:i4>0</vt:i4>
      </vt:variant>
      <vt:variant>
        <vt:i4>5</vt:i4>
      </vt:variant>
      <vt:variant>
        <vt:lpwstr/>
      </vt:variant>
      <vt:variant>
        <vt:lpwstr>_Toc222895464</vt:lpwstr>
      </vt:variant>
      <vt:variant>
        <vt:i4>1966141</vt:i4>
      </vt:variant>
      <vt:variant>
        <vt:i4>38</vt:i4>
      </vt:variant>
      <vt:variant>
        <vt:i4>0</vt:i4>
      </vt:variant>
      <vt:variant>
        <vt:i4>5</vt:i4>
      </vt:variant>
      <vt:variant>
        <vt:lpwstr/>
      </vt:variant>
      <vt:variant>
        <vt:lpwstr>_Toc222895463</vt:lpwstr>
      </vt:variant>
      <vt:variant>
        <vt:i4>1966141</vt:i4>
      </vt:variant>
      <vt:variant>
        <vt:i4>32</vt:i4>
      </vt:variant>
      <vt:variant>
        <vt:i4>0</vt:i4>
      </vt:variant>
      <vt:variant>
        <vt:i4>5</vt:i4>
      </vt:variant>
      <vt:variant>
        <vt:lpwstr/>
      </vt:variant>
      <vt:variant>
        <vt:lpwstr>_Toc222895462</vt:lpwstr>
      </vt:variant>
      <vt:variant>
        <vt:i4>1966141</vt:i4>
      </vt:variant>
      <vt:variant>
        <vt:i4>26</vt:i4>
      </vt:variant>
      <vt:variant>
        <vt:i4>0</vt:i4>
      </vt:variant>
      <vt:variant>
        <vt:i4>5</vt:i4>
      </vt:variant>
      <vt:variant>
        <vt:lpwstr/>
      </vt:variant>
      <vt:variant>
        <vt:lpwstr>_Toc222895461</vt:lpwstr>
      </vt:variant>
      <vt:variant>
        <vt:i4>1966141</vt:i4>
      </vt:variant>
      <vt:variant>
        <vt:i4>20</vt:i4>
      </vt:variant>
      <vt:variant>
        <vt:i4>0</vt:i4>
      </vt:variant>
      <vt:variant>
        <vt:i4>5</vt:i4>
      </vt:variant>
      <vt:variant>
        <vt:lpwstr/>
      </vt:variant>
      <vt:variant>
        <vt:lpwstr>_Toc222895460</vt:lpwstr>
      </vt:variant>
      <vt:variant>
        <vt:i4>1900605</vt:i4>
      </vt:variant>
      <vt:variant>
        <vt:i4>14</vt:i4>
      </vt:variant>
      <vt:variant>
        <vt:i4>0</vt:i4>
      </vt:variant>
      <vt:variant>
        <vt:i4>5</vt:i4>
      </vt:variant>
      <vt:variant>
        <vt:lpwstr/>
      </vt:variant>
      <vt:variant>
        <vt:lpwstr>_Toc222895459</vt:lpwstr>
      </vt:variant>
      <vt:variant>
        <vt:i4>1900605</vt:i4>
      </vt:variant>
      <vt:variant>
        <vt:i4>8</vt:i4>
      </vt:variant>
      <vt:variant>
        <vt:i4>0</vt:i4>
      </vt:variant>
      <vt:variant>
        <vt:i4>5</vt:i4>
      </vt:variant>
      <vt:variant>
        <vt:lpwstr/>
      </vt:variant>
      <vt:variant>
        <vt:lpwstr>_Toc222895458</vt:lpwstr>
      </vt:variant>
      <vt:variant>
        <vt:i4>1900605</vt:i4>
      </vt:variant>
      <vt:variant>
        <vt:i4>2</vt:i4>
      </vt:variant>
      <vt:variant>
        <vt:i4>0</vt:i4>
      </vt:variant>
      <vt:variant>
        <vt:i4>5</vt:i4>
      </vt:variant>
      <vt:variant>
        <vt:lpwstr/>
      </vt:variant>
      <vt:variant>
        <vt:lpwstr>_Toc222895457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United Nations</cp:lastModifiedBy>
  <cp:revision>2</cp:revision>
  <cp:lastPrinted>2017-06-22T13:30:00Z</cp:lastPrinted>
  <dcterms:created xsi:type="dcterms:W3CDTF">2017-06-28T08:26:00Z</dcterms:created>
  <dcterms:modified xsi:type="dcterms:W3CDTF">2017-06-28T08:26:00Z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