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3" w14:textId="77777777" w:rsidR="004C798E" w:rsidRDefault="004C798E">
      <w:pPr>
        <w:rPr>
          <w:rFonts w:ascii="Bookman Old Style" w:eastAsia="Bookman Old Style" w:hAnsi="Bookman Old Style" w:cs="Bookman Old Style"/>
          <w:b/>
          <w:sz w:val="24"/>
          <w:szCs w:val="24"/>
          <w:highlight w:val="white"/>
        </w:rPr>
      </w:pPr>
    </w:p>
    <w:p w14:paraId="00000004" w14:textId="77777777" w:rsidR="004C798E" w:rsidRDefault="00AF209B">
      <w:pPr>
        <w:jc w:val="center"/>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 xml:space="preserve">Indonesian Civil Society Shadow Report </w:t>
      </w:r>
    </w:p>
    <w:p w14:paraId="00000005" w14:textId="77777777" w:rsidR="004C798E" w:rsidRDefault="00AF209B">
      <w:pPr>
        <w:jc w:val="center"/>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on the Indonesian Government Report</w:t>
      </w:r>
    </w:p>
    <w:p w14:paraId="00000006" w14:textId="77777777" w:rsidR="004C798E" w:rsidRDefault="00AF209B">
      <w:pPr>
        <w:jc w:val="center"/>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 xml:space="preserve">on the Implementation of the International Convention on the Protection </w:t>
      </w:r>
    </w:p>
    <w:p w14:paraId="00000007" w14:textId="77777777" w:rsidR="004C798E" w:rsidRDefault="00AF209B">
      <w:pPr>
        <w:jc w:val="center"/>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of All Migrant Workers and Members of their Families</w:t>
      </w:r>
    </w:p>
    <w:p w14:paraId="00000008" w14:textId="77777777" w:rsidR="004C798E" w:rsidRDefault="004C798E">
      <w:pPr>
        <w:jc w:val="center"/>
        <w:rPr>
          <w:rFonts w:ascii="Bookman Old Style" w:eastAsia="Bookman Old Style" w:hAnsi="Bookman Old Style" w:cs="Bookman Old Style"/>
          <w:b/>
          <w:sz w:val="24"/>
          <w:szCs w:val="24"/>
          <w:highlight w:val="white"/>
        </w:rPr>
      </w:pPr>
    </w:p>
    <w:p w14:paraId="00000009" w14:textId="77777777" w:rsidR="004C798E" w:rsidRDefault="00AF209B">
      <w:pPr>
        <w:jc w:val="center"/>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Prepared by:</w:t>
      </w:r>
    </w:p>
    <w:p w14:paraId="0000000A" w14:textId="77777777" w:rsidR="004C798E" w:rsidRDefault="00AF209B">
      <w:pPr>
        <w:jc w:val="center"/>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 xml:space="preserve">Migrant CARE, Human Rights Working Group, Mitra </w:t>
      </w:r>
      <w:proofErr w:type="spellStart"/>
      <w:r>
        <w:rPr>
          <w:rFonts w:ascii="Bookman Old Style" w:eastAsia="Bookman Old Style" w:hAnsi="Bookman Old Style" w:cs="Bookman Old Style"/>
          <w:b/>
          <w:sz w:val="24"/>
          <w:szCs w:val="24"/>
          <w:highlight w:val="white"/>
        </w:rPr>
        <w:t>Wacana</w:t>
      </w:r>
      <w:proofErr w:type="spellEnd"/>
      <w:r>
        <w:rPr>
          <w:rFonts w:ascii="Bookman Old Style" w:eastAsia="Bookman Old Style" w:hAnsi="Bookman Old Style" w:cs="Bookman Old Style"/>
          <w:b/>
          <w:sz w:val="24"/>
          <w:szCs w:val="24"/>
          <w:highlight w:val="white"/>
        </w:rPr>
        <w:t xml:space="preserve">, Greenpeace, </w:t>
      </w:r>
      <w:proofErr w:type="spellStart"/>
      <w:r>
        <w:rPr>
          <w:rFonts w:ascii="Bookman Old Style" w:eastAsia="Bookman Old Style" w:hAnsi="Bookman Old Style" w:cs="Bookman Old Style"/>
          <w:b/>
          <w:sz w:val="24"/>
          <w:szCs w:val="24"/>
          <w:highlight w:val="white"/>
        </w:rPr>
        <w:t>Koalisi</w:t>
      </w:r>
      <w:proofErr w:type="spellEnd"/>
      <w:r>
        <w:rPr>
          <w:rFonts w:ascii="Bookman Old Style" w:eastAsia="Bookman Old Style" w:hAnsi="Bookman Old Style" w:cs="Bookman Old Style"/>
          <w:b/>
          <w:sz w:val="24"/>
          <w:szCs w:val="24"/>
          <w:highlight w:val="white"/>
        </w:rPr>
        <w:t xml:space="preserve"> Perempuan Indonesia, Beranda Migran, Emancipate Indonesia, </w:t>
      </w:r>
      <w:proofErr w:type="spellStart"/>
      <w:r>
        <w:rPr>
          <w:rFonts w:ascii="Bookman Old Style" w:eastAsia="Bookman Old Style" w:hAnsi="Bookman Old Style" w:cs="Bookman Old Style"/>
          <w:b/>
          <w:sz w:val="24"/>
          <w:szCs w:val="24"/>
          <w:highlight w:val="white"/>
        </w:rPr>
        <w:t>Solidaritas</w:t>
      </w:r>
      <w:proofErr w:type="spellEnd"/>
      <w:r>
        <w:rPr>
          <w:rFonts w:ascii="Bookman Old Style" w:eastAsia="Bookman Old Style" w:hAnsi="Bookman Old Style" w:cs="Bookman Old Style"/>
          <w:b/>
          <w:sz w:val="24"/>
          <w:szCs w:val="24"/>
          <w:highlight w:val="white"/>
        </w:rPr>
        <w:t xml:space="preserve"> Perempuan, </w:t>
      </w:r>
      <w:proofErr w:type="spellStart"/>
      <w:r>
        <w:rPr>
          <w:rFonts w:ascii="Bookman Old Style" w:eastAsia="Bookman Old Style" w:hAnsi="Bookman Old Style" w:cs="Bookman Old Style"/>
          <w:b/>
          <w:sz w:val="24"/>
          <w:szCs w:val="24"/>
          <w:highlight w:val="white"/>
        </w:rPr>
        <w:t>Jaringan</w:t>
      </w:r>
      <w:proofErr w:type="spellEnd"/>
      <w:r>
        <w:rPr>
          <w:rFonts w:ascii="Bookman Old Style" w:eastAsia="Bookman Old Style" w:hAnsi="Bookman Old Style" w:cs="Bookman Old Style"/>
          <w:b/>
          <w:sz w:val="24"/>
          <w:szCs w:val="24"/>
          <w:highlight w:val="white"/>
        </w:rPr>
        <w:t xml:space="preserve"> </w:t>
      </w:r>
      <w:proofErr w:type="spellStart"/>
      <w:r>
        <w:rPr>
          <w:rFonts w:ascii="Bookman Old Style" w:eastAsia="Bookman Old Style" w:hAnsi="Bookman Old Style" w:cs="Bookman Old Style"/>
          <w:b/>
          <w:sz w:val="24"/>
          <w:szCs w:val="24"/>
          <w:highlight w:val="white"/>
        </w:rPr>
        <w:t>Buruh</w:t>
      </w:r>
      <w:proofErr w:type="spellEnd"/>
      <w:r>
        <w:rPr>
          <w:rFonts w:ascii="Bookman Old Style" w:eastAsia="Bookman Old Style" w:hAnsi="Bookman Old Style" w:cs="Bookman Old Style"/>
          <w:b/>
          <w:sz w:val="24"/>
          <w:szCs w:val="24"/>
          <w:highlight w:val="white"/>
        </w:rPr>
        <w:t xml:space="preserve"> Migran, </w:t>
      </w:r>
    </w:p>
    <w:p w14:paraId="0000000B" w14:textId="77777777" w:rsidR="004C798E" w:rsidRDefault="00AF209B">
      <w:pPr>
        <w:jc w:val="center"/>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 xml:space="preserve">Social Analysis and Research Institute, DESBUMI Jember, </w:t>
      </w:r>
    </w:p>
    <w:p w14:paraId="0000000C" w14:textId="77777777" w:rsidR="004C798E" w:rsidRDefault="00AF209B">
      <w:pPr>
        <w:jc w:val="center"/>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 xml:space="preserve">DESBUMI </w:t>
      </w:r>
      <w:proofErr w:type="spellStart"/>
      <w:r>
        <w:rPr>
          <w:rFonts w:ascii="Bookman Old Style" w:eastAsia="Bookman Old Style" w:hAnsi="Bookman Old Style" w:cs="Bookman Old Style"/>
          <w:b/>
          <w:sz w:val="24"/>
          <w:szCs w:val="24"/>
          <w:highlight w:val="white"/>
        </w:rPr>
        <w:t>Wonosobo</w:t>
      </w:r>
      <w:proofErr w:type="spellEnd"/>
      <w:r>
        <w:rPr>
          <w:rFonts w:ascii="Bookman Old Style" w:eastAsia="Bookman Old Style" w:hAnsi="Bookman Old Style" w:cs="Bookman Old Style"/>
          <w:b/>
          <w:sz w:val="24"/>
          <w:szCs w:val="24"/>
          <w:highlight w:val="white"/>
        </w:rPr>
        <w:t xml:space="preserve">, Yayasan </w:t>
      </w:r>
      <w:proofErr w:type="spellStart"/>
      <w:r>
        <w:rPr>
          <w:rFonts w:ascii="Bookman Old Style" w:eastAsia="Bookman Old Style" w:hAnsi="Bookman Old Style" w:cs="Bookman Old Style"/>
          <w:b/>
          <w:sz w:val="24"/>
          <w:szCs w:val="24"/>
          <w:highlight w:val="white"/>
        </w:rPr>
        <w:t>Integritas</w:t>
      </w:r>
      <w:proofErr w:type="spellEnd"/>
      <w:r>
        <w:rPr>
          <w:rFonts w:ascii="Bookman Old Style" w:eastAsia="Bookman Old Style" w:hAnsi="Bookman Old Style" w:cs="Bookman Old Style"/>
          <w:b/>
          <w:sz w:val="24"/>
          <w:szCs w:val="24"/>
          <w:highlight w:val="white"/>
        </w:rPr>
        <w:t xml:space="preserve"> Justitia Madani Indonesia</w:t>
      </w:r>
    </w:p>
    <w:p w14:paraId="0000000D" w14:textId="77777777" w:rsidR="004C798E" w:rsidRDefault="004C798E">
      <w:pPr>
        <w:jc w:val="center"/>
        <w:rPr>
          <w:rFonts w:ascii="Bookman Old Style" w:eastAsia="Bookman Old Style" w:hAnsi="Bookman Old Style" w:cs="Bookman Old Style"/>
          <w:b/>
          <w:sz w:val="24"/>
          <w:szCs w:val="24"/>
          <w:highlight w:val="white"/>
        </w:rPr>
      </w:pPr>
    </w:p>
    <w:p w14:paraId="0000000E" w14:textId="77777777" w:rsidR="004C798E" w:rsidRDefault="00AF209B">
      <w:pPr>
        <w:widowControl w:val="0"/>
        <w:spacing w:line="240" w:lineRule="auto"/>
        <w:ind w:left="-90"/>
        <w:jc w:val="center"/>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Submitted to:</w:t>
      </w:r>
    </w:p>
    <w:p w14:paraId="0000000F" w14:textId="77777777" w:rsidR="004C798E" w:rsidRDefault="004C798E">
      <w:pPr>
        <w:widowControl w:val="0"/>
        <w:spacing w:line="240" w:lineRule="auto"/>
        <w:ind w:left="-90"/>
        <w:jc w:val="center"/>
        <w:rPr>
          <w:rFonts w:ascii="Bookman Old Style" w:eastAsia="Bookman Old Style" w:hAnsi="Bookman Old Style" w:cs="Bookman Old Style"/>
          <w:b/>
          <w:sz w:val="24"/>
          <w:szCs w:val="24"/>
          <w:highlight w:val="white"/>
        </w:rPr>
      </w:pPr>
    </w:p>
    <w:p w14:paraId="00000010" w14:textId="77777777" w:rsidR="004C798E" w:rsidRDefault="00AF209B">
      <w:pPr>
        <w:widowControl w:val="0"/>
        <w:spacing w:line="240" w:lineRule="auto"/>
        <w:ind w:left="-90"/>
        <w:jc w:val="center"/>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 xml:space="preserve">The 41st Session of the UN Committee on Migrant Workers </w:t>
      </w:r>
    </w:p>
    <w:p w14:paraId="00000011" w14:textId="77777777" w:rsidR="004C798E" w:rsidRDefault="00AF209B">
      <w:pPr>
        <w:widowControl w:val="0"/>
        <w:spacing w:line="240" w:lineRule="auto"/>
        <w:ind w:left="-90"/>
        <w:jc w:val="center"/>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December 1-11, 2025</w:t>
      </w:r>
    </w:p>
    <w:p w14:paraId="00000012" w14:textId="77777777" w:rsidR="004C798E" w:rsidRDefault="004C798E">
      <w:pPr>
        <w:rPr>
          <w:rFonts w:ascii="Bookman Old Style" w:eastAsia="Bookman Old Style" w:hAnsi="Bookman Old Style" w:cs="Bookman Old Style"/>
          <w:b/>
          <w:sz w:val="24"/>
          <w:szCs w:val="24"/>
          <w:highlight w:val="white"/>
        </w:rPr>
      </w:pPr>
    </w:p>
    <w:p w14:paraId="00000013" w14:textId="77777777" w:rsidR="004C798E" w:rsidRDefault="00AF209B">
      <w:pPr>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Introduction</w:t>
      </w:r>
    </w:p>
    <w:p w14:paraId="00000014" w14:textId="77777777" w:rsidR="004C798E" w:rsidRDefault="00AF209B">
      <w:pPr>
        <w:spacing w:before="24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Indonesia has ratified the International Convention on the Protection of the Rights of All Migrant Workers and Members of Their Families (ICRMW) through  Law No. 6 of 2012. This convention is a core international human rights instrument that provides minimum standards of protection for migrant workers, both in regular and irregular situations, including their family members. The convention affirms that migration is a global social phenomenon that must be placed within the framework of human rights, not mere</w:t>
      </w:r>
      <w:r>
        <w:rPr>
          <w:rFonts w:ascii="Bookman Old Style" w:eastAsia="Bookman Old Style" w:hAnsi="Bookman Old Style" w:cs="Bookman Old Style"/>
          <w:sz w:val="24"/>
          <w:szCs w:val="24"/>
          <w:highlight w:val="white"/>
        </w:rPr>
        <w:t>ly economic relations or labor market interests.</w:t>
      </w:r>
    </w:p>
    <w:p w14:paraId="00000015" w14:textId="77777777" w:rsidR="004C798E" w:rsidRDefault="00AF209B">
      <w:pPr>
        <w:spacing w:before="24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In its implementation, there are significant gaps between the normative commitments of the state and the reality of protection for Indonesian migrant workers in the field, both in the pre-placement, placement, and post-placement phases, as well as Indonesia's commitment to protect foreign workers in Indonesia. In addition, various new forms of vulnerability have also emerged in the context of contemporary migration, such as technology-based human trafficking, maritime labor, cross-border cultural migration,</w:t>
      </w:r>
      <w:r>
        <w:rPr>
          <w:rFonts w:ascii="Bookman Old Style" w:eastAsia="Bookman Old Style" w:hAnsi="Bookman Old Style" w:cs="Bookman Old Style"/>
          <w:sz w:val="24"/>
          <w:szCs w:val="24"/>
          <w:highlight w:val="white"/>
        </w:rPr>
        <w:t xml:space="preserve"> apprenticeships that are misused as cheap labor schemes, and the placement of workers in areas of armed conflict.</w:t>
      </w:r>
    </w:p>
    <w:p w14:paraId="00000016" w14:textId="77777777" w:rsidR="004C798E" w:rsidRDefault="00AF209B">
      <w:pPr>
        <w:spacing w:before="24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 xml:space="preserve">This shadow report was prepared as a response from Indonesian civil society to the Indonesian government's report to the UN Committee on Migrant Workers, </w:t>
      </w:r>
      <w:r>
        <w:rPr>
          <w:rFonts w:ascii="Bookman Old Style" w:eastAsia="Bookman Old Style" w:hAnsi="Bookman Old Style" w:cs="Bookman Old Style"/>
          <w:sz w:val="24"/>
          <w:szCs w:val="24"/>
          <w:highlight w:val="white"/>
        </w:rPr>
        <w:lastRenderedPageBreak/>
        <w:t>with the aim of providing a critical analysis based on field findings, victim complaints, data from civil society organizations, and academic research. This report highlights structural gaps in protection, patterns of impunity, the weak functioning of the state in preventing, prosecuting, and remedying violations of migrant workers' rights, and identifies issues that have not been adequately addressed in the government report.</w:t>
      </w:r>
    </w:p>
    <w:p w14:paraId="00000017" w14:textId="77777777" w:rsidR="004C798E" w:rsidRDefault="00AF209B">
      <w:pPr>
        <w:spacing w:before="24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The purpose of this shadow report is to strengthen the UN Committee on Migrant Workers' reading of the actual situation of Indonesian migrant workers and to encourage the State party to take concrete, systematic, and human rights-based measures to ensure the respect, protection, fulfillment, and restoration of the rights of migrant workers and their families in accordance with the standards of the Convention.</w:t>
      </w:r>
    </w:p>
    <w:p w14:paraId="00000018" w14:textId="77777777" w:rsidR="004C798E" w:rsidRDefault="004C798E">
      <w:pPr>
        <w:rPr>
          <w:rFonts w:ascii="Bookman Old Style" w:eastAsia="Bookman Old Style" w:hAnsi="Bookman Old Style" w:cs="Bookman Old Style"/>
          <w:sz w:val="24"/>
          <w:szCs w:val="24"/>
          <w:highlight w:val="white"/>
        </w:rPr>
      </w:pPr>
    </w:p>
    <w:p w14:paraId="00000019" w14:textId="77777777" w:rsidR="004C798E" w:rsidRDefault="00AF209B">
      <w:pPr>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For the purposes of the 41st Session of the UN Committee on Migrant Workers, which will take place on December 1-11, 2025, this report complements and supplements the report submitted at the 39th Session based on the List of Issues Prior to Reporting (</w:t>
      </w:r>
      <w:proofErr w:type="spellStart"/>
      <w:r>
        <w:rPr>
          <w:rFonts w:ascii="Bookman Old Style" w:eastAsia="Bookman Old Style" w:hAnsi="Bookman Old Style" w:cs="Bookman Old Style"/>
          <w:sz w:val="24"/>
          <w:szCs w:val="24"/>
          <w:highlight w:val="white"/>
        </w:rPr>
        <w:t>LoIPR</w:t>
      </w:r>
      <w:proofErr w:type="spellEnd"/>
      <w:r>
        <w:rPr>
          <w:rFonts w:ascii="Bookman Old Style" w:eastAsia="Bookman Old Style" w:hAnsi="Bookman Old Style" w:cs="Bookman Old Style"/>
          <w:sz w:val="24"/>
          <w:szCs w:val="24"/>
          <w:highlight w:val="white"/>
        </w:rPr>
        <w:t>) and the Indonesian Government Report submitted on July 31, 2025.</w:t>
      </w:r>
    </w:p>
    <w:p w14:paraId="0000001A" w14:textId="77777777" w:rsidR="004C798E" w:rsidRDefault="004C798E">
      <w:pPr>
        <w:rPr>
          <w:rFonts w:ascii="Bookman Old Style" w:eastAsia="Bookman Old Style" w:hAnsi="Bookman Old Style" w:cs="Bookman Old Style"/>
          <w:sz w:val="24"/>
          <w:szCs w:val="24"/>
          <w:highlight w:val="white"/>
        </w:rPr>
      </w:pPr>
    </w:p>
    <w:p w14:paraId="0000001B" w14:textId="77777777" w:rsidR="004C798E" w:rsidRDefault="00AF209B">
      <w:pPr>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 xml:space="preserve">Report Preparation Methodology </w:t>
      </w:r>
    </w:p>
    <w:p w14:paraId="0000001C" w14:textId="77777777" w:rsidR="004C798E" w:rsidRDefault="00AF209B">
      <w:pPr>
        <w:spacing w:before="240" w:after="24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This shadow report was prepared by a coalition of civil society organizations working on issues of migrant worker protection and the prevention of human trafficking in Indonesia. The report was prepared using an evidence-based approach, combining the following data sources:</w:t>
      </w:r>
    </w:p>
    <w:p w14:paraId="52870060" w14:textId="77777777" w:rsidR="003B7A31" w:rsidRDefault="00AF209B" w:rsidP="003B7A31">
      <w:pPr>
        <w:numPr>
          <w:ilvl w:val="0"/>
          <w:numId w:val="4"/>
        </w:numPr>
        <w:spacing w:before="240"/>
        <w:jc w:val="both"/>
        <w:rPr>
          <w:sz w:val="24"/>
          <w:szCs w:val="24"/>
          <w:highlight w:val="white"/>
        </w:rPr>
      </w:pPr>
      <w:r>
        <w:rPr>
          <w:rFonts w:ascii="Bookman Old Style" w:eastAsia="Bookman Old Style" w:hAnsi="Bookman Old Style" w:cs="Bookman Old Style"/>
          <w:b/>
          <w:sz w:val="24"/>
          <w:szCs w:val="24"/>
          <w:highlight w:val="white"/>
        </w:rPr>
        <w:t>Case Experiences and Victim Complaints</w:t>
      </w:r>
      <w:r w:rsidR="003B7A31">
        <w:rPr>
          <w:rFonts w:ascii="Bookman Old Style" w:eastAsia="Bookman Old Style" w:hAnsi="Bookman Old Style" w:cs="Bookman Old Style"/>
          <w:b/>
          <w:sz w:val="24"/>
          <w:szCs w:val="24"/>
          <w:highlight w:val="white"/>
        </w:rPr>
        <w:t>.</w:t>
      </w:r>
    </w:p>
    <w:p w14:paraId="0000001D" w14:textId="52DBBA4D" w:rsidR="004C798E" w:rsidRDefault="00AF209B" w:rsidP="003B7A31">
      <w:pPr>
        <w:spacing w:before="240"/>
        <w:ind w:left="720"/>
        <w:jc w:val="both"/>
        <w:rPr>
          <w:rFonts w:ascii="Bookman Old Style" w:eastAsia="Bookman Old Style" w:hAnsi="Bookman Old Style" w:cs="Bookman Old Style"/>
          <w:sz w:val="24"/>
          <w:szCs w:val="24"/>
          <w:highlight w:val="white"/>
        </w:rPr>
      </w:pPr>
      <w:r w:rsidRPr="003B7A31">
        <w:rPr>
          <w:rFonts w:ascii="Bookman Old Style" w:eastAsia="Bookman Old Style" w:hAnsi="Bookman Old Style" w:cs="Bookman Old Style"/>
          <w:sz w:val="24"/>
          <w:szCs w:val="24"/>
          <w:highlight w:val="white"/>
        </w:rPr>
        <w:t>Referring to complaint data, case documentation, legal assistance, survivor interviews, and records of community services and civil society organizations at the local, national, and transnational levels.</w:t>
      </w:r>
    </w:p>
    <w:p w14:paraId="783E6FC4" w14:textId="77777777" w:rsidR="003B7A31" w:rsidRPr="003B7A31" w:rsidRDefault="003B7A31" w:rsidP="003B7A31">
      <w:pPr>
        <w:spacing w:before="240"/>
        <w:ind w:left="720"/>
        <w:jc w:val="both"/>
        <w:rPr>
          <w:sz w:val="24"/>
          <w:szCs w:val="24"/>
          <w:highlight w:val="white"/>
        </w:rPr>
      </w:pPr>
    </w:p>
    <w:p w14:paraId="68901F81" w14:textId="77777777" w:rsidR="003B7A31" w:rsidRPr="003B7A31" w:rsidRDefault="00AF209B">
      <w:pPr>
        <w:numPr>
          <w:ilvl w:val="0"/>
          <w:numId w:val="4"/>
        </w:numPr>
        <w:jc w:val="both"/>
        <w:rPr>
          <w:sz w:val="24"/>
          <w:szCs w:val="24"/>
          <w:highlight w:val="white"/>
        </w:rPr>
      </w:pPr>
      <w:r>
        <w:rPr>
          <w:rFonts w:ascii="Bookman Old Style" w:eastAsia="Bookman Old Style" w:hAnsi="Bookman Old Style" w:cs="Bookman Old Style"/>
          <w:b/>
          <w:sz w:val="24"/>
          <w:szCs w:val="24"/>
          <w:highlight w:val="white"/>
        </w:rPr>
        <w:t>Qualitative Research and Policy Analysis</w:t>
      </w:r>
      <w:r w:rsidR="003B7A31">
        <w:rPr>
          <w:rFonts w:ascii="Bookman Old Style" w:eastAsia="Bookman Old Style" w:hAnsi="Bookman Old Style" w:cs="Bookman Old Style"/>
          <w:b/>
          <w:sz w:val="24"/>
          <w:szCs w:val="24"/>
          <w:highlight w:val="white"/>
        </w:rPr>
        <w:t>.</w:t>
      </w:r>
    </w:p>
    <w:p w14:paraId="0000001E" w14:textId="33DAB64B" w:rsidR="004C798E" w:rsidRDefault="00AF209B" w:rsidP="003B7A31">
      <w:pPr>
        <w:ind w:left="720"/>
        <w:jc w:val="both"/>
        <w:rPr>
          <w:sz w:val="24"/>
          <w:szCs w:val="24"/>
          <w:highlight w:val="white"/>
        </w:rPr>
      </w:pPr>
      <w:r>
        <w:rPr>
          <w:rFonts w:ascii="Bookman Old Style" w:eastAsia="Bookman Old Style" w:hAnsi="Bookman Old Style" w:cs="Bookman Old Style"/>
          <w:b/>
          <w:sz w:val="24"/>
          <w:szCs w:val="24"/>
          <w:highlight w:val="white"/>
        </w:rPr>
        <w:br/>
      </w:r>
      <w:r>
        <w:rPr>
          <w:rFonts w:ascii="Bookman Old Style" w:eastAsia="Bookman Old Style" w:hAnsi="Bookman Old Style" w:cs="Bookman Old Style"/>
          <w:sz w:val="24"/>
          <w:szCs w:val="24"/>
          <w:highlight w:val="white"/>
        </w:rPr>
        <w:t>Using a review of national and international regulations, gap analysis between ratification and implementation, and a critical reading of state policies related to migration, labor, borders, digital platforms, apprenticeships, and law enforcement against human trafficking.</w:t>
      </w:r>
    </w:p>
    <w:p w14:paraId="2488003F" w14:textId="77777777" w:rsidR="003B7A31" w:rsidRPr="003B7A31" w:rsidRDefault="00AF209B">
      <w:pPr>
        <w:numPr>
          <w:ilvl w:val="0"/>
          <w:numId w:val="4"/>
        </w:numPr>
        <w:jc w:val="both"/>
        <w:rPr>
          <w:sz w:val="24"/>
          <w:szCs w:val="24"/>
          <w:highlight w:val="white"/>
        </w:rPr>
      </w:pPr>
      <w:r>
        <w:rPr>
          <w:rFonts w:ascii="Bookman Old Style" w:eastAsia="Bookman Old Style" w:hAnsi="Bookman Old Style" w:cs="Bookman Old Style"/>
          <w:b/>
          <w:sz w:val="24"/>
          <w:szCs w:val="24"/>
          <w:highlight w:val="white"/>
        </w:rPr>
        <w:t>Secondary Studies</w:t>
      </w:r>
      <w:r w:rsidR="003B7A31">
        <w:rPr>
          <w:rFonts w:ascii="Bookman Old Style" w:eastAsia="Bookman Old Style" w:hAnsi="Bookman Old Style" w:cs="Bookman Old Style"/>
          <w:b/>
          <w:sz w:val="24"/>
          <w:szCs w:val="24"/>
          <w:highlight w:val="white"/>
        </w:rPr>
        <w:t>.</w:t>
      </w:r>
    </w:p>
    <w:p w14:paraId="0000001F" w14:textId="16004C9E" w:rsidR="004C798E" w:rsidRDefault="00AF209B" w:rsidP="003B7A31">
      <w:pPr>
        <w:ind w:left="72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b/>
          <w:sz w:val="24"/>
          <w:szCs w:val="24"/>
          <w:highlight w:val="white"/>
        </w:rPr>
        <w:br/>
      </w:r>
      <w:r>
        <w:rPr>
          <w:rFonts w:ascii="Bookman Old Style" w:eastAsia="Bookman Old Style" w:hAnsi="Bookman Old Style" w:cs="Bookman Old Style"/>
          <w:sz w:val="24"/>
          <w:szCs w:val="24"/>
          <w:highlight w:val="white"/>
        </w:rPr>
        <w:t>Using reports from international institutions (ILO, IOM, UNODC, OHCHR), academic research, journal publications, national reports from government agencies (Ministry of Indonesian Migrant Workers Protection, Ministry of Manpower, Ministry of Maritime and Fisheries, Ministry of Foreign Affairs), and verifiable media investigative findings.</w:t>
      </w:r>
    </w:p>
    <w:p w14:paraId="57CC15D4" w14:textId="77777777" w:rsidR="003B7A31" w:rsidRDefault="003B7A31" w:rsidP="003B7A31">
      <w:pPr>
        <w:ind w:left="720"/>
        <w:jc w:val="both"/>
        <w:rPr>
          <w:sz w:val="24"/>
          <w:szCs w:val="24"/>
          <w:highlight w:val="white"/>
        </w:rPr>
      </w:pPr>
    </w:p>
    <w:p w14:paraId="605DBD2D" w14:textId="072F532C" w:rsidR="003B7A31" w:rsidRPr="003B7A31" w:rsidRDefault="00AF209B">
      <w:pPr>
        <w:numPr>
          <w:ilvl w:val="0"/>
          <w:numId w:val="4"/>
        </w:numPr>
        <w:jc w:val="both"/>
        <w:rPr>
          <w:sz w:val="24"/>
          <w:szCs w:val="24"/>
          <w:highlight w:val="white"/>
        </w:rPr>
      </w:pPr>
      <w:r>
        <w:rPr>
          <w:rFonts w:ascii="Bookman Old Style" w:eastAsia="Bookman Old Style" w:hAnsi="Bookman Old Style" w:cs="Bookman Old Style"/>
          <w:b/>
          <w:sz w:val="24"/>
          <w:szCs w:val="24"/>
          <w:highlight w:val="white"/>
        </w:rPr>
        <w:t>Focus Group Discussions and Community Consultations</w:t>
      </w:r>
      <w:r w:rsidR="003B7A31">
        <w:rPr>
          <w:rFonts w:ascii="Bookman Old Style" w:eastAsia="Bookman Old Style" w:hAnsi="Bookman Old Style" w:cs="Bookman Old Style"/>
          <w:b/>
          <w:sz w:val="24"/>
          <w:szCs w:val="24"/>
          <w:highlight w:val="white"/>
        </w:rPr>
        <w:t>.</w:t>
      </w:r>
      <w:r>
        <w:rPr>
          <w:rFonts w:ascii="Bookman Old Style" w:eastAsia="Bookman Old Style" w:hAnsi="Bookman Old Style" w:cs="Bookman Old Style"/>
          <w:b/>
          <w:sz w:val="24"/>
          <w:szCs w:val="24"/>
          <w:highlight w:val="white"/>
        </w:rPr>
        <w:br/>
      </w:r>
    </w:p>
    <w:p w14:paraId="00000020" w14:textId="4B6E4519" w:rsidR="004C798E" w:rsidRDefault="00AF209B" w:rsidP="003B7A31">
      <w:pPr>
        <w:ind w:left="72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Involving affected constituents, migrant women, youth groups, former migrant workers, village-based organizations, labor unions, and diaspora networks to ensure that grassroots voices and survivor perspectives are integrated into the analysis.</w:t>
      </w:r>
    </w:p>
    <w:p w14:paraId="37A934F8" w14:textId="77777777" w:rsidR="003B7A31" w:rsidRDefault="003B7A31" w:rsidP="003B7A31">
      <w:pPr>
        <w:ind w:left="720"/>
        <w:jc w:val="both"/>
        <w:rPr>
          <w:sz w:val="24"/>
          <w:szCs w:val="24"/>
          <w:highlight w:val="white"/>
        </w:rPr>
      </w:pPr>
    </w:p>
    <w:p w14:paraId="1030479F" w14:textId="77777777" w:rsidR="003B7A31" w:rsidRPr="003B7A31" w:rsidRDefault="00AF209B" w:rsidP="003B7A31">
      <w:pPr>
        <w:numPr>
          <w:ilvl w:val="0"/>
          <w:numId w:val="4"/>
        </w:numPr>
        <w:spacing w:after="240"/>
        <w:jc w:val="both"/>
        <w:rPr>
          <w:sz w:val="24"/>
          <w:szCs w:val="24"/>
          <w:highlight w:val="white"/>
        </w:rPr>
      </w:pPr>
      <w:r>
        <w:rPr>
          <w:rFonts w:ascii="Bookman Old Style" w:eastAsia="Bookman Old Style" w:hAnsi="Bookman Old Style" w:cs="Bookman Old Style"/>
          <w:b/>
          <w:sz w:val="24"/>
          <w:szCs w:val="24"/>
          <w:highlight w:val="white"/>
        </w:rPr>
        <w:t>Intersectional Approac</w:t>
      </w:r>
      <w:r w:rsidR="003B7A31">
        <w:rPr>
          <w:rFonts w:ascii="Bookman Old Style" w:eastAsia="Bookman Old Style" w:hAnsi="Bookman Old Style" w:cs="Bookman Old Style"/>
          <w:b/>
          <w:sz w:val="24"/>
          <w:szCs w:val="24"/>
          <w:highlight w:val="white"/>
        </w:rPr>
        <w:t xml:space="preserve">h. </w:t>
      </w:r>
    </w:p>
    <w:p w14:paraId="00000021" w14:textId="34327E9E" w:rsidR="004C798E" w:rsidRPr="003B7A31" w:rsidRDefault="00AF209B" w:rsidP="003B7A31">
      <w:pPr>
        <w:spacing w:after="240"/>
        <w:ind w:left="720"/>
        <w:jc w:val="both"/>
        <w:rPr>
          <w:sz w:val="24"/>
          <w:szCs w:val="24"/>
          <w:highlight w:val="white"/>
        </w:rPr>
      </w:pPr>
      <w:r w:rsidRPr="003B7A31">
        <w:rPr>
          <w:rFonts w:ascii="Bookman Old Style" w:eastAsia="Bookman Old Style" w:hAnsi="Bookman Old Style" w:cs="Bookman Old Style"/>
          <w:sz w:val="24"/>
          <w:szCs w:val="24"/>
          <w:highlight w:val="white"/>
        </w:rPr>
        <w:t>All analysis is conducted taking into account factors such as gender, age, class, region of origin, disability status, documentation status, and global technological/economic-political vulnerabilities that influence the migration experiences of Indonesian migrant workers.</w:t>
      </w:r>
    </w:p>
    <w:p w14:paraId="00000022" w14:textId="77777777" w:rsidR="004C798E" w:rsidRDefault="00AF209B">
      <w:pPr>
        <w:spacing w:before="240" w:after="24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This report is not merely a shadow report criticizing the state report, but provides an alternative reading that is more grassroots-oriented on the reality in the field, and ensures that the human rights and gender justice dimensions of migrant workers and their family members become one of the key references for the UN Committee for Migrant Workers evaluation of the Indonesian Government's implementation of the Convention.</w:t>
      </w:r>
    </w:p>
    <w:p w14:paraId="00000023" w14:textId="77777777" w:rsidR="004C798E" w:rsidRDefault="00AF209B">
      <w:pPr>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General Information</w:t>
      </w:r>
    </w:p>
    <w:p w14:paraId="00000024"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 xml:space="preserve">Although the Indonesian government has implemented Law No. 18 of 2017 concerning the Protection of Indonesian Migrant Workers (PPMI Law), its implementation does not comply with the standards of </w:t>
      </w:r>
      <w:r>
        <w:rPr>
          <w:rFonts w:ascii="Bookman Old Style" w:eastAsia="Bookman Old Style" w:hAnsi="Bookman Old Style" w:cs="Bookman Old Style"/>
          <w:i/>
          <w:sz w:val="24"/>
          <w:szCs w:val="24"/>
          <w:highlight w:val="white"/>
        </w:rPr>
        <w:t>the International Convention on the Protection of the Rights of All Migrant Workers and Members of Their Families</w:t>
      </w:r>
      <w:r>
        <w:rPr>
          <w:rFonts w:ascii="Bookman Old Style" w:eastAsia="Bookman Old Style" w:hAnsi="Bookman Old Style" w:cs="Bookman Old Style"/>
          <w:sz w:val="24"/>
          <w:szCs w:val="24"/>
          <w:highlight w:val="white"/>
        </w:rPr>
        <w:t xml:space="preserve"> (ICRMW). The PPMI law is not used to </w:t>
      </w:r>
      <w:r>
        <w:rPr>
          <w:rFonts w:ascii="Bookman Old Style" w:eastAsia="Bookman Old Style" w:hAnsi="Bookman Old Style" w:cs="Bookman Old Style"/>
          <w:sz w:val="26"/>
          <w:szCs w:val="26"/>
          <w:highlight w:val="white"/>
        </w:rPr>
        <w:t xml:space="preserve">implement </w:t>
      </w:r>
      <w:r>
        <w:rPr>
          <w:rFonts w:ascii="Bookman Old Style" w:eastAsia="Bookman Old Style" w:hAnsi="Bookman Old Style" w:cs="Bookman Old Style"/>
          <w:sz w:val="24"/>
          <w:szCs w:val="24"/>
          <w:highlight w:val="white"/>
        </w:rPr>
        <w:t xml:space="preserve">the </w:t>
      </w:r>
      <w:r>
        <w:rPr>
          <w:rFonts w:ascii="Bookman Old Style" w:eastAsia="Bookman Old Style" w:hAnsi="Bookman Old Style" w:cs="Bookman Old Style"/>
          <w:i/>
          <w:sz w:val="24"/>
          <w:szCs w:val="24"/>
          <w:highlight w:val="white"/>
        </w:rPr>
        <w:t xml:space="preserve">Global Compact for Safe, Orderly and Regular Migration. </w:t>
      </w:r>
      <w:r>
        <w:rPr>
          <w:rFonts w:ascii="Bookman Old Style" w:eastAsia="Bookman Old Style" w:hAnsi="Bookman Old Style" w:cs="Bookman Old Style"/>
          <w:sz w:val="24"/>
          <w:szCs w:val="24"/>
          <w:highlight w:val="white"/>
        </w:rPr>
        <w:t>On the contrary, there has been a decline in the quality of protection for migrant workers with the enactment of Law No. 6 of 2023 concerning Job Creation. The impact of the Job Creation Law is, first, to cancel the article tightening the licensing of migrant worker recruitment agencies und</w:t>
      </w:r>
      <w:r>
        <w:rPr>
          <w:rFonts w:ascii="Bookman Old Style" w:eastAsia="Bookman Old Style" w:hAnsi="Bookman Old Style" w:cs="Bookman Old Style"/>
          <w:sz w:val="24"/>
          <w:szCs w:val="24"/>
          <w:highlight w:val="white"/>
        </w:rPr>
        <w:t>er the pretext of facilitating investment through Article 89A. In fact, the tightening of licensing for migrant worker recruitment agencies is intended to ensure corporate accountability in the migrant worker placement business. 2) It weakens the mechanism for monitoring and punishing violations of migrant worker recruitment procedures through the addition of Article 89A to the Job Creation Law. Article 89A has the potential to undermine the spirit of articles that strictly supervise the operations of priva</w:t>
      </w:r>
      <w:r>
        <w:rPr>
          <w:rFonts w:ascii="Bookman Old Style" w:eastAsia="Bookman Old Style" w:hAnsi="Bookman Old Style" w:cs="Bookman Old Style"/>
          <w:sz w:val="24"/>
          <w:szCs w:val="24"/>
          <w:highlight w:val="white"/>
        </w:rPr>
        <w:t>te companies that have been conducting reckless recruitment processes for the sake of business profits without regard for the safety and protection of Indonesian migrant workers.</w:t>
      </w:r>
    </w:p>
    <w:p w14:paraId="00000025"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Since Indonesia ratified the ICRMW, there has been no MoU/bilateral agreement on the placement of migrant workers or its revision that is oriented towards and refers to the protection principles in the ICRMW and has a gender justice perspective. MOUs are more oriented towards the administration of migrant worker placement. To date, there has been no roadmap for the protection of Indonesian migrant workers because this is not explicitly reflected in development planning documents (RPJPN 2025 - 2045 and RPJMN</w:t>
      </w:r>
      <w:r>
        <w:rPr>
          <w:rFonts w:ascii="Bookman Old Style" w:eastAsia="Bookman Old Style" w:hAnsi="Bookman Old Style" w:cs="Bookman Old Style"/>
          <w:sz w:val="24"/>
          <w:szCs w:val="24"/>
          <w:highlight w:val="white"/>
        </w:rPr>
        <w:t xml:space="preserve"> 2025 - 2029). The Indonesian government has not yet provided a legal umbrella through the drafting and ratification of </w:t>
      </w:r>
      <w:r>
        <w:rPr>
          <w:rFonts w:ascii="Bookman Old Style" w:eastAsia="Bookman Old Style" w:hAnsi="Bookman Old Style" w:cs="Bookman Old Style"/>
          <w:i/>
          <w:sz w:val="24"/>
          <w:szCs w:val="24"/>
          <w:highlight w:val="white"/>
        </w:rPr>
        <w:t xml:space="preserve">the Global Compact for Safe, Orderly, and Regular Migration </w:t>
      </w:r>
      <w:r>
        <w:rPr>
          <w:rFonts w:ascii="Bookman Old Style" w:eastAsia="Bookman Old Style" w:hAnsi="Bookman Old Style" w:cs="Bookman Old Style"/>
          <w:sz w:val="24"/>
          <w:szCs w:val="24"/>
          <w:highlight w:val="white"/>
        </w:rPr>
        <w:t>National Action Plan</w:t>
      </w:r>
      <w:r>
        <w:rPr>
          <w:rFonts w:ascii="Bookman Old Style" w:eastAsia="Bookman Old Style" w:hAnsi="Bookman Old Style" w:cs="Bookman Old Style"/>
          <w:i/>
          <w:sz w:val="24"/>
          <w:szCs w:val="24"/>
          <w:highlight w:val="white"/>
        </w:rPr>
        <w:t xml:space="preserve">. </w:t>
      </w:r>
      <w:r>
        <w:rPr>
          <w:rFonts w:ascii="Bookman Old Style" w:eastAsia="Bookman Old Style" w:hAnsi="Bookman Old Style" w:cs="Bookman Old Style"/>
          <w:sz w:val="24"/>
          <w:szCs w:val="24"/>
          <w:highlight w:val="white"/>
        </w:rPr>
        <w:t xml:space="preserve">The latest legal framework related to Indonesian migrant workers is Presidential Regulation No. 130 of 2024 on Strengthening the Governance of Indonesian Migrant Worker Placement and Protection. This Presidential Regulation reduces the principles of migrant worker protection because it does not refer to the ICRMW convention and Law No. 18 of 2017, but instead refers back to Law No. 39 of 2004. </w:t>
      </w:r>
    </w:p>
    <w:p w14:paraId="00000026"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To date, there is still no comprehensive labor migration governance based on human rights and oriented towards the protection of migrant workers and their families. This has resulted in a lack of coordination between ministries and institutions that have the authority and responsibility to provide services and protection guarantees to migrant workers. There is still an overlap of authority and sectoral ego between the Ministry of Manpower, the Ministry of Indonesian Migrant Worker Protection, Ministry of Ma</w:t>
      </w:r>
      <w:r>
        <w:rPr>
          <w:rFonts w:ascii="Bookman Old Style" w:eastAsia="Bookman Old Style" w:hAnsi="Bookman Old Style" w:cs="Bookman Old Style"/>
          <w:sz w:val="24"/>
          <w:szCs w:val="24"/>
          <w:highlight w:val="white"/>
        </w:rPr>
        <w:t xml:space="preserve">ritime and Fisheries, and the Ministry of Foreign Affairs.  </w:t>
      </w:r>
    </w:p>
    <w:p w14:paraId="00000027"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To date, there is still no adequate data available on migrant worker mobility. The existing data is far from accurate, does not provide disaggregated data, and does not include data on disability in accordance with the Washington Group Questions on Disability. Initiatives to develop a data collection system called Satu Data Migrasi Internasional (One International Migration Data) have yet to show results. The lack of accurate data on labor migration and human trafficking has also caused Indonesia to exclude</w:t>
      </w:r>
      <w:r>
        <w:rPr>
          <w:rFonts w:ascii="Bookman Old Style" w:eastAsia="Bookman Old Style" w:hAnsi="Bookman Old Style" w:cs="Bookman Old Style"/>
          <w:sz w:val="24"/>
          <w:szCs w:val="24"/>
          <w:highlight w:val="white"/>
        </w:rPr>
        <w:t xml:space="preserve"> the situation regarding labor migration and human trafficking from the 2025 Indonesia SDGs Voluntary National Review in Goal 8. This is despite the fact that Goal 8 is related to safe migration and the end of modern slavery.</w:t>
      </w:r>
    </w:p>
    <w:p w14:paraId="00000028"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There has been a narrowing of civil society space, resulting in no longer any recognition of the role of civil society in providing protection services to migrant workers. In fact, what has happened is interference and threats to activities defending migrant workers and preventing human trafficking. Since 2025, the Ministry of Foreign Affairs has no longer held the Hassan Wirajuda Indonesian Citizen Protection Award, which included an award for civil society. The absence of this award means that there is no</w:t>
      </w:r>
      <w:r>
        <w:rPr>
          <w:rFonts w:ascii="Bookman Old Style" w:eastAsia="Bookman Old Style" w:hAnsi="Bookman Old Style" w:cs="Bookman Old Style"/>
          <w:sz w:val="24"/>
          <w:szCs w:val="24"/>
          <w:highlight w:val="white"/>
        </w:rPr>
        <w:t xml:space="preserve"> state recognition or appreciation for civil society in terms of protecting citizens, including migrant workers. In addition, there is no civil society representation in the composition of the Task Force Against Trafficking in Persons  under the Indonesian National Police. On the contrary, there has been criminalization of migrant workers and anti-trafficking activists in Batam, </w:t>
      </w:r>
      <w:proofErr w:type="spellStart"/>
      <w:r>
        <w:rPr>
          <w:rFonts w:ascii="Bookman Old Style" w:eastAsia="Bookman Old Style" w:hAnsi="Bookman Old Style" w:cs="Bookman Old Style"/>
          <w:sz w:val="24"/>
          <w:szCs w:val="24"/>
          <w:highlight w:val="white"/>
        </w:rPr>
        <w:t>Indramayu</w:t>
      </w:r>
      <w:proofErr w:type="spellEnd"/>
      <w:r>
        <w:rPr>
          <w:rFonts w:ascii="Bookman Old Style" w:eastAsia="Bookman Old Style" w:hAnsi="Bookman Old Style" w:cs="Bookman Old Style"/>
          <w:sz w:val="24"/>
          <w:szCs w:val="24"/>
          <w:highlight w:val="white"/>
        </w:rPr>
        <w:t>, and East Lampung, as experienced by Romo Paschalis (Catholic priest and anti-trafficking activist) and activists from t</w:t>
      </w:r>
      <w:r>
        <w:rPr>
          <w:rFonts w:ascii="Bookman Old Style" w:eastAsia="Bookman Old Style" w:hAnsi="Bookman Old Style" w:cs="Bookman Old Style"/>
          <w:sz w:val="24"/>
          <w:szCs w:val="24"/>
          <w:highlight w:val="white"/>
        </w:rPr>
        <w:t>he Indonesian Migrant Workers Union.</w:t>
      </w:r>
    </w:p>
    <w:p w14:paraId="00000029"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 xml:space="preserve">To date, there has been no massive and structured process of providing information on safe migration for prospective Indonesian migrant workers, so that access to migration information is dominated by brokers/sponsors, thereby neglecting the rights of prospective Indonesian migrant workers. In addition, budget efficiency across all districts has led to a reduction in the provision of information services. According to Migrant CARE </w:t>
      </w:r>
      <w:proofErr w:type="spellStart"/>
      <w:r>
        <w:rPr>
          <w:rFonts w:ascii="Bookman Old Style" w:eastAsia="Bookman Old Style" w:hAnsi="Bookman Old Style" w:cs="Bookman Old Style"/>
          <w:sz w:val="24"/>
          <w:szCs w:val="24"/>
          <w:highlight w:val="white"/>
        </w:rPr>
        <w:t>Wonosobo</w:t>
      </w:r>
      <w:proofErr w:type="spellEnd"/>
      <w:r>
        <w:rPr>
          <w:rFonts w:ascii="Bookman Old Style" w:eastAsia="Bookman Old Style" w:hAnsi="Bookman Old Style" w:cs="Bookman Old Style"/>
          <w:sz w:val="24"/>
          <w:szCs w:val="24"/>
          <w:highlight w:val="white"/>
        </w:rPr>
        <w:t xml:space="preserve"> data, prior to 2024, safe migration awareness programs were conducted five times a year. In 2024-2025, this has been reduced to three socialization program activities per year. This budget cut has actually widened the spread of misinformation/disinformation about safe migration for work. The Indonesian government has not yet implemented standard requirements for the issuance and renewal of labor agency licenses based on business principles and human rights as absolute requirements.</w:t>
      </w:r>
    </w:p>
    <w:p w14:paraId="0000002A"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 xml:space="preserve">To date, there are no specific policies or instruments for </w:t>
      </w:r>
      <w:r>
        <w:rPr>
          <w:rFonts w:ascii="Bookman Old Style" w:eastAsia="Bookman Old Style" w:hAnsi="Bookman Old Style" w:cs="Bookman Old Style"/>
          <w:i/>
          <w:sz w:val="24"/>
          <w:szCs w:val="24"/>
          <w:highlight w:val="white"/>
        </w:rPr>
        <w:t xml:space="preserve">labor </w:t>
      </w:r>
      <w:r>
        <w:rPr>
          <w:rFonts w:ascii="Bookman Old Style" w:eastAsia="Bookman Old Style" w:hAnsi="Bookman Old Style" w:cs="Bookman Old Style"/>
          <w:sz w:val="24"/>
          <w:szCs w:val="24"/>
          <w:highlight w:val="white"/>
        </w:rPr>
        <w:t>inspection to oversee the entire process of recruitment, appointment, and placement of migrant workers. Although there are oversight instruments, they are part of Government Regulation No. 59/2021 on the Protection of Indonesian Migrant Workers, so the oversight instruments are not specific, including measurable targets and achievements. The specific supervisory instruments still refer to Law No. 13 of 2003 concerning Manpower, where the scope of labor supervision refers to industrial relations in the</w:t>
      </w:r>
      <w:r>
        <w:rPr>
          <w:rFonts w:ascii="Bookman Old Style" w:eastAsia="Bookman Old Style" w:hAnsi="Bookman Old Style" w:cs="Bookman Old Style"/>
          <w:sz w:val="24"/>
          <w:szCs w:val="24"/>
          <w:highlight w:val="white"/>
        </w:rPr>
        <w:t xml:space="preserve"> manufacturing sector for domestic labor.  Although the role of private agencies in placing Indonesian migrant workers abroad needs to be constantly monitored to prevent exploitation, to date, the Indonesian government does not have a roadmap for ratifying the 1997 ILO Convention on Private Employment Agencies (No. 181).</w:t>
      </w:r>
    </w:p>
    <w:p w14:paraId="0000002B"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Migrant CARE and several civil society organizations have been monitoring the impact of COVID-19 on migrant workers, particularly their rights to mobility, health, and social protection. The results of this monitoring show that there is discrimination in the provision of health services and social protection rights against undocumented Indonesian migrant workers, especially in Malaysia. Migrant workers who returned to their homeland during the pandemic were stigmatized as carriers of the virus, and most did</w:t>
      </w:r>
      <w:r>
        <w:rPr>
          <w:rFonts w:ascii="Bookman Old Style" w:eastAsia="Bookman Old Style" w:hAnsi="Bookman Old Style" w:cs="Bookman Old Style"/>
          <w:sz w:val="24"/>
          <w:szCs w:val="24"/>
          <w:highlight w:val="white"/>
        </w:rPr>
        <w:t xml:space="preserve"> not have access to social security and social assistance.</w:t>
      </w:r>
    </w:p>
    <w:p w14:paraId="0000002C"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As a country that accepts foreign workers, the Indonesian government still tolerates racism, xenophobia, and discrimination against foreign workers, especially Chinese workers. So far, the Indonesian government has only regulated foreign workers in terms of licensing and taxation, with almost no regulation on protection. This has also encouraged officials from the Ministry of Manpower to engage in extortion and illegal fees, which has led to corruption cases involving high-ranking officials from the Ministr</w:t>
      </w:r>
      <w:r>
        <w:rPr>
          <w:rFonts w:ascii="Bookman Old Style" w:eastAsia="Bookman Old Style" w:hAnsi="Bookman Old Style" w:cs="Bookman Old Style"/>
          <w:sz w:val="24"/>
          <w:szCs w:val="24"/>
          <w:highlight w:val="white"/>
        </w:rPr>
        <w:t>y of Manpower, from the Director General to the Deputy Minister of Manpower.  The tolerance of racism, xenophobia, and discrimination against foreign workers has also caused horizontal conflicts with local workers.</w:t>
      </w:r>
    </w:p>
    <w:p w14:paraId="0000002D"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Migrant workers in the domestic worker sector, the fishing sector, the plantation sector, and young people who are trapped in forced criminality are migrant workers who are vulnerable to forced labor, trapped in human trafficking practices, and also subject to loss of life. The government has not responded seriously to the vulnerability experienced by migrant workers because it has not ratified ILO conventions, such as ILO Convention 188 and ILO Convention 189. Although ILO Convention No. 105 on the Aboliti</w:t>
      </w:r>
      <w:r>
        <w:rPr>
          <w:rFonts w:ascii="Bookman Old Style" w:eastAsia="Bookman Old Style" w:hAnsi="Bookman Old Style" w:cs="Bookman Old Style"/>
          <w:sz w:val="24"/>
          <w:szCs w:val="24"/>
          <w:highlight w:val="white"/>
        </w:rPr>
        <w:t>on of Forced Labor has been ratified by the government, this instrument has not been fully maximized to eliminate forced labor in the fisheries and plantation sectors and among young people trapped in forced criminality.</w:t>
      </w:r>
    </w:p>
    <w:p w14:paraId="0000002E"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Indonesian migrant workers' children who live with their families at their workplace are vulnerable to exclusion from their basic rights, deprived of access to education and health care, and not registered as citizens, making them vulnerable to statelessness. The establishment of Indonesian schools abroad is only prioritized for the children of diplomats and Indonesian representatives, making it very difficult for migrant workers' children to access them.</w:t>
      </w:r>
    </w:p>
    <w:p w14:paraId="0000002F"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 xml:space="preserve">According to a report from the </w:t>
      </w:r>
      <w:proofErr w:type="spellStart"/>
      <w:r>
        <w:rPr>
          <w:rFonts w:ascii="Bookman Old Style" w:eastAsia="Bookman Old Style" w:hAnsi="Bookman Old Style" w:cs="Bookman Old Style"/>
          <w:sz w:val="24"/>
          <w:szCs w:val="24"/>
          <w:highlight w:val="white"/>
        </w:rPr>
        <w:t>Koalisi</w:t>
      </w:r>
      <w:proofErr w:type="spellEnd"/>
      <w:r>
        <w:rPr>
          <w:rFonts w:ascii="Bookman Old Style" w:eastAsia="Bookman Old Style" w:hAnsi="Bookman Old Style" w:cs="Bookman Old Style"/>
          <w:sz w:val="24"/>
          <w:szCs w:val="24"/>
          <w:highlight w:val="white"/>
        </w:rPr>
        <w:t xml:space="preserve"> </w:t>
      </w:r>
      <w:proofErr w:type="spellStart"/>
      <w:r>
        <w:rPr>
          <w:rFonts w:ascii="Bookman Old Style" w:eastAsia="Bookman Old Style" w:hAnsi="Bookman Old Style" w:cs="Bookman Old Style"/>
          <w:sz w:val="24"/>
          <w:szCs w:val="24"/>
          <w:highlight w:val="white"/>
        </w:rPr>
        <w:t>Buruh</w:t>
      </w:r>
      <w:proofErr w:type="spellEnd"/>
      <w:r>
        <w:rPr>
          <w:rFonts w:ascii="Bookman Old Style" w:eastAsia="Bookman Old Style" w:hAnsi="Bookman Old Style" w:cs="Bookman Old Style"/>
          <w:sz w:val="24"/>
          <w:szCs w:val="24"/>
          <w:highlight w:val="white"/>
        </w:rPr>
        <w:t xml:space="preserve"> Migran Berdaulat, the Indonesian government has neglected cases of detention in immigration camps in the Sabah region of East Malaysia and the deportation process of Indonesian migrant workers who violate human rights. This neglect occurs because these migrant workers are undocumented, so they are blamed and criminalized.</w:t>
      </w:r>
    </w:p>
    <w:p w14:paraId="00000030"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The number of undocumented migrant workers is very high. World Bank data from 2017 shows that there are around 4.3 million, or 47% of Indonesian migrant workers working abroad without official documents. Protection policies actually close access by tightening passport regulations with discriminatory mechanisms and failing to crack down on passport syndicates/brokers involving officials both at home and abroad, and failing to create safe migration channels. PERTIMIG's experience in advocating for the extensi</w:t>
      </w:r>
      <w:r>
        <w:rPr>
          <w:rFonts w:ascii="Bookman Old Style" w:eastAsia="Bookman Old Style" w:hAnsi="Bookman Old Style" w:cs="Bookman Old Style"/>
          <w:sz w:val="24"/>
          <w:szCs w:val="24"/>
          <w:highlight w:val="white"/>
        </w:rPr>
        <w:t>on of migrant workers' passports shows that only the domestic worker sector is required to include employment contracts. This policy is discriminatory because it only regulates domestic workers.</w:t>
      </w:r>
    </w:p>
    <w:p w14:paraId="00000031"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 xml:space="preserve">The results of the </w:t>
      </w:r>
      <w:proofErr w:type="spellStart"/>
      <w:r>
        <w:rPr>
          <w:rFonts w:ascii="Bookman Old Style" w:eastAsia="Bookman Old Style" w:hAnsi="Bookman Old Style" w:cs="Bookman Old Style"/>
          <w:sz w:val="24"/>
          <w:szCs w:val="24"/>
          <w:highlight w:val="white"/>
        </w:rPr>
        <w:t>Jaringan</w:t>
      </w:r>
      <w:proofErr w:type="spellEnd"/>
      <w:r>
        <w:rPr>
          <w:rFonts w:ascii="Bookman Old Style" w:eastAsia="Bookman Old Style" w:hAnsi="Bookman Old Style" w:cs="Bookman Old Style"/>
          <w:sz w:val="24"/>
          <w:szCs w:val="24"/>
          <w:highlight w:val="white"/>
        </w:rPr>
        <w:t xml:space="preserve"> </w:t>
      </w:r>
      <w:proofErr w:type="spellStart"/>
      <w:r>
        <w:rPr>
          <w:rFonts w:ascii="Bookman Old Style" w:eastAsia="Bookman Old Style" w:hAnsi="Bookman Old Style" w:cs="Bookman Old Style"/>
          <w:sz w:val="24"/>
          <w:szCs w:val="24"/>
          <w:highlight w:val="white"/>
        </w:rPr>
        <w:t>Buruh</w:t>
      </w:r>
      <w:proofErr w:type="spellEnd"/>
      <w:r>
        <w:rPr>
          <w:rFonts w:ascii="Bookman Old Style" w:eastAsia="Bookman Old Style" w:hAnsi="Bookman Old Style" w:cs="Bookman Old Style"/>
          <w:sz w:val="24"/>
          <w:szCs w:val="24"/>
          <w:highlight w:val="white"/>
        </w:rPr>
        <w:t xml:space="preserve"> Migran assessment of the implementation of the Indonesia-Malaysia MoU in the domestic sector show that 31.6% of domestic workers do not have contracts, 21.1% (burdened with placement costs of 5-10 million), 26.3% (passport documents are kept by the employer), and 26.3% (do not receive decent working conditions). PERTIMIG Malaysia also underlined that the policy of extending employment contracts in the domestic worker sector must go through a single channel (</w:t>
      </w:r>
      <w:r>
        <w:rPr>
          <w:rFonts w:ascii="Bookman Old Style" w:eastAsia="Bookman Old Style" w:hAnsi="Bookman Old Style" w:cs="Bookman Old Style"/>
          <w:i/>
          <w:sz w:val="24"/>
          <w:szCs w:val="24"/>
          <w:highlight w:val="white"/>
        </w:rPr>
        <w:t xml:space="preserve">one channel system) that is </w:t>
      </w:r>
      <w:r>
        <w:rPr>
          <w:rFonts w:ascii="Bookman Old Style" w:eastAsia="Bookman Old Style" w:hAnsi="Bookman Old Style" w:cs="Bookman Old Style"/>
          <w:sz w:val="24"/>
          <w:szCs w:val="24"/>
          <w:highlight w:val="white"/>
        </w:rPr>
        <w:t>discrim</w:t>
      </w:r>
      <w:r>
        <w:rPr>
          <w:rFonts w:ascii="Bookman Old Style" w:eastAsia="Bookman Old Style" w:hAnsi="Bookman Old Style" w:cs="Bookman Old Style"/>
          <w:sz w:val="24"/>
          <w:szCs w:val="24"/>
          <w:highlight w:val="white"/>
        </w:rPr>
        <w:t xml:space="preserve">inatory, bureaucratic, non-inclusive, and adds to the burden of Indonesian migrant workers because employers and workers no longer extend employment contracts at the Indonesian Embassy/Consulate General but are represented by agencies. </w:t>
      </w:r>
    </w:p>
    <w:p w14:paraId="00000032"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In the case of the criminalization of Mary Jane Veloso, a Filipino woman who was a victim of human trafficking and became trapped in a drug trafficking syndicate, the Indonesian government did not apply the Non-Punishment Principle, which is the global standard for the protection of victims of human trafficking. Instead, Mary Jane Veloso was repatriated through the Transfer of Prisoners mechanism.</w:t>
      </w:r>
    </w:p>
    <w:p w14:paraId="00000033"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Although Law No. 18/2017 in Article 22 mandates the existence of a Labor Attaché, to date, there has been no policy (in the form of a Government Regulation) regarding the Labor Attaché. There are differences of opinion between the Ministry of Manpower, the Ministry of Foreign Affairs, and the Ministry of Protection of Indonesian Migrant Workers regarding who the labor attaché is and what their function is. According to the testimony of survivors of forced criminality in Cambodia, they did not receive the pr</w:t>
      </w:r>
      <w:r>
        <w:rPr>
          <w:rFonts w:ascii="Bookman Old Style" w:eastAsia="Bookman Old Style" w:hAnsi="Bookman Old Style" w:cs="Bookman Old Style"/>
          <w:sz w:val="24"/>
          <w:szCs w:val="24"/>
          <w:highlight w:val="white"/>
        </w:rPr>
        <w:t>otection services they should have when they reported their cases to the Indonesian Embassy in Phnom Penh, Cambodia. Staff from the Indonesian representative office in Cambodia often blamed the victims and even advised them to return to work at the scam center.</w:t>
      </w:r>
    </w:p>
    <w:p w14:paraId="00000034"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 xml:space="preserve">Although BPJS </w:t>
      </w:r>
      <w:proofErr w:type="spellStart"/>
      <w:r>
        <w:rPr>
          <w:rFonts w:ascii="Bookman Old Style" w:eastAsia="Bookman Old Style" w:hAnsi="Bookman Old Style" w:cs="Bookman Old Style"/>
          <w:sz w:val="24"/>
          <w:szCs w:val="24"/>
          <w:highlight w:val="white"/>
        </w:rPr>
        <w:t>Ketenagakerjaan</w:t>
      </w:r>
      <w:proofErr w:type="spellEnd"/>
      <w:r>
        <w:rPr>
          <w:rFonts w:ascii="Bookman Old Style" w:eastAsia="Bookman Old Style" w:hAnsi="Bookman Old Style" w:cs="Bookman Old Style"/>
          <w:sz w:val="24"/>
          <w:szCs w:val="24"/>
          <w:highlight w:val="white"/>
        </w:rPr>
        <w:t xml:space="preserve"> has a social security program for migrant workers, to date, only around 650,000 Indonesian migrant workers have participated. This number is very small compared to the total number of Indonesian migrant workers, which is 6.5 million. The low number of participants is due to BPJS </w:t>
      </w:r>
      <w:proofErr w:type="spellStart"/>
      <w:r>
        <w:rPr>
          <w:rFonts w:ascii="Bookman Old Style" w:eastAsia="Bookman Old Style" w:hAnsi="Bookman Old Style" w:cs="Bookman Old Style"/>
          <w:sz w:val="24"/>
          <w:szCs w:val="24"/>
          <w:highlight w:val="white"/>
        </w:rPr>
        <w:t>Ketenagakerjaan's</w:t>
      </w:r>
      <w:proofErr w:type="spellEnd"/>
      <w:r>
        <w:rPr>
          <w:rFonts w:ascii="Bookman Old Style" w:eastAsia="Bookman Old Style" w:hAnsi="Bookman Old Style" w:cs="Bookman Old Style"/>
          <w:sz w:val="24"/>
          <w:szCs w:val="24"/>
          <w:highlight w:val="white"/>
        </w:rPr>
        <w:t xml:space="preserve"> claims that cannot be accessed/are limited overseas, and the lack of a scheme for Contribution Assistance Recipients (where contributions are paid by the state), even though Indonesian migrant worke</w:t>
      </w:r>
      <w:r>
        <w:rPr>
          <w:rFonts w:ascii="Bookman Old Style" w:eastAsia="Bookman Old Style" w:hAnsi="Bookman Old Style" w:cs="Bookman Old Style"/>
          <w:sz w:val="24"/>
          <w:szCs w:val="24"/>
          <w:highlight w:val="white"/>
        </w:rPr>
        <w:t xml:space="preserve">rs contribute greatly to the Indonesian economy. Currently, BPJS </w:t>
      </w:r>
      <w:proofErr w:type="spellStart"/>
      <w:r>
        <w:rPr>
          <w:rFonts w:ascii="Bookman Old Style" w:eastAsia="Bookman Old Style" w:hAnsi="Bookman Old Style" w:cs="Bookman Old Style"/>
          <w:sz w:val="24"/>
          <w:szCs w:val="24"/>
          <w:highlight w:val="white"/>
        </w:rPr>
        <w:t>Ketenagakerjaan</w:t>
      </w:r>
      <w:proofErr w:type="spellEnd"/>
      <w:r>
        <w:rPr>
          <w:rFonts w:ascii="Bookman Old Style" w:eastAsia="Bookman Old Style" w:hAnsi="Bookman Old Style" w:cs="Bookman Old Style"/>
          <w:sz w:val="24"/>
          <w:szCs w:val="24"/>
          <w:highlight w:val="white"/>
        </w:rPr>
        <w:t xml:space="preserve"> has not seriously implemented the Social Security Portability scheme by establishing social security providers in destination countries, even though this scheme is possible through the ASEAN Declaration on Portability of Social Security Benefit for Migrant Workers in ASEAN. </w:t>
      </w:r>
    </w:p>
    <w:p w14:paraId="00000035"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To date, there has been no pre-departure orientation program to prepare prospective migrant workers with a perspective of strengthening migrant workers' rights. The Pre-Departure Orientation Program is still a formality, dominated by Indonesian migrant worker placement companies, and does not involve civil society organizations.</w:t>
      </w:r>
    </w:p>
    <w:p w14:paraId="00000036"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Although Indonesian migrant workers abroad are accommodated in the implementation of Indonesian elections, there are no serious efforts to ensure that the political rights of Indonesian migrant workers are fulfilled in Indonesian elections. In the last three elections, voter participation among Indonesian migrant workers was low because only a few Indonesian migrant workers were registered in the Permanent Overseas Voter List. Of the at least 6.5 million Indonesian migrant workers and Indonesian citizens ab</w:t>
      </w:r>
      <w:r>
        <w:rPr>
          <w:rFonts w:ascii="Bookman Old Style" w:eastAsia="Bookman Old Style" w:hAnsi="Bookman Old Style" w:cs="Bookman Old Style"/>
          <w:sz w:val="24"/>
          <w:szCs w:val="24"/>
          <w:highlight w:val="white"/>
        </w:rPr>
        <w:t>road, only about 1.75 million are registered as voters in the Permanent Overseas Voter List. To date, demands for overseas territories to become their own electoral districts have not been approved, even though Indonesian migrant workers and Indonesian citizens abroad need special representation.</w:t>
      </w:r>
    </w:p>
    <w:p w14:paraId="00000037"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In terms of the continuation of the kafala system in the exploitative migrant worker recruitment system in the Middle East, the Indonesian government tends to be passive and considers the system to be normal in the structure of Middle Eastern society. The Indonesian government is not in a proactive position with other countries and international labor organizations that are pushing for the abolition of the kafala system.</w:t>
      </w:r>
    </w:p>
    <w:p w14:paraId="00000038"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Since Indonesia implemented a moratorium on sending Indonesian migrant workers to the Middle East, there have been no serious efforts to urge Middle Eastern countries to adopt policies to protect migrant workers through diplomatic measures. Plans to lift the moratorium are not based on fulfilling the human rights of migrant workers but rather on efforts to increase foreign exchange earnings.</w:t>
      </w:r>
    </w:p>
    <w:p w14:paraId="00000039"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 xml:space="preserve">According to the 2023 report by the National Commission on Violence Against Women, only 5% of all complaints of violence against female migrant workers received redress or compensation.  The results of a thorough investigation by the </w:t>
      </w:r>
      <w:proofErr w:type="spellStart"/>
      <w:r>
        <w:rPr>
          <w:rFonts w:ascii="Bookman Old Style" w:eastAsia="Bookman Old Style" w:hAnsi="Bookman Old Style" w:cs="Bookman Old Style"/>
          <w:sz w:val="24"/>
          <w:szCs w:val="24"/>
          <w:highlight w:val="white"/>
        </w:rPr>
        <w:t>Jaringan</w:t>
      </w:r>
      <w:proofErr w:type="spellEnd"/>
      <w:r>
        <w:rPr>
          <w:rFonts w:ascii="Bookman Old Style" w:eastAsia="Bookman Old Style" w:hAnsi="Bookman Old Style" w:cs="Bookman Old Style"/>
          <w:sz w:val="24"/>
          <w:szCs w:val="24"/>
          <w:highlight w:val="white"/>
        </w:rPr>
        <w:t xml:space="preserve"> </w:t>
      </w:r>
      <w:proofErr w:type="spellStart"/>
      <w:r>
        <w:rPr>
          <w:rFonts w:ascii="Bookman Old Style" w:eastAsia="Bookman Old Style" w:hAnsi="Bookman Old Style" w:cs="Bookman Old Style"/>
          <w:sz w:val="24"/>
          <w:szCs w:val="24"/>
          <w:highlight w:val="white"/>
        </w:rPr>
        <w:t>Buruh</w:t>
      </w:r>
      <w:proofErr w:type="spellEnd"/>
      <w:r>
        <w:rPr>
          <w:rFonts w:ascii="Bookman Old Style" w:eastAsia="Bookman Old Style" w:hAnsi="Bookman Old Style" w:cs="Bookman Old Style"/>
          <w:sz w:val="24"/>
          <w:szCs w:val="24"/>
          <w:highlight w:val="white"/>
        </w:rPr>
        <w:t xml:space="preserve"> Migran of 79 P3MI (Indonesian recruitment agency) showed that 45% of P3MI charged placement fees to migrant workers, and there were no sanctions against these P3MI. This data reflects that access to justice for Indonesian migrant workers is still very weak. The implementation of the Law No. 18/2017 has not been carried out, so it cannot guarantee the fulfillment of economic, political, social, and cultural rights, including the right to recovery for victims. On the other hand, law enforcement</w:t>
      </w:r>
      <w:r>
        <w:rPr>
          <w:rFonts w:ascii="Bookman Old Style" w:eastAsia="Bookman Old Style" w:hAnsi="Bookman Old Style" w:cs="Bookman Old Style"/>
          <w:sz w:val="24"/>
          <w:szCs w:val="24"/>
          <w:highlight w:val="white"/>
        </w:rPr>
        <w:t xml:space="preserve"> is so weak that it actually creates a space for impunity for perpetrators of violations.</w:t>
      </w:r>
    </w:p>
    <w:p w14:paraId="0000003A" w14:textId="77777777" w:rsidR="004C798E" w:rsidRDefault="00AF209B">
      <w:pPr>
        <w:numPr>
          <w:ilvl w:val="0"/>
          <w:numId w:val="2"/>
        </w:numPr>
        <w:ind w:left="1260" w:hanging="45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Regarding the plan to ratify the International Convention for the Protection of All Persons from Enforced Disappearance, the Indonesian government has not shown any seriousness in ratifying it. To date, there is no road map towards ratification. Even during the peaceful demonstrations in August-September 2025, the practices of kidnapping and enforced disappearance were still used to quell protests. To date, the Indonesian government has still not resolved the cases of kidnapping and enforced disappearance o</w:t>
      </w:r>
      <w:r>
        <w:rPr>
          <w:rFonts w:ascii="Bookman Old Style" w:eastAsia="Bookman Old Style" w:hAnsi="Bookman Old Style" w:cs="Bookman Old Style"/>
          <w:sz w:val="24"/>
          <w:szCs w:val="24"/>
          <w:highlight w:val="white"/>
        </w:rPr>
        <w:t>f activists in 1997-1998 and, on the contrary, continues to pursue a policy of impunity whereby the perpetrators of the kidnappings have not been punished.</w:t>
      </w:r>
    </w:p>
    <w:p w14:paraId="0000003B" w14:textId="77777777" w:rsidR="004C798E" w:rsidRDefault="004C798E">
      <w:pPr>
        <w:jc w:val="both"/>
        <w:rPr>
          <w:rFonts w:ascii="Bookman Old Style" w:eastAsia="Bookman Old Style" w:hAnsi="Bookman Old Style" w:cs="Bookman Old Style"/>
          <w:sz w:val="24"/>
          <w:szCs w:val="24"/>
          <w:highlight w:val="white"/>
        </w:rPr>
      </w:pPr>
    </w:p>
    <w:p w14:paraId="0000003C" w14:textId="77777777" w:rsidR="004C798E" w:rsidRDefault="00AF209B">
      <w:pPr>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In writing this shadow report, we also pay special attention to issues related to vulnerable groups that we consider important in the implementation of the convention. We have mapped these vulnerable groups in accordance with the List of Issues Prior to Reporting (</w:t>
      </w:r>
      <w:proofErr w:type="spellStart"/>
      <w:r>
        <w:rPr>
          <w:rFonts w:ascii="Bookman Old Style" w:eastAsia="Bookman Old Style" w:hAnsi="Bookman Old Style" w:cs="Bookman Old Style"/>
          <w:sz w:val="24"/>
          <w:szCs w:val="24"/>
          <w:highlight w:val="white"/>
        </w:rPr>
        <w:t>LoIPR</w:t>
      </w:r>
      <w:proofErr w:type="spellEnd"/>
      <w:r>
        <w:rPr>
          <w:rFonts w:ascii="Bookman Old Style" w:eastAsia="Bookman Old Style" w:hAnsi="Bookman Old Style" w:cs="Bookman Old Style"/>
          <w:sz w:val="24"/>
          <w:szCs w:val="24"/>
          <w:highlight w:val="white"/>
        </w:rPr>
        <w:t>) provided by the Committee. The main focus areas are as follows:</w:t>
      </w:r>
    </w:p>
    <w:p w14:paraId="0000003D" w14:textId="77777777" w:rsidR="004C798E" w:rsidRDefault="004C798E">
      <w:pPr>
        <w:jc w:val="both"/>
        <w:rPr>
          <w:rFonts w:ascii="Bookman Old Style" w:eastAsia="Bookman Old Style" w:hAnsi="Bookman Old Style" w:cs="Bookman Old Style"/>
          <w:sz w:val="24"/>
          <w:szCs w:val="24"/>
          <w:highlight w:val="white"/>
        </w:rPr>
      </w:pPr>
    </w:p>
    <w:p w14:paraId="0000003E" w14:textId="77777777" w:rsidR="004C798E" w:rsidRDefault="00AF209B">
      <w:pPr>
        <w:numPr>
          <w:ilvl w:val="0"/>
          <w:numId w:val="1"/>
        </w:numPr>
        <w:jc w:val="both"/>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 xml:space="preserve">Domestic Workers </w:t>
      </w:r>
    </w:p>
    <w:p w14:paraId="0000003F" w14:textId="77777777" w:rsidR="004C798E" w:rsidRDefault="00AF209B">
      <w:pPr>
        <w:ind w:left="720"/>
        <w:jc w:val="both"/>
        <w:rPr>
          <w:rFonts w:ascii="Bookman Old Style" w:eastAsia="Bookman Old Style" w:hAnsi="Bookman Old Style" w:cs="Bookman Old Style"/>
          <w:strike/>
          <w:sz w:val="24"/>
          <w:szCs w:val="24"/>
          <w:highlight w:val="white"/>
        </w:rPr>
      </w:pPr>
      <w:r>
        <w:rPr>
          <w:rFonts w:ascii="Bookman Old Style" w:eastAsia="Bookman Old Style" w:hAnsi="Bookman Old Style" w:cs="Bookman Old Style"/>
          <w:sz w:val="24"/>
          <w:szCs w:val="24"/>
          <w:highlight w:val="white"/>
        </w:rPr>
        <w:t xml:space="preserve">To date, government policy has tended to emphasize increasing the number of </w:t>
      </w:r>
      <w:r>
        <w:rPr>
          <w:rFonts w:ascii="Bookman Old Style" w:eastAsia="Bookman Old Style" w:hAnsi="Bookman Old Style" w:cs="Bookman Old Style"/>
          <w:i/>
          <w:sz w:val="24"/>
          <w:szCs w:val="24"/>
          <w:highlight w:val="white"/>
        </w:rPr>
        <w:t>skilled</w:t>
      </w:r>
      <w:r>
        <w:rPr>
          <w:rFonts w:ascii="Bookman Old Style" w:eastAsia="Bookman Old Style" w:hAnsi="Bookman Old Style" w:cs="Bookman Old Style"/>
          <w:sz w:val="24"/>
          <w:szCs w:val="24"/>
          <w:highlight w:val="white"/>
        </w:rPr>
        <w:t xml:space="preserve"> migrant </w:t>
      </w:r>
      <w:r>
        <w:rPr>
          <w:rFonts w:ascii="Bookman Old Style" w:eastAsia="Bookman Old Style" w:hAnsi="Bookman Old Style" w:cs="Bookman Old Style"/>
          <w:i/>
          <w:sz w:val="24"/>
          <w:szCs w:val="24"/>
          <w:highlight w:val="white"/>
        </w:rPr>
        <w:t xml:space="preserve">workers </w:t>
      </w:r>
      <w:r>
        <w:rPr>
          <w:rFonts w:ascii="Bookman Old Style" w:eastAsia="Bookman Old Style" w:hAnsi="Bookman Old Style" w:cs="Bookman Old Style"/>
          <w:sz w:val="24"/>
          <w:szCs w:val="24"/>
          <w:highlight w:val="white"/>
        </w:rPr>
        <w:t xml:space="preserve">and has not paid attention to workers who are considered unskilled, even though the need for workers in the domestic sector abroad, including caregivers, is very high. Instead of strengthening the bargaining position of female migrant workers in the domestic sector, </w:t>
      </w:r>
      <w:r>
        <w:rPr>
          <w:rFonts w:ascii="Bookman Old Style" w:eastAsia="Bookman Old Style" w:hAnsi="Bookman Old Style" w:cs="Bookman Old Style"/>
          <w:i/>
          <w:sz w:val="24"/>
          <w:szCs w:val="24"/>
          <w:highlight w:val="white"/>
        </w:rPr>
        <w:t xml:space="preserve">the Zero Domestic Workers Roadmap </w:t>
      </w:r>
      <w:r>
        <w:rPr>
          <w:rFonts w:ascii="Bookman Old Style" w:eastAsia="Bookman Old Style" w:hAnsi="Bookman Old Style" w:cs="Bookman Old Style"/>
          <w:sz w:val="24"/>
          <w:szCs w:val="24"/>
          <w:highlight w:val="white"/>
        </w:rPr>
        <w:t>and the decision to stop the placement of domestic workers in the Middle East through Manpower Ministerial Decree 260 of 2015 appear to protect but actually reinforce</w:t>
      </w:r>
      <w:r>
        <w:rPr>
          <w:rFonts w:ascii="Bookman Old Style" w:eastAsia="Bookman Old Style" w:hAnsi="Bookman Old Style" w:cs="Bookman Old Style"/>
          <w:sz w:val="24"/>
          <w:szCs w:val="24"/>
          <w:highlight w:val="white"/>
        </w:rPr>
        <w:t xml:space="preserve"> discrimination against domestic work. The protection policy for the domestic worker sector is paternalistic and patriarchal. The state should have a non-discriminatory, gender-sensitive, and inclusive perspective by strengthening the capacity and bargaining position of female domestic workers through education, training, and protection so that they are equal to other sectors and fully protected. This is evident from the fact that ILO Convention No. 189 (Work in Domestic Employment Convention), which sets d</w:t>
      </w:r>
      <w:r>
        <w:rPr>
          <w:rFonts w:ascii="Bookman Old Style" w:eastAsia="Bookman Old Style" w:hAnsi="Bookman Old Style" w:cs="Bookman Old Style"/>
          <w:sz w:val="24"/>
          <w:szCs w:val="24"/>
          <w:highlight w:val="white"/>
        </w:rPr>
        <w:t xml:space="preserve">ecent work standards for domestic workers, has not yet been ratified, and the slow legislative process for the ratification of the Domestic Workers Protection Bill (RUU PPRT), which has been ongoing for 21 years. </w:t>
      </w:r>
    </w:p>
    <w:p w14:paraId="00000040" w14:textId="77777777" w:rsidR="004C798E" w:rsidRDefault="00AF209B">
      <w:pPr>
        <w:ind w:left="72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The moratorium on the placement of migrant domestic workers in the Middle East, which was originally a form of political pressure on Middle Eastern countries to protect migrant workers, has instead become a discriminatory policy that lacks a human rights perspective because it has not been accompanied by concrete diplomatic measures. Without adequate supervision, the moratorium policy has resulted in many unofficial placements in the Middle East, exposing migrant domestic workers to vulnerability to exploit</w:t>
      </w:r>
      <w:r>
        <w:rPr>
          <w:rFonts w:ascii="Bookman Old Style" w:eastAsia="Bookman Old Style" w:hAnsi="Bookman Old Style" w:cs="Bookman Old Style"/>
          <w:sz w:val="24"/>
          <w:szCs w:val="24"/>
          <w:highlight w:val="white"/>
        </w:rPr>
        <w:t xml:space="preserve">ation and human trafficking. This is evidenced by numerous reports of Indonesian migrant domestic workers becoming victims of exploitation and even human trafficking. </w:t>
      </w:r>
    </w:p>
    <w:p w14:paraId="00000041" w14:textId="77777777" w:rsidR="004C798E" w:rsidRDefault="00AF209B">
      <w:pPr>
        <w:ind w:left="720"/>
        <w:jc w:val="both"/>
        <w:rPr>
          <w:rFonts w:ascii="Bookman Old Style" w:eastAsia="Bookman Old Style" w:hAnsi="Bookman Old Style" w:cs="Bookman Old Style"/>
          <w:strike/>
          <w:sz w:val="24"/>
          <w:szCs w:val="24"/>
          <w:highlight w:val="white"/>
        </w:rPr>
      </w:pPr>
      <w:r>
        <w:rPr>
          <w:rFonts w:ascii="Bookman Old Style" w:eastAsia="Bookman Old Style" w:hAnsi="Bookman Old Style" w:cs="Bookman Old Style"/>
          <w:sz w:val="24"/>
          <w:szCs w:val="24"/>
          <w:highlight w:val="white"/>
        </w:rPr>
        <w:t>Weak supervision of agencies and placement channels for migrant domestic workers to the Middle East has led to human trafficking and a lack of standard protection from upstream (recruitment) to downstream (placement &amp; repatriation). The plan to reopen placements to the Middle East through a one-channel system has not worked and has instead created problems; the weakness of this system is the lack of clarity regarding the business processes of the one-channel system related to supervision. This scheme only r</w:t>
      </w:r>
      <w:r>
        <w:rPr>
          <w:rFonts w:ascii="Bookman Old Style" w:eastAsia="Bookman Old Style" w:hAnsi="Bookman Old Style" w:cs="Bookman Old Style"/>
          <w:sz w:val="24"/>
          <w:szCs w:val="24"/>
          <w:highlight w:val="white"/>
        </w:rPr>
        <w:t xml:space="preserve">egulates who can place workers, allowing for the practice of bribery by the dominant private agencies.  </w:t>
      </w:r>
    </w:p>
    <w:p w14:paraId="00000042" w14:textId="77777777" w:rsidR="004C798E" w:rsidRDefault="004C798E">
      <w:pPr>
        <w:ind w:left="720"/>
        <w:jc w:val="both"/>
        <w:rPr>
          <w:rFonts w:ascii="Bookman Old Style" w:eastAsia="Bookman Old Style" w:hAnsi="Bookman Old Style" w:cs="Bookman Old Style"/>
          <w:b/>
          <w:sz w:val="24"/>
          <w:szCs w:val="24"/>
          <w:highlight w:val="white"/>
        </w:rPr>
      </w:pPr>
    </w:p>
    <w:p w14:paraId="00000043" w14:textId="77777777" w:rsidR="004C798E" w:rsidRDefault="00AF209B">
      <w:pPr>
        <w:numPr>
          <w:ilvl w:val="0"/>
          <w:numId w:val="1"/>
        </w:numPr>
        <w:jc w:val="both"/>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 xml:space="preserve">Migrant Workers' Children </w:t>
      </w:r>
    </w:p>
    <w:p w14:paraId="00000044" w14:textId="77777777" w:rsidR="004C798E" w:rsidRDefault="00AF209B">
      <w:pPr>
        <w:ind w:left="72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Migrant workers' children still face various administrative barriers in registering their births, especially for children with "mother's child" status. The implementation of birth registration policies varies between regions and Indonesian representatives abroad. Complex documentation requirements often burden parents who work abroad, have an unofficial marital status, or do not have complete documents. As a result, many children of migrant workers are not officially registered and are at risk of becoming s</w:t>
      </w:r>
      <w:r>
        <w:rPr>
          <w:rFonts w:ascii="Bookman Old Style" w:eastAsia="Bookman Old Style" w:hAnsi="Bookman Old Style" w:cs="Bookman Old Style"/>
          <w:sz w:val="24"/>
          <w:szCs w:val="24"/>
          <w:highlight w:val="white"/>
        </w:rPr>
        <w:t>tateless.</w:t>
      </w:r>
    </w:p>
    <w:p w14:paraId="00000045" w14:textId="77777777" w:rsidR="004C798E" w:rsidRDefault="00AF209B">
      <w:pPr>
        <w:ind w:left="72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The implementation of different policies by Indonesian representative offices abroad that do not refer to the Convention on the Rights of the Child (CRC) exacerbates this situation. Civil registration services, including birth certificates, family cards, and child identity cards, are often hampered by limited access, resources, and information, especially in border areas, plantations, and migrant worker areas. The scope of implementation abroad is highly dependent on Indonesian representatives (Embassies/Co</w:t>
      </w:r>
      <w:r>
        <w:rPr>
          <w:rFonts w:ascii="Bookman Old Style" w:eastAsia="Bookman Old Style" w:hAnsi="Bookman Old Style" w:cs="Bookman Old Style"/>
          <w:sz w:val="24"/>
          <w:szCs w:val="24"/>
          <w:highlight w:val="white"/>
        </w:rPr>
        <w:t>nsulates) and is not yet optimal for handling migrant workers' children or migrant workers' children born abroad. In fact, not all children born abroad or from mixed marriages are easily registered or have access to immigration/civil registration services, and gaps in coordination between ministries (Ministry of Foreign Affairs, Ministry of Home Affairs, Ministry of Law, Ministry of Immigration and Corrections) and local stakeholders result in children being excluded from the limited civil registration serv</w:t>
      </w:r>
      <w:r>
        <w:rPr>
          <w:rFonts w:ascii="Bookman Old Style" w:eastAsia="Bookman Old Style" w:hAnsi="Bookman Old Style" w:cs="Bookman Old Style"/>
          <w:sz w:val="24"/>
          <w:szCs w:val="24"/>
          <w:highlight w:val="white"/>
        </w:rPr>
        <w:t xml:space="preserve">ice coverage system, especially for children in border areas/areas where migrant workers are employed (refineries, plantations), making them difficult to reach. Civil registration services (birth certificates, family cards, children's ID cards) in remote/border areas are often hampered by limited geographical access, resources, and socialization, and the government's attention to children's issues in remote areas is not yet optimal. </w:t>
      </w:r>
    </w:p>
    <w:p w14:paraId="00000046" w14:textId="77777777" w:rsidR="004C798E" w:rsidRDefault="004C798E">
      <w:pPr>
        <w:ind w:left="720"/>
        <w:jc w:val="both"/>
        <w:rPr>
          <w:rFonts w:ascii="Bookman Old Style" w:eastAsia="Bookman Old Style" w:hAnsi="Bookman Old Style" w:cs="Bookman Old Style"/>
          <w:sz w:val="24"/>
          <w:szCs w:val="24"/>
          <w:highlight w:val="white"/>
        </w:rPr>
      </w:pPr>
    </w:p>
    <w:p w14:paraId="00000047" w14:textId="77777777" w:rsidR="004C798E" w:rsidRDefault="00AF209B">
      <w:pPr>
        <w:ind w:left="72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Although the government signed a Memorandum of Understanding on Accelerating Birth Certificates for Child Protection in 2015 between eight ministries, its implementation has not been consistent in the regions or abroad. Indonesian representatives abroad are not yet fully integrated into the national registration and documentation system for migrant workers' children, causing a significant gap in the legal identity protection of their children.</w:t>
      </w:r>
    </w:p>
    <w:p w14:paraId="00000048" w14:textId="77777777" w:rsidR="004C798E" w:rsidRDefault="004C798E">
      <w:pPr>
        <w:ind w:left="720" w:firstLine="720"/>
        <w:jc w:val="both"/>
        <w:rPr>
          <w:rFonts w:ascii="Bookman Old Style" w:eastAsia="Bookman Old Style" w:hAnsi="Bookman Old Style" w:cs="Bookman Old Style"/>
          <w:sz w:val="24"/>
          <w:szCs w:val="24"/>
          <w:highlight w:val="white"/>
        </w:rPr>
      </w:pPr>
    </w:p>
    <w:p w14:paraId="00000049" w14:textId="77777777" w:rsidR="004C798E" w:rsidRDefault="00AF209B">
      <w:pPr>
        <w:numPr>
          <w:ilvl w:val="0"/>
          <w:numId w:val="1"/>
        </w:numPr>
        <w:jc w:val="both"/>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Sea-based Migrant Workers (commercial and fisheries)</w:t>
      </w:r>
    </w:p>
    <w:p w14:paraId="0000004A" w14:textId="77777777" w:rsidR="004C798E" w:rsidRDefault="00AF209B">
      <w:pPr>
        <w:ind w:left="72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In the context of sea-based migrant workers (commerce and fisheries), Indonesia still experiences duality in licensing and recruitment between government-private schemes and local-overseas agencies, which triggers high placement fees and negates the principle of "zero cost migration." A 2023 study by the Indonesian Migrant Workers Union (SBMI) shows that the average placement fee for fishing vessel crews can reach IDR 35–55 million (an estimated USD 1978 - USD 3279), including document fees, medical check-u</w:t>
      </w:r>
      <w:r>
        <w:rPr>
          <w:rFonts w:ascii="Bookman Old Style" w:eastAsia="Bookman Old Style" w:hAnsi="Bookman Old Style" w:cs="Bookman Old Style"/>
          <w:sz w:val="24"/>
          <w:szCs w:val="24"/>
          <w:highlight w:val="white"/>
        </w:rPr>
        <w:t>ps, training, and ticketing (SBMI, 2023). On the oversight side, the monitoring mechanism for manning agencies is not yet transparent, is not public-based, and does not yet involve civil society organizations and affected communities. Indonesia has more than 900 registered manning agencies (Ministry of Manpower, 2024), but there is no dashboard for administrative/criminal sanctions, license revocations, or which P3MI (Indonesian recruitment agency) are involved in exploitation and transnational human traffi</w:t>
      </w:r>
      <w:r>
        <w:rPr>
          <w:rFonts w:ascii="Bookman Old Style" w:eastAsia="Bookman Old Style" w:hAnsi="Bookman Old Style" w:cs="Bookman Old Style"/>
          <w:sz w:val="24"/>
          <w:szCs w:val="24"/>
          <w:highlight w:val="white"/>
        </w:rPr>
        <w:t>cking.</w:t>
      </w:r>
    </w:p>
    <w:p w14:paraId="0000004B" w14:textId="77777777" w:rsidR="004C798E" w:rsidRDefault="00AF209B">
      <w:pPr>
        <w:ind w:left="72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 xml:space="preserve">Meanwhile, access to compensation rights is also not effective. The insurance policies that crew members are required to have often cannot be cashed out in the event of an accident, death, or unilateral termination of employment on the ship; and BPJS </w:t>
      </w:r>
      <w:proofErr w:type="spellStart"/>
      <w:r>
        <w:rPr>
          <w:rFonts w:ascii="Bookman Old Style" w:eastAsia="Bookman Old Style" w:hAnsi="Bookman Old Style" w:cs="Bookman Old Style"/>
          <w:sz w:val="24"/>
          <w:szCs w:val="24"/>
          <w:highlight w:val="white"/>
        </w:rPr>
        <w:t>Ketenagakerjaan</w:t>
      </w:r>
      <w:proofErr w:type="spellEnd"/>
      <w:r>
        <w:rPr>
          <w:rFonts w:ascii="Bookman Old Style" w:eastAsia="Bookman Old Style" w:hAnsi="Bookman Old Style" w:cs="Bookman Old Style"/>
          <w:sz w:val="24"/>
          <w:szCs w:val="24"/>
          <w:highlight w:val="white"/>
        </w:rPr>
        <w:t xml:space="preserve"> (the Indonesian Social Security Administration Agency for Employment) – including the Work Accident Insurance &amp; Death Insurance schemes – cannot yet ensure that claims can be processed when violations occur outside Indonesian jurisdiction. BP2MI data for 2024 records more than 1,156 complaints from Indonesian fishing vessel crew members working on foreign vessels (January–September 2024). However, most cases do not result in effective restoration of rights or compensation for victims, due to</w:t>
      </w:r>
      <w:r>
        <w:rPr>
          <w:rFonts w:ascii="Bookman Old Style" w:eastAsia="Bookman Old Style" w:hAnsi="Bookman Old Style" w:cs="Bookman Old Style"/>
          <w:sz w:val="24"/>
          <w:szCs w:val="24"/>
          <w:highlight w:val="white"/>
        </w:rPr>
        <w:t xml:space="preserve"> ineffective cross-jurisdictional evidence-gathering processes and stagnation at the administrative or bilateral negotiation stages. This situation indicates that the state has failed to ensure the protection of migrant workers in the maritime sector, which directly contributes to the high vulnerability to forced labor and maritime-based human trafficking in the Asia-Pacific region.</w:t>
      </w:r>
    </w:p>
    <w:p w14:paraId="0000004C" w14:textId="77777777" w:rsidR="004C798E" w:rsidRDefault="004C798E">
      <w:pPr>
        <w:ind w:left="720" w:firstLine="720"/>
        <w:jc w:val="both"/>
        <w:rPr>
          <w:rFonts w:ascii="Bookman Old Style" w:eastAsia="Bookman Old Style" w:hAnsi="Bookman Old Style" w:cs="Bookman Old Style"/>
          <w:sz w:val="24"/>
          <w:szCs w:val="24"/>
          <w:highlight w:val="white"/>
        </w:rPr>
      </w:pPr>
    </w:p>
    <w:p w14:paraId="0000004D" w14:textId="77777777" w:rsidR="004C798E" w:rsidRDefault="00AF209B">
      <w:pPr>
        <w:numPr>
          <w:ilvl w:val="0"/>
          <w:numId w:val="1"/>
        </w:numPr>
        <w:jc w:val="both"/>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Human Trafficking and Online Scamming Cases</w:t>
      </w:r>
    </w:p>
    <w:p w14:paraId="0000004E" w14:textId="77777777" w:rsidR="004C798E" w:rsidRDefault="00AF209B">
      <w:pPr>
        <w:ind w:left="72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Regarding digital Human Trafficking patterns in the Mekong region (particularly Cambodia and Myanmar), Indonesia still fails to provide effective protection for its citizens. More than 10,000 Indonesian citizens, almost all of whom are young people, are estimated to still be trapped in cross-border scamming forced labor, with massive recruitment carried out through social media, relatives, peers, boyfriends and girlfriends, and domestic broker networks that pocket profits of up to ± IDR 10 million (estimate</w:t>
      </w:r>
      <w:r>
        <w:rPr>
          <w:rFonts w:ascii="Bookman Old Style" w:eastAsia="Bookman Old Style" w:hAnsi="Bookman Old Style" w:cs="Bookman Old Style"/>
          <w:sz w:val="24"/>
          <w:szCs w:val="24"/>
          <w:highlight w:val="white"/>
        </w:rPr>
        <w:t>d USD 600) per head (2022 estimate). In handling these cases, the Indonesian Embassy often returns victims to the companies instead of facilitating their safe return, and there is a pattern of involvement by officials in providing special treatment or turning a blind eye. IJM Indonesia's findings show that the repatriation system is even subordinated by the requirement to pay a certain amount of money in order to be repatriated independently, which shows that victims are not considered victims of human traf</w:t>
      </w:r>
      <w:r>
        <w:rPr>
          <w:rFonts w:ascii="Bookman Old Style" w:eastAsia="Bookman Old Style" w:hAnsi="Bookman Old Style" w:cs="Bookman Old Style"/>
          <w:sz w:val="24"/>
          <w:szCs w:val="24"/>
          <w:highlight w:val="white"/>
        </w:rPr>
        <w:t xml:space="preserve">ficking. </w:t>
      </w:r>
    </w:p>
    <w:p w14:paraId="0000004F" w14:textId="77777777" w:rsidR="004C798E" w:rsidRDefault="00AF209B">
      <w:pPr>
        <w:ind w:left="72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The majority of victims are Generation Z, with high school, bachelor's, and some master's degrees, and live in urban areas. Victims are at risk of exposure to drugs, while female victims face specific risks, including pregnancy and an increased risk of sexually transmitted infections (STIs). The work situation takes place in isolated and exploitative digital-based conditions (scamming), with total communication restrictions, intimidation, violence by agents and companies, and very limited reporting mechanis</w:t>
      </w:r>
      <w:r>
        <w:rPr>
          <w:rFonts w:ascii="Bookman Old Style" w:eastAsia="Bookman Old Style" w:hAnsi="Bookman Old Style" w:cs="Bookman Old Style"/>
          <w:sz w:val="24"/>
          <w:szCs w:val="24"/>
          <w:highlight w:val="white"/>
        </w:rPr>
        <w:t xml:space="preserve">ms for working conditions, which are even deliberately closed. This vulnerability is exacerbated by differing policy frameworks between Indonesia and destination countries, particularly Vietnam and Cambodia, which still legalize the online gambling economy, thereby expanding the scope for criminalization, impunity, and the cross-border circulation of illegal profits, including those involving Indonesian officials. Justice for victims faces its own challenges. The lack of law enforcement capacity in finding </w:t>
      </w:r>
      <w:r>
        <w:rPr>
          <w:rFonts w:ascii="Bookman Old Style" w:eastAsia="Bookman Old Style" w:hAnsi="Bookman Old Style" w:cs="Bookman Old Style"/>
          <w:sz w:val="24"/>
          <w:szCs w:val="24"/>
          <w:highlight w:val="white"/>
        </w:rPr>
        <w:t>evidence to prosecute agencies and companies that recruit workers has resulted in many victims losing their rights as victims of human trafficking (the right to restitution).</w:t>
      </w:r>
    </w:p>
    <w:p w14:paraId="00000050" w14:textId="77777777" w:rsidR="004C798E" w:rsidRDefault="004C798E">
      <w:pPr>
        <w:ind w:left="720" w:firstLine="720"/>
        <w:jc w:val="both"/>
        <w:rPr>
          <w:rFonts w:ascii="Bookman Old Style" w:eastAsia="Bookman Old Style" w:hAnsi="Bookman Old Style" w:cs="Bookman Old Style"/>
          <w:sz w:val="24"/>
          <w:szCs w:val="24"/>
          <w:highlight w:val="white"/>
        </w:rPr>
      </w:pPr>
    </w:p>
    <w:p w14:paraId="00000051" w14:textId="77777777" w:rsidR="004C798E" w:rsidRDefault="00AF209B">
      <w:pPr>
        <w:numPr>
          <w:ilvl w:val="0"/>
          <w:numId w:val="1"/>
        </w:numPr>
        <w:jc w:val="both"/>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Foreign Workers in Indonesia</w:t>
      </w:r>
    </w:p>
    <w:p w14:paraId="00000052" w14:textId="77777777" w:rsidR="004C798E" w:rsidRDefault="00AF209B">
      <w:pPr>
        <w:ind w:left="72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In the context of foreign workers, Indonesia faces problems of structural corruption, discrimination, and growing xenophobia. In 2024, the Corruption Eradication Commission (KPK) uncovered allegations of extortion in the processing of Foreign Worker Utilization Plans (RPTKA) at the Ministry of Manpower during the 2019–2023 period, with a value of Rp 53.7 billion, indicating that foreign workers are often used as a source of rent by state officials in the licensing system. On the other hand, the number of fo</w:t>
      </w:r>
      <w:r>
        <w:rPr>
          <w:rFonts w:ascii="Bookman Old Style" w:eastAsia="Bookman Old Style" w:hAnsi="Bookman Old Style" w:cs="Bookman Old Style"/>
          <w:sz w:val="24"/>
          <w:szCs w:val="24"/>
          <w:highlight w:val="white"/>
        </w:rPr>
        <w:t>reign workers employed in Indonesia reached 74,183 people (Ministry of Manpower, 2016), but the presence of foreign workers is often used as a tool in identity politics campaigns and triggers racist and anti-foreign worker sentiments, including among certain labor unions. The difference in wages and facilities between foreign workers and local workers also reinforces horizontal conflicts and populist tensions that increasingly threaten cross-border labor solidarity. This condition shows that the state has n</w:t>
      </w:r>
      <w:r>
        <w:rPr>
          <w:rFonts w:ascii="Bookman Old Style" w:eastAsia="Bookman Old Style" w:hAnsi="Bookman Old Style" w:cs="Bookman Old Style"/>
          <w:sz w:val="24"/>
          <w:szCs w:val="24"/>
          <w:highlight w:val="white"/>
        </w:rPr>
        <w:t>ot been able to manage the issue of foreign workers in a fair, transparent, and human rights-based manner, and has failed to make the foreign worker permit regime a corruption-free and discrimination-free labor management scheme.</w:t>
      </w:r>
    </w:p>
    <w:p w14:paraId="00000053" w14:textId="77777777" w:rsidR="004C798E" w:rsidRDefault="004C798E">
      <w:pPr>
        <w:ind w:left="720" w:firstLine="720"/>
        <w:jc w:val="both"/>
        <w:rPr>
          <w:rFonts w:ascii="Bookman Old Style" w:eastAsia="Bookman Old Style" w:hAnsi="Bookman Old Style" w:cs="Bookman Old Style"/>
          <w:sz w:val="24"/>
          <w:szCs w:val="24"/>
          <w:highlight w:val="white"/>
        </w:rPr>
      </w:pPr>
    </w:p>
    <w:p w14:paraId="00000054" w14:textId="77777777" w:rsidR="004C798E" w:rsidRDefault="00AF209B">
      <w:pPr>
        <w:numPr>
          <w:ilvl w:val="0"/>
          <w:numId w:val="1"/>
        </w:numPr>
        <w:jc w:val="both"/>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Stateless Persons</w:t>
      </w:r>
    </w:p>
    <w:p w14:paraId="00000055" w14:textId="77777777" w:rsidR="004C798E" w:rsidRDefault="00AF209B">
      <w:pPr>
        <w:ind w:left="72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 xml:space="preserve">In the context of cultural migration and traditional cross-border movement, Indonesia has not ensured effective protection for migrant groups at risk of becoming stateless. Traditional fishermen on the Sulawesi-Philippines border and cross-border workers in Malaysia often move without formal immigration documents due to historical, kinship, and cultural economic relations that have spanned generations. In </w:t>
      </w:r>
      <w:proofErr w:type="spellStart"/>
      <w:r>
        <w:rPr>
          <w:rFonts w:ascii="Bookman Old Style" w:eastAsia="Bookman Old Style" w:hAnsi="Bookman Old Style" w:cs="Bookman Old Style"/>
          <w:sz w:val="24"/>
          <w:szCs w:val="24"/>
          <w:highlight w:val="white"/>
        </w:rPr>
        <w:t>Bitung</w:t>
      </w:r>
      <w:proofErr w:type="spellEnd"/>
      <w:r>
        <w:rPr>
          <w:rFonts w:ascii="Bookman Old Style" w:eastAsia="Bookman Old Style" w:hAnsi="Bookman Old Style" w:cs="Bookman Old Style"/>
          <w:sz w:val="24"/>
          <w:szCs w:val="24"/>
          <w:highlight w:val="white"/>
        </w:rPr>
        <w:t xml:space="preserve"> City, North Sulawesi, research has recorded more than 1,000 fishermen of </w:t>
      </w:r>
      <w:proofErr w:type="spellStart"/>
      <w:r>
        <w:rPr>
          <w:rFonts w:ascii="Bookman Old Style" w:eastAsia="Bookman Old Style" w:hAnsi="Bookman Old Style" w:cs="Bookman Old Style"/>
          <w:sz w:val="24"/>
          <w:szCs w:val="24"/>
          <w:highlight w:val="white"/>
        </w:rPr>
        <w:t>Sangihe</w:t>
      </w:r>
      <w:proofErr w:type="spellEnd"/>
      <w:r>
        <w:rPr>
          <w:rFonts w:ascii="Bookman Old Style" w:eastAsia="Bookman Old Style" w:hAnsi="Bookman Old Style" w:cs="Bookman Old Style"/>
          <w:sz w:val="24"/>
          <w:szCs w:val="24"/>
          <w:highlight w:val="white"/>
        </w:rPr>
        <w:t>–Filipino descent who live and work in the small-scale fishing sector without adequate legal documents, with an average income of only around Rp 2.5 million per month (an estimated USD 149). When arrests or raids occur, they risk losing consular access, being criminalized, and even entering into protracted statelessness. Detention conditions in the destination countries (the Philippines/Malaysia) are reported to be very p</w:t>
      </w:r>
      <w:r>
        <w:rPr>
          <w:rFonts w:ascii="Bookman Old Style" w:eastAsia="Bookman Old Style" w:hAnsi="Bookman Old Style" w:cs="Bookman Old Style"/>
          <w:sz w:val="24"/>
          <w:szCs w:val="24"/>
          <w:highlight w:val="white"/>
        </w:rPr>
        <w:t>oor and inhumane, and Indonesia does not yet have a bilateral mechanism to ensure the safe return and due process of cultural migrants. The state has not yet recognized this pattern of transnational migration based on culture in its regulations, so the practices of detention, deportation, criminalization, and loss of legal status for traditional border crossers continue to occur—reinforcing the risk of structural statelessness.</w:t>
      </w:r>
    </w:p>
    <w:p w14:paraId="00000056" w14:textId="77777777" w:rsidR="004C798E" w:rsidRDefault="004C798E">
      <w:pPr>
        <w:ind w:left="720" w:firstLine="720"/>
        <w:jc w:val="both"/>
        <w:rPr>
          <w:rFonts w:ascii="Bookman Old Style" w:eastAsia="Bookman Old Style" w:hAnsi="Bookman Old Style" w:cs="Bookman Old Style"/>
          <w:sz w:val="24"/>
          <w:szCs w:val="24"/>
          <w:highlight w:val="white"/>
        </w:rPr>
      </w:pPr>
    </w:p>
    <w:p w14:paraId="00000057" w14:textId="77777777" w:rsidR="004C798E" w:rsidRDefault="00AF209B">
      <w:pPr>
        <w:numPr>
          <w:ilvl w:val="0"/>
          <w:numId w:val="1"/>
        </w:numPr>
        <w:jc w:val="both"/>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Migrant Workers in Border Areas</w:t>
      </w:r>
    </w:p>
    <w:p w14:paraId="00000058" w14:textId="77777777" w:rsidR="004C798E" w:rsidRDefault="00AF209B">
      <w:pPr>
        <w:ind w:left="72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 xml:space="preserve">Migrant workers in Indonesia's border regions face extreme vulnerability to exploitation, violence, and human trafficking due to weak migration governance and the absence of state protection. Data from Destructive Fishing Watch (DFW) Indonesia shows that the majority of fishing crew members in border areas are </w:t>
      </w:r>
      <w:r>
        <w:rPr>
          <w:rFonts w:ascii="Bookman Old Style" w:eastAsia="Bookman Old Style" w:hAnsi="Bookman Old Style" w:cs="Bookman Old Style"/>
          <w:i/>
          <w:sz w:val="24"/>
          <w:szCs w:val="24"/>
          <w:highlight w:val="white"/>
        </w:rPr>
        <w:t>stateless</w:t>
      </w:r>
      <w:r>
        <w:rPr>
          <w:rFonts w:ascii="Bookman Old Style" w:eastAsia="Bookman Old Style" w:hAnsi="Bookman Old Style" w:cs="Bookman Old Style"/>
          <w:sz w:val="24"/>
          <w:szCs w:val="24"/>
          <w:highlight w:val="white"/>
        </w:rPr>
        <w:t xml:space="preserve">, work without contracts, and do not receive state support for the restoration of their citizenship or access to basic services. Similar patterns often occur in East Nusa Tenggara, where cross-border recruitment is carried out through cultural relations and kinship networks without protection mechanisms or access to legal assistance. Meanwhile, on the land border between West Kalimantan and North Kalimantan, particularly in the </w:t>
      </w:r>
      <w:proofErr w:type="spellStart"/>
      <w:r>
        <w:rPr>
          <w:rFonts w:ascii="Bookman Old Style" w:eastAsia="Bookman Old Style" w:hAnsi="Bookman Old Style" w:cs="Bookman Old Style"/>
          <w:sz w:val="24"/>
          <w:szCs w:val="24"/>
          <w:highlight w:val="white"/>
        </w:rPr>
        <w:t>Entikong</w:t>
      </w:r>
      <w:proofErr w:type="spellEnd"/>
      <w:r>
        <w:rPr>
          <w:rFonts w:ascii="Bookman Old Style" w:eastAsia="Bookman Old Style" w:hAnsi="Bookman Old Style" w:cs="Bookman Old Style"/>
          <w:sz w:val="24"/>
          <w:szCs w:val="24"/>
          <w:highlight w:val="white"/>
        </w:rPr>
        <w:t xml:space="preserve"> and </w:t>
      </w:r>
      <w:proofErr w:type="spellStart"/>
      <w:r>
        <w:rPr>
          <w:rFonts w:ascii="Bookman Old Style" w:eastAsia="Bookman Old Style" w:hAnsi="Bookman Old Style" w:cs="Bookman Old Style"/>
          <w:sz w:val="24"/>
          <w:szCs w:val="24"/>
          <w:highlight w:val="white"/>
        </w:rPr>
        <w:t>Nunukan</w:t>
      </w:r>
      <w:proofErr w:type="spellEnd"/>
      <w:r>
        <w:rPr>
          <w:rFonts w:ascii="Bookman Old Style" w:eastAsia="Bookman Old Style" w:hAnsi="Bookman Old Style" w:cs="Bookman Old Style"/>
          <w:sz w:val="24"/>
          <w:szCs w:val="24"/>
          <w:highlight w:val="white"/>
        </w:rPr>
        <w:t xml:space="preserve"> areas, the mobilization of migrant workers through</w:t>
      </w:r>
      <w:r>
        <w:rPr>
          <w:rFonts w:ascii="Bookman Old Style" w:eastAsia="Bookman Old Style" w:hAnsi="Bookman Old Style" w:cs="Bookman Old Style"/>
          <w:sz w:val="24"/>
          <w:szCs w:val="24"/>
          <w:highlight w:val="white"/>
        </w:rPr>
        <w:t xml:space="preserve"> highly vulnerable "rat trails" is accompanied by practices of extortion, debt bondage, and threats of human trafficking from the pre-transit, transit, to post-transit phases. In this situation, many workers experience physical and psychological violence and lose their legal status due to informal and repeated cross-border migration. Children of undocumented parents are often born without birth certificates, becoming a new generation at risk of statelessness and cut off from their right to a decent life.</w:t>
      </w:r>
    </w:p>
    <w:p w14:paraId="00000059" w14:textId="77777777" w:rsidR="004C798E" w:rsidRDefault="004C798E">
      <w:pPr>
        <w:ind w:left="720"/>
        <w:jc w:val="both"/>
        <w:rPr>
          <w:rFonts w:ascii="Bookman Old Style" w:eastAsia="Bookman Old Style" w:hAnsi="Bookman Old Style" w:cs="Bookman Old Style"/>
          <w:sz w:val="24"/>
          <w:szCs w:val="24"/>
          <w:highlight w:val="white"/>
        </w:rPr>
      </w:pPr>
    </w:p>
    <w:p w14:paraId="0000005A" w14:textId="77777777" w:rsidR="004C798E" w:rsidRDefault="00AF209B">
      <w:pPr>
        <w:numPr>
          <w:ilvl w:val="0"/>
          <w:numId w:val="1"/>
        </w:numPr>
        <w:jc w:val="both"/>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Seasonal Workers</w:t>
      </w:r>
    </w:p>
    <w:p w14:paraId="0000005B" w14:textId="77777777" w:rsidR="004C798E" w:rsidRDefault="00AF209B">
      <w:pPr>
        <w:ind w:left="720"/>
        <w:jc w:val="both"/>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sz w:val="24"/>
          <w:szCs w:val="24"/>
          <w:highlight w:val="white"/>
        </w:rPr>
        <w:t xml:space="preserve">Indonesian seasonal workers are in a situation of very weak legal protection and are at high risk of exploitation. In the fishing crew sector, Government Regulation No. 22 of 2022 has not been effectively implemented due to sectoral egoism between technical agencies, so that the protection norms established by the state are not being implemented in the field. Many seasonal employment relationships are based solely on bilateral </w:t>
      </w:r>
      <w:proofErr w:type="spellStart"/>
      <w:r>
        <w:rPr>
          <w:rFonts w:ascii="Bookman Old Style" w:eastAsia="Bookman Old Style" w:hAnsi="Bookman Old Style" w:cs="Bookman Old Style"/>
          <w:sz w:val="24"/>
          <w:szCs w:val="24"/>
          <w:highlight w:val="white"/>
        </w:rPr>
        <w:t>MoUs</w:t>
      </w:r>
      <w:proofErr w:type="spellEnd"/>
      <w:r>
        <w:rPr>
          <w:rFonts w:ascii="Bookman Old Style" w:eastAsia="Bookman Old Style" w:hAnsi="Bookman Old Style" w:cs="Bookman Old Style"/>
          <w:sz w:val="24"/>
          <w:szCs w:val="24"/>
          <w:highlight w:val="white"/>
        </w:rPr>
        <w:t xml:space="preserve"> and administrative mechanisms between countries, without substantive labor protection regulations from the country of origin. In host countries such as Japan, visas are often not in line with the actual employment status and sector, leaving workers without a legal basis to claim their rights or protection in the event of violations. On the other hand, many seasonal workers work in conditions with minimal occupational safety and health (K3), are prone to work accidents, and are at high risk of disabilit</w:t>
      </w:r>
      <w:r>
        <w:rPr>
          <w:rFonts w:ascii="Bookman Old Style" w:eastAsia="Bookman Old Style" w:hAnsi="Bookman Old Style" w:cs="Bookman Old Style"/>
          <w:sz w:val="24"/>
          <w:szCs w:val="24"/>
          <w:highlight w:val="white"/>
        </w:rPr>
        <w:t xml:space="preserve">y without an effectively accessible compensation mechanism. This situation shows that the state does not yet have a specific protection framework for seasonal migrant workers who move across sectors and legal regimes between countries. </w:t>
      </w:r>
    </w:p>
    <w:p w14:paraId="0000005C" w14:textId="77777777" w:rsidR="004C798E" w:rsidRDefault="004C798E">
      <w:pPr>
        <w:ind w:left="720" w:firstLine="720"/>
        <w:jc w:val="both"/>
        <w:rPr>
          <w:rFonts w:ascii="Bookman Old Style" w:eastAsia="Bookman Old Style" w:hAnsi="Bookman Old Style" w:cs="Bookman Old Style"/>
          <w:b/>
          <w:sz w:val="24"/>
          <w:szCs w:val="24"/>
          <w:highlight w:val="white"/>
        </w:rPr>
      </w:pPr>
    </w:p>
    <w:p w14:paraId="0000005D" w14:textId="77777777" w:rsidR="004C798E" w:rsidRDefault="00AF209B">
      <w:pPr>
        <w:numPr>
          <w:ilvl w:val="0"/>
          <w:numId w:val="1"/>
        </w:numPr>
        <w:jc w:val="both"/>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Migrant Workers with Disabilities</w:t>
      </w:r>
    </w:p>
    <w:p w14:paraId="0000005E" w14:textId="77777777" w:rsidR="004C798E" w:rsidRDefault="00AF209B">
      <w:pPr>
        <w:ind w:left="72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 xml:space="preserve">Indonesian migrant workers who experience work-related disabilities face multiple layers of marginalization after returning home. There is no comprehensive health examination mechanism (physical or mental) when migrant workers return home, so the state does not have an adequate recovery database for long-term intervention. Indonesia also does not yet have a recovery and </w:t>
      </w:r>
      <w:r>
        <w:rPr>
          <w:rFonts w:ascii="Bookman Old Style" w:eastAsia="Bookman Old Style" w:hAnsi="Bookman Old Style" w:cs="Bookman Old Style"/>
          <w:i/>
          <w:sz w:val="24"/>
          <w:szCs w:val="24"/>
          <w:highlight w:val="white"/>
        </w:rPr>
        <w:t xml:space="preserve">return to work </w:t>
      </w:r>
      <w:r>
        <w:rPr>
          <w:rFonts w:ascii="Bookman Old Style" w:eastAsia="Bookman Old Style" w:hAnsi="Bookman Old Style" w:cs="Bookman Old Style"/>
          <w:sz w:val="24"/>
          <w:szCs w:val="24"/>
          <w:highlight w:val="white"/>
        </w:rPr>
        <w:t xml:space="preserve">scheme for migrant workers who experience permanent or long-term disabilities due to work accidents, exploitation, or extreme working conditions in the destination country. Social protection after their return is limited to administrative schemes or fragmented claims between institutions, without support for rehabilitation, cost savings, psychosocial assistance, or structured economic reintegration. This situation causes ex-migrant persons with disabilities to fall into deeper vulnerability, </w:t>
      </w:r>
      <w:r>
        <w:rPr>
          <w:rFonts w:ascii="Bookman Old Style" w:eastAsia="Bookman Old Style" w:hAnsi="Bookman Old Style" w:cs="Bookman Old Style"/>
          <w:sz w:val="24"/>
          <w:szCs w:val="24"/>
          <w:highlight w:val="white"/>
        </w:rPr>
        <w:t>lose their productive capacity, and lack income security protection, without any recognition by the state of its responsibility for their recovery.</w:t>
      </w:r>
    </w:p>
    <w:p w14:paraId="0000005F" w14:textId="77777777" w:rsidR="004C798E" w:rsidRDefault="004C798E">
      <w:pPr>
        <w:ind w:left="720" w:firstLine="720"/>
        <w:jc w:val="both"/>
        <w:rPr>
          <w:rFonts w:ascii="Bookman Old Style" w:eastAsia="Bookman Old Style" w:hAnsi="Bookman Old Style" w:cs="Bookman Old Style"/>
          <w:sz w:val="24"/>
          <w:szCs w:val="24"/>
          <w:highlight w:val="white"/>
        </w:rPr>
      </w:pPr>
    </w:p>
    <w:p w14:paraId="00000060" w14:textId="77777777" w:rsidR="004C798E" w:rsidRDefault="00AF209B">
      <w:pPr>
        <w:numPr>
          <w:ilvl w:val="0"/>
          <w:numId w:val="1"/>
        </w:numPr>
        <w:jc w:val="both"/>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Apprenticeship</w:t>
      </w:r>
    </w:p>
    <w:p w14:paraId="00000061" w14:textId="77777777" w:rsidR="004C798E" w:rsidRDefault="00AF209B">
      <w:pPr>
        <w:ind w:left="72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The current cross-border apprenticeship scheme has opened up opportunities for exploitation and forced labor due to overlapping authority between the Ministry of Manpower and BP2MI and the absence of a clear legal definition of the limits of apprenticeships. Apprenticeships are often misused as low-wage formal work schemes, but are not recognized as employment relationships; thus, apprentices do not receive employment protection, occupational safety, compensation, or legal protection equivalent to that of w</w:t>
      </w:r>
      <w:r>
        <w:rPr>
          <w:rFonts w:ascii="Bookman Old Style" w:eastAsia="Bookman Old Style" w:hAnsi="Bookman Old Style" w:cs="Bookman Old Style"/>
          <w:sz w:val="24"/>
          <w:szCs w:val="24"/>
          <w:highlight w:val="white"/>
        </w:rPr>
        <w:t xml:space="preserve">orkers. Weak regulations and supervision have turned apprenticeships into a channel for covert exploitation, where the host country obtains cheap labor, while migrant workers lose their normative rights. In practice, apprenticeships have functioned as a form of work-based subordination and control without rights, creating risks of forced labor equivalent to </w:t>
      </w:r>
      <w:r>
        <w:rPr>
          <w:rFonts w:ascii="Bookman Old Style" w:eastAsia="Bookman Old Style" w:hAnsi="Bookman Old Style" w:cs="Bookman Old Style"/>
          <w:i/>
          <w:sz w:val="24"/>
          <w:szCs w:val="24"/>
          <w:highlight w:val="white"/>
        </w:rPr>
        <w:t>modern slavery.</w:t>
      </w:r>
    </w:p>
    <w:p w14:paraId="00000062" w14:textId="77777777" w:rsidR="004C798E" w:rsidRDefault="004C798E">
      <w:pPr>
        <w:ind w:left="720" w:firstLine="720"/>
        <w:jc w:val="both"/>
        <w:rPr>
          <w:rFonts w:ascii="Bookman Old Style" w:eastAsia="Bookman Old Style" w:hAnsi="Bookman Old Style" w:cs="Bookman Old Style"/>
          <w:sz w:val="24"/>
          <w:szCs w:val="24"/>
          <w:highlight w:val="white"/>
        </w:rPr>
      </w:pPr>
    </w:p>
    <w:p w14:paraId="00000063" w14:textId="77777777" w:rsidR="004C798E" w:rsidRDefault="00AF209B">
      <w:pPr>
        <w:numPr>
          <w:ilvl w:val="0"/>
          <w:numId w:val="1"/>
        </w:numPr>
        <w:jc w:val="both"/>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 xml:space="preserve">Workers in Arm Conflict Area </w:t>
      </w:r>
    </w:p>
    <w:p w14:paraId="00000064" w14:textId="77777777" w:rsidR="004C798E" w:rsidRDefault="00AF209B">
      <w:pPr>
        <w:ind w:left="72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According to a UNODC report (2023), more than 120,000 people from Southeast Asia were forced to work in scamming operations in the Mekong conflict zone (Myanmar–Laos–Cambodia), and Indonesian citizens were among the largest group of victims in several raids. In Myanmar, digital TPPO operations are centered in Myawaddy and Shwe Kokko, which are controlled by transnational criminal actors and armed groups, so that the evacuation of victims can only be carried out through negotiations between non-state actors.</w:t>
      </w:r>
      <w:r>
        <w:rPr>
          <w:rFonts w:ascii="Bookman Old Style" w:eastAsia="Bookman Old Style" w:hAnsi="Bookman Old Style" w:cs="Bookman Old Style"/>
          <w:sz w:val="24"/>
          <w:szCs w:val="24"/>
          <w:highlight w:val="white"/>
        </w:rPr>
        <w:t xml:space="preserve"> Meanwhile, in the context of Syria, the official placement of migrant workers has been suspended since 2015 due to the war, but </w:t>
      </w:r>
      <w:r>
        <w:rPr>
          <w:rFonts w:ascii="Bookman Old Style" w:eastAsia="Bookman Old Style" w:hAnsi="Bookman Old Style" w:cs="Bookman Old Style"/>
          <w:b/>
          <w:sz w:val="24"/>
          <w:szCs w:val="24"/>
          <w:highlight w:val="white"/>
        </w:rPr>
        <w:t xml:space="preserve">the remaining stranded cases </w:t>
      </w:r>
      <w:r>
        <w:rPr>
          <w:rFonts w:ascii="Bookman Old Style" w:eastAsia="Bookman Old Style" w:hAnsi="Bookman Old Style" w:cs="Bookman Old Style"/>
          <w:sz w:val="24"/>
          <w:szCs w:val="24"/>
          <w:highlight w:val="white"/>
        </w:rPr>
        <w:t xml:space="preserve">continue and are not fully mapped in official state reports. In addition, migrants in conflict areas also face </w:t>
      </w:r>
      <w:r>
        <w:rPr>
          <w:rFonts w:ascii="Bookman Old Style" w:eastAsia="Bookman Old Style" w:hAnsi="Bookman Old Style" w:cs="Bookman Old Style"/>
          <w:i/>
          <w:sz w:val="24"/>
          <w:szCs w:val="24"/>
          <w:highlight w:val="white"/>
        </w:rPr>
        <w:t>multiple criminalization</w:t>
      </w:r>
      <w:r>
        <w:rPr>
          <w:rFonts w:ascii="Bookman Old Style" w:eastAsia="Bookman Old Style" w:hAnsi="Bookman Old Style" w:cs="Bookman Old Style"/>
          <w:sz w:val="24"/>
          <w:szCs w:val="24"/>
          <w:highlight w:val="white"/>
        </w:rPr>
        <w:t>, where they are considered both "irregular migrants" and "illegal presences" by local authorities, which deprives victims of access to legal protection and consular assistance, as well as safe mechanisms for leaving th</w:t>
      </w:r>
      <w:r>
        <w:rPr>
          <w:rFonts w:ascii="Bookman Old Style" w:eastAsia="Bookman Old Style" w:hAnsi="Bookman Old Style" w:cs="Bookman Old Style"/>
          <w:sz w:val="24"/>
          <w:szCs w:val="24"/>
          <w:highlight w:val="white"/>
        </w:rPr>
        <w:t xml:space="preserve">e conflict area. The state does not yet have an integrated database, emergency roster, or </w:t>
      </w:r>
      <w:r>
        <w:rPr>
          <w:rFonts w:ascii="Bookman Old Style" w:eastAsia="Bookman Old Style" w:hAnsi="Bookman Old Style" w:cs="Bookman Old Style"/>
          <w:i/>
          <w:sz w:val="24"/>
          <w:szCs w:val="24"/>
          <w:highlight w:val="white"/>
        </w:rPr>
        <w:t xml:space="preserve">rapid rescue protocol </w:t>
      </w:r>
      <w:r>
        <w:rPr>
          <w:rFonts w:ascii="Bookman Old Style" w:eastAsia="Bookman Old Style" w:hAnsi="Bookman Old Style" w:cs="Bookman Old Style"/>
          <w:sz w:val="24"/>
          <w:szCs w:val="24"/>
          <w:highlight w:val="white"/>
        </w:rPr>
        <w:t xml:space="preserve">in these two contexts, thereby failing to ensure </w:t>
      </w:r>
      <w:r>
        <w:rPr>
          <w:rFonts w:ascii="Bookman Old Style" w:eastAsia="Bookman Old Style" w:hAnsi="Bookman Old Style" w:cs="Bookman Old Style"/>
          <w:i/>
          <w:sz w:val="24"/>
          <w:szCs w:val="24"/>
          <w:highlight w:val="white"/>
        </w:rPr>
        <w:t xml:space="preserve">proactive rescue </w:t>
      </w:r>
      <w:r>
        <w:rPr>
          <w:rFonts w:ascii="Bookman Old Style" w:eastAsia="Bookman Old Style" w:hAnsi="Bookman Old Style" w:cs="Bookman Old Style"/>
          <w:sz w:val="24"/>
          <w:szCs w:val="24"/>
          <w:highlight w:val="white"/>
        </w:rPr>
        <w:t>based on human rights.</w:t>
      </w:r>
    </w:p>
    <w:p w14:paraId="00000065" w14:textId="77777777" w:rsidR="004C798E" w:rsidRDefault="004C798E">
      <w:pPr>
        <w:ind w:left="720"/>
        <w:jc w:val="both"/>
        <w:rPr>
          <w:rFonts w:ascii="Bookman Old Style" w:eastAsia="Bookman Old Style" w:hAnsi="Bookman Old Style" w:cs="Bookman Old Style"/>
          <w:sz w:val="24"/>
          <w:szCs w:val="24"/>
          <w:highlight w:val="white"/>
        </w:rPr>
      </w:pPr>
    </w:p>
    <w:p w14:paraId="00000066" w14:textId="77777777" w:rsidR="004C798E" w:rsidRDefault="00AF209B">
      <w:pPr>
        <w:numPr>
          <w:ilvl w:val="0"/>
          <w:numId w:val="1"/>
        </w:numPr>
        <w:jc w:val="both"/>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Migrant Workers Exposed to Violence-Based Extremism</w:t>
      </w:r>
    </w:p>
    <w:p w14:paraId="00000067" w14:textId="77777777" w:rsidR="004C798E" w:rsidRDefault="004C798E">
      <w:pPr>
        <w:ind w:left="720"/>
        <w:jc w:val="both"/>
        <w:rPr>
          <w:rFonts w:ascii="Bookman Old Style" w:eastAsia="Bookman Old Style" w:hAnsi="Bookman Old Style" w:cs="Bookman Old Style"/>
          <w:sz w:val="24"/>
          <w:szCs w:val="24"/>
          <w:highlight w:val="white"/>
        </w:rPr>
      </w:pPr>
    </w:p>
    <w:p w14:paraId="00000068" w14:textId="77777777" w:rsidR="004C798E" w:rsidRDefault="00AF209B">
      <w:pPr>
        <w:ind w:left="72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As of January 9, 2025, the National Counterterrorism Agency (BNPT) reported that 118 migrant workers (55.9% male and 44.1% female) had been deported or detained for alleged involvement in terrorist activities. The Indonesian government's efforts to deport migrant workers and prevent violence-based extremism through socialization are still minimal and limited by budget constraints. Policies to prevent violent extremism have not addressed the underlying causes, including the vulnerability experienced by the p</w:t>
      </w:r>
      <w:r>
        <w:rPr>
          <w:rFonts w:ascii="Bookman Old Style" w:eastAsia="Bookman Old Style" w:hAnsi="Bookman Old Style" w:cs="Bookman Old Style"/>
          <w:sz w:val="24"/>
          <w:szCs w:val="24"/>
          <w:highlight w:val="white"/>
        </w:rPr>
        <w:t xml:space="preserve">recariat with uncertain employment status, minimal protection from the destination and origin countries, gender vulnerability, and intersectionality, which are often exploited by violent extremist groups. In addition, social reintegration programs for migrant workers to obtain safe spaces in their neighborhoods and the importance of digital literacy reaching migrant workers in remote areas are still limited and minimal. </w:t>
      </w:r>
    </w:p>
    <w:p w14:paraId="00000069" w14:textId="77777777" w:rsidR="004C798E" w:rsidRDefault="004C798E">
      <w:pPr>
        <w:ind w:left="720"/>
        <w:jc w:val="both"/>
        <w:rPr>
          <w:rFonts w:ascii="Bookman Old Style" w:eastAsia="Bookman Old Style" w:hAnsi="Bookman Old Style" w:cs="Bookman Old Style"/>
          <w:sz w:val="24"/>
          <w:szCs w:val="24"/>
          <w:highlight w:val="white"/>
        </w:rPr>
      </w:pPr>
    </w:p>
    <w:p w14:paraId="0000006A" w14:textId="77777777" w:rsidR="004C798E" w:rsidRDefault="00AF209B">
      <w:pPr>
        <w:ind w:left="360"/>
        <w:jc w:val="both"/>
        <w:rPr>
          <w:rFonts w:ascii="Bookman Old Style" w:eastAsia="Bookman Old Style" w:hAnsi="Bookman Old Style" w:cs="Bookman Old Style"/>
          <w:b/>
          <w:sz w:val="24"/>
          <w:szCs w:val="24"/>
          <w:highlight w:val="white"/>
        </w:rPr>
      </w:pPr>
      <w:r>
        <w:rPr>
          <w:rFonts w:ascii="Bookman Old Style" w:eastAsia="Bookman Old Style" w:hAnsi="Bookman Old Style" w:cs="Bookman Old Style"/>
          <w:b/>
          <w:sz w:val="24"/>
          <w:szCs w:val="24"/>
          <w:highlight w:val="white"/>
        </w:rPr>
        <w:t xml:space="preserve">Conclusion </w:t>
      </w:r>
    </w:p>
    <w:p w14:paraId="0000006B" w14:textId="77777777" w:rsidR="004C798E" w:rsidRDefault="004C798E">
      <w:pPr>
        <w:ind w:left="360"/>
        <w:jc w:val="both"/>
        <w:rPr>
          <w:rFonts w:ascii="Bookman Old Style" w:eastAsia="Bookman Old Style" w:hAnsi="Bookman Old Style" w:cs="Bookman Old Style"/>
          <w:sz w:val="24"/>
          <w:szCs w:val="24"/>
          <w:highlight w:val="white"/>
        </w:rPr>
      </w:pPr>
    </w:p>
    <w:p w14:paraId="0000006C" w14:textId="77777777" w:rsidR="004C798E" w:rsidRDefault="00AF209B">
      <w:pPr>
        <w:ind w:left="36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Through this shadow report, Indonesian civil society emphasizes that Indonesia's fulfillment of its obligations as a State Party to the International Convention on the Protection of the Rights of All Migrant Workers and Members of Their Families has not been comprehensive, equitable, and effective. Various forms of violations, structural marginalization, and patterns of impunity still occur throughout the migration chain, whether in the pre-placement, placement, or post-return phases, and are exacerbated by</w:t>
      </w:r>
      <w:r>
        <w:rPr>
          <w:rFonts w:ascii="Bookman Old Style" w:eastAsia="Bookman Old Style" w:hAnsi="Bookman Old Style" w:cs="Bookman Old Style"/>
          <w:sz w:val="24"/>
          <w:szCs w:val="24"/>
          <w:highlight w:val="white"/>
        </w:rPr>
        <w:t xml:space="preserve"> the emergence of new vulnerabilities such as technology-based human trafficking, informal cross-border migration, exploitative apprenticeship schemes, the use of cheap labor in conflict areas, and the state's failure to enforce protection for sea-based migrant workers and seasonal workers.</w:t>
      </w:r>
    </w:p>
    <w:p w14:paraId="0000006D" w14:textId="77777777" w:rsidR="004C798E" w:rsidRDefault="004C798E">
      <w:pPr>
        <w:ind w:left="360"/>
        <w:jc w:val="both"/>
        <w:rPr>
          <w:rFonts w:ascii="Bookman Old Style" w:eastAsia="Bookman Old Style" w:hAnsi="Bookman Old Style" w:cs="Bookman Old Style"/>
          <w:sz w:val="24"/>
          <w:szCs w:val="24"/>
          <w:highlight w:val="white"/>
        </w:rPr>
      </w:pPr>
    </w:p>
    <w:p w14:paraId="0000006E" w14:textId="77777777" w:rsidR="004C798E" w:rsidRDefault="00AF209B">
      <w:pPr>
        <w:ind w:left="36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This report emphasizes that the protection of migrant workers is not merely an administrative and licensing issue, but a constitutional obligation of the state to respect, protect, fulfill, and restore the human rights of all its citizens wherever they may be. Indonesia must demonstrate a stronger commitment, not only at the ratification level, but especially in terms of implementation systems, law enforcement, recovery mechanisms, and ending impunity.</w:t>
      </w:r>
    </w:p>
    <w:p w14:paraId="0000006F" w14:textId="77777777" w:rsidR="004C798E" w:rsidRDefault="004C798E">
      <w:pPr>
        <w:ind w:left="360"/>
        <w:jc w:val="both"/>
        <w:rPr>
          <w:rFonts w:ascii="Bookman Old Style" w:eastAsia="Bookman Old Style" w:hAnsi="Bookman Old Style" w:cs="Bookman Old Style"/>
          <w:sz w:val="24"/>
          <w:szCs w:val="24"/>
          <w:highlight w:val="white"/>
        </w:rPr>
      </w:pPr>
    </w:p>
    <w:p w14:paraId="00000070" w14:textId="77777777" w:rsidR="004C798E" w:rsidRDefault="00AF209B">
      <w:pPr>
        <w:ind w:left="36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Indonesian Civil society calls on the UN Committee on Migrant Workers to urge the Indonesian government to make real structural changes, improve migration governance holistically, end exploitative practices throughout the migration chain, strengthen protection systems that are responsive to developments in transnational crime, and ensure that migrant workers (not market interests or commercial actors) are placed at the center of Indonesia's migration policy.</w:t>
      </w:r>
    </w:p>
    <w:p w14:paraId="00000071" w14:textId="77777777" w:rsidR="004C798E" w:rsidRDefault="004C798E">
      <w:pPr>
        <w:ind w:left="360"/>
        <w:jc w:val="both"/>
        <w:rPr>
          <w:rFonts w:ascii="Bookman Old Style" w:eastAsia="Bookman Old Style" w:hAnsi="Bookman Old Style" w:cs="Bookman Old Style"/>
          <w:sz w:val="24"/>
          <w:szCs w:val="24"/>
          <w:highlight w:val="white"/>
        </w:rPr>
      </w:pPr>
    </w:p>
    <w:p w14:paraId="00000072" w14:textId="77777777" w:rsidR="004C798E" w:rsidRDefault="00AF209B">
      <w:pPr>
        <w:ind w:left="36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In particular, Indonesian</w:t>
      </w:r>
      <w:r>
        <w:rPr>
          <w:rFonts w:ascii="Bookman Old Style" w:eastAsia="Bookman Old Style" w:hAnsi="Bookman Old Style" w:cs="Bookman Old Style"/>
          <w:sz w:val="24"/>
          <w:szCs w:val="24"/>
          <w:highlight w:val="white"/>
        </w:rPr>
        <w:t xml:space="preserve"> civil society urges the UN Committee on Migrant Workers to recommend that the Indonesian government take the following actions:</w:t>
      </w:r>
    </w:p>
    <w:p w14:paraId="00000073" w14:textId="77777777" w:rsidR="004C798E" w:rsidRDefault="004C798E">
      <w:pPr>
        <w:ind w:left="360"/>
        <w:jc w:val="both"/>
        <w:rPr>
          <w:rFonts w:ascii="Bookman Old Style" w:eastAsia="Bookman Old Style" w:hAnsi="Bookman Old Style" w:cs="Bookman Old Style"/>
          <w:sz w:val="24"/>
          <w:szCs w:val="24"/>
          <w:highlight w:val="white"/>
        </w:rPr>
      </w:pPr>
    </w:p>
    <w:p w14:paraId="00000074" w14:textId="77777777" w:rsidR="004C798E" w:rsidRDefault="00AF209B">
      <w:pPr>
        <w:numPr>
          <w:ilvl w:val="0"/>
          <w:numId w:val="3"/>
        </w:numPr>
        <w:ind w:left="108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Revise Law No. 18/2017 in accordance with the human rights protection platform for migrant workers as outlined in the Convention;</w:t>
      </w:r>
    </w:p>
    <w:p w14:paraId="00000075" w14:textId="77777777" w:rsidR="004C798E" w:rsidRDefault="00AF209B">
      <w:pPr>
        <w:numPr>
          <w:ilvl w:val="0"/>
          <w:numId w:val="3"/>
        </w:numPr>
        <w:ind w:left="108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Revise Law No. 21/2007 on Human Trafficking by updating the scope of the law to cover new forms of human trafficking due to the misuse of digital technology (forced criminality) and other forms.</w:t>
      </w:r>
    </w:p>
    <w:p w14:paraId="00000076" w14:textId="77777777" w:rsidR="004C798E" w:rsidRDefault="00AF209B">
      <w:pPr>
        <w:numPr>
          <w:ilvl w:val="0"/>
          <w:numId w:val="3"/>
        </w:numPr>
        <w:ind w:left="108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Removing the migrant worker cluster from the Omnibus Law on Job Creation;</w:t>
      </w:r>
    </w:p>
    <w:p w14:paraId="00000077" w14:textId="77777777" w:rsidR="004C798E" w:rsidRDefault="00AF209B">
      <w:pPr>
        <w:numPr>
          <w:ilvl w:val="0"/>
          <w:numId w:val="3"/>
        </w:numPr>
        <w:ind w:left="108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Immediately ratify ILO Conventions 181, 188, and 189 so that they can be used as a means of protecting migrant workers in the domestic and maritime sectors;</w:t>
      </w:r>
    </w:p>
    <w:p w14:paraId="00000078" w14:textId="77777777" w:rsidR="004C798E" w:rsidRDefault="00AF209B">
      <w:pPr>
        <w:numPr>
          <w:ilvl w:val="0"/>
          <w:numId w:val="3"/>
        </w:numPr>
        <w:ind w:left="108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Ensure the protection and fulfillment of the rights of migrant workers' children based on the Convention on the Rights of the Child, the International Covenant on Economic, Social and Cultural Rights, and the International Covenant on Civil and Political Rights so that migrant workers' children do not become stateless and their basic rights are fulfilled;</w:t>
      </w:r>
    </w:p>
    <w:p w14:paraId="00000079" w14:textId="77777777" w:rsidR="004C798E" w:rsidRDefault="00AF209B">
      <w:pPr>
        <w:numPr>
          <w:ilvl w:val="0"/>
          <w:numId w:val="3"/>
        </w:numPr>
        <w:ind w:left="108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Immediately ratify the International Convention for the Protection of All Persons from Enforced Disappearance as promised by the Indonesian government.</w:t>
      </w:r>
    </w:p>
    <w:p w14:paraId="0000007A" w14:textId="77777777" w:rsidR="004C798E" w:rsidRDefault="004C798E">
      <w:pPr>
        <w:ind w:left="360"/>
        <w:jc w:val="both"/>
        <w:rPr>
          <w:rFonts w:ascii="Bookman Old Style" w:eastAsia="Bookman Old Style" w:hAnsi="Bookman Old Style" w:cs="Bookman Old Style"/>
          <w:sz w:val="24"/>
          <w:szCs w:val="24"/>
          <w:highlight w:val="white"/>
        </w:rPr>
      </w:pPr>
    </w:p>
    <w:p w14:paraId="0000007B" w14:textId="77777777" w:rsidR="004C798E" w:rsidRDefault="00AF209B">
      <w:pPr>
        <w:ind w:left="360"/>
        <w:jc w:val="both"/>
        <w:rPr>
          <w:rFonts w:ascii="Bookman Old Style" w:eastAsia="Bookman Old Style" w:hAnsi="Bookman Old Style" w:cs="Bookman Old Style"/>
          <w:sz w:val="24"/>
          <w:szCs w:val="24"/>
          <w:highlight w:val="white"/>
        </w:rPr>
      </w:pPr>
      <w:r>
        <w:rPr>
          <w:rFonts w:ascii="Bookman Old Style" w:eastAsia="Bookman Old Style" w:hAnsi="Bookman Old Style" w:cs="Bookman Old Style"/>
          <w:sz w:val="24"/>
          <w:szCs w:val="24"/>
          <w:highlight w:val="white"/>
        </w:rPr>
        <w:t>Thus, this International Convention on the Protection of the Rights of All Migrant Workers and Members of Their Families is not only a normative document, but an instrument that truly protects Indonesian migrant workers and their families substantively.</w:t>
      </w:r>
      <w:permStart w:id="383349881" w:edGrp="everyone"/>
      <w:permEnd w:id="383349881"/>
    </w:p>
    <w:sectPr w:rsidR="004C798E">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37D53" w14:textId="77777777" w:rsidR="00B9774F" w:rsidRDefault="00B9774F">
      <w:pPr>
        <w:spacing w:line="240" w:lineRule="auto"/>
      </w:pPr>
      <w:r>
        <w:separator/>
      </w:r>
    </w:p>
  </w:endnote>
  <w:endnote w:type="continuationSeparator" w:id="0">
    <w:p w14:paraId="3E3EF385" w14:textId="77777777" w:rsidR="00B9774F" w:rsidRDefault="00B977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1" w:fontKey="{65088813-030C-40BD-8DCA-01BD9D4EE084}"/>
    <w:embedBold r:id="rId2" w:fontKey="{83091FFE-EAC9-4DF1-8CC7-03CDF9634251}"/>
    <w:embedItalic r:id="rId3" w:fontKey="{DE4A0A43-CD6B-4E01-A622-85B8C80FEE64}"/>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4" w:fontKey="{3D0FC0A0-2690-4E6B-82AB-A1F187850A88}"/>
  </w:font>
  <w:font w:name="Cambria">
    <w:panose1 w:val="02040503050406030204"/>
    <w:charset w:val="00"/>
    <w:family w:val="roman"/>
    <w:pitch w:val="variable"/>
    <w:sig w:usb0="E00006FF" w:usb1="420024FF" w:usb2="02000000" w:usb3="00000000" w:csb0="0000019F" w:csb1="00000000"/>
    <w:embedRegular r:id="rId5" w:fontKey="{E7AB23AE-73B5-4BC2-B86B-40A9B912800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C" w14:textId="77777777" w:rsidR="004C798E" w:rsidRDefault="004C798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B43F0" w14:textId="77777777" w:rsidR="00B9774F" w:rsidRDefault="00B9774F">
      <w:pPr>
        <w:spacing w:line="240" w:lineRule="auto"/>
      </w:pPr>
      <w:r>
        <w:separator/>
      </w:r>
    </w:p>
  </w:footnote>
  <w:footnote w:type="continuationSeparator" w:id="0">
    <w:p w14:paraId="1D3F399E" w14:textId="77777777" w:rsidR="00B9774F" w:rsidRDefault="00B9774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859BC"/>
    <w:multiLevelType w:val="multilevel"/>
    <w:tmpl w:val="ADD67D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F001DD3"/>
    <w:multiLevelType w:val="multilevel"/>
    <w:tmpl w:val="D7322B9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4C1B5A68"/>
    <w:multiLevelType w:val="multilevel"/>
    <w:tmpl w:val="FE7C90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2A26FE7"/>
    <w:multiLevelType w:val="multilevel"/>
    <w:tmpl w:val="A5B812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96901086">
    <w:abstractNumId w:val="0"/>
  </w:num>
  <w:num w:numId="2" w16cid:durableId="636300879">
    <w:abstractNumId w:val="3"/>
  </w:num>
  <w:num w:numId="3" w16cid:durableId="1748570206">
    <w:abstractNumId w:val="1"/>
  </w:num>
  <w:num w:numId="4" w16cid:durableId="16715625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proofState w:spelling="clean"/>
  <w:documentProtection w:edit="readOnly" w:formatting="1" w:enforcement="1" w:cryptProviderType="rsaAES" w:cryptAlgorithmClass="hash" w:cryptAlgorithmType="typeAny" w:cryptAlgorithmSid="14" w:cryptSpinCount="100000" w:hash="JKtF5HXBWXoVat+AkYp4Cd6y6pNO8RvEMn29HbTC22uKGmxKFiuBbFCsj4O59C7WouJtBd3bRdfV0mbpyX58ug==" w:salt="N/EGjrqwnEDJ5VIMgnfBk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98E"/>
    <w:rsid w:val="000051E3"/>
    <w:rsid w:val="0021181F"/>
    <w:rsid w:val="003B7A31"/>
    <w:rsid w:val="004C798E"/>
    <w:rsid w:val="007109C3"/>
    <w:rsid w:val="00A650B3"/>
    <w:rsid w:val="00AF209B"/>
    <w:rsid w:val="00B9774F"/>
    <w:rsid w:val="00CE683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3C668"/>
  <w15:docId w15:val="{D7941764-9F08-4FAD-A007-EEF6074F3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semiHidden/>
    <w:unhideWhenUsed/>
    <w:rsid w:val="00AF209B"/>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AF209B"/>
  </w:style>
  <w:style w:type="paragraph" w:styleId="Footer">
    <w:name w:val="footer"/>
    <w:basedOn w:val="Normal"/>
    <w:link w:val="FooterChar"/>
    <w:uiPriority w:val="99"/>
    <w:semiHidden/>
    <w:unhideWhenUsed/>
    <w:rsid w:val="00AF209B"/>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AF2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2025-11-07T16:46:58Z</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YwcqKpklaATwq0uQ+mfIk3LyXw==">CgMxLjA4AHIhMTZIcW55NzlqdlQ2dnp6d1pNUVV2VEhUcUNvblJ3Slkx</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fd68e2237778f10b8a7b2f87736602b1">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b4011683b41f15f0e2449d767713a6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1C8FE1-9DBB-4216-B2F6-AC3895652E94}">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C2CF839B-C9FD-46E2-AC4A-D08E3D9A0908}">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A707BE0D-E2EC-4E45-A2A2-14B6C88C1B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5</TotalTime>
  <Pages>1</Pages>
  <Words>6650</Words>
  <Characters>37905</Characters>
  <Application>Microsoft Office Word</Application>
  <DocSecurity>8</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Isabelle Fleche</cp:lastModifiedBy>
  <cp:revision>4</cp:revision>
  <cp:lastPrinted>2025-11-07T11:17:00Z</cp:lastPrinted>
  <dcterms:created xsi:type="dcterms:W3CDTF">2025-11-07T11:16:00Z</dcterms:created>
  <dcterms:modified xsi:type="dcterms:W3CDTF">2025-11-10T10:31:00Z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