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D4083" w14:textId="77777777" w:rsidR="00667AB2" w:rsidRDefault="00667AB2">
      <w:pPr>
        <w:spacing w:before="120" w:after="120"/>
        <w:ind w:left="360"/>
        <w:jc w:val="both"/>
        <w:rPr>
          <w:rFonts w:ascii="Arial" w:eastAsia="Arial" w:hAnsi="Arial" w:cs="Arial"/>
          <w:b/>
          <w:sz w:val="32"/>
          <w:szCs w:val="32"/>
        </w:rPr>
      </w:pPr>
      <w:bookmarkStart w:id="0" w:name="_Hlk31962877"/>
      <w:bookmarkEnd w:id="0"/>
    </w:p>
    <w:p w14:paraId="5C582500" w14:textId="1020F9D6" w:rsidR="005C6842" w:rsidRDefault="004A1E28">
      <w:pPr>
        <w:spacing w:before="120" w:after="120"/>
        <w:ind w:left="360"/>
        <w:jc w:val="both"/>
        <w:rPr>
          <w:rFonts w:ascii="Arial" w:eastAsia="Arial" w:hAnsi="Arial" w:cs="Arial"/>
          <w:sz w:val="32"/>
          <w:szCs w:val="32"/>
        </w:rPr>
      </w:pPr>
      <w:r>
        <w:rPr>
          <w:rFonts w:ascii="Arial" w:eastAsia="Arial" w:hAnsi="Arial" w:cs="Arial"/>
          <w:b/>
          <w:sz w:val="32"/>
          <w:szCs w:val="32"/>
        </w:rPr>
        <w:t>Comité sobre los Derechos de las Personas con Discapacidad</w:t>
      </w:r>
    </w:p>
    <w:p w14:paraId="3C90679D" w14:textId="77777777" w:rsidR="005C6842" w:rsidRDefault="005C6842">
      <w:pPr>
        <w:spacing w:before="120" w:after="120"/>
        <w:jc w:val="both"/>
        <w:rPr>
          <w:rFonts w:ascii="Arial" w:eastAsia="Arial" w:hAnsi="Arial" w:cs="Arial"/>
          <w:sz w:val="24"/>
          <w:szCs w:val="24"/>
        </w:rPr>
      </w:pPr>
    </w:p>
    <w:p w14:paraId="0AE3BA1F" w14:textId="77777777" w:rsidR="005C6842" w:rsidRDefault="005C6842">
      <w:pPr>
        <w:spacing w:before="120" w:after="120"/>
        <w:jc w:val="both"/>
        <w:rPr>
          <w:rFonts w:ascii="Arial" w:eastAsia="Arial" w:hAnsi="Arial" w:cs="Arial"/>
          <w:sz w:val="24"/>
          <w:szCs w:val="24"/>
        </w:rPr>
      </w:pPr>
    </w:p>
    <w:p w14:paraId="5D67E0B2" w14:textId="77777777" w:rsidR="005C6842" w:rsidRDefault="005C6842">
      <w:pPr>
        <w:spacing w:before="120" w:after="120"/>
        <w:jc w:val="both"/>
        <w:rPr>
          <w:rFonts w:ascii="Arial" w:eastAsia="Arial" w:hAnsi="Arial" w:cs="Arial"/>
          <w:sz w:val="24"/>
          <w:szCs w:val="24"/>
        </w:rPr>
      </w:pPr>
    </w:p>
    <w:p w14:paraId="7523F7A9" w14:textId="77777777" w:rsidR="005C6842" w:rsidRDefault="005C6842">
      <w:pPr>
        <w:spacing w:before="120" w:after="120"/>
        <w:jc w:val="both"/>
        <w:rPr>
          <w:rFonts w:ascii="Arial" w:eastAsia="Arial" w:hAnsi="Arial" w:cs="Arial"/>
          <w:sz w:val="24"/>
          <w:szCs w:val="24"/>
        </w:rPr>
      </w:pPr>
      <w:bookmarkStart w:id="1" w:name="_GoBack"/>
      <w:bookmarkEnd w:id="1"/>
    </w:p>
    <w:p w14:paraId="7FE0F6EA" w14:textId="77777777" w:rsidR="005C6842" w:rsidRDefault="005C6842">
      <w:pPr>
        <w:spacing w:before="120" w:after="120"/>
        <w:jc w:val="both"/>
        <w:rPr>
          <w:rFonts w:ascii="Arial" w:eastAsia="Arial" w:hAnsi="Arial" w:cs="Arial"/>
          <w:sz w:val="24"/>
          <w:szCs w:val="24"/>
        </w:rPr>
      </w:pPr>
    </w:p>
    <w:p w14:paraId="746D7E31" w14:textId="77777777" w:rsidR="005C6842" w:rsidRDefault="004A1E28">
      <w:pPr>
        <w:keepNext/>
        <w:keepLines/>
        <w:pBdr>
          <w:top w:val="nil"/>
          <w:left w:val="nil"/>
          <w:bottom w:val="nil"/>
          <w:right w:val="nil"/>
          <w:between w:val="nil"/>
        </w:pBdr>
        <w:tabs>
          <w:tab w:val="left" w:pos="0"/>
        </w:tabs>
        <w:spacing w:before="120" w:after="120"/>
        <w:ind w:left="360" w:right="1134"/>
        <w:jc w:val="both"/>
        <w:rPr>
          <w:rFonts w:ascii="Arial" w:eastAsia="Arial" w:hAnsi="Arial" w:cs="Arial"/>
          <w:color w:val="000000"/>
          <w:sz w:val="40"/>
          <w:szCs w:val="40"/>
        </w:rPr>
      </w:pPr>
      <w:r>
        <w:rPr>
          <w:rFonts w:ascii="Arial" w:eastAsia="Arial" w:hAnsi="Arial" w:cs="Arial"/>
          <w:b/>
          <w:color w:val="000000"/>
          <w:sz w:val="40"/>
          <w:szCs w:val="40"/>
        </w:rPr>
        <w:t xml:space="preserve">Informe de la Sociedad civil como respuesta a la Lista de Cuestiones relativa al Examen inicial de la República Bolivariana de Venezuela sobre la Convención de Derechos de las Personas con Discapacidad (CPCD)  </w:t>
      </w:r>
    </w:p>
    <w:p w14:paraId="278F2280" w14:textId="77777777" w:rsidR="005C6842" w:rsidRDefault="005C6842">
      <w:pPr>
        <w:tabs>
          <w:tab w:val="left" w:pos="1276"/>
        </w:tabs>
        <w:spacing w:before="120" w:after="120"/>
        <w:rPr>
          <w:rFonts w:ascii="Arial" w:eastAsia="Arial" w:hAnsi="Arial" w:cs="Arial"/>
          <w:sz w:val="40"/>
          <w:szCs w:val="40"/>
        </w:rPr>
      </w:pPr>
    </w:p>
    <w:p w14:paraId="392B565A" w14:textId="77777777" w:rsidR="005C6842" w:rsidRDefault="005C6842">
      <w:pPr>
        <w:tabs>
          <w:tab w:val="left" w:pos="1276"/>
        </w:tabs>
        <w:spacing w:before="120" w:after="120"/>
        <w:rPr>
          <w:rFonts w:ascii="Arial" w:eastAsia="Arial" w:hAnsi="Arial" w:cs="Arial"/>
          <w:sz w:val="40"/>
          <w:szCs w:val="40"/>
        </w:rPr>
      </w:pPr>
    </w:p>
    <w:p w14:paraId="4E9C89F8" w14:textId="77777777" w:rsidR="005C6842" w:rsidRDefault="005C6842">
      <w:pPr>
        <w:tabs>
          <w:tab w:val="left" w:pos="1276"/>
        </w:tabs>
        <w:spacing w:before="120" w:after="120"/>
        <w:rPr>
          <w:rFonts w:ascii="Arial" w:eastAsia="Arial" w:hAnsi="Arial" w:cs="Arial"/>
          <w:sz w:val="40"/>
          <w:szCs w:val="40"/>
        </w:rPr>
      </w:pPr>
    </w:p>
    <w:p w14:paraId="3B29FDB0" w14:textId="77777777" w:rsidR="005C6842" w:rsidRDefault="005C6842">
      <w:pPr>
        <w:tabs>
          <w:tab w:val="left" w:pos="0"/>
        </w:tabs>
        <w:spacing w:before="120" w:after="120"/>
        <w:jc w:val="both"/>
        <w:rPr>
          <w:rFonts w:ascii="Arial" w:eastAsia="Arial" w:hAnsi="Arial" w:cs="Arial"/>
          <w:sz w:val="24"/>
          <w:szCs w:val="24"/>
        </w:rPr>
      </w:pPr>
    </w:p>
    <w:tbl>
      <w:tblPr>
        <w:tblStyle w:val="a"/>
        <w:tblW w:w="8976" w:type="dxa"/>
        <w:jc w:val="center"/>
        <w:tblInd w:w="0" w:type="dxa"/>
        <w:tblLayout w:type="fixed"/>
        <w:tblLook w:val="0000" w:firstRow="0" w:lastRow="0" w:firstColumn="0" w:lastColumn="0" w:noHBand="0" w:noVBand="0"/>
      </w:tblPr>
      <w:tblGrid>
        <w:gridCol w:w="4728"/>
        <w:gridCol w:w="4248"/>
      </w:tblGrid>
      <w:tr w:rsidR="005C6842" w14:paraId="0CD26DBD" w14:textId="77777777">
        <w:trPr>
          <w:trHeight w:val="397"/>
          <w:jc w:val="center"/>
        </w:trPr>
        <w:tc>
          <w:tcPr>
            <w:tcW w:w="4728" w:type="dxa"/>
          </w:tcPr>
          <w:p w14:paraId="54F61297" w14:textId="77777777" w:rsidR="005C6842" w:rsidRDefault="004A1E28">
            <w:pPr>
              <w:spacing w:before="120" w:after="120"/>
              <w:ind w:left="360"/>
              <w:jc w:val="center"/>
              <w:rPr>
                <w:rFonts w:ascii="Arial" w:eastAsia="Arial" w:hAnsi="Arial" w:cs="Arial"/>
                <w:sz w:val="24"/>
                <w:szCs w:val="24"/>
              </w:rPr>
            </w:pPr>
            <w:r>
              <w:rPr>
                <w:rFonts w:ascii="Arial" w:eastAsia="Arial" w:hAnsi="Arial" w:cs="Arial"/>
                <w:b/>
                <w:sz w:val="24"/>
                <w:szCs w:val="24"/>
              </w:rPr>
              <w:t xml:space="preserve">Asociaciones </w:t>
            </w:r>
            <w:proofErr w:type="spellStart"/>
            <w:r>
              <w:rPr>
                <w:rFonts w:ascii="Arial" w:eastAsia="Arial" w:hAnsi="Arial" w:cs="Arial"/>
                <w:b/>
                <w:sz w:val="24"/>
                <w:szCs w:val="24"/>
              </w:rPr>
              <w:t>co-redactoras</w:t>
            </w:r>
            <w:proofErr w:type="spellEnd"/>
            <w:r>
              <w:rPr>
                <w:rFonts w:ascii="Arial" w:eastAsia="Arial" w:hAnsi="Arial" w:cs="Arial"/>
                <w:b/>
                <w:sz w:val="24"/>
                <w:szCs w:val="24"/>
              </w:rPr>
              <w:t>:</w:t>
            </w:r>
          </w:p>
        </w:tc>
        <w:tc>
          <w:tcPr>
            <w:tcW w:w="4248" w:type="dxa"/>
          </w:tcPr>
          <w:p w14:paraId="7F3419E5" w14:textId="77777777" w:rsidR="005C6842" w:rsidRDefault="005C6842">
            <w:pPr>
              <w:spacing w:before="120" w:after="120"/>
              <w:ind w:left="360"/>
              <w:jc w:val="center"/>
              <w:rPr>
                <w:rFonts w:ascii="Arial" w:eastAsia="Arial" w:hAnsi="Arial" w:cs="Arial"/>
                <w:sz w:val="24"/>
                <w:szCs w:val="24"/>
              </w:rPr>
            </w:pPr>
          </w:p>
        </w:tc>
      </w:tr>
      <w:tr w:rsidR="005C6842" w14:paraId="434B4C85" w14:textId="77777777">
        <w:trPr>
          <w:trHeight w:val="1853"/>
          <w:jc w:val="center"/>
        </w:trPr>
        <w:tc>
          <w:tcPr>
            <w:tcW w:w="4728" w:type="dxa"/>
          </w:tcPr>
          <w:p w14:paraId="7FC8B5C3" w14:textId="77777777" w:rsidR="005C6842" w:rsidRDefault="004A1E28">
            <w:pPr>
              <w:spacing w:before="120" w:after="120"/>
              <w:ind w:left="360"/>
              <w:rPr>
                <w:rFonts w:ascii="Arial" w:eastAsia="Arial" w:hAnsi="Arial" w:cs="Arial"/>
                <w:sz w:val="24"/>
                <w:szCs w:val="24"/>
              </w:rPr>
            </w:pPr>
            <w:r>
              <w:rPr>
                <w:rFonts w:ascii="Arial" w:eastAsia="Arial" w:hAnsi="Arial" w:cs="Arial"/>
                <w:i/>
                <w:sz w:val="24"/>
                <w:szCs w:val="24"/>
              </w:rPr>
              <w:t>Confederación Sordos de Venezuela- Consorven</w:t>
            </w:r>
          </w:p>
          <w:p w14:paraId="51F1EC54" w14:textId="77777777" w:rsidR="005C6842" w:rsidRDefault="004A1E28">
            <w:pPr>
              <w:spacing w:before="120" w:after="120"/>
              <w:ind w:left="360"/>
              <w:rPr>
                <w:rFonts w:ascii="Arial" w:eastAsia="Arial" w:hAnsi="Arial" w:cs="Arial"/>
                <w:sz w:val="24"/>
                <w:szCs w:val="24"/>
              </w:rPr>
            </w:pPr>
            <w:r>
              <w:rPr>
                <w:rFonts w:ascii="Arial" w:eastAsia="Arial" w:hAnsi="Arial" w:cs="Arial"/>
                <w:i/>
                <w:sz w:val="24"/>
                <w:szCs w:val="24"/>
              </w:rPr>
              <w:t xml:space="preserve">Centro de Estudios para la Discapacidad - Universidad </w:t>
            </w:r>
            <w:proofErr w:type="spellStart"/>
            <w:r>
              <w:rPr>
                <w:rFonts w:ascii="Arial" w:eastAsia="Arial" w:hAnsi="Arial" w:cs="Arial"/>
                <w:i/>
                <w:sz w:val="24"/>
                <w:szCs w:val="24"/>
              </w:rPr>
              <w:t>Monteávila</w:t>
            </w:r>
            <w:proofErr w:type="spellEnd"/>
          </w:p>
        </w:tc>
        <w:tc>
          <w:tcPr>
            <w:tcW w:w="4248" w:type="dxa"/>
          </w:tcPr>
          <w:p w14:paraId="49044156" w14:textId="77777777" w:rsidR="005C6842" w:rsidRDefault="005C6842">
            <w:pPr>
              <w:spacing w:before="120" w:after="120"/>
              <w:ind w:left="360"/>
              <w:jc w:val="right"/>
              <w:rPr>
                <w:rFonts w:ascii="Arial" w:eastAsia="Arial" w:hAnsi="Arial" w:cs="Arial"/>
                <w:sz w:val="24"/>
                <w:szCs w:val="24"/>
              </w:rPr>
            </w:pPr>
          </w:p>
        </w:tc>
      </w:tr>
    </w:tbl>
    <w:p w14:paraId="7461EA26" w14:textId="77777777" w:rsidR="005C6842" w:rsidRDefault="005C6842">
      <w:pPr>
        <w:pBdr>
          <w:bottom w:val="single" w:sz="12" w:space="1" w:color="000000"/>
        </w:pBdr>
        <w:tabs>
          <w:tab w:val="left" w:pos="1276"/>
        </w:tabs>
        <w:spacing w:before="120" w:after="120"/>
        <w:rPr>
          <w:rFonts w:ascii="Arial" w:eastAsia="Arial" w:hAnsi="Arial" w:cs="Arial"/>
          <w:sz w:val="24"/>
          <w:szCs w:val="24"/>
        </w:rPr>
      </w:pPr>
    </w:p>
    <w:p w14:paraId="6B60B14F" w14:textId="77777777" w:rsidR="005C6842" w:rsidRDefault="004A1E28">
      <w:pPr>
        <w:tabs>
          <w:tab w:val="left" w:pos="1276"/>
        </w:tabs>
        <w:spacing w:before="120" w:after="120"/>
        <w:ind w:left="360"/>
        <w:jc w:val="center"/>
        <w:rPr>
          <w:rFonts w:ascii="Arial" w:eastAsia="Arial" w:hAnsi="Arial" w:cs="Arial"/>
          <w:sz w:val="24"/>
          <w:szCs w:val="24"/>
        </w:rPr>
      </w:pPr>
      <w:r>
        <w:rPr>
          <w:rFonts w:ascii="Arial" w:eastAsia="Arial" w:hAnsi="Arial" w:cs="Arial"/>
          <w:b/>
          <w:sz w:val="24"/>
          <w:szCs w:val="24"/>
        </w:rPr>
        <w:t>Febrero, 2020</w:t>
      </w:r>
    </w:p>
    <w:p w14:paraId="777F0720" w14:textId="77777777" w:rsidR="005C6842" w:rsidRDefault="005C6842">
      <w:pPr>
        <w:tabs>
          <w:tab w:val="left" w:pos="1276"/>
        </w:tabs>
        <w:spacing w:before="120" w:after="120"/>
        <w:jc w:val="center"/>
        <w:rPr>
          <w:rFonts w:ascii="Arial" w:eastAsia="Arial" w:hAnsi="Arial" w:cs="Arial"/>
          <w:sz w:val="24"/>
          <w:szCs w:val="24"/>
        </w:rPr>
      </w:pPr>
    </w:p>
    <w:p w14:paraId="5F415853" w14:textId="296D6FBA" w:rsidR="005C6842" w:rsidRDefault="004A1E28">
      <w:pPr>
        <w:tabs>
          <w:tab w:val="left" w:pos="1276"/>
        </w:tabs>
        <w:spacing w:before="120" w:after="120"/>
        <w:ind w:left="360"/>
        <w:jc w:val="right"/>
        <w:rPr>
          <w:rFonts w:ascii="Arial" w:eastAsia="Arial" w:hAnsi="Arial" w:cs="Arial"/>
          <w:sz w:val="24"/>
          <w:szCs w:val="24"/>
        </w:rPr>
      </w:pPr>
      <w:r>
        <w:rPr>
          <w:rFonts w:ascii="Arial" w:eastAsia="Arial" w:hAnsi="Arial" w:cs="Arial"/>
          <w:sz w:val="24"/>
          <w:szCs w:val="24"/>
        </w:rPr>
        <w:t>Original: español</w:t>
      </w:r>
    </w:p>
    <w:p w14:paraId="68E6522C" w14:textId="77777777" w:rsidR="005C6842" w:rsidRDefault="005C6842">
      <w:pPr>
        <w:tabs>
          <w:tab w:val="left" w:pos="1276"/>
        </w:tabs>
        <w:spacing w:before="120" w:after="120"/>
        <w:rPr>
          <w:rFonts w:ascii="Arial" w:eastAsia="Arial" w:hAnsi="Arial" w:cs="Arial"/>
          <w:sz w:val="24"/>
          <w:szCs w:val="24"/>
        </w:rPr>
      </w:pPr>
    </w:p>
    <w:p w14:paraId="66EB6302" w14:textId="77777777" w:rsidR="005C6842" w:rsidRDefault="004A1E28">
      <w:pPr>
        <w:tabs>
          <w:tab w:val="left" w:pos="1276"/>
        </w:tabs>
        <w:spacing w:before="120" w:after="120"/>
        <w:ind w:left="360"/>
        <w:rPr>
          <w:rFonts w:ascii="Arial" w:eastAsia="Arial" w:hAnsi="Arial" w:cs="Arial"/>
          <w:sz w:val="24"/>
          <w:szCs w:val="24"/>
        </w:rPr>
      </w:pPr>
      <w:r>
        <w:rPr>
          <w:rFonts w:ascii="Arial" w:eastAsia="Arial" w:hAnsi="Arial" w:cs="Arial"/>
          <w:b/>
          <w:sz w:val="24"/>
          <w:szCs w:val="24"/>
        </w:rPr>
        <w:t>ABREVIATURAS Y SIGLAS</w:t>
      </w:r>
    </w:p>
    <w:p w14:paraId="6F423BAF" w14:textId="77777777" w:rsidR="005C6842" w:rsidRDefault="005C6842">
      <w:pPr>
        <w:spacing w:before="120" w:after="120"/>
        <w:rPr>
          <w:rFonts w:ascii="Arial" w:eastAsia="Arial" w:hAnsi="Arial" w:cs="Arial"/>
          <w:sz w:val="24"/>
          <w:szCs w:val="24"/>
        </w:rPr>
        <w:sectPr w:rsidR="005C6842">
          <w:headerReference w:type="even" r:id="rId11"/>
          <w:footerReference w:type="even" r:id="rId12"/>
          <w:footerReference w:type="default" r:id="rId13"/>
          <w:headerReference w:type="first" r:id="rId14"/>
          <w:footerReference w:type="first" r:id="rId15"/>
          <w:pgSz w:w="12240" w:h="15840"/>
          <w:pgMar w:top="1440" w:right="1080" w:bottom="1440" w:left="1080" w:header="850" w:footer="567" w:gutter="0"/>
          <w:pgNumType w:start="1"/>
          <w:cols w:space="720" w:equalWidth="0">
            <w:col w:w="9360"/>
          </w:cols>
          <w:titlePg/>
        </w:sectPr>
      </w:pPr>
    </w:p>
    <w:p w14:paraId="5AF8A15B" w14:textId="77777777" w:rsidR="005C6842" w:rsidRDefault="004A1E28">
      <w:pPr>
        <w:spacing w:before="120" w:after="120"/>
        <w:ind w:left="360"/>
        <w:rPr>
          <w:rFonts w:ascii="Arial" w:eastAsia="Arial" w:hAnsi="Arial" w:cs="Arial"/>
        </w:rPr>
      </w:pPr>
      <w:r>
        <w:rPr>
          <w:rFonts w:ascii="Arial" w:eastAsia="Arial" w:hAnsi="Arial" w:cs="Arial"/>
        </w:rPr>
        <w:t>ACNUR: Alto Comisionado de las Naciones Unidas para los Refugiados</w:t>
      </w:r>
    </w:p>
    <w:p w14:paraId="0F5318C5" w14:textId="77777777" w:rsidR="005C6842" w:rsidRDefault="004A1E28">
      <w:pPr>
        <w:spacing w:before="120" w:after="120"/>
        <w:ind w:left="360"/>
        <w:rPr>
          <w:rFonts w:ascii="Arial" w:eastAsia="Arial" w:hAnsi="Arial" w:cs="Arial"/>
        </w:rPr>
      </w:pPr>
      <w:r>
        <w:rPr>
          <w:rFonts w:ascii="Arial" w:eastAsia="Arial" w:hAnsi="Arial" w:cs="Arial"/>
        </w:rPr>
        <w:t>AN: Asamblea Nacional</w:t>
      </w:r>
    </w:p>
    <w:p w14:paraId="01EA08F3" w14:textId="77777777" w:rsidR="005C6842" w:rsidRDefault="004A1E28">
      <w:pPr>
        <w:spacing w:before="120" w:after="120"/>
        <w:ind w:left="360"/>
        <w:rPr>
          <w:rFonts w:ascii="Arial" w:eastAsia="Arial" w:hAnsi="Arial" w:cs="Arial"/>
        </w:rPr>
      </w:pPr>
      <w:r>
        <w:rPr>
          <w:rFonts w:ascii="Arial" w:eastAsia="Arial" w:hAnsi="Arial" w:cs="Arial"/>
        </w:rPr>
        <w:t>ANC: Asamblea Nacional Constituyente</w:t>
      </w:r>
    </w:p>
    <w:p w14:paraId="0A65FB6B" w14:textId="77777777" w:rsidR="00772EA5" w:rsidRDefault="004A1E28">
      <w:pPr>
        <w:spacing w:before="120" w:after="120"/>
        <w:ind w:left="360"/>
        <w:rPr>
          <w:rFonts w:ascii="Arial" w:eastAsia="Arial" w:hAnsi="Arial" w:cs="Arial"/>
        </w:rPr>
      </w:pPr>
      <w:r>
        <w:rPr>
          <w:rFonts w:ascii="Arial" w:eastAsia="Arial" w:hAnsi="Arial" w:cs="Arial"/>
        </w:rPr>
        <w:t>ASOIVE: Asociación de Intérpretes de Lengua de Señas Venezolana y Guías Intérpretes</w:t>
      </w:r>
    </w:p>
    <w:p w14:paraId="056AE0A3" w14:textId="77777777" w:rsidR="005C6842" w:rsidRDefault="004A1E28">
      <w:pPr>
        <w:spacing w:before="120" w:after="120"/>
        <w:ind w:left="360"/>
        <w:rPr>
          <w:rFonts w:ascii="Arial" w:eastAsia="Arial" w:hAnsi="Arial" w:cs="Arial"/>
        </w:rPr>
      </w:pPr>
      <w:r>
        <w:rPr>
          <w:rFonts w:ascii="Arial" w:eastAsia="Arial" w:hAnsi="Arial" w:cs="Arial"/>
        </w:rPr>
        <w:t>CCV: Código Civil Venezolano</w:t>
      </w:r>
    </w:p>
    <w:p w14:paraId="7038907D" w14:textId="77777777" w:rsidR="005C6842" w:rsidRDefault="004A1E28">
      <w:pPr>
        <w:spacing w:before="120" w:after="120"/>
        <w:ind w:left="360"/>
        <w:rPr>
          <w:rFonts w:ascii="Arial" w:eastAsia="Arial" w:hAnsi="Arial" w:cs="Arial"/>
        </w:rPr>
      </w:pPr>
      <w:r>
        <w:rPr>
          <w:rFonts w:ascii="Arial" w:eastAsia="Arial" w:hAnsi="Arial" w:cs="Arial"/>
        </w:rPr>
        <w:t>CAIPA: Centro de Atención Integral para Personas con Autismo</w:t>
      </w:r>
    </w:p>
    <w:p w14:paraId="450C00B3" w14:textId="77777777" w:rsidR="005C6842" w:rsidRDefault="004A1E28">
      <w:pPr>
        <w:spacing w:before="120" w:after="120"/>
        <w:ind w:left="360"/>
        <w:rPr>
          <w:rFonts w:ascii="Arial" w:eastAsia="Arial" w:hAnsi="Arial" w:cs="Arial"/>
        </w:rPr>
      </w:pPr>
      <w:r>
        <w:rPr>
          <w:rFonts w:ascii="Arial" w:eastAsia="Arial" w:hAnsi="Arial" w:cs="Arial"/>
        </w:rPr>
        <w:t>CCV: Código Civil Venezolano</w:t>
      </w:r>
    </w:p>
    <w:p w14:paraId="7883BE8C" w14:textId="77777777" w:rsidR="005C6842" w:rsidRDefault="004A1E28">
      <w:pPr>
        <w:spacing w:before="120" w:after="120"/>
        <w:ind w:left="360"/>
        <w:rPr>
          <w:rFonts w:ascii="Arial" w:eastAsia="Arial" w:hAnsi="Arial" w:cs="Arial"/>
        </w:rPr>
      </w:pPr>
      <w:r>
        <w:rPr>
          <w:rFonts w:ascii="Arial" w:eastAsia="Arial" w:hAnsi="Arial" w:cs="Arial"/>
        </w:rPr>
        <w:t>CDH: Consejo de Derechos Humanos</w:t>
      </w:r>
    </w:p>
    <w:p w14:paraId="7131F3CC" w14:textId="77777777" w:rsidR="005C6842" w:rsidRDefault="004A1E28">
      <w:pPr>
        <w:spacing w:before="120" w:after="120"/>
        <w:ind w:left="360"/>
        <w:rPr>
          <w:rFonts w:ascii="Arial" w:eastAsia="Arial" w:hAnsi="Arial" w:cs="Arial"/>
        </w:rPr>
      </w:pPr>
      <w:r>
        <w:rPr>
          <w:rFonts w:ascii="Arial" w:eastAsia="Arial" w:hAnsi="Arial" w:cs="Arial"/>
        </w:rPr>
        <w:t>CEDAW: Convención para la Eliminación de todas las Formas de Discriminación contra la</w:t>
      </w:r>
      <w:r w:rsidR="00772EA5">
        <w:rPr>
          <w:rFonts w:ascii="Arial" w:eastAsia="Arial" w:hAnsi="Arial" w:cs="Arial"/>
        </w:rPr>
        <w:t xml:space="preserve"> </w:t>
      </w:r>
      <w:r>
        <w:rPr>
          <w:rFonts w:ascii="Arial" w:eastAsia="Arial" w:hAnsi="Arial" w:cs="Arial"/>
        </w:rPr>
        <w:t>Mujer</w:t>
      </w:r>
    </w:p>
    <w:p w14:paraId="2462CB87" w14:textId="77777777" w:rsidR="005C6842" w:rsidRDefault="004A1E28">
      <w:pPr>
        <w:spacing w:before="120" w:after="120"/>
        <w:ind w:left="360"/>
        <w:rPr>
          <w:rFonts w:ascii="Arial" w:eastAsia="Arial" w:hAnsi="Arial" w:cs="Arial"/>
        </w:rPr>
      </w:pPr>
      <w:r>
        <w:rPr>
          <w:rFonts w:ascii="Arial" w:eastAsia="Arial" w:hAnsi="Arial" w:cs="Arial"/>
        </w:rPr>
        <w:t xml:space="preserve">CEDISC-UMA: Centro de Estudios para la Discapacidad de la Universidad </w:t>
      </w:r>
      <w:proofErr w:type="spellStart"/>
      <w:r>
        <w:rPr>
          <w:rFonts w:ascii="Arial" w:eastAsia="Arial" w:hAnsi="Arial" w:cs="Arial"/>
        </w:rPr>
        <w:t>Monteávila</w:t>
      </w:r>
      <w:proofErr w:type="spellEnd"/>
    </w:p>
    <w:p w14:paraId="7D26BB9A" w14:textId="77777777" w:rsidR="005C6842" w:rsidRDefault="004A1E28">
      <w:pPr>
        <w:spacing w:before="120" w:after="120"/>
        <w:ind w:left="360"/>
        <w:rPr>
          <w:rFonts w:ascii="Arial" w:eastAsia="Arial" w:hAnsi="Arial" w:cs="Arial"/>
        </w:rPr>
      </w:pPr>
      <w:r>
        <w:rPr>
          <w:rFonts w:ascii="Arial" w:eastAsia="Arial" w:hAnsi="Arial" w:cs="Arial"/>
        </w:rPr>
        <w:t>CIDH: Comisión Interamericana de Derechos Humanos</w:t>
      </w:r>
    </w:p>
    <w:p w14:paraId="51F800AD" w14:textId="77777777" w:rsidR="005C6842" w:rsidRDefault="004A1E28">
      <w:pPr>
        <w:spacing w:before="120" w:after="120"/>
        <w:ind w:left="360"/>
        <w:rPr>
          <w:rFonts w:ascii="Arial" w:eastAsia="Arial" w:hAnsi="Arial" w:cs="Arial"/>
        </w:rPr>
      </w:pPr>
      <w:r>
        <w:rPr>
          <w:rFonts w:ascii="Arial" w:eastAsia="Arial" w:hAnsi="Arial" w:cs="Arial"/>
        </w:rPr>
        <w:t xml:space="preserve">CONSORVEN: Confederación de Sordos de Venezuela </w:t>
      </w:r>
    </w:p>
    <w:p w14:paraId="323EBEE5" w14:textId="77777777" w:rsidR="005C6842" w:rsidRDefault="004A1E28">
      <w:pPr>
        <w:spacing w:before="120" w:after="120"/>
        <w:ind w:left="360"/>
        <w:rPr>
          <w:rFonts w:ascii="Arial" w:eastAsia="Arial" w:hAnsi="Arial" w:cs="Arial"/>
        </w:rPr>
      </w:pPr>
      <w:r>
        <w:rPr>
          <w:rFonts w:ascii="Arial" w:eastAsia="Arial" w:hAnsi="Arial" w:cs="Arial"/>
        </w:rPr>
        <w:t>COVENIN: Comisión Venezolana de Normas Industriales</w:t>
      </w:r>
    </w:p>
    <w:p w14:paraId="2C2E2D10" w14:textId="77777777" w:rsidR="005C6842" w:rsidRDefault="004A1E28">
      <w:pPr>
        <w:spacing w:before="120" w:after="120"/>
        <w:ind w:left="360"/>
        <w:rPr>
          <w:rFonts w:ascii="Arial" w:eastAsia="Arial" w:hAnsi="Arial" w:cs="Arial"/>
        </w:rPr>
      </w:pPr>
      <w:r>
        <w:rPr>
          <w:rFonts w:ascii="Arial" w:eastAsia="Arial" w:hAnsi="Arial" w:cs="Arial"/>
        </w:rPr>
        <w:t>CPC: Código de Procedimiento Civil</w:t>
      </w:r>
    </w:p>
    <w:p w14:paraId="02837870" w14:textId="77777777" w:rsidR="005C6842" w:rsidRDefault="004A1E28">
      <w:pPr>
        <w:spacing w:before="120" w:after="120"/>
        <w:ind w:left="360"/>
        <w:rPr>
          <w:rFonts w:ascii="Arial" w:eastAsia="Arial" w:hAnsi="Arial" w:cs="Arial"/>
        </w:rPr>
      </w:pPr>
      <w:r>
        <w:rPr>
          <w:rFonts w:ascii="Arial" w:eastAsia="Arial" w:hAnsi="Arial" w:cs="Arial"/>
        </w:rPr>
        <w:t>CPCD: Convención sobre los Derechos de las Personas con Discapacidad</w:t>
      </w:r>
    </w:p>
    <w:p w14:paraId="08B007F4" w14:textId="77777777" w:rsidR="005C6842" w:rsidRDefault="004A1E28">
      <w:pPr>
        <w:spacing w:before="120" w:after="120"/>
        <w:ind w:left="360"/>
        <w:rPr>
          <w:rFonts w:ascii="Arial" w:eastAsia="Arial" w:hAnsi="Arial" w:cs="Arial"/>
        </w:rPr>
      </w:pPr>
      <w:r>
        <w:rPr>
          <w:rFonts w:ascii="Arial" w:eastAsia="Arial" w:hAnsi="Arial" w:cs="Arial"/>
        </w:rPr>
        <w:t>CPGPPD: Consejo Presidencial de Gobierno Popular de Personas con Discapacidad</w:t>
      </w:r>
    </w:p>
    <w:p w14:paraId="642DD603" w14:textId="77777777" w:rsidR="005C6842" w:rsidRDefault="004A1E28">
      <w:pPr>
        <w:spacing w:before="120" w:after="120"/>
        <w:ind w:left="360"/>
        <w:rPr>
          <w:rFonts w:ascii="Arial" w:eastAsia="Arial" w:hAnsi="Arial" w:cs="Arial"/>
        </w:rPr>
      </w:pPr>
      <w:r>
        <w:rPr>
          <w:rFonts w:ascii="Arial" w:eastAsia="Arial" w:hAnsi="Arial" w:cs="Arial"/>
        </w:rPr>
        <w:t>CRBV: Constitución de la República Bolivariana de Venezuela</w:t>
      </w:r>
    </w:p>
    <w:p w14:paraId="4D780EAA" w14:textId="77777777" w:rsidR="005C6842" w:rsidRDefault="004A1E28">
      <w:pPr>
        <w:spacing w:before="120" w:after="120"/>
        <w:ind w:left="360"/>
        <w:rPr>
          <w:rFonts w:ascii="Arial" w:eastAsia="Arial" w:hAnsi="Arial" w:cs="Arial"/>
        </w:rPr>
      </w:pPr>
      <w:r>
        <w:rPr>
          <w:rFonts w:ascii="Arial" w:eastAsia="Arial" w:hAnsi="Arial" w:cs="Arial"/>
        </w:rPr>
        <w:t>DP: Defensoría del Pueblo</w:t>
      </w:r>
    </w:p>
    <w:p w14:paraId="11D77BA8" w14:textId="77777777" w:rsidR="005C6842" w:rsidRDefault="004A1E28">
      <w:pPr>
        <w:spacing w:before="120" w:after="120"/>
        <w:ind w:left="360"/>
        <w:rPr>
          <w:rFonts w:ascii="Arial" w:eastAsia="Arial" w:hAnsi="Arial" w:cs="Arial"/>
        </w:rPr>
      </w:pPr>
      <w:r>
        <w:rPr>
          <w:rFonts w:ascii="Arial" w:eastAsia="Arial" w:hAnsi="Arial" w:cs="Arial"/>
        </w:rPr>
        <w:t>DUDH: Declaración Universal de los Derechos Humanos</w:t>
      </w:r>
    </w:p>
    <w:p w14:paraId="12AFA517" w14:textId="77777777" w:rsidR="005C6842" w:rsidRDefault="004A1E28">
      <w:pPr>
        <w:spacing w:before="120" w:after="120"/>
        <w:ind w:left="360"/>
        <w:rPr>
          <w:rFonts w:ascii="Arial" w:eastAsia="Arial" w:hAnsi="Arial" w:cs="Arial"/>
        </w:rPr>
      </w:pPr>
      <w:r>
        <w:rPr>
          <w:rFonts w:ascii="Arial" w:eastAsia="Arial" w:hAnsi="Arial" w:cs="Arial"/>
        </w:rPr>
        <w:t>EADH: Estudio sobre accesibilidad y derechos</w:t>
      </w:r>
    </w:p>
    <w:p w14:paraId="775D1AA6" w14:textId="77777777" w:rsidR="005C6842" w:rsidRDefault="004A1E28">
      <w:pPr>
        <w:spacing w:before="120" w:after="120"/>
        <w:ind w:left="360"/>
        <w:rPr>
          <w:rFonts w:ascii="Arial" w:eastAsia="Arial" w:hAnsi="Arial" w:cs="Arial"/>
        </w:rPr>
      </w:pPr>
      <w:r>
        <w:rPr>
          <w:rFonts w:ascii="Arial" w:eastAsia="Arial" w:hAnsi="Arial" w:cs="Arial"/>
        </w:rPr>
        <w:t>EHC: Emergencia Humanitaria Compleja</w:t>
      </w:r>
    </w:p>
    <w:p w14:paraId="49D45474" w14:textId="77777777" w:rsidR="005C6842" w:rsidRDefault="004A1E28">
      <w:pPr>
        <w:spacing w:before="120" w:after="120"/>
        <w:ind w:left="360"/>
        <w:rPr>
          <w:rFonts w:ascii="Arial" w:eastAsia="Arial" w:hAnsi="Arial" w:cs="Arial"/>
        </w:rPr>
      </w:pPr>
      <w:r>
        <w:rPr>
          <w:rFonts w:ascii="Arial" w:eastAsia="Arial" w:hAnsi="Arial" w:cs="Arial"/>
        </w:rPr>
        <w:t>ENCOVI: Encuesta Nacional de Condiciones de Vida</w:t>
      </w:r>
    </w:p>
    <w:p w14:paraId="71B8D39C" w14:textId="77777777" w:rsidR="005C6842" w:rsidRDefault="004A1E28">
      <w:pPr>
        <w:pBdr>
          <w:top w:val="nil"/>
          <w:left w:val="nil"/>
          <w:bottom w:val="nil"/>
          <w:right w:val="nil"/>
          <w:between w:val="nil"/>
        </w:pBdr>
        <w:spacing w:before="120" w:after="120"/>
        <w:ind w:left="360"/>
        <w:rPr>
          <w:rFonts w:ascii="Arial" w:eastAsia="Arial" w:hAnsi="Arial" w:cs="Arial"/>
          <w:color w:val="000000"/>
        </w:rPr>
      </w:pPr>
      <w:r>
        <w:rPr>
          <w:rFonts w:ascii="Arial" w:eastAsia="Arial" w:hAnsi="Arial" w:cs="Arial"/>
          <w:color w:val="000000"/>
        </w:rPr>
        <w:t>EPU: Examen Periódico Universal</w:t>
      </w:r>
    </w:p>
    <w:p w14:paraId="5A9AEFF9" w14:textId="77777777" w:rsidR="005C6842" w:rsidRDefault="004A1E28">
      <w:pPr>
        <w:spacing w:before="120" w:after="120"/>
        <w:ind w:left="360"/>
        <w:rPr>
          <w:rFonts w:ascii="Arial" w:eastAsia="Arial" w:hAnsi="Arial" w:cs="Arial"/>
        </w:rPr>
      </w:pPr>
      <w:r>
        <w:rPr>
          <w:rFonts w:ascii="Arial" w:eastAsia="Arial" w:hAnsi="Arial" w:cs="Arial"/>
        </w:rPr>
        <w:t>FAO: Organización de las Naciones Unidas para la Alimentación y la Agricultura</w:t>
      </w:r>
    </w:p>
    <w:p w14:paraId="04F4F74E" w14:textId="77777777" w:rsidR="005C6842" w:rsidRDefault="004A1E28">
      <w:pPr>
        <w:spacing w:before="120" w:after="120"/>
        <w:ind w:left="360"/>
        <w:rPr>
          <w:rFonts w:ascii="Arial" w:eastAsia="Arial" w:hAnsi="Arial" w:cs="Arial"/>
        </w:rPr>
      </w:pPr>
      <w:r>
        <w:rPr>
          <w:rFonts w:ascii="Arial" w:eastAsia="Arial" w:hAnsi="Arial" w:cs="Arial"/>
        </w:rPr>
        <w:t xml:space="preserve">HNO: </w:t>
      </w:r>
      <w:proofErr w:type="spellStart"/>
      <w:r>
        <w:rPr>
          <w:rFonts w:ascii="Arial" w:eastAsia="Arial" w:hAnsi="Arial" w:cs="Arial"/>
        </w:rPr>
        <w:t>Humanitarian</w:t>
      </w:r>
      <w:proofErr w:type="spellEnd"/>
      <w:r>
        <w:rPr>
          <w:rFonts w:ascii="Arial" w:eastAsia="Arial" w:hAnsi="Arial" w:cs="Arial"/>
        </w:rPr>
        <w:t xml:space="preserve"> </w:t>
      </w:r>
      <w:proofErr w:type="spellStart"/>
      <w:r>
        <w:rPr>
          <w:rFonts w:ascii="Arial" w:eastAsia="Arial" w:hAnsi="Arial" w:cs="Arial"/>
        </w:rPr>
        <w:t>Needs</w:t>
      </w:r>
      <w:proofErr w:type="spellEnd"/>
      <w:r>
        <w:rPr>
          <w:rFonts w:ascii="Arial" w:eastAsia="Arial" w:hAnsi="Arial" w:cs="Arial"/>
        </w:rPr>
        <w:t xml:space="preserve"> </w:t>
      </w:r>
      <w:proofErr w:type="spellStart"/>
      <w:r>
        <w:rPr>
          <w:rFonts w:ascii="Arial" w:eastAsia="Arial" w:hAnsi="Arial" w:cs="Arial"/>
        </w:rPr>
        <w:t>Overview</w:t>
      </w:r>
      <w:proofErr w:type="spellEnd"/>
    </w:p>
    <w:p w14:paraId="44C028A1" w14:textId="77777777" w:rsidR="005C6842" w:rsidRDefault="004A1E28">
      <w:pPr>
        <w:spacing w:before="120" w:after="120"/>
        <w:ind w:left="360"/>
        <w:rPr>
          <w:rFonts w:ascii="Arial" w:eastAsia="Arial" w:hAnsi="Arial" w:cs="Arial"/>
        </w:rPr>
      </w:pPr>
      <w:r>
        <w:rPr>
          <w:rFonts w:ascii="Arial" w:eastAsia="Arial" w:hAnsi="Arial" w:cs="Arial"/>
        </w:rPr>
        <w:t>INE: Instituto Nacional de Estadística de Venezuela</w:t>
      </w:r>
    </w:p>
    <w:p w14:paraId="1AE3724C" w14:textId="77777777" w:rsidR="005C6842" w:rsidRDefault="004A1E28">
      <w:pPr>
        <w:spacing w:before="120" w:after="120"/>
        <w:ind w:left="360"/>
        <w:rPr>
          <w:rFonts w:ascii="Arial" w:eastAsia="Arial" w:hAnsi="Arial" w:cs="Arial"/>
        </w:rPr>
      </w:pPr>
      <w:r>
        <w:rPr>
          <w:rFonts w:ascii="Arial" w:eastAsia="Arial" w:hAnsi="Arial" w:cs="Arial"/>
        </w:rPr>
        <w:t>LOE: Ley Orgánica de Educación</w:t>
      </w:r>
    </w:p>
    <w:p w14:paraId="22A47DDE" w14:textId="77777777" w:rsidR="005C6842" w:rsidRDefault="004A1E28">
      <w:pPr>
        <w:spacing w:before="120" w:after="120"/>
        <w:ind w:left="360"/>
        <w:rPr>
          <w:rFonts w:ascii="Arial" w:eastAsia="Arial" w:hAnsi="Arial" w:cs="Arial"/>
        </w:rPr>
      </w:pPr>
      <w:r>
        <w:rPr>
          <w:rFonts w:ascii="Arial" w:eastAsia="Arial" w:hAnsi="Arial" w:cs="Arial"/>
        </w:rPr>
        <w:t>LOES: Ley Orgánica de Educación Superior</w:t>
      </w:r>
    </w:p>
    <w:p w14:paraId="1B7D603A" w14:textId="77777777" w:rsidR="005C6842" w:rsidRDefault="004A1E28">
      <w:pPr>
        <w:spacing w:before="120" w:after="120"/>
        <w:ind w:left="360"/>
        <w:rPr>
          <w:rFonts w:ascii="Arial" w:eastAsia="Arial" w:hAnsi="Arial" w:cs="Arial"/>
        </w:rPr>
      </w:pPr>
      <w:r>
        <w:rPr>
          <w:rFonts w:ascii="Arial" w:eastAsia="Arial" w:hAnsi="Arial" w:cs="Arial"/>
        </w:rPr>
        <w:t>LOPNNA: Ley Orgánica para la Protección de Niños, Niñas y Adolescentes</w:t>
      </w:r>
    </w:p>
    <w:p w14:paraId="33E15BDA" w14:textId="77777777" w:rsidR="005C6842" w:rsidRDefault="004A1E28">
      <w:pPr>
        <w:spacing w:before="120" w:after="120"/>
        <w:ind w:left="360"/>
        <w:rPr>
          <w:rFonts w:ascii="Arial" w:eastAsia="Arial" w:hAnsi="Arial" w:cs="Arial"/>
        </w:rPr>
      </w:pPr>
      <w:r>
        <w:rPr>
          <w:rFonts w:ascii="Arial" w:eastAsia="Arial" w:hAnsi="Arial" w:cs="Arial"/>
        </w:rPr>
        <w:t>LPCD: Ley para las Personas con Discapacidad</w:t>
      </w:r>
    </w:p>
    <w:p w14:paraId="678D784F" w14:textId="77777777" w:rsidR="005C6842" w:rsidRDefault="004A1E28">
      <w:pPr>
        <w:spacing w:before="120" w:after="120"/>
        <w:ind w:left="360"/>
        <w:rPr>
          <w:rFonts w:ascii="Arial" w:eastAsia="Arial" w:hAnsi="Arial" w:cs="Arial"/>
        </w:rPr>
      </w:pPr>
      <w:r>
        <w:rPr>
          <w:rFonts w:ascii="Arial" w:eastAsia="Arial" w:hAnsi="Arial" w:cs="Arial"/>
        </w:rPr>
        <w:t>LOPE: Ley Orgánica de Procesos Electorales</w:t>
      </w:r>
    </w:p>
    <w:p w14:paraId="394D5ECB" w14:textId="77777777" w:rsidR="005C6842" w:rsidRDefault="004A1E28">
      <w:pPr>
        <w:spacing w:before="120" w:after="120"/>
        <w:ind w:left="360"/>
        <w:rPr>
          <w:rFonts w:ascii="Arial" w:eastAsia="Arial" w:hAnsi="Arial" w:cs="Arial"/>
        </w:rPr>
      </w:pPr>
      <w:r>
        <w:rPr>
          <w:rFonts w:ascii="Arial" w:eastAsia="Arial" w:hAnsi="Arial" w:cs="Arial"/>
        </w:rPr>
        <w:t>LOPT: Ley Orgánica Procesal del Trabajo</w:t>
      </w:r>
    </w:p>
    <w:p w14:paraId="683A6165" w14:textId="77777777" w:rsidR="005C6842" w:rsidRDefault="004A1E28">
      <w:pPr>
        <w:spacing w:before="120" w:after="120"/>
        <w:ind w:left="360"/>
        <w:rPr>
          <w:rFonts w:ascii="Arial" w:eastAsia="Arial" w:hAnsi="Arial" w:cs="Arial"/>
        </w:rPr>
      </w:pPr>
      <w:r>
        <w:rPr>
          <w:rFonts w:ascii="Arial" w:eastAsia="Arial" w:hAnsi="Arial" w:cs="Arial"/>
        </w:rPr>
        <w:t>LSV: Lengua de Señas Venezolana</w:t>
      </w:r>
    </w:p>
    <w:p w14:paraId="22B73CC1" w14:textId="77777777" w:rsidR="005C6842" w:rsidRDefault="004A1E28">
      <w:pPr>
        <w:spacing w:before="120" w:after="120"/>
        <w:ind w:left="360"/>
        <w:rPr>
          <w:rFonts w:ascii="Arial" w:eastAsia="Arial" w:hAnsi="Arial" w:cs="Arial"/>
        </w:rPr>
      </w:pPr>
      <w:r>
        <w:rPr>
          <w:rFonts w:ascii="Arial" w:eastAsia="Arial" w:hAnsi="Arial" w:cs="Arial"/>
        </w:rPr>
        <w:t>NNA: Niños, niñas y adolescentes</w:t>
      </w:r>
    </w:p>
    <w:p w14:paraId="6AA28284" w14:textId="77777777" w:rsidR="005C6842" w:rsidRDefault="004A1E28">
      <w:pPr>
        <w:spacing w:before="120" w:after="120"/>
        <w:ind w:left="360"/>
        <w:rPr>
          <w:rFonts w:ascii="Arial" w:eastAsia="Arial" w:hAnsi="Arial" w:cs="Arial"/>
        </w:rPr>
      </w:pPr>
      <w:r>
        <w:rPr>
          <w:rFonts w:ascii="Arial" w:eastAsia="Arial" w:hAnsi="Arial" w:cs="Arial"/>
        </w:rPr>
        <w:t>OACNUDH: Oficina del Alto Comisionado de los Derechos Humanos de la Organización de Naciones Unidas</w:t>
      </w:r>
    </w:p>
    <w:p w14:paraId="7775E9F3" w14:textId="77777777" w:rsidR="005C6842" w:rsidRDefault="004A1E28">
      <w:pPr>
        <w:spacing w:before="120" w:after="120"/>
        <w:ind w:left="360"/>
        <w:rPr>
          <w:rFonts w:ascii="Arial" w:eastAsia="Arial" w:hAnsi="Arial" w:cs="Arial"/>
        </w:rPr>
      </w:pPr>
      <w:r>
        <w:rPr>
          <w:rFonts w:ascii="Arial" w:eastAsia="Arial" w:hAnsi="Arial" w:cs="Arial"/>
        </w:rPr>
        <w:t>OCHA: Oficina de la ONU para la Coordinación de Asuntos Humanitarios</w:t>
      </w:r>
    </w:p>
    <w:p w14:paraId="019D13FB" w14:textId="77777777" w:rsidR="005C6842" w:rsidRDefault="00772EA5">
      <w:pPr>
        <w:spacing w:before="120" w:after="120"/>
        <w:ind w:left="360"/>
        <w:rPr>
          <w:rFonts w:ascii="Arial" w:eastAsia="Arial" w:hAnsi="Arial" w:cs="Arial"/>
        </w:rPr>
      </w:pPr>
      <w:r>
        <w:rPr>
          <w:rFonts w:ascii="Arial" w:eastAsia="Arial" w:hAnsi="Arial" w:cs="Arial"/>
        </w:rPr>
        <w:t>OPD</w:t>
      </w:r>
      <w:r w:rsidR="004A1E28">
        <w:rPr>
          <w:rFonts w:ascii="Arial" w:eastAsia="Arial" w:hAnsi="Arial" w:cs="Arial"/>
        </w:rPr>
        <w:t>: Organizaciones que trabajan por y para las personas con discapacidad</w:t>
      </w:r>
    </w:p>
    <w:p w14:paraId="02142BAD" w14:textId="77777777" w:rsidR="005C6842" w:rsidRDefault="004A1E28">
      <w:pPr>
        <w:spacing w:before="120" w:after="120"/>
        <w:ind w:left="360"/>
        <w:rPr>
          <w:rFonts w:ascii="Arial" w:eastAsia="Arial" w:hAnsi="Arial" w:cs="Arial"/>
        </w:rPr>
      </w:pPr>
      <w:r>
        <w:rPr>
          <w:rFonts w:ascii="Arial" w:eastAsia="Arial" w:hAnsi="Arial" w:cs="Arial"/>
        </w:rPr>
        <w:t>OMS: Organización Mundial de la Salud</w:t>
      </w:r>
    </w:p>
    <w:p w14:paraId="5ADC34C2" w14:textId="77777777" w:rsidR="005C6842" w:rsidRDefault="004A1E28">
      <w:pPr>
        <w:spacing w:before="120" w:after="120"/>
        <w:ind w:left="360"/>
        <w:rPr>
          <w:rFonts w:ascii="Arial" w:eastAsia="Arial" w:hAnsi="Arial" w:cs="Arial"/>
        </w:rPr>
      </w:pPr>
      <w:r>
        <w:rPr>
          <w:rFonts w:ascii="Arial" w:eastAsia="Arial" w:hAnsi="Arial" w:cs="Arial"/>
        </w:rPr>
        <w:t>ONG: Organización no Gubernamental</w:t>
      </w:r>
    </w:p>
    <w:p w14:paraId="4CE0E28F" w14:textId="77777777" w:rsidR="005C6842" w:rsidRDefault="004A1E28">
      <w:pPr>
        <w:spacing w:before="120" w:after="120"/>
        <w:ind w:left="360"/>
        <w:rPr>
          <w:rFonts w:ascii="Arial" w:eastAsia="Arial" w:hAnsi="Arial" w:cs="Arial"/>
        </w:rPr>
      </w:pPr>
      <w:r>
        <w:rPr>
          <w:rFonts w:ascii="Arial" w:eastAsia="Arial" w:hAnsi="Arial" w:cs="Arial"/>
        </w:rPr>
        <w:t>ONU: Organización de Naciones Unidas</w:t>
      </w:r>
    </w:p>
    <w:p w14:paraId="6A605EA4" w14:textId="77777777" w:rsidR="005C6842" w:rsidRDefault="004A1E28">
      <w:pPr>
        <w:spacing w:before="120" w:after="120"/>
        <w:ind w:left="360"/>
        <w:rPr>
          <w:rFonts w:ascii="Arial" w:eastAsia="Arial" w:hAnsi="Arial" w:cs="Arial"/>
        </w:rPr>
      </w:pPr>
      <w:r>
        <w:rPr>
          <w:rFonts w:ascii="Arial" w:eastAsia="Arial" w:hAnsi="Arial" w:cs="Arial"/>
        </w:rPr>
        <w:t>PASDIS: Programa de Atención en Salud a las Personas con Discapacidad</w:t>
      </w:r>
    </w:p>
    <w:p w14:paraId="0E1B997D" w14:textId="77777777" w:rsidR="005C6842" w:rsidRDefault="004A1E28">
      <w:pPr>
        <w:spacing w:before="120" w:after="120"/>
        <w:ind w:left="360"/>
        <w:rPr>
          <w:rFonts w:ascii="Arial" w:eastAsia="Arial" w:hAnsi="Arial" w:cs="Arial"/>
        </w:rPr>
      </w:pPr>
      <w:proofErr w:type="spellStart"/>
      <w:r>
        <w:rPr>
          <w:rFonts w:ascii="Arial" w:eastAsia="Arial" w:hAnsi="Arial" w:cs="Arial"/>
        </w:rPr>
        <w:t>PcD</w:t>
      </w:r>
      <w:proofErr w:type="spellEnd"/>
      <w:r>
        <w:rPr>
          <w:rFonts w:ascii="Arial" w:eastAsia="Arial" w:hAnsi="Arial" w:cs="Arial"/>
        </w:rPr>
        <w:t>: Persona con discapacidad</w:t>
      </w:r>
    </w:p>
    <w:p w14:paraId="53DC1711" w14:textId="77777777" w:rsidR="005C6842" w:rsidRDefault="004A1E28">
      <w:pPr>
        <w:spacing w:before="120" w:after="120"/>
        <w:ind w:left="360"/>
        <w:rPr>
          <w:rFonts w:ascii="Arial" w:eastAsia="Arial" w:hAnsi="Arial" w:cs="Arial"/>
        </w:rPr>
      </w:pPr>
      <w:r>
        <w:rPr>
          <w:rFonts w:ascii="Arial" w:eastAsia="Arial" w:hAnsi="Arial" w:cs="Arial"/>
        </w:rPr>
        <w:t>PNDH: Programa Nacional de Desarrollo Humano</w:t>
      </w:r>
    </w:p>
    <w:p w14:paraId="3D6DCC08" w14:textId="77777777" w:rsidR="005C6842" w:rsidRDefault="004A1E28">
      <w:pPr>
        <w:spacing w:before="120" w:after="120"/>
        <w:ind w:left="360"/>
        <w:rPr>
          <w:rFonts w:ascii="Arial" w:eastAsia="Arial" w:hAnsi="Arial" w:cs="Arial"/>
        </w:rPr>
      </w:pPr>
      <w:r>
        <w:rPr>
          <w:rFonts w:ascii="Arial" w:eastAsia="Arial" w:hAnsi="Arial" w:cs="Arial"/>
        </w:rPr>
        <w:t>P- LOPPDIS:</w:t>
      </w:r>
      <w:r>
        <w:rPr>
          <w:rFonts w:ascii="Arial" w:eastAsia="Arial" w:hAnsi="Arial" w:cs="Arial"/>
          <w:b/>
        </w:rPr>
        <w:t xml:space="preserve"> </w:t>
      </w:r>
      <w:r>
        <w:rPr>
          <w:rFonts w:ascii="Arial" w:eastAsia="Arial" w:hAnsi="Arial" w:cs="Arial"/>
        </w:rPr>
        <w:t>Proyecto de Ley Orgánica para la Protección, Atención y Dignificación de las Personas con Discapacidad</w:t>
      </w:r>
    </w:p>
    <w:p w14:paraId="3839151D" w14:textId="77777777" w:rsidR="005C6842" w:rsidRDefault="004A1E28">
      <w:pPr>
        <w:spacing w:before="120" w:after="120"/>
        <w:ind w:left="360"/>
        <w:rPr>
          <w:rFonts w:ascii="Arial" w:eastAsia="Arial" w:hAnsi="Arial" w:cs="Arial"/>
        </w:rPr>
      </w:pPr>
      <w:r>
        <w:rPr>
          <w:rFonts w:ascii="Arial" w:eastAsia="Arial" w:hAnsi="Arial" w:cs="Arial"/>
        </w:rPr>
        <w:t>RBV: República Bolivariana de Venezuela</w:t>
      </w:r>
    </w:p>
    <w:p w14:paraId="00EBDAF2" w14:textId="77777777" w:rsidR="005C6842" w:rsidRDefault="004A1E28">
      <w:pPr>
        <w:spacing w:before="120" w:after="120"/>
        <w:ind w:left="360"/>
        <w:rPr>
          <w:rFonts w:ascii="Arial" w:eastAsia="Arial" w:hAnsi="Arial" w:cs="Arial"/>
        </w:rPr>
      </w:pPr>
      <w:r>
        <w:rPr>
          <w:rFonts w:ascii="Arial" w:eastAsia="Arial" w:hAnsi="Arial" w:cs="Arial"/>
        </w:rPr>
        <w:t>SENACOA: Servicio Nacional de Comunicación Accesible</w:t>
      </w:r>
    </w:p>
    <w:p w14:paraId="733B2E7B" w14:textId="77777777" w:rsidR="005C6842" w:rsidRDefault="004A1E28">
      <w:pPr>
        <w:spacing w:before="120" w:after="120"/>
        <w:ind w:left="360"/>
        <w:rPr>
          <w:rFonts w:ascii="Arial" w:eastAsia="Arial" w:hAnsi="Arial" w:cs="Arial"/>
        </w:rPr>
      </w:pPr>
      <w:r>
        <w:rPr>
          <w:rFonts w:ascii="Arial" w:eastAsia="Arial" w:hAnsi="Arial" w:cs="Arial"/>
        </w:rPr>
        <w:t>TSJ: Tribunal Supremo de Justicia</w:t>
      </w:r>
    </w:p>
    <w:p w14:paraId="40732A35" w14:textId="77777777" w:rsidR="005C6842" w:rsidRDefault="005C6842">
      <w:pPr>
        <w:spacing w:before="120" w:after="120"/>
        <w:jc w:val="both"/>
        <w:rPr>
          <w:rFonts w:ascii="Arial" w:eastAsia="Arial" w:hAnsi="Arial" w:cs="Arial"/>
          <w:sz w:val="24"/>
          <w:szCs w:val="24"/>
        </w:rPr>
        <w:sectPr w:rsidR="005C6842">
          <w:type w:val="continuous"/>
          <w:pgSz w:w="12240" w:h="15840"/>
          <w:pgMar w:top="1440" w:right="1080" w:bottom="1440" w:left="1080" w:header="850" w:footer="567" w:gutter="0"/>
          <w:cols w:num="2" w:space="720" w:equalWidth="0">
            <w:col w:w="4686" w:space="708"/>
            <w:col w:w="4686" w:space="0"/>
          </w:cols>
          <w:titlePg/>
        </w:sectPr>
      </w:pPr>
    </w:p>
    <w:p w14:paraId="1D270C7F" w14:textId="77777777" w:rsidR="005C6842" w:rsidRDefault="005C6842">
      <w:pPr>
        <w:spacing w:before="120" w:after="120"/>
        <w:jc w:val="both"/>
        <w:rPr>
          <w:rFonts w:ascii="Arial" w:eastAsia="Arial" w:hAnsi="Arial" w:cs="Arial"/>
          <w:sz w:val="24"/>
          <w:szCs w:val="24"/>
        </w:rPr>
      </w:pPr>
    </w:p>
    <w:p w14:paraId="7E17246C" w14:textId="77777777" w:rsidR="005C6842" w:rsidRDefault="005C6842">
      <w:pPr>
        <w:spacing w:before="120" w:after="120"/>
        <w:jc w:val="both"/>
        <w:rPr>
          <w:rFonts w:ascii="Arial" w:eastAsia="Arial" w:hAnsi="Arial" w:cs="Arial"/>
          <w:sz w:val="24"/>
          <w:szCs w:val="24"/>
        </w:rPr>
      </w:pPr>
    </w:p>
    <w:p w14:paraId="58DD3D97" w14:textId="77777777" w:rsidR="005C6842" w:rsidRDefault="005C6842">
      <w:pPr>
        <w:spacing w:before="120" w:after="120"/>
        <w:jc w:val="both"/>
        <w:rPr>
          <w:rFonts w:ascii="Arial" w:eastAsia="Arial" w:hAnsi="Arial" w:cs="Arial"/>
          <w:sz w:val="24"/>
          <w:szCs w:val="24"/>
        </w:rPr>
      </w:pPr>
    </w:p>
    <w:p w14:paraId="3A90BB86" w14:textId="77777777" w:rsidR="005C6842" w:rsidRDefault="004A1E28">
      <w:pPr>
        <w:keepNext/>
        <w:keepLines/>
        <w:pBdr>
          <w:top w:val="nil"/>
          <w:left w:val="nil"/>
          <w:bottom w:val="nil"/>
          <w:right w:val="nil"/>
          <w:between w:val="nil"/>
        </w:pBdr>
        <w:tabs>
          <w:tab w:val="left" w:pos="0"/>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Presentación</w:t>
      </w:r>
    </w:p>
    <w:p w14:paraId="5D76CC35"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El presente informe ofrece aportes, respuestas y recomendaciones de la Sociedad Civil </w:t>
      </w:r>
      <w:proofErr w:type="gramStart"/>
      <w:r>
        <w:rPr>
          <w:rFonts w:ascii="Arial" w:eastAsia="Arial" w:hAnsi="Arial" w:cs="Arial"/>
          <w:sz w:val="24"/>
          <w:szCs w:val="24"/>
        </w:rPr>
        <w:t>en relación a</w:t>
      </w:r>
      <w:proofErr w:type="gramEnd"/>
      <w:r>
        <w:rPr>
          <w:rFonts w:ascii="Arial" w:eastAsia="Arial" w:hAnsi="Arial" w:cs="Arial"/>
          <w:sz w:val="24"/>
          <w:szCs w:val="24"/>
        </w:rPr>
        <w:t xml:space="preserve"> la Lista de Cuestiones emanada del Comité sobre los Derechos de las Personas con Discapacidad (el Comité) en octubre de 2019, a fin de ser valorado para el examen inicial del Estado venezolano referido al cumplimiento de sus obligaciones en la Convención sobre los Derechos de las Personas con Discapacidad (CPCD). </w:t>
      </w:r>
    </w:p>
    <w:p w14:paraId="318506DD" w14:textId="36063306"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En este informe participaron de manera conjunta </w:t>
      </w:r>
      <w:r w:rsidR="000A568A">
        <w:rPr>
          <w:rFonts w:ascii="Arial" w:eastAsia="Arial" w:hAnsi="Arial" w:cs="Arial"/>
          <w:sz w:val="24"/>
          <w:szCs w:val="24"/>
        </w:rPr>
        <w:t>30</w:t>
      </w:r>
      <w:r>
        <w:rPr>
          <w:rFonts w:ascii="Arial" w:eastAsia="Arial" w:hAnsi="Arial" w:cs="Arial"/>
          <w:sz w:val="24"/>
          <w:szCs w:val="24"/>
        </w:rPr>
        <w:t xml:space="preserve"> Organizaciones </w:t>
      </w:r>
      <w:r w:rsidR="00BA36DB">
        <w:rPr>
          <w:rFonts w:ascii="Arial" w:eastAsia="Arial" w:hAnsi="Arial" w:cs="Arial"/>
          <w:sz w:val="24"/>
          <w:szCs w:val="24"/>
        </w:rPr>
        <w:t>No Gubernamentales</w:t>
      </w:r>
      <w:r w:rsidR="00921092">
        <w:rPr>
          <w:rFonts w:ascii="Arial" w:eastAsia="Arial" w:hAnsi="Arial" w:cs="Arial"/>
          <w:sz w:val="24"/>
          <w:szCs w:val="24"/>
        </w:rPr>
        <w:t xml:space="preserve"> (ONG)</w:t>
      </w:r>
      <w:r w:rsidR="00BA36DB">
        <w:rPr>
          <w:rFonts w:ascii="Arial" w:eastAsia="Arial" w:hAnsi="Arial" w:cs="Arial"/>
          <w:sz w:val="24"/>
          <w:szCs w:val="24"/>
        </w:rPr>
        <w:t xml:space="preserve"> y Organizaciones </w:t>
      </w:r>
      <w:r>
        <w:rPr>
          <w:rFonts w:ascii="Arial" w:eastAsia="Arial" w:hAnsi="Arial" w:cs="Arial"/>
          <w:sz w:val="24"/>
          <w:szCs w:val="24"/>
        </w:rPr>
        <w:t>de y para las Personas con Discapacidad (</w:t>
      </w:r>
      <w:r w:rsidR="00772EA5">
        <w:rPr>
          <w:rFonts w:ascii="Arial" w:eastAsia="Arial" w:hAnsi="Arial" w:cs="Arial"/>
          <w:sz w:val="24"/>
          <w:szCs w:val="24"/>
        </w:rPr>
        <w:t>OPD</w:t>
      </w:r>
      <w:r>
        <w:rPr>
          <w:rFonts w:ascii="Arial" w:eastAsia="Arial" w:hAnsi="Arial" w:cs="Arial"/>
          <w:sz w:val="24"/>
          <w:szCs w:val="24"/>
        </w:rPr>
        <w:t>)</w:t>
      </w:r>
      <w:r>
        <w:rPr>
          <w:rFonts w:ascii="Arial" w:eastAsia="Arial" w:hAnsi="Arial" w:cs="Arial"/>
          <w:sz w:val="24"/>
          <w:szCs w:val="24"/>
          <w:vertAlign w:val="superscript"/>
        </w:rPr>
        <w:footnoteReference w:id="1"/>
      </w:r>
      <w:r>
        <w:rPr>
          <w:rFonts w:ascii="Arial" w:eastAsia="Arial" w:hAnsi="Arial" w:cs="Arial"/>
          <w:sz w:val="24"/>
          <w:szCs w:val="24"/>
        </w:rPr>
        <w:t xml:space="preserve"> después de una revisión exhaustiva de la Lista de cuestiones y considerando el informe presentado por el Gobierno de la República Bolivariana de Venezuela y sus respuestas a esta Lista. </w:t>
      </w:r>
    </w:p>
    <w:p w14:paraId="57651E8E"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Las organizaciones que elaboraron el informe reiteran ser independientes del Estado y</w:t>
      </w:r>
      <w:r w:rsidR="00BA36DB">
        <w:rPr>
          <w:rFonts w:ascii="Arial" w:eastAsia="Arial" w:hAnsi="Arial" w:cs="Arial"/>
          <w:sz w:val="24"/>
          <w:szCs w:val="24"/>
        </w:rPr>
        <w:t xml:space="preserve"> en su mayoría refieren</w:t>
      </w:r>
      <w:r>
        <w:rPr>
          <w:rFonts w:ascii="Arial" w:eastAsia="Arial" w:hAnsi="Arial" w:cs="Arial"/>
          <w:sz w:val="24"/>
          <w:szCs w:val="24"/>
        </w:rPr>
        <w:t xml:space="preserve"> no haber sido convocadas por entes oficiales para consultas, planes y programas relacionadas con la situación de las Personas con Discapacidad (</w:t>
      </w:r>
      <w:proofErr w:type="spellStart"/>
      <w:r>
        <w:rPr>
          <w:rFonts w:ascii="Arial" w:eastAsia="Arial" w:hAnsi="Arial" w:cs="Arial"/>
          <w:sz w:val="24"/>
          <w:szCs w:val="24"/>
        </w:rPr>
        <w:t>PcD</w:t>
      </w:r>
      <w:proofErr w:type="spellEnd"/>
      <w:r>
        <w:rPr>
          <w:rFonts w:ascii="Arial" w:eastAsia="Arial" w:hAnsi="Arial" w:cs="Arial"/>
          <w:sz w:val="24"/>
          <w:szCs w:val="24"/>
        </w:rPr>
        <w:t>) en Venezuela, ni tampoco para este examen inicial, y expresan su disposición a asistir a las sesiones del referido examen a fin de exponer los resultados de este informe.</w:t>
      </w:r>
    </w:p>
    <w:p w14:paraId="5D52185B" w14:textId="040BBDC8"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Para su elaboración se procedió a la revisión de la CPCD, el Informe Inicial del Estado Venezolano emitido en el año 2014, el Informe Alternativo para el Examen Inicial emitido por la Sociedad Civil en julio de 2019, el Informe de Respuesta del Estado Venezolano a la Lista de Cuestiones, los insumos e investigaciones revisadas durante la elaboración del Informe Alternativo de la Sociedad Civil, así como un nuevo monitoreo de medios y nuevas Mesas Técnicas realizadas en enero de 2020, contando con la participación de </w:t>
      </w:r>
      <w:r w:rsidR="000A568A">
        <w:rPr>
          <w:rFonts w:ascii="Arial" w:eastAsia="Arial" w:hAnsi="Arial" w:cs="Arial"/>
          <w:sz w:val="24"/>
          <w:szCs w:val="24"/>
        </w:rPr>
        <w:t>30</w:t>
      </w:r>
      <w:r>
        <w:rPr>
          <w:rFonts w:ascii="Arial" w:eastAsia="Arial" w:hAnsi="Arial" w:cs="Arial"/>
          <w:sz w:val="24"/>
          <w:szCs w:val="24"/>
        </w:rPr>
        <w:t xml:space="preserve"> organizaciones que fueron convocadas en un corto periodo de tiempo, una vez publicado el Informe de Respuesta del Estado a la Lista de Cuestiones y que aun así mostraron su plena disposición a participar. Agradecemos a cada uno de los representantes de dichas organizaciones, a los especialistas, centros académicos, </w:t>
      </w:r>
      <w:proofErr w:type="spellStart"/>
      <w:r>
        <w:rPr>
          <w:rFonts w:ascii="Arial" w:eastAsia="Arial" w:hAnsi="Arial" w:cs="Arial"/>
          <w:sz w:val="24"/>
          <w:szCs w:val="24"/>
        </w:rPr>
        <w:t>PcD</w:t>
      </w:r>
      <w:proofErr w:type="spellEnd"/>
      <w:r>
        <w:rPr>
          <w:rFonts w:ascii="Arial" w:eastAsia="Arial" w:hAnsi="Arial" w:cs="Arial"/>
          <w:sz w:val="24"/>
          <w:szCs w:val="24"/>
        </w:rPr>
        <w:t xml:space="preserve"> y sus familias; todos provenientes de distintos estados del país (Táchira, Nueva Esparta, Lara, </w:t>
      </w:r>
      <w:r>
        <w:rPr>
          <w:rFonts w:ascii="Arial" w:eastAsia="Arial" w:hAnsi="Arial" w:cs="Arial"/>
          <w:sz w:val="24"/>
          <w:szCs w:val="24"/>
        </w:rPr>
        <w:lastRenderedPageBreak/>
        <w:t xml:space="preserve">Yaracuy, </w:t>
      </w:r>
      <w:r w:rsidR="00394D6A">
        <w:rPr>
          <w:rFonts w:ascii="Arial" w:eastAsia="Arial" w:hAnsi="Arial" w:cs="Arial"/>
          <w:sz w:val="24"/>
          <w:szCs w:val="24"/>
        </w:rPr>
        <w:t>C</w:t>
      </w:r>
      <w:r>
        <w:rPr>
          <w:rFonts w:ascii="Arial" w:eastAsia="Arial" w:hAnsi="Arial" w:cs="Arial"/>
          <w:sz w:val="24"/>
          <w:szCs w:val="24"/>
        </w:rPr>
        <w:t>arabobo</w:t>
      </w:r>
      <w:r w:rsidR="00394D6A">
        <w:rPr>
          <w:rFonts w:ascii="Arial" w:eastAsia="Arial" w:hAnsi="Arial" w:cs="Arial"/>
          <w:sz w:val="24"/>
          <w:szCs w:val="24"/>
        </w:rPr>
        <w:t xml:space="preserve"> y la Gran Caracas</w:t>
      </w:r>
      <w:r>
        <w:rPr>
          <w:rFonts w:ascii="Arial" w:eastAsia="Arial" w:hAnsi="Arial" w:cs="Arial"/>
          <w:sz w:val="24"/>
          <w:szCs w:val="24"/>
        </w:rPr>
        <w:t xml:space="preserve">) por sumarse nuevamente en tan solo 2 semanas, para ofrecer sus reflexiones y aportes. </w:t>
      </w:r>
    </w:p>
    <w:p w14:paraId="317D550B" w14:textId="77777777" w:rsidR="005C6842" w:rsidRDefault="005C6842">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p>
    <w:p w14:paraId="303455BF"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Propósito y obligaciones generales (arts. 1 a 4)</w:t>
      </w:r>
    </w:p>
    <w:p w14:paraId="62CA568D"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Aun cuando el Comité observa que Venezuela se enfrenta a una situación de emergencia caracterizada por la inestabilidad política, civil, económica y social, con graves consecuencias humanitarias para la población civil, incluidas las personas con discapacidad, y particularmente las mujeres y las niñas y niños con discapacidad, qu</w:t>
      </w:r>
      <w:r w:rsidR="00837F76">
        <w:rPr>
          <w:rFonts w:ascii="Arial" w:eastAsia="Arial" w:hAnsi="Arial" w:cs="Arial"/>
          <w:sz w:val="24"/>
          <w:szCs w:val="24"/>
        </w:rPr>
        <w:t xml:space="preserve">e están experimentando </w:t>
      </w:r>
      <w:r>
        <w:rPr>
          <w:rFonts w:ascii="Arial" w:eastAsia="Arial" w:hAnsi="Arial" w:cs="Arial"/>
          <w:sz w:val="24"/>
          <w:szCs w:val="24"/>
        </w:rPr>
        <w:t>niveles cada vez mayores de violencia y discriminación</w:t>
      </w:r>
      <w:r w:rsidR="00837F76">
        <w:rPr>
          <w:rFonts w:ascii="Arial" w:eastAsia="Arial" w:hAnsi="Arial" w:cs="Arial"/>
          <w:sz w:val="24"/>
          <w:szCs w:val="24"/>
        </w:rPr>
        <w:t>. E</w:t>
      </w:r>
      <w:r>
        <w:rPr>
          <w:rFonts w:ascii="Arial" w:eastAsia="Arial" w:hAnsi="Arial" w:cs="Arial"/>
          <w:sz w:val="24"/>
          <w:szCs w:val="24"/>
        </w:rPr>
        <w:t>l Estado Venezolano cataloga la situación como una crisis creada por la guerra económica</w:t>
      </w:r>
      <w:r>
        <w:rPr>
          <w:rFonts w:ascii="Arial" w:eastAsia="Arial" w:hAnsi="Arial" w:cs="Arial"/>
          <w:sz w:val="24"/>
          <w:szCs w:val="24"/>
          <w:vertAlign w:val="superscript"/>
        </w:rPr>
        <w:footnoteReference w:id="2"/>
      </w:r>
      <w:r>
        <w:rPr>
          <w:rFonts w:ascii="Arial" w:eastAsia="Arial" w:hAnsi="Arial" w:cs="Arial"/>
          <w:sz w:val="24"/>
          <w:szCs w:val="24"/>
        </w:rPr>
        <w:t xml:space="preserve">, por tanto, las medidas adoptadas para aplicar la Convención en situaciones de emergencia y crisis no parecen ser asumidas por el Estado de acuerdo con sus responsabilidades internacionales de atender con carácter urgente el proceso de deterioro sostenido y progresivo en los aspectos político, civil, social, económico, educativo, jurídico y de salud, que impactan cada vez con mayor fuerza en toda la población y de manera especial en las más vulnerables, como son las </w:t>
      </w:r>
      <w:proofErr w:type="spellStart"/>
      <w:r>
        <w:rPr>
          <w:rFonts w:ascii="Arial" w:eastAsia="Arial" w:hAnsi="Arial" w:cs="Arial"/>
          <w:sz w:val="24"/>
          <w:szCs w:val="24"/>
        </w:rPr>
        <w:t>PcD</w:t>
      </w:r>
      <w:proofErr w:type="spellEnd"/>
      <w:r>
        <w:rPr>
          <w:rFonts w:ascii="Arial" w:eastAsia="Arial" w:hAnsi="Arial" w:cs="Arial"/>
          <w:sz w:val="24"/>
          <w:szCs w:val="24"/>
        </w:rPr>
        <w:t xml:space="preserve">. </w:t>
      </w:r>
    </w:p>
    <w:p w14:paraId="07675B15"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El Estado venezolano no ha aceptado sino hasta fechas más recientes (en mayo 2019) y debido a la fuerte presión internacional, la puesta en marcha de algunas medidas de ayuda humanitaria que no son suficientes para habilitar una respuesta humanitaria internacional conforme a lo dispuesto en el derecho internacional cuando los Estados no pueden o no quieren garantizar los derechos de las personas</w:t>
      </w:r>
      <w:r>
        <w:rPr>
          <w:rFonts w:ascii="Arial" w:eastAsia="Arial" w:hAnsi="Arial" w:cs="Arial"/>
          <w:sz w:val="24"/>
          <w:szCs w:val="24"/>
          <w:vertAlign w:val="superscript"/>
        </w:rPr>
        <w:footnoteReference w:id="3"/>
      </w:r>
      <w:r>
        <w:rPr>
          <w:rFonts w:ascii="Arial" w:eastAsia="Arial" w:hAnsi="Arial" w:cs="Arial"/>
          <w:sz w:val="24"/>
          <w:szCs w:val="24"/>
        </w:rPr>
        <w:t>. Entre las principales medidas de las que todavía se espera cooperación del Estado se encuentran: a) autorizar que los actores humanitarios internacionales puedan tener acceso pleno a las personas con necesidades donde quiera que se encuentren (hospitales, centros educativos y comunitarios), en particular el Programa Mundial de Alimentos, agencia de Naciones Unidas que no tiene sede en el país; b) permitir la publicación de los resultados obtenidos tras diagnósticos y evaluaciones, que sean de conocimiento nacional e internacional de la situación de la emergencia en el país; c) brindar protección a todos los actores humanitarios nacionales e internacionales en sus labores, ante elevados riesgos relacionados con prácticas de violencia, abusos y control social de la población, en algunos casos puestos en práctica por grupos no oficiales adeptos al gobierno.</w:t>
      </w:r>
    </w:p>
    <w:p w14:paraId="231DF1C6"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A pesar de que la emergencia en Venezuela se trata de una crisis de gran proporción, generalizada a toda la población y territorio, y con particular afectación en los grupos vulnerables como las </w:t>
      </w:r>
      <w:proofErr w:type="spellStart"/>
      <w:r>
        <w:rPr>
          <w:rFonts w:ascii="Arial" w:eastAsia="Arial" w:hAnsi="Arial" w:cs="Arial"/>
          <w:sz w:val="24"/>
          <w:szCs w:val="24"/>
        </w:rPr>
        <w:t>PcD</w:t>
      </w:r>
      <w:proofErr w:type="spellEnd"/>
      <w:r>
        <w:rPr>
          <w:rFonts w:ascii="Arial" w:eastAsia="Arial" w:hAnsi="Arial" w:cs="Arial"/>
          <w:sz w:val="24"/>
          <w:szCs w:val="24"/>
        </w:rPr>
        <w:t xml:space="preserve">, no existe información para determinar la población con discapacidad que ha sido afectada ni tampoco sobre las medidas y programas adoptados para atender sus necesidades humanitarias de protección y asistencia, conforme a derechos. En los años anteriores a la aparición de esta </w:t>
      </w:r>
      <w:r>
        <w:rPr>
          <w:rFonts w:ascii="Arial" w:eastAsia="Arial" w:hAnsi="Arial" w:cs="Arial"/>
          <w:sz w:val="24"/>
          <w:szCs w:val="24"/>
        </w:rPr>
        <w:lastRenderedPageBreak/>
        <w:t>emergencia tampoco se ha tenido acceso a información oficial y pública sobre inversión presupuestaria asignada a planes y programas en materia de discapacidad ni su cumplimiento.</w:t>
      </w:r>
    </w:p>
    <w:p w14:paraId="4ED0F4CC"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En la actualidad la situación de inestabilidad política se mantiene por un gobierno con claros cuestionamientos de legitimidad a nivel internacional</w:t>
      </w:r>
      <w:r>
        <w:rPr>
          <w:rFonts w:ascii="Arial" w:eastAsia="Arial" w:hAnsi="Arial" w:cs="Arial"/>
          <w:sz w:val="24"/>
          <w:szCs w:val="24"/>
          <w:vertAlign w:val="superscript"/>
        </w:rPr>
        <w:footnoteReference w:id="4"/>
      </w:r>
      <w:r>
        <w:rPr>
          <w:rFonts w:ascii="Arial" w:eastAsia="Arial" w:hAnsi="Arial" w:cs="Arial"/>
          <w:sz w:val="24"/>
          <w:szCs w:val="24"/>
        </w:rPr>
        <w:t xml:space="preserve">, lo cual limita la ejecución de acciones concretas que prioricen la defensa de los Derechos Humanos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contenidas en la CPCD. Aun cuando el Estado ha permitido la instalación de una Misión de la Oficina de la Alta Comisionada de las Naciones Unidas para los Derechos Humanos (OACNUDH) por resolución del Consejo de Derechos Humanos de las Naciones Unidas, el Estado venezolano continua sin ejecutar las observaciones emitidas por parte de la OACNUDH para garantizar los derechos de la población venezolana, llegando incluso a desconocer, cuestionar y descalificar a dichos representantes y el contenido de sus informes</w:t>
      </w:r>
      <w:r>
        <w:rPr>
          <w:rFonts w:ascii="Arial" w:eastAsia="Arial" w:hAnsi="Arial" w:cs="Arial"/>
          <w:sz w:val="24"/>
          <w:szCs w:val="24"/>
          <w:vertAlign w:val="superscript"/>
        </w:rPr>
        <w:footnoteReference w:id="5"/>
      </w:r>
      <w:r>
        <w:rPr>
          <w:rFonts w:ascii="Arial" w:eastAsia="Arial" w:hAnsi="Arial" w:cs="Arial"/>
          <w:sz w:val="24"/>
          <w:szCs w:val="24"/>
        </w:rPr>
        <w:t xml:space="preserve">. </w:t>
      </w:r>
    </w:p>
    <w:p w14:paraId="414C14F8"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En lo que respecta a la adecuación del marco legislativo a lo establecido en la CPCD, en particular la Ley para las Personas con Discapacidad (2007) y el proyecto de Ley Orgánica para la Protección, Atención y Dignificación de las Personas con Discapacidad (publicado en 2016), no se ha adelantado ningún proceso de revisión ni ajuste a sus preceptos</w:t>
      </w:r>
      <w:r>
        <w:rPr>
          <w:rFonts w:ascii="Arial" w:eastAsia="Arial" w:hAnsi="Arial" w:cs="Arial"/>
          <w:sz w:val="24"/>
          <w:szCs w:val="24"/>
          <w:vertAlign w:val="superscript"/>
        </w:rPr>
        <w:footnoteReference w:id="6"/>
      </w:r>
      <w:r>
        <w:rPr>
          <w:rFonts w:ascii="Arial" w:eastAsia="Arial" w:hAnsi="Arial" w:cs="Arial"/>
          <w:sz w:val="24"/>
          <w:szCs w:val="24"/>
        </w:rPr>
        <w:t>, así como tampoco se ha elaborado hasta el presente el Reglamento de dicha Ley ni los demás instrumentos jurídicos necesarios para que lo estipulado en la CRDP se cumpla, acumulando 1</w:t>
      </w:r>
      <w:r w:rsidR="00B51383">
        <w:rPr>
          <w:rFonts w:ascii="Arial" w:eastAsia="Arial" w:hAnsi="Arial" w:cs="Arial"/>
          <w:sz w:val="24"/>
          <w:szCs w:val="24"/>
        </w:rPr>
        <w:t>3</w:t>
      </w:r>
      <w:r>
        <w:rPr>
          <w:rFonts w:ascii="Arial" w:eastAsia="Arial" w:hAnsi="Arial" w:cs="Arial"/>
          <w:sz w:val="24"/>
          <w:szCs w:val="24"/>
        </w:rPr>
        <w:t xml:space="preserve"> años de deuda en este sentido.</w:t>
      </w:r>
    </w:p>
    <w:p w14:paraId="1ECD4649"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Sobre la Ley Constitucional para las Personas con Discapacidad que el Estado alega estar elaborando en el presente, como una nueva norma jurídica que garantice los derechos humanos de esta población, </w:t>
      </w:r>
      <w:r w:rsidR="009D3281">
        <w:rPr>
          <w:rFonts w:ascii="Arial" w:eastAsia="Arial" w:hAnsi="Arial" w:cs="Arial"/>
          <w:sz w:val="24"/>
          <w:szCs w:val="24"/>
        </w:rPr>
        <w:t xml:space="preserve">tan sólo una (1) organización manifestó haber recibido el anteproyecto de esta Ley mientras que </w:t>
      </w:r>
      <w:r>
        <w:rPr>
          <w:rFonts w:ascii="Arial" w:eastAsia="Arial" w:hAnsi="Arial" w:cs="Arial"/>
          <w:sz w:val="24"/>
          <w:szCs w:val="24"/>
        </w:rPr>
        <w:t>el 9</w:t>
      </w:r>
      <w:r w:rsidR="009D3281">
        <w:rPr>
          <w:rFonts w:ascii="Arial" w:eastAsia="Arial" w:hAnsi="Arial" w:cs="Arial"/>
          <w:sz w:val="24"/>
          <w:szCs w:val="24"/>
        </w:rPr>
        <w:t>8</w:t>
      </w:r>
      <w:r>
        <w:rPr>
          <w:rFonts w:ascii="Arial" w:eastAsia="Arial" w:hAnsi="Arial" w:cs="Arial"/>
          <w:sz w:val="24"/>
          <w:szCs w:val="24"/>
        </w:rPr>
        <w:t xml:space="preserve">% de las </w:t>
      </w:r>
      <w:r w:rsidR="00772EA5">
        <w:rPr>
          <w:rFonts w:ascii="Arial" w:eastAsia="Arial" w:hAnsi="Arial" w:cs="Arial"/>
          <w:sz w:val="24"/>
          <w:szCs w:val="24"/>
        </w:rPr>
        <w:t>OPD</w:t>
      </w:r>
      <w:r>
        <w:rPr>
          <w:rFonts w:ascii="Arial" w:eastAsia="Arial" w:hAnsi="Arial" w:cs="Arial"/>
          <w:sz w:val="24"/>
          <w:szCs w:val="24"/>
        </w:rPr>
        <w:t xml:space="preserve"> en las Mesas Técnicas manifestaron no haber sido convocadas bajo ninguna forma de participación, tampoco tienen conocimiento de su posible contenido. Por otra parte, esta es una reciente iniciativa de la Asamblea Nacional Constituyente (ANC), cuya legitimidad es ampliamente cuestionada.</w:t>
      </w:r>
    </w:p>
    <w:p w14:paraId="440E3057"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La denegación de ajustes razonables como forma de discriminación hacia las </w:t>
      </w:r>
      <w:proofErr w:type="spellStart"/>
      <w:r>
        <w:rPr>
          <w:rFonts w:ascii="Arial" w:eastAsia="Arial" w:hAnsi="Arial" w:cs="Arial"/>
          <w:sz w:val="24"/>
          <w:szCs w:val="24"/>
        </w:rPr>
        <w:t>PcD</w:t>
      </w:r>
      <w:proofErr w:type="spellEnd"/>
      <w:r>
        <w:rPr>
          <w:rFonts w:ascii="Arial" w:eastAsia="Arial" w:hAnsi="Arial" w:cs="Arial"/>
          <w:sz w:val="24"/>
          <w:szCs w:val="24"/>
        </w:rPr>
        <w:t xml:space="preserve"> ocurre frecuentemente por omisión en la práctica cotidiana más que en la legislación; las ciudades venezolanas no disponen de adaptaciones en infraestructura, vialidad, transporte ni sistemas de ningún tipo de servicios básicos (como las escuelas y hospitales), lo que cuestiona </w:t>
      </w:r>
      <w:r>
        <w:rPr>
          <w:rFonts w:ascii="Arial" w:eastAsia="Arial" w:hAnsi="Arial" w:cs="Arial"/>
          <w:i/>
          <w:sz w:val="24"/>
          <w:szCs w:val="24"/>
        </w:rPr>
        <w:t>per se</w:t>
      </w:r>
      <w:r>
        <w:rPr>
          <w:rFonts w:ascii="Arial" w:eastAsia="Arial" w:hAnsi="Arial" w:cs="Arial"/>
          <w:sz w:val="24"/>
          <w:szCs w:val="24"/>
        </w:rPr>
        <w:t xml:space="preserve"> la efectividad de las </w:t>
      </w:r>
      <w:r>
        <w:rPr>
          <w:rFonts w:ascii="Arial" w:eastAsia="Arial" w:hAnsi="Arial" w:cs="Arial"/>
          <w:sz w:val="24"/>
          <w:szCs w:val="24"/>
        </w:rPr>
        <w:lastRenderedPageBreak/>
        <w:t>medidas sancionatorias y revela la ausencia de políticas públicas que debe adoptar el Estado como su obligación primordial.</w:t>
      </w:r>
      <w:r>
        <w:rPr>
          <w:rFonts w:ascii="Arial" w:eastAsia="Arial" w:hAnsi="Arial" w:cs="Arial"/>
          <w:sz w:val="24"/>
          <w:szCs w:val="24"/>
          <w:vertAlign w:val="superscript"/>
        </w:rPr>
        <w:footnoteReference w:id="7"/>
      </w:r>
    </w:p>
    <w:p w14:paraId="6F6160EE"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Por otra parte, el Consejo Presidencial de Gobierno Popular de Personas con Discapacidad (CPGPPCD), elegido en asambleas populares como parte de la estructura de gobierno comunal, no escapa de la polarización política imperante. Sus llamados y acciones reseñadas en las redes sociales priorizan el proselitismo político partidista</w:t>
      </w:r>
      <w:r>
        <w:rPr>
          <w:rFonts w:ascii="Arial" w:eastAsia="Arial" w:hAnsi="Arial" w:cs="Arial"/>
          <w:sz w:val="24"/>
          <w:szCs w:val="24"/>
          <w:vertAlign w:val="superscript"/>
        </w:rPr>
        <w:footnoteReference w:id="8"/>
      </w:r>
      <w:r>
        <w:rPr>
          <w:rFonts w:ascii="Arial" w:eastAsia="Arial" w:hAnsi="Arial" w:cs="Arial"/>
          <w:sz w:val="24"/>
          <w:szCs w:val="24"/>
        </w:rPr>
        <w:t xml:space="preserve">, siendo esta una forma de excluir y manipular a la población con discapacidad con preferencia política diferente. </w:t>
      </w:r>
    </w:p>
    <w:p w14:paraId="05D076D0"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El Plan de la Patria 2019-2025 y el Plan Nacional de Derechos Humanos 2016-2019 presentados por el Estado, carecen de difusión entre la población con discapacidad en el país. Las organizaciones participantes en las Mesas Técnicas 2020, desconocen los planteamientos que pudieran propiciar la perspectiva de la discapacidad como un eje transversal que haga posible la </w:t>
      </w:r>
      <w:proofErr w:type="gramStart"/>
      <w:r>
        <w:rPr>
          <w:rFonts w:ascii="Arial" w:eastAsia="Arial" w:hAnsi="Arial" w:cs="Arial"/>
          <w:sz w:val="24"/>
          <w:szCs w:val="24"/>
        </w:rPr>
        <w:t>coordinación  intersectorial</w:t>
      </w:r>
      <w:proofErr w:type="gramEnd"/>
      <w:r>
        <w:rPr>
          <w:rFonts w:ascii="Arial" w:eastAsia="Arial" w:hAnsi="Arial" w:cs="Arial"/>
          <w:sz w:val="24"/>
          <w:szCs w:val="24"/>
        </w:rPr>
        <w:t xml:space="preserve"> necesaria para la elaboración y puesta en práctica de políticas públicas que revelen una real cooperación. </w:t>
      </w:r>
    </w:p>
    <w:p w14:paraId="296AAFDA"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Mucho más se desconoce información específica sobre alcances, indicadores de logros, presupuestos asignados y metas cumplidas de estos planes. En las acciones cotidianas de los distintos sectores de la colectividad nacional (trabajo, educación, salud, otros) continúa imperando una percepción asistencialista no acorde con la visión de derechos, y la atribución de responsabilidad exclusiva a entes como el </w:t>
      </w:r>
      <w:r w:rsidR="009D3281">
        <w:rPr>
          <w:rFonts w:ascii="Arial" w:eastAsia="Arial" w:hAnsi="Arial" w:cs="Arial"/>
          <w:sz w:val="24"/>
          <w:szCs w:val="24"/>
        </w:rPr>
        <w:t>Consejo Nacional para las Personas con Discapacidad (</w:t>
      </w:r>
      <w:r>
        <w:rPr>
          <w:rFonts w:ascii="Arial" w:eastAsia="Arial" w:hAnsi="Arial" w:cs="Arial"/>
          <w:sz w:val="24"/>
          <w:szCs w:val="24"/>
        </w:rPr>
        <w:t>CONAPDIS</w:t>
      </w:r>
      <w:r w:rsidR="009D3281">
        <w:rPr>
          <w:rFonts w:ascii="Arial" w:eastAsia="Arial" w:hAnsi="Arial" w:cs="Arial"/>
          <w:sz w:val="24"/>
          <w:szCs w:val="24"/>
        </w:rPr>
        <w:t>)</w:t>
      </w:r>
      <w:r>
        <w:rPr>
          <w:rFonts w:ascii="Arial" w:eastAsia="Arial" w:hAnsi="Arial" w:cs="Arial"/>
          <w:sz w:val="24"/>
          <w:szCs w:val="24"/>
        </w:rPr>
        <w:t xml:space="preserve"> y la modalidad de Educación Especial o los servicios de </w:t>
      </w:r>
      <w:proofErr w:type="gramStart"/>
      <w:r w:rsidR="009D3281">
        <w:rPr>
          <w:rFonts w:ascii="Arial" w:eastAsia="Arial" w:hAnsi="Arial" w:cs="Arial"/>
          <w:sz w:val="24"/>
          <w:szCs w:val="24"/>
        </w:rPr>
        <w:t xml:space="preserve">Salud </w:t>
      </w:r>
      <w:r>
        <w:rPr>
          <w:rFonts w:ascii="Arial" w:eastAsia="Arial" w:hAnsi="Arial" w:cs="Arial"/>
          <w:sz w:val="24"/>
          <w:szCs w:val="24"/>
        </w:rPr>
        <w:t xml:space="preserve"> Mental</w:t>
      </w:r>
      <w:proofErr w:type="gramEnd"/>
      <w:r>
        <w:rPr>
          <w:rFonts w:ascii="Arial" w:eastAsia="Arial" w:hAnsi="Arial" w:cs="Arial"/>
          <w:sz w:val="24"/>
          <w:szCs w:val="24"/>
        </w:rPr>
        <w:t>, como muestra de la ausencia de corresponsabilidad.</w:t>
      </w:r>
    </w:p>
    <w:p w14:paraId="7CE91110" w14:textId="77777777" w:rsidR="005C6842" w:rsidRDefault="005C6842">
      <w:pPr>
        <w:keepNext/>
        <w:keepLines/>
        <w:pBdr>
          <w:top w:val="nil"/>
          <w:left w:val="nil"/>
          <w:bottom w:val="nil"/>
          <w:right w:val="nil"/>
          <w:between w:val="nil"/>
        </w:pBdr>
        <w:tabs>
          <w:tab w:val="right" w:pos="851"/>
        </w:tabs>
        <w:spacing w:before="120" w:after="120"/>
        <w:ind w:left="1134" w:right="1134" w:hanging="1134"/>
        <w:jc w:val="both"/>
        <w:rPr>
          <w:rFonts w:ascii="Arial" w:eastAsia="Arial" w:hAnsi="Arial" w:cs="Arial"/>
          <w:b/>
          <w:color w:val="000000"/>
          <w:sz w:val="24"/>
          <w:szCs w:val="24"/>
        </w:rPr>
      </w:pPr>
    </w:p>
    <w:p w14:paraId="14408EF9" w14:textId="77777777" w:rsidR="005C6842" w:rsidRDefault="004A1E28">
      <w:pPr>
        <w:keepNext/>
        <w:keepLines/>
        <w:pBdr>
          <w:top w:val="nil"/>
          <w:left w:val="nil"/>
          <w:bottom w:val="nil"/>
          <w:right w:val="nil"/>
          <w:between w:val="nil"/>
        </w:pBdr>
        <w:tabs>
          <w:tab w:val="right" w:pos="851"/>
        </w:tabs>
        <w:spacing w:before="120" w:after="120"/>
        <w:ind w:left="1134" w:right="1134" w:hanging="1134"/>
        <w:jc w:val="both"/>
        <w:rPr>
          <w:rFonts w:ascii="Arial" w:eastAsia="Arial" w:hAnsi="Arial" w:cs="Arial"/>
          <w:b/>
          <w:color w:val="000000"/>
          <w:sz w:val="24"/>
          <w:szCs w:val="24"/>
        </w:rPr>
      </w:pPr>
      <w:r>
        <w:rPr>
          <w:rFonts w:ascii="Arial" w:eastAsia="Arial" w:hAnsi="Arial" w:cs="Arial"/>
          <w:b/>
          <w:color w:val="000000"/>
          <w:sz w:val="24"/>
          <w:szCs w:val="24"/>
        </w:rPr>
        <w:t>Derechos específicos (arts. 5 a 30)</w:t>
      </w:r>
    </w:p>
    <w:p w14:paraId="0BB99930" w14:textId="77777777" w:rsidR="005C6842" w:rsidRDefault="004A1E28">
      <w:pPr>
        <w:keepNext/>
        <w:keepLines/>
        <w:pBdr>
          <w:top w:val="nil"/>
          <w:left w:val="nil"/>
          <w:bottom w:val="nil"/>
          <w:right w:val="nil"/>
          <w:between w:val="nil"/>
        </w:pBdr>
        <w:tabs>
          <w:tab w:val="right" w:pos="851"/>
        </w:tabs>
        <w:spacing w:before="120" w:after="120"/>
        <w:ind w:left="1134" w:right="1134" w:hanging="1134"/>
        <w:jc w:val="both"/>
        <w:rPr>
          <w:rFonts w:ascii="Arial" w:eastAsia="Arial" w:hAnsi="Arial" w:cs="Arial"/>
          <w:b/>
          <w:color w:val="000000"/>
          <w:sz w:val="24"/>
          <w:szCs w:val="24"/>
        </w:rPr>
      </w:pPr>
      <w:r>
        <w:rPr>
          <w:rFonts w:ascii="Arial" w:eastAsia="Arial" w:hAnsi="Arial" w:cs="Arial"/>
          <w:b/>
          <w:color w:val="000000"/>
          <w:sz w:val="24"/>
          <w:szCs w:val="24"/>
        </w:rPr>
        <w:t>Igualdad y no discriminación (art. 5)</w:t>
      </w:r>
    </w:p>
    <w:p w14:paraId="6A3678C9"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Si bien se reconoce que la </w:t>
      </w:r>
      <w:proofErr w:type="gramStart"/>
      <w:r>
        <w:rPr>
          <w:rFonts w:ascii="Arial" w:eastAsia="Arial" w:hAnsi="Arial" w:cs="Arial"/>
          <w:sz w:val="24"/>
          <w:szCs w:val="24"/>
        </w:rPr>
        <w:t>entrada en vigencia</w:t>
      </w:r>
      <w:proofErr w:type="gramEnd"/>
      <w:r>
        <w:rPr>
          <w:rFonts w:ascii="Arial" w:eastAsia="Arial" w:hAnsi="Arial" w:cs="Arial"/>
          <w:sz w:val="24"/>
          <w:szCs w:val="24"/>
        </w:rPr>
        <w:t xml:space="preserve"> de la CRBV en 1999 eliminó normativamente cualquier posibilidad de desigualdad o discriminación para las </w:t>
      </w:r>
      <w:proofErr w:type="spellStart"/>
      <w:r>
        <w:rPr>
          <w:rFonts w:ascii="Arial" w:eastAsia="Arial" w:hAnsi="Arial" w:cs="Arial"/>
          <w:sz w:val="24"/>
          <w:szCs w:val="24"/>
        </w:rPr>
        <w:t>PcD</w:t>
      </w:r>
      <w:proofErr w:type="spellEnd"/>
      <w:r>
        <w:rPr>
          <w:rFonts w:ascii="Arial" w:eastAsia="Arial" w:hAnsi="Arial" w:cs="Arial"/>
          <w:sz w:val="24"/>
          <w:szCs w:val="24"/>
        </w:rPr>
        <w:t xml:space="preserve">, todavía no se ha publicado reforma alguna del artículo 21 de la CRBV para que se incluya expresamente a las </w:t>
      </w:r>
      <w:proofErr w:type="spellStart"/>
      <w:r>
        <w:rPr>
          <w:rFonts w:ascii="Arial" w:eastAsia="Arial" w:hAnsi="Arial" w:cs="Arial"/>
          <w:sz w:val="24"/>
          <w:szCs w:val="24"/>
        </w:rPr>
        <w:t>PcD</w:t>
      </w:r>
      <w:proofErr w:type="spellEnd"/>
      <w:r>
        <w:rPr>
          <w:rFonts w:ascii="Arial" w:eastAsia="Arial" w:hAnsi="Arial" w:cs="Arial"/>
          <w:sz w:val="24"/>
          <w:szCs w:val="24"/>
        </w:rPr>
        <w:t>.</w:t>
      </w:r>
    </w:p>
    <w:p w14:paraId="46C4B99F"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El Estado venezolano en el párrafo 21 del Informe de Respuesta del Estado a la Lista de Cuestiones afirma que la ANC se encuentra elaborando una nueva norma jurídica en materia de discapacidad. En referencia a esta afirmación, es importante resaltar que hasta el momento la sociedad civil no tiene conocimiento de este </w:t>
      </w:r>
      <w:r>
        <w:rPr>
          <w:rFonts w:ascii="Arial" w:eastAsia="Arial" w:hAnsi="Arial" w:cs="Arial"/>
          <w:sz w:val="24"/>
          <w:szCs w:val="24"/>
        </w:rPr>
        <w:lastRenderedPageBreak/>
        <w:t>apartado. En el mismo párrafo 21 el Estado venezolano indica que la ANC tiene un proyecto de “Ley Constitucional para las Personas con Discapacidad”. La sociedad civil reitera no tener conocimiento del contenido de este proyecto. Sin embargo, se conoce sobre la existencia de comisiones formadas en el seno de la ANC para tratar el tema de Discapacidad, y aún se espera poder obtener la información pertinente.</w:t>
      </w:r>
    </w:p>
    <w:p w14:paraId="0411D33F"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En cuanto al hecho de que en 2014 se aprobó la Ley de Promoción y Protección del Derecho a la Igualdad de las Personas con VIH y sus Familiares señalada en el párrafo 22 del Informe de Respuesta del Estado a la Lista de Cuestiones, debe destacarse que esta ley busca erradicar la discriminación en contra de las personas con VIH de forma específica. La referencia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es solo tangencial. Si bien es cierto que fue un avance de la</w:t>
      </w:r>
      <w:r w:rsidR="00F621AF">
        <w:rPr>
          <w:rFonts w:ascii="Arial" w:eastAsia="Arial" w:hAnsi="Arial" w:cs="Arial"/>
          <w:sz w:val="24"/>
          <w:szCs w:val="24"/>
        </w:rPr>
        <w:t xml:space="preserve"> Ley para Personas con Discapacidad</w:t>
      </w:r>
      <w:r>
        <w:rPr>
          <w:rFonts w:ascii="Arial" w:eastAsia="Arial" w:hAnsi="Arial" w:cs="Arial"/>
          <w:sz w:val="24"/>
          <w:szCs w:val="24"/>
        </w:rPr>
        <w:t xml:space="preserve"> LPCD que se estableciera la derogatoria expresa del artículo 410 del Código Civil Venezolano (CCV) que establecía </w:t>
      </w:r>
      <w:proofErr w:type="spellStart"/>
      <w:r>
        <w:rPr>
          <w:rFonts w:ascii="Arial" w:eastAsia="Arial" w:hAnsi="Arial" w:cs="Arial"/>
          <w:i/>
          <w:sz w:val="24"/>
          <w:szCs w:val="24"/>
        </w:rPr>
        <w:t>ope</w:t>
      </w:r>
      <w:proofErr w:type="spellEnd"/>
      <w:r>
        <w:rPr>
          <w:rFonts w:ascii="Arial" w:eastAsia="Arial" w:hAnsi="Arial" w:cs="Arial"/>
          <w:i/>
          <w:sz w:val="24"/>
          <w:szCs w:val="24"/>
        </w:rPr>
        <w:t xml:space="preserve"> iuris</w:t>
      </w:r>
      <w:r>
        <w:rPr>
          <w:rFonts w:ascii="Arial" w:eastAsia="Arial" w:hAnsi="Arial" w:cs="Arial"/>
          <w:sz w:val="24"/>
          <w:szCs w:val="24"/>
        </w:rPr>
        <w:t xml:space="preserve"> la inhabilitación de las personas sordas y ciegas una vez llegasen a la mayoría de edad, debe indicarse que algunas normas discriminatorias no fueron derogadas expresamente. </w:t>
      </w:r>
    </w:p>
    <w:p w14:paraId="3AE1BA21"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Así, el artículo 90 del CCV, referido al matrimonio de personas sordas, exige que estos manifiesten su voluntad por escrito, si supieran leer y escribir; no prevé que estas personas manifiesten su voluntad a través de la Lengua de Señas Venezolana (LSV). De igual forma el artículo 837 del mismo CCV restringe la posibilidad de hacer testamentos a las personas “sordas o mudas” que no sepan o no puedan escribir, obviando la posibilidad de que manifiesten su voluntad mediante LSV. Además, los artículos 861 y 862 del CCV refuerzan dicha restricción a los “sordos y mudos” de la posibilidad de hacer testamento, condicionándolo al hecho de que puedan leer y escribir. El artículo 864 del CCV también señala que no pueden ser testigos de un testamento las personas ciegas y los totalmente “sordos o mudos”, lo cual es una violación del derecho humano al considerar que en una investigación realizada por CONSORVEN</w:t>
      </w:r>
      <w:r>
        <w:rPr>
          <w:rFonts w:ascii="Arial" w:eastAsia="Arial" w:hAnsi="Arial" w:cs="Arial"/>
          <w:sz w:val="24"/>
          <w:szCs w:val="24"/>
          <w:vertAlign w:val="superscript"/>
        </w:rPr>
        <w:footnoteReference w:id="9"/>
      </w:r>
      <w:r>
        <w:rPr>
          <w:rFonts w:ascii="Arial" w:eastAsia="Arial" w:hAnsi="Arial" w:cs="Arial"/>
          <w:sz w:val="24"/>
          <w:szCs w:val="24"/>
        </w:rPr>
        <w:t xml:space="preserve"> se encontró que 73% de la población sorda consultada “sabía más o menos escribir” y 10% “no sabía escribir”. Similar proporción se obtuvo ante la pregunta de si sabía leer. Además, el 48% de la población sorda señaló comunicarse predominantemente por Lengua de Señas Venezolana (LSV). </w:t>
      </w:r>
    </w:p>
    <w:p w14:paraId="00AE5E35"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Esto significa que, fundamentados en los artículos del CCV señalados, la mayoría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podría ser vulnerada en su derecho al matrimonio, a ser testigos o hacer testamentos. Por todo lo anterior, las </w:t>
      </w:r>
      <w:r w:rsidR="00772EA5">
        <w:rPr>
          <w:rFonts w:ascii="Arial" w:eastAsia="Arial" w:hAnsi="Arial" w:cs="Arial"/>
          <w:sz w:val="24"/>
          <w:szCs w:val="24"/>
        </w:rPr>
        <w:t>OPD</w:t>
      </w:r>
      <w:r>
        <w:rPr>
          <w:rFonts w:ascii="Arial" w:eastAsia="Arial" w:hAnsi="Arial" w:cs="Arial"/>
          <w:sz w:val="24"/>
          <w:szCs w:val="24"/>
        </w:rPr>
        <w:t xml:space="preserve"> en las Mesas Técnicas 2020 señalaron que se necesita aplicar e implementar de forma amplia y eficaz el marco legislativo para la protección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ya existente, que pueda estar en concordancia con la realidad actual del país y las necesidades y características individuales de la </w:t>
      </w:r>
      <w:proofErr w:type="spellStart"/>
      <w:r>
        <w:rPr>
          <w:rFonts w:ascii="Arial" w:eastAsia="Arial" w:hAnsi="Arial" w:cs="Arial"/>
          <w:sz w:val="24"/>
          <w:szCs w:val="24"/>
        </w:rPr>
        <w:t>PcD</w:t>
      </w:r>
      <w:proofErr w:type="spellEnd"/>
      <w:r>
        <w:rPr>
          <w:rFonts w:ascii="Arial" w:eastAsia="Arial" w:hAnsi="Arial" w:cs="Arial"/>
          <w:sz w:val="24"/>
          <w:szCs w:val="24"/>
        </w:rPr>
        <w:t>.</w:t>
      </w:r>
    </w:p>
    <w:p w14:paraId="3C60BF0B"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En cuanto a mecanismos de recepción de quejas o denuncias se pudo constatar que en la página de CONAPDIS no existe ningún espacio que ofrezcan este </w:t>
      </w:r>
      <w:r>
        <w:rPr>
          <w:rFonts w:ascii="Arial" w:eastAsia="Arial" w:hAnsi="Arial" w:cs="Arial"/>
          <w:sz w:val="24"/>
          <w:szCs w:val="24"/>
        </w:rPr>
        <w:lastRenderedPageBreak/>
        <w:t>servicio a la población: la última publicación referida a un espacio para denuncias y quejas se realizó a través de las redes sociales Twitter</w:t>
      </w:r>
      <w:r>
        <w:rPr>
          <w:rFonts w:ascii="Arial" w:eastAsia="Arial" w:hAnsi="Arial" w:cs="Arial"/>
          <w:sz w:val="24"/>
          <w:szCs w:val="24"/>
          <w:vertAlign w:val="superscript"/>
        </w:rPr>
        <w:footnoteReference w:id="10"/>
      </w:r>
      <w:r>
        <w:rPr>
          <w:rFonts w:ascii="Arial" w:eastAsia="Arial" w:hAnsi="Arial" w:cs="Arial"/>
          <w:sz w:val="24"/>
          <w:szCs w:val="24"/>
        </w:rPr>
        <w:t xml:space="preserve"> y Facebook</w:t>
      </w:r>
      <w:r>
        <w:rPr>
          <w:rFonts w:ascii="Arial" w:eastAsia="Arial" w:hAnsi="Arial" w:cs="Arial"/>
          <w:sz w:val="24"/>
          <w:szCs w:val="24"/>
          <w:vertAlign w:val="superscript"/>
        </w:rPr>
        <w:footnoteReference w:id="11"/>
      </w:r>
      <w:r>
        <w:rPr>
          <w:rFonts w:ascii="Arial" w:eastAsia="Arial" w:hAnsi="Arial" w:cs="Arial"/>
          <w:sz w:val="24"/>
          <w:szCs w:val="24"/>
        </w:rPr>
        <w:t xml:space="preserve"> en febrero del 2017-2018. En la actualidad, especialmente</w:t>
      </w:r>
      <w:r w:rsidR="006F19DA">
        <w:rPr>
          <w:rFonts w:ascii="Arial" w:eastAsia="Arial" w:hAnsi="Arial" w:cs="Arial"/>
          <w:sz w:val="24"/>
          <w:szCs w:val="24"/>
        </w:rPr>
        <w:t xml:space="preserve"> la cuenta de</w:t>
      </w:r>
      <w:r>
        <w:rPr>
          <w:rFonts w:ascii="Arial" w:eastAsia="Arial" w:hAnsi="Arial" w:cs="Arial"/>
          <w:sz w:val="24"/>
          <w:szCs w:val="24"/>
        </w:rPr>
        <w:t xml:space="preserve"> Twitter</w:t>
      </w:r>
      <w:r w:rsidR="006F19DA">
        <w:rPr>
          <w:rFonts w:ascii="Arial" w:eastAsia="Arial" w:hAnsi="Arial" w:cs="Arial"/>
          <w:sz w:val="24"/>
          <w:szCs w:val="24"/>
        </w:rPr>
        <w:t xml:space="preserve"> del CONAPDIS</w:t>
      </w:r>
      <w:r>
        <w:rPr>
          <w:rFonts w:ascii="Arial" w:eastAsia="Arial" w:hAnsi="Arial" w:cs="Arial"/>
          <w:sz w:val="24"/>
          <w:szCs w:val="24"/>
        </w:rPr>
        <w:t xml:space="preserve"> funciona como medio de intercambio comunicacional y es el principal promotor y difusor de todas las actividades realizadas por el ente. Sin embargo, según lo expresado por las </w:t>
      </w:r>
      <w:r w:rsidR="00772EA5">
        <w:rPr>
          <w:rFonts w:ascii="Arial" w:eastAsia="Arial" w:hAnsi="Arial" w:cs="Arial"/>
          <w:sz w:val="24"/>
          <w:szCs w:val="24"/>
        </w:rPr>
        <w:t>OPD</w:t>
      </w:r>
      <w:r>
        <w:rPr>
          <w:rFonts w:ascii="Arial" w:eastAsia="Arial" w:hAnsi="Arial" w:cs="Arial"/>
          <w:sz w:val="24"/>
          <w:szCs w:val="24"/>
        </w:rPr>
        <w:t xml:space="preserve"> en las Mesas Técnicas, es importante acotar, que el CONAPDIS como institución no presta servicios de forma continua, haciéndose difícil tener contacto con su personal para jornadas, recolección de datos y demás actividades necesarias para la asistencia y apoyo a las personas con discapacidad. </w:t>
      </w:r>
    </w:p>
    <w:p w14:paraId="668DCDC8"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Según las </w:t>
      </w:r>
      <w:r w:rsidR="00772EA5">
        <w:rPr>
          <w:rFonts w:ascii="Arial" w:eastAsia="Arial" w:hAnsi="Arial" w:cs="Arial"/>
          <w:sz w:val="24"/>
          <w:szCs w:val="24"/>
        </w:rPr>
        <w:t>OPD</w:t>
      </w:r>
      <w:r>
        <w:rPr>
          <w:rFonts w:ascii="Arial" w:eastAsia="Arial" w:hAnsi="Arial" w:cs="Arial"/>
          <w:sz w:val="24"/>
          <w:szCs w:val="24"/>
        </w:rPr>
        <w:t xml:space="preserve"> de las Mesas Técnicas 2020, resulta imposible corroborar las cifras oficiales de reclamos y denuncias expresadas en el Informe de Respuesta del Estado a la Lista de Cuestiones en el párrafo 24, las cuales incluso expresan diferencias significativas entre la tendencia de discriminación por género entre los resultados expuestos por CONAPDIS y DP.</w:t>
      </w:r>
    </w:p>
    <w:p w14:paraId="691C4D37"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En cuanto al párrafo 20 del Informe de Respuesta del Estado a la Lista de Cuestiones en la que se mencionan programas de formación a órganos policiales, celebramos la iniciativa y esperamos sea efectiva ya que en las protestas del 2017 se presentaron numerosos casos de vulneración de derechos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como los que se citan a continuación:</w:t>
      </w:r>
    </w:p>
    <w:p w14:paraId="7DCB35D5" w14:textId="77777777" w:rsidR="005C6842" w:rsidRDefault="004A1E28">
      <w:pPr>
        <w:pBdr>
          <w:top w:val="single" w:sz="4" w:space="1" w:color="000000"/>
          <w:left w:val="single" w:sz="4" w:space="4" w:color="000000"/>
          <w:bottom w:val="single" w:sz="4" w:space="1" w:color="000000"/>
          <w:right w:val="single" w:sz="4" w:space="4" w:color="000000"/>
        </w:pBdr>
        <w:shd w:val="clear" w:color="auto" w:fill="FFFFFF"/>
        <w:spacing w:before="120" w:after="120"/>
        <w:ind w:left="360"/>
        <w:jc w:val="both"/>
        <w:rPr>
          <w:rFonts w:ascii="Arial" w:eastAsia="Arial" w:hAnsi="Arial" w:cs="Arial"/>
          <w:sz w:val="24"/>
          <w:szCs w:val="24"/>
        </w:rPr>
      </w:pPr>
      <w:r>
        <w:rPr>
          <w:rFonts w:ascii="Arial" w:eastAsia="Arial" w:hAnsi="Arial" w:cs="Arial"/>
          <w:sz w:val="24"/>
          <w:szCs w:val="24"/>
        </w:rPr>
        <w:t xml:space="preserve">Caso 1: Joven de 29 </w:t>
      </w:r>
      <w:proofErr w:type="gramStart"/>
      <w:r>
        <w:rPr>
          <w:rFonts w:ascii="Arial" w:eastAsia="Arial" w:hAnsi="Arial" w:cs="Arial"/>
          <w:sz w:val="24"/>
          <w:szCs w:val="24"/>
        </w:rPr>
        <w:t>años de edad</w:t>
      </w:r>
      <w:proofErr w:type="gramEnd"/>
      <w:r>
        <w:rPr>
          <w:rFonts w:ascii="Arial" w:eastAsia="Arial" w:hAnsi="Arial" w:cs="Arial"/>
          <w:sz w:val="24"/>
          <w:szCs w:val="24"/>
        </w:rPr>
        <w:t>, con discapacidad visual, murió en el estado Aragua. El hombre quedó en medio de un enfrentamiento entre bandas y efectivos de seguridad, recibiendo impacto de bala por lo cual fue trasladado al centro hospitalario para ser atendido, donde falleció por no existir los insumos necesarios para salvar su vida. En este sentido se evidencia la violación del derecho a la vida y la salud.</w:t>
      </w:r>
    </w:p>
    <w:p w14:paraId="77DD1A12" w14:textId="77777777" w:rsidR="005C6842" w:rsidRDefault="004A1E28">
      <w:pPr>
        <w:pBdr>
          <w:top w:val="single" w:sz="4" w:space="1" w:color="000000"/>
          <w:left w:val="single" w:sz="4" w:space="4" w:color="000000"/>
          <w:bottom w:val="single" w:sz="4" w:space="1" w:color="000000"/>
          <w:right w:val="single" w:sz="4" w:space="4" w:color="000000"/>
        </w:pBdr>
        <w:shd w:val="clear" w:color="auto" w:fill="FFFFFF"/>
        <w:spacing w:before="120" w:after="120"/>
        <w:ind w:left="360"/>
        <w:jc w:val="both"/>
        <w:rPr>
          <w:rFonts w:ascii="Arial" w:eastAsia="Arial" w:hAnsi="Arial" w:cs="Arial"/>
          <w:sz w:val="24"/>
          <w:szCs w:val="24"/>
        </w:rPr>
      </w:pPr>
      <w:r>
        <w:rPr>
          <w:rFonts w:ascii="Arial" w:eastAsia="Arial" w:hAnsi="Arial" w:cs="Arial"/>
          <w:sz w:val="24"/>
          <w:szCs w:val="24"/>
        </w:rPr>
        <w:t>Caso 2: Joven de 26 años,</w:t>
      </w:r>
      <w:r w:rsidR="006F19DA">
        <w:rPr>
          <w:rFonts w:ascii="Arial" w:eastAsia="Arial" w:hAnsi="Arial" w:cs="Arial"/>
          <w:sz w:val="24"/>
          <w:szCs w:val="24"/>
        </w:rPr>
        <w:t xml:space="preserve"> </w:t>
      </w:r>
      <w:r>
        <w:rPr>
          <w:rFonts w:ascii="Arial" w:eastAsia="Arial" w:hAnsi="Arial" w:cs="Arial"/>
          <w:sz w:val="24"/>
          <w:szCs w:val="24"/>
        </w:rPr>
        <w:t xml:space="preserve">recibió un disparo en las protestas de abril de 2017 suscitadas en Petare, estado Miranda. El joven con discapacidad auditiva, visual, psicosocial e intelectual </w:t>
      </w:r>
      <w:proofErr w:type="gramStart"/>
      <w:r>
        <w:rPr>
          <w:rFonts w:ascii="Arial" w:eastAsia="Arial" w:hAnsi="Arial" w:cs="Arial"/>
          <w:sz w:val="24"/>
          <w:szCs w:val="24"/>
        </w:rPr>
        <w:t>leve,</w:t>
      </w:r>
      <w:proofErr w:type="gramEnd"/>
      <w:r>
        <w:rPr>
          <w:rFonts w:ascii="Arial" w:eastAsia="Arial" w:hAnsi="Arial" w:cs="Arial"/>
          <w:sz w:val="24"/>
          <w:szCs w:val="24"/>
        </w:rPr>
        <w:t xml:space="preserve"> recibió un disparo en la espalda por parte de los efectivos de seguridad del Estado quienes reprimían la situación de protesta. Algunos vecinos de la zona salieron a su resguardo manifestando a los efectivos de seguridad que no le dispararan más porque era una persona con discapacidad, el joven permaneció tendido en el suelo aproximadamente por 15 minutos en virtud de la negación de los agentes de movilizarlo al centro hospitalario. En las investigaciones posteriores se determinó que el cartucho estaba preparado con tuerca y tornillo. De igual forma en las declaraciones de los familiares se obtuvo como dato importante, que el chico solo transitaba por la zona y no estaba participando en la protesta. Hasta los momentos el caso no ha recibido ninguna respuesta oportuna, desde el aspecto judicial, solo se observan retrasos en los procesos por el constante cambio de Fiscales de la investigación en los tribunales (125° y 80°) que conocen el caso. Desde </w:t>
      </w:r>
      <w:r>
        <w:rPr>
          <w:rFonts w:ascii="Arial" w:eastAsia="Arial" w:hAnsi="Arial" w:cs="Arial"/>
          <w:sz w:val="24"/>
          <w:szCs w:val="24"/>
        </w:rPr>
        <w:lastRenderedPageBreak/>
        <w:t>el punto de vista de los Derechos Humanos se evidencia violación del derecho a la vida y garantías judiciales.</w:t>
      </w:r>
    </w:p>
    <w:p w14:paraId="783E21BE" w14:textId="77777777" w:rsidR="005C6842" w:rsidRDefault="005C6842">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p>
    <w:p w14:paraId="02A163F3"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Mujeres con discapacidad (art. 6)</w:t>
      </w:r>
    </w:p>
    <w:p w14:paraId="04840060" w14:textId="77777777" w:rsidR="005C6842" w:rsidRDefault="004A1E28">
      <w:pPr>
        <w:numPr>
          <w:ilvl w:val="0"/>
          <w:numId w:val="2"/>
        </w:numPr>
        <w:tabs>
          <w:tab w:val="left" w:pos="284"/>
        </w:tabs>
        <w:spacing w:before="120" w:after="120"/>
        <w:jc w:val="both"/>
        <w:rPr>
          <w:rFonts w:ascii="Arial" w:eastAsia="Arial" w:hAnsi="Arial" w:cs="Arial"/>
          <w:sz w:val="24"/>
          <w:szCs w:val="24"/>
        </w:rPr>
      </w:pPr>
      <w:r>
        <w:rPr>
          <w:rFonts w:ascii="Arial" w:eastAsia="Arial" w:hAnsi="Arial" w:cs="Arial"/>
          <w:sz w:val="24"/>
          <w:szCs w:val="24"/>
        </w:rPr>
        <w:t>En relación con las políticas para enfrentar la situación de emergencia, el Informe de Respuesta del Estado a la Lista de Cuestiones no especifica que ninguno de los servicios de los programas señalados en los párrafos 26, 28 y 29 del referido informe, atiendan a la población de mujeres con discapacidad. Asimismo, es de notar que no se contemplan ajustes razonables o algún tipo de información que indique que esta población vulnerable será tomada en cuenta ajustándose a sus necesidades específicas.</w:t>
      </w:r>
    </w:p>
    <w:p w14:paraId="570F24F7" w14:textId="77777777" w:rsidR="005C6842" w:rsidRDefault="004A1E28">
      <w:pPr>
        <w:numPr>
          <w:ilvl w:val="0"/>
          <w:numId w:val="2"/>
        </w:numPr>
        <w:tabs>
          <w:tab w:val="left" w:pos="284"/>
        </w:tabs>
        <w:spacing w:before="120" w:after="120"/>
        <w:jc w:val="both"/>
        <w:rPr>
          <w:rFonts w:ascii="Arial" w:eastAsia="Arial" w:hAnsi="Arial" w:cs="Arial"/>
          <w:sz w:val="24"/>
          <w:szCs w:val="24"/>
        </w:rPr>
      </w:pPr>
      <w:r>
        <w:rPr>
          <w:rFonts w:ascii="Arial" w:eastAsia="Arial" w:hAnsi="Arial" w:cs="Arial"/>
          <w:sz w:val="24"/>
          <w:szCs w:val="24"/>
        </w:rPr>
        <w:t xml:space="preserve">El párrafo 28 del mismo informe señala que el Ministerio del Poder Popular para la Mujer e Igualdad de Género ofrece algunos programas de atención a la mujer en temas de educación sexual y reproductiva como, por ejemplo, el parto asistido, en los que no se atienden de manera diferencial a la mujer con discapacidad. Cabe destacar que, según lo expresado por los expertos de las </w:t>
      </w:r>
      <w:r w:rsidR="00772EA5">
        <w:rPr>
          <w:rFonts w:ascii="Arial" w:eastAsia="Arial" w:hAnsi="Arial" w:cs="Arial"/>
          <w:sz w:val="24"/>
          <w:szCs w:val="24"/>
        </w:rPr>
        <w:t>OPD</w:t>
      </w:r>
      <w:r>
        <w:rPr>
          <w:rFonts w:ascii="Arial" w:eastAsia="Arial" w:hAnsi="Arial" w:cs="Arial"/>
          <w:sz w:val="24"/>
          <w:szCs w:val="24"/>
        </w:rPr>
        <w:t xml:space="preserve"> en las Mesas Técnicas 2020, las mujeres con discapacidad intelectual o auditiva presentan serios problemas en la atención al embarazo y durante el parto, ya que no cuentan con personal calificado para trabajar con esta población. </w:t>
      </w:r>
    </w:p>
    <w:p w14:paraId="7B09EA24" w14:textId="77777777" w:rsidR="005C6842" w:rsidRDefault="004A1E28">
      <w:pPr>
        <w:numPr>
          <w:ilvl w:val="0"/>
          <w:numId w:val="2"/>
        </w:numPr>
        <w:tabs>
          <w:tab w:val="left" w:pos="284"/>
        </w:tabs>
        <w:spacing w:before="120" w:after="120"/>
        <w:jc w:val="both"/>
        <w:rPr>
          <w:rFonts w:ascii="Arial" w:eastAsia="Arial" w:hAnsi="Arial" w:cs="Arial"/>
          <w:sz w:val="24"/>
          <w:szCs w:val="24"/>
        </w:rPr>
      </w:pPr>
      <w:r>
        <w:rPr>
          <w:rFonts w:ascii="Arial" w:eastAsia="Arial" w:hAnsi="Arial" w:cs="Arial"/>
          <w:sz w:val="24"/>
          <w:szCs w:val="24"/>
        </w:rPr>
        <w:t xml:space="preserve">Las mujeres con discapacidad no tienen acceso a servicios de salud sexual y reproductiva y la falta de información confiable sobre cambios sociales y legislativos para impulsar la Igualdad de Género sigue siendo una constante en este tema, por lo que es muy difícil conocer sobre su implementación y alcance. Las </w:t>
      </w:r>
      <w:r w:rsidR="00772EA5">
        <w:rPr>
          <w:rFonts w:ascii="Arial" w:eastAsia="Arial" w:hAnsi="Arial" w:cs="Arial"/>
          <w:sz w:val="24"/>
          <w:szCs w:val="24"/>
        </w:rPr>
        <w:t>OPD</w:t>
      </w:r>
      <w:r>
        <w:rPr>
          <w:rFonts w:ascii="Arial" w:eastAsia="Arial" w:hAnsi="Arial" w:cs="Arial"/>
          <w:sz w:val="24"/>
          <w:szCs w:val="24"/>
        </w:rPr>
        <w:t xml:space="preserve"> en las Mesas Técnicas indicaron la falta de difusión y orientación sobre las funciones y actividades de las instituciones del Estado que éste dice haber creado para el apoyo y protección a la mujer, incluyendo las que tienen discapacidad. No se manejan cifras sobre reclamos, casos o juicios en esta materia, que sean oficiales y puedan ser confirmados. No existe acceso público a esta data </w:t>
      </w:r>
      <w:r w:rsidR="006F19DA">
        <w:rPr>
          <w:rFonts w:ascii="Arial" w:eastAsia="Arial" w:hAnsi="Arial" w:cs="Arial"/>
          <w:sz w:val="24"/>
          <w:szCs w:val="24"/>
        </w:rPr>
        <w:t xml:space="preserve">y se presume que </w:t>
      </w:r>
      <w:r>
        <w:rPr>
          <w:rFonts w:ascii="Arial" w:eastAsia="Arial" w:hAnsi="Arial" w:cs="Arial"/>
          <w:sz w:val="24"/>
          <w:szCs w:val="24"/>
        </w:rPr>
        <w:t>las mujeres con discapacidad</w:t>
      </w:r>
      <w:r w:rsidR="006F19DA">
        <w:rPr>
          <w:rFonts w:ascii="Arial" w:eastAsia="Arial" w:hAnsi="Arial" w:cs="Arial"/>
          <w:sz w:val="24"/>
          <w:szCs w:val="24"/>
        </w:rPr>
        <w:t xml:space="preserve"> </w:t>
      </w:r>
      <w:proofErr w:type="gramStart"/>
      <w:r w:rsidR="006F19DA">
        <w:rPr>
          <w:rFonts w:ascii="Arial" w:eastAsia="Arial" w:hAnsi="Arial" w:cs="Arial"/>
          <w:sz w:val="24"/>
          <w:szCs w:val="24"/>
        </w:rPr>
        <w:t xml:space="preserve">no </w:t>
      </w:r>
      <w:r>
        <w:rPr>
          <w:rFonts w:ascii="Arial" w:eastAsia="Arial" w:hAnsi="Arial" w:cs="Arial"/>
          <w:sz w:val="24"/>
          <w:szCs w:val="24"/>
        </w:rPr>
        <w:t xml:space="preserve"> tienen</w:t>
      </w:r>
      <w:proofErr w:type="gramEnd"/>
      <w:r>
        <w:rPr>
          <w:rFonts w:ascii="Arial" w:eastAsia="Arial" w:hAnsi="Arial" w:cs="Arial"/>
          <w:sz w:val="24"/>
          <w:szCs w:val="24"/>
        </w:rPr>
        <w:t xml:space="preserve"> conocimiento de lo que hacen las instituciones públicas relacionadas con la discapacidad.</w:t>
      </w:r>
    </w:p>
    <w:p w14:paraId="46685081" w14:textId="77777777" w:rsidR="005C6842" w:rsidRDefault="004A1E28">
      <w:pPr>
        <w:numPr>
          <w:ilvl w:val="0"/>
          <w:numId w:val="2"/>
        </w:numPr>
        <w:tabs>
          <w:tab w:val="left" w:pos="284"/>
        </w:tabs>
        <w:spacing w:before="120" w:after="120"/>
        <w:jc w:val="both"/>
        <w:rPr>
          <w:rFonts w:ascii="Arial" w:eastAsia="Arial" w:hAnsi="Arial" w:cs="Arial"/>
          <w:sz w:val="24"/>
          <w:szCs w:val="24"/>
        </w:rPr>
      </w:pPr>
      <w:r>
        <w:rPr>
          <w:rFonts w:ascii="Arial" w:eastAsia="Arial" w:hAnsi="Arial" w:cs="Arial"/>
          <w:sz w:val="24"/>
          <w:szCs w:val="24"/>
        </w:rPr>
        <w:t xml:space="preserve">Por otra parte, las </w:t>
      </w:r>
      <w:r w:rsidR="00772EA5">
        <w:rPr>
          <w:rFonts w:ascii="Arial" w:eastAsia="Arial" w:hAnsi="Arial" w:cs="Arial"/>
          <w:sz w:val="24"/>
          <w:szCs w:val="24"/>
        </w:rPr>
        <w:t>OPD</w:t>
      </w:r>
      <w:r>
        <w:rPr>
          <w:rFonts w:ascii="Arial" w:eastAsia="Arial" w:hAnsi="Arial" w:cs="Arial"/>
          <w:sz w:val="24"/>
          <w:szCs w:val="24"/>
        </w:rPr>
        <w:t xml:space="preserve"> en las Mesas Técnicas reiteraron que no existen políticas o programas para acompañar a las mujeres o niñas con discapacidad en la libre elección de tener hijos, principalmente en los casos de </w:t>
      </w:r>
      <w:proofErr w:type="spellStart"/>
      <w:r>
        <w:rPr>
          <w:rFonts w:ascii="Arial" w:eastAsia="Arial" w:hAnsi="Arial" w:cs="Arial"/>
          <w:sz w:val="24"/>
          <w:szCs w:val="24"/>
        </w:rPr>
        <w:t>PcD</w:t>
      </w:r>
      <w:proofErr w:type="spellEnd"/>
      <w:r>
        <w:rPr>
          <w:rFonts w:ascii="Arial" w:eastAsia="Arial" w:hAnsi="Arial" w:cs="Arial"/>
          <w:sz w:val="24"/>
          <w:szCs w:val="24"/>
        </w:rPr>
        <w:t xml:space="preserve"> intelectual. Ni la Ley para Personas con Discapacidad (LP</w:t>
      </w:r>
      <w:r w:rsidR="00F621AF">
        <w:rPr>
          <w:rFonts w:ascii="Arial" w:eastAsia="Arial" w:hAnsi="Arial" w:cs="Arial"/>
          <w:sz w:val="24"/>
          <w:szCs w:val="24"/>
        </w:rPr>
        <w:t>C</w:t>
      </w:r>
      <w:r>
        <w:rPr>
          <w:rFonts w:ascii="Arial" w:eastAsia="Arial" w:hAnsi="Arial" w:cs="Arial"/>
          <w:sz w:val="24"/>
          <w:szCs w:val="24"/>
        </w:rPr>
        <w:t>D) ni la Ley Orgánica para la Protección de Niños, Niñas y Adolescentes (LOPNNA) (art. 29) contemplan este aspecto en particular. Además, es destacable la falta información confiable sobre el Plan para la Igualdad de Género por la Equidad Mamá Rosa, desde el punto de vista de su implementación. La información que brinda el Estado</w:t>
      </w:r>
      <w:r>
        <w:rPr>
          <w:rFonts w:ascii="Arial" w:eastAsia="Arial" w:hAnsi="Arial" w:cs="Arial"/>
          <w:sz w:val="24"/>
          <w:szCs w:val="24"/>
          <w:vertAlign w:val="superscript"/>
        </w:rPr>
        <w:footnoteReference w:id="12"/>
      </w:r>
      <w:r>
        <w:rPr>
          <w:rFonts w:ascii="Arial" w:eastAsia="Arial" w:hAnsi="Arial" w:cs="Arial"/>
          <w:sz w:val="24"/>
          <w:szCs w:val="24"/>
        </w:rPr>
        <w:t xml:space="preserve"> es meramente descriptiva, filosófica y política, con un marcado sesgo ideológico, y no se tiene acceso público </w:t>
      </w:r>
      <w:r>
        <w:rPr>
          <w:rFonts w:ascii="Arial" w:eastAsia="Arial" w:hAnsi="Arial" w:cs="Arial"/>
          <w:sz w:val="24"/>
          <w:szCs w:val="24"/>
        </w:rPr>
        <w:lastRenderedPageBreak/>
        <w:t>a datos de resultados de ejecución, actividades y registro, ni de la incorporación de las niñas y mujeres con discapacidad en su implementación.</w:t>
      </w:r>
    </w:p>
    <w:p w14:paraId="2AE52E38" w14:textId="77777777" w:rsidR="005C6842" w:rsidRDefault="005C6842">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p>
    <w:p w14:paraId="352AED84"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Niños y niñas con discapacidad (art. 7)</w:t>
      </w:r>
    </w:p>
    <w:p w14:paraId="4AE6AC41"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Según lo señalado por las </w:t>
      </w:r>
      <w:r w:rsidR="00772EA5">
        <w:rPr>
          <w:rFonts w:ascii="Arial" w:eastAsia="Arial" w:hAnsi="Arial" w:cs="Arial"/>
          <w:sz w:val="24"/>
          <w:szCs w:val="24"/>
        </w:rPr>
        <w:t>OPD</w:t>
      </w:r>
      <w:r>
        <w:rPr>
          <w:rFonts w:ascii="Arial" w:eastAsia="Arial" w:hAnsi="Arial" w:cs="Arial"/>
          <w:sz w:val="24"/>
          <w:szCs w:val="24"/>
        </w:rPr>
        <w:t xml:space="preserve"> en las Mesas Técnicas 2020 en referencia a la LOPNNA, y específicamente en materia de protección para NNA con discapacidad, no se tiene conocimiento de cifras oficiales de situaciones en las que esta Ley haya sido aplicada para la corrección y sanción de casos en materia educativa, socioeconómica, de salud, entre otras.</w:t>
      </w:r>
    </w:p>
    <w:p w14:paraId="0E6B2883"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Más aun, los expertos asistentes a las Mesas Técnicas corroboran que no se manejan cifras oficiales de instituciones educativas (públicas ni privadas) que posean infraestructura acorde a la accesibilidad universal, además del personal capacitado para la atención de los niños y jóvenes con discapacidad en edad escolar. </w:t>
      </w:r>
    </w:p>
    <w:p w14:paraId="3FFDD679"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No se tiene conocimiento de las funciones, actividades y alcance de la Unidad de Protección Integral Especializada del Instituto Autónomo de Derechos de Niños, Niñas y Adolescentes, adscrito al Estado. Estos entes no poseen página web en la que se puedan consultar los programas, requisitos y alcances de las actividades que señalan en el párrafo 34 del Informe de Respuesta del Estado a la Lista de Cuestiones. Se conoce de sus continuas actividades por los mensajes publicados en la red social Twitter @</w:t>
      </w:r>
      <w:proofErr w:type="spellStart"/>
      <w:r>
        <w:rPr>
          <w:rFonts w:ascii="Arial" w:eastAsia="Arial" w:hAnsi="Arial" w:cs="Arial"/>
          <w:sz w:val="24"/>
          <w:szCs w:val="24"/>
        </w:rPr>
        <w:t>idennaoficial</w:t>
      </w:r>
      <w:proofErr w:type="spellEnd"/>
      <w:r>
        <w:rPr>
          <w:rFonts w:ascii="Arial" w:eastAsia="Arial" w:hAnsi="Arial" w:cs="Arial"/>
          <w:sz w:val="24"/>
          <w:szCs w:val="24"/>
        </w:rPr>
        <w:t>, así como por una reciente publicación desde la cuenta de la Defensoría del Pueblo</w:t>
      </w:r>
      <w:r>
        <w:rPr>
          <w:rFonts w:ascii="Arial" w:eastAsia="Arial" w:hAnsi="Arial" w:cs="Arial"/>
          <w:sz w:val="24"/>
          <w:szCs w:val="24"/>
          <w:vertAlign w:val="superscript"/>
        </w:rPr>
        <w:footnoteReference w:id="13"/>
      </w:r>
      <w:r>
        <w:rPr>
          <w:rFonts w:ascii="Arial" w:eastAsia="Arial" w:hAnsi="Arial" w:cs="Arial"/>
          <w:sz w:val="24"/>
          <w:szCs w:val="24"/>
        </w:rPr>
        <w:t xml:space="preserve"> indicando estar trabajando de la mano para conocer la realidad de esta población; sin embargo, desde el 2014 existe una cuenta paralela llamada @</w:t>
      </w:r>
      <w:proofErr w:type="spellStart"/>
      <w:r>
        <w:rPr>
          <w:rFonts w:ascii="Arial" w:eastAsia="Arial" w:hAnsi="Arial" w:cs="Arial"/>
          <w:sz w:val="24"/>
          <w:szCs w:val="24"/>
        </w:rPr>
        <w:t>nuevaidenna</w:t>
      </w:r>
      <w:proofErr w:type="spellEnd"/>
      <w:r>
        <w:rPr>
          <w:rFonts w:ascii="Arial" w:eastAsia="Arial" w:hAnsi="Arial" w:cs="Arial"/>
          <w:sz w:val="24"/>
          <w:szCs w:val="24"/>
        </w:rPr>
        <w:t xml:space="preserve"> en la cual cuestionan abiertamente la gestión del ente oficial.     </w:t>
      </w:r>
    </w:p>
    <w:p w14:paraId="0819B23B" w14:textId="77777777" w:rsidR="005C6842" w:rsidRDefault="004A1E28">
      <w:pPr>
        <w:numPr>
          <w:ilvl w:val="0"/>
          <w:numId w:val="2"/>
        </w:numPr>
        <w:spacing w:before="120" w:after="120"/>
        <w:jc w:val="both"/>
        <w:rPr>
          <w:rFonts w:ascii="Arial" w:eastAsia="Arial" w:hAnsi="Arial" w:cs="Arial"/>
          <w:sz w:val="24"/>
          <w:szCs w:val="24"/>
        </w:rPr>
      </w:pPr>
      <w:proofErr w:type="gramStart"/>
      <w:r>
        <w:rPr>
          <w:rFonts w:ascii="Arial" w:eastAsia="Arial" w:hAnsi="Arial" w:cs="Arial"/>
          <w:sz w:val="24"/>
          <w:szCs w:val="24"/>
        </w:rPr>
        <w:t>En relación a</w:t>
      </w:r>
      <w:proofErr w:type="gramEnd"/>
      <w:r>
        <w:rPr>
          <w:rFonts w:ascii="Arial" w:eastAsia="Arial" w:hAnsi="Arial" w:cs="Arial"/>
          <w:sz w:val="24"/>
          <w:szCs w:val="24"/>
        </w:rPr>
        <w:t xml:space="preserve"> la afirmación planteada en los párrafos 35 y 36 del Informe de Respuesta del Estado a la Lista de Cuestiones, referida a que todos los niños con discapacidad reciban apoyo para expresar sus opiniones, luego de una revisión de tales orientaciones se percibe que las mismas están enfocadas y dirigidas a NNA que pueden oír y hablar, pero los NNA sordos o con discapacidad auditiva no son tomados en cuenta. En este sentido, se recomienda al Estado modificar o ampliar tales orientaciones e incluir la perspectiva de niños, niñas y adolescentes </w:t>
      </w:r>
      <w:proofErr w:type="spellStart"/>
      <w:r>
        <w:rPr>
          <w:rFonts w:ascii="Arial" w:eastAsia="Arial" w:hAnsi="Arial" w:cs="Arial"/>
          <w:sz w:val="24"/>
          <w:szCs w:val="24"/>
        </w:rPr>
        <w:t>PcD</w:t>
      </w:r>
      <w:proofErr w:type="spellEnd"/>
      <w:r>
        <w:rPr>
          <w:rFonts w:ascii="Arial" w:eastAsia="Arial" w:hAnsi="Arial" w:cs="Arial"/>
          <w:sz w:val="24"/>
          <w:szCs w:val="24"/>
        </w:rPr>
        <w:t xml:space="preserve"> con discapacidad auditiva, sordoceguera u otras condiciones.</w:t>
      </w:r>
    </w:p>
    <w:p w14:paraId="5CD745D7"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Adicionalmente, las </w:t>
      </w:r>
      <w:r w:rsidR="00772EA5">
        <w:rPr>
          <w:rFonts w:ascii="Arial" w:eastAsia="Arial" w:hAnsi="Arial" w:cs="Arial"/>
          <w:sz w:val="24"/>
          <w:szCs w:val="24"/>
        </w:rPr>
        <w:t>OPD</w:t>
      </w:r>
      <w:r>
        <w:rPr>
          <w:rFonts w:ascii="Arial" w:eastAsia="Arial" w:hAnsi="Arial" w:cs="Arial"/>
          <w:sz w:val="24"/>
          <w:szCs w:val="24"/>
        </w:rPr>
        <w:t xml:space="preserve"> que participaron en las Mesas Técnicas indican que se desconocen los canales o vías de expresión a los que pueden tener acceso los NNA con discapacidad para expresar libremente sus pensamientos, inquietudes, dificultades y logros, incluyendo sus posturas sobre sus deberes o derechos, aspectos educativos, de discriminación, salud, entre otros; así como no existe información accesible a lo establecido por el Tribunal Supremo de Justicia (TSJ), </w:t>
      </w:r>
      <w:r>
        <w:rPr>
          <w:rFonts w:ascii="Arial" w:eastAsia="Arial" w:hAnsi="Arial" w:cs="Arial"/>
          <w:sz w:val="24"/>
          <w:szCs w:val="24"/>
        </w:rPr>
        <w:lastRenderedPageBreak/>
        <w:t xml:space="preserve">sobre los procedimientos para su protección y se desconoce si se ha implementado y desde qué fecha. </w:t>
      </w:r>
    </w:p>
    <w:p w14:paraId="499F4317"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También señalaron las </w:t>
      </w:r>
      <w:r w:rsidR="00772EA5">
        <w:rPr>
          <w:rFonts w:ascii="Arial" w:eastAsia="Arial" w:hAnsi="Arial" w:cs="Arial"/>
          <w:sz w:val="24"/>
          <w:szCs w:val="24"/>
        </w:rPr>
        <w:t>OPD</w:t>
      </w:r>
      <w:r>
        <w:rPr>
          <w:rFonts w:ascii="Arial" w:eastAsia="Arial" w:hAnsi="Arial" w:cs="Arial"/>
          <w:sz w:val="24"/>
          <w:szCs w:val="24"/>
        </w:rPr>
        <w:t xml:space="preserve"> en las Mesas Técnicas que no hay información acerca del funcionamiento, implementación y alcance del Programa de Orientación Familiar del CONAPDIS a lo largo del territorio nacional, más allá de los anuncios publicitarios de Facebook</w:t>
      </w:r>
      <w:r>
        <w:rPr>
          <w:rFonts w:ascii="Arial" w:eastAsia="Arial" w:hAnsi="Arial" w:cs="Arial"/>
          <w:sz w:val="24"/>
          <w:szCs w:val="24"/>
          <w:vertAlign w:val="superscript"/>
        </w:rPr>
        <w:footnoteReference w:id="14"/>
      </w:r>
      <w:r>
        <w:rPr>
          <w:rFonts w:ascii="Arial" w:eastAsia="Arial" w:hAnsi="Arial" w:cs="Arial"/>
          <w:sz w:val="24"/>
          <w:szCs w:val="24"/>
        </w:rPr>
        <w:t xml:space="preserve">. Los padres y representantes manifiestan que es difícil ubicar información sobre diagnósticos, tratamientos y atención interdisciplinaria para sus hijos (niños, niñas y jóvenes) con discapacidad. Las familias afirman que no cuentan en centros hospitalarios o comités comunitarios cercanos a sus zonas residenciales, con orientación para el manejo del diagnóstico ni sobre oportunidades educativas y de desarrollo social para sus hijos con discapacidad. </w:t>
      </w:r>
    </w:p>
    <w:p w14:paraId="7DDD981A"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Finalmente, se reitera que existen pocas denuncias en el Ministerio Público sobre violaciones a los derechos de NNA con discapacidad. No existe información estadística sobre el número de casos atendidos y en el sitio web oficial aparecen apenas 4 casos de abuso sexual</w:t>
      </w:r>
      <w:r>
        <w:rPr>
          <w:rFonts w:ascii="Arial" w:eastAsia="Arial" w:hAnsi="Arial" w:cs="Arial"/>
          <w:sz w:val="24"/>
          <w:szCs w:val="24"/>
          <w:vertAlign w:val="superscript"/>
        </w:rPr>
        <w:footnoteReference w:id="15"/>
      </w:r>
      <w:r>
        <w:rPr>
          <w:rFonts w:ascii="Arial" w:eastAsia="Arial" w:hAnsi="Arial" w:cs="Arial"/>
          <w:sz w:val="24"/>
          <w:szCs w:val="24"/>
        </w:rPr>
        <w:t>.</w:t>
      </w:r>
    </w:p>
    <w:p w14:paraId="392119FA" w14:textId="77777777" w:rsidR="005C6842" w:rsidRDefault="005C6842">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p>
    <w:p w14:paraId="45EE6177"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Toma de conciencia (art. 8)</w:t>
      </w:r>
    </w:p>
    <w:p w14:paraId="651DDD4F"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El CONAPDIS, en alianza con diversos entes públicos, entre ellos la Defensoría del Pueblo (DP) y el Ministerio del Poder Popular para la Salud (MPPPS), ha llevado a cabo diversas actividades de formación en beneficio de la toma de conciencia y atención de personas con discapacidad como es el caso del Diplomado de Lengua de Señas Venezolana</w:t>
      </w:r>
      <w:r>
        <w:rPr>
          <w:rFonts w:ascii="Arial" w:eastAsia="Arial" w:hAnsi="Arial" w:cs="Arial"/>
          <w:sz w:val="24"/>
          <w:szCs w:val="24"/>
          <w:vertAlign w:val="superscript"/>
        </w:rPr>
        <w:footnoteReference w:id="16"/>
      </w:r>
      <w:r>
        <w:rPr>
          <w:rFonts w:ascii="Arial" w:eastAsia="Arial" w:hAnsi="Arial" w:cs="Arial"/>
          <w:sz w:val="24"/>
          <w:szCs w:val="24"/>
        </w:rPr>
        <w:t xml:space="preserve">, el Taller de Trato Adecuado hacia las </w:t>
      </w:r>
      <w:proofErr w:type="spellStart"/>
      <w:r>
        <w:rPr>
          <w:rFonts w:ascii="Arial" w:eastAsia="Arial" w:hAnsi="Arial" w:cs="Arial"/>
          <w:sz w:val="24"/>
          <w:szCs w:val="24"/>
        </w:rPr>
        <w:t>PcD</w:t>
      </w:r>
      <w:proofErr w:type="spellEnd"/>
      <w:r>
        <w:rPr>
          <w:rFonts w:ascii="Arial" w:eastAsia="Arial" w:hAnsi="Arial" w:cs="Arial"/>
          <w:sz w:val="24"/>
          <w:szCs w:val="24"/>
          <w:vertAlign w:val="superscript"/>
        </w:rPr>
        <w:footnoteReference w:id="17"/>
      </w:r>
      <w:r>
        <w:rPr>
          <w:rFonts w:ascii="Arial" w:eastAsia="Arial" w:hAnsi="Arial" w:cs="Arial"/>
          <w:sz w:val="24"/>
          <w:szCs w:val="24"/>
        </w:rPr>
        <w:t>, así como diversos talleres realizados con la Escuela Nacional de Derechos Humanos creada en agosto 2018 y potenciada en 2019 para la atención de la población con discapacidad</w:t>
      </w:r>
      <w:r>
        <w:rPr>
          <w:rFonts w:ascii="Arial" w:eastAsia="Arial" w:hAnsi="Arial" w:cs="Arial"/>
          <w:sz w:val="24"/>
          <w:szCs w:val="24"/>
          <w:vertAlign w:val="superscript"/>
        </w:rPr>
        <w:footnoteReference w:id="18"/>
      </w:r>
      <w:r>
        <w:rPr>
          <w:rFonts w:ascii="Arial" w:eastAsia="Arial" w:hAnsi="Arial" w:cs="Arial"/>
          <w:sz w:val="24"/>
          <w:szCs w:val="24"/>
        </w:rPr>
        <w:t>.</w:t>
      </w:r>
    </w:p>
    <w:p w14:paraId="45BFF9B0"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Sin embargo, las formaciones mencionadas en el Informe de Respuesta del Estado a la Lista de Cuestiones solo abarcan un total de 24.037 personas formadas entre los años 2015 y 2019 que en ese lapso de cuatro años constituye una cifra muy baja, considerando además que la población con discapacidad más bien ha tenido un incremento importante a nivel nacional debido a los impactos de la EHC en el país. De igual manera no se detallan aspectos particulares sobre el </w:t>
      </w:r>
      <w:r>
        <w:rPr>
          <w:rFonts w:ascii="Arial" w:eastAsia="Arial" w:hAnsi="Arial" w:cs="Arial"/>
          <w:sz w:val="24"/>
          <w:szCs w:val="24"/>
        </w:rPr>
        <w:lastRenderedPageBreak/>
        <w:t>contenido, duración, facilitadores y dinámicas instruccionales brindadas en dichos talleres para garantizar una formación acorde con las necesidades diagnosticadas y derechos en la atención a la población con discapacidad.</w:t>
      </w:r>
    </w:p>
    <w:p w14:paraId="70DAB48B"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Por el contrario, la mayoría de las iniciativas de formación conocidas son llevadas a cabo por acciones voluntarias de los profesionales que coordinan núcleos pequeños, tal como es el caso del Centro de Atención Integral para Personas con Autismo (CAIPA) de Puerto Ordaz con un Diplomado en Educación Especial</w:t>
      </w:r>
      <w:r>
        <w:rPr>
          <w:rFonts w:ascii="Arial" w:eastAsia="Arial" w:hAnsi="Arial" w:cs="Arial"/>
          <w:sz w:val="24"/>
          <w:szCs w:val="24"/>
          <w:vertAlign w:val="superscript"/>
        </w:rPr>
        <w:footnoteReference w:id="19"/>
      </w:r>
      <w:r>
        <w:rPr>
          <w:rFonts w:ascii="Arial" w:eastAsia="Arial" w:hAnsi="Arial" w:cs="Arial"/>
          <w:sz w:val="24"/>
          <w:szCs w:val="24"/>
        </w:rPr>
        <w:t xml:space="preserve">. En relación con el Diplomado en Atención Integral hacia las </w:t>
      </w:r>
      <w:proofErr w:type="spellStart"/>
      <w:r>
        <w:rPr>
          <w:rFonts w:ascii="Arial" w:eastAsia="Arial" w:hAnsi="Arial" w:cs="Arial"/>
          <w:sz w:val="24"/>
          <w:szCs w:val="24"/>
        </w:rPr>
        <w:t>PcD</w:t>
      </w:r>
      <w:proofErr w:type="spellEnd"/>
      <w:r>
        <w:rPr>
          <w:rFonts w:ascii="Arial" w:eastAsia="Arial" w:hAnsi="Arial" w:cs="Arial"/>
          <w:sz w:val="24"/>
          <w:szCs w:val="24"/>
        </w:rPr>
        <w:t xml:space="preserve"> que el Estado cita en su informe en el párrafo 37, solo se conoce de una iniciativa similar en México. Sin embargo, no existen publicaciones oficiales en Venezuela de un diplomado con dicho nombre ni las organizaciones aliadas han sido invitadas o convocadas a participar. </w:t>
      </w:r>
    </w:p>
    <w:p w14:paraId="114D3003"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Por otra parte, si bien el CONAPDIS y el Ejecutivo Nacional, a través de sus distintas Misiones, han promovido estrategias de sensibilización en radio y televisión, éstas han estado principalmente fundamentadas en un modelo asistencialista. Hasta el momento, el Estado venezolano no ha adoptado medidas con un enfoque basado en derechos humanos </w:t>
      </w:r>
      <w:proofErr w:type="gramStart"/>
      <w:r>
        <w:rPr>
          <w:rFonts w:ascii="Arial" w:eastAsia="Arial" w:hAnsi="Arial" w:cs="Arial"/>
          <w:sz w:val="24"/>
          <w:szCs w:val="24"/>
        </w:rPr>
        <w:t>y</w:t>
      </w:r>
      <w:proofErr w:type="gramEnd"/>
      <w:r>
        <w:rPr>
          <w:rFonts w:ascii="Arial" w:eastAsia="Arial" w:hAnsi="Arial" w:cs="Arial"/>
          <w:sz w:val="24"/>
          <w:szCs w:val="24"/>
        </w:rPr>
        <w:t xml:space="preserve"> por lo tanto, en la práctica, las políticas públicas no han sido suficientes para generar conciencia acerca del concepto inclusivo, como se evidencia en la carencia de estrategias de sensibilización adoptadas por los entes encargados y todos los organismos públicos que deberían aplicar la normativa en sus propias sedes. </w:t>
      </w:r>
    </w:p>
    <w:p w14:paraId="59378BC6"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Los planes de concientización que existen surgen de manera temporal y son poco masificados. Estos no son consistentes con los derechos humanos ya que siguen existiendo violaciones sistemáticas en el acceso a la salud, la seguridad alimentaria acorde con las necesidades nutricionales y la educación, entre otros derechos. Igualmente, el Ejecutivo</w:t>
      </w:r>
      <w:r>
        <w:rPr>
          <w:rFonts w:ascii="Arial" w:eastAsia="Arial" w:hAnsi="Arial" w:cs="Arial"/>
          <w:sz w:val="24"/>
          <w:szCs w:val="24"/>
          <w:vertAlign w:val="superscript"/>
        </w:rPr>
        <w:footnoteReference w:id="20"/>
      </w:r>
      <w:r>
        <w:rPr>
          <w:rFonts w:ascii="Arial" w:eastAsia="Arial" w:hAnsi="Arial" w:cs="Arial"/>
          <w:sz w:val="24"/>
          <w:szCs w:val="24"/>
        </w:rPr>
        <w:t xml:space="preserve"> conmemora, celebra, pero no publica resultados cuantificables de los planes y programas, así como tampoco de las adaptaciones en entes públicos, medios de comunicación y en la sociedad en general para concientizar desde la práctica. De igual manera, la incorporación de los bonos económicos entregados como beneficio para las </w:t>
      </w:r>
      <w:proofErr w:type="spellStart"/>
      <w:r>
        <w:rPr>
          <w:rFonts w:ascii="Arial" w:eastAsia="Arial" w:hAnsi="Arial" w:cs="Arial"/>
          <w:sz w:val="24"/>
          <w:szCs w:val="24"/>
        </w:rPr>
        <w:t>PcD</w:t>
      </w:r>
      <w:proofErr w:type="spellEnd"/>
      <w:r>
        <w:rPr>
          <w:rFonts w:ascii="Arial" w:eastAsia="Arial" w:hAnsi="Arial" w:cs="Arial"/>
          <w:sz w:val="24"/>
          <w:szCs w:val="24"/>
        </w:rPr>
        <w:t>, si bien constituyen un paliativo a las necesidades de esta población en medio de una crisis socioeconómica tan devastadora, son absolutamente insuficientes y generan dependencia</w:t>
      </w:r>
      <w:r>
        <w:rPr>
          <w:rFonts w:ascii="Arial" w:eastAsia="Arial" w:hAnsi="Arial" w:cs="Arial"/>
          <w:sz w:val="24"/>
          <w:szCs w:val="24"/>
          <w:vertAlign w:val="superscript"/>
        </w:rPr>
        <w:footnoteReference w:id="21"/>
      </w:r>
      <w:r>
        <w:rPr>
          <w:rFonts w:ascii="Arial" w:eastAsia="Arial" w:hAnsi="Arial" w:cs="Arial"/>
          <w:sz w:val="24"/>
          <w:szCs w:val="24"/>
        </w:rPr>
        <w:t>.</w:t>
      </w:r>
    </w:p>
    <w:p w14:paraId="42FA1CF8"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Asimismo, las </w:t>
      </w:r>
      <w:r w:rsidR="00772EA5">
        <w:rPr>
          <w:rFonts w:ascii="Arial" w:eastAsia="Arial" w:hAnsi="Arial" w:cs="Arial"/>
          <w:sz w:val="24"/>
          <w:szCs w:val="24"/>
        </w:rPr>
        <w:t>OPD</w:t>
      </w:r>
      <w:r>
        <w:rPr>
          <w:rFonts w:ascii="Arial" w:eastAsia="Arial" w:hAnsi="Arial" w:cs="Arial"/>
          <w:sz w:val="24"/>
          <w:szCs w:val="24"/>
        </w:rPr>
        <w:t xml:space="preserve"> en las Mesas Técnicas señalaron que los esfuerzos de los entes gubernamentales son aislados y escasos y no garantizan un cambio de paradigma orientado a la inclusión. En 2016, el Estado Venezolano incorporó al Proyecto de Ley Orgánica para la Protección, Atención y Dignificación de las </w:t>
      </w:r>
      <w:r>
        <w:rPr>
          <w:rFonts w:ascii="Arial" w:eastAsia="Arial" w:hAnsi="Arial" w:cs="Arial"/>
          <w:sz w:val="24"/>
          <w:szCs w:val="24"/>
        </w:rPr>
        <w:lastRenderedPageBreak/>
        <w:t xml:space="preserve">Personas con Discapacidad (P-LOPPDIS) la concientización en materia de discapacidad de manera sostenida en el tiempo. No obstante, este proyecto sigue sin ser aprobado como ley, por lo cual en Venezuela se carece de un instrumento jurídico que aborde la toma de conciencia en cuanto a la sensibilización y lucha contra los estereotipos en torno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w:t>
      </w:r>
    </w:p>
    <w:p w14:paraId="10364178" w14:textId="77777777" w:rsidR="005C6842" w:rsidRDefault="005C6842">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p>
    <w:p w14:paraId="0C7A573D" w14:textId="77777777" w:rsidR="005C6842" w:rsidRDefault="004A1E28">
      <w:pPr>
        <w:keepNext/>
        <w:keepLines/>
        <w:pBdr>
          <w:top w:val="nil"/>
          <w:left w:val="nil"/>
          <w:bottom w:val="nil"/>
          <w:right w:val="nil"/>
          <w:between w:val="nil"/>
        </w:pBdr>
        <w:tabs>
          <w:tab w:val="right" w:pos="851"/>
        </w:tabs>
        <w:spacing w:before="120" w:after="120"/>
        <w:ind w:right="1134"/>
        <w:jc w:val="both"/>
        <w:rPr>
          <w:rFonts w:ascii="Arial" w:eastAsia="Arial" w:hAnsi="Arial" w:cs="Arial"/>
          <w:b/>
          <w:color w:val="000000"/>
          <w:sz w:val="24"/>
          <w:szCs w:val="24"/>
        </w:rPr>
      </w:pPr>
      <w:r>
        <w:rPr>
          <w:rFonts w:ascii="Arial" w:eastAsia="Arial" w:hAnsi="Arial" w:cs="Arial"/>
          <w:b/>
          <w:color w:val="000000"/>
          <w:sz w:val="24"/>
          <w:szCs w:val="24"/>
        </w:rPr>
        <w:t>Accesibilidad (art. 9)</w:t>
      </w:r>
    </w:p>
    <w:p w14:paraId="4C716CF1"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Reiteramos que para atender el vacío legal que existe en materia de accesibilidad, se incluyó en el P-LOPDDIS, ya citado, un capítulo completo sobre la accesibilidad en distintos aspectos (estructuras físicas, entornos de acceso público, comunicación, educación, empleo, entre otros), en vista que la LPCD solo contiene un artículo referente a esta materia; sin embargo, este proyecto todavía no se ha convertido en ley, por lo que Venezuela no cuenta con un instrumento legal que regule aspectos relacionados con la accesibilidad universal en función de las necesidades de </w:t>
      </w:r>
      <w:proofErr w:type="spellStart"/>
      <w:r>
        <w:rPr>
          <w:rFonts w:ascii="Arial" w:eastAsia="Arial" w:hAnsi="Arial" w:cs="Arial"/>
          <w:sz w:val="24"/>
          <w:szCs w:val="24"/>
        </w:rPr>
        <w:t>PcD</w:t>
      </w:r>
      <w:proofErr w:type="spellEnd"/>
      <w:r>
        <w:rPr>
          <w:rFonts w:ascii="Arial" w:eastAsia="Arial" w:hAnsi="Arial" w:cs="Arial"/>
          <w:sz w:val="24"/>
          <w:szCs w:val="24"/>
        </w:rPr>
        <w:t xml:space="preserve">. </w:t>
      </w:r>
    </w:p>
    <w:p w14:paraId="366D32B7"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Las </w:t>
      </w:r>
      <w:r w:rsidR="00772EA5">
        <w:rPr>
          <w:rFonts w:ascii="Arial" w:eastAsia="Arial" w:hAnsi="Arial" w:cs="Arial"/>
          <w:sz w:val="24"/>
          <w:szCs w:val="24"/>
        </w:rPr>
        <w:t>OPD</w:t>
      </w:r>
      <w:r>
        <w:rPr>
          <w:rFonts w:ascii="Arial" w:eastAsia="Arial" w:hAnsi="Arial" w:cs="Arial"/>
          <w:sz w:val="24"/>
          <w:szCs w:val="24"/>
        </w:rPr>
        <w:t xml:space="preserve"> asistentes a las Mesas Técnicas señalaron que es ampliamente conocida la situación deficiente y visiblemente desatendida que presenta el transporte público para la ciudadanía en general y aún más para las </w:t>
      </w:r>
      <w:proofErr w:type="spellStart"/>
      <w:r>
        <w:rPr>
          <w:rFonts w:ascii="Arial" w:eastAsia="Arial" w:hAnsi="Arial" w:cs="Arial"/>
          <w:sz w:val="24"/>
          <w:szCs w:val="24"/>
        </w:rPr>
        <w:t>PcD</w:t>
      </w:r>
      <w:proofErr w:type="spellEnd"/>
      <w:r>
        <w:rPr>
          <w:rFonts w:ascii="Arial" w:eastAsia="Arial" w:hAnsi="Arial" w:cs="Arial"/>
          <w:sz w:val="24"/>
          <w:szCs w:val="24"/>
        </w:rPr>
        <w:t xml:space="preserve">. La desatención se evidencia en escasas unidades de transporte, no poseen rampas de acceso ni puestos preferenciales, las estaciones de paradas y servicios tampoco consideran criterios de accesibilidad física ni comunicacional, no cuentan con sistemas básicos, iluminación apropiada, ni personal calificado. Las </w:t>
      </w:r>
      <w:r w:rsidR="00772EA5">
        <w:rPr>
          <w:rFonts w:ascii="Arial" w:eastAsia="Arial" w:hAnsi="Arial" w:cs="Arial"/>
          <w:sz w:val="24"/>
          <w:szCs w:val="24"/>
        </w:rPr>
        <w:t>OPD</w:t>
      </w:r>
      <w:r>
        <w:rPr>
          <w:rFonts w:ascii="Arial" w:eastAsia="Arial" w:hAnsi="Arial" w:cs="Arial"/>
          <w:sz w:val="24"/>
          <w:szCs w:val="24"/>
        </w:rPr>
        <w:t xml:space="preserve"> también nuevamente indicaron que entre los años 2017 y 2018 fueron convocadas a reuniones para la incorporación de criterios de accesibilidad en las Ordenanzas de algunos municipios de Distrito Capital y estado Miranda, pero ninguno de los proyectos fue aprobado. Además, se desconocen los acuerdos suscritos por el Estado con organismos internacionales a fines de crear espacios de encuentro y formación en materia de accesibilidad y diseño universal, según se señala en los párrafos 57 y 58 del Informe de Respuesta del Estado a la Lista de Cuestiones. Al respecto, ninguna de las </w:t>
      </w:r>
      <w:r w:rsidR="00772EA5">
        <w:rPr>
          <w:rFonts w:ascii="Arial" w:eastAsia="Arial" w:hAnsi="Arial" w:cs="Arial"/>
          <w:sz w:val="24"/>
          <w:szCs w:val="24"/>
        </w:rPr>
        <w:t>OPD</w:t>
      </w:r>
      <w:r>
        <w:rPr>
          <w:rFonts w:ascii="Arial" w:eastAsia="Arial" w:hAnsi="Arial" w:cs="Arial"/>
          <w:sz w:val="24"/>
          <w:szCs w:val="24"/>
        </w:rPr>
        <w:t xml:space="preserve"> manifestó haber recibido invitación alguna para sentirse favorecidos por estas políticas.</w:t>
      </w:r>
    </w:p>
    <w:p w14:paraId="163F762B"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En relación con las inspecciones realizadas por CONAPDIS para evaluar la accesibilidad de espacios públicos y privados, el ente sigue contemplando </w:t>
      </w:r>
      <w:r w:rsidR="00695C5E" w:rsidRPr="00695C5E">
        <w:rPr>
          <w:rFonts w:ascii="Arial" w:eastAsia="Arial" w:hAnsi="Arial" w:cs="Arial"/>
          <w:sz w:val="24"/>
          <w:szCs w:val="24"/>
        </w:rPr>
        <w:t xml:space="preserve">jornadas </w:t>
      </w:r>
      <w:r>
        <w:rPr>
          <w:rFonts w:ascii="Arial" w:eastAsia="Arial" w:hAnsi="Arial" w:cs="Arial"/>
          <w:sz w:val="24"/>
          <w:szCs w:val="24"/>
        </w:rPr>
        <w:t>periódicas que lejos de buscar un cambio en la toma de conciencia y prácticas inclusivas continúan siendo percibidas por la población en general como un mecanismo punitivo, en vista de que los programas de toma de conciencia son insuficientes en cantidad y calidad y no se establecen en medios públicos como página web u otros medos digitales los criterios oficiales que las empresas deben cumplir para garantizar accesibilidad en sus espacios. De igual manera se desconoce la existencia de planes promovidos por el ente para orientar y apoyar a las organizaciones en la implementación de los ajustes razonables que tengan lugar.</w:t>
      </w:r>
    </w:p>
    <w:p w14:paraId="1BA50160"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Las </w:t>
      </w:r>
      <w:r w:rsidR="00772EA5">
        <w:rPr>
          <w:rFonts w:ascii="Arial" w:eastAsia="Arial" w:hAnsi="Arial" w:cs="Arial"/>
          <w:sz w:val="24"/>
          <w:szCs w:val="24"/>
        </w:rPr>
        <w:t>OPD</w:t>
      </w:r>
      <w:r>
        <w:rPr>
          <w:rFonts w:ascii="Arial" w:eastAsia="Arial" w:hAnsi="Arial" w:cs="Arial"/>
          <w:sz w:val="24"/>
          <w:szCs w:val="24"/>
        </w:rPr>
        <w:t xml:space="preserve"> de las Mesas Técnicas señalaron al respecto que se reconoce la labor de inspección que realiza el CONAPDIS en entes públicos y privados para </w:t>
      </w:r>
      <w:r>
        <w:rPr>
          <w:rFonts w:ascii="Arial" w:eastAsia="Arial" w:hAnsi="Arial" w:cs="Arial"/>
          <w:sz w:val="24"/>
          <w:szCs w:val="24"/>
        </w:rPr>
        <w:lastRenderedPageBreak/>
        <w:t xml:space="preserve">garantizar accesibilidad universal, aunque en muchas ocasiones solo se limita a sancionar y fijar un afiche de la inspección mientras los locales siguen siendo inaccesibles. Así mismo, se reconoce el esfuerzo en algunos sitios públicos de gran movimiento de personas como terminales terrestres, aéreos y marítimos donde se han realizado mínimas mejoras en accesos para </w:t>
      </w:r>
      <w:proofErr w:type="spellStart"/>
      <w:r>
        <w:rPr>
          <w:rFonts w:ascii="Arial" w:eastAsia="Arial" w:hAnsi="Arial" w:cs="Arial"/>
          <w:sz w:val="24"/>
          <w:szCs w:val="24"/>
        </w:rPr>
        <w:t>PcD</w:t>
      </w:r>
      <w:proofErr w:type="spellEnd"/>
      <w:r>
        <w:rPr>
          <w:rFonts w:ascii="Arial" w:eastAsia="Arial" w:hAnsi="Arial" w:cs="Arial"/>
          <w:sz w:val="24"/>
          <w:szCs w:val="24"/>
        </w:rPr>
        <w:t xml:space="preserve"> a través de rampas y adaptaciones, quedando aún mucho por hacer en ese sentido, sobre todo en instituciones de infraestructuras más pequeñas o en lugares inhóspitos del territorio nacional.</w:t>
      </w:r>
    </w:p>
    <w:p w14:paraId="24328ABB"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Asimismo, según reportan usuarios de servicios, pacientes y estudiantes de las </w:t>
      </w:r>
      <w:r w:rsidR="00772EA5">
        <w:rPr>
          <w:rFonts w:ascii="Arial" w:eastAsia="Arial" w:hAnsi="Arial" w:cs="Arial"/>
          <w:sz w:val="24"/>
          <w:szCs w:val="24"/>
        </w:rPr>
        <w:t>OPD</w:t>
      </w:r>
      <w:r>
        <w:rPr>
          <w:rFonts w:ascii="Arial" w:eastAsia="Arial" w:hAnsi="Arial" w:cs="Arial"/>
          <w:sz w:val="24"/>
          <w:szCs w:val="24"/>
        </w:rPr>
        <w:t xml:space="preserve"> en las Mesas Técnicas, las sedes del CONAPDIS en la capital del país no cumplen con los criterios de accesibilidad física y comunicacional lo que dificulta notablemente la </w:t>
      </w:r>
      <w:r w:rsidR="00695C5E">
        <w:rPr>
          <w:rFonts w:ascii="Arial" w:eastAsia="Arial" w:hAnsi="Arial" w:cs="Arial"/>
          <w:sz w:val="24"/>
          <w:szCs w:val="24"/>
        </w:rPr>
        <w:t>ejecución</w:t>
      </w:r>
      <w:r>
        <w:rPr>
          <w:rFonts w:ascii="Arial" w:eastAsia="Arial" w:hAnsi="Arial" w:cs="Arial"/>
          <w:sz w:val="24"/>
          <w:szCs w:val="24"/>
        </w:rPr>
        <w:t xml:space="preserve"> de sus trámites y consultas. Celebramos, asimismo, que la página web del CONAPDIS</w:t>
      </w:r>
      <w:r>
        <w:rPr>
          <w:rFonts w:ascii="Arial" w:eastAsia="Arial" w:hAnsi="Arial" w:cs="Arial"/>
          <w:sz w:val="24"/>
          <w:szCs w:val="24"/>
          <w:vertAlign w:val="superscript"/>
        </w:rPr>
        <w:footnoteReference w:id="22"/>
      </w:r>
      <w:r>
        <w:rPr>
          <w:rFonts w:ascii="Arial" w:eastAsia="Arial" w:hAnsi="Arial" w:cs="Arial"/>
          <w:sz w:val="24"/>
          <w:szCs w:val="24"/>
        </w:rPr>
        <w:t xml:space="preserve"> haya sido reestablecida luego de la emisión del informe alternativo de la sociedad civil enviado al Comité, sin embargo, sigue siendo inaccesible ya que no cumple con todos los criterios esperados de accesibilidad web, además de no tener habilitados todos los enlaces.</w:t>
      </w:r>
    </w:p>
    <w:p w14:paraId="4200ED05"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Tras un monitoreo de medios realizado entre diciembre 2019 – enero 2020 en la página web del CONAPDIS, se pudo constatar la carencia de publicaciones que orienten los criterios y procedimientos para garantizar accesibilidad a la información, hacia dónde acudir y requisitos en caso de determinados trámites realizados por la </w:t>
      </w:r>
      <w:proofErr w:type="spellStart"/>
      <w:r>
        <w:rPr>
          <w:rFonts w:ascii="Arial" w:eastAsia="Arial" w:hAnsi="Arial" w:cs="Arial"/>
          <w:sz w:val="24"/>
          <w:szCs w:val="24"/>
        </w:rPr>
        <w:t>PcD</w:t>
      </w:r>
      <w:proofErr w:type="spellEnd"/>
      <w:r>
        <w:rPr>
          <w:rFonts w:ascii="Arial" w:eastAsia="Arial" w:hAnsi="Arial" w:cs="Arial"/>
          <w:sz w:val="24"/>
          <w:szCs w:val="24"/>
        </w:rPr>
        <w:t xml:space="preserve">, sus familias, instituciones que trabajen por las </w:t>
      </w:r>
      <w:proofErr w:type="spellStart"/>
      <w:r>
        <w:rPr>
          <w:rFonts w:ascii="Arial" w:eastAsia="Arial" w:hAnsi="Arial" w:cs="Arial"/>
          <w:sz w:val="24"/>
          <w:szCs w:val="24"/>
        </w:rPr>
        <w:t>PcD</w:t>
      </w:r>
      <w:proofErr w:type="spellEnd"/>
      <w:r>
        <w:rPr>
          <w:rFonts w:ascii="Arial" w:eastAsia="Arial" w:hAnsi="Arial" w:cs="Arial"/>
          <w:sz w:val="24"/>
          <w:szCs w:val="24"/>
        </w:rPr>
        <w:t>, organizaciones empleadoras. La mayoría de los enlaces no están habilitados o con información introductoria al programa. Sólo la sección de Hospitales autorizados ha estado actualizada para publicar las instituciones sanitarias que están habilitadas a nivel nacional para el reciente proceso de clasificación iniciado por el Estado en 2019.</w:t>
      </w:r>
    </w:p>
    <w:p w14:paraId="38919E6D"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Como Estado parte de la CPCD, Venezuela había asumido en 2012 el compromiso voluntario de adherirse al Tratado de Marrakech. En septiembre de 2016, 22 países ya habían ratificado su adhesión a este Tratado, siendo 10 de ellos países de Latinoamérica: Argentina, Uruguay, Paraguay, Chile, Brasil, Ecuador, Perú, Guatemala, El Salvador y México. Sin embargo, Venezuela no lo había ratificado todavía</w:t>
      </w:r>
      <w:r>
        <w:rPr>
          <w:rFonts w:ascii="Arial" w:eastAsia="Arial" w:hAnsi="Arial" w:cs="Arial"/>
          <w:sz w:val="24"/>
          <w:szCs w:val="24"/>
          <w:vertAlign w:val="superscript"/>
        </w:rPr>
        <w:footnoteReference w:id="23"/>
      </w:r>
      <w:r>
        <w:rPr>
          <w:rFonts w:ascii="Arial" w:eastAsia="Arial" w:hAnsi="Arial" w:cs="Arial"/>
          <w:sz w:val="24"/>
          <w:szCs w:val="24"/>
        </w:rPr>
        <w:t>. Para ésa misma fecha, se efectuó en Caracas un Foro denominado “Venezuela hacia Marrakech, un sendero a la inclusión por el derecho a leer de las personas con discapacidad visual” con la participación de variadas organizaciones gubernamentales y no gubernamentales en la que se dijo que la ratificación esperaba todavía por el pronunciamiento de la Procuraduría General de la República, por lo que se encontraba estancado</w:t>
      </w:r>
      <w:r>
        <w:rPr>
          <w:rFonts w:ascii="Arial" w:eastAsia="Arial" w:hAnsi="Arial" w:cs="Arial"/>
          <w:sz w:val="24"/>
          <w:szCs w:val="24"/>
          <w:vertAlign w:val="superscript"/>
        </w:rPr>
        <w:footnoteReference w:id="24"/>
      </w:r>
      <w:r>
        <w:rPr>
          <w:rFonts w:ascii="Arial" w:eastAsia="Arial" w:hAnsi="Arial" w:cs="Arial"/>
          <w:sz w:val="24"/>
          <w:szCs w:val="24"/>
        </w:rPr>
        <w:t xml:space="preserve">. Hasta mediados </w:t>
      </w:r>
      <w:r>
        <w:rPr>
          <w:rFonts w:ascii="Arial" w:eastAsia="Arial" w:hAnsi="Arial" w:cs="Arial"/>
          <w:sz w:val="24"/>
          <w:szCs w:val="24"/>
        </w:rPr>
        <w:lastRenderedPageBreak/>
        <w:t>del pasado año 2019, se mantenía el desconocimiento sobre cualquier avance en esta materia por parte de los entes gubernamentales</w:t>
      </w:r>
      <w:r>
        <w:rPr>
          <w:rFonts w:ascii="Arial" w:eastAsia="Arial" w:hAnsi="Arial" w:cs="Arial"/>
          <w:sz w:val="24"/>
          <w:szCs w:val="24"/>
          <w:vertAlign w:val="superscript"/>
        </w:rPr>
        <w:footnoteReference w:id="25"/>
      </w:r>
      <w:r>
        <w:rPr>
          <w:rFonts w:ascii="Arial" w:eastAsia="Arial" w:hAnsi="Arial" w:cs="Arial"/>
          <w:sz w:val="24"/>
          <w:szCs w:val="24"/>
        </w:rPr>
        <w:t xml:space="preserve">. </w:t>
      </w:r>
    </w:p>
    <w:p w14:paraId="45778B9F"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Esta situación que afecta el derecho de las personas con discapacidad visual en su acceso efectivo a materiales escritos fue uno de los aspectos reseñados en el Informe Alternativo que la sociedad civil venezolana hiciera llegar al Comité el examen inicial de Venezuela sobre el cumplimiento de la CPCD, en julio de 2019</w:t>
      </w:r>
      <w:r>
        <w:rPr>
          <w:rFonts w:ascii="Arial" w:eastAsia="Arial" w:hAnsi="Arial" w:cs="Arial"/>
          <w:sz w:val="24"/>
          <w:szCs w:val="24"/>
          <w:vertAlign w:val="superscript"/>
        </w:rPr>
        <w:footnoteReference w:id="26"/>
      </w:r>
      <w:r>
        <w:rPr>
          <w:rFonts w:ascii="Arial" w:eastAsia="Arial" w:hAnsi="Arial" w:cs="Arial"/>
          <w:sz w:val="24"/>
          <w:szCs w:val="24"/>
        </w:rPr>
        <w:t xml:space="preserve">. Es así </w:t>
      </w:r>
      <w:proofErr w:type="gramStart"/>
      <w:r>
        <w:rPr>
          <w:rFonts w:ascii="Arial" w:eastAsia="Arial" w:hAnsi="Arial" w:cs="Arial"/>
          <w:sz w:val="24"/>
          <w:szCs w:val="24"/>
        </w:rPr>
        <w:t>que</w:t>
      </w:r>
      <w:proofErr w:type="gramEnd"/>
      <w:r>
        <w:rPr>
          <w:rFonts w:ascii="Arial" w:eastAsia="Arial" w:hAnsi="Arial" w:cs="Arial"/>
          <w:sz w:val="24"/>
          <w:szCs w:val="24"/>
        </w:rPr>
        <w:t xml:space="preserve"> de inmediato, el 2 de octubre del mismo año, se conoció que a través del Ministerio de Comercio Nacional se logró al fin la consignación de la adhesión de Venezuela al Tratado de Marrakech ante la Organización Mundial de la Propiedad Intelectual en su sede ubicada en Ginebra, Suiza</w:t>
      </w:r>
      <w:r>
        <w:rPr>
          <w:rFonts w:ascii="Arial" w:eastAsia="Arial" w:hAnsi="Arial" w:cs="Arial"/>
          <w:sz w:val="24"/>
          <w:szCs w:val="24"/>
          <w:vertAlign w:val="superscript"/>
        </w:rPr>
        <w:footnoteReference w:id="27"/>
      </w:r>
      <w:r>
        <w:rPr>
          <w:rFonts w:ascii="Arial" w:eastAsia="Arial" w:hAnsi="Arial" w:cs="Arial"/>
          <w:sz w:val="24"/>
          <w:szCs w:val="24"/>
        </w:rPr>
        <w:t>. Sin duda, para todas las organizaciones participantes en la elaboración del Informe Alternativo y las personas con discapacidad visual del país, esta deuda postergada desde el 2013 hasta el presente, y que entró en vigor a partir de enero de 2020</w:t>
      </w:r>
      <w:r>
        <w:rPr>
          <w:rFonts w:ascii="Arial" w:eastAsia="Arial" w:hAnsi="Arial" w:cs="Arial"/>
          <w:sz w:val="24"/>
          <w:szCs w:val="24"/>
          <w:vertAlign w:val="superscript"/>
        </w:rPr>
        <w:footnoteReference w:id="28"/>
      </w:r>
      <w:r>
        <w:rPr>
          <w:rFonts w:ascii="Arial" w:eastAsia="Arial" w:hAnsi="Arial" w:cs="Arial"/>
          <w:sz w:val="24"/>
          <w:szCs w:val="24"/>
        </w:rPr>
        <w:t>, es motivo de satisfacción y mayor convicción sobre la importancia de la perseverancia en la lucha por sus derechos.</w:t>
      </w:r>
    </w:p>
    <w:p w14:paraId="16342C4E"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Nuevamente se destaca que es la Comisión Venezolana de Normas Industriales (COVENIN), hoy en día </w:t>
      </w:r>
      <w:proofErr w:type="spellStart"/>
      <w:r>
        <w:rPr>
          <w:rFonts w:ascii="Arial" w:eastAsia="Arial" w:hAnsi="Arial" w:cs="Arial"/>
          <w:sz w:val="24"/>
          <w:szCs w:val="24"/>
        </w:rPr>
        <w:t>Fondonorma</w:t>
      </w:r>
      <w:proofErr w:type="spellEnd"/>
      <w:r>
        <w:rPr>
          <w:rFonts w:ascii="Arial" w:eastAsia="Arial" w:hAnsi="Arial" w:cs="Arial"/>
          <w:sz w:val="24"/>
          <w:szCs w:val="24"/>
        </w:rPr>
        <w:t xml:space="preserve">, quien estableció desde 2001 las normas y procedimientos de accesibilidad de las personas al medio físico y, al respecto, las </w:t>
      </w:r>
      <w:r w:rsidR="00772EA5">
        <w:rPr>
          <w:rFonts w:ascii="Arial" w:eastAsia="Arial" w:hAnsi="Arial" w:cs="Arial"/>
          <w:sz w:val="24"/>
          <w:szCs w:val="24"/>
        </w:rPr>
        <w:t>OPD</w:t>
      </w:r>
      <w:r>
        <w:rPr>
          <w:rFonts w:ascii="Arial" w:eastAsia="Arial" w:hAnsi="Arial" w:cs="Arial"/>
          <w:sz w:val="24"/>
          <w:szCs w:val="24"/>
        </w:rPr>
        <w:t xml:space="preserve"> en las Mesas Técnicas señalaron que “aunque las normas COVENIN establecen la accesibilidad a edificaciones de </w:t>
      </w:r>
      <w:proofErr w:type="spellStart"/>
      <w:r>
        <w:rPr>
          <w:rFonts w:ascii="Arial" w:eastAsia="Arial" w:hAnsi="Arial" w:cs="Arial"/>
          <w:sz w:val="24"/>
          <w:szCs w:val="24"/>
        </w:rPr>
        <w:t>PcD</w:t>
      </w:r>
      <w:proofErr w:type="spellEnd"/>
      <w:r>
        <w:rPr>
          <w:rFonts w:ascii="Arial" w:eastAsia="Arial" w:hAnsi="Arial" w:cs="Arial"/>
          <w:sz w:val="24"/>
          <w:szCs w:val="24"/>
        </w:rPr>
        <w:t xml:space="preserve">, no es menos cierto que en la realidad son muy reducidas las edificaciones que cumplen con ellas en el país, tanto las modernas como las más antiguas, ya que finalmente no realizan las adecuaciones arquitectónicas necesarias para garantizar el acceso universal de las </w:t>
      </w:r>
      <w:proofErr w:type="spellStart"/>
      <w:r>
        <w:rPr>
          <w:rFonts w:ascii="Arial" w:eastAsia="Arial" w:hAnsi="Arial" w:cs="Arial"/>
          <w:sz w:val="24"/>
          <w:szCs w:val="24"/>
        </w:rPr>
        <w:t>PcD</w:t>
      </w:r>
      <w:proofErr w:type="spellEnd"/>
      <w:r>
        <w:rPr>
          <w:rFonts w:ascii="Arial" w:eastAsia="Arial" w:hAnsi="Arial" w:cs="Arial"/>
          <w:sz w:val="24"/>
          <w:szCs w:val="24"/>
        </w:rPr>
        <w:t>, aun cuando encuentren en ellas orientaciones más específicas y conozcan de las inspecciones del CONAPDIS”.</w:t>
      </w:r>
    </w:p>
    <w:p w14:paraId="6A946222"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Es importante destacar que las </w:t>
      </w:r>
      <w:r w:rsidR="00772EA5">
        <w:rPr>
          <w:rFonts w:ascii="Arial" w:eastAsia="Arial" w:hAnsi="Arial" w:cs="Arial"/>
          <w:sz w:val="24"/>
          <w:szCs w:val="24"/>
        </w:rPr>
        <w:t>OPD</w:t>
      </w:r>
      <w:r>
        <w:rPr>
          <w:rFonts w:ascii="Arial" w:eastAsia="Arial" w:hAnsi="Arial" w:cs="Arial"/>
          <w:sz w:val="24"/>
          <w:szCs w:val="24"/>
        </w:rPr>
        <w:t xml:space="preserve"> en las Mesas Técnicas indicaron que existe una normativa para garantizar el acceso telefónico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en el territorio nacional, pero en los últimos años ha disminuido hasta desaparecer la oferta de equipos telefónicos adaptados para diversos tipos de discapacidad en todas las operadoras nacionales tanto públicas (Cantv-Movilnet) como privadas (Digitel- Movistar). Algunas de ellas en el pasado tenían teléfonos con teclado braille y un sistema que vocalizaba los mensajes de texto enviados. Nada de eso existe en la actualidad por lo cual las </w:t>
      </w:r>
      <w:proofErr w:type="spellStart"/>
      <w:r>
        <w:rPr>
          <w:rFonts w:ascii="Arial" w:eastAsia="Arial" w:hAnsi="Arial" w:cs="Arial"/>
          <w:sz w:val="24"/>
          <w:szCs w:val="24"/>
        </w:rPr>
        <w:t>PcD</w:t>
      </w:r>
      <w:proofErr w:type="spellEnd"/>
      <w:r>
        <w:rPr>
          <w:rFonts w:ascii="Arial" w:eastAsia="Arial" w:hAnsi="Arial" w:cs="Arial"/>
          <w:sz w:val="24"/>
          <w:szCs w:val="24"/>
        </w:rPr>
        <w:t xml:space="preserve"> que no tienen acceso a un teléfono inteligente que disponga de aplicaciones para ayudarse en ese sentido, quedan desasistidas y necesitan del apoyo de otra persona, lo que les resta independencia y autonomía.</w:t>
      </w:r>
    </w:p>
    <w:p w14:paraId="59859C39"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lastRenderedPageBreak/>
        <w:t>Hasta la fecha se desconocen los resultados de los programas ofrecidos por el Servicio Nacional de Comunicación Accesible (SENACOA), así como no existe difusión de cómo acceder al servicio, en qué consiste y qué ventajas ofrece sumarse a dicha iniciativa, más allá de las publicaciones ofrecidas por la cuenta oficial de CONAPDIS</w:t>
      </w:r>
      <w:r>
        <w:rPr>
          <w:rFonts w:ascii="Arial" w:eastAsia="Arial" w:hAnsi="Arial" w:cs="Arial"/>
          <w:sz w:val="24"/>
          <w:szCs w:val="24"/>
          <w:vertAlign w:val="superscript"/>
        </w:rPr>
        <w:footnoteReference w:id="29"/>
      </w:r>
      <w:r>
        <w:rPr>
          <w:rFonts w:ascii="Arial" w:eastAsia="Arial" w:hAnsi="Arial" w:cs="Arial"/>
          <w:sz w:val="24"/>
          <w:szCs w:val="24"/>
        </w:rPr>
        <w:t>. Al monitorear el enlace previsto en la página web del CONAPDIS, Servicios – SENACOA</w:t>
      </w:r>
      <w:r>
        <w:rPr>
          <w:rFonts w:ascii="Arial" w:eastAsia="Arial" w:hAnsi="Arial" w:cs="Arial"/>
          <w:sz w:val="24"/>
          <w:szCs w:val="24"/>
          <w:vertAlign w:val="superscript"/>
        </w:rPr>
        <w:footnoteReference w:id="30"/>
      </w:r>
      <w:r>
        <w:rPr>
          <w:rFonts w:ascii="Arial" w:eastAsia="Arial" w:hAnsi="Arial" w:cs="Arial"/>
          <w:sz w:val="24"/>
          <w:szCs w:val="24"/>
        </w:rPr>
        <w:t>, se accede directamente a una plantilla de Registro para Usuarios e Intérpretes de la Lengua de Señas Venezolana sin mayor explicación al respecto.</w:t>
      </w:r>
    </w:p>
    <w:p w14:paraId="75C729CB"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Tal como se hizo alusión en el Informe Alternativo de la Sociedad Civil venezolana, ha sido escaso el alcance e impacto de SENACOA y no ha logrado organizarse como red nacional. A este respecto, a partir del Estudio de Accesibilidad y Derechos Humanos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2019 (EADH), 90% de las ONG encuestadas señalaron no haber recibido apoyo de SENACOA, 57% expresaron que nunca habían recibido material informativo en formatos accesibles para </w:t>
      </w:r>
      <w:proofErr w:type="spellStart"/>
      <w:r>
        <w:rPr>
          <w:rFonts w:ascii="Arial" w:eastAsia="Arial" w:hAnsi="Arial" w:cs="Arial"/>
          <w:sz w:val="24"/>
          <w:szCs w:val="24"/>
        </w:rPr>
        <w:t>PcD</w:t>
      </w:r>
      <w:proofErr w:type="spellEnd"/>
      <w:r>
        <w:rPr>
          <w:rFonts w:ascii="Arial" w:eastAsia="Arial" w:hAnsi="Arial" w:cs="Arial"/>
          <w:sz w:val="24"/>
          <w:szCs w:val="24"/>
        </w:rPr>
        <w:t xml:space="preserve"> de parte de instituciones privadas ni públicas, y 28% manifestaron que pocas veces lo han recibido</w:t>
      </w:r>
      <w:r>
        <w:rPr>
          <w:rFonts w:ascii="Arial" w:eastAsia="Arial" w:hAnsi="Arial" w:cs="Arial"/>
          <w:sz w:val="24"/>
          <w:szCs w:val="24"/>
          <w:vertAlign w:val="superscript"/>
        </w:rPr>
        <w:footnoteReference w:id="31"/>
      </w:r>
      <w:r>
        <w:rPr>
          <w:rFonts w:ascii="Arial" w:eastAsia="Arial" w:hAnsi="Arial" w:cs="Arial"/>
          <w:sz w:val="24"/>
          <w:szCs w:val="24"/>
        </w:rPr>
        <w:t>.</w:t>
      </w:r>
    </w:p>
    <w:p w14:paraId="749B50F2"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Tampoco el Programa Nacional de Ciencias en Señas se dio a conocer entre la población e instituciones de todos los niveles del sistema. Al consultar su página web, aún se visualiza una sección dispuesta al programa sin conducir a ningún enlace efectivo</w:t>
      </w:r>
      <w:r>
        <w:rPr>
          <w:rFonts w:ascii="Arial" w:eastAsia="Arial" w:hAnsi="Arial" w:cs="Arial"/>
          <w:sz w:val="24"/>
          <w:szCs w:val="24"/>
          <w:vertAlign w:val="superscript"/>
        </w:rPr>
        <w:footnoteReference w:id="32"/>
      </w:r>
      <w:r>
        <w:rPr>
          <w:rFonts w:ascii="Arial" w:eastAsia="Arial" w:hAnsi="Arial" w:cs="Arial"/>
          <w:sz w:val="24"/>
          <w:szCs w:val="24"/>
        </w:rPr>
        <w:t xml:space="preserve">. En el caso de los </w:t>
      </w:r>
      <w:proofErr w:type="spellStart"/>
      <w:r>
        <w:rPr>
          <w:rFonts w:ascii="Arial" w:eastAsia="Arial" w:hAnsi="Arial" w:cs="Arial"/>
          <w:sz w:val="24"/>
          <w:szCs w:val="24"/>
        </w:rPr>
        <w:t>Infocentros</w:t>
      </w:r>
      <w:proofErr w:type="spellEnd"/>
      <w:r>
        <w:rPr>
          <w:rFonts w:ascii="Arial" w:eastAsia="Arial" w:hAnsi="Arial" w:cs="Arial"/>
          <w:sz w:val="24"/>
          <w:szCs w:val="24"/>
        </w:rPr>
        <w:t>, el trabajo se ha mantenido, pero sin la valoración y transformación de programas que den cabida al mayor número de personas posibles con o sin condición de discapacidad. De igual manera, el impulso inicial de generar accesibilidad para usuarios con discapacidad visual no ha logrado el impacto esperado en todas las comunidades. Los logros responden más bien a la capacidad operativa de cada estado del país tal como se evidenciaba en su página web hasta 2019, lamentablemente ya no disponen de este servicio. De hecho, los programas de formación suelen estar enmarcados en los lineamientos e ideologías expuestas en el modelo socialista y en su misión y visión se desdibujó la visión inclusiva de la persona con discapacidad. Además, no cuentan con adaptaciones de accesibilidad en las infraestructuras, comunicaciones y currículos para todos los espacios formativos ni en todas las unidades informáticas.</w:t>
      </w:r>
    </w:p>
    <w:p w14:paraId="057D4C07"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Finalmente, aunque existen normas y orientaciones legislativas en cuanto a la accesibilidad, en la práctica ni las instituciones públicas ni privadas la garantizan. En la encuesta aplicada en EADH, 72% de las organizaciones consultadas nunca tuvieron acceso a información del Estado en formatos alternativos de manera </w:t>
      </w:r>
      <w:r>
        <w:rPr>
          <w:rFonts w:ascii="Arial" w:eastAsia="Arial" w:hAnsi="Arial" w:cs="Arial"/>
          <w:sz w:val="24"/>
          <w:szCs w:val="24"/>
        </w:rPr>
        <w:lastRenderedPageBreak/>
        <w:t>gratuita y oportuna</w:t>
      </w:r>
      <w:r>
        <w:rPr>
          <w:rFonts w:ascii="Arial" w:eastAsia="Arial" w:hAnsi="Arial" w:cs="Arial"/>
          <w:sz w:val="24"/>
          <w:szCs w:val="24"/>
          <w:vertAlign w:val="superscript"/>
        </w:rPr>
        <w:footnoteReference w:id="33"/>
      </w:r>
      <w:r>
        <w:rPr>
          <w:rFonts w:ascii="Arial" w:eastAsia="Arial" w:hAnsi="Arial" w:cs="Arial"/>
          <w:sz w:val="24"/>
          <w:szCs w:val="24"/>
        </w:rPr>
        <w:t xml:space="preserve">. Así mismo, las </w:t>
      </w:r>
      <w:r w:rsidR="00772EA5">
        <w:rPr>
          <w:rFonts w:ascii="Arial" w:eastAsia="Arial" w:hAnsi="Arial" w:cs="Arial"/>
          <w:sz w:val="24"/>
          <w:szCs w:val="24"/>
        </w:rPr>
        <w:t>OPD</w:t>
      </w:r>
      <w:r>
        <w:rPr>
          <w:rFonts w:ascii="Arial" w:eastAsia="Arial" w:hAnsi="Arial" w:cs="Arial"/>
          <w:sz w:val="24"/>
          <w:szCs w:val="24"/>
        </w:rPr>
        <w:t xml:space="preserve"> que participaron en las Mesas Técnica de 2019 señalaron que los programas del Estado están desarticulados y no tienen resultados tangibles. Esto se evidencia en la carencia de acceso a servicios, espacios físicos y curriculares reflejado en el estudio de CONSORVEN</w:t>
      </w:r>
      <w:r>
        <w:rPr>
          <w:rFonts w:ascii="Arial" w:eastAsia="Arial" w:hAnsi="Arial" w:cs="Arial"/>
          <w:sz w:val="24"/>
          <w:szCs w:val="24"/>
          <w:vertAlign w:val="superscript"/>
        </w:rPr>
        <w:footnoteReference w:id="34"/>
      </w:r>
      <w:r>
        <w:rPr>
          <w:rFonts w:ascii="Arial" w:eastAsia="Arial" w:hAnsi="Arial" w:cs="Arial"/>
          <w:sz w:val="24"/>
          <w:szCs w:val="24"/>
        </w:rPr>
        <w:t xml:space="preserve"> que indica que 52% de las instituciones educativas presentan limitaciones en la accesibilidad de su infraestructura, 89% no dispone de materiales instruccionales accesibles, 52% no cuenta con intérpretes de LSV y 32% no permite el acceso de animales de asistencia a sus instalaciones. El mismo estudio arrojó que, en el sector salud, 46% de 12 hospitales y ambulatorios visitados carecen de rampas de acceso, teniendo 73% más de un piso y 50% no cuentan con ascensores.</w:t>
      </w:r>
    </w:p>
    <w:p w14:paraId="32DA629D" w14:textId="77777777" w:rsidR="005C6842" w:rsidRDefault="005C6842">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p>
    <w:p w14:paraId="7F05F21B"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 xml:space="preserve">Derecho a la vida (art. 10)  </w:t>
      </w:r>
    </w:p>
    <w:p w14:paraId="2225E42E"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En este aspecto es imperante conocer de manera específica la cantidad de </w:t>
      </w:r>
      <w:proofErr w:type="spellStart"/>
      <w:r>
        <w:rPr>
          <w:rFonts w:ascii="Arial" w:eastAsia="Arial" w:hAnsi="Arial" w:cs="Arial"/>
          <w:sz w:val="24"/>
          <w:szCs w:val="24"/>
        </w:rPr>
        <w:t>PcD</w:t>
      </w:r>
      <w:proofErr w:type="spellEnd"/>
      <w:r>
        <w:rPr>
          <w:rFonts w:ascii="Arial" w:eastAsia="Arial" w:hAnsi="Arial" w:cs="Arial"/>
          <w:sz w:val="24"/>
          <w:szCs w:val="24"/>
        </w:rPr>
        <w:t xml:space="preserve">, su ubicación geográfica en el territorio nacional y sus condiciones de vida, para que las medidas </w:t>
      </w:r>
      <w:r w:rsidR="000435C4">
        <w:rPr>
          <w:rFonts w:ascii="Arial" w:eastAsia="Arial" w:hAnsi="Arial" w:cs="Arial"/>
          <w:sz w:val="24"/>
          <w:szCs w:val="24"/>
        </w:rPr>
        <w:t>que g</w:t>
      </w:r>
      <w:r>
        <w:rPr>
          <w:rFonts w:ascii="Arial" w:eastAsia="Arial" w:hAnsi="Arial" w:cs="Arial"/>
          <w:sz w:val="24"/>
          <w:szCs w:val="24"/>
        </w:rPr>
        <w:t>arantiza</w:t>
      </w:r>
      <w:r w:rsidR="000435C4">
        <w:rPr>
          <w:rFonts w:ascii="Arial" w:eastAsia="Arial" w:hAnsi="Arial" w:cs="Arial"/>
          <w:sz w:val="24"/>
          <w:szCs w:val="24"/>
        </w:rPr>
        <w:t xml:space="preserve">n </w:t>
      </w:r>
      <w:r>
        <w:rPr>
          <w:rFonts w:ascii="Arial" w:eastAsia="Arial" w:hAnsi="Arial" w:cs="Arial"/>
          <w:sz w:val="24"/>
          <w:szCs w:val="24"/>
        </w:rPr>
        <w:t xml:space="preserve">el derecho a la vida lleguen a las poblaciones más vulnerables. Estas acciones se pueden maximizar con el acompañamiento y apoyo de las distintas ONG de forma coordinada y eficiente. </w:t>
      </w:r>
    </w:p>
    <w:p w14:paraId="22AF819E"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El incremento de las tasas de mortalidad infantil continúa sin ser reportadas oficialmente de manera pública, imperando el hermetismo en torno a estos datos y el despliegue de acciones de amenaza o amedrentamiento hacia las ONG o los profesionales de la salud que denuncian las realidades al respecto. </w:t>
      </w:r>
    </w:p>
    <w:p w14:paraId="420C5A1F"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El derecho a la vida se ve violentado cuando el derecho a la salud no es garantizado, tal como lo ha denunciado la organización Prepara Familia </w:t>
      </w:r>
      <w:proofErr w:type="gramStart"/>
      <w:r>
        <w:rPr>
          <w:rFonts w:ascii="Arial" w:eastAsia="Arial" w:hAnsi="Arial" w:cs="Arial"/>
          <w:sz w:val="24"/>
          <w:szCs w:val="24"/>
        </w:rPr>
        <w:t>en relación a</w:t>
      </w:r>
      <w:proofErr w:type="gramEnd"/>
      <w:r>
        <w:rPr>
          <w:rFonts w:ascii="Arial" w:eastAsia="Arial" w:hAnsi="Arial" w:cs="Arial"/>
          <w:sz w:val="24"/>
          <w:szCs w:val="24"/>
        </w:rPr>
        <w:t xml:space="preserve"> la falta de atención y muertes de niños en el principal hospital de atención infantil del país como es el J.M. de los Ríos. De hecho, esta organización dedicada a las acciones </w:t>
      </w:r>
      <w:proofErr w:type="gramStart"/>
      <w:r>
        <w:rPr>
          <w:rFonts w:ascii="Arial" w:eastAsia="Arial" w:hAnsi="Arial" w:cs="Arial"/>
          <w:sz w:val="24"/>
          <w:szCs w:val="24"/>
        </w:rPr>
        <w:t>humanitarias,</w:t>
      </w:r>
      <w:proofErr w:type="gramEnd"/>
      <w:r>
        <w:rPr>
          <w:rFonts w:ascii="Arial" w:eastAsia="Arial" w:hAnsi="Arial" w:cs="Arial"/>
          <w:sz w:val="24"/>
          <w:szCs w:val="24"/>
        </w:rPr>
        <w:t xml:space="preserve"> ha sido varias veces víctima de acciones de hostigamiento por parte de cuerpos de seguridad del Estado</w:t>
      </w:r>
      <w:r>
        <w:rPr>
          <w:rFonts w:ascii="Arial" w:eastAsia="Arial" w:hAnsi="Arial" w:cs="Arial"/>
          <w:sz w:val="24"/>
          <w:szCs w:val="24"/>
          <w:vertAlign w:val="superscript"/>
        </w:rPr>
        <w:footnoteReference w:id="35"/>
      </w:r>
      <w:r>
        <w:rPr>
          <w:rFonts w:ascii="Arial" w:eastAsia="Arial" w:hAnsi="Arial" w:cs="Arial"/>
          <w:sz w:val="24"/>
          <w:szCs w:val="24"/>
        </w:rPr>
        <w:t>.</w:t>
      </w:r>
    </w:p>
    <w:p w14:paraId="6EEA3B4A"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Las páginas web de los ministerios, programas y misiones relacionadas con la mortalidad no reflejan información por año, zona demográfica, género, patología, y otros indicadores sobre las muertes maternas e infantiles, y al aumento de las enfermedades prevenibles. Mucho menos se conoce su diferenciación materna -infantil que es un parámetro de referencia mundial para cualquier país. Tampoco se reportan en informes o boletines epidemiológicos.</w:t>
      </w:r>
    </w:p>
    <w:p w14:paraId="2AF17288"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El resurgimiento y recrudecimiento de enfermedades prevenibles como el paludismo, entre otras, se intensifican ante aspectos como la ausencia de campañas preventivas focalizadas en las regiones más vulnerables como las </w:t>
      </w:r>
      <w:r>
        <w:rPr>
          <w:rFonts w:ascii="Arial" w:eastAsia="Arial" w:hAnsi="Arial" w:cs="Arial"/>
          <w:sz w:val="24"/>
          <w:szCs w:val="24"/>
        </w:rPr>
        <w:lastRenderedPageBreak/>
        <w:t>zonas rurales del país, así como las graves fallas en el suministro de agua potable a nivel nacional, que obliga a la población a</w:t>
      </w:r>
      <w:r w:rsidR="000F3A62">
        <w:rPr>
          <w:rFonts w:ascii="Arial" w:eastAsia="Arial" w:hAnsi="Arial" w:cs="Arial"/>
          <w:sz w:val="24"/>
          <w:szCs w:val="24"/>
        </w:rPr>
        <w:t xml:space="preserve"> almacenarla, </w:t>
      </w:r>
      <w:r>
        <w:rPr>
          <w:rFonts w:ascii="Arial" w:eastAsia="Arial" w:hAnsi="Arial" w:cs="Arial"/>
          <w:sz w:val="24"/>
          <w:szCs w:val="24"/>
        </w:rPr>
        <w:t>muchas veces de forma incorrecta, ocasionando la reproducción del vector de trasmisión</w:t>
      </w:r>
      <w:r>
        <w:rPr>
          <w:rFonts w:ascii="Arial" w:eastAsia="Arial" w:hAnsi="Arial" w:cs="Arial"/>
          <w:sz w:val="24"/>
          <w:szCs w:val="24"/>
          <w:vertAlign w:val="superscript"/>
        </w:rPr>
        <w:footnoteReference w:id="36"/>
      </w:r>
      <w:r>
        <w:rPr>
          <w:rFonts w:ascii="Arial" w:eastAsia="Arial" w:hAnsi="Arial" w:cs="Arial"/>
          <w:sz w:val="24"/>
          <w:szCs w:val="24"/>
        </w:rPr>
        <w:t>. No se conocen medidas específicas para su disminución y erradicación, mucho menos la población con discapacidad afectada.</w:t>
      </w:r>
    </w:p>
    <w:p w14:paraId="0BC38D92"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El Estado venezolano en el párrafo 21 del Informe de Respuesta del Estado a la Lista de Cuestiones afirma que la ANC se encuentra elaborando una nueva norma jurídica en materia de discapacidad. En referencia a este punto, es importante resaltar que hasta el momento la sociedad civil no tiene conocimiento de este apartado. En el mismo párrafo 21 el Estado venezolano indica que la ANC tiene un proyecto de “Ley Constitucional para las Personas con Discapacidad”. La sociedad civil reitera no tener conocimiento del contenido de este proyecto. Sin embargo, se conoce sobre la existencia de comisiones formadas en el seno de la ANC para tratar el tema de Discapacidad y se espera poder obtener la información pertinente.</w:t>
      </w:r>
    </w:p>
    <w:p w14:paraId="681ADC6C"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En cuanto al hecho de que en 2014 se aprobó la Ley de Promoción y Protección del Derecho a la Igualdad de las Personas con VIH y sus Familiares señalada en el párrafo 22 del Informe de Respuesta del Estado a la Lista de Cuestiones, debe destacarse que esta ley busca erradicar la discriminación en contra de las personas con VIH de forma específica. La referencia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es solo tangencial.</w:t>
      </w:r>
    </w:p>
    <w:p w14:paraId="698718E3"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Basados en lo anteriormente expuesto, las </w:t>
      </w:r>
      <w:r w:rsidR="00772EA5">
        <w:rPr>
          <w:rFonts w:ascii="Arial" w:eastAsia="Arial" w:hAnsi="Arial" w:cs="Arial"/>
          <w:sz w:val="24"/>
          <w:szCs w:val="24"/>
        </w:rPr>
        <w:t>OPD</w:t>
      </w:r>
      <w:r>
        <w:rPr>
          <w:rFonts w:ascii="Arial" w:eastAsia="Arial" w:hAnsi="Arial" w:cs="Arial"/>
          <w:sz w:val="24"/>
          <w:szCs w:val="24"/>
        </w:rPr>
        <w:t xml:space="preserve"> que asistieron en las Mesas Técnicas señalaron que se necesita aplicar e implementar de forma amplia y eficaz el marco legislativo para la protección de las personas con discapacidad ya existente, que pueda estar en concordancia con la realidad actual del país y las necesidades y características individuales de la </w:t>
      </w:r>
      <w:proofErr w:type="spellStart"/>
      <w:r>
        <w:rPr>
          <w:rFonts w:ascii="Arial" w:eastAsia="Arial" w:hAnsi="Arial" w:cs="Arial"/>
          <w:sz w:val="24"/>
          <w:szCs w:val="24"/>
        </w:rPr>
        <w:t>PcD</w:t>
      </w:r>
      <w:proofErr w:type="spellEnd"/>
      <w:r>
        <w:rPr>
          <w:rFonts w:ascii="Arial" w:eastAsia="Arial" w:hAnsi="Arial" w:cs="Arial"/>
          <w:sz w:val="24"/>
          <w:szCs w:val="24"/>
        </w:rPr>
        <w:t>.</w:t>
      </w:r>
    </w:p>
    <w:p w14:paraId="7ED2ADC1" w14:textId="77777777" w:rsidR="005C6842" w:rsidRDefault="005C6842">
      <w:pPr>
        <w:spacing w:before="120" w:after="120"/>
        <w:ind w:left="360"/>
        <w:jc w:val="both"/>
        <w:rPr>
          <w:rFonts w:ascii="Arial" w:eastAsia="Arial" w:hAnsi="Arial" w:cs="Arial"/>
          <w:sz w:val="24"/>
          <w:szCs w:val="24"/>
        </w:rPr>
      </w:pPr>
    </w:p>
    <w:p w14:paraId="7360B787" w14:textId="77777777" w:rsidR="005C6842" w:rsidRDefault="004A1E28">
      <w:pPr>
        <w:spacing w:before="120" w:after="120"/>
        <w:ind w:left="360"/>
        <w:jc w:val="both"/>
        <w:rPr>
          <w:rFonts w:ascii="Arial" w:eastAsia="Arial" w:hAnsi="Arial" w:cs="Arial"/>
          <w:sz w:val="24"/>
          <w:szCs w:val="24"/>
        </w:rPr>
      </w:pPr>
      <w:r>
        <w:rPr>
          <w:rFonts w:ascii="Arial" w:eastAsia="Arial" w:hAnsi="Arial" w:cs="Arial"/>
          <w:b/>
          <w:sz w:val="24"/>
          <w:szCs w:val="24"/>
        </w:rPr>
        <w:t>Situaciones de riesgo y emergencias humanitarias (art. 11)</w:t>
      </w:r>
    </w:p>
    <w:p w14:paraId="606D9DF8"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Desde hace 5 años el país atraviesa una severa crisis humanitaria que ha sido reconocida como una emergencia de carácter complejo por parte de diversas agencias y actores del sistema humanitario internacional. Esta emergencia tiene carácter de compleja porque sus causas están asociadas a un deterioro generalizado de índole político, civil, social, económico, educativo, jurídico y de salud que afecta de manera generalizada la garantía y el cumplimiento de los derechos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sus necesidades básicas y su condición de vida. Hasta el presente la respuesta humanitaria con apoyo de la comunidad internacional ha sido muy limitada por los impedimentos arbitrarios de las autoridades nacionales a que los actores humanitarios tengan pleno acceso a las personas con necesidades humanitarias y la negativa a permitir evaluaciones independientes que puedan ofrecer datos necesarios para la planificación de acciones </w:t>
      </w:r>
      <w:r>
        <w:rPr>
          <w:rFonts w:ascii="Arial" w:eastAsia="Arial" w:hAnsi="Arial" w:cs="Arial"/>
          <w:sz w:val="24"/>
          <w:szCs w:val="24"/>
        </w:rPr>
        <w:lastRenderedPageBreak/>
        <w:t xml:space="preserve">humanitarias ajustados a la realidad de la población, incluyendo la </w:t>
      </w:r>
      <w:proofErr w:type="spellStart"/>
      <w:r>
        <w:rPr>
          <w:rFonts w:ascii="Arial" w:eastAsia="Arial" w:hAnsi="Arial" w:cs="Arial"/>
          <w:sz w:val="24"/>
          <w:szCs w:val="24"/>
        </w:rPr>
        <w:t>PcD</w:t>
      </w:r>
      <w:proofErr w:type="spellEnd"/>
      <w:r>
        <w:rPr>
          <w:rFonts w:ascii="Arial" w:eastAsia="Arial" w:hAnsi="Arial" w:cs="Arial"/>
          <w:sz w:val="24"/>
          <w:szCs w:val="24"/>
        </w:rPr>
        <w:t xml:space="preserve">, de quienes casi no existen estadísticas oficiales.   </w:t>
      </w:r>
    </w:p>
    <w:p w14:paraId="68520A88"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Se desconoce el Plan de Atención Especial a las Víctimas de Guerra Económica al que hace referencia el Estado y el alcance de las medidas tomadas. No existen en Venezuela las condiciones adecuadas de seguridad frente a situaciones de emergencias ante desastres, tampoco se realizan simulacros de los procedimientos adecuados con las </w:t>
      </w:r>
      <w:proofErr w:type="spellStart"/>
      <w:r>
        <w:rPr>
          <w:rFonts w:ascii="Arial" w:eastAsia="Arial" w:hAnsi="Arial" w:cs="Arial"/>
          <w:sz w:val="24"/>
          <w:szCs w:val="24"/>
        </w:rPr>
        <w:t>PcD</w:t>
      </w:r>
      <w:proofErr w:type="spellEnd"/>
      <w:r>
        <w:rPr>
          <w:rFonts w:ascii="Arial" w:eastAsia="Arial" w:hAnsi="Arial" w:cs="Arial"/>
          <w:sz w:val="24"/>
          <w:szCs w:val="24"/>
        </w:rPr>
        <w:t xml:space="preserve"> ni con las organizaciones de desarrollo social que las agrupan. Se desconoce el Protocolo de Atención a </w:t>
      </w:r>
      <w:proofErr w:type="spellStart"/>
      <w:proofErr w:type="gramStart"/>
      <w:r>
        <w:rPr>
          <w:rFonts w:ascii="Arial" w:eastAsia="Arial" w:hAnsi="Arial" w:cs="Arial"/>
          <w:sz w:val="24"/>
          <w:szCs w:val="24"/>
        </w:rPr>
        <w:t>PcD</w:t>
      </w:r>
      <w:proofErr w:type="spellEnd"/>
      <w:proofErr w:type="gramEnd"/>
      <w:r>
        <w:rPr>
          <w:rFonts w:ascii="Arial" w:eastAsia="Arial" w:hAnsi="Arial" w:cs="Arial"/>
          <w:sz w:val="24"/>
          <w:szCs w:val="24"/>
        </w:rPr>
        <w:t xml:space="preserve"> así como materiales realizados por el Estado en este aspecto en formatos y modos accesibles, es decir, no hay divulgación y entrega de tales recursos en caso de que existan.</w:t>
      </w:r>
    </w:p>
    <w:p w14:paraId="2E6B02A3" w14:textId="77777777" w:rsidR="005C6842" w:rsidRDefault="005C6842">
      <w:pPr>
        <w:pBdr>
          <w:top w:val="nil"/>
          <w:left w:val="nil"/>
          <w:bottom w:val="nil"/>
          <w:right w:val="nil"/>
          <w:between w:val="nil"/>
        </w:pBdr>
        <w:spacing w:before="120" w:after="120"/>
        <w:ind w:right="1134" w:hanging="1134"/>
        <w:jc w:val="both"/>
        <w:rPr>
          <w:rFonts w:ascii="Arial" w:eastAsia="Arial" w:hAnsi="Arial" w:cs="Arial"/>
          <w:color w:val="000000"/>
          <w:sz w:val="24"/>
          <w:szCs w:val="24"/>
        </w:rPr>
      </w:pPr>
    </w:p>
    <w:p w14:paraId="5A50EB06"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Igual reconocimiento como persona ante la ley (art. 12)</w:t>
      </w:r>
    </w:p>
    <w:p w14:paraId="6D552DC7"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Como se señala en los párrafos 19, 20 y 21 de este informe, existen normas discriminatorias en el Código Civil Venezolano (CCV) en contra de los sordos y ciegos que no fueron derogadas expresamente por la LPCD. Las derogatorias tácitas que contemplan la LPCD no eliminan satisfactoriamente la carga discriminatoria de artículos del CCV. La propia LPCD contempla la posibilidad de normas “en beneficio de las personas con discapacidad”. Pero no se justifica que el artículo 837 limite a un sordo o un ciego a dar un testamento, aunque algunos piensen que es por “el bien” de estos. Asimismo, en Venezuela todas las personas con discapacidad tienen capacidad jurídica para ser titulares de derechos y para ejercerlos de forma directa, pero es importante destacar que aun en la actualidad en el caso de discapacidad intelectual o psicosocial, sólo pueden ejercer esa capacidad jurídica por medio de un tutor o protutor. El CCV continúa limitando la capacidad negocial de las personas con discapacidad intelectual o psicosocial. Igualmente es importante destacar que, las figuras de la interdicción y la inhabilitación del CCV persisten en la actualidad.</w:t>
      </w:r>
    </w:p>
    <w:p w14:paraId="77CA1B02"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Por otra parte, en el ámbito del Derecho adjetivo persisten expresiones denigrantes en contra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que limitan su derecho al acceso a la justicia. Así, el CPC en su artículo 186 reza: “</w:t>
      </w:r>
      <w:r>
        <w:rPr>
          <w:rFonts w:ascii="Arial" w:eastAsia="Arial" w:hAnsi="Arial" w:cs="Arial"/>
          <w:i/>
          <w:sz w:val="24"/>
          <w:szCs w:val="24"/>
        </w:rPr>
        <w:t>Cuando se deba interrogar a un sordo, a un mudo o a un sordomudo, al sordo se le presentarán las preguntas escritas, así como cualquier observación del Juez para que conteste verbalmente; al mudo se le hará verbalmente la pregunta para que la conteste por escrito; y al sordomudo se le harán las preguntas y las observaciones por escrito, para que responda también por escrito. Lo escrito se agregará al original, además de copiarse en el acta. Si el sordo, el mudo o el sordomudo no supieren leer ni escribir, no podrán ser interrogados en el juicio civil.</w:t>
      </w:r>
      <w:r>
        <w:rPr>
          <w:rFonts w:ascii="Arial" w:eastAsia="Arial" w:hAnsi="Arial" w:cs="Arial"/>
          <w:sz w:val="24"/>
          <w:szCs w:val="24"/>
        </w:rPr>
        <w:t>”</w:t>
      </w:r>
    </w:p>
    <w:p w14:paraId="1F7B1556"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En este sentido, es evidente que la anterior norma limita el derecho a ser oído de la persona sorda, así como impide que pueda participar directamente en el proceso civil si esa persona sorda no sabe leer o escribir, estableciendo que las mismas “</w:t>
      </w:r>
      <w:r>
        <w:rPr>
          <w:rFonts w:ascii="Arial" w:eastAsia="Arial" w:hAnsi="Arial" w:cs="Arial"/>
          <w:b/>
          <w:sz w:val="24"/>
          <w:szCs w:val="24"/>
        </w:rPr>
        <w:t>no pueden ser interrogados en el juicio civil</w:t>
      </w:r>
      <w:r>
        <w:rPr>
          <w:rFonts w:ascii="Arial" w:eastAsia="Arial" w:hAnsi="Arial" w:cs="Arial"/>
          <w:sz w:val="24"/>
          <w:szCs w:val="24"/>
        </w:rPr>
        <w:t xml:space="preserve">”. Claramente la norma supedita la participación del sordo al hecho de que sepa leer o escribir sin </w:t>
      </w:r>
      <w:r>
        <w:rPr>
          <w:rFonts w:ascii="Arial" w:eastAsia="Arial" w:hAnsi="Arial" w:cs="Arial"/>
          <w:sz w:val="24"/>
          <w:szCs w:val="24"/>
        </w:rPr>
        <w:lastRenderedPageBreak/>
        <w:t>considerar la posibilidad de colocar un intérprete de lengua de señas venezolanas. Además, usa las expresiones denigrantes “mudo” y “sordomudo”.</w:t>
      </w:r>
    </w:p>
    <w:p w14:paraId="4FEE5696"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Vale destacar que esta norma, además de discriminar y limitar el acceso a la justicia de la persona sorda dentro de los procesos civiles venezolanos, tiene su ámbito de aplicación en otros procesos judiciales y administrativos. Así, la Ley Orgánica de Procedimientos Administrativos</w:t>
      </w:r>
      <w:r>
        <w:rPr>
          <w:rFonts w:ascii="Arial" w:eastAsia="Arial" w:hAnsi="Arial" w:cs="Arial"/>
          <w:sz w:val="24"/>
          <w:szCs w:val="24"/>
          <w:vertAlign w:val="superscript"/>
        </w:rPr>
        <w:footnoteReference w:id="37"/>
      </w:r>
      <w:r>
        <w:rPr>
          <w:rFonts w:ascii="Arial" w:eastAsia="Arial" w:hAnsi="Arial" w:cs="Arial"/>
          <w:sz w:val="24"/>
          <w:szCs w:val="24"/>
        </w:rPr>
        <w:t xml:space="preserve"> en su artículo 58 contempla la aplicación supletoria del CPC. Por su parte, la Ley Orgánica de la Jurisdicción </w:t>
      </w:r>
      <w:proofErr w:type="gramStart"/>
      <w:r>
        <w:rPr>
          <w:rFonts w:ascii="Arial" w:eastAsia="Arial" w:hAnsi="Arial" w:cs="Arial"/>
          <w:sz w:val="24"/>
          <w:szCs w:val="24"/>
        </w:rPr>
        <w:t>Contencioso Administrativa</w:t>
      </w:r>
      <w:proofErr w:type="gramEnd"/>
      <w:r>
        <w:rPr>
          <w:rFonts w:ascii="Arial" w:eastAsia="Arial" w:hAnsi="Arial" w:cs="Arial"/>
          <w:sz w:val="24"/>
          <w:szCs w:val="24"/>
          <w:vertAlign w:val="superscript"/>
        </w:rPr>
        <w:footnoteReference w:id="38"/>
      </w:r>
      <w:r>
        <w:rPr>
          <w:rFonts w:ascii="Arial" w:eastAsia="Arial" w:hAnsi="Arial" w:cs="Arial"/>
          <w:sz w:val="24"/>
          <w:szCs w:val="24"/>
        </w:rPr>
        <w:t>, al no contemplar una norma específica para el derecho a ser oído de la persona sorda, aplica supletoriamente (artículo 31) las disposiciones del CPC. La Ley Orgánica Procesal del Trabajo</w:t>
      </w:r>
      <w:r>
        <w:rPr>
          <w:rFonts w:ascii="Arial" w:eastAsia="Arial" w:hAnsi="Arial" w:cs="Arial"/>
          <w:sz w:val="24"/>
          <w:szCs w:val="24"/>
          <w:vertAlign w:val="superscript"/>
        </w:rPr>
        <w:footnoteReference w:id="39"/>
      </w:r>
      <w:r>
        <w:rPr>
          <w:rFonts w:ascii="Arial" w:eastAsia="Arial" w:hAnsi="Arial" w:cs="Arial"/>
          <w:sz w:val="24"/>
          <w:szCs w:val="24"/>
        </w:rPr>
        <w:t xml:space="preserve"> en su artículo 73 remite a las disposiciones del CPC de forma supletoria. En síntesis, la carga discriminatoria se extiende a distintos procesos judiciales.</w:t>
      </w:r>
    </w:p>
    <w:p w14:paraId="057CAA3D"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 Las medidas legislativas tomadas por el Estado venezolano para erradicar expresiones denigrantes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han sido insuficientes. Cabe añadir que en el CPV existen expresiones discriminatorias en los artículos 58, 62, 72 y 114 numerales 1 y 3 y el 77 numeral 8, los cuales aún persisten y no fueron derogados por la LDPD, lo que recalca el hecho de que las medidas legislativas tomadas por el Estado venezolano para erradicar la estigmatización en contra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son insuficientes.</w:t>
      </w:r>
    </w:p>
    <w:p w14:paraId="1A9B8F4C" w14:textId="77777777" w:rsidR="005C6842" w:rsidRDefault="004A1E28">
      <w:pPr>
        <w:numPr>
          <w:ilvl w:val="0"/>
          <w:numId w:val="2"/>
        </w:numPr>
        <w:spacing w:before="120" w:after="120"/>
        <w:jc w:val="both"/>
        <w:rPr>
          <w:rFonts w:ascii="Arial" w:eastAsia="Arial" w:hAnsi="Arial" w:cs="Arial"/>
          <w:sz w:val="24"/>
          <w:szCs w:val="24"/>
        </w:rPr>
      </w:pPr>
      <w:r>
        <w:rPr>
          <w:rFonts w:ascii="Arial" w:eastAsia="Arial" w:hAnsi="Arial" w:cs="Arial"/>
          <w:sz w:val="24"/>
          <w:szCs w:val="24"/>
        </w:rPr>
        <w:t xml:space="preserve">Los esfuerzos hechos desde el seno de la ANC tampoco han resuelto la existencia de expresiones denigrantes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dentro del ordenamiento jurídico venezolano. Preocupa también que ya han pasado dos años y no se conoce el texto de la nueva Constitución ni los nuevos artículos constitucionales que, según el Estado venezolano, dignificarían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Esta </w:t>
      </w:r>
      <w:r w:rsidR="00EA4939">
        <w:rPr>
          <w:rFonts w:ascii="Arial" w:eastAsia="Arial" w:hAnsi="Arial" w:cs="Arial"/>
          <w:sz w:val="24"/>
          <w:szCs w:val="24"/>
        </w:rPr>
        <w:t>demora</w:t>
      </w:r>
      <w:r>
        <w:rPr>
          <w:rFonts w:ascii="Arial" w:eastAsia="Arial" w:hAnsi="Arial" w:cs="Arial"/>
          <w:sz w:val="24"/>
          <w:szCs w:val="24"/>
        </w:rPr>
        <w:t xml:space="preserve"> por parte del Estado venezolano afecta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y no representa un avance del ordenamiento jurídico venezolano en erradicar cualquier expresión denigrante contra las </w:t>
      </w:r>
      <w:proofErr w:type="spellStart"/>
      <w:r>
        <w:rPr>
          <w:rFonts w:ascii="Arial" w:eastAsia="Arial" w:hAnsi="Arial" w:cs="Arial"/>
          <w:sz w:val="24"/>
          <w:szCs w:val="24"/>
        </w:rPr>
        <w:t>PcD</w:t>
      </w:r>
      <w:proofErr w:type="spellEnd"/>
      <w:r>
        <w:rPr>
          <w:rFonts w:ascii="Arial" w:eastAsia="Arial" w:hAnsi="Arial" w:cs="Arial"/>
          <w:sz w:val="24"/>
          <w:szCs w:val="24"/>
        </w:rPr>
        <w:t>.</w:t>
      </w:r>
    </w:p>
    <w:p w14:paraId="5CD525BB" w14:textId="77777777" w:rsidR="005C6842" w:rsidRDefault="005C6842">
      <w:pPr>
        <w:pBdr>
          <w:top w:val="nil"/>
          <w:left w:val="nil"/>
          <w:bottom w:val="nil"/>
          <w:right w:val="nil"/>
          <w:between w:val="nil"/>
        </w:pBdr>
        <w:spacing w:before="120" w:after="120"/>
        <w:ind w:left="1134" w:right="1134" w:hanging="1134"/>
        <w:jc w:val="both"/>
        <w:rPr>
          <w:rFonts w:ascii="Arial" w:eastAsia="Arial" w:hAnsi="Arial" w:cs="Arial"/>
          <w:color w:val="000000"/>
          <w:sz w:val="24"/>
          <w:szCs w:val="24"/>
        </w:rPr>
      </w:pPr>
    </w:p>
    <w:p w14:paraId="78156FF1"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Acceso a la justicia (art. 13)</w:t>
      </w:r>
    </w:p>
    <w:p w14:paraId="697457CD" w14:textId="77777777" w:rsidR="005C6842" w:rsidRDefault="004A1E28">
      <w:pPr>
        <w:numPr>
          <w:ilvl w:val="0"/>
          <w:numId w:val="2"/>
        </w:numPr>
        <w:pBdr>
          <w:top w:val="nil"/>
          <w:left w:val="nil"/>
          <w:bottom w:val="nil"/>
          <w:right w:val="nil"/>
          <w:between w:val="nil"/>
        </w:pBdr>
        <w:spacing w:before="120"/>
        <w:jc w:val="both"/>
        <w:rPr>
          <w:rFonts w:ascii="Arial" w:eastAsia="Arial" w:hAnsi="Arial" w:cs="Arial"/>
          <w:color w:val="000000"/>
          <w:sz w:val="24"/>
          <w:szCs w:val="24"/>
        </w:rPr>
      </w:pPr>
      <w:r>
        <w:rPr>
          <w:rFonts w:ascii="Arial" w:eastAsia="Arial" w:hAnsi="Arial" w:cs="Arial"/>
          <w:color w:val="000000"/>
          <w:sz w:val="24"/>
          <w:szCs w:val="24"/>
        </w:rPr>
        <w:t xml:space="preserve">El Estado venezolano ha obviado responder a una cuestión fundamental, y es la referida a cómo el Estado vela para que todas las violaciones de los derechos de las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xml:space="preserve"> cometidas por agentes estatales y no estatales sean debidamente investigadas, enjuiciadas y castigadas. Al respecto, debe reiterarse que CONSORVEN informó diversos casos que hasta el momento no han recibido ninguna respuesta oportuna, desde el aspecto judicial, solo se observan retrasos en los procesos por el constante cambio de Fiscales de la investigación en los tribunales que conocen el caso. Estos casos muestran que la justicia venezolana sigue en deuda con las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xml:space="preserve">. </w:t>
      </w:r>
    </w:p>
    <w:p w14:paraId="2F593900" w14:textId="77777777" w:rsidR="005C6842" w:rsidRDefault="005C6842">
      <w:pPr>
        <w:pBdr>
          <w:top w:val="nil"/>
          <w:left w:val="nil"/>
          <w:bottom w:val="nil"/>
          <w:right w:val="nil"/>
          <w:between w:val="nil"/>
        </w:pBdr>
        <w:ind w:hanging="720"/>
        <w:jc w:val="both"/>
        <w:rPr>
          <w:rFonts w:ascii="Arial" w:eastAsia="Arial" w:hAnsi="Arial" w:cs="Arial"/>
          <w:color w:val="000000"/>
          <w:sz w:val="24"/>
          <w:szCs w:val="24"/>
        </w:rPr>
      </w:pPr>
    </w:p>
    <w:p w14:paraId="0CEC9390" w14:textId="77777777" w:rsidR="005C6842" w:rsidRDefault="004A1E28">
      <w:pPr>
        <w:pBdr>
          <w:top w:val="single" w:sz="4" w:space="1" w:color="000000"/>
          <w:left w:val="single" w:sz="4" w:space="4" w:color="000000"/>
          <w:bottom w:val="single" w:sz="4" w:space="1" w:color="000000"/>
          <w:right w:val="single" w:sz="4" w:space="4" w:color="000000"/>
          <w:between w:val="nil"/>
        </w:pBdr>
        <w:ind w:left="360" w:hanging="720"/>
        <w:jc w:val="both"/>
        <w:rPr>
          <w:rFonts w:ascii="Arial" w:eastAsia="Arial" w:hAnsi="Arial" w:cs="Arial"/>
          <w:color w:val="000000"/>
          <w:sz w:val="24"/>
          <w:szCs w:val="24"/>
        </w:rPr>
      </w:pPr>
      <w:r>
        <w:rPr>
          <w:rFonts w:ascii="Arial" w:eastAsia="Arial" w:hAnsi="Arial" w:cs="Arial"/>
          <w:color w:val="000000"/>
          <w:sz w:val="24"/>
          <w:szCs w:val="24"/>
        </w:rPr>
        <w:t xml:space="preserve">Caso 3: Hombre de 26 años, quien recibió un disparo en las protestas de abril de 2017 suscitadas en Petare, estado Miranda. El joven con discapacidad auditiva, visual, </w:t>
      </w:r>
      <w:r>
        <w:rPr>
          <w:rFonts w:ascii="Arial" w:eastAsia="Arial" w:hAnsi="Arial" w:cs="Arial"/>
          <w:color w:val="000000"/>
          <w:sz w:val="24"/>
          <w:szCs w:val="24"/>
        </w:rPr>
        <w:lastRenderedPageBreak/>
        <w:t xml:space="preserve">psicosocial e intelectual </w:t>
      </w:r>
      <w:proofErr w:type="gramStart"/>
      <w:r>
        <w:rPr>
          <w:rFonts w:ascii="Arial" w:eastAsia="Arial" w:hAnsi="Arial" w:cs="Arial"/>
          <w:color w:val="000000"/>
          <w:sz w:val="24"/>
          <w:szCs w:val="24"/>
        </w:rPr>
        <w:t>leve,</w:t>
      </w:r>
      <w:proofErr w:type="gramEnd"/>
      <w:r>
        <w:rPr>
          <w:rFonts w:ascii="Arial" w:eastAsia="Arial" w:hAnsi="Arial" w:cs="Arial"/>
          <w:color w:val="000000"/>
          <w:sz w:val="24"/>
          <w:szCs w:val="24"/>
        </w:rPr>
        <w:t xml:space="preserve"> recibió un disparo en la espalda por parte de los efectivos de seguridad del Estado quienes reprimían la situación de protesta. Algunos vecinos de la zona salieron a su resguardo manifestando a los efectivos de seguridad que no le dispararan más porque era una persona con discapacidad, el joven permaneció tendido en el suelo aproximadamente por 15 minutos en virtud de la negación de los agentes de movilizarlo al centro hospitalario. En las investigaciones posteriores se determinó que el cartucho estaba preparado con tuerca y tornillo. De igual forma en las declaraciones de los familiares se obtuvo como dato importante, que el chico solo transitaba por la zona y no estaba participando en la protesta. </w:t>
      </w:r>
    </w:p>
    <w:p w14:paraId="6AE5B7A1" w14:textId="77777777" w:rsidR="005C6842" w:rsidRDefault="005C6842">
      <w:pPr>
        <w:pBdr>
          <w:top w:val="nil"/>
          <w:left w:val="nil"/>
          <w:bottom w:val="nil"/>
          <w:right w:val="nil"/>
          <w:between w:val="nil"/>
        </w:pBdr>
        <w:ind w:left="360" w:hanging="720"/>
        <w:jc w:val="both"/>
        <w:rPr>
          <w:rFonts w:ascii="Arial" w:eastAsia="Arial" w:hAnsi="Arial" w:cs="Arial"/>
          <w:color w:val="000000"/>
          <w:sz w:val="24"/>
          <w:szCs w:val="24"/>
        </w:rPr>
      </w:pPr>
    </w:p>
    <w:p w14:paraId="09C27DCC" w14:textId="77777777" w:rsidR="005C6842" w:rsidRDefault="005C6842">
      <w:pPr>
        <w:pBdr>
          <w:top w:val="nil"/>
          <w:left w:val="nil"/>
          <w:bottom w:val="nil"/>
          <w:right w:val="nil"/>
          <w:between w:val="nil"/>
        </w:pBdr>
        <w:ind w:left="360" w:hanging="720"/>
        <w:jc w:val="both"/>
        <w:rPr>
          <w:rFonts w:ascii="Arial" w:eastAsia="Arial" w:hAnsi="Arial" w:cs="Arial"/>
          <w:color w:val="000000"/>
          <w:sz w:val="24"/>
          <w:szCs w:val="24"/>
        </w:rPr>
      </w:pPr>
    </w:p>
    <w:p w14:paraId="0560BA94" w14:textId="77777777" w:rsidR="005C6842" w:rsidRDefault="004A1E28">
      <w:pPr>
        <w:pBdr>
          <w:top w:val="single" w:sz="4" w:space="1" w:color="000000"/>
          <w:left w:val="single" w:sz="4" w:space="4" w:color="000000"/>
          <w:bottom w:val="single" w:sz="4" w:space="1" w:color="000000"/>
          <w:right w:val="single" w:sz="4" w:space="4" w:color="000000"/>
          <w:between w:val="nil"/>
        </w:pBdr>
        <w:ind w:left="360" w:hanging="720"/>
        <w:jc w:val="both"/>
        <w:rPr>
          <w:rFonts w:ascii="Arial" w:eastAsia="Arial" w:hAnsi="Arial" w:cs="Arial"/>
          <w:color w:val="000000"/>
          <w:sz w:val="24"/>
          <w:szCs w:val="24"/>
        </w:rPr>
      </w:pPr>
      <w:r>
        <w:rPr>
          <w:rFonts w:ascii="Arial" w:eastAsia="Arial" w:hAnsi="Arial" w:cs="Arial"/>
          <w:color w:val="000000"/>
          <w:sz w:val="24"/>
          <w:szCs w:val="24"/>
        </w:rPr>
        <w:t>Caso 4: Hombre de 28 años, con discapacidad intelectual, quien fue herido en protestas del 10 de abril de 2017, en</w:t>
      </w:r>
      <w:r>
        <w:rPr>
          <w:rFonts w:ascii="Arial" w:eastAsia="Arial" w:hAnsi="Arial" w:cs="Arial"/>
          <w:b/>
          <w:color w:val="000000"/>
          <w:sz w:val="24"/>
          <w:szCs w:val="24"/>
        </w:rPr>
        <w:t xml:space="preserve"> </w:t>
      </w:r>
      <w:r>
        <w:rPr>
          <w:rFonts w:ascii="Arial" w:eastAsia="Arial" w:hAnsi="Arial" w:cs="Arial"/>
          <w:color w:val="000000"/>
          <w:sz w:val="24"/>
          <w:szCs w:val="24"/>
        </w:rPr>
        <w:t xml:space="preserve">Barquisimeto, estado Lara, por civiles armados a bordo de una camioneta. Recibió un impacto de bala en la parte baja de la espalda, ingresó al centro hospitalario, donde murió dos meses después por una fuerte infección que no pudo ser tratada porque el centro hospitalario no contaba con los insumos ni medicamentos requeridos. Se observa retraso en el proceso judicial, demora en la entrega de evidencias, silencio administrativo en las peticiones de experticias solicitadas, cambio de Fiscales, y temor por parte de los testigos para colaborar en las declaraciones por posibles represalias, ya que hay señalamientos dirigidos directamente a autoridades del gobierno local. </w:t>
      </w:r>
    </w:p>
    <w:p w14:paraId="6AE26D78" w14:textId="77777777" w:rsidR="005C6842" w:rsidRDefault="005C6842">
      <w:pPr>
        <w:pBdr>
          <w:top w:val="nil"/>
          <w:left w:val="nil"/>
          <w:bottom w:val="nil"/>
          <w:right w:val="nil"/>
          <w:between w:val="nil"/>
        </w:pBdr>
        <w:ind w:hanging="720"/>
        <w:jc w:val="both"/>
        <w:rPr>
          <w:rFonts w:ascii="Arial" w:eastAsia="Arial" w:hAnsi="Arial" w:cs="Arial"/>
          <w:color w:val="000000"/>
          <w:sz w:val="24"/>
          <w:szCs w:val="24"/>
        </w:rPr>
      </w:pPr>
    </w:p>
    <w:p w14:paraId="0B8E8D28" w14:textId="77777777" w:rsidR="005C6842" w:rsidRDefault="004A1E28">
      <w:pPr>
        <w:numPr>
          <w:ilvl w:val="0"/>
          <w:numId w:val="2"/>
        </w:numPr>
        <w:pBdr>
          <w:top w:val="nil"/>
          <w:left w:val="nil"/>
          <w:bottom w:val="nil"/>
          <w:right w:val="nil"/>
          <w:between w:val="nil"/>
        </w:pBdr>
        <w:spacing w:after="120"/>
        <w:jc w:val="both"/>
        <w:rPr>
          <w:rFonts w:ascii="Arial" w:eastAsia="Arial" w:hAnsi="Arial" w:cs="Arial"/>
          <w:color w:val="000000"/>
          <w:sz w:val="24"/>
          <w:szCs w:val="24"/>
        </w:rPr>
      </w:pPr>
      <w:r>
        <w:rPr>
          <w:rFonts w:ascii="Arial" w:eastAsia="Arial" w:hAnsi="Arial" w:cs="Arial"/>
          <w:color w:val="000000"/>
          <w:sz w:val="24"/>
          <w:szCs w:val="24"/>
        </w:rPr>
        <w:t xml:space="preserve">El Estado venezolano nuevamente señala que a los fines de garantizar el derecho de los niños con discapacidad a expresar su opinión en los procesos de toma de decisiones que les afecten, el TSJ dictó las </w:t>
      </w:r>
      <w:r>
        <w:rPr>
          <w:rFonts w:ascii="Arial" w:eastAsia="Arial" w:hAnsi="Arial" w:cs="Arial"/>
          <w:i/>
          <w:color w:val="000000"/>
          <w:sz w:val="24"/>
          <w:szCs w:val="24"/>
        </w:rPr>
        <w:t>“Orientaciones sobre la garantía del derecho humano de los niños, niñas y adolescentes a opinar y ser oídos en los procedimientos mundiales ante los Tribunales de Protección”.</w:t>
      </w:r>
      <w:r>
        <w:rPr>
          <w:rFonts w:ascii="Arial" w:eastAsia="Arial" w:hAnsi="Arial" w:cs="Arial"/>
          <w:color w:val="000000"/>
          <w:sz w:val="24"/>
          <w:szCs w:val="24"/>
        </w:rPr>
        <w:t xml:space="preserve"> Indica el Estado venezolano que este instrumento incorpora de manera transversal a los niños con discapacidad y contiene orientaciones específicas para oír la opinión de niños con discapacidad. Sin embargo, luego de una revisión de tales orientaciones, se percibe que las mismas están enfocadas y dirigidas a niños, niñas y adolescentes que pueden oír y hablar, pero los niños, niñas y adolescentes sordos o con discapacidad auditiva no son tomados suficientemente en cuenta; así como no se han difundido versiones accesibles para los niños con discapacidad visual. En este sentido, el Estado venezolano debería modificar o ampliar tales orientaciones e incluir la perspectiva de niños, niñas y adolescentes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xml:space="preserve"> con discapacidades.</w:t>
      </w:r>
    </w:p>
    <w:p w14:paraId="76C9F50B" w14:textId="77777777" w:rsidR="005C6842" w:rsidRDefault="005C6842">
      <w:pPr>
        <w:spacing w:before="120" w:after="120"/>
        <w:rPr>
          <w:rFonts w:ascii="Arial" w:eastAsia="Arial" w:hAnsi="Arial" w:cs="Arial"/>
          <w:sz w:val="24"/>
          <w:szCs w:val="24"/>
        </w:rPr>
      </w:pPr>
    </w:p>
    <w:p w14:paraId="3CCAAC12"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Libertad y seguridad de la persona (art. 14)</w:t>
      </w:r>
    </w:p>
    <w:p w14:paraId="4637F8CB" w14:textId="77777777" w:rsidR="005C6842" w:rsidRDefault="004A1E28">
      <w:pPr>
        <w:numPr>
          <w:ilvl w:val="0"/>
          <w:numId w:val="2"/>
        </w:numPr>
        <w:pBdr>
          <w:top w:val="nil"/>
          <w:left w:val="nil"/>
          <w:bottom w:val="nil"/>
          <w:right w:val="nil"/>
          <w:between w:val="nil"/>
        </w:pBdr>
        <w:spacing w:before="120"/>
        <w:jc w:val="both"/>
        <w:rPr>
          <w:rFonts w:ascii="Arial" w:eastAsia="Arial" w:hAnsi="Arial" w:cs="Arial"/>
          <w:color w:val="000000"/>
          <w:sz w:val="24"/>
          <w:szCs w:val="24"/>
        </w:rPr>
      </w:pPr>
      <w:r>
        <w:rPr>
          <w:rFonts w:ascii="Arial" w:eastAsia="Arial" w:hAnsi="Arial" w:cs="Arial"/>
          <w:color w:val="000000"/>
          <w:sz w:val="24"/>
          <w:szCs w:val="24"/>
        </w:rPr>
        <w:t xml:space="preserve">A esta cuestión responde el Estado venezolano que la aprobación de un nuevo Código Penal, así como la actualización de la legislación en materia de salud mental y familia, son desafíos en materia de derechos humanos en Venezuela. El desarrollo de estas normas jurídicas se incorporó como una de las acciones programáticas en el Programa Nacional de Desarrollo Humano (PNDH) para ser ejecutadas en el período 2016-2019. Sin embargo, este objetivo no pudo ser </w:t>
      </w:r>
      <w:r>
        <w:rPr>
          <w:rFonts w:ascii="Arial" w:eastAsia="Arial" w:hAnsi="Arial" w:cs="Arial"/>
          <w:color w:val="000000"/>
          <w:sz w:val="24"/>
          <w:szCs w:val="24"/>
        </w:rPr>
        <w:lastRenderedPageBreak/>
        <w:t>alcanzado por la situación de desacato que alega el TSJ para anular las funciones de la Asamblea Nacional (AN).</w:t>
      </w:r>
    </w:p>
    <w:p w14:paraId="6C505DCF" w14:textId="77777777" w:rsidR="005C6842" w:rsidRDefault="004A1E28">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 primer lugar, el presidente de la República, conforme al artículo 203 constitucional, por medio de leyes habilitantes pudiese dar una respuesta legislativa en materia de salud mental y </w:t>
      </w:r>
      <w:proofErr w:type="gramStart"/>
      <w:r>
        <w:rPr>
          <w:rFonts w:ascii="Arial" w:eastAsia="Arial" w:hAnsi="Arial" w:cs="Arial"/>
          <w:color w:val="000000"/>
          <w:sz w:val="24"/>
          <w:szCs w:val="24"/>
        </w:rPr>
        <w:t>familia</w:t>
      </w:r>
      <w:proofErr w:type="gramEnd"/>
      <w:r>
        <w:rPr>
          <w:rFonts w:ascii="Arial" w:eastAsia="Arial" w:hAnsi="Arial" w:cs="Arial"/>
          <w:color w:val="000000"/>
          <w:sz w:val="24"/>
          <w:szCs w:val="24"/>
        </w:rPr>
        <w:t xml:space="preserve"> así como modificar el CPV. Por otra parte, la ANC ha asumido competencias legislativas de la AN, por lo cual perfectamente pudiese darse una respuesta legislativa al tema de salud mental y </w:t>
      </w:r>
      <w:proofErr w:type="gramStart"/>
      <w:r>
        <w:rPr>
          <w:rFonts w:ascii="Arial" w:eastAsia="Arial" w:hAnsi="Arial" w:cs="Arial"/>
          <w:color w:val="000000"/>
          <w:sz w:val="24"/>
          <w:szCs w:val="24"/>
        </w:rPr>
        <w:t>familia</w:t>
      </w:r>
      <w:proofErr w:type="gramEnd"/>
      <w:r>
        <w:rPr>
          <w:rFonts w:ascii="Arial" w:eastAsia="Arial" w:hAnsi="Arial" w:cs="Arial"/>
          <w:color w:val="000000"/>
          <w:sz w:val="24"/>
          <w:szCs w:val="24"/>
        </w:rPr>
        <w:t xml:space="preserve"> así como cambiar el CPV. Que no se haya realizado no tiene ninguna excusa a favor. </w:t>
      </w:r>
    </w:p>
    <w:p w14:paraId="622BB4C6" w14:textId="77777777" w:rsidR="005C6842" w:rsidRDefault="004A1E28">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Asimismo, </w:t>
      </w:r>
      <w:r w:rsidR="007D53A0">
        <w:rPr>
          <w:rFonts w:ascii="Arial" w:eastAsia="Arial" w:hAnsi="Arial" w:cs="Arial"/>
          <w:color w:val="000000"/>
          <w:sz w:val="24"/>
          <w:szCs w:val="24"/>
        </w:rPr>
        <w:t>Foro Penal</w:t>
      </w:r>
      <w:r>
        <w:rPr>
          <w:rFonts w:ascii="Arial" w:eastAsia="Arial" w:hAnsi="Arial" w:cs="Arial"/>
          <w:color w:val="000000"/>
          <w:sz w:val="24"/>
          <w:szCs w:val="24"/>
        </w:rPr>
        <w:t xml:space="preserve"> ha logrado sistematizar datos de las Detenciones Arbitrarias hacia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registradas entre 2017-2019 en el marco de las manifestaciones y allanamientos; resultando en 30 personas con diversas discapacidades, entre ellas: intelectuales, sensoriales, auditivas, motoras, autismo y psicosociales. Del total de personas privadas de libertad, 8 de ellos son mujeres. En la actualidad algunos se encuentran en libertad plena, libertad con régimen de presentación o medidas cautelares</w:t>
      </w:r>
      <w:r>
        <w:rPr>
          <w:rFonts w:ascii="Arial" w:eastAsia="Arial" w:hAnsi="Arial" w:cs="Arial"/>
          <w:color w:val="000000"/>
          <w:sz w:val="24"/>
          <w:szCs w:val="24"/>
          <w:vertAlign w:val="superscript"/>
        </w:rPr>
        <w:footnoteReference w:id="40"/>
      </w:r>
      <w:r>
        <w:rPr>
          <w:rFonts w:ascii="Arial" w:eastAsia="Arial" w:hAnsi="Arial" w:cs="Arial"/>
          <w:color w:val="000000"/>
          <w:sz w:val="24"/>
          <w:szCs w:val="24"/>
        </w:rPr>
        <w:t>.</w:t>
      </w:r>
    </w:p>
    <w:p w14:paraId="41C30365" w14:textId="77777777" w:rsidR="005C6842" w:rsidRDefault="004A1E28">
      <w:pPr>
        <w:numPr>
          <w:ilvl w:val="0"/>
          <w:numId w:val="2"/>
        </w:numPr>
        <w:pBdr>
          <w:top w:val="nil"/>
          <w:left w:val="nil"/>
          <w:bottom w:val="nil"/>
          <w:right w:val="nil"/>
          <w:between w:val="nil"/>
        </w:pBdr>
        <w:spacing w:after="120"/>
        <w:jc w:val="both"/>
        <w:rPr>
          <w:rFonts w:ascii="Arial" w:eastAsia="Arial" w:hAnsi="Arial" w:cs="Arial"/>
          <w:color w:val="000000"/>
          <w:sz w:val="24"/>
          <w:szCs w:val="24"/>
        </w:rPr>
      </w:pPr>
      <w:proofErr w:type="gramStart"/>
      <w:r>
        <w:rPr>
          <w:rFonts w:ascii="Arial" w:eastAsia="Arial" w:hAnsi="Arial" w:cs="Arial"/>
          <w:color w:val="000000"/>
          <w:sz w:val="24"/>
          <w:szCs w:val="24"/>
        </w:rPr>
        <w:t>Asimismo</w:t>
      </w:r>
      <w:proofErr w:type="gramEnd"/>
      <w:r>
        <w:rPr>
          <w:rFonts w:ascii="Arial" w:eastAsia="Arial" w:hAnsi="Arial" w:cs="Arial"/>
          <w:color w:val="000000"/>
          <w:sz w:val="24"/>
          <w:szCs w:val="24"/>
        </w:rPr>
        <w:t xml:space="preserve"> se registraron 3 casos</w:t>
      </w:r>
      <w:r w:rsidR="00AA6AAC">
        <w:rPr>
          <w:rFonts w:ascii="Arial" w:eastAsia="Arial" w:hAnsi="Arial" w:cs="Arial"/>
          <w:color w:val="000000"/>
          <w:sz w:val="24"/>
          <w:szCs w:val="24"/>
        </w:rPr>
        <w:t xml:space="preserve"> </w:t>
      </w:r>
      <w:r>
        <w:rPr>
          <w:rFonts w:ascii="Arial" w:eastAsia="Arial" w:hAnsi="Arial" w:cs="Arial"/>
          <w:color w:val="000000"/>
          <w:sz w:val="24"/>
          <w:szCs w:val="24"/>
        </w:rPr>
        <w:t>en los cuales se observan claras violaciones a la libertad y seguridad de las personas en el ejercicio de sus derechos ciudadanos:</w:t>
      </w:r>
    </w:p>
    <w:p w14:paraId="71661002" w14:textId="200424B1" w:rsidR="005C6842" w:rsidRDefault="004A1E28">
      <w:pPr>
        <w:pBdr>
          <w:top w:val="single" w:sz="4" w:space="1" w:color="000000"/>
          <w:left w:val="single" w:sz="4" w:space="4" w:color="000000"/>
          <w:bottom w:val="single" w:sz="4" w:space="1" w:color="000000"/>
          <w:right w:val="single" w:sz="4" w:space="4" w:color="000000"/>
        </w:pBdr>
        <w:tabs>
          <w:tab w:val="left" w:pos="851"/>
        </w:tabs>
        <w:spacing w:before="120" w:after="120"/>
        <w:ind w:left="720"/>
        <w:jc w:val="both"/>
        <w:rPr>
          <w:rFonts w:ascii="Arial" w:eastAsia="Arial" w:hAnsi="Arial" w:cs="Arial"/>
          <w:sz w:val="24"/>
          <w:szCs w:val="24"/>
        </w:rPr>
      </w:pPr>
      <w:r>
        <w:rPr>
          <w:rFonts w:ascii="Arial" w:eastAsia="Arial" w:hAnsi="Arial" w:cs="Arial"/>
          <w:sz w:val="24"/>
          <w:szCs w:val="24"/>
        </w:rPr>
        <w:t>Caso 5: Rufo Antonio Chacón Parada, Fecha: 01 de julio del 2019. El joven se encontraba en una manifestación pacífica, en Táriba, Municipio Cárdenas, Estado Táchira, solicitando les abastecieran de gas doméstico</w:t>
      </w:r>
      <w:r w:rsidR="007D53A0">
        <w:rPr>
          <w:rFonts w:ascii="Arial" w:eastAsia="Arial" w:hAnsi="Arial" w:cs="Arial"/>
          <w:sz w:val="24"/>
          <w:szCs w:val="24"/>
        </w:rPr>
        <w:t xml:space="preserve"> a la comunidad</w:t>
      </w:r>
      <w:r>
        <w:rPr>
          <w:rFonts w:ascii="Arial" w:eastAsia="Arial" w:hAnsi="Arial" w:cs="Arial"/>
          <w:sz w:val="24"/>
          <w:szCs w:val="24"/>
        </w:rPr>
        <w:t xml:space="preserve">; </w:t>
      </w:r>
      <w:r w:rsidR="007D53A0">
        <w:rPr>
          <w:rFonts w:ascii="Arial" w:eastAsia="Arial" w:hAnsi="Arial" w:cs="Arial"/>
          <w:sz w:val="24"/>
          <w:szCs w:val="24"/>
        </w:rPr>
        <w:t xml:space="preserve">los manifestantes </w:t>
      </w:r>
      <w:r>
        <w:rPr>
          <w:rFonts w:ascii="Arial" w:eastAsia="Arial" w:hAnsi="Arial" w:cs="Arial"/>
          <w:sz w:val="24"/>
          <w:szCs w:val="24"/>
        </w:rPr>
        <w:t>fueron dispersados con el ejercicio de la fuerza resultando herido</w:t>
      </w:r>
      <w:r w:rsidR="007D53A0">
        <w:rPr>
          <w:rFonts w:ascii="Arial" w:eastAsia="Arial" w:hAnsi="Arial" w:cs="Arial"/>
          <w:sz w:val="24"/>
          <w:szCs w:val="24"/>
        </w:rPr>
        <w:t xml:space="preserve"> el joven y otras personas, </w:t>
      </w:r>
      <w:r>
        <w:rPr>
          <w:rFonts w:ascii="Arial" w:eastAsia="Arial" w:hAnsi="Arial" w:cs="Arial"/>
          <w:sz w:val="24"/>
          <w:szCs w:val="24"/>
        </w:rPr>
        <w:t>no le</w:t>
      </w:r>
      <w:r w:rsidR="007D53A0">
        <w:rPr>
          <w:rFonts w:ascii="Arial" w:eastAsia="Arial" w:hAnsi="Arial" w:cs="Arial"/>
          <w:sz w:val="24"/>
          <w:szCs w:val="24"/>
        </w:rPr>
        <w:t>s</w:t>
      </w:r>
      <w:r>
        <w:rPr>
          <w:rFonts w:ascii="Arial" w:eastAsia="Arial" w:hAnsi="Arial" w:cs="Arial"/>
          <w:sz w:val="24"/>
          <w:szCs w:val="24"/>
        </w:rPr>
        <w:t xml:space="preserve"> brindaron primeros auxilios a las víctimas ni solicitaron presencia de unidades de ambulancia o protección civil. </w:t>
      </w:r>
      <w:r w:rsidR="007D53A0">
        <w:rPr>
          <w:rFonts w:ascii="Arial" w:eastAsia="Arial" w:hAnsi="Arial" w:cs="Arial"/>
          <w:sz w:val="24"/>
          <w:szCs w:val="24"/>
        </w:rPr>
        <w:t>E</w:t>
      </w:r>
      <w:r>
        <w:rPr>
          <w:rFonts w:ascii="Arial" w:eastAsia="Arial" w:hAnsi="Arial" w:cs="Arial"/>
          <w:sz w:val="24"/>
          <w:szCs w:val="24"/>
        </w:rPr>
        <w:t>l diagnóstico del joven fue "Herida por arma de fuego a nivel del rostro por perdigonazos múltiples, desfiguración de rostro", Evisceración Traumática de ambos ojos (donde los perdigones penetraron los globos oculares produciendo pérdida total).</w:t>
      </w:r>
    </w:p>
    <w:p w14:paraId="73810027" w14:textId="77777777" w:rsidR="005C6842" w:rsidRDefault="005C6842">
      <w:pPr>
        <w:spacing w:before="120" w:after="120"/>
        <w:jc w:val="both"/>
        <w:rPr>
          <w:rFonts w:ascii="Arial" w:eastAsia="Arial" w:hAnsi="Arial" w:cs="Arial"/>
          <w:sz w:val="24"/>
          <w:szCs w:val="24"/>
        </w:rPr>
      </w:pPr>
    </w:p>
    <w:p w14:paraId="36EFD9DF" w14:textId="5A005D6F" w:rsidR="005C6842" w:rsidRDefault="004A1E28">
      <w:pPr>
        <w:pBdr>
          <w:top w:val="single" w:sz="4" w:space="1" w:color="000000"/>
          <w:left w:val="single" w:sz="4" w:space="4" w:color="000000"/>
          <w:bottom w:val="single" w:sz="4" w:space="1" w:color="000000"/>
          <w:right w:val="single" w:sz="4" w:space="4" w:color="000000"/>
        </w:pBdr>
        <w:spacing w:before="120" w:after="120"/>
        <w:ind w:left="708"/>
        <w:jc w:val="both"/>
        <w:rPr>
          <w:rFonts w:ascii="Arial" w:eastAsia="Arial" w:hAnsi="Arial" w:cs="Arial"/>
          <w:sz w:val="24"/>
          <w:szCs w:val="24"/>
        </w:rPr>
      </w:pPr>
      <w:r>
        <w:rPr>
          <w:rFonts w:ascii="Arial" w:eastAsia="Arial" w:hAnsi="Arial" w:cs="Arial"/>
          <w:sz w:val="24"/>
          <w:szCs w:val="24"/>
        </w:rPr>
        <w:t xml:space="preserve">Caso 6: Rafael Ángel Cardozo Maldonado, </w:t>
      </w:r>
      <w:proofErr w:type="gramStart"/>
      <w:r>
        <w:rPr>
          <w:rFonts w:ascii="Arial" w:eastAsia="Arial" w:hAnsi="Arial" w:cs="Arial"/>
          <w:sz w:val="24"/>
          <w:szCs w:val="24"/>
        </w:rPr>
        <w:t>joven  con</w:t>
      </w:r>
      <w:proofErr w:type="gramEnd"/>
      <w:r>
        <w:rPr>
          <w:rFonts w:ascii="Arial" w:eastAsia="Arial" w:hAnsi="Arial" w:cs="Arial"/>
          <w:sz w:val="24"/>
          <w:szCs w:val="24"/>
        </w:rPr>
        <w:t xml:space="preserve">  discapacidad cognitiva. en el año 2014 en el marco de las protestas estudiantiles este joven fue detenido arbitrariamente por un contingente del Ejército Bolivariano de Venezuela adscrito al cuartel Bolívar en la ciudad de San Cristóbal.</w:t>
      </w:r>
    </w:p>
    <w:p w14:paraId="2A8603AC" w14:textId="77777777" w:rsidR="005C6842" w:rsidRDefault="005C6842">
      <w:pPr>
        <w:spacing w:before="120" w:after="120"/>
        <w:ind w:left="708"/>
        <w:jc w:val="both"/>
        <w:rPr>
          <w:rFonts w:ascii="Arial" w:eastAsia="Arial" w:hAnsi="Arial" w:cs="Arial"/>
          <w:sz w:val="24"/>
          <w:szCs w:val="24"/>
        </w:rPr>
      </w:pPr>
    </w:p>
    <w:p w14:paraId="7247B825" w14:textId="678EB348" w:rsidR="005C6842" w:rsidRDefault="004A1E28">
      <w:pPr>
        <w:pBdr>
          <w:top w:val="single" w:sz="4" w:space="1" w:color="000000"/>
          <w:left w:val="single" w:sz="4" w:space="4" w:color="000000"/>
          <w:bottom w:val="single" w:sz="4" w:space="1" w:color="000000"/>
          <w:right w:val="single" w:sz="4" w:space="4" w:color="000000"/>
        </w:pBdr>
        <w:tabs>
          <w:tab w:val="left" w:pos="709"/>
        </w:tabs>
        <w:spacing w:before="120" w:after="120"/>
        <w:ind w:left="708"/>
        <w:jc w:val="both"/>
        <w:rPr>
          <w:rFonts w:ascii="Arial" w:eastAsia="Arial" w:hAnsi="Arial" w:cs="Arial"/>
          <w:sz w:val="24"/>
          <w:szCs w:val="24"/>
        </w:rPr>
      </w:pPr>
      <w:r>
        <w:rPr>
          <w:rFonts w:ascii="Arial" w:eastAsia="Arial" w:hAnsi="Arial" w:cs="Arial"/>
          <w:sz w:val="24"/>
          <w:szCs w:val="24"/>
        </w:rPr>
        <w:tab/>
        <w:t xml:space="preserve">Caso 7: Danny Leonel Gutiérrez Salinas. Detención: 05/10/2019 en La Fría, Municipio </w:t>
      </w:r>
      <w:r w:rsidR="00250C2F">
        <w:rPr>
          <w:rFonts w:ascii="Arial" w:eastAsia="Arial" w:hAnsi="Arial" w:cs="Arial"/>
          <w:sz w:val="24"/>
          <w:szCs w:val="24"/>
        </w:rPr>
        <w:t>García</w:t>
      </w:r>
      <w:r>
        <w:rPr>
          <w:rFonts w:ascii="Arial" w:eastAsia="Arial" w:hAnsi="Arial" w:cs="Arial"/>
          <w:sz w:val="24"/>
          <w:szCs w:val="24"/>
        </w:rPr>
        <w:t xml:space="preserve"> de Hevia, Estado Táchira. Condición: Síndrome de Cornelia. Edad: 19 años.  El joven fue detenido cuando un equipo del </w:t>
      </w:r>
      <w:r w:rsidR="007D53A0" w:rsidRPr="007D53A0">
        <w:rPr>
          <w:rFonts w:ascii="Arial" w:eastAsia="Arial" w:hAnsi="Arial" w:cs="Arial"/>
          <w:sz w:val="24"/>
          <w:szCs w:val="24"/>
        </w:rPr>
        <w:t xml:space="preserve">Comando Nacional Antiextorsión y Secuestro </w:t>
      </w:r>
      <w:r w:rsidR="007D53A0">
        <w:rPr>
          <w:rFonts w:ascii="Arial" w:eastAsia="Arial" w:hAnsi="Arial" w:cs="Arial"/>
          <w:sz w:val="24"/>
          <w:szCs w:val="24"/>
        </w:rPr>
        <w:t>(</w:t>
      </w:r>
      <w:r>
        <w:rPr>
          <w:rFonts w:ascii="Arial" w:eastAsia="Arial" w:hAnsi="Arial" w:cs="Arial"/>
          <w:sz w:val="24"/>
          <w:szCs w:val="24"/>
        </w:rPr>
        <w:t>Conas</w:t>
      </w:r>
      <w:r w:rsidR="007D53A0">
        <w:rPr>
          <w:rFonts w:ascii="Arial" w:eastAsia="Arial" w:hAnsi="Arial" w:cs="Arial"/>
          <w:sz w:val="24"/>
          <w:szCs w:val="24"/>
        </w:rPr>
        <w:t>)</w:t>
      </w:r>
      <w:r>
        <w:rPr>
          <w:rFonts w:ascii="Arial" w:eastAsia="Arial" w:hAnsi="Arial" w:cs="Arial"/>
          <w:sz w:val="24"/>
          <w:szCs w:val="24"/>
        </w:rPr>
        <w:t xml:space="preserve"> allanaba la vivienda de su tío, producto de una supuesta denuncia de extor</w:t>
      </w:r>
      <w:r w:rsidR="007D53A0">
        <w:rPr>
          <w:rFonts w:ascii="Arial" w:eastAsia="Arial" w:hAnsi="Arial" w:cs="Arial"/>
          <w:sz w:val="24"/>
          <w:szCs w:val="24"/>
        </w:rPr>
        <w:t>s</w:t>
      </w:r>
      <w:r>
        <w:rPr>
          <w:rFonts w:ascii="Arial" w:eastAsia="Arial" w:hAnsi="Arial" w:cs="Arial"/>
          <w:sz w:val="24"/>
          <w:szCs w:val="24"/>
        </w:rPr>
        <w:t>ión, al momento su tío no estaba presente, los funcionarios arrestaron al joven y dos miembros de su familia, nunca fue tratado conforme a su condición.</w:t>
      </w:r>
    </w:p>
    <w:p w14:paraId="44705B67" w14:textId="77777777" w:rsidR="005C6842" w:rsidRDefault="005C6842">
      <w:pPr>
        <w:spacing w:before="120" w:after="120"/>
        <w:jc w:val="both"/>
        <w:rPr>
          <w:rFonts w:ascii="Arial" w:eastAsia="Arial" w:hAnsi="Arial" w:cs="Arial"/>
          <w:sz w:val="24"/>
          <w:szCs w:val="24"/>
        </w:rPr>
      </w:pPr>
    </w:p>
    <w:p w14:paraId="256F50EA"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Protección contra la tortura y otros tratos o penas crueles, inhumanos o degradantes (art. 15)</w:t>
      </w:r>
    </w:p>
    <w:p w14:paraId="3A7FFA53" w14:textId="77777777" w:rsidR="005C6842" w:rsidRDefault="005C6842"/>
    <w:p w14:paraId="5AB30968" w14:textId="77777777" w:rsidR="005C6842" w:rsidRDefault="004A1E28">
      <w:pPr>
        <w:numPr>
          <w:ilvl w:val="0"/>
          <w:numId w:val="2"/>
        </w:numPr>
        <w:pBdr>
          <w:top w:val="nil"/>
          <w:left w:val="nil"/>
          <w:bottom w:val="nil"/>
          <w:right w:val="nil"/>
          <w:between w:val="nil"/>
        </w:pBdr>
        <w:shd w:val="clear" w:color="auto" w:fill="FFFFFF"/>
        <w:spacing w:before="120"/>
        <w:jc w:val="both"/>
        <w:rPr>
          <w:rFonts w:ascii="Arial" w:eastAsia="Arial" w:hAnsi="Arial" w:cs="Arial"/>
          <w:color w:val="000000"/>
          <w:sz w:val="24"/>
          <w:szCs w:val="24"/>
        </w:rPr>
      </w:pPr>
      <w:r>
        <w:rPr>
          <w:rFonts w:ascii="Arial" w:eastAsia="Arial" w:hAnsi="Arial" w:cs="Arial"/>
          <w:color w:val="000000"/>
          <w:sz w:val="24"/>
          <w:szCs w:val="24"/>
        </w:rPr>
        <w:t xml:space="preserve">Se desconoce la adopción de medidas a partir de la Ley Especial para prevenir y sancionar la tortura y se continúan reportando casos de tratos inhumanos relacionados con la pobreza extrema, abuso sexual, institucionalización involuntaria, tratamientos médicos y farmacológicos forzados. Estos reportes se obtienen de las consultas médicas y terapias que realizan las </w:t>
      </w:r>
      <w:r w:rsidR="00772EA5">
        <w:rPr>
          <w:rFonts w:ascii="Arial" w:eastAsia="Arial" w:hAnsi="Arial" w:cs="Arial"/>
          <w:color w:val="000000"/>
          <w:sz w:val="24"/>
          <w:szCs w:val="24"/>
        </w:rPr>
        <w:t>OPD</w:t>
      </w:r>
      <w:r>
        <w:rPr>
          <w:rFonts w:ascii="Arial" w:eastAsia="Arial" w:hAnsi="Arial" w:cs="Arial"/>
          <w:color w:val="000000"/>
          <w:sz w:val="24"/>
          <w:szCs w:val="24"/>
        </w:rPr>
        <w:t xml:space="preserve"> asistentes a las Mesas Técnicas, pero ninguna de las situaciones ha contado con un proceso de registro sistemático ni ha sido formalmente denunciado ante las autoridades respectivas</w:t>
      </w:r>
    </w:p>
    <w:p w14:paraId="217CD105" w14:textId="77777777" w:rsidR="005C6842" w:rsidRDefault="004A1E28">
      <w:pPr>
        <w:numPr>
          <w:ilvl w:val="0"/>
          <w:numId w:val="2"/>
        </w:numPr>
        <w:pBdr>
          <w:top w:val="nil"/>
          <w:left w:val="nil"/>
          <w:bottom w:val="nil"/>
          <w:right w:val="nil"/>
          <w:between w:val="nil"/>
        </w:pBd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Venezuela atraviesa por una compleja situación socioeconómica que afecta ampliamente las condiciones de vida de la población venezolana. La hiperinflación, la dolarización de facto de alimentos y productos de primera necesidad, la alta escasez de medicinas, insumos y materiales médicos, así como el colapso de servicios básicos como el suministro de agua potable, la energía eléctrica, el gas, la gasolina y el transporte público, incluyendo las graves limitaciones de comunicación por falta de internet y medios de información independientes en la mayoría del territorio nacional. </w:t>
      </w:r>
    </w:p>
    <w:p w14:paraId="4C6B786B" w14:textId="77777777" w:rsidR="005C6842" w:rsidRDefault="004A1E28">
      <w:pPr>
        <w:numPr>
          <w:ilvl w:val="0"/>
          <w:numId w:val="2"/>
        </w:numPr>
        <w:pBdr>
          <w:top w:val="nil"/>
          <w:left w:val="nil"/>
          <w:bottom w:val="nil"/>
          <w:right w:val="nil"/>
          <w:between w:val="nil"/>
        </w:pBd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Las cifras disponibles indican que la población en situación de pobreza ha aumentado de manera alarmante sobre todo a partir del 2015, cuando se pasó de 48% a 73% de hogares en condición de pobreza. En el 2016, alcanzó 81,8% de hogares, de los cuales 51,51% estaba en situación de extrema pobreza. Para 2017 la proporción de los hogares en pobreza aumentó hasta 87% y los que se encuentran en pobreza extrema se elevó hasta 61,2%, </w:t>
      </w:r>
      <w:proofErr w:type="gramStart"/>
      <w:r>
        <w:rPr>
          <w:rFonts w:ascii="Arial" w:eastAsia="Arial" w:hAnsi="Arial" w:cs="Arial"/>
          <w:color w:val="000000"/>
          <w:sz w:val="24"/>
          <w:szCs w:val="24"/>
        </w:rPr>
        <w:t>de acuerdo a</w:t>
      </w:r>
      <w:proofErr w:type="gramEnd"/>
      <w:r w:rsidR="00045F74">
        <w:rPr>
          <w:rFonts w:ascii="Arial" w:eastAsia="Arial" w:hAnsi="Arial" w:cs="Arial"/>
          <w:color w:val="000000"/>
          <w:sz w:val="24"/>
          <w:szCs w:val="24"/>
        </w:rPr>
        <w:t xml:space="preserve"> la </w:t>
      </w:r>
      <w:r w:rsidR="00045F74" w:rsidRPr="00045F74">
        <w:rPr>
          <w:rFonts w:ascii="Arial" w:eastAsia="Arial" w:hAnsi="Arial" w:cs="Arial"/>
          <w:color w:val="000000"/>
          <w:sz w:val="24"/>
          <w:szCs w:val="24"/>
        </w:rPr>
        <w:t>Encuesta Nacional de Condiciones de Vida</w:t>
      </w:r>
      <w:r>
        <w:rPr>
          <w:rFonts w:ascii="Arial" w:eastAsia="Arial" w:hAnsi="Arial" w:cs="Arial"/>
          <w:color w:val="000000"/>
          <w:sz w:val="24"/>
          <w:szCs w:val="24"/>
        </w:rPr>
        <w:t xml:space="preserve"> </w:t>
      </w:r>
      <w:r w:rsidR="00045F74">
        <w:rPr>
          <w:rFonts w:ascii="Arial" w:eastAsia="Arial" w:hAnsi="Arial" w:cs="Arial"/>
          <w:color w:val="000000"/>
          <w:sz w:val="24"/>
          <w:szCs w:val="24"/>
        </w:rPr>
        <w:t>(</w:t>
      </w:r>
      <w:r>
        <w:rPr>
          <w:rFonts w:ascii="Arial" w:eastAsia="Arial" w:hAnsi="Arial" w:cs="Arial"/>
          <w:color w:val="000000"/>
          <w:sz w:val="24"/>
          <w:szCs w:val="24"/>
        </w:rPr>
        <w:t>ENCOVI</w:t>
      </w:r>
      <w:r w:rsidR="00045F74">
        <w:rPr>
          <w:rFonts w:ascii="Arial" w:eastAsia="Arial" w:hAnsi="Arial" w:cs="Arial"/>
          <w:color w:val="000000"/>
          <w:sz w:val="24"/>
          <w:szCs w:val="24"/>
        </w:rPr>
        <w:t>)</w:t>
      </w:r>
      <w:r>
        <w:rPr>
          <w:rFonts w:ascii="Arial" w:eastAsia="Arial" w:hAnsi="Arial" w:cs="Arial"/>
          <w:color w:val="000000"/>
          <w:sz w:val="24"/>
          <w:szCs w:val="24"/>
        </w:rPr>
        <w:t>. La CIDH ha reconocido en sus informes el impacto de estos hechos en la privación generalizada y sistemática de los derechos humanos de millones de venezolanos y venezolanas. Al mismo tiempo, advierte que determinadas personas, grupos y colectivos se han visto particularmente afectados por su situación histórica de mayor riesgo, exclusión y discriminación.</w:t>
      </w:r>
      <w:r>
        <w:rPr>
          <w:rFonts w:ascii="Calibri" w:eastAsia="Calibri" w:hAnsi="Calibri" w:cs="Calibri"/>
          <w:color w:val="000000"/>
          <w:sz w:val="22"/>
          <w:szCs w:val="22"/>
          <w:vertAlign w:val="superscript"/>
        </w:rPr>
        <w:footnoteReference w:id="41"/>
      </w:r>
      <w:r>
        <w:rPr>
          <w:rFonts w:ascii="Arial" w:eastAsia="Arial" w:hAnsi="Arial" w:cs="Arial"/>
          <w:color w:val="000000"/>
          <w:sz w:val="24"/>
          <w:szCs w:val="24"/>
        </w:rPr>
        <w:t xml:space="preserve">. </w:t>
      </w:r>
    </w:p>
    <w:p w14:paraId="51F78546" w14:textId="77777777" w:rsidR="005C6842" w:rsidRDefault="004A1E28">
      <w:pPr>
        <w:numPr>
          <w:ilvl w:val="0"/>
          <w:numId w:val="2"/>
        </w:numPr>
        <w:pBdr>
          <w:top w:val="nil"/>
          <w:left w:val="nil"/>
          <w:bottom w:val="nil"/>
          <w:right w:val="nil"/>
          <w:between w:val="nil"/>
        </w:pBdr>
        <w:shd w:val="clear" w:color="auto" w:fill="FFFFFF"/>
        <w:jc w:val="both"/>
        <w:rPr>
          <w:rFonts w:ascii="Arial" w:eastAsia="Arial" w:hAnsi="Arial" w:cs="Arial"/>
          <w:color w:val="000000"/>
          <w:sz w:val="24"/>
          <w:szCs w:val="24"/>
        </w:rPr>
      </w:pPr>
      <w:r>
        <w:rPr>
          <w:rFonts w:ascii="Arial" w:eastAsia="Arial" w:hAnsi="Arial" w:cs="Arial"/>
          <w:color w:val="000000"/>
          <w:sz w:val="24"/>
          <w:szCs w:val="24"/>
        </w:rPr>
        <w:t>En los mismos términos se pronunció la Oficina de las Naciones Unidas para los Derechos Humanos. En efecto, el informe presentado por la Alta Comisionada de las Naciones Unidas para los Derechos Humanos sobre la situación de los derechos humanos en la República Bolivariana de Venezuela</w:t>
      </w:r>
      <w:r>
        <w:rPr>
          <w:rFonts w:ascii="Calibri" w:eastAsia="Calibri" w:hAnsi="Calibri" w:cs="Calibri"/>
          <w:color w:val="000000"/>
          <w:sz w:val="22"/>
          <w:szCs w:val="22"/>
          <w:vertAlign w:val="superscript"/>
        </w:rPr>
        <w:footnoteReference w:id="42"/>
      </w:r>
      <w:r>
        <w:rPr>
          <w:rFonts w:ascii="Arial" w:eastAsia="Arial" w:hAnsi="Arial" w:cs="Arial"/>
          <w:color w:val="000000"/>
          <w:sz w:val="24"/>
          <w:szCs w:val="24"/>
        </w:rPr>
        <w:t xml:space="preserve">, reconoció que este país vive una crisis económica y social que se agudizó considerablemente entre 2018 y 2019. A medida que la economía seguía contrayéndose, la inflación se disparó y los ingresos públicos disminuyeron a raíz de una drástica reducción </w:t>
      </w:r>
      <w:r>
        <w:rPr>
          <w:rFonts w:ascii="Arial" w:eastAsia="Arial" w:hAnsi="Arial" w:cs="Arial"/>
          <w:color w:val="000000"/>
          <w:sz w:val="24"/>
          <w:szCs w:val="24"/>
        </w:rPr>
        <w:lastRenderedPageBreak/>
        <w:t xml:space="preserve">en las exportaciones de petróleo. La población venezolana está afrontando diversas e interrelacionadas violaciones de sus derechos económicos y sociales. </w:t>
      </w:r>
    </w:p>
    <w:p w14:paraId="1FC0B78E" w14:textId="77777777" w:rsidR="005C6842" w:rsidRDefault="004A1E28">
      <w:pPr>
        <w:numPr>
          <w:ilvl w:val="0"/>
          <w:numId w:val="2"/>
        </w:numPr>
        <w:pBdr>
          <w:top w:val="nil"/>
          <w:left w:val="nil"/>
          <w:bottom w:val="nil"/>
          <w:right w:val="nil"/>
          <w:between w:val="nil"/>
        </w:pBdr>
        <w:shd w:val="clear" w:color="auto" w:fill="FFFFFF"/>
        <w:jc w:val="both"/>
        <w:rPr>
          <w:rFonts w:ascii="Arial" w:eastAsia="Arial" w:hAnsi="Arial" w:cs="Arial"/>
          <w:color w:val="000000"/>
          <w:sz w:val="24"/>
          <w:szCs w:val="24"/>
        </w:rPr>
      </w:pPr>
      <w:r>
        <w:rPr>
          <w:rFonts w:ascii="Arial" w:eastAsia="Arial" w:hAnsi="Arial" w:cs="Arial"/>
          <w:color w:val="000000"/>
          <w:sz w:val="24"/>
          <w:szCs w:val="24"/>
        </w:rPr>
        <w:t>Además, el desvío de recursos, la corrupción y la falta de mantenimiento en la infraestructura pública, así como la subinversión han tenido como resultado violaciones al derecho a un nivel adecuado de vida, entre otros, debido al deterioro de servicios básicos como el transporte público y el acceso a electricidad, agua y gas natural. A partir de septiembre de 2018, miembros del Gobierno nacional empezaron a hablar de las consecuencias de la crisis económica y a reconocer ciertos aspectos de la situación humanitaria, principalmente respecto de la escasez de la alimentación y de los medicamentos.</w:t>
      </w:r>
    </w:p>
    <w:p w14:paraId="3F4E965B" w14:textId="77777777" w:rsidR="005C6842" w:rsidRDefault="004A1E28">
      <w:pPr>
        <w:numPr>
          <w:ilvl w:val="0"/>
          <w:numId w:val="2"/>
        </w:numPr>
        <w:pBdr>
          <w:top w:val="nil"/>
          <w:left w:val="nil"/>
          <w:bottom w:val="nil"/>
          <w:right w:val="nil"/>
          <w:between w:val="nil"/>
        </w:pBd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Por otra parte, la Alta Comisionada de la ONU para los Derechos Humanos indicó que en Venezuela existe un conjunto de leyes, políticas y prácticas que ha reducido el ámbito democrático, ha desmontado el sistema de control institucional sobre el poder ejecutivo y ha permitido la reiteración de graves violaciones de derechos humanos. Ello ha causado que sean pocas las personas que presentan denuncias, por miedo a las represalias o por falta de confianza en el sistema judicial y en las instituciones. Y quienes sí lo hacen, se enfrentan a obstáculos omnipresentes y, en la mayoría de los casos, a investigaciones que se estancan. </w:t>
      </w:r>
    </w:p>
    <w:p w14:paraId="44EAFDBF" w14:textId="77777777" w:rsidR="005C6842" w:rsidRDefault="004A1E28">
      <w:pPr>
        <w:numPr>
          <w:ilvl w:val="0"/>
          <w:numId w:val="2"/>
        </w:numPr>
        <w:pBdr>
          <w:top w:val="nil"/>
          <w:left w:val="nil"/>
          <w:bottom w:val="nil"/>
          <w:right w:val="nil"/>
          <w:between w:val="nil"/>
        </w:pBdr>
        <w:shd w:val="clear" w:color="auto" w:fill="FFFFFF"/>
        <w:jc w:val="both"/>
        <w:rPr>
          <w:rFonts w:ascii="Arial" w:eastAsia="Arial" w:hAnsi="Arial" w:cs="Arial"/>
          <w:color w:val="000000"/>
          <w:sz w:val="24"/>
          <w:szCs w:val="24"/>
        </w:rPr>
      </w:pPr>
      <w:r>
        <w:rPr>
          <w:rFonts w:ascii="Arial" w:eastAsia="Arial" w:hAnsi="Arial" w:cs="Arial"/>
          <w:color w:val="000000"/>
          <w:sz w:val="24"/>
          <w:szCs w:val="24"/>
        </w:rPr>
        <w:t>El informe advierte las graves omisiones de instituciones del Estado venezolano en cuanto a la protección y garantía de los Derechos Humanos. El Ministerio Público ha incumplido con regularidad su obligación de investigar y llevar a juicio a las personas responsables de los hechos y la Defensoría del Pueblo ha guardado silencio ante las violaciones de derechos humanos.</w:t>
      </w:r>
    </w:p>
    <w:p w14:paraId="06155651" w14:textId="77777777" w:rsidR="005C6842" w:rsidRDefault="005C6842">
      <w:pPr>
        <w:pBdr>
          <w:top w:val="nil"/>
          <w:left w:val="nil"/>
          <w:bottom w:val="nil"/>
          <w:right w:val="nil"/>
          <w:between w:val="nil"/>
        </w:pBdr>
        <w:shd w:val="clear" w:color="auto" w:fill="FFFFFF"/>
        <w:spacing w:after="120"/>
        <w:ind w:left="720" w:hanging="720"/>
        <w:jc w:val="both"/>
        <w:rPr>
          <w:rFonts w:ascii="Arial" w:eastAsia="Arial" w:hAnsi="Arial" w:cs="Arial"/>
          <w:color w:val="000000"/>
          <w:sz w:val="24"/>
          <w:szCs w:val="24"/>
        </w:rPr>
      </w:pPr>
    </w:p>
    <w:p w14:paraId="7B9D114D"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lastRenderedPageBreak/>
        <w:t>Libertad de circulación y nacionalidad (art. 18)</w:t>
      </w:r>
    </w:p>
    <w:p w14:paraId="53ADB9CC" w14:textId="77777777" w:rsidR="005C6842" w:rsidRDefault="004A1E28">
      <w:pPr>
        <w:keepNext/>
        <w:keepLines/>
        <w:numPr>
          <w:ilvl w:val="0"/>
          <w:numId w:val="2"/>
        </w:num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No son visibles las medidas adoptadas por el Estado venezolano para garantizar la accesibilidad de los procedimientos para obtener, poseer y utilizar la documentación relativa a la nacionalidad ni para los procedimientos de inmigración que faciliten el ejercicio del derecho a la libertad de circulación de las personas con discapacidad. Hasta la fecha los trámites requieren procedimientos poco accesibles y sumamente costosos. La única accesibilidad que se garantiza es dar trato preferencial durante los trámites. Incluso en la página web del SAIME, ente encargado de la emisión de pasaportes, no se encuentra información específica sobre a dónde acudir y cómo realizar los trámites respectivos de manera independiente para la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w:t>
      </w:r>
    </w:p>
    <w:p w14:paraId="4ABDA6A5" w14:textId="77777777" w:rsidR="005C6842" w:rsidRDefault="004A1E28">
      <w:pPr>
        <w:keepNext/>
        <w:keepLines/>
        <w:numPr>
          <w:ilvl w:val="0"/>
          <w:numId w:val="2"/>
        </w:num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De igual manera se reitera que el Estado venezolano no cumple con el artículo 18 de la </w:t>
      </w:r>
      <w:r w:rsidR="006116E1">
        <w:rPr>
          <w:rFonts w:ascii="Arial" w:eastAsia="Arial" w:hAnsi="Arial" w:cs="Arial"/>
          <w:color w:val="000000"/>
          <w:sz w:val="24"/>
          <w:szCs w:val="24"/>
        </w:rPr>
        <w:t>C</w:t>
      </w:r>
      <w:r w:rsidR="00A4140F">
        <w:rPr>
          <w:rFonts w:ascii="Arial" w:eastAsia="Arial" w:hAnsi="Arial" w:cs="Arial"/>
          <w:color w:val="000000"/>
          <w:sz w:val="24"/>
          <w:szCs w:val="24"/>
        </w:rPr>
        <w:t>PC</w:t>
      </w:r>
      <w:r w:rsidR="006116E1">
        <w:rPr>
          <w:rFonts w:ascii="Arial" w:eastAsia="Arial" w:hAnsi="Arial" w:cs="Arial"/>
          <w:color w:val="000000"/>
          <w:sz w:val="24"/>
          <w:szCs w:val="24"/>
        </w:rPr>
        <w:t>D</w:t>
      </w:r>
      <w:r>
        <w:rPr>
          <w:rFonts w:ascii="Arial" w:eastAsia="Arial" w:hAnsi="Arial" w:cs="Arial"/>
          <w:color w:val="000000"/>
          <w:sz w:val="24"/>
          <w:szCs w:val="24"/>
        </w:rPr>
        <w:t xml:space="preserve">, referido a la libertad de escoger libremente residencia a las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al punto de poder afirmarse que en Venezuela existe un desplazamiento forzado de venezolanos, como lo reconoce y ha sido declarado por ACNUR desde el año 2017, que han huido de la EHC</w:t>
      </w:r>
      <w:r>
        <w:rPr>
          <w:rFonts w:ascii="Arial" w:eastAsia="Arial" w:hAnsi="Arial" w:cs="Arial"/>
          <w:b/>
          <w:color w:val="000000"/>
          <w:sz w:val="24"/>
          <w:szCs w:val="24"/>
        </w:rPr>
        <w:t xml:space="preserve"> </w:t>
      </w:r>
      <w:r>
        <w:rPr>
          <w:rFonts w:ascii="Arial" w:eastAsia="Arial" w:hAnsi="Arial" w:cs="Arial"/>
          <w:color w:val="000000"/>
          <w:sz w:val="24"/>
          <w:szCs w:val="24"/>
        </w:rPr>
        <w:t xml:space="preserve">y la crisis política que atraviesa el país. Por otra parte, dado que el artículo 19 de la </w:t>
      </w:r>
      <w:r w:rsidR="006116E1">
        <w:rPr>
          <w:rFonts w:ascii="Arial" w:eastAsia="Arial" w:hAnsi="Arial" w:cs="Arial"/>
          <w:color w:val="000000"/>
          <w:sz w:val="24"/>
          <w:szCs w:val="24"/>
        </w:rPr>
        <w:t>C</w:t>
      </w:r>
      <w:r w:rsidR="00A4140F">
        <w:rPr>
          <w:rFonts w:ascii="Arial" w:eastAsia="Arial" w:hAnsi="Arial" w:cs="Arial"/>
          <w:color w:val="000000"/>
          <w:sz w:val="24"/>
          <w:szCs w:val="24"/>
        </w:rPr>
        <w:t>PCD</w:t>
      </w:r>
      <w:r>
        <w:rPr>
          <w:rFonts w:ascii="Arial" w:eastAsia="Arial" w:hAnsi="Arial" w:cs="Arial"/>
          <w:color w:val="000000"/>
          <w:sz w:val="24"/>
          <w:szCs w:val="24"/>
        </w:rPr>
        <w:t xml:space="preserve">, contempla la libertad de la persona con discapacidad de escoger su residencia, así como contar con una variedad de servicios domiciliarios o residenciales, también debe afirmarse que el mismo no es cumplido por el Estado venezolano, pues las personas con discapacidad se han visto forzadas a irse de Venezuela, muchas veces por la deficiencia del sistema de salud y la alimentación, derechos que no le son garantizados adecuadamente por el Estado venezolano. </w:t>
      </w:r>
    </w:p>
    <w:p w14:paraId="68AED21E" w14:textId="77777777" w:rsidR="005C6842" w:rsidRDefault="005C6842">
      <w:pPr>
        <w:keepNext/>
        <w:keepLines/>
        <w:pBdr>
          <w:top w:val="nil"/>
          <w:left w:val="nil"/>
          <w:bottom w:val="nil"/>
          <w:right w:val="nil"/>
          <w:between w:val="nil"/>
        </w:pBdr>
        <w:spacing w:before="120" w:after="120"/>
        <w:ind w:left="1134" w:right="1134" w:hanging="1134"/>
        <w:jc w:val="both"/>
        <w:rPr>
          <w:rFonts w:ascii="Arial" w:eastAsia="Arial" w:hAnsi="Arial" w:cs="Arial"/>
          <w:color w:val="000000"/>
          <w:sz w:val="24"/>
          <w:szCs w:val="24"/>
        </w:rPr>
      </w:pPr>
    </w:p>
    <w:p w14:paraId="15BFC25C" w14:textId="77777777" w:rsidR="005C6842" w:rsidRPr="00655E48"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 xml:space="preserve">Derecho a vivir de forma independiente y a ser incluido en la </w:t>
      </w:r>
      <w:r w:rsidRPr="00655E48">
        <w:rPr>
          <w:rFonts w:ascii="Arial" w:eastAsia="Arial" w:hAnsi="Arial" w:cs="Arial"/>
          <w:b/>
          <w:color w:val="000000"/>
          <w:sz w:val="24"/>
          <w:szCs w:val="24"/>
        </w:rPr>
        <w:t>comunidad (art. 19)</w:t>
      </w:r>
    </w:p>
    <w:p w14:paraId="789007C1" w14:textId="6880B9AE" w:rsidR="005C6842" w:rsidRPr="00655E48" w:rsidRDefault="004A1E28">
      <w:pPr>
        <w:numPr>
          <w:ilvl w:val="0"/>
          <w:numId w:val="2"/>
        </w:numPr>
        <w:shd w:val="clear" w:color="auto" w:fill="FFFFFF"/>
        <w:spacing w:before="120" w:after="120"/>
        <w:jc w:val="both"/>
        <w:rPr>
          <w:rFonts w:ascii="Arial" w:eastAsia="Arial" w:hAnsi="Arial" w:cs="Arial"/>
          <w:sz w:val="24"/>
          <w:szCs w:val="24"/>
        </w:rPr>
      </w:pPr>
      <w:r w:rsidRPr="00655E48">
        <w:rPr>
          <w:rFonts w:ascii="Arial" w:eastAsia="Arial" w:hAnsi="Arial" w:cs="Arial"/>
          <w:sz w:val="24"/>
          <w:szCs w:val="24"/>
        </w:rPr>
        <w:t xml:space="preserve">No existen mecanismos para monitorear el cierre de instituciones en Venezuela que atiendan a </w:t>
      </w:r>
      <w:proofErr w:type="spellStart"/>
      <w:r w:rsidRPr="00655E48">
        <w:rPr>
          <w:rFonts w:ascii="Arial" w:eastAsia="Arial" w:hAnsi="Arial" w:cs="Arial"/>
          <w:sz w:val="24"/>
          <w:szCs w:val="24"/>
        </w:rPr>
        <w:t>PcD</w:t>
      </w:r>
      <w:proofErr w:type="spellEnd"/>
      <w:r w:rsidRPr="00655E48">
        <w:rPr>
          <w:rFonts w:ascii="Arial" w:eastAsia="Arial" w:hAnsi="Arial" w:cs="Arial"/>
          <w:sz w:val="24"/>
          <w:szCs w:val="24"/>
        </w:rPr>
        <w:t xml:space="preserve"> ni tampoco el Estado se encarga de impulsar la autonomía de la </w:t>
      </w:r>
      <w:proofErr w:type="spellStart"/>
      <w:r w:rsidRPr="00655E48">
        <w:rPr>
          <w:rFonts w:ascii="Arial" w:eastAsia="Arial" w:hAnsi="Arial" w:cs="Arial"/>
          <w:sz w:val="24"/>
          <w:szCs w:val="24"/>
        </w:rPr>
        <w:t>PcD</w:t>
      </w:r>
      <w:proofErr w:type="spellEnd"/>
      <w:r w:rsidRPr="00655E48">
        <w:rPr>
          <w:rFonts w:ascii="Arial" w:eastAsia="Arial" w:hAnsi="Arial" w:cs="Arial"/>
          <w:sz w:val="24"/>
          <w:szCs w:val="24"/>
        </w:rPr>
        <w:t xml:space="preserve">. En algunos casos la familia se hace responsable de la </w:t>
      </w:r>
      <w:proofErr w:type="spellStart"/>
      <w:r w:rsidRPr="00655E48">
        <w:rPr>
          <w:rFonts w:ascii="Arial" w:eastAsia="Arial" w:hAnsi="Arial" w:cs="Arial"/>
          <w:sz w:val="24"/>
          <w:szCs w:val="24"/>
        </w:rPr>
        <w:t>PcD</w:t>
      </w:r>
      <w:proofErr w:type="spellEnd"/>
      <w:r w:rsidRPr="00655E48">
        <w:rPr>
          <w:rFonts w:ascii="Arial" w:eastAsia="Arial" w:hAnsi="Arial" w:cs="Arial"/>
          <w:sz w:val="24"/>
          <w:szCs w:val="24"/>
        </w:rPr>
        <w:t xml:space="preserve"> como lo indica la ley y como rasgo cultural del </w:t>
      </w:r>
      <w:proofErr w:type="gramStart"/>
      <w:r w:rsidRPr="00655E48">
        <w:rPr>
          <w:rFonts w:ascii="Arial" w:eastAsia="Arial" w:hAnsi="Arial" w:cs="Arial"/>
          <w:sz w:val="24"/>
          <w:szCs w:val="24"/>
        </w:rPr>
        <w:t>venezolano</w:t>
      </w:r>
      <w:proofErr w:type="gramEnd"/>
      <w:r w:rsidRPr="00655E48">
        <w:rPr>
          <w:rFonts w:ascii="Arial" w:eastAsia="Arial" w:hAnsi="Arial" w:cs="Arial"/>
          <w:sz w:val="24"/>
          <w:szCs w:val="24"/>
        </w:rPr>
        <w:t xml:space="preserve"> pero en otros casos por muerte de los padres, situaciones económicas, o de otra índole,</w:t>
      </w:r>
      <w:r w:rsidR="00AA6AAC">
        <w:rPr>
          <w:rFonts w:ascii="Arial" w:eastAsia="Arial" w:hAnsi="Arial" w:cs="Arial"/>
          <w:sz w:val="24"/>
          <w:szCs w:val="24"/>
        </w:rPr>
        <w:t xml:space="preserve"> </w:t>
      </w:r>
      <w:r w:rsidRPr="00655E48">
        <w:rPr>
          <w:rFonts w:ascii="Arial" w:eastAsia="Arial" w:hAnsi="Arial" w:cs="Arial"/>
          <w:sz w:val="24"/>
          <w:szCs w:val="24"/>
        </w:rPr>
        <w:t xml:space="preserve">la familia cesa el cuidado y manutención del familiar con discapacidad y la persona pasa a estar en situación de calle. </w:t>
      </w:r>
    </w:p>
    <w:p w14:paraId="48866A21" w14:textId="77777777" w:rsidR="005C6842" w:rsidRPr="008462BA" w:rsidRDefault="004A1E28">
      <w:pPr>
        <w:numPr>
          <w:ilvl w:val="0"/>
          <w:numId w:val="2"/>
        </w:numPr>
        <w:shd w:val="clear" w:color="auto" w:fill="FFFFFF"/>
        <w:spacing w:before="120" w:after="120"/>
        <w:jc w:val="both"/>
        <w:rPr>
          <w:rFonts w:ascii="Arial" w:eastAsia="Arial" w:hAnsi="Arial" w:cs="Arial"/>
          <w:sz w:val="24"/>
          <w:szCs w:val="24"/>
        </w:rPr>
      </w:pPr>
      <w:r w:rsidRPr="00655E48">
        <w:rPr>
          <w:rFonts w:ascii="Arial" w:eastAsia="Arial" w:hAnsi="Arial" w:cs="Arial"/>
          <w:sz w:val="24"/>
          <w:szCs w:val="24"/>
        </w:rPr>
        <w:t xml:space="preserve">Con relación a los mecanismos de apoyo a personas </w:t>
      </w:r>
      <w:proofErr w:type="spellStart"/>
      <w:r w:rsidRPr="00655E48">
        <w:rPr>
          <w:rFonts w:ascii="Arial" w:eastAsia="Arial" w:hAnsi="Arial" w:cs="Arial"/>
          <w:sz w:val="24"/>
          <w:szCs w:val="24"/>
        </w:rPr>
        <w:t>des-institucionalizadas</w:t>
      </w:r>
      <w:proofErr w:type="spellEnd"/>
      <w:r w:rsidRPr="00655E48">
        <w:rPr>
          <w:rFonts w:ascii="Arial" w:eastAsia="Arial" w:hAnsi="Arial" w:cs="Arial"/>
          <w:sz w:val="24"/>
          <w:szCs w:val="24"/>
        </w:rPr>
        <w:t xml:space="preserve"> de hospitales psiquiátricos que enfrentan situación de calle según las </w:t>
      </w:r>
      <w:r w:rsidR="00772EA5" w:rsidRPr="00655E48">
        <w:rPr>
          <w:rFonts w:ascii="Arial" w:eastAsia="Arial" w:hAnsi="Arial" w:cs="Arial"/>
          <w:sz w:val="24"/>
          <w:szCs w:val="24"/>
        </w:rPr>
        <w:t>OPD</w:t>
      </w:r>
      <w:r w:rsidRPr="00655E48">
        <w:rPr>
          <w:rFonts w:ascii="Arial" w:eastAsia="Arial" w:hAnsi="Arial" w:cs="Arial"/>
          <w:sz w:val="24"/>
          <w:szCs w:val="24"/>
        </w:rPr>
        <w:t xml:space="preserve"> que asistieron a las Mesas Técnicas no existen los mecanismos de apoyo para este tipo de</w:t>
      </w:r>
      <w:r>
        <w:rPr>
          <w:rFonts w:ascii="Arial" w:eastAsia="Arial" w:hAnsi="Arial" w:cs="Arial"/>
          <w:sz w:val="24"/>
          <w:szCs w:val="24"/>
        </w:rPr>
        <w:t xml:space="preserve"> situaciones. </w:t>
      </w:r>
    </w:p>
    <w:p w14:paraId="67A246EF"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 xml:space="preserve">La Misión Negra Hipólita ha realizado algunas actividades para beneficiar a esta población con un carácter asistencialista que poco apoyan a la independencia y desarrollo de la </w:t>
      </w:r>
      <w:proofErr w:type="spellStart"/>
      <w:r>
        <w:rPr>
          <w:rFonts w:ascii="Arial" w:eastAsia="Arial" w:hAnsi="Arial" w:cs="Arial"/>
          <w:sz w:val="24"/>
          <w:szCs w:val="24"/>
        </w:rPr>
        <w:t>PcD</w:t>
      </w:r>
      <w:proofErr w:type="spellEnd"/>
      <w:r>
        <w:rPr>
          <w:rFonts w:ascii="Arial" w:eastAsia="Arial" w:hAnsi="Arial" w:cs="Arial"/>
          <w:sz w:val="24"/>
          <w:szCs w:val="24"/>
        </w:rPr>
        <w:t>, reportando las siguientes cifras como resultado de su gestión al 17.01.2020:</w:t>
      </w:r>
    </w:p>
    <w:p w14:paraId="57881B96" w14:textId="77777777" w:rsidR="005C6842" w:rsidRDefault="004A1E28">
      <w:pPr>
        <w:shd w:val="clear" w:color="auto" w:fill="FFFFFF"/>
        <w:spacing w:before="120" w:after="120"/>
        <w:ind w:left="1134" w:right="724"/>
        <w:jc w:val="both"/>
        <w:rPr>
          <w:rFonts w:ascii="Arial" w:eastAsia="Arial" w:hAnsi="Arial" w:cs="Arial"/>
          <w:sz w:val="24"/>
          <w:szCs w:val="24"/>
        </w:rPr>
      </w:pPr>
      <w:r>
        <w:rPr>
          <w:rFonts w:ascii="Arial" w:eastAsia="Arial" w:hAnsi="Arial" w:cs="Arial"/>
          <w:sz w:val="24"/>
          <w:szCs w:val="24"/>
        </w:rPr>
        <w:t>“Jornadas integrales donde fueron favorecid</w:t>
      </w:r>
      <w:r w:rsidR="0083046E">
        <w:rPr>
          <w:rFonts w:ascii="Arial" w:eastAsia="Arial" w:hAnsi="Arial" w:cs="Arial"/>
          <w:sz w:val="24"/>
          <w:szCs w:val="24"/>
        </w:rPr>
        <w:t>a</w:t>
      </w:r>
      <w:r>
        <w:rPr>
          <w:rFonts w:ascii="Arial" w:eastAsia="Arial" w:hAnsi="Arial" w:cs="Arial"/>
          <w:sz w:val="24"/>
          <w:szCs w:val="24"/>
        </w:rPr>
        <w:t xml:space="preserve">s 60.749 adultos además de 33.364 niños y niñas con los servicios de medicina general, </w:t>
      </w:r>
      <w:r>
        <w:rPr>
          <w:rFonts w:ascii="Arial" w:eastAsia="Arial" w:hAnsi="Arial" w:cs="Arial"/>
          <w:sz w:val="24"/>
          <w:szCs w:val="24"/>
        </w:rPr>
        <w:lastRenderedPageBreak/>
        <w:t>pediatría, odontología, traumatología, fisiatría, oftalmología, optometría y ginecología, también se realizaron exámenes de laboratorio, antígenos prostáticos, ecografías, la aplicación de vacunas y de inyecciones anticonceptivas, así como del registro C</w:t>
      </w:r>
      <w:r w:rsidR="0083046E">
        <w:rPr>
          <w:rFonts w:ascii="Arial" w:eastAsia="Arial" w:hAnsi="Arial" w:cs="Arial"/>
          <w:sz w:val="24"/>
          <w:szCs w:val="24"/>
        </w:rPr>
        <w:t>ONAPDIS,</w:t>
      </w:r>
      <w:r>
        <w:rPr>
          <w:rFonts w:ascii="Arial" w:eastAsia="Arial" w:hAnsi="Arial" w:cs="Arial"/>
          <w:sz w:val="24"/>
          <w:szCs w:val="24"/>
        </w:rPr>
        <w:t xml:space="preserve"> entre otros.</w:t>
      </w:r>
    </w:p>
    <w:p w14:paraId="1B971E63" w14:textId="77777777" w:rsidR="005C6842" w:rsidRDefault="004A1E28">
      <w:pPr>
        <w:shd w:val="clear" w:color="auto" w:fill="FFFFFF"/>
        <w:spacing w:before="120" w:after="120"/>
        <w:ind w:left="1134" w:right="724"/>
        <w:jc w:val="both"/>
        <w:rPr>
          <w:rFonts w:ascii="Arial" w:eastAsia="Arial" w:hAnsi="Arial" w:cs="Arial"/>
          <w:sz w:val="24"/>
          <w:szCs w:val="24"/>
        </w:rPr>
      </w:pPr>
      <w:r>
        <w:rPr>
          <w:rFonts w:ascii="Arial" w:eastAsia="Arial" w:hAnsi="Arial" w:cs="Arial"/>
          <w:sz w:val="24"/>
          <w:szCs w:val="24"/>
        </w:rPr>
        <w:t xml:space="preserve">Igualmente, se entregaron 1.140 ayudas técnicas entre las que se encuentran sillas de ruedas, muletas, bastones, caminador, colchón </w:t>
      </w:r>
      <w:proofErr w:type="spellStart"/>
      <w:r>
        <w:rPr>
          <w:rFonts w:ascii="Arial" w:eastAsia="Arial" w:hAnsi="Arial" w:cs="Arial"/>
          <w:sz w:val="24"/>
          <w:szCs w:val="24"/>
        </w:rPr>
        <w:t>anti-escara</w:t>
      </w:r>
      <w:proofErr w:type="spellEnd"/>
      <w:r>
        <w:rPr>
          <w:rFonts w:ascii="Arial" w:eastAsia="Arial" w:hAnsi="Arial" w:cs="Arial"/>
          <w:sz w:val="24"/>
          <w:szCs w:val="24"/>
        </w:rPr>
        <w:t xml:space="preserve"> para niños y adultos con discapacidad, por parte del personal de la Misión Dr. José Gregorio Hernández.</w:t>
      </w:r>
    </w:p>
    <w:p w14:paraId="0F758E17" w14:textId="77777777" w:rsidR="005C6842" w:rsidRDefault="004A1E28">
      <w:pPr>
        <w:shd w:val="clear" w:color="auto" w:fill="FFFFFF"/>
        <w:spacing w:before="120" w:after="120"/>
        <w:ind w:left="1134" w:right="724"/>
        <w:jc w:val="both"/>
        <w:rPr>
          <w:rFonts w:ascii="Arial" w:eastAsia="Arial" w:hAnsi="Arial" w:cs="Arial"/>
          <w:sz w:val="24"/>
          <w:szCs w:val="24"/>
        </w:rPr>
      </w:pPr>
      <w:r>
        <w:rPr>
          <w:rFonts w:ascii="Arial" w:eastAsia="Arial" w:hAnsi="Arial" w:cs="Arial"/>
          <w:sz w:val="24"/>
          <w:szCs w:val="24"/>
        </w:rPr>
        <w:t>Adicionalmente, fueron distribuidos de forma gratuita un total de 559.298 medicamentos a través del equipo de 0800 Salud Ya, con la finalidad de ayudar a los más necesitados en materia de salud</w:t>
      </w:r>
      <w:r>
        <w:rPr>
          <w:rFonts w:ascii="Arial" w:eastAsia="Arial" w:hAnsi="Arial" w:cs="Arial"/>
          <w:sz w:val="24"/>
          <w:szCs w:val="24"/>
          <w:vertAlign w:val="superscript"/>
        </w:rPr>
        <w:footnoteReference w:id="43"/>
      </w:r>
      <w:r>
        <w:rPr>
          <w:rFonts w:ascii="Arial" w:eastAsia="Arial" w:hAnsi="Arial" w:cs="Arial"/>
          <w:sz w:val="24"/>
          <w:szCs w:val="24"/>
        </w:rPr>
        <w:t>”.</w:t>
      </w:r>
    </w:p>
    <w:p w14:paraId="2BD8BED4"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 xml:space="preserve">Con relación a la asignación de presupuesto público para promover iniciativas comunitarias relativas a la vida independiente y a la inclusión de personas con discapacidad, los resultados de las Mesas Técnica arrojaron que se desconoce la cifra oficial de inversiones de verdadero impacto por parte del estado. Las </w:t>
      </w:r>
      <w:r w:rsidR="00772EA5">
        <w:rPr>
          <w:rFonts w:ascii="Arial" w:eastAsia="Arial" w:hAnsi="Arial" w:cs="Arial"/>
          <w:sz w:val="24"/>
          <w:szCs w:val="24"/>
        </w:rPr>
        <w:t>OPD</w:t>
      </w:r>
      <w:r>
        <w:rPr>
          <w:rFonts w:ascii="Arial" w:eastAsia="Arial" w:hAnsi="Arial" w:cs="Arial"/>
          <w:sz w:val="24"/>
          <w:szCs w:val="24"/>
        </w:rPr>
        <w:t xml:space="preserve"> desconocen programas de apoyo para que las personas con discapacidad psico-social o intelectual puedan iniciar una vida independiente. Los expertos indican que las personas con discapacidad beneficiarias de sus servicios expresan imposibilidad de acceder económicamente a una vivienda adecuada, por la falta de líneas de crédito por parte de la banca pública y privada, las dificultades de acceso a trabajos con ingresos significativos y la ausencia de una verdadera priorización en las asignaciones financieras a la Misión Vivienda. </w:t>
      </w:r>
    </w:p>
    <w:p w14:paraId="351DA6E1"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 xml:space="preserve">Adicionalmente, no hay programas públicos orientados a entrenar en habilidades tendientes a vivir de manera independiente ni sistemas de apoyo para ello. Por el contrario, se ofrecen son programas solamente asistencialistas desde el enfoque médico o exclusivamente de capacitación laboral. La falta de acceso a una vivienda independiente, aunada a la ausencia de programas de vida independiente subsidiados por el Estado, anula la posibilidad de toma de decisión a elegir lugar de residencia. En consecuencia, las personas con discapacidad en general viven las mismas dificultades que la población sin discapacidad y las personas con condición psico-social e intelectual se ven limitadas a vivir con sus familiares o en situación de calle. </w:t>
      </w:r>
    </w:p>
    <w:p w14:paraId="4D97D3BD"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 xml:space="preserve">Las </w:t>
      </w:r>
      <w:r w:rsidR="00772EA5">
        <w:rPr>
          <w:rFonts w:ascii="Arial" w:eastAsia="Arial" w:hAnsi="Arial" w:cs="Arial"/>
          <w:sz w:val="24"/>
          <w:szCs w:val="24"/>
        </w:rPr>
        <w:t>OPD</w:t>
      </w:r>
      <w:r>
        <w:rPr>
          <w:rFonts w:ascii="Arial" w:eastAsia="Arial" w:hAnsi="Arial" w:cs="Arial"/>
          <w:sz w:val="24"/>
          <w:szCs w:val="24"/>
        </w:rPr>
        <w:t xml:space="preserve"> en las Mesas Técnicas afirmaron que en Venezuela no existen alternativas residenciales ni se han empleado mecanismos para des institucionalizar a la </w:t>
      </w:r>
      <w:proofErr w:type="spellStart"/>
      <w:r>
        <w:rPr>
          <w:rFonts w:ascii="Arial" w:eastAsia="Arial" w:hAnsi="Arial" w:cs="Arial"/>
          <w:sz w:val="24"/>
          <w:szCs w:val="24"/>
        </w:rPr>
        <w:t>PcD</w:t>
      </w:r>
      <w:proofErr w:type="spellEnd"/>
      <w:r>
        <w:rPr>
          <w:rFonts w:ascii="Arial" w:eastAsia="Arial" w:hAnsi="Arial" w:cs="Arial"/>
          <w:sz w:val="24"/>
          <w:szCs w:val="24"/>
        </w:rPr>
        <w:t xml:space="preserve">. La responsabilidad del cuidado de esta población recae directa y exclusivamente en las familias. En este punto, las Mesas Técnicas también reportaron conocer apenas dos instituciones privadas donde viven hasta 30 personas. Las personas que las habitan tienen discapacidad psicosocial o intelectual en su mayoría, sus padres son de avanzada edad o han fallecido y su </w:t>
      </w:r>
      <w:r>
        <w:rPr>
          <w:rFonts w:ascii="Arial" w:eastAsia="Arial" w:hAnsi="Arial" w:cs="Arial"/>
          <w:sz w:val="24"/>
          <w:szCs w:val="24"/>
        </w:rPr>
        <w:lastRenderedPageBreak/>
        <w:t xml:space="preserve">manutención es costeada por familiares, pues la alternativa de permanecer con sus familias ya no se contempla. </w:t>
      </w:r>
    </w:p>
    <w:p w14:paraId="54A2D6DF"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Movilidad personal (art. 20)</w:t>
      </w:r>
    </w:p>
    <w:p w14:paraId="061A015B"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 xml:space="preserve">Según señalaron las </w:t>
      </w:r>
      <w:r w:rsidR="00772EA5">
        <w:rPr>
          <w:rFonts w:ascii="Arial" w:eastAsia="Arial" w:hAnsi="Arial" w:cs="Arial"/>
          <w:sz w:val="24"/>
          <w:szCs w:val="24"/>
        </w:rPr>
        <w:t>OPD</w:t>
      </w:r>
      <w:r>
        <w:rPr>
          <w:rFonts w:ascii="Arial" w:eastAsia="Arial" w:hAnsi="Arial" w:cs="Arial"/>
          <w:sz w:val="24"/>
          <w:szCs w:val="24"/>
        </w:rPr>
        <w:t xml:space="preserve"> en las Mesas Técnicas, la Misión José Gregorio Hernández cuenta con un laboratorio de órtesis y prótesis en los estados Lara y Vargas. Sin embargo, no hay información suficiente sobre el acceso a esta Misión de las personas con discapacidad motora a quien le falte uno o más miembros. Las organizaciones de las mesas técnicas señalan que el mantenimiento de las sillas de rueda sigue corriendo por cuenta de la </w:t>
      </w:r>
      <w:proofErr w:type="spellStart"/>
      <w:r>
        <w:rPr>
          <w:rFonts w:ascii="Arial" w:eastAsia="Arial" w:hAnsi="Arial" w:cs="Arial"/>
          <w:sz w:val="24"/>
          <w:szCs w:val="24"/>
        </w:rPr>
        <w:t>PcD</w:t>
      </w:r>
      <w:proofErr w:type="spellEnd"/>
      <w:r>
        <w:rPr>
          <w:rFonts w:ascii="Arial" w:eastAsia="Arial" w:hAnsi="Arial" w:cs="Arial"/>
          <w:sz w:val="24"/>
          <w:szCs w:val="24"/>
        </w:rPr>
        <w:t xml:space="preserve"> según su poder adquisitivo o por el apoyo de algunos programas sociales privados. Insisten en que es de vital importancia hacer un llamado para exigir la publicación de información que indique a dónde ir y que se garantice mayor difusión.</w:t>
      </w:r>
    </w:p>
    <w:p w14:paraId="2EB2B974"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Asimismo, el proceso de adquisición de insumos y kits protésicos para la confección y reparación de órtesis inició el declive desde hace varios años y no se conocen detalles de ubicación ni alcance de los laboratorios. Tampoco se individualizaba la confección ajustándola a las necesidades de cada persona, sino que funcionaba bajo un esquema asistencial y estandarizado.</w:t>
      </w:r>
    </w:p>
    <w:p w14:paraId="1981763A"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Adicionalmente, reiteramos que existen disposiciones legales expuestas en la LPCD para disminuir las barreras que obstaculicen la movilidad de estas personas; pese a esto, se conocen reiterados incumplimientos de las mismas, tal como se evidencia en el informe Consorven</w:t>
      </w:r>
      <w:r>
        <w:rPr>
          <w:rFonts w:ascii="Arial" w:eastAsia="Arial" w:hAnsi="Arial" w:cs="Arial"/>
          <w:sz w:val="24"/>
          <w:szCs w:val="24"/>
          <w:vertAlign w:val="superscript"/>
        </w:rPr>
        <w:footnoteReference w:id="44"/>
      </w:r>
      <w:r>
        <w:rPr>
          <w:rFonts w:ascii="Arial" w:eastAsia="Arial" w:hAnsi="Arial" w:cs="Arial"/>
          <w:sz w:val="24"/>
          <w:szCs w:val="24"/>
        </w:rPr>
        <w:t xml:space="preserve"> en el que se muestran ausencias de espacios preferenciales para vehículos y falta de señalización, así como restricciones para el acceso de animales de asistencia en centros educativos, de salud y de justicia visitados en su estudio. Igual incumplimiento puede verificarse en la carencia de transporte público debidamente adaptado en cualquier parte del país, cuyo dato fue obtenido de la encuestada realizada, donde 78% de las organizaciones indican que las unidades de transporte no cuentan con adaptaciones para trasladar a las </w:t>
      </w:r>
      <w:proofErr w:type="spellStart"/>
      <w:r>
        <w:rPr>
          <w:rFonts w:ascii="Arial" w:eastAsia="Arial" w:hAnsi="Arial" w:cs="Arial"/>
          <w:sz w:val="24"/>
          <w:szCs w:val="24"/>
        </w:rPr>
        <w:t>PcD</w:t>
      </w:r>
      <w:proofErr w:type="spellEnd"/>
      <w:r>
        <w:rPr>
          <w:rFonts w:ascii="Arial" w:eastAsia="Arial" w:hAnsi="Arial" w:cs="Arial"/>
          <w:sz w:val="24"/>
          <w:szCs w:val="24"/>
        </w:rPr>
        <w:t>. Así mismo, se destaca la persistencia de barreras y falta de accesibilidad en muchos de los terminales terrestres, puertos y aeropuertos.</w:t>
      </w:r>
    </w:p>
    <w:p w14:paraId="16A155CE" w14:textId="77777777" w:rsidR="005C6842" w:rsidRDefault="004A1E28">
      <w:pPr>
        <w:numPr>
          <w:ilvl w:val="0"/>
          <w:numId w:val="2"/>
        </w:numPr>
        <w:shd w:val="clear" w:color="auto" w:fill="FFFFFF"/>
        <w:spacing w:before="120" w:after="120"/>
        <w:jc w:val="both"/>
        <w:rPr>
          <w:rFonts w:ascii="Arial" w:eastAsia="Arial" w:hAnsi="Arial" w:cs="Arial"/>
          <w:sz w:val="24"/>
          <w:szCs w:val="24"/>
        </w:rPr>
      </w:pPr>
      <w:r>
        <w:rPr>
          <w:rFonts w:ascii="Arial" w:eastAsia="Arial" w:hAnsi="Arial" w:cs="Arial"/>
          <w:sz w:val="24"/>
          <w:szCs w:val="24"/>
        </w:rPr>
        <w:t xml:space="preserve">En relación con las condiciones de movilidad en zonas urbanas, las medidas que alguna vez contribuyeron a garantizar el fácil acceso y movilidad de las </w:t>
      </w:r>
      <w:proofErr w:type="spellStart"/>
      <w:r>
        <w:rPr>
          <w:rFonts w:ascii="Arial" w:eastAsia="Arial" w:hAnsi="Arial" w:cs="Arial"/>
          <w:sz w:val="24"/>
          <w:szCs w:val="24"/>
        </w:rPr>
        <w:t>PcD</w:t>
      </w:r>
      <w:proofErr w:type="spellEnd"/>
      <w:r>
        <w:rPr>
          <w:rFonts w:ascii="Arial" w:eastAsia="Arial" w:hAnsi="Arial" w:cs="Arial"/>
          <w:sz w:val="24"/>
          <w:szCs w:val="24"/>
        </w:rPr>
        <w:t xml:space="preserve"> en las estaciones subterráneas y unidades de transporte superficial del Sistema Metro, ya no se observan en la actualidad porque el deterioro sostenido de las escaleras mecánicas y sistemas de acceso son un hecho público y notorio que vulnera considerablemente la autonomía para la movilidad de todas las personas que lo requieren</w:t>
      </w:r>
      <w:r>
        <w:rPr>
          <w:rFonts w:ascii="Arial" w:eastAsia="Arial" w:hAnsi="Arial" w:cs="Arial"/>
          <w:sz w:val="24"/>
          <w:szCs w:val="24"/>
          <w:vertAlign w:val="superscript"/>
        </w:rPr>
        <w:footnoteReference w:id="45"/>
      </w:r>
      <w:r>
        <w:rPr>
          <w:rFonts w:ascii="Arial" w:eastAsia="Arial" w:hAnsi="Arial" w:cs="Arial"/>
          <w:sz w:val="24"/>
          <w:szCs w:val="24"/>
        </w:rPr>
        <w:t>.</w:t>
      </w:r>
    </w:p>
    <w:p w14:paraId="4665854B" w14:textId="77777777" w:rsidR="005C6842" w:rsidRDefault="005C6842">
      <w:pPr>
        <w:pBdr>
          <w:top w:val="nil"/>
          <w:left w:val="nil"/>
          <w:bottom w:val="nil"/>
          <w:right w:val="nil"/>
          <w:between w:val="nil"/>
        </w:pBdr>
        <w:spacing w:before="120" w:after="120"/>
        <w:ind w:right="1134" w:hanging="1134"/>
        <w:jc w:val="both"/>
        <w:rPr>
          <w:rFonts w:ascii="Arial" w:eastAsia="Arial" w:hAnsi="Arial" w:cs="Arial"/>
          <w:color w:val="000000"/>
          <w:sz w:val="24"/>
          <w:szCs w:val="24"/>
        </w:rPr>
      </w:pPr>
    </w:p>
    <w:p w14:paraId="3FB776B2"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lastRenderedPageBreak/>
        <w:t>Libertad de expresión y de opinión y acceso a la información (art. 21)</w:t>
      </w:r>
    </w:p>
    <w:p w14:paraId="7C516C71" w14:textId="77777777" w:rsidR="005C6842" w:rsidRDefault="004A1E28">
      <w:pPr>
        <w:numPr>
          <w:ilvl w:val="0"/>
          <w:numId w:val="2"/>
        </w:numPr>
        <w:pBdr>
          <w:top w:val="nil"/>
          <w:left w:val="nil"/>
          <w:bottom w:val="nil"/>
          <w:right w:val="nil"/>
          <w:between w:val="nil"/>
        </w:pBdr>
        <w:spacing w:before="120" w:after="120"/>
        <w:ind w:right="17"/>
        <w:jc w:val="both"/>
        <w:rPr>
          <w:rFonts w:ascii="Arial" w:eastAsia="Arial" w:hAnsi="Arial" w:cs="Arial"/>
          <w:color w:val="000000"/>
          <w:sz w:val="24"/>
          <w:szCs w:val="24"/>
        </w:rPr>
      </w:pPr>
      <w:r>
        <w:rPr>
          <w:rFonts w:ascii="Arial" w:eastAsia="Arial" w:hAnsi="Arial" w:cs="Arial"/>
          <w:color w:val="000000"/>
          <w:sz w:val="24"/>
          <w:szCs w:val="24"/>
        </w:rPr>
        <w:t>A la fecha del presente informe la Respuesta del Estado a la Lista de cuestiones señala en su párrafo 88 que SENACOA ha formado 5.361 personas en LSV durante el periodo 2017-2019, una cifra que no satisface la necesidad de accesibilidad comunicacional en medios de comunicación a nivel nacional, lo que se evidencia en la carencia de intérpretes en todos los horarios de programas informativos, educativos y culturales.</w:t>
      </w:r>
      <w:r w:rsidR="009F464F">
        <w:rPr>
          <w:rFonts w:ascii="Arial" w:eastAsia="Arial" w:hAnsi="Arial" w:cs="Arial"/>
          <w:color w:val="000000"/>
          <w:sz w:val="24"/>
          <w:szCs w:val="24"/>
        </w:rPr>
        <w:t xml:space="preserve"> </w:t>
      </w:r>
    </w:p>
    <w:p w14:paraId="5ABA2CD3" w14:textId="77777777" w:rsidR="005C6842" w:rsidRDefault="004A1E28">
      <w:pPr>
        <w:pBdr>
          <w:top w:val="nil"/>
          <w:left w:val="nil"/>
          <w:bottom w:val="nil"/>
          <w:right w:val="nil"/>
          <w:between w:val="nil"/>
        </w:pBdr>
        <w:spacing w:before="120" w:after="120"/>
        <w:ind w:right="17"/>
        <w:jc w:val="both"/>
        <w:rPr>
          <w:rFonts w:ascii="Arial" w:eastAsia="Arial" w:hAnsi="Arial" w:cs="Arial"/>
          <w:color w:val="000000"/>
          <w:sz w:val="24"/>
          <w:szCs w:val="24"/>
        </w:rPr>
      </w:pPr>
      <w:r>
        <w:rPr>
          <w:rFonts w:ascii="Arial" w:eastAsia="Arial" w:hAnsi="Arial" w:cs="Arial"/>
          <w:color w:val="000000"/>
          <w:sz w:val="24"/>
          <w:szCs w:val="24"/>
        </w:rPr>
        <w:t xml:space="preserve">Se desconocen las medidas a tomar para hacer viable el Plan de la Patria 2019-2025 en cuanto a la meta de incorporar la enseñanza de la LSV en el 100% de las instituciones educativas. De igual manera las </w:t>
      </w:r>
      <w:r w:rsidR="00772EA5">
        <w:rPr>
          <w:rFonts w:ascii="Arial" w:eastAsia="Arial" w:hAnsi="Arial" w:cs="Arial"/>
          <w:color w:val="000000"/>
          <w:sz w:val="24"/>
          <w:szCs w:val="24"/>
        </w:rPr>
        <w:t>OPD</w:t>
      </w:r>
      <w:r>
        <w:rPr>
          <w:rFonts w:ascii="Arial" w:eastAsia="Arial" w:hAnsi="Arial" w:cs="Arial"/>
          <w:color w:val="000000"/>
          <w:sz w:val="24"/>
          <w:szCs w:val="24"/>
        </w:rPr>
        <w:t xml:space="preserve"> asistentes a las mesas técnicas indicaron que no han sido consultadas para esta incorporación en los centros educativos con quienes trabajan en conjunto. </w:t>
      </w:r>
    </w:p>
    <w:p w14:paraId="33568B92" w14:textId="77777777" w:rsidR="005C6842" w:rsidRDefault="004A1E28">
      <w:pPr>
        <w:numPr>
          <w:ilvl w:val="0"/>
          <w:numId w:val="2"/>
        </w:numPr>
        <w:pBdr>
          <w:top w:val="nil"/>
          <w:left w:val="nil"/>
          <w:bottom w:val="nil"/>
          <w:right w:val="nil"/>
          <w:between w:val="nil"/>
        </w:pBdr>
        <w:spacing w:before="120" w:after="120"/>
        <w:ind w:right="17"/>
        <w:jc w:val="both"/>
        <w:rPr>
          <w:rFonts w:ascii="Arial" w:eastAsia="Arial" w:hAnsi="Arial" w:cs="Arial"/>
          <w:color w:val="000000"/>
          <w:sz w:val="24"/>
          <w:szCs w:val="24"/>
        </w:rPr>
      </w:pPr>
      <w:r>
        <w:rPr>
          <w:rFonts w:ascii="Arial" w:eastAsia="Arial" w:hAnsi="Arial" w:cs="Arial"/>
          <w:color w:val="000000"/>
          <w:sz w:val="24"/>
          <w:szCs w:val="24"/>
        </w:rPr>
        <w:t xml:space="preserve">Por otra parte, CONAPDIS no ha presentado cifras del número de intérpretes de LSV y guías intérpretes que han recibido formación, así como se desconocen las medidas adoptadas para garantizar que las personas con discapacidad puedan acceder a la información pública y a los medios de comunicación en todos los formatos accesibles y utilizables, incluidos el braille, la lectura fácil y el lenguaje llano, y mediante la interpretación para personas sordociegas, el lenguaje de señas, </w:t>
      </w:r>
      <w:proofErr w:type="spellStart"/>
      <w:r>
        <w:rPr>
          <w:rFonts w:ascii="Arial" w:eastAsia="Arial" w:hAnsi="Arial" w:cs="Arial"/>
          <w:color w:val="000000"/>
          <w:sz w:val="24"/>
          <w:szCs w:val="24"/>
        </w:rPr>
        <w:t>audiodescripción</w:t>
      </w:r>
      <w:proofErr w:type="spellEnd"/>
      <w:r>
        <w:rPr>
          <w:rFonts w:ascii="Arial" w:eastAsia="Arial" w:hAnsi="Arial" w:cs="Arial"/>
          <w:color w:val="000000"/>
          <w:sz w:val="24"/>
          <w:szCs w:val="24"/>
        </w:rPr>
        <w:t xml:space="preserve"> y subtitulado para personas sordas.</w:t>
      </w:r>
    </w:p>
    <w:p w14:paraId="1A352F9E" w14:textId="77777777" w:rsidR="005C6842" w:rsidRDefault="004A1E28">
      <w:pPr>
        <w:numPr>
          <w:ilvl w:val="0"/>
          <w:numId w:val="2"/>
        </w:numPr>
        <w:pBdr>
          <w:top w:val="nil"/>
          <w:left w:val="nil"/>
          <w:bottom w:val="nil"/>
          <w:right w:val="nil"/>
          <w:between w:val="nil"/>
        </w:pBdr>
        <w:spacing w:before="120" w:after="120"/>
        <w:ind w:right="17"/>
        <w:jc w:val="both"/>
        <w:rPr>
          <w:rFonts w:ascii="Arial" w:eastAsia="Arial" w:hAnsi="Arial" w:cs="Arial"/>
          <w:color w:val="000000"/>
          <w:sz w:val="24"/>
          <w:szCs w:val="24"/>
        </w:rPr>
      </w:pPr>
      <w:r>
        <w:rPr>
          <w:rFonts w:ascii="Arial" w:eastAsia="Arial" w:hAnsi="Arial" w:cs="Arial"/>
          <w:color w:val="000000"/>
          <w:sz w:val="24"/>
          <w:szCs w:val="24"/>
        </w:rPr>
        <w:t xml:space="preserve">Las </w:t>
      </w:r>
      <w:r w:rsidR="00772EA5">
        <w:rPr>
          <w:rFonts w:ascii="Arial" w:eastAsia="Arial" w:hAnsi="Arial" w:cs="Arial"/>
          <w:color w:val="000000"/>
          <w:sz w:val="24"/>
          <w:szCs w:val="24"/>
        </w:rPr>
        <w:t>OPD</w:t>
      </w:r>
      <w:r>
        <w:rPr>
          <w:rFonts w:ascii="Arial" w:eastAsia="Arial" w:hAnsi="Arial" w:cs="Arial"/>
          <w:color w:val="000000"/>
          <w:sz w:val="24"/>
          <w:szCs w:val="24"/>
        </w:rPr>
        <w:t xml:space="preserve"> en las Mesas Técnicas reiteraron la situación de emergencia económica en la cual se encuentran todas las empresas nacionales, de la cual no escapan las empresas televisivas, muchos canales han optado por omitir algunos criterios y servicios, entre ellos a los intérpretes en LSV en programas de información y algunos de opinión, brindando el acceso a la información para las personas con discapacidad auditiva solo en el noticiero meridiano, lo que nuevamente vulnera su derecho al acceso a la información. No se conocen los esfuerzos ni existen logros por parte del Estado de masificar la accesibilidad comunicacional a todos los programas de los distintos medios venezolanos, ni de incorporar subtítulos u otros ajustes comunicacionales.</w:t>
      </w:r>
    </w:p>
    <w:p w14:paraId="05707022" w14:textId="77777777" w:rsidR="005C6842" w:rsidRDefault="004A1E28">
      <w:pPr>
        <w:numPr>
          <w:ilvl w:val="0"/>
          <w:numId w:val="2"/>
        </w:numPr>
        <w:pBdr>
          <w:top w:val="nil"/>
          <w:left w:val="nil"/>
          <w:bottom w:val="nil"/>
          <w:right w:val="nil"/>
          <w:between w:val="nil"/>
        </w:pBdr>
        <w:tabs>
          <w:tab w:val="left" w:pos="851"/>
        </w:tabs>
        <w:spacing w:before="120" w:after="120"/>
        <w:ind w:right="17"/>
        <w:jc w:val="both"/>
        <w:rPr>
          <w:rFonts w:ascii="Arial" w:eastAsia="Arial" w:hAnsi="Arial" w:cs="Arial"/>
          <w:color w:val="000000"/>
          <w:sz w:val="24"/>
          <w:szCs w:val="24"/>
        </w:rPr>
      </w:pPr>
      <w:r>
        <w:rPr>
          <w:rFonts w:ascii="Arial" w:eastAsia="Arial" w:hAnsi="Arial" w:cs="Arial"/>
          <w:color w:val="000000"/>
          <w:sz w:val="24"/>
          <w:szCs w:val="24"/>
        </w:rPr>
        <w:t xml:space="preserve">Por otra parte, en cuanto a la accesibilidad en el ámbito educativo, la situación se mantiene; los aportes arrojados por las </w:t>
      </w:r>
      <w:r w:rsidR="00772EA5">
        <w:rPr>
          <w:rFonts w:ascii="Arial" w:eastAsia="Arial" w:hAnsi="Arial" w:cs="Arial"/>
          <w:color w:val="000000"/>
          <w:sz w:val="24"/>
          <w:szCs w:val="24"/>
        </w:rPr>
        <w:t>OPD</w:t>
      </w:r>
      <w:r>
        <w:rPr>
          <w:rFonts w:ascii="Arial" w:eastAsia="Arial" w:hAnsi="Arial" w:cs="Arial"/>
          <w:color w:val="000000"/>
          <w:sz w:val="24"/>
          <w:szCs w:val="24"/>
        </w:rPr>
        <w:t xml:space="preserve"> en las Mesas Técnicas</w:t>
      </w:r>
      <w:r>
        <w:rPr>
          <w:rFonts w:ascii="Arial" w:eastAsia="Arial" w:hAnsi="Arial" w:cs="Arial"/>
          <w:color w:val="000000"/>
          <w:sz w:val="24"/>
          <w:szCs w:val="24"/>
          <w:vertAlign w:val="superscript"/>
        </w:rPr>
        <w:footnoteReference w:id="46"/>
      </w:r>
      <w:r>
        <w:rPr>
          <w:rFonts w:ascii="Arial" w:eastAsia="Arial" w:hAnsi="Arial" w:cs="Arial"/>
          <w:color w:val="000000"/>
          <w:sz w:val="24"/>
          <w:szCs w:val="24"/>
        </w:rPr>
        <w:t>, indicaron que en las instituciones educativas públicas y privadas del país para todos los niveles del Sistema Educativo, muy especialmente en el Universitario, son las familias quienes en la mayoría de los casos deben asumir el pago de honorarios de intérpretes de LSV, pues no están realmente garantizados por el Estado para toda la población de estudiantes con discapacidad auditiva del país. La figura del intérprete no está incorporada administrativamente dentro de la clasificación del personal con funciones públicas, constituyéndose en una barrera burocrática que también viola el derecho a la educación. En el informe de investigación realizado por C</w:t>
      </w:r>
      <w:r>
        <w:rPr>
          <w:rFonts w:ascii="Arial" w:eastAsia="Arial" w:hAnsi="Arial" w:cs="Arial"/>
          <w:sz w:val="24"/>
          <w:szCs w:val="24"/>
        </w:rPr>
        <w:t>ONSORVEN</w:t>
      </w:r>
      <w:r>
        <w:rPr>
          <w:rFonts w:ascii="Arial" w:eastAsia="Arial" w:hAnsi="Arial" w:cs="Arial"/>
          <w:color w:val="000000"/>
          <w:sz w:val="24"/>
          <w:szCs w:val="24"/>
          <w:vertAlign w:val="superscript"/>
        </w:rPr>
        <w:footnoteReference w:id="47"/>
      </w:r>
      <w:r>
        <w:rPr>
          <w:rFonts w:ascii="Arial" w:eastAsia="Arial" w:hAnsi="Arial" w:cs="Arial"/>
          <w:color w:val="000000"/>
          <w:sz w:val="24"/>
          <w:szCs w:val="24"/>
        </w:rPr>
        <w:t xml:space="preserve"> se muestra que 50% de las escuelas visitadas en distintas regiones del país no cuentan con intérpretes de LSV.</w:t>
      </w:r>
    </w:p>
    <w:p w14:paraId="458A7083" w14:textId="77777777" w:rsidR="005C6842" w:rsidRDefault="004A1E28">
      <w:pPr>
        <w:numPr>
          <w:ilvl w:val="0"/>
          <w:numId w:val="2"/>
        </w:numPr>
        <w:pBdr>
          <w:top w:val="nil"/>
          <w:left w:val="nil"/>
          <w:bottom w:val="nil"/>
          <w:right w:val="nil"/>
          <w:between w:val="nil"/>
        </w:pBdr>
        <w:tabs>
          <w:tab w:val="left" w:pos="851"/>
        </w:tabs>
        <w:spacing w:before="120" w:after="120"/>
        <w:ind w:right="17"/>
        <w:jc w:val="both"/>
        <w:rPr>
          <w:rFonts w:ascii="Arial" w:eastAsia="Arial" w:hAnsi="Arial" w:cs="Arial"/>
          <w:color w:val="000000"/>
          <w:sz w:val="24"/>
          <w:szCs w:val="24"/>
        </w:rPr>
      </w:pPr>
      <w:r>
        <w:rPr>
          <w:rFonts w:ascii="Arial" w:eastAsia="Arial" w:hAnsi="Arial" w:cs="Arial"/>
          <w:color w:val="000000"/>
          <w:sz w:val="24"/>
          <w:szCs w:val="24"/>
        </w:rPr>
        <w:lastRenderedPageBreak/>
        <w:t>De la misma manera, los expertos manifestaron que es un hecho público y notorio que no existen esfuerzos ni logros por impartir la LSV desde temprana edad en todos los colegios públicos y privados del país la LSV.</w:t>
      </w:r>
    </w:p>
    <w:p w14:paraId="6B0B3937" w14:textId="77777777" w:rsidR="005C6842" w:rsidRDefault="005C6842">
      <w:pPr>
        <w:pBdr>
          <w:top w:val="nil"/>
          <w:left w:val="nil"/>
          <w:bottom w:val="nil"/>
          <w:right w:val="nil"/>
          <w:between w:val="nil"/>
        </w:pBdr>
        <w:spacing w:before="120" w:after="120"/>
        <w:ind w:right="1134" w:hanging="1134"/>
        <w:jc w:val="both"/>
        <w:rPr>
          <w:rFonts w:ascii="Arial" w:eastAsia="Arial" w:hAnsi="Arial" w:cs="Arial"/>
          <w:color w:val="000000"/>
          <w:sz w:val="24"/>
          <w:szCs w:val="24"/>
        </w:rPr>
      </w:pPr>
    </w:p>
    <w:p w14:paraId="289ED4D7"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 xml:space="preserve">Respeto del hogar y de la familia (art. 23) </w:t>
      </w:r>
    </w:p>
    <w:p w14:paraId="7057F845" w14:textId="2D6030F6" w:rsidR="005C6842" w:rsidRDefault="004A1E28">
      <w:pPr>
        <w:numPr>
          <w:ilvl w:val="0"/>
          <w:numId w:val="2"/>
        </w:numPr>
        <w:pBdr>
          <w:top w:val="nil"/>
          <w:left w:val="nil"/>
          <w:bottom w:val="nil"/>
          <w:right w:val="nil"/>
          <w:between w:val="nil"/>
        </w:pBdr>
        <w:tabs>
          <w:tab w:val="left" w:pos="851"/>
        </w:tabs>
        <w:spacing w:before="120" w:after="120"/>
        <w:ind w:right="15"/>
        <w:jc w:val="both"/>
        <w:rPr>
          <w:rFonts w:ascii="Arial" w:eastAsia="Arial" w:hAnsi="Arial" w:cs="Arial"/>
          <w:color w:val="000000"/>
          <w:sz w:val="24"/>
          <w:szCs w:val="24"/>
        </w:rPr>
      </w:pPr>
      <w:r>
        <w:rPr>
          <w:rFonts w:ascii="Arial" w:eastAsia="Arial" w:hAnsi="Arial" w:cs="Arial"/>
          <w:color w:val="000000"/>
          <w:sz w:val="24"/>
          <w:szCs w:val="24"/>
        </w:rPr>
        <w:t>Como ha sido señalado en el párrafo 20 de este mismo,</w:t>
      </w:r>
      <w:r w:rsidR="00AA6AAC">
        <w:rPr>
          <w:rFonts w:ascii="Arial" w:eastAsia="Arial" w:hAnsi="Arial" w:cs="Arial"/>
          <w:color w:val="000000"/>
          <w:sz w:val="24"/>
          <w:szCs w:val="24"/>
        </w:rPr>
        <w:t xml:space="preserve"> </w:t>
      </w:r>
      <w:r>
        <w:rPr>
          <w:rFonts w:ascii="Arial" w:eastAsia="Arial" w:hAnsi="Arial" w:cs="Arial"/>
          <w:color w:val="000000"/>
          <w:sz w:val="24"/>
          <w:szCs w:val="24"/>
        </w:rPr>
        <w:t xml:space="preserve">informe La PCD sigue enfrentando importantes limitaciones en muchas de las actividades que pertenecen a la dinámica familiar </w:t>
      </w:r>
      <w:proofErr w:type="gramStart"/>
      <w:r>
        <w:rPr>
          <w:rFonts w:ascii="Arial" w:eastAsia="Arial" w:hAnsi="Arial" w:cs="Arial"/>
          <w:color w:val="000000"/>
          <w:sz w:val="24"/>
          <w:szCs w:val="24"/>
        </w:rPr>
        <w:t>como</w:t>
      </w:r>
      <w:proofErr w:type="gramEnd"/>
      <w:r>
        <w:rPr>
          <w:rFonts w:ascii="Arial" w:eastAsia="Arial" w:hAnsi="Arial" w:cs="Arial"/>
          <w:color w:val="000000"/>
          <w:sz w:val="24"/>
          <w:szCs w:val="24"/>
        </w:rPr>
        <w:t xml:space="preserve"> por ejemplo, la vulneración del del derecho al matrimonio sin restricciones, a ser testigos o a hacer testamento en el caso de personas con discapacidad auditiva o con discapacidad visual.</w:t>
      </w:r>
    </w:p>
    <w:p w14:paraId="79DC69CC" w14:textId="77777777" w:rsidR="005C6842" w:rsidRDefault="004A1E28">
      <w:pPr>
        <w:numPr>
          <w:ilvl w:val="0"/>
          <w:numId w:val="2"/>
        </w:numPr>
        <w:pBdr>
          <w:top w:val="nil"/>
          <w:left w:val="nil"/>
          <w:bottom w:val="nil"/>
          <w:right w:val="nil"/>
          <w:between w:val="nil"/>
        </w:pBdr>
        <w:tabs>
          <w:tab w:val="left" w:pos="851"/>
        </w:tabs>
        <w:spacing w:before="120" w:after="120"/>
        <w:ind w:right="15"/>
        <w:jc w:val="both"/>
        <w:rPr>
          <w:rFonts w:ascii="Arial" w:eastAsia="Arial" w:hAnsi="Arial" w:cs="Arial"/>
          <w:color w:val="000000"/>
          <w:sz w:val="24"/>
          <w:szCs w:val="24"/>
        </w:rPr>
      </w:pPr>
      <w:r>
        <w:rPr>
          <w:rFonts w:ascii="Arial" w:eastAsia="Arial" w:hAnsi="Arial" w:cs="Arial"/>
          <w:color w:val="000000"/>
          <w:sz w:val="24"/>
          <w:szCs w:val="24"/>
        </w:rPr>
        <w:t xml:space="preserve">Según lo señalado en las Mesas Técnicas 2019 no se tiene conocimiento sobre mecanismos del estado para acompañar la libre elección de tener hijos en el caso de las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xml:space="preserve">, principalmente con discapacidad intelectual. La LPCD no contempla este aspecto ni tampoco la Ley de Protección a la Familia. Adicionalmente, el Estado venezolano no cuenta con un sistema que contenga programas de educación integral que incluya temas de sexualidad y que sean accesibles para las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xml:space="preserve">, ya que el sistema de salud carece de ajustes razonables suficientes para que puedan acceder sin restricciones a los servicios de salud sexual y reproductiva. Es por esto </w:t>
      </w:r>
      <w:proofErr w:type="gramStart"/>
      <w:r>
        <w:rPr>
          <w:rFonts w:ascii="Arial" w:eastAsia="Arial" w:hAnsi="Arial" w:cs="Arial"/>
          <w:color w:val="000000"/>
          <w:sz w:val="24"/>
          <w:szCs w:val="24"/>
        </w:rPr>
        <w:t>que</w:t>
      </w:r>
      <w:proofErr w:type="gramEnd"/>
      <w:r>
        <w:rPr>
          <w:rFonts w:ascii="Arial" w:eastAsia="Arial" w:hAnsi="Arial" w:cs="Arial"/>
          <w:color w:val="000000"/>
          <w:sz w:val="24"/>
          <w:szCs w:val="24"/>
        </w:rPr>
        <w:t xml:space="preserve"> en Venezuela el ejercicio de los derechos sexuales y reproductivos no son una realidad para la </w:t>
      </w:r>
      <w:proofErr w:type="spellStart"/>
      <w:r>
        <w:rPr>
          <w:rFonts w:ascii="Arial" w:eastAsia="Arial" w:hAnsi="Arial" w:cs="Arial"/>
          <w:color w:val="000000"/>
          <w:sz w:val="24"/>
          <w:szCs w:val="24"/>
        </w:rPr>
        <w:t>PcD</w:t>
      </w:r>
      <w:proofErr w:type="spellEnd"/>
      <w:r>
        <w:rPr>
          <w:rFonts w:ascii="Arial" w:eastAsia="Arial" w:hAnsi="Arial" w:cs="Arial"/>
          <w:color w:val="000000"/>
          <w:sz w:val="24"/>
          <w:szCs w:val="24"/>
        </w:rPr>
        <w:t>, pues todavía son muchas las barreras jurídicas, actitudinales y físicas que dificultan el disfrute de este derecho</w:t>
      </w:r>
      <w:r>
        <w:rPr>
          <w:rFonts w:ascii="Arial" w:eastAsia="Arial" w:hAnsi="Arial" w:cs="Arial"/>
          <w:i/>
          <w:color w:val="000000"/>
          <w:sz w:val="24"/>
          <w:szCs w:val="24"/>
        </w:rPr>
        <w:t>.</w:t>
      </w:r>
    </w:p>
    <w:p w14:paraId="17D3A555" w14:textId="77777777" w:rsidR="005C6842" w:rsidRDefault="005C6842">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p>
    <w:p w14:paraId="2D7A68D9" w14:textId="77777777" w:rsidR="005C6842" w:rsidRDefault="004A1E28">
      <w:pPr>
        <w:keepNext/>
        <w:keepLines/>
        <w:pBdr>
          <w:top w:val="nil"/>
          <w:left w:val="nil"/>
          <w:bottom w:val="nil"/>
          <w:right w:val="nil"/>
          <w:between w:val="nil"/>
        </w:pBdr>
        <w:tabs>
          <w:tab w:val="right" w:pos="851"/>
        </w:tabs>
        <w:spacing w:before="120" w:after="120"/>
        <w:ind w:left="1134" w:right="1134" w:hanging="1134"/>
        <w:jc w:val="both"/>
        <w:rPr>
          <w:rFonts w:ascii="Arial" w:eastAsia="Arial" w:hAnsi="Arial" w:cs="Arial"/>
          <w:b/>
          <w:color w:val="000000"/>
          <w:sz w:val="24"/>
          <w:szCs w:val="24"/>
        </w:rPr>
      </w:pPr>
      <w:r>
        <w:rPr>
          <w:rFonts w:ascii="Arial" w:eastAsia="Arial" w:hAnsi="Arial" w:cs="Arial"/>
          <w:b/>
          <w:color w:val="000000"/>
          <w:sz w:val="24"/>
          <w:szCs w:val="24"/>
        </w:rPr>
        <w:t>Educación (art. 24)</w:t>
      </w:r>
    </w:p>
    <w:p w14:paraId="4C1524CC"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En el sistema educativo existe la modalidad de Educación Especial como una variante escolar, establecido así en la CRBV y en la LOE (2006, art 26). La existencia de esta modalidad y su operativización indican que en Venezuela no se manejan los planteamientos sobre la educación inclusiva acordados en la </w:t>
      </w:r>
      <w:r w:rsidR="006116E1">
        <w:rPr>
          <w:rFonts w:ascii="Arial" w:eastAsia="Arial" w:hAnsi="Arial" w:cs="Arial"/>
          <w:sz w:val="24"/>
          <w:szCs w:val="24"/>
        </w:rPr>
        <w:t>C</w:t>
      </w:r>
      <w:r w:rsidR="00A4140F">
        <w:rPr>
          <w:rFonts w:ascii="Arial" w:eastAsia="Arial" w:hAnsi="Arial" w:cs="Arial"/>
          <w:sz w:val="24"/>
          <w:szCs w:val="24"/>
        </w:rPr>
        <w:t>PC</w:t>
      </w:r>
      <w:r w:rsidR="006116E1">
        <w:rPr>
          <w:rFonts w:ascii="Arial" w:eastAsia="Arial" w:hAnsi="Arial" w:cs="Arial"/>
          <w:sz w:val="24"/>
          <w:szCs w:val="24"/>
        </w:rPr>
        <w:t>D</w:t>
      </w:r>
      <w:r>
        <w:rPr>
          <w:rFonts w:ascii="Arial" w:eastAsia="Arial" w:hAnsi="Arial" w:cs="Arial"/>
          <w:sz w:val="24"/>
          <w:szCs w:val="24"/>
        </w:rPr>
        <w:t>, ni se efectúan acciones para lograr su tránsito y progresiva aproximación, tal como se ha venido requiriendo en los últimos años, lo cual fue solicitado recientemente en la Declaración de la Sociedad Civil en la Cumbre Global de Discapacidad (2019)</w:t>
      </w:r>
      <w:r>
        <w:rPr>
          <w:rFonts w:ascii="Arial" w:eastAsia="Arial" w:hAnsi="Arial" w:cs="Arial"/>
          <w:sz w:val="24"/>
          <w:szCs w:val="24"/>
          <w:vertAlign w:val="superscript"/>
        </w:rPr>
        <w:footnoteReference w:id="48"/>
      </w:r>
      <w:r>
        <w:rPr>
          <w:rFonts w:ascii="Arial" w:eastAsia="Arial" w:hAnsi="Arial" w:cs="Arial"/>
          <w:sz w:val="24"/>
          <w:szCs w:val="24"/>
        </w:rPr>
        <w:t xml:space="preserve">. </w:t>
      </w:r>
    </w:p>
    <w:p w14:paraId="62318963"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Esto responde a razones y principios de orden ideológico-político del gobierno actual, tal como lo reseñan en el documento de Conceptualización y Política de Educación Especial</w:t>
      </w:r>
      <w:r>
        <w:rPr>
          <w:rFonts w:ascii="Arial" w:eastAsia="Arial" w:hAnsi="Arial" w:cs="Arial"/>
          <w:sz w:val="24"/>
          <w:szCs w:val="24"/>
          <w:vertAlign w:val="superscript"/>
        </w:rPr>
        <w:footnoteReference w:id="49"/>
      </w:r>
      <w:r>
        <w:rPr>
          <w:rFonts w:ascii="Arial" w:eastAsia="Arial" w:hAnsi="Arial" w:cs="Arial"/>
          <w:sz w:val="24"/>
          <w:szCs w:val="24"/>
        </w:rPr>
        <w:t xml:space="preserve">, actualizado por la Dirección General de Educación Especial del </w:t>
      </w:r>
      <w:r w:rsidR="007A2C8E">
        <w:rPr>
          <w:rFonts w:ascii="Arial" w:eastAsia="Arial" w:hAnsi="Arial" w:cs="Arial"/>
          <w:sz w:val="24"/>
          <w:szCs w:val="24"/>
        </w:rPr>
        <w:t>Ministerio del Poder Popular para la Educación (</w:t>
      </w:r>
      <w:r>
        <w:rPr>
          <w:rFonts w:ascii="Arial" w:eastAsia="Arial" w:hAnsi="Arial" w:cs="Arial"/>
          <w:sz w:val="24"/>
          <w:szCs w:val="24"/>
        </w:rPr>
        <w:t>MPPPE</w:t>
      </w:r>
      <w:r w:rsidR="007A2C8E">
        <w:rPr>
          <w:rFonts w:ascii="Arial" w:eastAsia="Arial" w:hAnsi="Arial" w:cs="Arial"/>
          <w:sz w:val="24"/>
          <w:szCs w:val="24"/>
        </w:rPr>
        <w:t>)</w:t>
      </w:r>
      <w:r>
        <w:rPr>
          <w:rFonts w:ascii="Arial" w:eastAsia="Arial" w:hAnsi="Arial" w:cs="Arial"/>
          <w:sz w:val="24"/>
          <w:szCs w:val="24"/>
        </w:rPr>
        <w:t xml:space="preserve"> en 2017: “…en un escenario internacional, caracterizado por la profunda y progresiva recesión económica y el resurgimiento de planteamientos neoliberales que plantean la privatización de la educación, se inicia un gradual desmantelamiento de la </w:t>
      </w:r>
      <w:r>
        <w:rPr>
          <w:rFonts w:ascii="Arial" w:eastAsia="Arial" w:hAnsi="Arial" w:cs="Arial"/>
          <w:sz w:val="24"/>
          <w:szCs w:val="24"/>
        </w:rPr>
        <w:lastRenderedPageBreak/>
        <w:t xml:space="preserve">Educación Especial. Esta situación, condujo irremediablemente a la eliminación de las instituciones de Educación Especial, por considerarlas onerosas, pretendiendo justificar esta acción, con premisas teóricas aparentemente inclusivas pero que terminaron cercenando el derecho a una atención educativa integral y de calidad de esta población”. </w:t>
      </w:r>
    </w:p>
    <w:p w14:paraId="21708EA8"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En las Mesas Técnicas las </w:t>
      </w:r>
      <w:r w:rsidR="00772EA5">
        <w:rPr>
          <w:rFonts w:ascii="Arial" w:eastAsia="Arial" w:hAnsi="Arial" w:cs="Arial"/>
          <w:sz w:val="24"/>
          <w:szCs w:val="24"/>
        </w:rPr>
        <w:t>OPD</w:t>
      </w:r>
      <w:r>
        <w:rPr>
          <w:rFonts w:ascii="Arial" w:eastAsia="Arial" w:hAnsi="Arial" w:cs="Arial"/>
          <w:sz w:val="24"/>
          <w:szCs w:val="24"/>
        </w:rPr>
        <w:t xml:space="preserve"> distinguieron entre la acepción que el gobierno venezolano maneja sobre "inclusión" en su estricto sentido semántico opuesto a "exclusión", referido a que nadie se quede fuera del sistema, distinto al sentido conceptual planteado en la </w:t>
      </w:r>
      <w:r w:rsidR="006116E1">
        <w:rPr>
          <w:rFonts w:ascii="Arial" w:eastAsia="Arial" w:hAnsi="Arial" w:cs="Arial"/>
          <w:sz w:val="24"/>
          <w:szCs w:val="24"/>
        </w:rPr>
        <w:t>C</w:t>
      </w:r>
      <w:r w:rsidR="00A4140F">
        <w:rPr>
          <w:rFonts w:ascii="Arial" w:eastAsia="Arial" w:hAnsi="Arial" w:cs="Arial"/>
          <w:sz w:val="24"/>
          <w:szCs w:val="24"/>
        </w:rPr>
        <w:t>PC</w:t>
      </w:r>
      <w:r w:rsidR="006116E1">
        <w:rPr>
          <w:rFonts w:ascii="Arial" w:eastAsia="Arial" w:hAnsi="Arial" w:cs="Arial"/>
          <w:sz w:val="24"/>
          <w:szCs w:val="24"/>
        </w:rPr>
        <w:t>D</w:t>
      </w:r>
      <w:r>
        <w:rPr>
          <w:rFonts w:ascii="Arial" w:eastAsia="Arial" w:hAnsi="Arial" w:cs="Arial"/>
          <w:sz w:val="24"/>
          <w:szCs w:val="24"/>
        </w:rPr>
        <w:t xml:space="preserve"> como una educación para todos, que implica la atención a la diversidad en los mismos espacios y contextos. </w:t>
      </w:r>
    </w:p>
    <w:p w14:paraId="761D87E3"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Desde la sociedad civil consultada en las Mesas Técnicas se entiende y acepta que en los actuales momentos el país no se encuentra preparado ni reúne las condiciones para asumir cabalmente lo que la CPCD plantea en materia de inclusión educativa, evidenciándose en el gran rechazo nacional que provocó la implementación de los tres momentos de la llamada Transformación de la Educación Especial del 2011 al 2013 y que fue suspendida, retomándose el modelo de integración escolar que está en vigencia. Esta experiencia fue totalmente contraproducente para la intención inclusiva, pues fue considerada como una imposición para la que el sistema regular no fue consultado, mucho menos preparado</w:t>
      </w:r>
      <w:r>
        <w:rPr>
          <w:rFonts w:ascii="Arial" w:eastAsia="Arial" w:hAnsi="Arial" w:cs="Arial"/>
          <w:sz w:val="24"/>
          <w:szCs w:val="24"/>
          <w:vertAlign w:val="superscript"/>
        </w:rPr>
        <w:footnoteReference w:id="50"/>
      </w:r>
      <w:r>
        <w:rPr>
          <w:rFonts w:ascii="Arial" w:eastAsia="Arial" w:hAnsi="Arial" w:cs="Arial"/>
          <w:sz w:val="24"/>
          <w:szCs w:val="24"/>
        </w:rPr>
        <w:t xml:space="preserve">. </w:t>
      </w:r>
    </w:p>
    <w:p w14:paraId="65F30CE5"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En la actualidad preocupa sobremanera los altos índices de renuncias y deserción de maestros en las escuelas públicas y privadas del país</w:t>
      </w:r>
      <w:r>
        <w:rPr>
          <w:rFonts w:ascii="Arial" w:eastAsia="Arial" w:hAnsi="Arial" w:cs="Arial"/>
          <w:sz w:val="24"/>
          <w:szCs w:val="24"/>
          <w:vertAlign w:val="superscript"/>
        </w:rPr>
        <w:footnoteReference w:id="51"/>
      </w:r>
      <w:r>
        <w:rPr>
          <w:rFonts w:ascii="Arial" w:eastAsia="Arial" w:hAnsi="Arial" w:cs="Arial"/>
          <w:sz w:val="24"/>
          <w:szCs w:val="24"/>
        </w:rPr>
        <w:t>, como consecuencia de la crisis económica que experimentan estos profesionales por la hiperinflación, que devalúa sus salarios, impacta negativamente en su calidad de vida y los obliga a emprender la búsqueda de otras alternativas de sobrevivencia, como la migración a otros países o la incursión en otras labores. Esta es una realidad que afecta a toda la población estudiantil de Venezuela, y a ella no escapan aquellos con discapacidad que están en el sistema educativo. Se conoce que algunas escuelas generan estrategias de compensación como la atención de madres voluntarias u otras personas de la comunidad, sin que necesariamente cuenten con competencias para desempeñar esta labor</w:t>
      </w:r>
      <w:r>
        <w:rPr>
          <w:rFonts w:ascii="Arial" w:eastAsia="Arial" w:hAnsi="Arial" w:cs="Arial"/>
          <w:sz w:val="24"/>
          <w:szCs w:val="24"/>
          <w:vertAlign w:val="superscript"/>
        </w:rPr>
        <w:footnoteReference w:id="52"/>
      </w:r>
      <w:r>
        <w:rPr>
          <w:rFonts w:ascii="Arial" w:eastAsia="Arial" w:hAnsi="Arial" w:cs="Arial"/>
          <w:sz w:val="24"/>
          <w:szCs w:val="24"/>
        </w:rPr>
        <w:t>.</w:t>
      </w:r>
    </w:p>
    <w:p w14:paraId="384289BB" w14:textId="10B16635"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Ya se ha expuesto en el Informe Alternativo de la Sociedad civil (2019), la realidad en materia de accesibilidad de infraestructura, comunicacional y curricular en el país. La situación se agrava por la falta de preparación del personal docente y directivo que asume funciones sin el mérito o preparación requerida. En cuanto a la falta de accesibilidad física y comunicacional se tiene nueva evidencia tras una investigación realizada por CONSORVEN en los Estados Táchira y Bolívar, entre diciembre 2019 y enero 2020, según la cual se obtuvo que en el estado Táchira, 3 de 4 instituciones educativas visitadas tienen más de un piso, </w:t>
      </w:r>
      <w:r>
        <w:rPr>
          <w:rFonts w:ascii="Arial" w:eastAsia="Arial" w:hAnsi="Arial" w:cs="Arial"/>
          <w:sz w:val="24"/>
          <w:szCs w:val="24"/>
        </w:rPr>
        <w:lastRenderedPageBreak/>
        <w:t xml:space="preserve">pero solo 1 de ellas cuenta con una rampa que por demás no cumple con criterios accesibles, dispone de un </w:t>
      </w:r>
      <w:proofErr w:type="gramStart"/>
      <w:r>
        <w:rPr>
          <w:rFonts w:ascii="Arial" w:eastAsia="Arial" w:hAnsi="Arial" w:cs="Arial"/>
          <w:sz w:val="24"/>
          <w:szCs w:val="24"/>
        </w:rPr>
        <w:t>ascensor</w:t>
      </w:r>
      <w:proofErr w:type="gramEnd"/>
      <w:r>
        <w:rPr>
          <w:rFonts w:ascii="Arial" w:eastAsia="Arial" w:hAnsi="Arial" w:cs="Arial"/>
          <w:sz w:val="24"/>
          <w:szCs w:val="24"/>
        </w:rPr>
        <w:t xml:space="preserve"> pero el mismo no se encuentra en funcionamiento. Por su parte todas las instituciones </w:t>
      </w:r>
      <w:r w:rsidR="00AB1AD6">
        <w:rPr>
          <w:rFonts w:ascii="Arial" w:eastAsia="Arial" w:hAnsi="Arial" w:cs="Arial"/>
          <w:sz w:val="24"/>
          <w:szCs w:val="24"/>
        </w:rPr>
        <w:t xml:space="preserve">educativas </w:t>
      </w:r>
      <w:r>
        <w:rPr>
          <w:rFonts w:ascii="Arial" w:eastAsia="Arial" w:hAnsi="Arial" w:cs="Arial"/>
          <w:sz w:val="24"/>
          <w:szCs w:val="24"/>
        </w:rPr>
        <w:t xml:space="preserve">visitadas, en el estado Bolívar </w:t>
      </w:r>
      <w:r w:rsidR="00AB1AD6">
        <w:rPr>
          <w:rFonts w:ascii="Arial" w:eastAsia="Arial" w:hAnsi="Arial" w:cs="Arial"/>
          <w:sz w:val="24"/>
          <w:szCs w:val="24"/>
        </w:rPr>
        <w:t xml:space="preserve">cuentan con </w:t>
      </w:r>
      <w:r>
        <w:rPr>
          <w:rFonts w:ascii="Arial" w:eastAsia="Arial" w:hAnsi="Arial" w:cs="Arial"/>
          <w:sz w:val="24"/>
          <w:szCs w:val="24"/>
        </w:rPr>
        <w:t xml:space="preserve">un solo piso, </w:t>
      </w:r>
      <w:r w:rsidR="00AB1AD6">
        <w:rPr>
          <w:rFonts w:ascii="Arial" w:eastAsia="Arial" w:hAnsi="Arial" w:cs="Arial"/>
          <w:sz w:val="24"/>
          <w:szCs w:val="24"/>
        </w:rPr>
        <w:t xml:space="preserve">a pesar de ello </w:t>
      </w:r>
      <w:r>
        <w:rPr>
          <w:rFonts w:ascii="Arial" w:eastAsia="Arial" w:hAnsi="Arial" w:cs="Arial"/>
          <w:sz w:val="24"/>
          <w:szCs w:val="24"/>
        </w:rPr>
        <w:t xml:space="preserve">solo una cuenta con una rampa para el acceso a la </w:t>
      </w:r>
      <w:r w:rsidR="00AA6AAC">
        <w:rPr>
          <w:rFonts w:ascii="Arial" w:eastAsia="Arial" w:hAnsi="Arial" w:cs="Arial"/>
          <w:sz w:val="24"/>
          <w:szCs w:val="24"/>
        </w:rPr>
        <w:t>institución,</w:t>
      </w:r>
      <w:r>
        <w:rPr>
          <w:rFonts w:ascii="Arial" w:eastAsia="Arial" w:hAnsi="Arial" w:cs="Arial"/>
          <w:sz w:val="24"/>
          <w:szCs w:val="24"/>
        </w:rPr>
        <w:t xml:space="preserve"> pero no cumple con condiciones </w:t>
      </w:r>
      <w:r w:rsidR="00AB1AD6">
        <w:rPr>
          <w:rFonts w:ascii="Arial" w:eastAsia="Arial" w:hAnsi="Arial" w:cs="Arial"/>
          <w:sz w:val="24"/>
          <w:szCs w:val="24"/>
        </w:rPr>
        <w:t xml:space="preserve">de </w:t>
      </w:r>
      <w:r>
        <w:rPr>
          <w:rFonts w:ascii="Arial" w:eastAsia="Arial" w:hAnsi="Arial" w:cs="Arial"/>
          <w:sz w:val="24"/>
          <w:szCs w:val="24"/>
        </w:rPr>
        <w:t xml:space="preserve">accesibilidad. </w:t>
      </w:r>
      <w:r w:rsidR="00AB1AD6">
        <w:rPr>
          <w:rFonts w:ascii="Arial" w:eastAsia="Arial" w:hAnsi="Arial" w:cs="Arial"/>
          <w:sz w:val="24"/>
          <w:szCs w:val="24"/>
        </w:rPr>
        <w:t>Adicionalmente e</w:t>
      </w:r>
      <w:r>
        <w:rPr>
          <w:rFonts w:ascii="Arial" w:eastAsia="Arial" w:hAnsi="Arial" w:cs="Arial"/>
          <w:sz w:val="24"/>
          <w:szCs w:val="24"/>
        </w:rPr>
        <w:t xml:space="preserve">n ambos estados se obtuvo que </w:t>
      </w:r>
      <w:r w:rsidR="00AB1AD6">
        <w:rPr>
          <w:rFonts w:ascii="Arial" w:eastAsia="Arial" w:hAnsi="Arial" w:cs="Arial"/>
          <w:sz w:val="24"/>
          <w:szCs w:val="24"/>
        </w:rPr>
        <w:t xml:space="preserve">en </w:t>
      </w:r>
      <w:r>
        <w:rPr>
          <w:rFonts w:ascii="Arial" w:eastAsia="Arial" w:hAnsi="Arial" w:cs="Arial"/>
          <w:sz w:val="24"/>
          <w:szCs w:val="24"/>
        </w:rPr>
        <w:t>más del 50% no se observó presencia de Intérpretes de LSV, mientras que en todas disponían de espacios para la atención preferencial</w:t>
      </w:r>
      <w:r>
        <w:rPr>
          <w:rFonts w:ascii="Arial" w:eastAsia="Arial" w:hAnsi="Arial" w:cs="Arial"/>
          <w:sz w:val="24"/>
          <w:szCs w:val="24"/>
          <w:vertAlign w:val="superscript"/>
        </w:rPr>
        <w:footnoteReference w:id="53"/>
      </w:r>
      <w:r>
        <w:rPr>
          <w:rFonts w:ascii="Arial" w:eastAsia="Arial" w:hAnsi="Arial" w:cs="Arial"/>
          <w:sz w:val="24"/>
          <w:szCs w:val="24"/>
        </w:rPr>
        <w:t>.</w:t>
      </w:r>
    </w:p>
    <w:p w14:paraId="6BAA8AEC" w14:textId="77777777" w:rsidR="005C6842" w:rsidRDefault="005C6842">
      <w:pPr>
        <w:pBdr>
          <w:top w:val="nil"/>
          <w:left w:val="nil"/>
          <w:bottom w:val="nil"/>
          <w:right w:val="nil"/>
          <w:between w:val="nil"/>
        </w:pBdr>
        <w:spacing w:before="120" w:after="120"/>
        <w:ind w:right="1134" w:hanging="1134"/>
        <w:jc w:val="both"/>
        <w:rPr>
          <w:rFonts w:ascii="Arial" w:eastAsia="Arial" w:hAnsi="Arial" w:cs="Arial"/>
          <w:color w:val="000000"/>
          <w:sz w:val="24"/>
          <w:szCs w:val="24"/>
        </w:rPr>
      </w:pPr>
    </w:p>
    <w:p w14:paraId="08A05E39"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Salud (art. 25)</w:t>
      </w:r>
    </w:p>
    <w:p w14:paraId="0B4B6622"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Solo una de las organizaciones participantes en las Mesas Técnicas dijo haber sido convocada por el Estado en dos ocasiones para entrenar a personal de entes del sistema público de salud en un área específica de la discapacidad, pero sin brindar ningún tipo de recursos de apoyo y, por el contrario, esperando que los gastos fueran financiados por las organizaciones involucradas, lo cual es insostenible en la actualidad.  De resto, no se conoce el despliegue de acciones de formación al personal de salud del país en materia de atención digna dirigida especialmente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ni sobre formas de comunicación alternativa con ellos. </w:t>
      </w:r>
    </w:p>
    <w:p w14:paraId="6699ED62"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Por todos es conocido el importante éxodo de venezolanos a nivel mundial y esta población migrante está generalmente representada por profesionales de la salud en distintas áreas y especialidades</w:t>
      </w:r>
      <w:r>
        <w:rPr>
          <w:rFonts w:ascii="Arial" w:eastAsia="Arial" w:hAnsi="Arial" w:cs="Arial"/>
          <w:sz w:val="24"/>
          <w:szCs w:val="24"/>
          <w:vertAlign w:val="superscript"/>
        </w:rPr>
        <w:footnoteReference w:id="54"/>
      </w:r>
      <w:r>
        <w:rPr>
          <w:rFonts w:ascii="Arial" w:eastAsia="Arial" w:hAnsi="Arial" w:cs="Arial"/>
          <w:sz w:val="24"/>
          <w:szCs w:val="24"/>
        </w:rPr>
        <w:t xml:space="preserve">. Este dato probablemente es desconocido por el gobierno nacional, ya que no se cuenta con un verdadero registro de los venezolanos que han abandonado nuestras fronteras, mucho menos con detalles de su profesionalización. </w:t>
      </w:r>
    </w:p>
    <w:p w14:paraId="3A34A9EF"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En cuanto a programas de salud sexual y reproductiva, el Estado no aporta ningún tipo de información sobre su desarrollo con </w:t>
      </w:r>
      <w:proofErr w:type="spellStart"/>
      <w:r>
        <w:rPr>
          <w:rFonts w:ascii="Arial" w:eastAsia="Arial" w:hAnsi="Arial" w:cs="Arial"/>
          <w:sz w:val="24"/>
          <w:szCs w:val="24"/>
        </w:rPr>
        <w:t>PcD</w:t>
      </w:r>
      <w:proofErr w:type="spellEnd"/>
      <w:r>
        <w:rPr>
          <w:rFonts w:ascii="Arial" w:eastAsia="Arial" w:hAnsi="Arial" w:cs="Arial"/>
          <w:sz w:val="24"/>
          <w:szCs w:val="24"/>
        </w:rPr>
        <w:t xml:space="preserve"> ni tampoco al resto de la población. En Venezuela, como en otros países de Latinoamérica, existe una edad cada vez más temprana para el inicio de la actividad sexual en adolescentes y su repercusión más notoria se evidencia en los altos índices de embarazos en jóvenes que están entre la pubertad y la adolescencia. De esta realidad no escapan los jóvenes con discapacidad en el país. </w:t>
      </w:r>
    </w:p>
    <w:p w14:paraId="11680DCB"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En el aspecto de accesibilidad, se debe partir en profundizar los cambios estructurales de los principales hospitales del país, ya que los mismos se encuentran en franco deterioro en varios de sus servicios básicos</w:t>
      </w:r>
      <w:r>
        <w:rPr>
          <w:rFonts w:ascii="Arial" w:eastAsia="Arial" w:hAnsi="Arial" w:cs="Arial"/>
          <w:sz w:val="24"/>
          <w:szCs w:val="24"/>
          <w:vertAlign w:val="superscript"/>
        </w:rPr>
        <w:footnoteReference w:id="55"/>
      </w:r>
      <w:r>
        <w:rPr>
          <w:rFonts w:ascii="Arial" w:eastAsia="Arial" w:hAnsi="Arial" w:cs="Arial"/>
          <w:sz w:val="24"/>
          <w:szCs w:val="24"/>
        </w:rPr>
        <w:t xml:space="preserve"> (luz, agua, ascensores, camillas, camas de hospitalización, etc.)  sumando la actualización </w:t>
      </w:r>
      <w:r>
        <w:rPr>
          <w:rFonts w:ascii="Arial" w:eastAsia="Arial" w:hAnsi="Arial" w:cs="Arial"/>
          <w:sz w:val="24"/>
          <w:szCs w:val="24"/>
        </w:rPr>
        <w:lastRenderedPageBreak/>
        <w:t>en las nuevas corrientes arquitectónicas y tecnológicas existentes en países más avanzados, adecuadas a cada discapacidad.</w:t>
      </w:r>
    </w:p>
    <w:p w14:paraId="5FE5E1A9" w14:textId="00AAC0BF"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Una investigación reciente realizada por CONSORVEN, en los estados Bolívar y Táchira, entre </w:t>
      </w:r>
      <w:proofErr w:type="gramStart"/>
      <w:r>
        <w:rPr>
          <w:rFonts w:ascii="Arial" w:eastAsia="Arial" w:hAnsi="Arial" w:cs="Arial"/>
          <w:sz w:val="24"/>
          <w:szCs w:val="24"/>
        </w:rPr>
        <w:t>Diciembre</w:t>
      </w:r>
      <w:proofErr w:type="gramEnd"/>
      <w:r>
        <w:rPr>
          <w:rFonts w:ascii="Arial" w:eastAsia="Arial" w:hAnsi="Arial" w:cs="Arial"/>
          <w:sz w:val="24"/>
          <w:szCs w:val="24"/>
        </w:rPr>
        <w:t xml:space="preserve"> 2019 y Enero 2020, arrojó que en más del 60% de las instituciones de salud en ambos estados, no cuentan con espacios de atención preferencial; y en más del 50% no se observó presencia de intérpretes de LSV</w:t>
      </w:r>
      <w:r>
        <w:rPr>
          <w:rFonts w:ascii="Arial" w:eastAsia="Arial" w:hAnsi="Arial" w:cs="Arial"/>
          <w:sz w:val="24"/>
          <w:szCs w:val="24"/>
          <w:vertAlign w:val="superscript"/>
        </w:rPr>
        <w:footnoteReference w:id="56"/>
      </w:r>
      <w:r>
        <w:rPr>
          <w:rFonts w:ascii="Arial" w:eastAsia="Arial" w:hAnsi="Arial" w:cs="Arial"/>
          <w:sz w:val="24"/>
          <w:szCs w:val="24"/>
        </w:rPr>
        <w:t xml:space="preserve">. En el estado Táchira se observó que 2 de 4 hospitales visitados tienen más de un piso, sin embargo, solo 1 de ellos cuenta con ascensores y rampas de acceso. De igual forma en el estado Bolívar, se observó que solo uno de los hospitales visitados cuenta con ascensor, y 2 de 4 hospitales visitados tienen rampas siendo estos de más de un piso. </w:t>
      </w:r>
    </w:p>
    <w:p w14:paraId="110F0416" w14:textId="77777777" w:rsidR="005C6842" w:rsidRDefault="005C6842">
      <w:pPr>
        <w:pBdr>
          <w:top w:val="nil"/>
          <w:left w:val="nil"/>
          <w:bottom w:val="nil"/>
          <w:right w:val="nil"/>
          <w:between w:val="nil"/>
        </w:pBdr>
        <w:spacing w:before="120" w:after="120"/>
        <w:ind w:right="1134" w:hanging="1134"/>
        <w:jc w:val="both"/>
        <w:rPr>
          <w:rFonts w:ascii="Arial" w:eastAsia="Arial" w:hAnsi="Arial" w:cs="Arial"/>
          <w:color w:val="000000"/>
          <w:sz w:val="24"/>
          <w:szCs w:val="24"/>
        </w:rPr>
      </w:pPr>
    </w:p>
    <w:p w14:paraId="081C84DB"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Trabajo y empleo (art. 27)</w:t>
      </w:r>
    </w:p>
    <w:p w14:paraId="49217643"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Según lo reportado por expertos no hay un plan vigente de ubicación de empleo para las </w:t>
      </w:r>
      <w:proofErr w:type="spellStart"/>
      <w:r>
        <w:rPr>
          <w:rFonts w:ascii="Arial" w:eastAsia="Arial" w:hAnsi="Arial" w:cs="Arial"/>
          <w:sz w:val="24"/>
          <w:szCs w:val="24"/>
        </w:rPr>
        <w:t>PcD</w:t>
      </w:r>
      <w:proofErr w:type="spellEnd"/>
      <w:r>
        <w:rPr>
          <w:rFonts w:ascii="Arial" w:eastAsia="Arial" w:hAnsi="Arial" w:cs="Arial"/>
          <w:sz w:val="24"/>
          <w:szCs w:val="24"/>
        </w:rPr>
        <w:t xml:space="preserve"> y en los últimos años ha disminuido el índice de contrataciones debido a deficiencias de personal en el CONAPDIS, lo cual ha limitado masificar las inspecciones, aunado al alto costo que implica realizar los ajustes razonables, la ausencia de recursos económicos o planes de apoyo a las empresas al momento de hacer accesibles sus espacios. Esto trae como consecuencia que hoy en día, sigan siendo escasas las experiencias exitosas de inclusión laboral de </w:t>
      </w:r>
      <w:proofErr w:type="spellStart"/>
      <w:r>
        <w:rPr>
          <w:rFonts w:ascii="Arial" w:eastAsia="Arial" w:hAnsi="Arial" w:cs="Arial"/>
          <w:sz w:val="24"/>
          <w:szCs w:val="24"/>
        </w:rPr>
        <w:t>PcD</w:t>
      </w:r>
      <w:proofErr w:type="spellEnd"/>
      <w:r>
        <w:rPr>
          <w:rFonts w:ascii="Arial" w:eastAsia="Arial" w:hAnsi="Arial" w:cs="Arial"/>
          <w:sz w:val="24"/>
          <w:szCs w:val="24"/>
        </w:rPr>
        <w:t xml:space="preserve">, con o sin estudios de profesionalización en todos los niveles de la cadena de trabajo, ya que no se diseñan e implementan políticas de inclusión idóneas para que se pueda adaptar y desarrollar cumpliendo su labor. Esto, según los expertos, resulta en que sean pocas las </w:t>
      </w:r>
      <w:proofErr w:type="spellStart"/>
      <w:r>
        <w:rPr>
          <w:rFonts w:ascii="Arial" w:eastAsia="Arial" w:hAnsi="Arial" w:cs="Arial"/>
          <w:sz w:val="24"/>
          <w:szCs w:val="24"/>
        </w:rPr>
        <w:t>PcD</w:t>
      </w:r>
      <w:proofErr w:type="spellEnd"/>
      <w:r>
        <w:rPr>
          <w:rFonts w:ascii="Arial" w:eastAsia="Arial" w:hAnsi="Arial" w:cs="Arial"/>
          <w:sz w:val="24"/>
          <w:szCs w:val="24"/>
        </w:rPr>
        <w:t xml:space="preserve"> que se encuentran insertas en el mercado laboral y, la mayoría de las que están empleadas, no realizan las funciones para lo que fueron contratadas.</w:t>
      </w:r>
    </w:p>
    <w:p w14:paraId="23C2C4BA"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 La deficiencia de estos procesos se concentra en la falta de ajustes razonables, falta de supervisión especializada, falta de programas de formación, escasez de recursos humanos capacitados, presupuestos limitados, falta de continuidad en los proyectos y seguimiento de procesos ya que no se le otorga la importancia política al tema por desconocimiento de la capacidad productiva que puede tener la </w:t>
      </w:r>
      <w:proofErr w:type="spellStart"/>
      <w:r>
        <w:rPr>
          <w:rFonts w:ascii="Arial" w:eastAsia="Arial" w:hAnsi="Arial" w:cs="Arial"/>
          <w:sz w:val="24"/>
          <w:szCs w:val="24"/>
        </w:rPr>
        <w:t>PcD</w:t>
      </w:r>
      <w:proofErr w:type="spellEnd"/>
      <w:r>
        <w:rPr>
          <w:rFonts w:ascii="Arial" w:eastAsia="Arial" w:hAnsi="Arial" w:cs="Arial"/>
          <w:sz w:val="24"/>
          <w:szCs w:val="24"/>
        </w:rPr>
        <w:t>.</w:t>
      </w:r>
    </w:p>
    <w:p w14:paraId="0201EBFD"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Los programas de formación y entrenamiento tanto para la institución contratante como para la </w:t>
      </w:r>
      <w:proofErr w:type="spellStart"/>
      <w:r>
        <w:rPr>
          <w:rFonts w:ascii="Arial" w:eastAsia="Arial" w:hAnsi="Arial" w:cs="Arial"/>
          <w:sz w:val="24"/>
          <w:szCs w:val="24"/>
        </w:rPr>
        <w:t>PcD</w:t>
      </w:r>
      <w:proofErr w:type="spellEnd"/>
      <w:r>
        <w:rPr>
          <w:rFonts w:ascii="Arial" w:eastAsia="Arial" w:hAnsi="Arial" w:cs="Arial"/>
          <w:sz w:val="24"/>
          <w:szCs w:val="24"/>
        </w:rPr>
        <w:t xml:space="preserve"> que afronta una nueva experiencia laboral son determinantes para el éxito o fracaso de estos procesos. En Venezuela, según lo expresado por las Mesas Técnicas, son pocas los esfuerzos que se han hecho en esta área resultando procesos complejos en los que la </w:t>
      </w:r>
      <w:proofErr w:type="spellStart"/>
      <w:r>
        <w:rPr>
          <w:rFonts w:ascii="Arial" w:eastAsia="Arial" w:hAnsi="Arial" w:cs="Arial"/>
          <w:sz w:val="24"/>
          <w:szCs w:val="24"/>
        </w:rPr>
        <w:t>PcD</w:t>
      </w:r>
      <w:proofErr w:type="spellEnd"/>
      <w:r>
        <w:rPr>
          <w:rFonts w:ascii="Arial" w:eastAsia="Arial" w:hAnsi="Arial" w:cs="Arial"/>
          <w:sz w:val="24"/>
          <w:szCs w:val="24"/>
        </w:rPr>
        <w:t xml:space="preserve"> deciden desertar debido a los altos niveles de frustración al no encontrar los ajustes razonables que le permitan realizar su labor en un ambienta de equidad.</w:t>
      </w:r>
    </w:p>
    <w:p w14:paraId="1EC70947" w14:textId="77777777" w:rsidR="005C6842" w:rsidRDefault="004A1E28">
      <w:pPr>
        <w:numPr>
          <w:ilvl w:val="0"/>
          <w:numId w:val="2"/>
        </w:numPr>
        <w:tabs>
          <w:tab w:val="left" w:pos="851"/>
        </w:tabs>
        <w:spacing w:before="120" w:after="120"/>
        <w:jc w:val="both"/>
        <w:rPr>
          <w:rFonts w:ascii="Arial" w:eastAsia="Arial" w:hAnsi="Arial" w:cs="Arial"/>
          <w:sz w:val="24"/>
          <w:szCs w:val="24"/>
        </w:rPr>
      </w:pPr>
      <w:r>
        <w:rPr>
          <w:rFonts w:ascii="Arial" w:eastAsia="Arial" w:hAnsi="Arial" w:cs="Arial"/>
          <w:sz w:val="24"/>
          <w:szCs w:val="24"/>
        </w:rPr>
        <w:t xml:space="preserve">Otro factor determinante en el aislamiento de la </w:t>
      </w:r>
      <w:proofErr w:type="spellStart"/>
      <w:r>
        <w:rPr>
          <w:rFonts w:ascii="Arial" w:eastAsia="Arial" w:hAnsi="Arial" w:cs="Arial"/>
          <w:sz w:val="24"/>
          <w:szCs w:val="24"/>
        </w:rPr>
        <w:t>PcD</w:t>
      </w:r>
      <w:proofErr w:type="spellEnd"/>
      <w:r>
        <w:rPr>
          <w:rFonts w:ascii="Arial" w:eastAsia="Arial" w:hAnsi="Arial" w:cs="Arial"/>
          <w:sz w:val="24"/>
          <w:szCs w:val="24"/>
        </w:rPr>
        <w:t xml:space="preserve"> del sistema laboral es la desvinculación de los programas de estudio con respecto a las oportunidades laborales y la falta de relación y comunicación entre las instituciones del estado y </w:t>
      </w:r>
      <w:r>
        <w:rPr>
          <w:rFonts w:ascii="Arial" w:eastAsia="Arial" w:hAnsi="Arial" w:cs="Arial"/>
          <w:sz w:val="24"/>
          <w:szCs w:val="24"/>
        </w:rPr>
        <w:lastRenderedPageBreak/>
        <w:t xml:space="preserve">las ONG. Esto ha resultado en que los entes, tanto del sector público como privado que trabajan en el área de empleo para la </w:t>
      </w:r>
      <w:proofErr w:type="spellStart"/>
      <w:r>
        <w:rPr>
          <w:rFonts w:ascii="Arial" w:eastAsia="Arial" w:hAnsi="Arial" w:cs="Arial"/>
          <w:sz w:val="24"/>
          <w:szCs w:val="24"/>
        </w:rPr>
        <w:t>PcD</w:t>
      </w:r>
      <w:proofErr w:type="spellEnd"/>
      <w:r>
        <w:rPr>
          <w:rFonts w:ascii="Arial" w:eastAsia="Arial" w:hAnsi="Arial" w:cs="Arial"/>
          <w:sz w:val="24"/>
          <w:szCs w:val="24"/>
        </w:rPr>
        <w:t>, logren sus objetivos con un impacto muy reducido.</w:t>
      </w:r>
    </w:p>
    <w:p w14:paraId="54BB9D65"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Según información derivada de las Mesas Técnicas 2020, las cifras aportadas por el Estado en el párrafo 107 de la respuesta del estado que indica que 38.015 </w:t>
      </w:r>
      <w:proofErr w:type="spellStart"/>
      <w:r>
        <w:rPr>
          <w:rFonts w:ascii="Arial" w:eastAsia="Arial" w:hAnsi="Arial" w:cs="Arial"/>
          <w:sz w:val="24"/>
          <w:szCs w:val="24"/>
        </w:rPr>
        <w:t>PcD</w:t>
      </w:r>
      <w:proofErr w:type="spellEnd"/>
      <w:r>
        <w:rPr>
          <w:rFonts w:ascii="Arial" w:eastAsia="Arial" w:hAnsi="Arial" w:cs="Arial"/>
          <w:sz w:val="24"/>
          <w:szCs w:val="24"/>
        </w:rPr>
        <w:t xml:space="preserve"> están laborando actualmente no son de acceso público para las ONG. Por el contrario, el CONAPDIS, mediante diferentes medios, es reiterativo al comunicar que carecen de cifras que reflejen resultados de sus actividades. Mas aun, en la actualidad se encuentra inhabilitado el registro oficial que realizan las empresas. La respuesta que se recibe al procurar el ingreso es que “el sistema se está mejorando” lo cual trae como consecuencia que en la actualidad las empresas no pueden modificar ni ingresar nuevos datos. Por lo anteriormente expuesto, resultan dudosos los datos estadísticos otorgados.</w:t>
      </w:r>
    </w:p>
    <w:p w14:paraId="3C9209CD"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La implementación de la norma impuesta en el art 290 de la LOTTT indica que “en ninguna circunstancia puede ser excluido y todo patrono está obligado a incorporar a por lo menos el 5% de su nómina total a trabajadores con discapacidad a labores cónsonas con sus destrezas y habilidades”. No obstante, los expertos de las Mesas Técnicas indican que la falta de recurso humano en CONAPDIS interfiere en su capacidad y alcance para supervisar a las empresas. Igualmente, sugieren que las multas impuestas a las empresas que incumplen resultan insuficientes para el efecto requerido ya que para los expertos 100 multas en cinco años como se indica en el párrafo 110 de la respuesta del Estado, es una cifra insuficiente para la resolución del problema y no garantiza que se hubiera inspeccionado una proporción representativa del sector empresarial que impliquen un cambio significativo para aumentar los índices de empleo en esta población.</w:t>
      </w:r>
    </w:p>
    <w:p w14:paraId="498EDCB5"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La migración de la </w:t>
      </w:r>
      <w:proofErr w:type="spellStart"/>
      <w:r>
        <w:rPr>
          <w:rFonts w:ascii="Arial" w:eastAsia="Arial" w:hAnsi="Arial" w:cs="Arial"/>
          <w:sz w:val="24"/>
          <w:szCs w:val="24"/>
        </w:rPr>
        <w:t>PcD</w:t>
      </w:r>
      <w:proofErr w:type="spellEnd"/>
      <w:r>
        <w:rPr>
          <w:rFonts w:ascii="Arial" w:eastAsia="Arial" w:hAnsi="Arial" w:cs="Arial"/>
          <w:sz w:val="24"/>
          <w:szCs w:val="24"/>
        </w:rPr>
        <w:t xml:space="preserve"> a la economía informal y la mendicidad son parte de la cotidianidad de esta población que por falta de profesionalización </w:t>
      </w:r>
      <w:r w:rsidR="008627DB">
        <w:rPr>
          <w:rFonts w:ascii="Arial" w:eastAsia="Arial" w:hAnsi="Arial" w:cs="Arial"/>
          <w:sz w:val="24"/>
          <w:szCs w:val="24"/>
        </w:rPr>
        <w:t>ve</w:t>
      </w:r>
      <w:r>
        <w:rPr>
          <w:rFonts w:ascii="Arial" w:eastAsia="Arial" w:hAnsi="Arial" w:cs="Arial"/>
          <w:sz w:val="24"/>
          <w:szCs w:val="24"/>
        </w:rPr>
        <w:t xml:space="preserve"> </w:t>
      </w:r>
      <w:r w:rsidR="008627DB">
        <w:rPr>
          <w:rFonts w:ascii="Arial" w:eastAsia="Arial" w:hAnsi="Arial" w:cs="Arial"/>
          <w:sz w:val="24"/>
          <w:szCs w:val="24"/>
        </w:rPr>
        <w:t xml:space="preserve">restringida </w:t>
      </w:r>
      <w:r>
        <w:rPr>
          <w:rFonts w:ascii="Arial" w:eastAsia="Arial" w:hAnsi="Arial" w:cs="Arial"/>
          <w:sz w:val="24"/>
          <w:szCs w:val="24"/>
        </w:rPr>
        <w:t>la oportunidad de desarrollo y acceso a mejoras laborales y, por consiguiente, tienen menos oportunidad de recibir un salario justo que les permita ser autónomo, acrecentando los niveles de pobreza.   </w:t>
      </w:r>
    </w:p>
    <w:p w14:paraId="08B5E06D" w14:textId="77777777" w:rsidR="005C6842" w:rsidRDefault="005C6842">
      <w:pPr>
        <w:pBdr>
          <w:top w:val="nil"/>
          <w:left w:val="nil"/>
          <w:bottom w:val="nil"/>
          <w:right w:val="nil"/>
          <w:between w:val="nil"/>
        </w:pBdr>
        <w:spacing w:before="120" w:after="120"/>
        <w:ind w:right="1134" w:hanging="1134"/>
        <w:jc w:val="both"/>
        <w:rPr>
          <w:rFonts w:ascii="Arial" w:eastAsia="Arial" w:hAnsi="Arial" w:cs="Arial"/>
          <w:color w:val="000000"/>
          <w:sz w:val="24"/>
          <w:szCs w:val="24"/>
        </w:rPr>
      </w:pPr>
    </w:p>
    <w:p w14:paraId="446F72D0"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Nivel de vida adecuado y protección social (art. 28)</w:t>
      </w:r>
    </w:p>
    <w:p w14:paraId="02947EC4" w14:textId="77777777" w:rsidR="005C6842" w:rsidRDefault="004A1E28" w:rsidP="00AA6AAC">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Los datos estadísticos expuestos por el Estado sobre la disminución de las necesidades básicas insatisfechas no corresponden con la realidad vivida por los beneficiarios de las organizaciones consultadas de </w:t>
      </w:r>
      <w:proofErr w:type="spellStart"/>
      <w:r>
        <w:rPr>
          <w:rFonts w:ascii="Arial" w:eastAsia="Arial" w:hAnsi="Arial" w:cs="Arial"/>
          <w:sz w:val="24"/>
          <w:szCs w:val="24"/>
        </w:rPr>
        <w:t>PcD</w:t>
      </w:r>
      <w:proofErr w:type="spellEnd"/>
      <w:r>
        <w:rPr>
          <w:rFonts w:ascii="Arial" w:eastAsia="Arial" w:hAnsi="Arial" w:cs="Arial"/>
          <w:sz w:val="24"/>
          <w:szCs w:val="24"/>
        </w:rPr>
        <w:t>, ni por lo que es palpable en la cotidianidad del venezolano</w:t>
      </w:r>
      <w:r>
        <w:rPr>
          <w:rFonts w:ascii="Arial" w:eastAsia="Arial" w:hAnsi="Arial" w:cs="Arial"/>
          <w:sz w:val="24"/>
          <w:szCs w:val="24"/>
          <w:vertAlign w:val="superscript"/>
        </w:rPr>
        <w:footnoteReference w:id="57"/>
      </w:r>
      <w:r>
        <w:rPr>
          <w:rFonts w:ascii="Arial" w:eastAsia="Arial" w:hAnsi="Arial" w:cs="Arial"/>
          <w:sz w:val="24"/>
          <w:szCs w:val="24"/>
        </w:rPr>
        <w:t>. La población cada día está expuesta a mayores carencias en cuanto a vivienda apropiada, alimentación, salud y medicación, transporte, vestimenta, y a la falta de acceso a la recreación y esparcimiento, esto sumado a las barreras que las personas con discapacidad tienen para acceder a trabajos con remuneraciones significativas.</w:t>
      </w:r>
    </w:p>
    <w:p w14:paraId="15CFD995" w14:textId="77777777" w:rsidR="005C6842" w:rsidRDefault="004A1E28">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lastRenderedPageBreak/>
        <w:t xml:space="preserve">Cada día se evidencia más la desigualdad económica-social de la población en general y especialmente en las </w:t>
      </w:r>
      <w:proofErr w:type="spellStart"/>
      <w:r>
        <w:rPr>
          <w:rFonts w:ascii="Arial" w:eastAsia="Arial" w:hAnsi="Arial" w:cs="Arial"/>
          <w:sz w:val="24"/>
          <w:szCs w:val="24"/>
        </w:rPr>
        <w:t>PcD</w:t>
      </w:r>
      <w:proofErr w:type="spellEnd"/>
      <w:r>
        <w:rPr>
          <w:rFonts w:ascii="Arial" w:eastAsia="Arial" w:hAnsi="Arial" w:cs="Arial"/>
          <w:sz w:val="24"/>
          <w:szCs w:val="24"/>
        </w:rPr>
        <w:t xml:space="preserve"> quienes tienen gastos adicionales muy superiores vinculados a la condición de discapacidad</w:t>
      </w:r>
      <w:r>
        <w:rPr>
          <w:rFonts w:ascii="Arial" w:eastAsia="Arial" w:hAnsi="Arial" w:cs="Arial"/>
          <w:sz w:val="24"/>
          <w:szCs w:val="24"/>
          <w:vertAlign w:val="superscript"/>
        </w:rPr>
        <w:footnoteReference w:id="58"/>
      </w:r>
      <w:r>
        <w:rPr>
          <w:rFonts w:ascii="Arial" w:eastAsia="Arial" w:hAnsi="Arial" w:cs="Arial"/>
          <w:sz w:val="24"/>
          <w:szCs w:val="24"/>
        </w:rPr>
        <w:t>.</w:t>
      </w:r>
    </w:p>
    <w:p w14:paraId="61DADB55" w14:textId="77777777" w:rsidR="005C6842" w:rsidRDefault="004A1E28">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Al “</w:t>
      </w:r>
      <w:proofErr w:type="gramStart"/>
      <w:r>
        <w:rPr>
          <w:rFonts w:ascii="Arial" w:eastAsia="Arial" w:hAnsi="Arial" w:cs="Arial"/>
          <w:sz w:val="24"/>
          <w:szCs w:val="24"/>
        </w:rPr>
        <w:t>Carnet</w:t>
      </w:r>
      <w:proofErr w:type="gramEnd"/>
      <w:r>
        <w:rPr>
          <w:rFonts w:ascii="Arial" w:eastAsia="Arial" w:hAnsi="Arial" w:cs="Arial"/>
          <w:sz w:val="24"/>
          <w:szCs w:val="24"/>
        </w:rPr>
        <w:t xml:space="preserve"> de la Patria” se le ha dado una connotación de tipo político-partidista y no de apoyo social, por ello una parte de la población con discapacidad en ejercicio de sus derechos políticos ha decidido no participar en ese registro quedando excluidos de estos supuestos apoyos. Tampoco son de acceso público las cifras de la proporción de </w:t>
      </w:r>
      <w:proofErr w:type="spellStart"/>
      <w:r>
        <w:rPr>
          <w:rFonts w:ascii="Arial" w:eastAsia="Arial" w:hAnsi="Arial" w:cs="Arial"/>
          <w:sz w:val="24"/>
          <w:szCs w:val="24"/>
        </w:rPr>
        <w:t>PcD</w:t>
      </w:r>
      <w:proofErr w:type="spellEnd"/>
      <w:r>
        <w:rPr>
          <w:rFonts w:ascii="Arial" w:eastAsia="Arial" w:hAnsi="Arial" w:cs="Arial"/>
          <w:sz w:val="24"/>
          <w:szCs w:val="24"/>
        </w:rPr>
        <w:t xml:space="preserve"> beneficiarias de las bonificaciones otorgadas a través del </w:t>
      </w:r>
      <w:proofErr w:type="gramStart"/>
      <w:r>
        <w:rPr>
          <w:rFonts w:ascii="Arial" w:eastAsia="Arial" w:hAnsi="Arial" w:cs="Arial"/>
          <w:sz w:val="24"/>
          <w:szCs w:val="24"/>
        </w:rPr>
        <w:t>Carnet</w:t>
      </w:r>
      <w:proofErr w:type="gramEnd"/>
      <w:r>
        <w:rPr>
          <w:rFonts w:ascii="Arial" w:eastAsia="Arial" w:hAnsi="Arial" w:cs="Arial"/>
          <w:sz w:val="24"/>
          <w:szCs w:val="24"/>
        </w:rPr>
        <w:t xml:space="preserve"> de la Patria, ni están especificados los beneficios que se les ha dado. Estas bonificaciones, en la actualidad no son proporcionales a los altos costos de los rubros básicos para la alimentación y la salud, por lo que resultan insuficientes en todo sentido</w:t>
      </w:r>
      <w:r>
        <w:rPr>
          <w:rFonts w:ascii="Arial" w:eastAsia="Arial" w:hAnsi="Arial" w:cs="Arial"/>
          <w:sz w:val="24"/>
          <w:szCs w:val="24"/>
          <w:vertAlign w:val="superscript"/>
        </w:rPr>
        <w:footnoteReference w:id="59"/>
      </w:r>
      <w:r>
        <w:rPr>
          <w:rFonts w:ascii="Arial" w:eastAsia="Arial" w:hAnsi="Arial" w:cs="Arial"/>
          <w:sz w:val="24"/>
          <w:szCs w:val="24"/>
        </w:rPr>
        <w:t xml:space="preserve">. </w:t>
      </w:r>
    </w:p>
    <w:p w14:paraId="241D312F" w14:textId="77777777" w:rsidR="005C6842" w:rsidRDefault="004A1E28">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La caja de alimentos del sistema</w:t>
      </w:r>
      <w:r w:rsidR="008627DB">
        <w:rPr>
          <w:rFonts w:ascii="Arial" w:eastAsia="Arial" w:hAnsi="Arial" w:cs="Arial"/>
          <w:sz w:val="24"/>
          <w:szCs w:val="24"/>
        </w:rPr>
        <w:t xml:space="preserve"> de </w:t>
      </w:r>
      <w:r w:rsidR="008627DB" w:rsidRPr="008627DB">
        <w:rPr>
          <w:rFonts w:ascii="Arial" w:eastAsia="Arial" w:hAnsi="Arial" w:cs="Arial"/>
          <w:sz w:val="24"/>
          <w:szCs w:val="24"/>
        </w:rPr>
        <w:t>Comité Local de Abastecimiento y Producción</w:t>
      </w:r>
      <w:r>
        <w:rPr>
          <w:rFonts w:ascii="Arial" w:eastAsia="Arial" w:hAnsi="Arial" w:cs="Arial"/>
          <w:sz w:val="24"/>
          <w:szCs w:val="24"/>
        </w:rPr>
        <w:t xml:space="preserve"> </w:t>
      </w:r>
      <w:r w:rsidR="008627DB">
        <w:rPr>
          <w:rFonts w:ascii="Arial" w:eastAsia="Arial" w:hAnsi="Arial" w:cs="Arial"/>
          <w:sz w:val="24"/>
          <w:szCs w:val="24"/>
        </w:rPr>
        <w:t>(</w:t>
      </w:r>
      <w:r>
        <w:rPr>
          <w:rFonts w:ascii="Arial" w:eastAsia="Arial" w:hAnsi="Arial" w:cs="Arial"/>
          <w:sz w:val="24"/>
          <w:szCs w:val="24"/>
        </w:rPr>
        <w:t>CLAP</w:t>
      </w:r>
      <w:r w:rsidR="008627DB">
        <w:rPr>
          <w:rFonts w:ascii="Arial" w:eastAsia="Arial" w:hAnsi="Arial" w:cs="Arial"/>
          <w:sz w:val="24"/>
          <w:szCs w:val="24"/>
        </w:rPr>
        <w:t>),</w:t>
      </w:r>
      <w:r>
        <w:rPr>
          <w:rFonts w:ascii="Arial" w:eastAsia="Arial" w:hAnsi="Arial" w:cs="Arial"/>
          <w:sz w:val="24"/>
          <w:szCs w:val="24"/>
        </w:rPr>
        <w:t xml:space="preserve"> no se entrega de manera regular y los productos no llegan completos al beneficiario. Adicionalmente, el concepto original y valor nutricional representa un complemento, pero no incluye productos frescos, frutas ni proteína animal que actualmente son económicamente inaccesibles. </w:t>
      </w:r>
    </w:p>
    <w:p w14:paraId="0EF4A1BB" w14:textId="77777777" w:rsidR="005C6842" w:rsidRDefault="005C6842">
      <w:pPr>
        <w:pBdr>
          <w:top w:val="nil"/>
          <w:left w:val="nil"/>
          <w:bottom w:val="nil"/>
          <w:right w:val="nil"/>
          <w:between w:val="nil"/>
        </w:pBdr>
        <w:spacing w:before="120" w:after="120"/>
        <w:ind w:right="1134" w:hanging="1134"/>
        <w:jc w:val="both"/>
        <w:rPr>
          <w:rFonts w:ascii="Arial" w:eastAsia="Arial" w:hAnsi="Arial" w:cs="Arial"/>
          <w:color w:val="000000"/>
          <w:sz w:val="24"/>
          <w:szCs w:val="24"/>
        </w:rPr>
      </w:pPr>
    </w:p>
    <w:p w14:paraId="59ED4B9D"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Participación en la vida política y pública (art. 29)</w:t>
      </w:r>
    </w:p>
    <w:p w14:paraId="7F7AA737"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Si bien es cierto que en Venezuela el Consejo Nacional Electoral (CNE) realiza campañas de divulgación orientadas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sobre el ejercicio del derecho al voto, haciendo uso eventual de la interpretación en LSV, no se conoce de campañas que estimulen el voto por otros modos alternativos de comunicación y las mismas se realizan solo en periodos electorales, sin adoptar medidas concretas que permitan el acceso a un voto secreto, directo y universal. </w:t>
      </w:r>
    </w:p>
    <w:p w14:paraId="1F6DD960"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En el Informe de Respuesta del Estado a la lista de Cuestiones se indica en el párrafo 129 que existe un Sistema Automatizado de Votación cuya tecnología incorpora la lectura Braille; sin embargo, aunque las máquinas de votación tienen instalado el programa no existen plantillas digitales en braille para la boleta electrónica. Tampoco se conocen otros modos alternativos de comunicación que permitan el voto en formatos de lectura fácil o pictogramas, ni la interpretación en LSV de las instrucciones correspondientes a este acto. </w:t>
      </w:r>
    </w:p>
    <w:p w14:paraId="5438FD08"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De igual manera, el sistema electoral incorpora máquinas capta huellas que activan el inicio del sistema y se pueda proceder al voto. Se conoce de muchos casos de personas con discapacidad que por no tener sus miembros superiores se le ha limitado el derecho al voto. De igual manera los centros educativos que son los espacios que acogen los actores electorales, no disponen de las adaptaciones de la infraestructura para garantizar la movilidad de los ciudadanos. La solución planteada es destinar a todas las personas con discapacidad a ejercer el derecho </w:t>
      </w:r>
      <w:r>
        <w:rPr>
          <w:rFonts w:ascii="Arial" w:eastAsia="Arial" w:hAnsi="Arial" w:cs="Arial"/>
          <w:sz w:val="24"/>
          <w:szCs w:val="24"/>
        </w:rPr>
        <w:lastRenderedPageBreak/>
        <w:t>al voto en la mesa 1, que suele ser la más cercana a la entrada del centro de votación.</w:t>
      </w:r>
    </w:p>
    <w:p w14:paraId="29500ED9"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  No existe en la actualidad una actualización del Registro Electoral Permanente (REP) venezolano para personas con y sin discapacidad al punto de que la municipalización </w:t>
      </w:r>
      <w:proofErr w:type="gramStart"/>
      <w:r>
        <w:rPr>
          <w:rFonts w:ascii="Arial" w:eastAsia="Arial" w:hAnsi="Arial" w:cs="Arial"/>
          <w:sz w:val="24"/>
          <w:szCs w:val="24"/>
        </w:rPr>
        <w:t>del mismo</w:t>
      </w:r>
      <w:proofErr w:type="gramEnd"/>
      <w:r>
        <w:rPr>
          <w:rFonts w:ascii="Arial" w:eastAsia="Arial" w:hAnsi="Arial" w:cs="Arial"/>
          <w:sz w:val="24"/>
          <w:szCs w:val="24"/>
        </w:rPr>
        <w:t xml:space="preserve"> ha sido suspendida manteniéndose solo en las oficinas regionales electorales ubicadas generalmente en las capitales de los estados. Por esta razón una </w:t>
      </w:r>
      <w:proofErr w:type="spellStart"/>
      <w:r>
        <w:rPr>
          <w:rFonts w:ascii="Arial" w:eastAsia="Arial" w:hAnsi="Arial" w:cs="Arial"/>
          <w:sz w:val="24"/>
          <w:szCs w:val="24"/>
        </w:rPr>
        <w:t>PcD</w:t>
      </w:r>
      <w:proofErr w:type="spellEnd"/>
      <w:r>
        <w:rPr>
          <w:rFonts w:ascii="Arial" w:eastAsia="Arial" w:hAnsi="Arial" w:cs="Arial"/>
          <w:sz w:val="24"/>
          <w:szCs w:val="24"/>
        </w:rPr>
        <w:t xml:space="preserve"> debe dirigirse desde su lugar de residencia a dichas oficinas para inscribirse o cambiar su estatus de residencia ante el REP.</w:t>
      </w:r>
    </w:p>
    <w:p w14:paraId="7F5666BB"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Aunque es cierto el hecho de que en Venezuela se implementa el llamado voto con acompañante donde la </w:t>
      </w:r>
      <w:proofErr w:type="spellStart"/>
      <w:r>
        <w:rPr>
          <w:rFonts w:ascii="Arial" w:eastAsia="Arial" w:hAnsi="Arial" w:cs="Arial"/>
          <w:sz w:val="24"/>
          <w:szCs w:val="24"/>
        </w:rPr>
        <w:t>PcD</w:t>
      </w:r>
      <w:proofErr w:type="spellEnd"/>
      <w:r>
        <w:rPr>
          <w:rFonts w:ascii="Arial" w:eastAsia="Arial" w:hAnsi="Arial" w:cs="Arial"/>
          <w:sz w:val="24"/>
          <w:szCs w:val="24"/>
        </w:rPr>
        <w:t xml:space="preserve"> puede hacerse asistir por alguien de su confianza, no es menos cierto que algunos grupos afines al gobierno como las llamadas Unidades de Batalla Hugo Chávez (UBCH) por ejemplo, utilizan los medios del Estado para que las </w:t>
      </w:r>
      <w:proofErr w:type="spellStart"/>
      <w:r>
        <w:rPr>
          <w:rFonts w:ascii="Arial" w:eastAsia="Arial" w:hAnsi="Arial" w:cs="Arial"/>
          <w:sz w:val="24"/>
          <w:szCs w:val="24"/>
        </w:rPr>
        <w:t>PcD</w:t>
      </w:r>
      <w:proofErr w:type="spellEnd"/>
      <w:r>
        <w:rPr>
          <w:rFonts w:ascii="Arial" w:eastAsia="Arial" w:hAnsi="Arial" w:cs="Arial"/>
          <w:sz w:val="24"/>
          <w:szCs w:val="24"/>
        </w:rPr>
        <w:t xml:space="preserve"> sean “asistidas” por miembros de </w:t>
      </w:r>
      <w:proofErr w:type="gramStart"/>
      <w:r>
        <w:rPr>
          <w:rFonts w:ascii="Arial" w:eastAsia="Arial" w:hAnsi="Arial" w:cs="Arial"/>
          <w:sz w:val="24"/>
          <w:szCs w:val="24"/>
        </w:rPr>
        <w:t>las mismas</w:t>
      </w:r>
      <w:proofErr w:type="gramEnd"/>
      <w:r>
        <w:rPr>
          <w:rFonts w:ascii="Arial" w:eastAsia="Arial" w:hAnsi="Arial" w:cs="Arial"/>
          <w:sz w:val="24"/>
          <w:szCs w:val="24"/>
        </w:rPr>
        <w:t xml:space="preserve"> cuando estas se presentan sin compañía.</w:t>
      </w:r>
    </w:p>
    <w:p w14:paraId="30B01436"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Celebramos el hecho de que el</w:t>
      </w:r>
      <w:r w:rsidR="00A36373">
        <w:rPr>
          <w:rFonts w:ascii="Arial" w:eastAsia="Arial" w:hAnsi="Arial" w:cs="Arial"/>
          <w:sz w:val="24"/>
          <w:szCs w:val="24"/>
        </w:rPr>
        <w:t xml:space="preserve"> Consejo Nacional Electoral</w:t>
      </w:r>
      <w:r>
        <w:rPr>
          <w:rFonts w:ascii="Arial" w:eastAsia="Arial" w:hAnsi="Arial" w:cs="Arial"/>
          <w:sz w:val="24"/>
          <w:szCs w:val="24"/>
        </w:rPr>
        <w:t xml:space="preserve"> </w:t>
      </w:r>
      <w:r w:rsidR="00A36373">
        <w:rPr>
          <w:rFonts w:ascii="Arial" w:eastAsia="Arial" w:hAnsi="Arial" w:cs="Arial"/>
          <w:sz w:val="24"/>
          <w:szCs w:val="24"/>
        </w:rPr>
        <w:t>(</w:t>
      </w:r>
      <w:r>
        <w:rPr>
          <w:rFonts w:ascii="Arial" w:eastAsia="Arial" w:hAnsi="Arial" w:cs="Arial"/>
          <w:sz w:val="24"/>
          <w:szCs w:val="24"/>
        </w:rPr>
        <w:t>CNE</w:t>
      </w:r>
      <w:r w:rsidR="00A36373">
        <w:rPr>
          <w:rFonts w:ascii="Arial" w:eastAsia="Arial" w:hAnsi="Arial" w:cs="Arial"/>
          <w:sz w:val="24"/>
          <w:szCs w:val="24"/>
        </w:rPr>
        <w:t>)</w:t>
      </w:r>
      <w:r>
        <w:rPr>
          <w:rFonts w:ascii="Arial" w:eastAsia="Arial" w:hAnsi="Arial" w:cs="Arial"/>
          <w:sz w:val="24"/>
          <w:szCs w:val="24"/>
        </w:rPr>
        <w:t xml:space="preserve"> elaboró el instructivo de atención y apoyo a las </w:t>
      </w:r>
      <w:proofErr w:type="spellStart"/>
      <w:r>
        <w:rPr>
          <w:rFonts w:ascii="Arial" w:eastAsia="Arial" w:hAnsi="Arial" w:cs="Arial"/>
          <w:sz w:val="24"/>
          <w:szCs w:val="24"/>
        </w:rPr>
        <w:t>PcD</w:t>
      </w:r>
      <w:proofErr w:type="spellEnd"/>
      <w:r>
        <w:rPr>
          <w:rFonts w:ascii="Arial" w:eastAsia="Arial" w:hAnsi="Arial" w:cs="Arial"/>
          <w:sz w:val="24"/>
          <w:szCs w:val="24"/>
        </w:rPr>
        <w:t xml:space="preserve"> en los procesos electorales, cuya esquematización en un afiche va incluido en el cotillón electoral y es colocado en un lugar visible de cada centro de votación y mesa electoral. Recomendamos que dicho afiche pueda ser distribuido en mayores cantidades e inclusive debería incorporarse dentro del material entregado a los miembros de mesa en su capacitación previa.</w:t>
      </w:r>
    </w:p>
    <w:p w14:paraId="6E043441"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En Venezuela las </w:t>
      </w:r>
      <w:proofErr w:type="spellStart"/>
      <w:r>
        <w:rPr>
          <w:rFonts w:ascii="Arial" w:eastAsia="Arial" w:hAnsi="Arial" w:cs="Arial"/>
          <w:sz w:val="24"/>
          <w:szCs w:val="24"/>
        </w:rPr>
        <w:t>PcD</w:t>
      </w:r>
      <w:proofErr w:type="spellEnd"/>
      <w:r>
        <w:rPr>
          <w:rFonts w:ascii="Arial" w:eastAsia="Arial" w:hAnsi="Arial" w:cs="Arial"/>
          <w:sz w:val="24"/>
          <w:szCs w:val="24"/>
        </w:rPr>
        <w:t xml:space="preserve"> pueden elegir y ser elegidos al postularse a distintos cargos de elección popular, aunque la participación de </w:t>
      </w:r>
      <w:proofErr w:type="gramStart"/>
      <w:r>
        <w:rPr>
          <w:rFonts w:ascii="Arial" w:eastAsia="Arial" w:hAnsi="Arial" w:cs="Arial"/>
          <w:sz w:val="24"/>
          <w:szCs w:val="24"/>
        </w:rPr>
        <w:t>las mismas</w:t>
      </w:r>
      <w:proofErr w:type="gramEnd"/>
      <w:r>
        <w:rPr>
          <w:rFonts w:ascii="Arial" w:eastAsia="Arial" w:hAnsi="Arial" w:cs="Arial"/>
          <w:sz w:val="24"/>
          <w:szCs w:val="24"/>
        </w:rPr>
        <w:t xml:space="preserve"> es muy baja en relación al número de </w:t>
      </w:r>
      <w:proofErr w:type="spellStart"/>
      <w:r>
        <w:rPr>
          <w:rFonts w:ascii="Arial" w:eastAsia="Arial" w:hAnsi="Arial" w:cs="Arial"/>
          <w:sz w:val="24"/>
          <w:szCs w:val="24"/>
        </w:rPr>
        <w:t>PcD</w:t>
      </w:r>
      <w:proofErr w:type="spellEnd"/>
      <w:r>
        <w:rPr>
          <w:rFonts w:ascii="Arial" w:eastAsia="Arial" w:hAnsi="Arial" w:cs="Arial"/>
          <w:sz w:val="24"/>
          <w:szCs w:val="24"/>
        </w:rPr>
        <w:t xml:space="preserve"> inscritas en el REP.</w:t>
      </w:r>
    </w:p>
    <w:p w14:paraId="32559D3F" w14:textId="77777777" w:rsidR="005C6842"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Pr>
          <w:rFonts w:ascii="Arial" w:eastAsia="Arial" w:hAnsi="Arial" w:cs="Arial"/>
          <w:sz w:val="24"/>
          <w:szCs w:val="24"/>
        </w:rPr>
        <w:t xml:space="preserve">Si bien la Ley para </w:t>
      </w:r>
      <w:proofErr w:type="spellStart"/>
      <w:r>
        <w:rPr>
          <w:rFonts w:ascii="Arial" w:eastAsia="Arial" w:hAnsi="Arial" w:cs="Arial"/>
          <w:sz w:val="24"/>
          <w:szCs w:val="24"/>
        </w:rPr>
        <w:t>PcD</w:t>
      </w:r>
      <w:proofErr w:type="spellEnd"/>
      <w:r>
        <w:rPr>
          <w:rFonts w:ascii="Arial" w:eastAsia="Arial" w:hAnsi="Arial" w:cs="Arial"/>
          <w:sz w:val="24"/>
          <w:szCs w:val="24"/>
        </w:rPr>
        <w:t xml:space="preserve"> contempla la creación de organizaciones de este colectivo de personas, el Estado sostiene como práctica la consideración de aquellas que les son políticamente afines en las convocatorias a actividades de cualquier índole. Aquellas organizaciones que formulan </w:t>
      </w:r>
      <w:proofErr w:type="gramStart"/>
      <w:r>
        <w:rPr>
          <w:rFonts w:ascii="Arial" w:eastAsia="Arial" w:hAnsi="Arial" w:cs="Arial"/>
          <w:sz w:val="24"/>
          <w:szCs w:val="24"/>
        </w:rPr>
        <w:t>críticas,</w:t>
      </w:r>
      <w:proofErr w:type="gramEnd"/>
      <w:r>
        <w:rPr>
          <w:rFonts w:ascii="Arial" w:eastAsia="Arial" w:hAnsi="Arial" w:cs="Arial"/>
          <w:sz w:val="24"/>
          <w:szCs w:val="24"/>
        </w:rPr>
        <w:t xml:space="preserve"> señalan fallas o disienten de sus decisiones suelen ser juzgadas como desleales y sometidas muchas veces a acciones de amenazas u hostigamiento, lo que evidencia que el interés no está centrado en fortalecer la participación política y social de estas organizaciones y sus miembros, sino en sus fines políticos y partidistas.</w:t>
      </w:r>
    </w:p>
    <w:p w14:paraId="197E48A4"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rPr>
      </w:pPr>
      <w:r>
        <w:rPr>
          <w:rFonts w:ascii="Arial" w:eastAsia="Arial" w:hAnsi="Arial" w:cs="Arial"/>
          <w:b/>
          <w:color w:val="000000"/>
          <w:sz w:val="24"/>
          <w:szCs w:val="24"/>
        </w:rPr>
        <w:t>Recopilación de datos y estadísticas (art. 31)</w:t>
      </w:r>
    </w:p>
    <w:p w14:paraId="1CB56B63" w14:textId="31B1096C" w:rsidR="005C6842" w:rsidRPr="00B62993"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sidRPr="00B62993">
        <w:rPr>
          <w:rFonts w:ascii="Arial" w:eastAsia="Arial" w:hAnsi="Arial" w:cs="Arial"/>
          <w:sz w:val="24"/>
          <w:szCs w:val="24"/>
        </w:rPr>
        <w:t xml:space="preserve">No se posee información sobre los procedimientos, instrumento ni alcances efectivos de los resultados obtenidos con el “Sistema CONAPDIS” ejecutado en el período 2015-2019. La cifra ofrecida por el ente oficial se conoció de su informe porque no existen publicaciones oficiales al respecto. Desde 2017 el activista por los derechos humanos de las </w:t>
      </w:r>
      <w:proofErr w:type="spellStart"/>
      <w:r w:rsidRPr="00B62993">
        <w:rPr>
          <w:rFonts w:ascii="Arial" w:eastAsia="Arial" w:hAnsi="Arial" w:cs="Arial"/>
          <w:sz w:val="24"/>
          <w:szCs w:val="24"/>
        </w:rPr>
        <w:t>PcD</w:t>
      </w:r>
      <w:proofErr w:type="spellEnd"/>
      <w:r w:rsidRPr="00B62993">
        <w:rPr>
          <w:rFonts w:ascii="Arial" w:eastAsia="Arial" w:hAnsi="Arial" w:cs="Arial"/>
          <w:sz w:val="24"/>
          <w:szCs w:val="24"/>
        </w:rPr>
        <w:t xml:space="preserve">, </w:t>
      </w:r>
      <w:proofErr w:type="spellStart"/>
      <w:r w:rsidRPr="00B62993">
        <w:rPr>
          <w:rFonts w:ascii="Arial" w:eastAsia="Arial" w:hAnsi="Arial" w:cs="Arial"/>
          <w:sz w:val="24"/>
          <w:szCs w:val="24"/>
        </w:rPr>
        <w:t>Prof</w:t>
      </w:r>
      <w:proofErr w:type="spellEnd"/>
      <w:r w:rsidRPr="00B62993">
        <w:rPr>
          <w:rFonts w:ascii="Arial" w:eastAsia="Arial" w:hAnsi="Arial" w:cs="Arial"/>
          <w:sz w:val="24"/>
          <w:szCs w:val="24"/>
        </w:rPr>
        <w:t xml:space="preserve"> </w:t>
      </w:r>
      <w:proofErr w:type="spellStart"/>
      <w:r w:rsidRPr="00B62993">
        <w:rPr>
          <w:rFonts w:ascii="Arial" w:eastAsia="Arial" w:hAnsi="Arial" w:cs="Arial"/>
          <w:sz w:val="24"/>
          <w:szCs w:val="24"/>
        </w:rPr>
        <w:t>Kujawa</w:t>
      </w:r>
      <w:proofErr w:type="spellEnd"/>
      <w:r w:rsidRPr="00B62993">
        <w:rPr>
          <w:rFonts w:ascii="Arial" w:eastAsia="Arial" w:hAnsi="Arial" w:cs="Arial"/>
          <w:color w:val="000000"/>
          <w:sz w:val="24"/>
          <w:szCs w:val="24"/>
          <w:vertAlign w:val="superscript"/>
        </w:rPr>
        <w:footnoteReference w:id="60"/>
      </w:r>
      <w:r w:rsidRPr="00B62993">
        <w:rPr>
          <w:rFonts w:ascii="Arial" w:eastAsia="Arial" w:hAnsi="Arial" w:cs="Arial"/>
          <w:sz w:val="24"/>
          <w:szCs w:val="24"/>
        </w:rPr>
        <w:t xml:space="preserve"> reportó que “el C</w:t>
      </w:r>
      <w:r w:rsidR="00487D65" w:rsidRPr="00B62993">
        <w:rPr>
          <w:rFonts w:ascii="Arial" w:eastAsia="Arial" w:hAnsi="Arial" w:cs="Arial"/>
          <w:sz w:val="24"/>
          <w:szCs w:val="24"/>
        </w:rPr>
        <w:t>ONAPDIS</w:t>
      </w:r>
      <w:r w:rsidRPr="00B62993">
        <w:rPr>
          <w:rFonts w:ascii="Arial" w:eastAsia="Arial" w:hAnsi="Arial" w:cs="Arial"/>
          <w:sz w:val="24"/>
          <w:szCs w:val="24"/>
        </w:rPr>
        <w:t xml:space="preserve"> no </w:t>
      </w:r>
      <w:r w:rsidRPr="00B62993">
        <w:rPr>
          <w:rFonts w:ascii="Arial" w:eastAsia="Arial" w:hAnsi="Arial" w:cs="Arial"/>
          <w:sz w:val="24"/>
          <w:szCs w:val="24"/>
        </w:rPr>
        <w:lastRenderedPageBreak/>
        <w:t xml:space="preserve">presenta información actualizada de ningún tipo que permita determinar las políticas públicas en materia de tipos de discapacidad, empleo, educación, salud, vivienda, cultura, servicios públicos, transporte, </w:t>
      </w:r>
      <w:r w:rsidR="00AA6AAC" w:rsidRPr="00AA6AAC">
        <w:rPr>
          <w:rFonts w:ascii="Arial" w:eastAsia="Arial" w:hAnsi="Arial" w:cs="Arial"/>
          <w:sz w:val="24"/>
          <w:szCs w:val="24"/>
        </w:rPr>
        <w:t>etc.</w:t>
      </w:r>
      <w:r w:rsidRPr="00B62993">
        <w:rPr>
          <w:rFonts w:ascii="Arial" w:eastAsia="Arial" w:hAnsi="Arial" w:cs="Arial"/>
          <w:sz w:val="24"/>
          <w:szCs w:val="24"/>
        </w:rPr>
        <w:t>”.</w:t>
      </w:r>
    </w:p>
    <w:p w14:paraId="76E56417" w14:textId="77777777" w:rsidR="005C6842" w:rsidRPr="00B62993"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sidRPr="00B62993">
        <w:rPr>
          <w:rFonts w:ascii="Arial" w:eastAsia="Arial" w:hAnsi="Arial" w:cs="Arial"/>
          <w:sz w:val="24"/>
          <w:szCs w:val="24"/>
        </w:rPr>
        <w:t>La situación por falta de data válida es crítica en el país</w:t>
      </w:r>
      <w:r>
        <w:rPr>
          <w:rFonts w:ascii="Arial" w:eastAsia="Arial" w:hAnsi="Arial" w:cs="Arial"/>
          <w:sz w:val="24"/>
          <w:szCs w:val="24"/>
        </w:rPr>
        <w:t>. Esto</w:t>
      </w:r>
      <w:r w:rsidRPr="00B62993">
        <w:rPr>
          <w:rFonts w:ascii="Arial" w:eastAsia="Arial" w:hAnsi="Arial" w:cs="Arial"/>
          <w:sz w:val="24"/>
          <w:szCs w:val="24"/>
        </w:rPr>
        <w:t xml:space="preserve"> se evidencia cuando se analiza que el mismo Estado señala en su respuesta a la Lista de cuestiones que desde el año 2008 hasta el 2019 se registraron 424.141 </w:t>
      </w:r>
      <w:proofErr w:type="spellStart"/>
      <w:r w:rsidRPr="00B62993">
        <w:rPr>
          <w:rFonts w:ascii="Arial" w:eastAsia="Arial" w:hAnsi="Arial" w:cs="Arial"/>
          <w:sz w:val="24"/>
          <w:szCs w:val="24"/>
        </w:rPr>
        <w:t>PcD</w:t>
      </w:r>
      <w:proofErr w:type="spellEnd"/>
      <w:r w:rsidRPr="00B62993">
        <w:rPr>
          <w:rFonts w:ascii="Arial" w:eastAsia="Arial" w:hAnsi="Arial" w:cs="Arial"/>
          <w:sz w:val="24"/>
          <w:szCs w:val="24"/>
        </w:rPr>
        <w:t xml:space="preserve"> certificadas, cuando según el censo de 2011 la población con discapacidad</w:t>
      </w:r>
      <w:r>
        <w:rPr>
          <w:rFonts w:ascii="Arial" w:eastAsia="Arial" w:hAnsi="Arial" w:cs="Arial"/>
          <w:sz w:val="24"/>
          <w:szCs w:val="24"/>
        </w:rPr>
        <w:t xml:space="preserve"> fue de</w:t>
      </w:r>
      <w:r w:rsidRPr="00B62993">
        <w:rPr>
          <w:rFonts w:ascii="Arial" w:eastAsia="Arial" w:hAnsi="Arial" w:cs="Arial"/>
          <w:sz w:val="24"/>
          <w:szCs w:val="24"/>
        </w:rPr>
        <w:t xml:space="preserve"> 1.454.845, sin considerar lo que hemos reiterado desde el Informe Alternativo en referencia a que esta población ha debido aumentar significativamente ante la </w:t>
      </w:r>
      <w:r>
        <w:rPr>
          <w:rFonts w:ascii="Arial" w:eastAsia="Arial" w:hAnsi="Arial" w:cs="Arial"/>
          <w:sz w:val="24"/>
          <w:szCs w:val="24"/>
        </w:rPr>
        <w:t>emergencia humanitaria compleja</w:t>
      </w:r>
      <w:r w:rsidRPr="00B62993">
        <w:rPr>
          <w:rFonts w:ascii="Arial" w:eastAsia="Arial" w:hAnsi="Arial" w:cs="Arial"/>
          <w:sz w:val="24"/>
          <w:szCs w:val="24"/>
        </w:rPr>
        <w:t xml:space="preserve"> que aqueja al país.</w:t>
      </w:r>
    </w:p>
    <w:p w14:paraId="593DD039" w14:textId="6FC34A40" w:rsidR="005C6842" w:rsidRPr="00B62993" w:rsidRDefault="004A1E28" w:rsidP="00B62993">
      <w:pPr>
        <w:numPr>
          <w:ilvl w:val="0"/>
          <w:numId w:val="2"/>
        </w:numPr>
        <w:tabs>
          <w:tab w:val="left" w:pos="709"/>
        </w:tabs>
        <w:spacing w:before="120" w:after="120"/>
        <w:ind w:left="567" w:hanging="567"/>
        <w:jc w:val="both"/>
        <w:rPr>
          <w:rFonts w:ascii="Arial" w:eastAsia="Arial" w:hAnsi="Arial" w:cs="Arial"/>
          <w:sz w:val="24"/>
          <w:szCs w:val="24"/>
        </w:rPr>
      </w:pPr>
      <w:r w:rsidRPr="00B62993">
        <w:rPr>
          <w:rFonts w:ascii="Arial" w:eastAsia="Arial" w:hAnsi="Arial" w:cs="Arial"/>
          <w:sz w:val="24"/>
          <w:szCs w:val="24"/>
        </w:rPr>
        <w:t>De igual manera, el E</w:t>
      </w:r>
      <w:r>
        <w:rPr>
          <w:rFonts w:ascii="Arial" w:eastAsia="Arial" w:hAnsi="Arial" w:cs="Arial"/>
          <w:sz w:val="24"/>
          <w:szCs w:val="24"/>
        </w:rPr>
        <w:t>stado</w:t>
      </w:r>
      <w:r w:rsidRPr="00B62993">
        <w:rPr>
          <w:rFonts w:ascii="Arial" w:eastAsia="Arial" w:hAnsi="Arial" w:cs="Arial"/>
          <w:sz w:val="24"/>
          <w:szCs w:val="24"/>
        </w:rPr>
        <w:t xml:space="preserve"> en su respuesta a la Lista de cuestiones señala que 281.752 es el número de nuevas personas certificadas, sin distinguir si ya estaban dentro del censo o si se suman a las censadas en 2011. Estas imprecisiones generan desconcierto en la población y sociedad civil. Por último, una de las organizaciones asistentes a la mesa técnica de enero 2020 informó que iniciaron conversaciones con el INE, de quienes recibieron disculpas no oficiales por la poca información recopilada y publicada sobre la población con autismo a nivel nacional, a pesar del aumento significativo en los casos reportados en las instituciones privadas que trabajan en beneficio de esta población.</w:t>
      </w:r>
    </w:p>
    <w:p w14:paraId="3369FCF0" w14:textId="77777777" w:rsidR="005C6842" w:rsidRPr="00B62993" w:rsidRDefault="005C6842" w:rsidP="00B62993">
      <w:pPr>
        <w:tabs>
          <w:tab w:val="left" w:pos="709"/>
        </w:tabs>
        <w:spacing w:before="120" w:after="120"/>
        <w:jc w:val="both"/>
        <w:rPr>
          <w:rFonts w:ascii="Arial" w:eastAsia="Arial" w:hAnsi="Arial" w:cs="Arial"/>
          <w:sz w:val="24"/>
          <w:szCs w:val="24"/>
        </w:rPr>
      </w:pPr>
    </w:p>
    <w:p w14:paraId="0419620D" w14:textId="77777777" w:rsidR="005C6842" w:rsidRDefault="004A1E28">
      <w:pPr>
        <w:keepNext/>
        <w:keepLines/>
        <w:pBdr>
          <w:top w:val="nil"/>
          <w:left w:val="nil"/>
          <w:bottom w:val="nil"/>
          <w:right w:val="nil"/>
          <w:between w:val="nil"/>
        </w:pBdr>
        <w:tabs>
          <w:tab w:val="right" w:pos="851"/>
        </w:tabs>
        <w:spacing w:before="120" w:after="120"/>
        <w:ind w:left="360" w:right="1134"/>
        <w:jc w:val="both"/>
        <w:rPr>
          <w:rFonts w:ascii="Arial" w:eastAsia="Arial" w:hAnsi="Arial" w:cs="Arial"/>
          <w:b/>
          <w:color w:val="000000"/>
          <w:sz w:val="24"/>
          <w:szCs w:val="24"/>
          <w:u w:val="single"/>
        </w:rPr>
      </w:pPr>
      <w:r>
        <w:rPr>
          <w:rFonts w:ascii="Arial" w:eastAsia="Arial" w:hAnsi="Arial" w:cs="Arial"/>
          <w:b/>
          <w:color w:val="000000"/>
          <w:sz w:val="24"/>
          <w:szCs w:val="24"/>
        </w:rPr>
        <w:t>Recomendaciones por agregar</w:t>
      </w:r>
    </w:p>
    <w:p w14:paraId="5CD33E8C" w14:textId="77777777" w:rsidR="005C6842" w:rsidRDefault="004A1E28">
      <w:pPr>
        <w:numPr>
          <w:ilvl w:val="0"/>
          <w:numId w:val="1"/>
        </w:numPr>
        <w:spacing w:before="120" w:after="120"/>
        <w:jc w:val="both"/>
        <w:rPr>
          <w:sz w:val="24"/>
          <w:szCs w:val="24"/>
        </w:rPr>
      </w:pPr>
      <w:r>
        <w:rPr>
          <w:rFonts w:ascii="Arial" w:eastAsia="Arial" w:hAnsi="Arial" w:cs="Arial"/>
          <w:sz w:val="24"/>
          <w:szCs w:val="24"/>
        </w:rPr>
        <w:t xml:space="preserve">Solicitamos al Comité que </w:t>
      </w:r>
      <w:r w:rsidR="00237751">
        <w:rPr>
          <w:rFonts w:ascii="Arial" w:eastAsia="Arial" w:hAnsi="Arial" w:cs="Arial"/>
          <w:sz w:val="24"/>
          <w:szCs w:val="24"/>
        </w:rPr>
        <w:t xml:space="preserve">exhorte </w:t>
      </w:r>
      <w:r>
        <w:rPr>
          <w:rFonts w:ascii="Arial" w:eastAsia="Arial" w:hAnsi="Arial" w:cs="Arial"/>
          <w:sz w:val="24"/>
          <w:szCs w:val="24"/>
        </w:rPr>
        <w:t xml:space="preserve">el Estado recolecte y publique data actualizada de la población con discapacidad en Venezuela y la comparta ampliamente con las </w:t>
      </w:r>
      <w:r w:rsidR="00772EA5">
        <w:rPr>
          <w:rFonts w:ascii="Arial" w:eastAsia="Arial" w:hAnsi="Arial" w:cs="Arial"/>
          <w:sz w:val="24"/>
          <w:szCs w:val="24"/>
        </w:rPr>
        <w:t>OPD</w:t>
      </w:r>
      <w:r>
        <w:rPr>
          <w:rFonts w:ascii="Arial" w:eastAsia="Arial" w:hAnsi="Arial" w:cs="Arial"/>
          <w:sz w:val="24"/>
          <w:szCs w:val="24"/>
        </w:rPr>
        <w:t xml:space="preserve"> y Sociedad civil en general. </w:t>
      </w:r>
    </w:p>
    <w:p w14:paraId="2F13790C" w14:textId="77777777" w:rsidR="005C6842" w:rsidRDefault="004A1E28">
      <w:pPr>
        <w:numPr>
          <w:ilvl w:val="0"/>
          <w:numId w:val="1"/>
        </w:numPr>
        <w:spacing w:before="120" w:after="120"/>
        <w:jc w:val="both"/>
        <w:rPr>
          <w:sz w:val="24"/>
          <w:szCs w:val="24"/>
        </w:rPr>
      </w:pPr>
      <w:r>
        <w:rPr>
          <w:rFonts w:ascii="Arial" w:eastAsia="Arial" w:hAnsi="Arial" w:cs="Arial"/>
          <w:sz w:val="24"/>
          <w:szCs w:val="24"/>
        </w:rPr>
        <w:t>Se sugiere al Comité hacer seguimiento continuo al Estado venezolano a través de una comisión permanente de monitoreo que vele por el cumplimiento de los derechos establecidos en la CPCD y se pueda dar respuesta efectiva a las necesidades de la población con discapacidad especialmente afectada en esta situación de emergencia humanitaria compleja.</w:t>
      </w:r>
    </w:p>
    <w:p w14:paraId="19178253" w14:textId="77777777" w:rsidR="005C6842" w:rsidRDefault="004A1E28">
      <w:pPr>
        <w:numPr>
          <w:ilvl w:val="0"/>
          <w:numId w:val="1"/>
        </w:numPr>
        <w:spacing w:before="120" w:after="120"/>
        <w:jc w:val="both"/>
        <w:rPr>
          <w:sz w:val="24"/>
          <w:szCs w:val="24"/>
        </w:rPr>
      </w:pPr>
      <w:r>
        <w:rPr>
          <w:rFonts w:ascii="Arial" w:eastAsia="Arial" w:hAnsi="Arial" w:cs="Arial"/>
          <w:sz w:val="24"/>
          <w:szCs w:val="24"/>
        </w:rPr>
        <w:t>Exhortamos al Estado venezolano a compartir información cuantitativa sobre la población de NNA y mujeres con discapacidad con el fin de generar planes y acciones mancomunadas que garanticen el derecho a la vida de estos grupos vulnerables.</w:t>
      </w:r>
    </w:p>
    <w:p w14:paraId="35EF7023" w14:textId="77777777" w:rsidR="005C6842" w:rsidRDefault="004A1E28">
      <w:pPr>
        <w:numPr>
          <w:ilvl w:val="0"/>
          <w:numId w:val="1"/>
        </w:numPr>
        <w:spacing w:before="120" w:after="120"/>
        <w:jc w:val="both"/>
        <w:rPr>
          <w:sz w:val="24"/>
          <w:szCs w:val="24"/>
        </w:rPr>
      </w:pPr>
      <w:r>
        <w:rPr>
          <w:rFonts w:ascii="Arial" w:eastAsia="Arial" w:hAnsi="Arial" w:cs="Arial"/>
          <w:sz w:val="24"/>
          <w:szCs w:val="24"/>
        </w:rPr>
        <w:t>Recomendamos al Estado venezolano convertir en diferentes formatos accesibles todas las guías, orientaciones teóricas, trípticos e instructivos que se han creado desde los diferentes organismos públicos para ofrecer información a la población con discapacidad, así como garantizar criterios de accesibilidad web en todas las páginas oficiales.</w:t>
      </w:r>
    </w:p>
    <w:p w14:paraId="3DADBB38" w14:textId="1AB50A6E" w:rsidR="00497E34" w:rsidRDefault="00497E34">
      <w:pPr>
        <w:spacing w:before="120" w:after="120"/>
        <w:jc w:val="both"/>
        <w:rPr>
          <w:rFonts w:ascii="Arial" w:eastAsia="Arial" w:hAnsi="Arial" w:cs="Arial"/>
          <w:b/>
          <w:sz w:val="24"/>
          <w:szCs w:val="24"/>
        </w:rPr>
      </w:pPr>
    </w:p>
    <w:p w14:paraId="2E5DEB97" w14:textId="6423BA39" w:rsidR="006B189C" w:rsidRDefault="006B189C">
      <w:pPr>
        <w:spacing w:before="120" w:after="120"/>
        <w:jc w:val="both"/>
        <w:rPr>
          <w:rFonts w:ascii="Arial" w:eastAsia="Arial" w:hAnsi="Arial" w:cs="Arial"/>
          <w:b/>
          <w:sz w:val="24"/>
          <w:szCs w:val="24"/>
        </w:rPr>
      </w:pPr>
    </w:p>
    <w:p w14:paraId="46C48E35" w14:textId="77777777" w:rsidR="006B189C" w:rsidRPr="006B189C" w:rsidRDefault="006B189C" w:rsidP="006B189C">
      <w:pPr>
        <w:spacing w:before="120" w:after="120"/>
        <w:jc w:val="both"/>
        <w:rPr>
          <w:rFonts w:ascii="Arial" w:eastAsia="Arial" w:hAnsi="Arial" w:cs="Arial"/>
          <w:b/>
          <w:sz w:val="24"/>
          <w:szCs w:val="24"/>
        </w:rPr>
      </w:pPr>
    </w:p>
    <w:p w14:paraId="49AC09A7" w14:textId="78E93AA5" w:rsidR="006B189C" w:rsidRDefault="006B189C" w:rsidP="006B189C">
      <w:pPr>
        <w:spacing w:before="120" w:after="120"/>
        <w:jc w:val="both"/>
        <w:rPr>
          <w:rFonts w:ascii="Arial" w:eastAsia="Arial" w:hAnsi="Arial" w:cs="Arial"/>
          <w:b/>
          <w:color w:val="000000"/>
          <w:sz w:val="24"/>
          <w:szCs w:val="24"/>
        </w:rPr>
      </w:pPr>
      <w:r w:rsidRPr="006B189C">
        <w:rPr>
          <w:rFonts w:ascii="Arial" w:eastAsia="Arial" w:hAnsi="Arial" w:cs="Arial"/>
          <w:b/>
          <w:color w:val="000000"/>
          <w:sz w:val="24"/>
          <w:szCs w:val="24"/>
        </w:rPr>
        <w:t xml:space="preserve">Listado de organizaciones que suscriben el </w:t>
      </w:r>
      <w:r>
        <w:rPr>
          <w:rFonts w:ascii="Arial" w:eastAsia="Arial" w:hAnsi="Arial" w:cs="Arial"/>
          <w:b/>
          <w:color w:val="000000"/>
          <w:sz w:val="24"/>
          <w:szCs w:val="24"/>
        </w:rPr>
        <w:t>I</w:t>
      </w:r>
      <w:r w:rsidRPr="006B189C">
        <w:rPr>
          <w:rFonts w:ascii="Arial" w:eastAsia="Arial" w:hAnsi="Arial" w:cs="Arial"/>
          <w:b/>
          <w:color w:val="000000"/>
          <w:sz w:val="24"/>
          <w:szCs w:val="24"/>
        </w:rPr>
        <w:t>nforme</w:t>
      </w:r>
    </w:p>
    <w:p w14:paraId="23B8CE7A" w14:textId="77777777" w:rsidR="00DF6ECB" w:rsidRDefault="00DF6ECB" w:rsidP="00DF6ECB">
      <w:pPr>
        <w:pStyle w:val="Textonotaalfinal"/>
        <w:numPr>
          <w:ilvl w:val="0"/>
          <w:numId w:val="3"/>
        </w:numPr>
        <w:spacing w:line="360" w:lineRule="auto"/>
        <w:jc w:val="both"/>
        <w:rPr>
          <w:sz w:val="24"/>
          <w:szCs w:val="24"/>
        </w:rPr>
      </w:pPr>
      <w:r w:rsidRPr="006B37E8">
        <w:rPr>
          <w:sz w:val="24"/>
          <w:szCs w:val="24"/>
        </w:rPr>
        <w:t>Confederación de Sordos de Venezuela (CONSORVEN)</w:t>
      </w:r>
    </w:p>
    <w:p w14:paraId="03D5E282" w14:textId="77777777" w:rsidR="00DF6ECB" w:rsidRPr="00BC599F" w:rsidRDefault="00DF6ECB" w:rsidP="00DF6ECB">
      <w:pPr>
        <w:pStyle w:val="Textonotaalfinal"/>
        <w:spacing w:line="360" w:lineRule="auto"/>
        <w:jc w:val="both"/>
        <w:rPr>
          <w:sz w:val="24"/>
          <w:szCs w:val="24"/>
          <w:lang w:val="es-VE" w:eastAsia="en-US"/>
        </w:rPr>
      </w:pPr>
      <w:r>
        <w:rPr>
          <w:sz w:val="24"/>
          <w:szCs w:val="24"/>
        </w:rPr>
        <w:tab/>
      </w:r>
      <w:r w:rsidRPr="00BC1DC5">
        <w:rPr>
          <w:sz w:val="24"/>
          <w:szCs w:val="24"/>
          <w:lang w:val="es-VE" w:eastAsia="en-US"/>
        </w:rPr>
        <w:t>Aso</w:t>
      </w:r>
      <w:r w:rsidRPr="00BC599F">
        <w:rPr>
          <w:sz w:val="24"/>
          <w:szCs w:val="24"/>
          <w:lang w:val="es-VE" w:eastAsia="en-US"/>
        </w:rPr>
        <w:t>ciación de</w:t>
      </w:r>
      <w:r w:rsidRPr="00BC1DC5">
        <w:rPr>
          <w:sz w:val="24"/>
          <w:szCs w:val="24"/>
          <w:lang w:val="es-VE" w:eastAsia="en-US"/>
        </w:rPr>
        <w:t xml:space="preserve"> Sordos de Calabozo</w:t>
      </w:r>
    </w:p>
    <w:p w14:paraId="3F5F53F1" w14:textId="77777777" w:rsidR="00DF6ECB" w:rsidRPr="00BC599F" w:rsidRDefault="00DF6ECB" w:rsidP="00DF6ECB">
      <w:pPr>
        <w:pStyle w:val="Textonotaalfinal"/>
        <w:spacing w:line="360" w:lineRule="auto"/>
        <w:jc w:val="both"/>
        <w:rPr>
          <w:sz w:val="24"/>
          <w:szCs w:val="24"/>
          <w:lang w:val="es-VE" w:eastAsia="en-US"/>
        </w:rPr>
      </w:pPr>
      <w:r w:rsidRPr="00BC599F">
        <w:rPr>
          <w:sz w:val="24"/>
          <w:szCs w:val="24"/>
          <w:lang w:val="es-VE"/>
        </w:rPr>
        <w:tab/>
      </w:r>
      <w:r w:rsidRPr="00BC1DC5">
        <w:rPr>
          <w:sz w:val="24"/>
          <w:szCs w:val="24"/>
          <w:lang w:val="es-VE" w:eastAsia="en-US"/>
        </w:rPr>
        <w:t>Aso</w:t>
      </w:r>
      <w:r w:rsidRPr="00BC599F">
        <w:rPr>
          <w:sz w:val="24"/>
          <w:szCs w:val="24"/>
          <w:lang w:val="es-VE" w:eastAsia="en-US"/>
        </w:rPr>
        <w:t>ciación de</w:t>
      </w:r>
      <w:r w:rsidRPr="00BC1DC5">
        <w:rPr>
          <w:sz w:val="24"/>
          <w:szCs w:val="24"/>
          <w:lang w:val="es-VE" w:eastAsia="en-US"/>
        </w:rPr>
        <w:t xml:space="preserve"> Sordos de Caracas</w:t>
      </w:r>
    </w:p>
    <w:p w14:paraId="47241FAA" w14:textId="77777777" w:rsidR="00DF6ECB" w:rsidRDefault="00DF6ECB" w:rsidP="00DF6ECB">
      <w:pPr>
        <w:pStyle w:val="Textonotaalfinal"/>
        <w:spacing w:line="360" w:lineRule="auto"/>
        <w:jc w:val="both"/>
        <w:rPr>
          <w:sz w:val="24"/>
          <w:szCs w:val="24"/>
          <w:lang w:val="es-VE" w:eastAsia="en-US"/>
        </w:rPr>
      </w:pPr>
      <w:r>
        <w:rPr>
          <w:sz w:val="24"/>
          <w:szCs w:val="24"/>
          <w:lang w:val="es-VE" w:eastAsia="en-US"/>
        </w:rPr>
        <w:tab/>
      </w:r>
      <w:r w:rsidRPr="00BC1DC5">
        <w:rPr>
          <w:sz w:val="24"/>
          <w:szCs w:val="24"/>
          <w:lang w:val="es-VE" w:eastAsia="en-US"/>
        </w:rPr>
        <w:t>Aso</w:t>
      </w:r>
      <w:r w:rsidRPr="00BC599F">
        <w:rPr>
          <w:sz w:val="24"/>
          <w:szCs w:val="24"/>
          <w:lang w:val="es-VE" w:eastAsia="en-US"/>
        </w:rPr>
        <w:t>ciación</w:t>
      </w:r>
      <w:r>
        <w:rPr>
          <w:sz w:val="24"/>
          <w:szCs w:val="24"/>
          <w:lang w:val="es-VE" w:eastAsia="en-US"/>
        </w:rPr>
        <w:t xml:space="preserve"> de</w:t>
      </w:r>
      <w:r w:rsidRPr="00BC1DC5">
        <w:rPr>
          <w:sz w:val="24"/>
          <w:szCs w:val="24"/>
          <w:lang w:val="es-VE" w:eastAsia="en-US"/>
        </w:rPr>
        <w:t xml:space="preserve"> Sordos de los Altos Mirandinos</w:t>
      </w:r>
    </w:p>
    <w:p w14:paraId="4FDF91CD" w14:textId="77777777" w:rsidR="00DF6ECB" w:rsidRPr="00BC599F" w:rsidRDefault="00DF6ECB" w:rsidP="00DF6ECB">
      <w:pPr>
        <w:pStyle w:val="Textonotaalfinal"/>
        <w:spacing w:line="360" w:lineRule="auto"/>
        <w:jc w:val="both"/>
        <w:rPr>
          <w:sz w:val="24"/>
          <w:szCs w:val="24"/>
          <w:lang w:val="es-VE" w:eastAsia="en-US"/>
        </w:rPr>
      </w:pPr>
      <w:r>
        <w:rPr>
          <w:sz w:val="24"/>
          <w:szCs w:val="24"/>
          <w:lang w:val="es-VE"/>
        </w:rPr>
        <w:tab/>
      </w:r>
      <w:r w:rsidRPr="00BC1DC5">
        <w:rPr>
          <w:sz w:val="24"/>
          <w:szCs w:val="24"/>
          <w:lang w:val="es-VE" w:eastAsia="en-US"/>
        </w:rPr>
        <w:t>Aso</w:t>
      </w:r>
      <w:r w:rsidRPr="00BC599F">
        <w:rPr>
          <w:sz w:val="24"/>
          <w:szCs w:val="24"/>
          <w:lang w:val="es-VE" w:eastAsia="en-US"/>
        </w:rPr>
        <w:t>ciación de</w:t>
      </w:r>
      <w:r w:rsidRPr="00BC1DC5">
        <w:rPr>
          <w:sz w:val="24"/>
          <w:szCs w:val="24"/>
          <w:lang w:val="es-VE" w:eastAsia="en-US"/>
        </w:rPr>
        <w:t xml:space="preserve"> Sordos de Turmero</w:t>
      </w:r>
    </w:p>
    <w:p w14:paraId="4EE94588" w14:textId="77777777" w:rsidR="00DF6ECB" w:rsidRDefault="00DF6ECB" w:rsidP="00DF6ECB">
      <w:pPr>
        <w:pStyle w:val="Textonotaalfinal"/>
        <w:spacing w:line="360" w:lineRule="auto"/>
        <w:jc w:val="both"/>
        <w:rPr>
          <w:sz w:val="24"/>
          <w:szCs w:val="24"/>
          <w:lang w:val="es-VE" w:eastAsia="en-US"/>
        </w:rPr>
      </w:pPr>
      <w:r w:rsidRPr="00BC599F">
        <w:rPr>
          <w:sz w:val="24"/>
          <w:szCs w:val="24"/>
          <w:lang w:val="es-VE"/>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w:t>
      </w:r>
      <w:r>
        <w:rPr>
          <w:sz w:val="24"/>
          <w:szCs w:val="24"/>
          <w:lang w:val="es-VE" w:eastAsia="en-US"/>
        </w:rPr>
        <w:t xml:space="preserve">de </w:t>
      </w:r>
      <w:r w:rsidRPr="00BC1DC5">
        <w:rPr>
          <w:sz w:val="24"/>
          <w:szCs w:val="24"/>
          <w:lang w:val="es-VE" w:eastAsia="en-US"/>
        </w:rPr>
        <w:t>Sordos del Estado Anzoátegui</w:t>
      </w:r>
    </w:p>
    <w:p w14:paraId="661D4700" w14:textId="77777777" w:rsidR="00DF6ECB" w:rsidRDefault="00DF6ECB" w:rsidP="00DF6ECB">
      <w:pPr>
        <w:pStyle w:val="Textonotaalfinal"/>
        <w:spacing w:line="360" w:lineRule="auto"/>
        <w:jc w:val="both"/>
        <w:rPr>
          <w:sz w:val="24"/>
          <w:szCs w:val="24"/>
          <w:lang w:val="es-VE" w:eastAsia="en-US"/>
        </w:rPr>
      </w:pPr>
      <w:r>
        <w:rPr>
          <w:sz w:val="24"/>
          <w:szCs w:val="24"/>
          <w:lang w:val="es-VE"/>
        </w:rPr>
        <w:tab/>
      </w:r>
      <w:r w:rsidRPr="00BC1DC5">
        <w:rPr>
          <w:sz w:val="24"/>
          <w:szCs w:val="24"/>
          <w:lang w:val="es-VE" w:eastAsia="en-US"/>
        </w:rPr>
        <w:t>Aso</w:t>
      </w:r>
      <w:r w:rsidRPr="00BC599F">
        <w:rPr>
          <w:sz w:val="24"/>
          <w:szCs w:val="24"/>
          <w:lang w:val="es-VE" w:eastAsia="en-US"/>
        </w:rPr>
        <w:t>ciación</w:t>
      </w:r>
      <w:r>
        <w:rPr>
          <w:sz w:val="24"/>
          <w:szCs w:val="24"/>
          <w:lang w:val="es-VE" w:eastAsia="en-US"/>
        </w:rPr>
        <w:t xml:space="preserve"> de</w:t>
      </w:r>
      <w:r w:rsidRPr="00BC1DC5">
        <w:rPr>
          <w:sz w:val="24"/>
          <w:szCs w:val="24"/>
          <w:lang w:val="es-VE" w:eastAsia="en-US"/>
        </w:rPr>
        <w:t xml:space="preserve"> Sordos del Estado Aragua</w:t>
      </w:r>
    </w:p>
    <w:p w14:paraId="0C39A79D" w14:textId="77777777" w:rsidR="00DF6ECB" w:rsidRDefault="00DF6ECB" w:rsidP="00DF6ECB">
      <w:pPr>
        <w:pStyle w:val="Textonotaalfinal"/>
        <w:spacing w:line="360" w:lineRule="auto"/>
        <w:jc w:val="both"/>
        <w:rPr>
          <w:sz w:val="24"/>
          <w:szCs w:val="24"/>
          <w:lang w:val="es-VE" w:eastAsia="en-US"/>
        </w:rPr>
      </w:pPr>
      <w:r>
        <w:rPr>
          <w:sz w:val="24"/>
          <w:szCs w:val="24"/>
          <w:lang w:val="es-VE"/>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w:t>
      </w:r>
      <w:r>
        <w:rPr>
          <w:sz w:val="24"/>
          <w:szCs w:val="24"/>
          <w:lang w:val="es-VE" w:eastAsia="en-US"/>
        </w:rPr>
        <w:t xml:space="preserve">de </w:t>
      </w:r>
      <w:r w:rsidRPr="00BC1DC5">
        <w:rPr>
          <w:sz w:val="24"/>
          <w:szCs w:val="24"/>
          <w:lang w:val="es-VE" w:eastAsia="en-US"/>
        </w:rPr>
        <w:t>Sordos del Estado Bolívar</w:t>
      </w:r>
    </w:p>
    <w:p w14:paraId="1ADFF8FF" w14:textId="77777777" w:rsidR="00DF6ECB" w:rsidRPr="00BC1DC5" w:rsidRDefault="00DF6ECB" w:rsidP="00DF6ECB">
      <w:pPr>
        <w:spacing w:line="360" w:lineRule="auto"/>
        <w:jc w:val="both"/>
        <w:rPr>
          <w:sz w:val="24"/>
          <w:szCs w:val="24"/>
          <w:lang w:val="es-VE" w:eastAsia="en-US"/>
        </w:rPr>
      </w:pPr>
      <w:r>
        <w:rPr>
          <w:sz w:val="24"/>
          <w:szCs w:val="24"/>
          <w:lang w:val="es-VE"/>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w:t>
      </w:r>
      <w:r>
        <w:rPr>
          <w:sz w:val="24"/>
          <w:szCs w:val="24"/>
          <w:lang w:val="es-VE" w:eastAsia="en-US"/>
        </w:rPr>
        <w:t xml:space="preserve">de </w:t>
      </w:r>
      <w:r w:rsidRPr="00BC1DC5">
        <w:rPr>
          <w:sz w:val="24"/>
          <w:szCs w:val="24"/>
          <w:lang w:val="es-VE" w:eastAsia="en-US"/>
        </w:rPr>
        <w:t>Sordos del Estado Carabobo</w:t>
      </w:r>
    </w:p>
    <w:p w14:paraId="1D6002A4" w14:textId="77777777" w:rsidR="00DF6ECB" w:rsidRDefault="00DF6ECB" w:rsidP="00DF6ECB">
      <w:pPr>
        <w:pStyle w:val="Textonotaalfinal"/>
        <w:spacing w:line="360" w:lineRule="auto"/>
        <w:jc w:val="both"/>
        <w:rPr>
          <w:sz w:val="24"/>
          <w:szCs w:val="24"/>
          <w:lang w:val="es-VE" w:eastAsia="en-US"/>
        </w:rPr>
      </w:pPr>
      <w:r>
        <w:rPr>
          <w:sz w:val="24"/>
          <w:szCs w:val="24"/>
        </w:rPr>
        <w:tab/>
      </w:r>
      <w:r w:rsidRPr="00BC1DC5">
        <w:rPr>
          <w:sz w:val="24"/>
          <w:szCs w:val="24"/>
          <w:lang w:val="es-VE" w:eastAsia="en-US"/>
        </w:rPr>
        <w:t>Aso</w:t>
      </w:r>
      <w:r w:rsidRPr="00BC599F">
        <w:rPr>
          <w:sz w:val="24"/>
          <w:szCs w:val="24"/>
          <w:lang w:val="es-VE" w:eastAsia="en-US"/>
        </w:rPr>
        <w:t>ciación</w:t>
      </w:r>
      <w:r>
        <w:rPr>
          <w:sz w:val="24"/>
          <w:szCs w:val="24"/>
          <w:lang w:val="es-VE" w:eastAsia="en-US"/>
        </w:rPr>
        <w:t xml:space="preserve"> de </w:t>
      </w:r>
      <w:r w:rsidRPr="00BC1DC5">
        <w:rPr>
          <w:sz w:val="24"/>
          <w:szCs w:val="24"/>
          <w:lang w:val="es-VE" w:eastAsia="en-US"/>
        </w:rPr>
        <w:t>Sordos del Estado Lara</w:t>
      </w:r>
    </w:p>
    <w:p w14:paraId="0752034E" w14:textId="77777777" w:rsidR="00DF6ECB" w:rsidRDefault="00DF6ECB" w:rsidP="00DF6ECB">
      <w:pPr>
        <w:pStyle w:val="Textonotaalfinal"/>
        <w:spacing w:line="360" w:lineRule="auto"/>
        <w:jc w:val="both"/>
        <w:rPr>
          <w:sz w:val="24"/>
          <w:szCs w:val="24"/>
          <w:lang w:val="es-VE" w:eastAsia="en-US"/>
        </w:rPr>
      </w:pPr>
      <w:r>
        <w:rPr>
          <w:sz w:val="24"/>
          <w:szCs w:val="24"/>
          <w:lang w:val="es-VE"/>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w:t>
      </w:r>
      <w:r>
        <w:rPr>
          <w:sz w:val="24"/>
          <w:szCs w:val="24"/>
          <w:lang w:val="es-VE" w:eastAsia="en-US"/>
        </w:rPr>
        <w:t xml:space="preserve">de </w:t>
      </w:r>
      <w:r w:rsidRPr="00BC1DC5">
        <w:rPr>
          <w:sz w:val="24"/>
          <w:szCs w:val="24"/>
          <w:lang w:val="es-VE" w:eastAsia="en-US"/>
        </w:rPr>
        <w:t>Sordos del Estado Monagas</w:t>
      </w:r>
    </w:p>
    <w:p w14:paraId="705583E0" w14:textId="77777777" w:rsidR="00DF6ECB" w:rsidRDefault="00DF6ECB" w:rsidP="00DF6ECB">
      <w:pPr>
        <w:spacing w:line="360" w:lineRule="auto"/>
        <w:jc w:val="both"/>
        <w:rPr>
          <w:sz w:val="24"/>
          <w:szCs w:val="24"/>
          <w:lang w:val="es-VE" w:eastAsia="en-US"/>
        </w:rPr>
      </w:pPr>
      <w:r>
        <w:rPr>
          <w:sz w:val="24"/>
          <w:szCs w:val="24"/>
        </w:rPr>
        <w:tab/>
      </w:r>
      <w:r w:rsidRPr="00BC1DC5">
        <w:rPr>
          <w:sz w:val="24"/>
          <w:szCs w:val="24"/>
          <w:lang w:val="es-VE" w:eastAsia="en-US"/>
        </w:rPr>
        <w:t>Aso</w:t>
      </w:r>
      <w:r w:rsidRPr="00BC599F">
        <w:rPr>
          <w:sz w:val="24"/>
          <w:szCs w:val="24"/>
          <w:lang w:val="es-VE" w:eastAsia="en-US"/>
        </w:rPr>
        <w:t>ciació</w:t>
      </w:r>
      <w:r>
        <w:rPr>
          <w:sz w:val="24"/>
          <w:szCs w:val="24"/>
          <w:lang w:val="es-VE" w:eastAsia="en-US"/>
        </w:rPr>
        <w:t>n de</w:t>
      </w:r>
      <w:r w:rsidRPr="00BC1DC5">
        <w:rPr>
          <w:sz w:val="24"/>
          <w:szCs w:val="24"/>
          <w:lang w:val="es-VE" w:eastAsia="en-US"/>
        </w:rPr>
        <w:t xml:space="preserve"> Sordos del Estado Portuguesa</w:t>
      </w:r>
    </w:p>
    <w:p w14:paraId="1BB11F97" w14:textId="77777777" w:rsidR="00DF6ECB" w:rsidRDefault="00DF6ECB" w:rsidP="00DF6ECB">
      <w:pPr>
        <w:spacing w:line="360" w:lineRule="auto"/>
        <w:jc w:val="both"/>
        <w:rPr>
          <w:sz w:val="24"/>
          <w:szCs w:val="24"/>
          <w:lang w:val="es-VE" w:eastAsia="en-US"/>
        </w:rPr>
      </w:pPr>
      <w:r>
        <w:rPr>
          <w:sz w:val="24"/>
          <w:szCs w:val="24"/>
          <w:lang w:val="es-VE" w:eastAsia="en-US"/>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w:t>
      </w:r>
      <w:r>
        <w:rPr>
          <w:sz w:val="24"/>
          <w:szCs w:val="24"/>
          <w:lang w:val="es-VE" w:eastAsia="en-US"/>
        </w:rPr>
        <w:t xml:space="preserve">de </w:t>
      </w:r>
      <w:r w:rsidRPr="00BC1DC5">
        <w:rPr>
          <w:sz w:val="24"/>
          <w:szCs w:val="24"/>
          <w:lang w:val="es-VE" w:eastAsia="en-US"/>
        </w:rPr>
        <w:t>Sordos del Estado Yaracuy</w:t>
      </w:r>
    </w:p>
    <w:p w14:paraId="75159707" w14:textId="77777777" w:rsidR="00DF6ECB" w:rsidRPr="00BC1DC5" w:rsidRDefault="00DF6ECB" w:rsidP="00DF6ECB">
      <w:pPr>
        <w:spacing w:line="360" w:lineRule="auto"/>
        <w:jc w:val="both"/>
        <w:rPr>
          <w:sz w:val="24"/>
          <w:szCs w:val="24"/>
          <w:lang w:val="es-VE" w:eastAsia="en-US"/>
        </w:rPr>
      </w:pPr>
      <w:r>
        <w:rPr>
          <w:sz w:val="24"/>
          <w:szCs w:val="24"/>
          <w:lang w:val="es-VE" w:eastAsia="en-US"/>
        </w:rPr>
        <w:tab/>
      </w:r>
      <w:r w:rsidRPr="00BC1DC5">
        <w:rPr>
          <w:sz w:val="24"/>
          <w:szCs w:val="24"/>
          <w:lang w:val="es-VE" w:eastAsia="en-US"/>
        </w:rPr>
        <w:t>Aso</w:t>
      </w:r>
      <w:r w:rsidRPr="00BC599F">
        <w:rPr>
          <w:sz w:val="24"/>
          <w:szCs w:val="24"/>
          <w:lang w:val="es-VE" w:eastAsia="en-US"/>
        </w:rPr>
        <w:t>ciación</w:t>
      </w:r>
      <w:r>
        <w:rPr>
          <w:sz w:val="24"/>
          <w:szCs w:val="24"/>
          <w:lang w:val="es-VE" w:eastAsia="en-US"/>
        </w:rPr>
        <w:t xml:space="preserve"> de</w:t>
      </w:r>
      <w:r w:rsidRPr="00BC1DC5">
        <w:rPr>
          <w:sz w:val="24"/>
          <w:szCs w:val="24"/>
          <w:lang w:val="es-VE" w:eastAsia="en-US"/>
        </w:rPr>
        <w:t xml:space="preserve"> Sordos del Estado Zulia</w:t>
      </w:r>
    </w:p>
    <w:p w14:paraId="584FEA11" w14:textId="77777777" w:rsidR="00DF6ECB" w:rsidRPr="00BC1DC5" w:rsidRDefault="00DF6ECB" w:rsidP="00DF6ECB">
      <w:pPr>
        <w:spacing w:line="360" w:lineRule="auto"/>
        <w:jc w:val="both"/>
        <w:rPr>
          <w:sz w:val="24"/>
          <w:szCs w:val="24"/>
          <w:lang w:val="es-VE" w:eastAsia="en-US"/>
        </w:rPr>
      </w:pPr>
      <w:r>
        <w:rPr>
          <w:sz w:val="24"/>
          <w:szCs w:val="24"/>
          <w:lang w:val="es-VE" w:eastAsia="en-US"/>
        </w:rPr>
        <w:tab/>
      </w:r>
      <w:r w:rsidRPr="00BC1DC5">
        <w:rPr>
          <w:sz w:val="24"/>
          <w:szCs w:val="24"/>
          <w:lang w:val="es-VE" w:eastAsia="en-US"/>
        </w:rPr>
        <w:t>Aso</w:t>
      </w:r>
      <w:r w:rsidRPr="00BC599F">
        <w:rPr>
          <w:sz w:val="24"/>
          <w:szCs w:val="24"/>
          <w:lang w:val="es-VE" w:eastAsia="en-US"/>
        </w:rPr>
        <w:t>ciación</w:t>
      </w:r>
      <w:r>
        <w:rPr>
          <w:sz w:val="24"/>
          <w:szCs w:val="24"/>
          <w:lang w:val="es-VE" w:eastAsia="en-US"/>
        </w:rPr>
        <w:t xml:space="preserve"> de</w:t>
      </w:r>
      <w:r w:rsidRPr="00BC1DC5">
        <w:rPr>
          <w:sz w:val="24"/>
          <w:szCs w:val="24"/>
          <w:lang w:val="es-VE" w:eastAsia="en-US"/>
        </w:rPr>
        <w:t xml:space="preserve"> Sordos del Mun</w:t>
      </w:r>
      <w:r>
        <w:rPr>
          <w:sz w:val="24"/>
          <w:szCs w:val="24"/>
          <w:lang w:val="es-VE" w:eastAsia="en-US"/>
        </w:rPr>
        <w:t>icipio</w:t>
      </w:r>
      <w:r w:rsidRPr="00BC1DC5">
        <w:rPr>
          <w:sz w:val="24"/>
          <w:szCs w:val="24"/>
          <w:lang w:val="es-VE" w:eastAsia="en-US"/>
        </w:rPr>
        <w:t xml:space="preserve"> Maracaibo </w:t>
      </w:r>
      <w:r>
        <w:rPr>
          <w:sz w:val="24"/>
          <w:szCs w:val="24"/>
          <w:lang w:val="es-VE" w:eastAsia="en-US"/>
        </w:rPr>
        <w:t>–</w:t>
      </w:r>
      <w:r w:rsidRPr="00BC1DC5">
        <w:rPr>
          <w:sz w:val="24"/>
          <w:szCs w:val="24"/>
          <w:lang w:val="es-VE" w:eastAsia="en-US"/>
        </w:rPr>
        <w:t xml:space="preserve"> Zulia</w:t>
      </w:r>
    </w:p>
    <w:p w14:paraId="0CD37834" w14:textId="77777777" w:rsidR="00DF6ECB" w:rsidRPr="00BC1DC5" w:rsidRDefault="00DF6ECB" w:rsidP="00DF6ECB">
      <w:pPr>
        <w:spacing w:line="360" w:lineRule="auto"/>
        <w:jc w:val="both"/>
        <w:rPr>
          <w:sz w:val="24"/>
          <w:szCs w:val="24"/>
          <w:lang w:val="es-VE" w:eastAsia="en-US"/>
        </w:rPr>
      </w:pPr>
      <w:r>
        <w:rPr>
          <w:sz w:val="24"/>
          <w:szCs w:val="24"/>
          <w:lang w:val="es-VE" w:eastAsia="en-US"/>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w:t>
      </w:r>
      <w:r>
        <w:rPr>
          <w:sz w:val="24"/>
          <w:szCs w:val="24"/>
          <w:lang w:val="es-VE" w:eastAsia="en-US"/>
        </w:rPr>
        <w:t xml:space="preserve">de </w:t>
      </w:r>
      <w:r w:rsidRPr="00BC1DC5">
        <w:rPr>
          <w:sz w:val="24"/>
          <w:szCs w:val="24"/>
          <w:lang w:val="es-VE" w:eastAsia="en-US"/>
        </w:rPr>
        <w:t>Sordos del Estado Mérida</w:t>
      </w:r>
    </w:p>
    <w:p w14:paraId="27B71731" w14:textId="77777777" w:rsidR="00DF6ECB" w:rsidRDefault="00DF6ECB" w:rsidP="00DF6ECB">
      <w:pPr>
        <w:spacing w:line="360" w:lineRule="auto"/>
        <w:jc w:val="both"/>
        <w:rPr>
          <w:sz w:val="24"/>
          <w:szCs w:val="24"/>
          <w:lang w:val="es-VE" w:eastAsia="en-US"/>
        </w:rPr>
      </w:pPr>
      <w:r>
        <w:rPr>
          <w:sz w:val="24"/>
          <w:szCs w:val="24"/>
          <w:lang w:val="es-VE" w:eastAsia="en-US"/>
        </w:rPr>
        <w:tab/>
      </w:r>
      <w:r w:rsidRPr="00BC1DC5">
        <w:rPr>
          <w:sz w:val="24"/>
          <w:szCs w:val="24"/>
          <w:lang w:val="es-VE" w:eastAsia="en-US"/>
        </w:rPr>
        <w:t>Asociación del Municipio San Cristóbal</w:t>
      </w:r>
    </w:p>
    <w:p w14:paraId="36018466" w14:textId="77777777" w:rsidR="00DF6ECB" w:rsidRDefault="00DF6ECB" w:rsidP="00DF6ECB">
      <w:pPr>
        <w:spacing w:line="360" w:lineRule="auto"/>
        <w:jc w:val="both"/>
        <w:rPr>
          <w:sz w:val="24"/>
          <w:szCs w:val="24"/>
          <w:lang w:val="es-VE" w:eastAsia="en-US"/>
        </w:rPr>
      </w:pPr>
      <w:r>
        <w:rPr>
          <w:sz w:val="24"/>
          <w:szCs w:val="24"/>
          <w:lang w:val="es-VE" w:eastAsia="en-US"/>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de Sordos de Maracay</w:t>
      </w:r>
    </w:p>
    <w:p w14:paraId="73410F79" w14:textId="77777777" w:rsidR="00DF6ECB" w:rsidRDefault="00DF6ECB" w:rsidP="00DF6ECB">
      <w:pPr>
        <w:spacing w:line="360" w:lineRule="auto"/>
        <w:jc w:val="both"/>
        <w:rPr>
          <w:sz w:val="24"/>
          <w:szCs w:val="24"/>
          <w:lang w:val="es-VE" w:eastAsia="en-US"/>
        </w:rPr>
      </w:pPr>
      <w:r>
        <w:rPr>
          <w:sz w:val="24"/>
          <w:szCs w:val="24"/>
          <w:lang w:val="es-VE" w:eastAsia="en-US"/>
        </w:rPr>
        <w:tab/>
      </w:r>
      <w:r w:rsidRPr="00BC1DC5">
        <w:rPr>
          <w:sz w:val="24"/>
          <w:szCs w:val="24"/>
          <w:lang w:val="es-VE" w:eastAsia="en-US"/>
        </w:rPr>
        <w:t>Aso</w:t>
      </w:r>
      <w:r w:rsidRPr="00BC599F">
        <w:rPr>
          <w:sz w:val="24"/>
          <w:szCs w:val="24"/>
          <w:lang w:val="es-VE" w:eastAsia="en-US"/>
        </w:rPr>
        <w:t>ciación</w:t>
      </w:r>
      <w:r w:rsidRPr="00BC1DC5">
        <w:rPr>
          <w:sz w:val="24"/>
          <w:szCs w:val="24"/>
          <w:lang w:val="es-VE" w:eastAsia="en-US"/>
        </w:rPr>
        <w:t xml:space="preserve"> </w:t>
      </w:r>
      <w:r>
        <w:rPr>
          <w:sz w:val="24"/>
          <w:szCs w:val="24"/>
          <w:lang w:val="es-VE" w:eastAsia="en-US"/>
        </w:rPr>
        <w:t xml:space="preserve">de </w:t>
      </w:r>
      <w:r w:rsidRPr="00BC1DC5">
        <w:rPr>
          <w:sz w:val="24"/>
          <w:szCs w:val="24"/>
          <w:lang w:val="es-VE" w:eastAsia="en-US"/>
        </w:rPr>
        <w:t>Sordos del Estado Trujillo</w:t>
      </w:r>
    </w:p>
    <w:p w14:paraId="4A76A493" w14:textId="2F5D8A49" w:rsidR="00DF6ECB" w:rsidRDefault="00DF6ECB" w:rsidP="00B10731">
      <w:pPr>
        <w:spacing w:line="360" w:lineRule="auto"/>
        <w:jc w:val="both"/>
        <w:rPr>
          <w:sz w:val="24"/>
          <w:szCs w:val="24"/>
        </w:rPr>
      </w:pPr>
      <w:r>
        <w:rPr>
          <w:sz w:val="24"/>
          <w:szCs w:val="24"/>
        </w:rPr>
        <w:tab/>
      </w:r>
      <w:r w:rsidRPr="006B37E8">
        <w:rPr>
          <w:sz w:val="24"/>
          <w:szCs w:val="24"/>
        </w:rPr>
        <w:t xml:space="preserve">Centro de Estudios para la Discapacidad (CEDISC) de la Universidad </w:t>
      </w:r>
      <w:proofErr w:type="spellStart"/>
      <w:r w:rsidRPr="006B37E8">
        <w:rPr>
          <w:sz w:val="24"/>
          <w:szCs w:val="24"/>
        </w:rPr>
        <w:t>Monteávila</w:t>
      </w:r>
      <w:proofErr w:type="spellEnd"/>
      <w:r w:rsidRPr="006B37E8">
        <w:rPr>
          <w:sz w:val="24"/>
          <w:szCs w:val="24"/>
        </w:rPr>
        <w:t>.</w:t>
      </w:r>
    </w:p>
    <w:p w14:paraId="449471DF"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Asociación Civil para el Desarrollo de la Educación Complementaria (ASODECO).</w:t>
      </w:r>
    </w:p>
    <w:p w14:paraId="0DE14305"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Asociación Civil APOYE.</w:t>
      </w:r>
    </w:p>
    <w:p w14:paraId="15D4C37A"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Sordociegos de Venezuela (SOCIEVEN).</w:t>
      </w:r>
    </w:p>
    <w:p w14:paraId="1E5BDCB0"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Defiende Venezuela.</w:t>
      </w:r>
    </w:p>
    <w:p w14:paraId="452E1CB6"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Sociedad Venezolana para Niños y Adolescentes Autistas (SOVENIA).</w:t>
      </w:r>
    </w:p>
    <w:p w14:paraId="1510449E"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Fundación para la Asistencia, Formación e Investigación en Discapacidad (FUNDAFID).</w:t>
      </w:r>
    </w:p>
    <w:p w14:paraId="44628556" w14:textId="2575B2EA" w:rsidR="00DF6ECB" w:rsidRDefault="00DF6ECB" w:rsidP="00DF6ECB">
      <w:pPr>
        <w:pStyle w:val="Textonotaalfinal"/>
        <w:numPr>
          <w:ilvl w:val="0"/>
          <w:numId w:val="3"/>
        </w:numPr>
        <w:spacing w:line="360" w:lineRule="auto"/>
        <w:jc w:val="both"/>
        <w:rPr>
          <w:sz w:val="24"/>
          <w:szCs w:val="24"/>
        </w:rPr>
      </w:pPr>
      <w:r w:rsidRPr="00402534">
        <w:rPr>
          <w:sz w:val="24"/>
          <w:szCs w:val="24"/>
        </w:rPr>
        <w:t>Centro de Entrenamiento para la Integración y el Aprendizaje (CEPIA</w:t>
      </w:r>
      <w:r>
        <w:rPr>
          <w:sz w:val="24"/>
          <w:szCs w:val="24"/>
        </w:rPr>
        <w:t>)</w:t>
      </w:r>
    </w:p>
    <w:p w14:paraId="2C25145A" w14:textId="428B723F" w:rsidR="00DF6ECB" w:rsidRDefault="00DF6ECB" w:rsidP="00DF6ECB">
      <w:pPr>
        <w:pStyle w:val="Textonotaalfinal"/>
        <w:numPr>
          <w:ilvl w:val="0"/>
          <w:numId w:val="3"/>
        </w:numPr>
        <w:spacing w:line="360" w:lineRule="auto"/>
        <w:jc w:val="both"/>
        <w:rPr>
          <w:sz w:val="24"/>
          <w:szCs w:val="24"/>
        </w:rPr>
      </w:pPr>
      <w:r w:rsidRPr="00402534">
        <w:rPr>
          <w:sz w:val="24"/>
          <w:szCs w:val="24"/>
        </w:rPr>
        <w:t>Fundación Autismo en Voz Alta.</w:t>
      </w:r>
    </w:p>
    <w:p w14:paraId="258A87F4"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lastRenderedPageBreak/>
        <w:t>Fundación Mis Chiquitos.</w:t>
      </w:r>
    </w:p>
    <w:p w14:paraId="4E8E6B83"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Centro de Terapias del Desarrollo.</w:t>
      </w:r>
    </w:p>
    <w:p w14:paraId="48BF728E"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Fundación Mano Amiga.</w:t>
      </w:r>
    </w:p>
    <w:p w14:paraId="739A95FD"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Asociación Civil Diversidad Funcional Activa.</w:t>
      </w:r>
    </w:p>
    <w:p w14:paraId="0C78F40A"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 xml:space="preserve">Fundación </w:t>
      </w:r>
      <w:proofErr w:type="spellStart"/>
      <w:r w:rsidRPr="00402534">
        <w:rPr>
          <w:sz w:val="24"/>
          <w:szCs w:val="24"/>
        </w:rPr>
        <w:t>Marianny</w:t>
      </w:r>
      <w:proofErr w:type="spellEnd"/>
      <w:r w:rsidRPr="00402534">
        <w:rPr>
          <w:sz w:val="24"/>
          <w:szCs w:val="24"/>
        </w:rPr>
        <w:t xml:space="preserve"> </w:t>
      </w:r>
      <w:proofErr w:type="spellStart"/>
      <w:r w:rsidRPr="00402534">
        <w:rPr>
          <w:sz w:val="24"/>
          <w:szCs w:val="24"/>
        </w:rPr>
        <w:t>Linarez</w:t>
      </w:r>
      <w:proofErr w:type="spellEnd"/>
      <w:r w:rsidRPr="00402534">
        <w:rPr>
          <w:sz w:val="24"/>
          <w:szCs w:val="24"/>
        </w:rPr>
        <w:t xml:space="preserve">. </w:t>
      </w:r>
    </w:p>
    <w:p w14:paraId="1736D11E"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Fundación Vanessa Peretti.</w:t>
      </w:r>
    </w:p>
    <w:p w14:paraId="2D012931" w14:textId="0F1B5452" w:rsidR="00DF6ECB" w:rsidRDefault="00DF6ECB" w:rsidP="00DF6ECB">
      <w:pPr>
        <w:pStyle w:val="Textonotaalfinal"/>
        <w:numPr>
          <w:ilvl w:val="0"/>
          <w:numId w:val="3"/>
        </w:numPr>
        <w:spacing w:line="360" w:lineRule="auto"/>
        <w:jc w:val="both"/>
        <w:rPr>
          <w:sz w:val="24"/>
          <w:szCs w:val="24"/>
        </w:rPr>
      </w:pPr>
      <w:r w:rsidRPr="00402534">
        <w:rPr>
          <w:sz w:val="24"/>
          <w:szCs w:val="24"/>
        </w:rPr>
        <w:t>Instituto Venezolano para el Desarrollo Integral del Niño (INVEDI</w:t>
      </w:r>
      <w:r>
        <w:rPr>
          <w:sz w:val="24"/>
          <w:szCs w:val="24"/>
        </w:rPr>
        <w:t>N</w:t>
      </w:r>
      <w:r w:rsidRPr="00402534">
        <w:rPr>
          <w:sz w:val="24"/>
          <w:szCs w:val="24"/>
        </w:rPr>
        <w:t>)</w:t>
      </w:r>
    </w:p>
    <w:p w14:paraId="2096069B"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Red Latinoamericana de Organizaciones no Gubernamentales de Personas con Discapacidad y sus Familias (RIADIS)</w:t>
      </w:r>
    </w:p>
    <w:p w14:paraId="36883EED" w14:textId="77777777" w:rsidR="00DF6ECB" w:rsidRDefault="00DF6ECB" w:rsidP="00DF6ECB">
      <w:pPr>
        <w:pStyle w:val="Textonotaalfinal"/>
        <w:numPr>
          <w:ilvl w:val="0"/>
          <w:numId w:val="3"/>
        </w:numPr>
        <w:spacing w:line="360" w:lineRule="auto"/>
        <w:jc w:val="both"/>
        <w:rPr>
          <w:sz w:val="24"/>
          <w:szCs w:val="24"/>
        </w:rPr>
      </w:pPr>
      <w:r w:rsidRPr="00402534">
        <w:rPr>
          <w:sz w:val="24"/>
          <w:szCs w:val="24"/>
        </w:rPr>
        <w:t>Civilis DDHH</w:t>
      </w:r>
    </w:p>
    <w:p w14:paraId="23E2E30A" w14:textId="267E8730" w:rsidR="00DF6ECB" w:rsidRDefault="00DF6ECB" w:rsidP="00DF6ECB">
      <w:pPr>
        <w:pStyle w:val="Textonotaalfinal"/>
        <w:numPr>
          <w:ilvl w:val="0"/>
          <w:numId w:val="3"/>
        </w:numPr>
        <w:spacing w:line="360" w:lineRule="auto"/>
        <w:jc w:val="both"/>
        <w:rPr>
          <w:sz w:val="24"/>
          <w:szCs w:val="24"/>
        </w:rPr>
      </w:pPr>
      <w:r w:rsidRPr="00402534">
        <w:rPr>
          <w:sz w:val="24"/>
          <w:szCs w:val="24"/>
        </w:rPr>
        <w:t>Foro Penal</w:t>
      </w:r>
    </w:p>
    <w:p w14:paraId="5F14F528" w14:textId="357E16E5" w:rsidR="00DF6ECB" w:rsidRDefault="00DF6ECB" w:rsidP="00DF6ECB">
      <w:pPr>
        <w:pStyle w:val="Textonotaalfinal"/>
        <w:numPr>
          <w:ilvl w:val="0"/>
          <w:numId w:val="3"/>
        </w:numPr>
        <w:spacing w:line="360" w:lineRule="auto"/>
        <w:jc w:val="both"/>
        <w:rPr>
          <w:sz w:val="24"/>
          <w:szCs w:val="24"/>
        </w:rPr>
      </w:pPr>
      <w:r>
        <w:rPr>
          <w:sz w:val="24"/>
          <w:szCs w:val="24"/>
        </w:rPr>
        <w:t xml:space="preserve">Provea </w:t>
      </w:r>
    </w:p>
    <w:p w14:paraId="41411194" w14:textId="784C320E" w:rsidR="009C3C22" w:rsidRDefault="009C3C22" w:rsidP="00DF6ECB">
      <w:pPr>
        <w:pStyle w:val="Textonotaalfinal"/>
        <w:numPr>
          <w:ilvl w:val="0"/>
          <w:numId w:val="3"/>
        </w:numPr>
        <w:spacing w:line="360" w:lineRule="auto"/>
        <w:jc w:val="both"/>
        <w:rPr>
          <w:sz w:val="24"/>
          <w:szCs w:val="24"/>
        </w:rPr>
      </w:pPr>
      <w:r w:rsidRPr="00402534">
        <w:rPr>
          <w:sz w:val="24"/>
          <w:szCs w:val="24"/>
        </w:rPr>
        <w:t>Comisión de Apoyo al Estudiante con Discapacidad de la Escuela de Bibliotecología y Archivología (CAEDEBA) de la Universidad Central de Venezuela.</w:t>
      </w:r>
    </w:p>
    <w:p w14:paraId="6D9AFA61" w14:textId="7F2F8F68" w:rsidR="00DF6ECB" w:rsidRDefault="002762A9" w:rsidP="00DF6ECB">
      <w:pPr>
        <w:pStyle w:val="Textonotaalfinal"/>
        <w:numPr>
          <w:ilvl w:val="0"/>
          <w:numId w:val="3"/>
        </w:numPr>
        <w:spacing w:line="360" w:lineRule="auto"/>
        <w:jc w:val="both"/>
        <w:rPr>
          <w:sz w:val="24"/>
          <w:szCs w:val="24"/>
        </w:rPr>
      </w:pPr>
      <w:r w:rsidRPr="002762A9">
        <w:rPr>
          <w:sz w:val="24"/>
          <w:szCs w:val="24"/>
        </w:rPr>
        <w:t>Asociación de Intérpretes en Lengua de Señas del Estado Yaracuy (ASOISY</w:t>
      </w:r>
      <w:r>
        <w:rPr>
          <w:sz w:val="24"/>
          <w:szCs w:val="24"/>
        </w:rPr>
        <w:t>).</w:t>
      </w:r>
    </w:p>
    <w:p w14:paraId="68FE62D0" w14:textId="4D73B192" w:rsidR="002762A9" w:rsidRPr="002762A9" w:rsidRDefault="002762A9" w:rsidP="002762A9">
      <w:pPr>
        <w:pStyle w:val="Textonotaalfinal"/>
        <w:numPr>
          <w:ilvl w:val="0"/>
          <w:numId w:val="3"/>
        </w:numPr>
        <w:spacing w:line="360" w:lineRule="auto"/>
        <w:jc w:val="both"/>
        <w:rPr>
          <w:sz w:val="24"/>
          <w:szCs w:val="24"/>
        </w:rPr>
      </w:pPr>
      <w:r w:rsidRPr="002762A9">
        <w:rPr>
          <w:sz w:val="24"/>
          <w:szCs w:val="24"/>
        </w:rPr>
        <w:t>Fundación Chamos en el Agua</w:t>
      </w:r>
      <w:r>
        <w:rPr>
          <w:sz w:val="24"/>
          <w:szCs w:val="24"/>
        </w:rPr>
        <w:t>.</w:t>
      </w:r>
    </w:p>
    <w:p w14:paraId="0221B56F" w14:textId="1938CBC9" w:rsidR="002762A9" w:rsidRPr="002762A9" w:rsidRDefault="002762A9" w:rsidP="002762A9">
      <w:pPr>
        <w:pStyle w:val="Textonotaalfinal"/>
        <w:numPr>
          <w:ilvl w:val="0"/>
          <w:numId w:val="3"/>
        </w:numPr>
        <w:spacing w:line="360" w:lineRule="auto"/>
        <w:jc w:val="both"/>
        <w:rPr>
          <w:sz w:val="24"/>
          <w:szCs w:val="24"/>
        </w:rPr>
      </w:pPr>
      <w:r w:rsidRPr="002762A9">
        <w:rPr>
          <w:sz w:val="24"/>
          <w:szCs w:val="24"/>
        </w:rPr>
        <w:t>Movimiento Vinotinto</w:t>
      </w:r>
      <w:r>
        <w:rPr>
          <w:sz w:val="24"/>
          <w:szCs w:val="24"/>
        </w:rPr>
        <w:t>.</w:t>
      </w:r>
    </w:p>
    <w:p w14:paraId="5E9D8DA1" w14:textId="044DD274" w:rsidR="002762A9" w:rsidRDefault="002762A9" w:rsidP="002762A9">
      <w:pPr>
        <w:pStyle w:val="Textonotaalfinal"/>
        <w:numPr>
          <w:ilvl w:val="0"/>
          <w:numId w:val="3"/>
        </w:numPr>
        <w:spacing w:line="360" w:lineRule="auto"/>
        <w:jc w:val="both"/>
        <w:rPr>
          <w:sz w:val="24"/>
          <w:szCs w:val="24"/>
        </w:rPr>
      </w:pPr>
      <w:r w:rsidRPr="002762A9">
        <w:rPr>
          <w:sz w:val="24"/>
          <w:szCs w:val="24"/>
        </w:rPr>
        <w:t>Red de Defensores de Derechos Humanos en el Estado Lara</w:t>
      </w:r>
      <w:r>
        <w:rPr>
          <w:sz w:val="24"/>
          <w:szCs w:val="24"/>
        </w:rPr>
        <w:t>.</w:t>
      </w:r>
    </w:p>
    <w:p w14:paraId="402C122B"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Asociación Civil Soy Parte del Mundo</w:t>
      </w:r>
    </w:p>
    <w:p w14:paraId="75C1D5FB"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Fundación una Luz para el Autismo (</w:t>
      </w:r>
      <w:proofErr w:type="spellStart"/>
      <w:r w:rsidRPr="00CE4A5D">
        <w:rPr>
          <w:sz w:val="24"/>
          <w:szCs w:val="24"/>
        </w:rPr>
        <w:t>Funauta</w:t>
      </w:r>
      <w:proofErr w:type="spellEnd"/>
      <w:r w:rsidRPr="00CE4A5D">
        <w:rPr>
          <w:sz w:val="24"/>
          <w:szCs w:val="24"/>
        </w:rPr>
        <w:t>)</w:t>
      </w:r>
    </w:p>
    <w:p w14:paraId="283B00A3"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Asociación Neoespartana para la Integración del Autismo (ASONEPIA)</w:t>
      </w:r>
    </w:p>
    <w:p w14:paraId="7A9429D4"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Asociación Civil Fuerza, Unión, Justicia y Paz (FUNPAZ)</w:t>
      </w:r>
    </w:p>
    <w:p w14:paraId="2115A832"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 xml:space="preserve"> Red de Defensores de Derechos Humanos en el Estado Nueva Esparta.</w:t>
      </w:r>
    </w:p>
    <w:p w14:paraId="56E25B82"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GLOBAL HEROES.</w:t>
      </w:r>
    </w:p>
    <w:p w14:paraId="44DD5FCB"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Red de activistas Ciudadanos por los Derechos Humanos (REDAC).</w:t>
      </w:r>
    </w:p>
    <w:p w14:paraId="7BB0D937"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Fundación El Buen Samaritano.</w:t>
      </w:r>
    </w:p>
    <w:p w14:paraId="4A8A1774"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 xml:space="preserve">Colegio </w:t>
      </w:r>
      <w:proofErr w:type="spellStart"/>
      <w:r w:rsidRPr="00CE4A5D">
        <w:rPr>
          <w:sz w:val="24"/>
          <w:szCs w:val="24"/>
        </w:rPr>
        <w:t>Arcoiris</w:t>
      </w:r>
      <w:proofErr w:type="spellEnd"/>
      <w:r w:rsidRPr="00CE4A5D">
        <w:rPr>
          <w:sz w:val="24"/>
          <w:szCs w:val="24"/>
        </w:rPr>
        <w:t>.</w:t>
      </w:r>
    </w:p>
    <w:p w14:paraId="388F526E" w14:textId="67F5D519" w:rsidR="002762A9" w:rsidRDefault="00CE4A5D" w:rsidP="00CE4A5D">
      <w:pPr>
        <w:pStyle w:val="Textonotaalfinal"/>
        <w:numPr>
          <w:ilvl w:val="0"/>
          <w:numId w:val="3"/>
        </w:numPr>
        <w:spacing w:line="360" w:lineRule="auto"/>
        <w:jc w:val="both"/>
        <w:rPr>
          <w:sz w:val="24"/>
          <w:szCs w:val="24"/>
        </w:rPr>
      </w:pPr>
      <w:r w:rsidRPr="00CE4A5D">
        <w:rPr>
          <w:sz w:val="24"/>
          <w:szCs w:val="24"/>
        </w:rPr>
        <w:t xml:space="preserve">Proyecto </w:t>
      </w:r>
      <w:proofErr w:type="spellStart"/>
      <w:r w:rsidRPr="00CE4A5D">
        <w:rPr>
          <w:sz w:val="24"/>
          <w:szCs w:val="24"/>
        </w:rPr>
        <w:t>Biotalento</w:t>
      </w:r>
      <w:proofErr w:type="spellEnd"/>
      <w:r w:rsidRPr="00CE4A5D">
        <w:rPr>
          <w:sz w:val="24"/>
          <w:szCs w:val="24"/>
        </w:rPr>
        <w:t>.</w:t>
      </w:r>
    </w:p>
    <w:p w14:paraId="067F9BE6" w14:textId="77777777" w:rsidR="00CE4A5D" w:rsidRPr="00CE4A5D" w:rsidRDefault="00CE4A5D" w:rsidP="00CE4A5D">
      <w:pPr>
        <w:pStyle w:val="Textonotaalfinal"/>
        <w:numPr>
          <w:ilvl w:val="0"/>
          <w:numId w:val="3"/>
        </w:numPr>
        <w:spacing w:line="360" w:lineRule="auto"/>
        <w:jc w:val="both"/>
        <w:rPr>
          <w:sz w:val="24"/>
          <w:szCs w:val="24"/>
        </w:rPr>
      </w:pPr>
      <w:r w:rsidRPr="00CE4A5D">
        <w:rPr>
          <w:sz w:val="24"/>
          <w:szCs w:val="24"/>
        </w:rPr>
        <w:t>Fundación Mano Amiga.</w:t>
      </w:r>
    </w:p>
    <w:p w14:paraId="5CFD212F" w14:textId="33BBDDA7" w:rsidR="00CE4A5D" w:rsidRDefault="00CE4A5D" w:rsidP="00CE4A5D">
      <w:pPr>
        <w:pStyle w:val="Textonotaalfinal"/>
        <w:numPr>
          <w:ilvl w:val="0"/>
          <w:numId w:val="3"/>
        </w:numPr>
        <w:spacing w:line="360" w:lineRule="auto"/>
        <w:jc w:val="both"/>
        <w:rPr>
          <w:sz w:val="24"/>
          <w:szCs w:val="24"/>
        </w:rPr>
      </w:pPr>
      <w:r w:rsidRPr="00CE4A5D">
        <w:rPr>
          <w:sz w:val="24"/>
          <w:szCs w:val="24"/>
        </w:rPr>
        <w:t>Centro de Derechos Humanos Universidad de Yacambú.</w:t>
      </w:r>
    </w:p>
    <w:p w14:paraId="49331713" w14:textId="5172943C" w:rsidR="00565A9E" w:rsidRPr="00402534" w:rsidRDefault="00565A9E" w:rsidP="00CE4A5D">
      <w:pPr>
        <w:pStyle w:val="Textonotaalfinal"/>
        <w:numPr>
          <w:ilvl w:val="0"/>
          <w:numId w:val="3"/>
        </w:numPr>
        <w:spacing w:line="360" w:lineRule="auto"/>
        <w:jc w:val="both"/>
        <w:rPr>
          <w:sz w:val="24"/>
          <w:szCs w:val="24"/>
        </w:rPr>
      </w:pPr>
      <w:r>
        <w:rPr>
          <w:sz w:val="24"/>
          <w:szCs w:val="24"/>
        </w:rPr>
        <w:t>Aula Abierta</w:t>
      </w:r>
    </w:p>
    <w:p w14:paraId="522CC169" w14:textId="77777777" w:rsidR="00DF6ECB" w:rsidRPr="00984DD1" w:rsidRDefault="00DF6ECB" w:rsidP="00DF6ECB">
      <w:pPr>
        <w:pStyle w:val="Textonotaalfinal"/>
        <w:rPr>
          <w:sz w:val="16"/>
          <w:szCs w:val="16"/>
        </w:rPr>
      </w:pPr>
    </w:p>
    <w:p w14:paraId="1A04BDA0" w14:textId="77777777" w:rsidR="00DF6ECB" w:rsidRPr="00984DD1" w:rsidRDefault="00DF6ECB" w:rsidP="00DF6ECB">
      <w:pPr>
        <w:pStyle w:val="Textonotaalfinal"/>
        <w:rPr>
          <w:sz w:val="16"/>
          <w:szCs w:val="16"/>
        </w:rPr>
      </w:pPr>
    </w:p>
    <w:p w14:paraId="42EB6CDB" w14:textId="77777777" w:rsidR="00DF6ECB" w:rsidRPr="00AC3015" w:rsidRDefault="00DF6ECB" w:rsidP="00DF6ECB">
      <w:pPr>
        <w:pStyle w:val="Textonotaalfinal"/>
        <w:rPr>
          <w:b/>
          <w:bCs/>
          <w:sz w:val="24"/>
          <w:szCs w:val="24"/>
        </w:rPr>
      </w:pPr>
      <w:r w:rsidRPr="00AC3015">
        <w:rPr>
          <w:b/>
          <w:bCs/>
          <w:sz w:val="24"/>
          <w:szCs w:val="24"/>
        </w:rPr>
        <w:t>Activistas Independientes</w:t>
      </w:r>
    </w:p>
    <w:p w14:paraId="5CBBDD35" w14:textId="77777777" w:rsidR="00DF6ECB" w:rsidRPr="006B37E8" w:rsidRDefault="00DF6ECB" w:rsidP="00DF6ECB">
      <w:pPr>
        <w:pStyle w:val="Textonotaalfinal"/>
        <w:rPr>
          <w:sz w:val="24"/>
          <w:szCs w:val="24"/>
        </w:rPr>
      </w:pPr>
    </w:p>
    <w:p w14:paraId="2E221751" w14:textId="77777777" w:rsidR="00DF6ECB" w:rsidRDefault="00DF6ECB" w:rsidP="00DF6ECB">
      <w:pPr>
        <w:pStyle w:val="Textonotaalfinal"/>
        <w:numPr>
          <w:ilvl w:val="0"/>
          <w:numId w:val="4"/>
        </w:numPr>
        <w:spacing w:line="360" w:lineRule="auto"/>
        <w:jc w:val="both"/>
        <w:rPr>
          <w:sz w:val="24"/>
          <w:szCs w:val="24"/>
        </w:rPr>
      </w:pPr>
      <w:r>
        <w:rPr>
          <w:sz w:val="24"/>
          <w:szCs w:val="24"/>
        </w:rPr>
        <w:t xml:space="preserve">Prof. Lourdes Montenegro. </w:t>
      </w:r>
      <w:r w:rsidRPr="006B37E8">
        <w:rPr>
          <w:sz w:val="24"/>
          <w:szCs w:val="24"/>
        </w:rPr>
        <w:t>Coordina</w:t>
      </w:r>
      <w:r>
        <w:rPr>
          <w:sz w:val="24"/>
          <w:szCs w:val="24"/>
        </w:rPr>
        <w:t>dora</w:t>
      </w:r>
      <w:r w:rsidRPr="006B37E8">
        <w:rPr>
          <w:sz w:val="24"/>
          <w:szCs w:val="24"/>
        </w:rPr>
        <w:t xml:space="preserve"> del Programa Institucional de Apoyo y Acompañamiento</w:t>
      </w:r>
      <w:r>
        <w:rPr>
          <w:sz w:val="24"/>
          <w:szCs w:val="24"/>
        </w:rPr>
        <w:t xml:space="preserve"> a Estudiantes con Discapacidad</w:t>
      </w:r>
      <w:r w:rsidRPr="006B37E8">
        <w:rPr>
          <w:sz w:val="24"/>
          <w:szCs w:val="24"/>
        </w:rPr>
        <w:t xml:space="preserve"> de la Universidad Católica Andrés Bello</w:t>
      </w:r>
      <w:r>
        <w:rPr>
          <w:sz w:val="24"/>
          <w:szCs w:val="24"/>
        </w:rPr>
        <w:t>.</w:t>
      </w:r>
    </w:p>
    <w:p w14:paraId="3327D504" w14:textId="1A71E202" w:rsidR="00DF6ECB" w:rsidRPr="009C3C22" w:rsidRDefault="00DF6ECB" w:rsidP="00DF6ECB">
      <w:pPr>
        <w:pStyle w:val="Textonotaalfinal"/>
        <w:numPr>
          <w:ilvl w:val="0"/>
          <w:numId w:val="4"/>
        </w:numPr>
        <w:spacing w:line="360" w:lineRule="auto"/>
        <w:jc w:val="both"/>
        <w:rPr>
          <w:sz w:val="24"/>
          <w:szCs w:val="24"/>
        </w:rPr>
      </w:pPr>
      <w:r w:rsidRPr="009C3C22">
        <w:rPr>
          <w:sz w:val="24"/>
          <w:szCs w:val="24"/>
        </w:rPr>
        <w:t>Abog. Rafael Gordon. Activista por los DDHH.</w:t>
      </w:r>
    </w:p>
    <w:p w14:paraId="1A23D8CA" w14:textId="1DF81EED" w:rsidR="00DF6ECB" w:rsidRDefault="00DF6ECB" w:rsidP="00DF6ECB">
      <w:pPr>
        <w:pStyle w:val="Textonotaalfinal"/>
        <w:numPr>
          <w:ilvl w:val="0"/>
          <w:numId w:val="4"/>
        </w:numPr>
        <w:spacing w:line="360" w:lineRule="auto"/>
        <w:jc w:val="both"/>
        <w:rPr>
          <w:sz w:val="24"/>
          <w:szCs w:val="24"/>
        </w:rPr>
      </w:pPr>
      <w:r w:rsidRPr="00402534">
        <w:rPr>
          <w:sz w:val="24"/>
          <w:szCs w:val="24"/>
        </w:rPr>
        <w:t>Lcda. Argelia Bolívar. Activista de DDHH.</w:t>
      </w:r>
    </w:p>
    <w:p w14:paraId="52C7266A" w14:textId="0C868BF1" w:rsidR="009C3C22" w:rsidRDefault="009C3C22" w:rsidP="00DF6ECB">
      <w:pPr>
        <w:pStyle w:val="Textonotaalfinal"/>
        <w:numPr>
          <w:ilvl w:val="0"/>
          <w:numId w:val="4"/>
        </w:numPr>
        <w:spacing w:line="360" w:lineRule="auto"/>
        <w:jc w:val="both"/>
        <w:rPr>
          <w:sz w:val="24"/>
          <w:szCs w:val="24"/>
        </w:rPr>
      </w:pPr>
      <w:r>
        <w:rPr>
          <w:sz w:val="24"/>
          <w:szCs w:val="24"/>
        </w:rPr>
        <w:t>Ab</w:t>
      </w:r>
      <w:r w:rsidR="00C66878">
        <w:rPr>
          <w:sz w:val="24"/>
          <w:szCs w:val="24"/>
        </w:rPr>
        <w:t>o</w:t>
      </w:r>
      <w:r>
        <w:rPr>
          <w:sz w:val="24"/>
          <w:szCs w:val="24"/>
        </w:rPr>
        <w:t xml:space="preserve">g. Nicolas Castro Delgado. Profesor de la Universidad Central de Venezuela (UCV) </w:t>
      </w:r>
      <w:proofErr w:type="gramStart"/>
      <w:r>
        <w:rPr>
          <w:sz w:val="24"/>
          <w:szCs w:val="24"/>
        </w:rPr>
        <w:t>/  Universidad</w:t>
      </w:r>
      <w:proofErr w:type="gramEnd"/>
      <w:r>
        <w:rPr>
          <w:sz w:val="24"/>
          <w:szCs w:val="24"/>
        </w:rPr>
        <w:t xml:space="preserve"> Nacional Abierta (UNA)</w:t>
      </w:r>
    </w:p>
    <w:p w14:paraId="13D30CC4" w14:textId="14E9B406" w:rsidR="009C3C22" w:rsidRPr="00402534" w:rsidRDefault="009C3C22" w:rsidP="00DF6ECB">
      <w:pPr>
        <w:pStyle w:val="Textonotaalfinal"/>
        <w:numPr>
          <w:ilvl w:val="0"/>
          <w:numId w:val="4"/>
        </w:numPr>
        <w:spacing w:line="360" w:lineRule="auto"/>
        <w:jc w:val="both"/>
        <w:rPr>
          <w:sz w:val="24"/>
          <w:szCs w:val="24"/>
        </w:rPr>
      </w:pPr>
      <w:r>
        <w:rPr>
          <w:sz w:val="24"/>
          <w:szCs w:val="24"/>
        </w:rPr>
        <w:t xml:space="preserve">Soc. Miguel Palacios. Profesor </w:t>
      </w:r>
      <w:r w:rsidRPr="009C3C22">
        <w:rPr>
          <w:sz w:val="24"/>
          <w:szCs w:val="24"/>
        </w:rPr>
        <w:t>Universidad Nacional Experimental Simón Rodríguez (UNESR)</w:t>
      </w:r>
      <w:r>
        <w:rPr>
          <w:sz w:val="24"/>
          <w:szCs w:val="24"/>
        </w:rPr>
        <w:t xml:space="preserve"> /</w:t>
      </w:r>
      <w:r w:rsidRPr="009C3C22">
        <w:rPr>
          <w:sz w:val="24"/>
          <w:szCs w:val="24"/>
        </w:rPr>
        <w:t xml:space="preserve"> </w:t>
      </w:r>
      <w:r>
        <w:rPr>
          <w:sz w:val="24"/>
          <w:szCs w:val="24"/>
        </w:rPr>
        <w:t>Universidad</w:t>
      </w:r>
      <w:r w:rsidR="006D7F0B">
        <w:rPr>
          <w:sz w:val="24"/>
          <w:szCs w:val="24"/>
        </w:rPr>
        <w:t xml:space="preserve"> Autónoma de México (UNAM).</w:t>
      </w:r>
    </w:p>
    <w:p w14:paraId="267BD5A9" w14:textId="77777777" w:rsidR="00DF6ECB" w:rsidRDefault="00DF6ECB" w:rsidP="006B189C">
      <w:pPr>
        <w:spacing w:before="120" w:after="120"/>
        <w:jc w:val="both"/>
        <w:rPr>
          <w:rFonts w:ascii="Arial" w:eastAsia="Arial" w:hAnsi="Arial" w:cs="Arial"/>
          <w:b/>
          <w:color w:val="000000"/>
          <w:sz w:val="24"/>
          <w:szCs w:val="24"/>
        </w:rPr>
      </w:pPr>
    </w:p>
    <w:p w14:paraId="20A1FD39" w14:textId="017C3CC4" w:rsidR="006B189C" w:rsidRDefault="006B189C" w:rsidP="006B189C">
      <w:pPr>
        <w:spacing w:before="120" w:after="120"/>
        <w:jc w:val="both"/>
        <w:rPr>
          <w:rFonts w:ascii="Arial" w:eastAsia="Arial" w:hAnsi="Arial" w:cs="Arial"/>
          <w:b/>
          <w:color w:val="000000"/>
          <w:sz w:val="24"/>
          <w:szCs w:val="24"/>
        </w:rPr>
      </w:pPr>
    </w:p>
    <w:p w14:paraId="7497DBDF" w14:textId="77777777" w:rsidR="006B189C" w:rsidRDefault="006B189C" w:rsidP="006B189C">
      <w:pPr>
        <w:pStyle w:val="Textonotaalfinal"/>
        <w:spacing w:line="360" w:lineRule="auto"/>
        <w:jc w:val="both"/>
        <w:rPr>
          <w:sz w:val="24"/>
          <w:szCs w:val="24"/>
        </w:rPr>
      </w:pPr>
    </w:p>
    <w:p w14:paraId="00DADFD8" w14:textId="17FEF85D" w:rsidR="006B189C" w:rsidRDefault="006B189C" w:rsidP="006B189C">
      <w:pPr>
        <w:pStyle w:val="Textonotaalfinal"/>
        <w:spacing w:line="360" w:lineRule="auto"/>
        <w:jc w:val="both"/>
        <w:rPr>
          <w:sz w:val="24"/>
          <w:szCs w:val="24"/>
        </w:rPr>
      </w:pPr>
      <w:r w:rsidRPr="00FF4E42">
        <w:rPr>
          <w:noProof/>
        </w:rPr>
        <w:drawing>
          <wp:inline distT="0" distB="0" distL="0" distR="0" wp14:anchorId="27DF5AB5" wp14:editId="3ADBA969">
            <wp:extent cx="1200150" cy="1219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00150" cy="1219200"/>
                    </a:xfrm>
                    <a:prstGeom prst="rect">
                      <a:avLst/>
                    </a:prstGeom>
                    <a:noFill/>
                    <a:ln>
                      <a:noFill/>
                    </a:ln>
                  </pic:spPr>
                </pic:pic>
              </a:graphicData>
            </a:graphic>
          </wp:inline>
        </w:drawing>
      </w:r>
      <w:r>
        <w:t xml:space="preserve">     </w:t>
      </w:r>
      <w:r w:rsidRPr="00D26140">
        <w:rPr>
          <w:noProof/>
        </w:rPr>
        <w:drawing>
          <wp:inline distT="0" distB="0" distL="0" distR="0" wp14:anchorId="3EA78980" wp14:editId="1B5DDB62">
            <wp:extent cx="1019175" cy="109537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19175" cy="1095375"/>
                    </a:xfrm>
                    <a:prstGeom prst="rect">
                      <a:avLst/>
                    </a:prstGeom>
                    <a:noFill/>
                    <a:ln>
                      <a:noFill/>
                    </a:ln>
                  </pic:spPr>
                </pic:pic>
              </a:graphicData>
            </a:graphic>
          </wp:inline>
        </w:drawing>
      </w:r>
      <w:r w:rsidRPr="00D26140">
        <w:rPr>
          <w:noProof/>
        </w:rPr>
        <w:drawing>
          <wp:inline distT="0" distB="0" distL="0" distR="0" wp14:anchorId="3C52D2BC" wp14:editId="0C4F9A43">
            <wp:extent cx="1295400" cy="120967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95400" cy="1209675"/>
                    </a:xfrm>
                    <a:prstGeom prst="rect">
                      <a:avLst/>
                    </a:prstGeom>
                    <a:noFill/>
                    <a:ln>
                      <a:noFill/>
                    </a:ln>
                  </pic:spPr>
                </pic:pic>
              </a:graphicData>
            </a:graphic>
          </wp:inline>
        </w:drawing>
      </w:r>
      <w:r w:rsidRPr="00FF4E42">
        <w:rPr>
          <w:noProof/>
        </w:rPr>
        <w:drawing>
          <wp:inline distT="0" distB="0" distL="0" distR="0" wp14:anchorId="506B4AF7" wp14:editId="0B11FDA6">
            <wp:extent cx="981075" cy="102870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81075" cy="1028700"/>
                    </a:xfrm>
                    <a:prstGeom prst="rect">
                      <a:avLst/>
                    </a:prstGeom>
                    <a:noFill/>
                    <a:ln>
                      <a:noFill/>
                    </a:ln>
                  </pic:spPr>
                </pic:pic>
              </a:graphicData>
            </a:graphic>
          </wp:inline>
        </w:drawing>
      </w:r>
      <w:r w:rsidRPr="00D26140">
        <w:rPr>
          <w:noProof/>
        </w:rPr>
        <w:drawing>
          <wp:inline distT="0" distB="0" distL="0" distR="0" wp14:anchorId="3F27C94F" wp14:editId="6D281AD0">
            <wp:extent cx="1009650" cy="147637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09650" cy="1476375"/>
                    </a:xfrm>
                    <a:prstGeom prst="rect">
                      <a:avLst/>
                    </a:prstGeom>
                    <a:noFill/>
                    <a:ln>
                      <a:noFill/>
                    </a:ln>
                  </pic:spPr>
                </pic:pic>
              </a:graphicData>
            </a:graphic>
          </wp:inline>
        </w:drawing>
      </w:r>
    </w:p>
    <w:p w14:paraId="67CA0F3F" w14:textId="77777777" w:rsidR="006B189C" w:rsidRPr="00984DD1" w:rsidRDefault="006B189C" w:rsidP="006B189C">
      <w:pPr>
        <w:pStyle w:val="Textonotaalfinal"/>
        <w:rPr>
          <w:sz w:val="16"/>
          <w:szCs w:val="16"/>
        </w:rPr>
      </w:pPr>
    </w:p>
    <w:p w14:paraId="4DB7E36A" w14:textId="12C564E9" w:rsidR="006B189C" w:rsidRDefault="006B189C" w:rsidP="006B189C">
      <w:pPr>
        <w:pStyle w:val="Textonotaalfinal"/>
        <w:rPr>
          <w:noProof/>
        </w:rPr>
      </w:pPr>
      <w:r>
        <w:rPr>
          <w:noProof/>
        </w:rPr>
        <w:t xml:space="preserve">  </w:t>
      </w:r>
      <w:r w:rsidRPr="00FF4E42">
        <w:rPr>
          <w:noProof/>
        </w:rPr>
        <w:drawing>
          <wp:inline distT="0" distB="0" distL="0" distR="0" wp14:anchorId="7462C4E5" wp14:editId="51826765">
            <wp:extent cx="1857375" cy="119062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57375" cy="1190625"/>
                    </a:xfrm>
                    <a:prstGeom prst="rect">
                      <a:avLst/>
                    </a:prstGeom>
                    <a:noFill/>
                    <a:ln>
                      <a:noFill/>
                    </a:ln>
                  </pic:spPr>
                </pic:pic>
              </a:graphicData>
            </a:graphic>
          </wp:inline>
        </w:drawing>
      </w:r>
      <w:r>
        <w:t xml:space="preserve">  </w:t>
      </w:r>
      <w:r w:rsidRPr="00D26140">
        <w:rPr>
          <w:noProof/>
        </w:rPr>
        <w:drawing>
          <wp:inline distT="0" distB="0" distL="0" distR="0" wp14:anchorId="0C28864C" wp14:editId="3B955B44">
            <wp:extent cx="1323975" cy="13335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3975" cy="1333500"/>
                    </a:xfrm>
                    <a:prstGeom prst="rect">
                      <a:avLst/>
                    </a:prstGeom>
                    <a:noFill/>
                    <a:ln>
                      <a:noFill/>
                    </a:ln>
                  </pic:spPr>
                </pic:pic>
              </a:graphicData>
            </a:graphic>
          </wp:inline>
        </w:drawing>
      </w:r>
      <w:r>
        <w:rPr>
          <w:noProof/>
        </w:rPr>
        <w:drawing>
          <wp:inline distT="0" distB="0" distL="0" distR="0" wp14:anchorId="09B4C3E4" wp14:editId="46616B23">
            <wp:extent cx="1209675" cy="1419225"/>
            <wp:effectExtent l="0" t="0" r="9525" b="9525"/>
            <wp:docPr id="9" name="Imagen 9" descr="logo-español-rif-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español-rif-copi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09675" cy="1419225"/>
                    </a:xfrm>
                    <a:prstGeom prst="rect">
                      <a:avLst/>
                    </a:prstGeom>
                    <a:noFill/>
                    <a:ln>
                      <a:noFill/>
                    </a:ln>
                  </pic:spPr>
                </pic:pic>
              </a:graphicData>
            </a:graphic>
          </wp:inline>
        </w:drawing>
      </w:r>
      <w:r w:rsidRPr="00D26140">
        <w:rPr>
          <w:noProof/>
        </w:rPr>
        <w:drawing>
          <wp:inline distT="0" distB="0" distL="0" distR="0" wp14:anchorId="76CBB0BB" wp14:editId="74540F7E">
            <wp:extent cx="1181100" cy="10382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1100" cy="1038225"/>
                    </a:xfrm>
                    <a:prstGeom prst="rect">
                      <a:avLst/>
                    </a:prstGeom>
                    <a:noFill/>
                    <a:ln>
                      <a:noFill/>
                    </a:ln>
                  </pic:spPr>
                </pic:pic>
              </a:graphicData>
            </a:graphic>
          </wp:inline>
        </w:drawing>
      </w:r>
    </w:p>
    <w:p w14:paraId="229C44A8" w14:textId="77777777" w:rsidR="006B189C" w:rsidRDefault="006B189C" w:rsidP="006B189C">
      <w:pPr>
        <w:pStyle w:val="Textonotaalfinal"/>
        <w:rPr>
          <w:noProof/>
        </w:rPr>
      </w:pPr>
    </w:p>
    <w:p w14:paraId="6002B121" w14:textId="77777777" w:rsidR="006B189C" w:rsidRDefault="006B189C" w:rsidP="006B189C">
      <w:pPr>
        <w:pStyle w:val="Textonotaalfinal"/>
        <w:rPr>
          <w:noProof/>
        </w:rPr>
      </w:pPr>
    </w:p>
    <w:p w14:paraId="62521F7F" w14:textId="77777777" w:rsidR="006B189C" w:rsidRDefault="006B189C" w:rsidP="006B189C">
      <w:pPr>
        <w:pStyle w:val="Textonotaalfinal"/>
        <w:rPr>
          <w:noProof/>
        </w:rPr>
      </w:pPr>
    </w:p>
    <w:p w14:paraId="038F232E" w14:textId="61971D17" w:rsidR="006B189C" w:rsidRDefault="006B189C" w:rsidP="006B189C">
      <w:pPr>
        <w:pStyle w:val="Textonotaalfinal"/>
        <w:rPr>
          <w:noProof/>
        </w:rPr>
      </w:pPr>
      <w:r w:rsidRPr="00D26140">
        <w:rPr>
          <w:noProof/>
        </w:rPr>
        <w:lastRenderedPageBreak/>
        <w:drawing>
          <wp:inline distT="0" distB="0" distL="0" distR="0" wp14:anchorId="7F47EAE5" wp14:editId="70680510">
            <wp:extent cx="3038475" cy="10953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38475" cy="1095375"/>
                    </a:xfrm>
                    <a:prstGeom prst="rect">
                      <a:avLst/>
                    </a:prstGeom>
                    <a:noFill/>
                    <a:ln>
                      <a:noFill/>
                    </a:ln>
                  </pic:spPr>
                </pic:pic>
              </a:graphicData>
            </a:graphic>
          </wp:inline>
        </w:drawing>
      </w:r>
      <w:r>
        <w:rPr>
          <w:noProof/>
        </w:rPr>
        <w:t xml:space="preserve">  </w:t>
      </w:r>
      <w:r w:rsidRPr="00D26140">
        <w:rPr>
          <w:noProof/>
        </w:rPr>
        <w:drawing>
          <wp:inline distT="0" distB="0" distL="0" distR="0" wp14:anchorId="050B41DD" wp14:editId="282D20FB">
            <wp:extent cx="2352675" cy="6572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52675" cy="657225"/>
                    </a:xfrm>
                    <a:prstGeom prst="rect">
                      <a:avLst/>
                    </a:prstGeom>
                    <a:noFill/>
                    <a:ln>
                      <a:noFill/>
                    </a:ln>
                  </pic:spPr>
                </pic:pic>
              </a:graphicData>
            </a:graphic>
          </wp:inline>
        </w:drawing>
      </w:r>
    </w:p>
    <w:p w14:paraId="25455F99" w14:textId="77777777" w:rsidR="006B189C" w:rsidRDefault="006B189C" w:rsidP="006B189C">
      <w:pPr>
        <w:pStyle w:val="Textonotaalfinal"/>
        <w:rPr>
          <w:noProof/>
        </w:rPr>
      </w:pPr>
    </w:p>
    <w:p w14:paraId="717139C9" w14:textId="6A1ADFB3" w:rsidR="006B189C" w:rsidRDefault="00664995" w:rsidP="006B189C">
      <w:pPr>
        <w:pStyle w:val="Textonotaalfinal"/>
        <w:rPr>
          <w:noProof/>
        </w:rPr>
      </w:pPr>
      <w:r>
        <w:rPr>
          <w:noProof/>
        </w:rPr>
        <w:t xml:space="preserve">        </w:t>
      </w:r>
      <w:r w:rsidR="006B189C" w:rsidRPr="00D26140">
        <w:rPr>
          <w:noProof/>
        </w:rPr>
        <w:drawing>
          <wp:inline distT="0" distB="0" distL="0" distR="0" wp14:anchorId="1BEA79B4" wp14:editId="727AC362">
            <wp:extent cx="1114425" cy="11049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14425" cy="1104900"/>
                    </a:xfrm>
                    <a:prstGeom prst="rect">
                      <a:avLst/>
                    </a:prstGeom>
                    <a:noFill/>
                    <a:ln>
                      <a:noFill/>
                    </a:ln>
                  </pic:spPr>
                </pic:pic>
              </a:graphicData>
            </a:graphic>
          </wp:inline>
        </w:drawing>
      </w:r>
      <w:r w:rsidR="006B189C" w:rsidRPr="00A370E4">
        <w:rPr>
          <w:noProof/>
        </w:rPr>
        <w:t xml:space="preserve"> </w:t>
      </w:r>
      <w:r>
        <w:rPr>
          <w:noProof/>
        </w:rPr>
        <w:t xml:space="preserve">      </w:t>
      </w:r>
      <w:r w:rsidR="006B189C" w:rsidRPr="00D26140">
        <w:rPr>
          <w:noProof/>
        </w:rPr>
        <w:drawing>
          <wp:inline distT="0" distB="0" distL="0" distR="0" wp14:anchorId="0D4BADA2" wp14:editId="7076F7C2">
            <wp:extent cx="2295525" cy="7905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95525" cy="790575"/>
                    </a:xfrm>
                    <a:prstGeom prst="rect">
                      <a:avLst/>
                    </a:prstGeom>
                    <a:noFill/>
                    <a:ln>
                      <a:noFill/>
                    </a:ln>
                  </pic:spPr>
                </pic:pic>
              </a:graphicData>
            </a:graphic>
          </wp:inline>
        </w:drawing>
      </w:r>
      <w:r>
        <w:rPr>
          <w:noProof/>
        </w:rPr>
        <w:t xml:space="preserve"> </w:t>
      </w:r>
      <w:r w:rsidR="006B189C" w:rsidRPr="00D26140">
        <w:rPr>
          <w:noProof/>
        </w:rPr>
        <w:drawing>
          <wp:inline distT="0" distB="0" distL="0" distR="0" wp14:anchorId="2B50DF05" wp14:editId="1346C7B1">
            <wp:extent cx="1438275" cy="10572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38275" cy="1057275"/>
                    </a:xfrm>
                    <a:prstGeom prst="rect">
                      <a:avLst/>
                    </a:prstGeom>
                    <a:noFill/>
                    <a:ln>
                      <a:noFill/>
                    </a:ln>
                  </pic:spPr>
                </pic:pic>
              </a:graphicData>
            </a:graphic>
          </wp:inline>
        </w:drawing>
      </w:r>
    </w:p>
    <w:p w14:paraId="1FC2BF9E" w14:textId="77777777" w:rsidR="006B189C" w:rsidRDefault="006B189C" w:rsidP="006B189C">
      <w:pPr>
        <w:pStyle w:val="Textonotaalfinal"/>
        <w:rPr>
          <w:noProof/>
        </w:rPr>
      </w:pPr>
    </w:p>
    <w:p w14:paraId="0D3DE3F2" w14:textId="3C88ED1F" w:rsidR="006B189C" w:rsidRDefault="00DF6ECB" w:rsidP="006B189C">
      <w:pPr>
        <w:pStyle w:val="Textonotaalfinal"/>
        <w:rPr>
          <w:noProof/>
        </w:rPr>
      </w:pPr>
      <w:r>
        <w:rPr>
          <w:noProof/>
        </w:rPr>
        <w:t xml:space="preserve">   </w:t>
      </w:r>
      <w:r w:rsidR="00664995">
        <w:rPr>
          <w:noProof/>
        </w:rPr>
        <w:t xml:space="preserve">          </w:t>
      </w:r>
      <w:r w:rsidR="006B189C" w:rsidRPr="00D26140">
        <w:rPr>
          <w:noProof/>
        </w:rPr>
        <w:drawing>
          <wp:inline distT="0" distB="0" distL="0" distR="0" wp14:anchorId="58887B03" wp14:editId="0D9EDC78">
            <wp:extent cx="1085850" cy="870167"/>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94410" cy="877027"/>
                    </a:xfrm>
                    <a:prstGeom prst="rect">
                      <a:avLst/>
                    </a:prstGeom>
                    <a:noFill/>
                    <a:ln>
                      <a:noFill/>
                    </a:ln>
                  </pic:spPr>
                </pic:pic>
              </a:graphicData>
            </a:graphic>
          </wp:inline>
        </w:drawing>
      </w:r>
      <w:r w:rsidR="006B189C">
        <w:rPr>
          <w:noProof/>
        </w:rPr>
        <w:t xml:space="preserve">     </w:t>
      </w:r>
      <w:r>
        <w:rPr>
          <w:noProof/>
        </w:rPr>
        <w:t xml:space="preserve">      </w:t>
      </w:r>
      <w:r w:rsidR="006B189C" w:rsidRPr="00D26140">
        <w:rPr>
          <w:noProof/>
        </w:rPr>
        <w:drawing>
          <wp:inline distT="0" distB="0" distL="0" distR="0" wp14:anchorId="06E404C6" wp14:editId="56E5681A">
            <wp:extent cx="1095375" cy="102978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05798" cy="1039583"/>
                    </a:xfrm>
                    <a:prstGeom prst="rect">
                      <a:avLst/>
                    </a:prstGeom>
                    <a:noFill/>
                    <a:ln>
                      <a:noFill/>
                    </a:ln>
                  </pic:spPr>
                </pic:pic>
              </a:graphicData>
            </a:graphic>
          </wp:inline>
        </w:drawing>
      </w:r>
      <w:r>
        <w:rPr>
          <w:noProof/>
        </w:rPr>
        <w:t xml:space="preserve">       </w:t>
      </w:r>
      <w:r>
        <w:rPr>
          <w:noProof/>
        </w:rPr>
        <w:drawing>
          <wp:inline distT="0" distB="0" distL="0" distR="0" wp14:anchorId="6538227C" wp14:editId="74BCF3FB">
            <wp:extent cx="1085850" cy="108585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01 Logo Provea Azul Negro CMYK-01.tif"/>
                    <pic:cNvPicPr/>
                  </pic:nvPicPr>
                  <pic:blipFill rotWithShape="1">
                    <a:blip r:embed="rId32" cstate="print">
                      <a:extLst>
                        <a:ext uri="{28A0092B-C50C-407E-A947-70E740481C1C}">
                          <a14:useLocalDpi xmlns:a14="http://schemas.microsoft.com/office/drawing/2010/main" val="0"/>
                        </a:ext>
                      </a:extLst>
                    </a:blip>
                    <a:srcRect l="17700" t="16908" r="18633" b="19426"/>
                    <a:stretch/>
                  </pic:blipFill>
                  <pic:spPr bwMode="auto">
                    <a:xfrm>
                      <a:off x="0" y="0"/>
                      <a:ext cx="1085928" cy="1085928"/>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sidR="00E210C5">
        <w:rPr>
          <w:noProof/>
        </w:rPr>
        <w:drawing>
          <wp:inline distT="0" distB="0" distL="0" distR="0" wp14:anchorId="6BFD9806" wp14:editId="190D05F1">
            <wp:extent cx="1285875" cy="79953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ogo Aula Abierta sin fondo 2.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12351" cy="815992"/>
                    </a:xfrm>
                    <a:prstGeom prst="rect">
                      <a:avLst/>
                    </a:prstGeom>
                  </pic:spPr>
                </pic:pic>
              </a:graphicData>
            </a:graphic>
          </wp:inline>
        </w:drawing>
      </w:r>
    </w:p>
    <w:p w14:paraId="614AFD4D" w14:textId="627055B0" w:rsidR="006B189C" w:rsidRDefault="006B189C" w:rsidP="006B189C">
      <w:pPr>
        <w:pStyle w:val="Textonotaalfinal"/>
        <w:rPr>
          <w:noProof/>
        </w:rPr>
      </w:pPr>
    </w:p>
    <w:p w14:paraId="0A943C59" w14:textId="73DBDC06" w:rsidR="006B189C" w:rsidRDefault="006B189C" w:rsidP="006B189C">
      <w:pPr>
        <w:pStyle w:val="Textonotaalfinal"/>
        <w:rPr>
          <w:noProof/>
        </w:rPr>
      </w:pPr>
    </w:p>
    <w:p w14:paraId="5494CD23" w14:textId="39DABC2C" w:rsidR="006B189C" w:rsidRDefault="00664995" w:rsidP="006B189C">
      <w:pPr>
        <w:pStyle w:val="Textonotaalfinal"/>
        <w:rPr>
          <w:noProof/>
        </w:rPr>
      </w:pPr>
      <w:r>
        <w:rPr>
          <w:noProof/>
        </w:rPr>
        <w:t xml:space="preserve"> </w:t>
      </w:r>
      <w:r w:rsidR="00DF6ECB">
        <w:rPr>
          <w:noProof/>
        </w:rPr>
        <w:drawing>
          <wp:inline distT="0" distB="0" distL="0" distR="0" wp14:anchorId="786876BA" wp14:editId="241F747C">
            <wp:extent cx="1390650" cy="587523"/>
            <wp:effectExtent l="0" t="0" r="0" b="317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20181207-WA0014.jpg"/>
                    <pic:cNvPicPr/>
                  </pic:nvPicPr>
                  <pic:blipFill rotWithShape="1">
                    <a:blip r:embed="rId34" cstate="print">
                      <a:extLst>
                        <a:ext uri="{28A0092B-C50C-407E-A947-70E740481C1C}">
                          <a14:useLocalDpi xmlns:a14="http://schemas.microsoft.com/office/drawing/2010/main" val="0"/>
                        </a:ext>
                      </a:extLst>
                    </a:blip>
                    <a:srcRect l="7371" t="32853" r="9936" b="32211"/>
                    <a:stretch/>
                  </pic:blipFill>
                  <pic:spPr bwMode="auto">
                    <a:xfrm>
                      <a:off x="0" y="0"/>
                      <a:ext cx="1500560" cy="633958"/>
                    </a:xfrm>
                    <a:prstGeom prst="rect">
                      <a:avLst/>
                    </a:prstGeom>
                    <a:ln>
                      <a:noFill/>
                    </a:ln>
                    <a:extLst>
                      <a:ext uri="{53640926-AAD7-44D8-BBD7-CCE9431645EC}">
                        <a14:shadowObscured xmlns:a14="http://schemas.microsoft.com/office/drawing/2010/main"/>
                      </a:ext>
                    </a:extLst>
                  </pic:spPr>
                </pic:pic>
              </a:graphicData>
            </a:graphic>
          </wp:inline>
        </w:drawing>
      </w:r>
      <w:r w:rsidR="00DF6ECB">
        <w:rPr>
          <w:noProof/>
        </w:rPr>
        <w:t xml:space="preserve">    </w:t>
      </w:r>
      <w:r w:rsidR="00DF6ECB">
        <w:rPr>
          <w:noProof/>
        </w:rPr>
        <w:drawing>
          <wp:inline distT="0" distB="0" distL="0" distR="0" wp14:anchorId="109AC3B6" wp14:editId="1C52C50E">
            <wp:extent cx="1390650" cy="134302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tipo fundacion.jpg"/>
                    <pic:cNvPicPr/>
                  </pic:nvPicPr>
                  <pic:blipFill rotWithShape="1">
                    <a:blip r:embed="rId35">
                      <a:extLst>
                        <a:ext uri="{28A0092B-C50C-407E-A947-70E740481C1C}">
                          <a14:useLocalDpi xmlns:a14="http://schemas.microsoft.com/office/drawing/2010/main" val="0"/>
                        </a:ext>
                      </a:extLst>
                    </a:blip>
                    <a:srcRect l="35577" t="29914" r="41026" b="39958"/>
                    <a:stretch/>
                  </pic:blipFill>
                  <pic:spPr bwMode="auto">
                    <a:xfrm>
                      <a:off x="0" y="0"/>
                      <a:ext cx="1390650" cy="1343025"/>
                    </a:xfrm>
                    <a:prstGeom prst="rect">
                      <a:avLst/>
                    </a:prstGeom>
                    <a:ln>
                      <a:noFill/>
                    </a:ln>
                    <a:extLst>
                      <a:ext uri="{53640926-AAD7-44D8-BBD7-CCE9431645EC}">
                        <a14:shadowObscured xmlns:a14="http://schemas.microsoft.com/office/drawing/2010/main"/>
                      </a:ext>
                    </a:extLst>
                  </pic:spPr>
                </pic:pic>
              </a:graphicData>
            </a:graphic>
          </wp:inline>
        </w:drawing>
      </w:r>
      <w:r w:rsidR="00DF6ECB">
        <w:rPr>
          <w:noProof/>
        </w:rPr>
        <w:t xml:space="preserve">   </w:t>
      </w:r>
      <w:r w:rsidR="00DF6ECB">
        <w:rPr>
          <w:noProof/>
        </w:rPr>
        <w:drawing>
          <wp:inline distT="0" distB="0" distL="0" distR="0" wp14:anchorId="57DA4426" wp14:editId="6B75518D">
            <wp:extent cx="1329268" cy="498475"/>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JwCQSO2j.jpg"/>
                    <pic:cNvPicPr/>
                  </pic:nvPicPr>
                  <pic:blipFill rotWithShape="1">
                    <a:blip r:embed="rId36" cstate="print">
                      <a:extLst>
                        <a:ext uri="{28A0092B-C50C-407E-A947-70E740481C1C}">
                          <a14:useLocalDpi xmlns:a14="http://schemas.microsoft.com/office/drawing/2010/main" val="0"/>
                        </a:ext>
                      </a:extLst>
                    </a:blip>
                    <a:srcRect l="5042" t="32144" r="4202" b="33823"/>
                    <a:stretch/>
                  </pic:blipFill>
                  <pic:spPr bwMode="auto">
                    <a:xfrm>
                      <a:off x="0" y="0"/>
                      <a:ext cx="1375903" cy="515963"/>
                    </a:xfrm>
                    <a:prstGeom prst="rect">
                      <a:avLst/>
                    </a:prstGeom>
                    <a:ln>
                      <a:noFill/>
                    </a:ln>
                    <a:extLst>
                      <a:ext uri="{53640926-AAD7-44D8-BBD7-CCE9431645EC}">
                        <a14:shadowObscured xmlns:a14="http://schemas.microsoft.com/office/drawing/2010/main"/>
                      </a:ext>
                    </a:extLst>
                  </pic:spPr>
                </pic:pic>
              </a:graphicData>
            </a:graphic>
          </wp:inline>
        </w:drawing>
      </w:r>
      <w:r w:rsidR="00DF6ECB">
        <w:rPr>
          <w:noProof/>
        </w:rPr>
        <w:t xml:space="preserve">    </w:t>
      </w:r>
      <w:r w:rsidR="00DF6ECB">
        <w:rPr>
          <w:noProof/>
        </w:rPr>
        <w:drawing>
          <wp:inline distT="0" distB="0" distL="0" distR="0" wp14:anchorId="69BBB3B2" wp14:editId="60E9978B">
            <wp:extent cx="1314450" cy="756932"/>
            <wp:effectExtent l="0" t="0" r="0" b="5080"/>
            <wp:docPr id="21" name="Imagen 21"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20200206-WA0067.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377448" cy="793210"/>
                    </a:xfrm>
                    <a:prstGeom prst="rect">
                      <a:avLst/>
                    </a:prstGeom>
                  </pic:spPr>
                </pic:pic>
              </a:graphicData>
            </a:graphic>
          </wp:inline>
        </w:drawing>
      </w:r>
    </w:p>
    <w:p w14:paraId="1771BEA7" w14:textId="01ABB7E8" w:rsidR="00664995" w:rsidRDefault="00664995" w:rsidP="006B189C">
      <w:pPr>
        <w:pStyle w:val="Textonotaalfinal"/>
        <w:rPr>
          <w:noProof/>
        </w:rPr>
      </w:pPr>
    </w:p>
    <w:p w14:paraId="33BAEB57" w14:textId="24E33AF5" w:rsidR="00664995" w:rsidRDefault="00664995" w:rsidP="006B189C">
      <w:pPr>
        <w:pStyle w:val="Textonotaalfinal"/>
        <w:rPr>
          <w:noProof/>
        </w:rPr>
      </w:pPr>
    </w:p>
    <w:p w14:paraId="3C598506" w14:textId="5150FD9D" w:rsidR="00664995" w:rsidRDefault="00664995" w:rsidP="006B189C">
      <w:pPr>
        <w:pStyle w:val="Textonotaalfinal"/>
        <w:rPr>
          <w:noProof/>
        </w:rPr>
      </w:pPr>
    </w:p>
    <w:p w14:paraId="2B1E3FFC" w14:textId="4289791E" w:rsidR="00664995" w:rsidRDefault="00664995" w:rsidP="006B189C">
      <w:pPr>
        <w:pStyle w:val="Textonotaalfinal"/>
        <w:rPr>
          <w:noProof/>
        </w:rPr>
      </w:pPr>
    </w:p>
    <w:p w14:paraId="2EF8542F" w14:textId="07C25237" w:rsidR="00664995" w:rsidRDefault="00664995" w:rsidP="006B189C">
      <w:pPr>
        <w:pStyle w:val="Textonotaalfinal"/>
        <w:rPr>
          <w:noProof/>
        </w:rPr>
      </w:pPr>
    </w:p>
    <w:p w14:paraId="44D8B1DE" w14:textId="77777777" w:rsidR="00664995" w:rsidRDefault="00664995" w:rsidP="006B189C">
      <w:pPr>
        <w:pStyle w:val="Textonotaalfinal"/>
        <w:rPr>
          <w:noProof/>
        </w:rPr>
      </w:pPr>
    </w:p>
    <w:p w14:paraId="1633E281" w14:textId="77777777" w:rsidR="006B189C" w:rsidRPr="006B189C" w:rsidRDefault="006B189C" w:rsidP="006B189C">
      <w:pPr>
        <w:spacing w:before="120" w:after="120"/>
        <w:jc w:val="both"/>
        <w:rPr>
          <w:rFonts w:ascii="Arial" w:eastAsia="Arial" w:hAnsi="Arial" w:cs="Arial"/>
          <w:b/>
          <w:color w:val="000000"/>
          <w:sz w:val="24"/>
          <w:szCs w:val="24"/>
        </w:rPr>
      </w:pPr>
    </w:p>
    <w:sectPr w:rsidR="006B189C" w:rsidRPr="006B189C">
      <w:type w:val="continuous"/>
      <w:pgSz w:w="12240" w:h="15840"/>
      <w:pgMar w:top="1440" w:right="1080" w:bottom="1440" w:left="1080" w:header="850" w:footer="567" w:gutter="0"/>
      <w:cols w:space="720" w:equalWidth="0">
        <w:col w:w="936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82B51" w14:textId="77777777" w:rsidR="009E3B99" w:rsidRDefault="009E3B99">
      <w:r>
        <w:separator/>
      </w:r>
    </w:p>
  </w:endnote>
  <w:endnote w:type="continuationSeparator" w:id="0">
    <w:p w14:paraId="48034AC5" w14:textId="77777777" w:rsidR="009E3B99" w:rsidRDefault="009E3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CEA33" w14:textId="77777777" w:rsidR="00565A9E" w:rsidRDefault="00565A9E">
    <w:pPr>
      <w:pBdr>
        <w:top w:val="nil"/>
        <w:left w:val="nil"/>
        <w:bottom w:val="nil"/>
        <w:right w:val="nil"/>
        <w:between w:val="nil"/>
      </w:pBdr>
      <w:tabs>
        <w:tab w:val="right" w:pos="9638"/>
      </w:tabs>
      <w:rPr>
        <w:color w:val="000000"/>
        <w:sz w:val="16"/>
        <w:szCs w:val="16"/>
      </w:rPr>
    </w:pPr>
    <w:r>
      <w:rPr>
        <w:b/>
        <w:color w:val="000000"/>
        <w:sz w:val="18"/>
        <w:szCs w:val="18"/>
      </w:rPr>
      <w:fldChar w:fldCharType="begin"/>
    </w:r>
    <w:r>
      <w:rPr>
        <w:b/>
        <w:color w:val="000000"/>
        <w:sz w:val="18"/>
        <w:szCs w:val="18"/>
      </w:rPr>
      <w:instrText>PAGE</w:instrText>
    </w:r>
    <w:r>
      <w:rPr>
        <w:b/>
        <w:color w:val="000000"/>
        <w:sz w:val="18"/>
        <w:szCs w:val="18"/>
      </w:rPr>
      <w:fldChar w:fldCharType="end"/>
    </w:r>
    <w:r>
      <w:rPr>
        <w:b/>
        <w:color w:val="00000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CFF37" w14:textId="77777777" w:rsidR="00565A9E" w:rsidRDefault="00565A9E">
    <w:pPr>
      <w:pBdr>
        <w:top w:val="nil"/>
        <w:left w:val="nil"/>
        <w:bottom w:val="nil"/>
        <w:right w:val="nil"/>
        <w:between w:val="nil"/>
      </w:pBdr>
      <w:tabs>
        <w:tab w:val="right" w:pos="9638"/>
      </w:tabs>
      <w:rPr>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2</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6E4A7" w14:textId="77777777" w:rsidR="00565A9E" w:rsidRDefault="00565A9E">
    <w:pPr>
      <w:pBdr>
        <w:top w:val="nil"/>
        <w:left w:val="nil"/>
        <w:bottom w:val="nil"/>
        <w:right w:val="nil"/>
        <w:between w:val="nil"/>
      </w:pBdr>
      <w:spacing w:before="12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4F506" w14:textId="77777777" w:rsidR="009E3B99" w:rsidRDefault="009E3B99">
      <w:r>
        <w:separator/>
      </w:r>
    </w:p>
  </w:footnote>
  <w:footnote w:type="continuationSeparator" w:id="0">
    <w:p w14:paraId="35AFB8B9" w14:textId="77777777" w:rsidR="009E3B99" w:rsidRDefault="009E3B99">
      <w:r>
        <w:continuationSeparator/>
      </w:r>
    </w:p>
  </w:footnote>
  <w:footnote w:id="1">
    <w:p w14:paraId="169BAC10" w14:textId="23B507D8" w:rsidR="00565A9E" w:rsidRDefault="00565A9E">
      <w:pPr>
        <w:pBdr>
          <w:top w:val="nil"/>
          <w:left w:val="nil"/>
          <w:bottom w:val="nil"/>
          <w:right w:val="nil"/>
          <w:between w:val="nil"/>
        </w:pBdr>
        <w:shd w:val="clear" w:color="auto" w:fill="FFFFFF"/>
        <w:jc w:val="both"/>
        <w:rPr>
          <w:rFonts w:ascii="Calibri" w:eastAsia="Calibri" w:hAnsi="Calibri" w:cs="Calibri"/>
          <w:color w:val="222222"/>
        </w:rPr>
      </w:pPr>
      <w:r>
        <w:rPr>
          <w:vertAlign w:val="superscript"/>
        </w:rPr>
        <w:footnoteRef/>
      </w:r>
      <w:r>
        <w:rPr>
          <w:rFonts w:ascii="Calibri" w:eastAsia="Calibri" w:hAnsi="Calibri" w:cs="Calibri"/>
          <w:color w:val="000000"/>
        </w:rPr>
        <w:t xml:space="preserve"> </w:t>
      </w:r>
      <w:r w:rsidRPr="00A73B3F">
        <w:rPr>
          <w:rFonts w:ascii="Calibri" w:eastAsia="Calibri" w:hAnsi="Calibri" w:cs="Calibri"/>
          <w:color w:val="000000"/>
        </w:rPr>
        <w:t xml:space="preserve">Confederación de Sordos de Venezuela (CONSORVEN), Centro de Estudios para la Discapacidad de la Universidad </w:t>
      </w:r>
      <w:proofErr w:type="spellStart"/>
      <w:r w:rsidRPr="00A73B3F">
        <w:rPr>
          <w:rFonts w:ascii="Calibri" w:eastAsia="Calibri" w:hAnsi="Calibri" w:cs="Calibri"/>
          <w:color w:val="000000"/>
        </w:rPr>
        <w:t>Monteávila</w:t>
      </w:r>
      <w:proofErr w:type="spellEnd"/>
      <w:r w:rsidRPr="00A73B3F">
        <w:rPr>
          <w:rFonts w:ascii="Calibri" w:eastAsia="Calibri" w:hAnsi="Calibri" w:cs="Calibri"/>
          <w:color w:val="000000"/>
        </w:rPr>
        <w:t xml:space="preserve"> (CEDISC), Asociación de Sordos del Estado Yaracuy (ASEY),  Asociación de Intérpretes en Lengua de Señas del Estado Yaracuy (ASOISY), Asociación de Ciegos de Yaracuy, Fundación Chamos en el Agua, Movimiento </w:t>
      </w:r>
      <w:proofErr w:type="spellStart"/>
      <w:r w:rsidRPr="00A73B3F">
        <w:rPr>
          <w:rFonts w:ascii="Calibri" w:eastAsia="Calibri" w:hAnsi="Calibri" w:cs="Calibri"/>
          <w:color w:val="000000"/>
        </w:rPr>
        <w:t>VinoTinto</w:t>
      </w:r>
      <w:proofErr w:type="spellEnd"/>
      <w:r w:rsidRPr="00A73B3F">
        <w:rPr>
          <w:rFonts w:ascii="Calibri" w:eastAsia="Calibri" w:hAnsi="Calibri" w:cs="Calibri"/>
          <w:color w:val="000000"/>
        </w:rPr>
        <w:t>, Asociación de Sordos del Estado Lara (ASEL LARA), Red de Defensores de Derechos Humanos en el Estado Lara, Sordociegos de Venezuela (SOCIEVEN), Sociedad Venezolana para Niños y Adultos con Autismo (SOVENIA), Formación e Investigación en Discapacidad (FUNDAFID), Asociación Civil para el Desarrollo de la Educación Complementaria (ASODECO), Asociación Civil Mis Chiquiticos,  Asociación Civil Soy Parte del Mundo, Fundación una Luz para el Autismo (</w:t>
      </w:r>
      <w:proofErr w:type="spellStart"/>
      <w:r w:rsidRPr="00A73B3F">
        <w:rPr>
          <w:rFonts w:ascii="Calibri" w:eastAsia="Calibri" w:hAnsi="Calibri" w:cs="Calibri"/>
          <w:color w:val="000000"/>
        </w:rPr>
        <w:t>Funauta</w:t>
      </w:r>
      <w:proofErr w:type="spellEnd"/>
      <w:r w:rsidRPr="00A73B3F">
        <w:rPr>
          <w:rFonts w:ascii="Calibri" w:eastAsia="Calibri" w:hAnsi="Calibri" w:cs="Calibri"/>
          <w:color w:val="000000"/>
        </w:rPr>
        <w:t xml:space="preserve">), Asociación Neoespartana para la Integración del Autismo (ASONEPIA), Asociación Civil Fuerza, Unión, Justicia y Paz (FUNPAZ), Red de Defensores de Derechos Humanos en el Estado Nueva Esparta, GLOBAL HEROES, Red de activistas Ciudadanos por los Derechos Humanos (REDAC), Fundación El Buen Samaritano, Colegio </w:t>
      </w:r>
      <w:proofErr w:type="spellStart"/>
      <w:r w:rsidRPr="00A73B3F">
        <w:rPr>
          <w:rFonts w:ascii="Calibri" w:eastAsia="Calibri" w:hAnsi="Calibri" w:cs="Calibri"/>
          <w:color w:val="000000"/>
        </w:rPr>
        <w:t>Arcoiris</w:t>
      </w:r>
      <w:proofErr w:type="spellEnd"/>
      <w:r w:rsidRPr="00A73B3F">
        <w:rPr>
          <w:rFonts w:ascii="Calibri" w:eastAsia="Calibri" w:hAnsi="Calibri" w:cs="Calibri"/>
          <w:color w:val="000000"/>
        </w:rPr>
        <w:t xml:space="preserve">, Proyecto </w:t>
      </w:r>
      <w:proofErr w:type="spellStart"/>
      <w:r w:rsidRPr="00A73B3F">
        <w:rPr>
          <w:rFonts w:ascii="Calibri" w:eastAsia="Calibri" w:hAnsi="Calibri" w:cs="Calibri"/>
          <w:color w:val="000000"/>
        </w:rPr>
        <w:t>Biotalento</w:t>
      </w:r>
      <w:proofErr w:type="spellEnd"/>
      <w:r w:rsidRPr="00A73B3F">
        <w:rPr>
          <w:rFonts w:ascii="Calibri" w:eastAsia="Calibri" w:hAnsi="Calibri" w:cs="Calibri"/>
          <w:color w:val="000000"/>
        </w:rPr>
        <w:t>, Fundación Mano Amiga, Centro de Derechos Humanos Universidad de Yacambú , Profesores de la</w:t>
      </w:r>
      <w:r>
        <w:rPr>
          <w:rFonts w:ascii="Calibri" w:eastAsia="Calibri" w:hAnsi="Calibri" w:cs="Calibri"/>
          <w:color w:val="000000"/>
        </w:rPr>
        <w:t>s</w:t>
      </w:r>
      <w:r w:rsidRPr="00A73B3F">
        <w:rPr>
          <w:rFonts w:ascii="Calibri" w:eastAsia="Calibri" w:hAnsi="Calibri" w:cs="Calibri"/>
          <w:color w:val="000000"/>
        </w:rPr>
        <w:t xml:space="preserve"> Universidad</w:t>
      </w:r>
      <w:r>
        <w:rPr>
          <w:rFonts w:ascii="Calibri" w:eastAsia="Calibri" w:hAnsi="Calibri" w:cs="Calibri"/>
          <w:color w:val="000000"/>
        </w:rPr>
        <w:t>es</w:t>
      </w:r>
      <w:r w:rsidRPr="00A73B3F">
        <w:rPr>
          <w:rFonts w:ascii="Calibri" w:eastAsia="Calibri" w:hAnsi="Calibri" w:cs="Calibri"/>
          <w:color w:val="000000"/>
        </w:rPr>
        <w:t xml:space="preserve"> Central de Venezuela (UCV), Universidad Nacional Abierta (UNA),   Universidad Nacional Experimental de Yaracuy (UNEY)</w:t>
      </w:r>
      <w:r>
        <w:rPr>
          <w:rFonts w:ascii="Calibri" w:eastAsia="Calibri" w:hAnsi="Calibri" w:cs="Calibri"/>
          <w:color w:val="000000"/>
        </w:rPr>
        <w:t xml:space="preserve"> y </w:t>
      </w:r>
      <w:r w:rsidRPr="00A73B3F">
        <w:rPr>
          <w:rFonts w:ascii="Calibri" w:eastAsia="Calibri" w:hAnsi="Calibri" w:cs="Calibri"/>
          <w:color w:val="000000"/>
        </w:rPr>
        <w:t xml:space="preserve"> Universidad Centro Occidental Lisandro Alvarado (UCLA).</w:t>
      </w:r>
      <w:r>
        <w:rPr>
          <w:rFonts w:ascii="Calibri" w:eastAsia="Calibri" w:hAnsi="Calibri" w:cs="Calibri"/>
          <w:color w:val="222222"/>
        </w:rPr>
        <w:t xml:space="preserve"> </w:t>
      </w:r>
    </w:p>
  </w:footnote>
  <w:footnote w:id="2">
    <w:p w14:paraId="6D249FDA" w14:textId="77777777" w:rsidR="00565A9E" w:rsidRDefault="00565A9E">
      <w:pPr>
        <w:pBdr>
          <w:top w:val="nil"/>
          <w:left w:val="nil"/>
          <w:bottom w:val="nil"/>
          <w:right w:val="nil"/>
          <w:between w:val="nil"/>
        </w:pBdr>
        <w:rPr>
          <w:rFonts w:ascii="Calibri" w:eastAsia="Calibri" w:hAnsi="Calibri" w:cs="Calibri"/>
          <w:color w:val="000000"/>
        </w:rPr>
      </w:pPr>
      <w:bookmarkStart w:id="2" w:name="_gjdgxs" w:colFirst="0" w:colLast="0"/>
      <w:bookmarkEnd w:id="2"/>
      <w:r>
        <w:rPr>
          <w:vertAlign w:val="superscript"/>
        </w:rPr>
        <w:footnoteRef/>
      </w:r>
      <w:r>
        <w:rPr>
          <w:rFonts w:ascii="Calibri" w:eastAsia="Calibri" w:hAnsi="Calibri" w:cs="Calibri"/>
          <w:color w:val="000000"/>
        </w:rPr>
        <w:t xml:space="preserve"> Venezolana de Televisión. Plan de Atención Integral a las Víctimas de Guerra Económica. Septiembre, 2019. Disponible en: </w:t>
      </w:r>
      <w:hyperlink r:id="rId1">
        <w:r>
          <w:rPr>
            <w:rFonts w:ascii="Calibri" w:eastAsia="Calibri" w:hAnsi="Calibri" w:cs="Calibri"/>
            <w:color w:val="0000FF"/>
            <w:u w:val="single"/>
          </w:rPr>
          <w:t>https://www.vtv.gob.ve/victimas-guerra-economica-merida-la-milagrosa/</w:t>
        </w:r>
      </w:hyperlink>
      <w:r>
        <w:rPr>
          <w:rFonts w:ascii="Calibri" w:eastAsia="Calibri" w:hAnsi="Calibri" w:cs="Calibri"/>
          <w:color w:val="000000"/>
        </w:rPr>
        <w:t xml:space="preserve"> </w:t>
      </w:r>
    </w:p>
  </w:footnote>
  <w:footnote w:id="3">
    <w:p w14:paraId="31155752"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¿Qué ha pasado con la ayuda humanitaria? Disponible en: </w:t>
      </w:r>
      <w:hyperlink r:id="rId2">
        <w:r>
          <w:rPr>
            <w:rFonts w:ascii="Calibri" w:eastAsia="Calibri" w:hAnsi="Calibri" w:cs="Calibri"/>
            <w:color w:val="0000FF"/>
            <w:u w:val="single"/>
          </w:rPr>
          <w:t>https://prodavinci.com/que-ha-pasado-con-la-ayuda-humanitaria/</w:t>
        </w:r>
      </w:hyperlink>
    </w:p>
  </w:footnote>
  <w:footnote w:id="4">
    <w:p w14:paraId="1AC3B8A3"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Cuestionamientos de ilegitimidad. Disponible en: </w:t>
      </w:r>
      <w:hyperlink r:id="rId3">
        <w:r>
          <w:rPr>
            <w:rFonts w:ascii="Calibri" w:eastAsia="Calibri" w:hAnsi="Calibri" w:cs="Calibri"/>
            <w:color w:val="0000FF"/>
            <w:u w:val="single"/>
          </w:rPr>
          <w:t>https://www.elmostrador.cl/dia/2019/01/10/venezuela-maduro-jura-para-un-segundo-mandato-en-medio-de-cuestionamientos-de-ilegitimidad/</w:t>
        </w:r>
      </w:hyperlink>
    </w:p>
  </w:footnote>
  <w:footnote w:id="5">
    <w:p w14:paraId="618F0281"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Cuestionamientos a Informes ONU. Disponibles en: </w:t>
      </w:r>
      <w:hyperlink r:id="rId4">
        <w:r>
          <w:rPr>
            <w:rFonts w:ascii="Calibri" w:eastAsia="Calibri" w:hAnsi="Calibri" w:cs="Calibri"/>
            <w:color w:val="0000FF"/>
            <w:u w:val="single"/>
          </w:rPr>
          <w:t>https://www.americaeconomia.com/politica-sociedad/politica/maduro-vuelve-cuestionar-informe-de-bachelet-sobre-venezuela-deberia</w:t>
        </w:r>
      </w:hyperlink>
      <w:r>
        <w:rPr>
          <w:rFonts w:ascii="Calibri" w:eastAsia="Calibri" w:hAnsi="Calibri" w:cs="Calibri"/>
          <w:color w:val="000000"/>
        </w:rPr>
        <w:t xml:space="preserve">  ; </w:t>
      </w:r>
      <w:hyperlink r:id="rId5">
        <w:r>
          <w:rPr>
            <w:rFonts w:ascii="Calibri" w:eastAsia="Calibri" w:hAnsi="Calibri" w:cs="Calibri"/>
            <w:color w:val="0000FF"/>
            <w:u w:val="single"/>
          </w:rPr>
          <w:t>https://www.telesurtv.net/news/venezuela-denuncia-onu-informe-bachelet-onu-20190910-0011.html</w:t>
        </w:r>
      </w:hyperlink>
    </w:p>
  </w:footnote>
  <w:footnote w:id="6">
    <w:p w14:paraId="465FFF08" w14:textId="77777777" w:rsidR="00565A9E" w:rsidRDefault="00565A9E">
      <w:pPr>
        <w:pBdr>
          <w:top w:val="nil"/>
          <w:left w:val="nil"/>
          <w:bottom w:val="nil"/>
          <w:right w:val="nil"/>
          <w:between w:val="nil"/>
        </w:pBdr>
        <w:rPr>
          <w:rFonts w:ascii="Calibri" w:eastAsia="Calibri" w:hAnsi="Calibri" w:cs="Calibri"/>
          <w:color w:val="000000"/>
        </w:rPr>
      </w:pPr>
      <w:bookmarkStart w:id="3" w:name="_30j0zll" w:colFirst="0" w:colLast="0"/>
      <w:bookmarkEnd w:id="3"/>
      <w:r>
        <w:rPr>
          <w:vertAlign w:val="superscript"/>
        </w:rPr>
        <w:footnoteRef/>
      </w:r>
      <w:r>
        <w:rPr>
          <w:rFonts w:ascii="Calibri" w:eastAsia="Calibri" w:hAnsi="Calibri" w:cs="Calibri"/>
          <w:color w:val="000000"/>
        </w:rPr>
        <w:t xml:space="preserve">Proyecto de Ley Orgánica </w:t>
      </w:r>
      <w:proofErr w:type="spellStart"/>
      <w:r>
        <w:rPr>
          <w:rFonts w:ascii="Calibri" w:eastAsia="Calibri" w:hAnsi="Calibri" w:cs="Calibri"/>
          <w:color w:val="000000"/>
        </w:rPr>
        <w:t>PcD</w:t>
      </w:r>
      <w:proofErr w:type="spellEnd"/>
      <w:r>
        <w:rPr>
          <w:rFonts w:ascii="Calibri" w:eastAsia="Calibri" w:hAnsi="Calibri" w:cs="Calibri"/>
          <w:color w:val="000000"/>
        </w:rPr>
        <w:t xml:space="preserve">. Disponible en:  </w:t>
      </w:r>
      <w:hyperlink r:id="rId6">
        <w:r>
          <w:rPr>
            <w:rFonts w:ascii="Calibri" w:eastAsia="Calibri" w:hAnsi="Calibri" w:cs="Calibri"/>
            <w:color w:val="0000FF"/>
            <w:u w:val="single"/>
          </w:rPr>
          <w:t>https://www.eluniversal.com/el-universal/35336/el-proyecto-de-ley-organica-pcd</w:t>
        </w:r>
      </w:hyperlink>
    </w:p>
  </w:footnote>
  <w:footnote w:id="7">
    <w:p w14:paraId="6BC7AC85"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Ausencia de Políticas Públicas en beneficio de las </w:t>
      </w:r>
      <w:proofErr w:type="spellStart"/>
      <w:r>
        <w:rPr>
          <w:rFonts w:ascii="Calibri" w:eastAsia="Calibri" w:hAnsi="Calibri" w:cs="Calibri"/>
          <w:color w:val="000000"/>
        </w:rPr>
        <w:t>PcD</w:t>
      </w:r>
      <w:proofErr w:type="spellEnd"/>
      <w:r>
        <w:rPr>
          <w:rFonts w:ascii="Calibri" w:eastAsia="Calibri" w:hAnsi="Calibri" w:cs="Calibri"/>
          <w:color w:val="000000"/>
        </w:rPr>
        <w:t xml:space="preserve">. Disponible en: </w:t>
      </w:r>
      <w:hyperlink r:id="rId7">
        <w:r>
          <w:rPr>
            <w:rFonts w:ascii="Calibri" w:eastAsia="Calibri" w:hAnsi="Calibri" w:cs="Calibri"/>
            <w:color w:val="0000FF"/>
            <w:u w:val="single"/>
          </w:rPr>
          <w:t>https://prodavinci.com/david-cedeno-nos-dieron-visibilidad-pero-no-hay-inclusion-real/</w:t>
        </w:r>
      </w:hyperlink>
      <w:r>
        <w:rPr>
          <w:rFonts w:ascii="Calibri" w:eastAsia="Calibri" w:hAnsi="Calibri" w:cs="Calibri"/>
          <w:color w:val="000000"/>
        </w:rPr>
        <w:t xml:space="preserve"> ; </w:t>
      </w:r>
      <w:hyperlink r:id="rId8">
        <w:r>
          <w:rPr>
            <w:rFonts w:ascii="Calibri" w:eastAsia="Calibri" w:hAnsi="Calibri" w:cs="Calibri"/>
            <w:color w:val="0000FF"/>
            <w:u w:val="single"/>
          </w:rPr>
          <w:t>http://discapacidad0.co/blog/caracas-ciudad-intransitable-para-personas-con-discapacidad-motora/</w:t>
        </w:r>
      </w:hyperlink>
      <w:r>
        <w:rPr>
          <w:rFonts w:ascii="Calibri" w:eastAsia="Calibri" w:hAnsi="Calibri" w:cs="Calibri"/>
          <w:color w:val="000000"/>
        </w:rPr>
        <w:t xml:space="preserve"> ; </w:t>
      </w:r>
      <w:hyperlink r:id="rId9">
        <w:r>
          <w:rPr>
            <w:rFonts w:ascii="Calibri" w:eastAsia="Calibri" w:hAnsi="Calibri" w:cs="Calibri"/>
            <w:color w:val="0000FF"/>
            <w:u w:val="single"/>
          </w:rPr>
          <w:t>https://elpitazo.net/salud/politicas-de-inclusion-para-personas-con-discapacidad-no-han-avanzado-en-12-anos/</w:t>
        </w:r>
      </w:hyperlink>
      <w:r>
        <w:rPr>
          <w:rFonts w:ascii="Calibri" w:eastAsia="Calibri" w:hAnsi="Calibri" w:cs="Calibri"/>
          <w:color w:val="0000FF"/>
          <w:u w:val="single"/>
        </w:rPr>
        <w:t xml:space="preserve"> </w:t>
      </w:r>
      <w:r w:rsidRPr="00A215A9">
        <w:rPr>
          <w:rFonts w:ascii="Calibri" w:eastAsia="Calibri" w:hAnsi="Calibri" w:cs="Calibri"/>
          <w:color w:val="0000FF"/>
          <w:u w:val="single"/>
        </w:rPr>
        <w:t>https://drive.google.com/file/d/1rJvP4SHWfpNcYRL8Z3f6RVE8OiMiaon0/view?usp=sharing</w:t>
      </w:r>
    </w:p>
  </w:footnote>
  <w:footnote w:id="8">
    <w:p w14:paraId="6632699E" w14:textId="77777777" w:rsidR="00565A9E" w:rsidRDefault="00565A9E">
      <w:pPr>
        <w:rPr>
          <w:rFonts w:ascii="Calibri" w:eastAsia="Calibri" w:hAnsi="Calibri" w:cs="Calibri"/>
        </w:rPr>
      </w:pPr>
      <w:bookmarkStart w:id="4" w:name="_1fob9te" w:colFirst="0" w:colLast="0"/>
      <w:bookmarkEnd w:id="4"/>
      <w:r>
        <w:rPr>
          <w:vertAlign w:val="superscript"/>
        </w:rPr>
        <w:footnoteRef/>
      </w:r>
      <w:r>
        <w:rPr>
          <w:rFonts w:ascii="Calibri" w:eastAsia="Calibri" w:hAnsi="Calibri" w:cs="Calibri"/>
        </w:rPr>
        <w:t xml:space="preserve"> Instalación del Consejo Presidencial de </w:t>
      </w:r>
      <w:proofErr w:type="spellStart"/>
      <w:r>
        <w:rPr>
          <w:rFonts w:ascii="Calibri" w:eastAsia="Calibri" w:hAnsi="Calibri" w:cs="Calibri"/>
        </w:rPr>
        <w:t>PcD</w:t>
      </w:r>
      <w:proofErr w:type="spellEnd"/>
      <w:r>
        <w:rPr>
          <w:rFonts w:ascii="Calibri" w:eastAsia="Calibri" w:hAnsi="Calibri" w:cs="Calibri"/>
        </w:rPr>
        <w:t xml:space="preserve">. Disponible en: </w:t>
      </w:r>
      <w:hyperlink r:id="rId10">
        <w:r>
          <w:rPr>
            <w:rFonts w:ascii="Calibri" w:eastAsia="Calibri" w:hAnsi="Calibri" w:cs="Calibri"/>
            <w:color w:val="0000FF"/>
            <w:u w:val="single"/>
          </w:rPr>
          <w:t>https://www.facebook.com/Conapdis/photos/a.796407810450530/796410570450254/?type=3&amp;theater</w:t>
        </w:r>
      </w:hyperlink>
      <w:r>
        <w:rPr>
          <w:rFonts w:ascii="Calibri" w:eastAsia="Calibri" w:hAnsi="Calibri" w:cs="Calibri"/>
        </w:rPr>
        <w:t xml:space="preserve"> / </w:t>
      </w:r>
      <w:hyperlink r:id="rId11">
        <w:r>
          <w:rPr>
            <w:rFonts w:ascii="Calibri" w:eastAsia="Calibri" w:hAnsi="Calibri" w:cs="Calibri"/>
            <w:color w:val="0000FF"/>
            <w:u w:val="single"/>
          </w:rPr>
          <w:t>http://www.radiomundial.com.ve/article/consejo-presidencial-para-personas-con-discapacidad-se-instalar%C3%A1-el-25-de-febrero</w:t>
        </w:r>
      </w:hyperlink>
      <w:r>
        <w:rPr>
          <w:rFonts w:ascii="Calibri" w:eastAsia="Calibri" w:hAnsi="Calibri" w:cs="Calibri"/>
        </w:rPr>
        <w:t xml:space="preserve"> / </w:t>
      </w:r>
    </w:p>
  </w:footnote>
  <w:footnote w:id="9">
    <w:p w14:paraId="370AC39E"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Confederación de Sordos de Venezuela (2019). Informe Diagnóstico proyecto: Comunidad Sorda Activa a través de la Formación en Derechos y Movimientos Asociativos. Consultado en: junio, 2019. Disponible en: </w:t>
      </w:r>
      <w:hyperlink r:id="rId12">
        <w:r>
          <w:rPr>
            <w:rFonts w:ascii="Calibri" w:eastAsia="Calibri" w:hAnsi="Calibri" w:cs="Calibri"/>
            <w:color w:val="0000FF"/>
            <w:u w:val="single"/>
          </w:rPr>
          <w:t>https://drive.google.com/file/d/13uqaYjWZ-QCaECB3T1L_-o7KSnJUZMlR/view?usp=sharing</w:t>
        </w:r>
      </w:hyperlink>
      <w:r>
        <w:rPr>
          <w:rFonts w:ascii="Calibri" w:eastAsia="Calibri" w:hAnsi="Calibri" w:cs="Calibri"/>
          <w:color w:val="000000"/>
        </w:rPr>
        <w:t xml:space="preserve"> </w:t>
      </w:r>
    </w:p>
  </w:footnote>
  <w:footnote w:id="10">
    <w:p w14:paraId="32FF497C" w14:textId="77777777" w:rsidR="00565A9E" w:rsidRDefault="00565A9E">
      <w:pPr>
        <w:pBdr>
          <w:top w:val="nil"/>
          <w:left w:val="nil"/>
          <w:bottom w:val="nil"/>
          <w:right w:val="nil"/>
          <w:between w:val="nil"/>
        </w:pBdr>
        <w:rPr>
          <w:rFonts w:ascii="Calibri" w:eastAsia="Calibri" w:hAnsi="Calibri" w:cs="Calibri"/>
          <w:color w:val="000000"/>
        </w:rPr>
      </w:pPr>
      <w:bookmarkStart w:id="5" w:name="_3znysh7" w:colFirst="0" w:colLast="0"/>
      <w:bookmarkEnd w:id="5"/>
      <w:r>
        <w:rPr>
          <w:vertAlign w:val="superscript"/>
        </w:rPr>
        <w:footnoteRef/>
      </w:r>
      <w:r>
        <w:rPr>
          <w:rFonts w:ascii="Calibri" w:eastAsia="Calibri" w:hAnsi="Calibri" w:cs="Calibri"/>
          <w:color w:val="000000"/>
        </w:rPr>
        <w:t xml:space="preserve"> Inspección CONAPDIS. Disponible en: </w:t>
      </w:r>
      <w:hyperlink r:id="rId13">
        <w:r>
          <w:rPr>
            <w:rFonts w:ascii="Calibri" w:eastAsia="Calibri" w:hAnsi="Calibri" w:cs="Calibri"/>
            <w:color w:val="0000FF"/>
            <w:u w:val="single"/>
          </w:rPr>
          <w:t>https://twitter.com/inspeccionc?lang=es</w:t>
        </w:r>
      </w:hyperlink>
    </w:p>
  </w:footnote>
  <w:footnote w:id="11">
    <w:p w14:paraId="06B2DFA9" w14:textId="77777777" w:rsidR="00565A9E" w:rsidRDefault="00565A9E">
      <w:pPr>
        <w:pBdr>
          <w:top w:val="nil"/>
          <w:left w:val="nil"/>
          <w:bottom w:val="nil"/>
          <w:right w:val="nil"/>
          <w:between w:val="nil"/>
        </w:pBdr>
        <w:rPr>
          <w:rFonts w:ascii="Calibri" w:eastAsia="Calibri" w:hAnsi="Calibri" w:cs="Calibri"/>
          <w:color w:val="000000"/>
        </w:rPr>
      </w:pPr>
      <w:bookmarkStart w:id="6" w:name="_2et92p0" w:colFirst="0" w:colLast="0"/>
      <w:bookmarkEnd w:id="6"/>
      <w:r>
        <w:rPr>
          <w:vertAlign w:val="superscript"/>
        </w:rPr>
        <w:footnoteRef/>
      </w:r>
      <w:r>
        <w:rPr>
          <w:rFonts w:ascii="Calibri" w:eastAsia="Calibri" w:hAnsi="Calibri" w:cs="Calibri"/>
          <w:color w:val="000000"/>
        </w:rPr>
        <w:t xml:space="preserve"> Denuncias o quejas CONAPDIS. Disponible en: </w:t>
      </w:r>
      <w:hyperlink r:id="rId14">
        <w:r>
          <w:rPr>
            <w:rFonts w:ascii="Calibri" w:eastAsia="Calibri" w:hAnsi="Calibri" w:cs="Calibri"/>
            <w:color w:val="0000FF"/>
            <w:u w:val="single"/>
          </w:rPr>
          <w:t>https://www.facebook.com/Conapdis/photos/tienes-alguna-queja-consulta-o-denuncia-ahora-puedes-hacerlo-a-trav%C3%A9s-de-la-cuen/1344709902286982/</w:t>
        </w:r>
      </w:hyperlink>
      <w:r>
        <w:rPr>
          <w:rFonts w:ascii="Calibri" w:eastAsia="Calibri" w:hAnsi="Calibri" w:cs="Calibri"/>
          <w:color w:val="000000"/>
        </w:rPr>
        <w:t xml:space="preserve">  / </w:t>
      </w:r>
      <w:r w:rsidRPr="00A215A9">
        <w:rPr>
          <w:rFonts w:ascii="Calibri" w:eastAsia="Calibri" w:hAnsi="Calibri" w:cs="Calibri"/>
          <w:color w:val="000000"/>
        </w:rPr>
        <w:t>https://drive.google.com/file/d/1b8JHhLoDQ77ryTIRTtEhZYk95N8XfaVC/view?usp=sharing</w:t>
      </w:r>
      <w:r>
        <w:rPr>
          <w:rFonts w:ascii="Calibri" w:eastAsia="Calibri" w:hAnsi="Calibri" w:cs="Calibri"/>
          <w:color w:val="000000"/>
        </w:rPr>
        <w:t xml:space="preserve"> </w:t>
      </w:r>
    </w:p>
  </w:footnote>
  <w:footnote w:id="12">
    <w:p w14:paraId="173B000F" w14:textId="77777777" w:rsidR="00565A9E" w:rsidRDefault="00565A9E">
      <w:pPr>
        <w:pBdr>
          <w:top w:val="nil"/>
          <w:left w:val="nil"/>
          <w:bottom w:val="nil"/>
          <w:right w:val="nil"/>
          <w:between w:val="nil"/>
        </w:pBdr>
        <w:rPr>
          <w:rFonts w:ascii="Calibri" w:eastAsia="Calibri" w:hAnsi="Calibri" w:cs="Calibri"/>
          <w:color w:val="000000"/>
        </w:rPr>
      </w:pPr>
      <w:bookmarkStart w:id="7" w:name="_tyjcwt" w:colFirst="0" w:colLast="0"/>
      <w:bookmarkEnd w:id="7"/>
      <w:r>
        <w:rPr>
          <w:vertAlign w:val="superscript"/>
        </w:rPr>
        <w:footnoteRef/>
      </w:r>
      <w:r>
        <w:rPr>
          <w:rFonts w:ascii="Calibri" w:eastAsia="Calibri" w:hAnsi="Calibri" w:cs="Calibri"/>
          <w:color w:val="000000"/>
        </w:rPr>
        <w:t xml:space="preserve"> Plan para la Igualdad y equidad de Género. Disponible en: </w:t>
      </w:r>
      <w:hyperlink r:id="rId15">
        <w:r>
          <w:rPr>
            <w:rFonts w:ascii="Calibri" w:eastAsia="Calibri" w:hAnsi="Calibri" w:cs="Calibri"/>
            <w:color w:val="0000FF"/>
            <w:u w:val="single"/>
          </w:rPr>
          <w:t>http://www.leyresorte.gob.ve/wp-content/uploads/2017/03/MinMujer-Publicaciones-2014-10-07-05_12_04-Plan-para-la-Igualdad-y-Equidad-de-G%C3%A9nero-quotMam%C3%A1-Rosaquot-2013-2019.pdf</w:t>
        </w:r>
      </w:hyperlink>
    </w:p>
  </w:footnote>
  <w:footnote w:id="13">
    <w:p w14:paraId="4D7DF2A0" w14:textId="77777777" w:rsidR="00565A9E" w:rsidRDefault="00565A9E">
      <w:pPr>
        <w:pBdr>
          <w:top w:val="nil"/>
          <w:left w:val="nil"/>
          <w:bottom w:val="nil"/>
          <w:right w:val="nil"/>
          <w:between w:val="nil"/>
        </w:pBdr>
        <w:rPr>
          <w:rFonts w:ascii="Calibri" w:eastAsia="Calibri" w:hAnsi="Calibri" w:cs="Calibri"/>
          <w:color w:val="000000"/>
        </w:rPr>
      </w:pPr>
      <w:bookmarkStart w:id="8" w:name="_3dy6vkm" w:colFirst="0" w:colLast="0"/>
      <w:bookmarkEnd w:id="8"/>
      <w:r>
        <w:rPr>
          <w:vertAlign w:val="superscript"/>
        </w:rPr>
        <w:footnoteRef/>
      </w:r>
      <w:r>
        <w:rPr>
          <w:rFonts w:ascii="Calibri" w:eastAsia="Calibri" w:hAnsi="Calibri" w:cs="Calibri"/>
          <w:color w:val="000000"/>
        </w:rPr>
        <w:t xml:space="preserve"> Defensoría del Pueblo, Viceministerio de la Suprema Felicidad e </w:t>
      </w:r>
      <w:proofErr w:type="spellStart"/>
      <w:r>
        <w:rPr>
          <w:rFonts w:ascii="Calibri" w:eastAsia="Calibri" w:hAnsi="Calibri" w:cs="Calibri"/>
          <w:color w:val="000000"/>
        </w:rPr>
        <w:t>Idenna</w:t>
      </w:r>
      <w:proofErr w:type="spellEnd"/>
      <w:r>
        <w:rPr>
          <w:rFonts w:ascii="Calibri" w:eastAsia="Calibri" w:hAnsi="Calibri" w:cs="Calibri"/>
          <w:color w:val="000000"/>
        </w:rPr>
        <w:t xml:space="preserve">. Disponible en: </w:t>
      </w:r>
      <w:hyperlink r:id="rId16">
        <w:r>
          <w:rPr>
            <w:rFonts w:ascii="Calibri" w:eastAsia="Calibri" w:hAnsi="Calibri" w:cs="Calibri"/>
            <w:color w:val="0000FF"/>
            <w:u w:val="single"/>
          </w:rPr>
          <w:t>https://twitter.com/Defensoria_Vzla/status/1222526818160300033</w:t>
        </w:r>
      </w:hyperlink>
    </w:p>
  </w:footnote>
  <w:footnote w:id="14">
    <w:p w14:paraId="73D1C049"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Programa de Orientación Familiar. Disponible en: </w:t>
      </w:r>
      <w:hyperlink r:id="rId17">
        <w:r>
          <w:rPr>
            <w:rFonts w:ascii="Calibri" w:eastAsia="Calibri" w:hAnsi="Calibri" w:cs="Calibri"/>
            <w:color w:val="0000FF"/>
            <w:u w:val="single"/>
          </w:rPr>
          <w:t>https://www.facebook.com/Conapdis/photos/a.131768143581170/2498394406918520/?type=3&amp;theater</w:t>
        </w:r>
      </w:hyperlink>
    </w:p>
  </w:footnote>
  <w:footnote w:id="15">
    <w:p w14:paraId="50CA9A64"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Ministerio Público. Buscador de denuncias. Disponible en: </w:t>
      </w:r>
      <w:hyperlink r:id="rId18">
        <w:r>
          <w:rPr>
            <w:rFonts w:ascii="Calibri" w:eastAsia="Calibri" w:hAnsi="Calibri" w:cs="Calibri"/>
            <w:color w:val="0000FF"/>
            <w:u w:val="single"/>
          </w:rPr>
          <w:t>http://www.mp.gob.ve/web/guest/buscador?p_p_id=77&amp;p_p_lifecycle=0&amp;p_p_state=maximized&amp;p_p_mode=view&amp;p_p_col_id=column-1&amp;p_p_col_count=1&amp;_77_struts_action=%2Fjournal_content_search%2Fsearch</w:t>
        </w:r>
      </w:hyperlink>
    </w:p>
  </w:footnote>
  <w:footnote w:id="16">
    <w:p w14:paraId="0791E17F"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Diplomado en Lengua de Señas Venezolana. Disponible en: </w:t>
      </w:r>
      <w:hyperlink r:id="rId19">
        <w:r>
          <w:rPr>
            <w:rFonts w:ascii="Calibri" w:eastAsia="Calibri" w:hAnsi="Calibri" w:cs="Calibri"/>
            <w:color w:val="0000FF"/>
            <w:u w:val="single"/>
          </w:rPr>
          <w:t>http://www.presidencia.gob.ve/Site/Web/Principal/paginas/classMostrarEvento3.php?id_evento=13452</w:t>
        </w:r>
      </w:hyperlink>
    </w:p>
  </w:footnote>
  <w:footnote w:id="17">
    <w:p w14:paraId="02847F96"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Taller de Trato Adecuado hacia las </w:t>
      </w:r>
      <w:proofErr w:type="spellStart"/>
      <w:r>
        <w:rPr>
          <w:rFonts w:ascii="Calibri" w:eastAsia="Calibri" w:hAnsi="Calibri" w:cs="Calibri"/>
          <w:color w:val="000000"/>
        </w:rPr>
        <w:t>PcD</w:t>
      </w:r>
      <w:proofErr w:type="spellEnd"/>
      <w:r>
        <w:rPr>
          <w:rFonts w:ascii="Calibri" w:eastAsia="Calibri" w:hAnsi="Calibri" w:cs="Calibri"/>
          <w:color w:val="000000"/>
        </w:rPr>
        <w:t xml:space="preserve">. Disponible en: </w:t>
      </w:r>
      <w:hyperlink r:id="rId20">
        <w:r>
          <w:rPr>
            <w:rFonts w:ascii="Calibri" w:eastAsia="Calibri" w:hAnsi="Calibri" w:cs="Calibri"/>
            <w:color w:val="0000FF"/>
            <w:u w:val="single"/>
          </w:rPr>
          <w:t>https://espromedbio.gob.ve/taller-trato-adecuado-a-personas-con-discapacidad/</w:t>
        </w:r>
      </w:hyperlink>
    </w:p>
  </w:footnote>
  <w:footnote w:id="18">
    <w:p w14:paraId="301F44AE"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Curso Derechos Humanos de las </w:t>
      </w:r>
      <w:proofErr w:type="spellStart"/>
      <w:r>
        <w:rPr>
          <w:rFonts w:ascii="Calibri" w:eastAsia="Calibri" w:hAnsi="Calibri" w:cs="Calibri"/>
          <w:color w:val="000000"/>
        </w:rPr>
        <w:t>PcD</w:t>
      </w:r>
      <w:proofErr w:type="spellEnd"/>
      <w:r>
        <w:rPr>
          <w:rFonts w:ascii="Calibri" w:eastAsia="Calibri" w:hAnsi="Calibri" w:cs="Calibri"/>
          <w:color w:val="000000"/>
        </w:rPr>
        <w:t xml:space="preserve">. Disponible en:  </w:t>
      </w:r>
      <w:hyperlink r:id="rId21">
        <w:r>
          <w:rPr>
            <w:rFonts w:ascii="Calibri" w:eastAsia="Calibri" w:hAnsi="Calibri" w:cs="Calibri"/>
            <w:color w:val="0000FF"/>
            <w:u w:val="single"/>
          </w:rPr>
          <w:t>http://www.defensoria.gob.ve/zona-informativa/noticias/12-centrales/1194-enddhh-certifico-a-50-participantes-de-cursos-y-diplomados-en-ddhh-de-las-personas-con-discapacidad.html</w:t>
        </w:r>
      </w:hyperlink>
      <w:r>
        <w:rPr>
          <w:rFonts w:ascii="Calibri" w:eastAsia="Calibri" w:hAnsi="Calibri" w:cs="Calibri"/>
          <w:color w:val="000000"/>
        </w:rPr>
        <w:t xml:space="preserve"> </w:t>
      </w:r>
    </w:p>
  </w:footnote>
  <w:footnote w:id="19">
    <w:p w14:paraId="3A9AA0FA"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Diplomado en Educación Especial. Disponible en: </w:t>
      </w:r>
      <w:hyperlink r:id="rId22">
        <w:r>
          <w:rPr>
            <w:rFonts w:ascii="Calibri" w:eastAsia="Calibri" w:hAnsi="Calibri" w:cs="Calibri"/>
            <w:color w:val="0000FF"/>
            <w:u w:val="single"/>
          </w:rPr>
          <w:t>https://soynuevaprensadigital.com/npd/realizan-diplomado-de-educacion-especial-en-el-c-a-i-p-a/</w:t>
        </w:r>
      </w:hyperlink>
    </w:p>
  </w:footnote>
  <w:footnote w:id="20">
    <w:p w14:paraId="591E7887"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Venezuela celebra Día Internacional de la Discapacidad. Disponible en: </w:t>
      </w:r>
      <w:hyperlink r:id="rId23">
        <w:r>
          <w:rPr>
            <w:rFonts w:ascii="Calibri" w:eastAsia="Calibri" w:hAnsi="Calibri" w:cs="Calibri"/>
            <w:color w:val="0000FF"/>
            <w:u w:val="single"/>
          </w:rPr>
          <w:t>http://www.ine.gov.ve/index.php?option=com_content&amp;view=article&amp;id=1450:dia-internacional-de-las-personas-con-discapacidad-3-de-diciembre&amp;catid=154:efemerides</w:t>
        </w:r>
      </w:hyperlink>
      <w:r>
        <w:rPr>
          <w:rFonts w:ascii="Calibri" w:eastAsia="Calibri" w:hAnsi="Calibri" w:cs="Calibri"/>
          <w:color w:val="000000"/>
        </w:rPr>
        <w:t xml:space="preserve"> / </w:t>
      </w:r>
      <w:hyperlink r:id="rId24">
        <w:r>
          <w:rPr>
            <w:rFonts w:ascii="Calibri" w:eastAsia="Calibri" w:hAnsi="Calibri" w:cs="Calibri"/>
            <w:color w:val="0000FF"/>
            <w:u w:val="single"/>
          </w:rPr>
          <w:t>https://www.vtv.gob.ve/inclusion-social-personas-discapacidad/</w:t>
        </w:r>
      </w:hyperlink>
    </w:p>
  </w:footnote>
  <w:footnote w:id="21">
    <w:p w14:paraId="0102A77E"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Cómo sacar el certificado de discapacidad para sacar el bono de la patria. Disponible en: </w:t>
      </w:r>
      <w:hyperlink r:id="rId25">
        <w:r>
          <w:rPr>
            <w:rFonts w:ascii="Calibri" w:eastAsia="Calibri" w:hAnsi="Calibri" w:cs="Calibri"/>
            <w:color w:val="0000FF"/>
            <w:u w:val="single"/>
          </w:rPr>
          <w:t>https://talcualdigital.com/como-sacar-el-certificado-de-discapacidad-para-cobrar-los-bonos-de-la-patria/</w:t>
        </w:r>
      </w:hyperlink>
      <w:r>
        <w:rPr>
          <w:rFonts w:ascii="Calibri" w:eastAsia="Calibri" w:hAnsi="Calibri" w:cs="Calibri"/>
          <w:color w:val="000000"/>
        </w:rPr>
        <w:t xml:space="preserve"> </w:t>
      </w:r>
    </w:p>
  </w:footnote>
  <w:footnote w:id="22">
    <w:p w14:paraId="5DE03515"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Página web CONAPDIS: </w:t>
      </w:r>
      <w:hyperlink r:id="rId26">
        <w:r>
          <w:rPr>
            <w:rFonts w:ascii="Calibri" w:eastAsia="Calibri" w:hAnsi="Calibri" w:cs="Calibri"/>
            <w:color w:val="0000FF"/>
            <w:u w:val="single"/>
          </w:rPr>
          <w:t>http://www.conapdis.gob.ve/</w:t>
        </w:r>
      </w:hyperlink>
    </w:p>
  </w:footnote>
  <w:footnote w:id="23">
    <w:p w14:paraId="7D615C30" w14:textId="77777777" w:rsidR="00565A9E" w:rsidRDefault="00565A9E">
      <w:pPr>
        <w:pBdr>
          <w:top w:val="nil"/>
          <w:left w:val="nil"/>
          <w:bottom w:val="nil"/>
          <w:right w:val="nil"/>
          <w:between w:val="nil"/>
        </w:pBdr>
        <w:rPr>
          <w:rFonts w:ascii="Calibri" w:eastAsia="Calibri" w:hAnsi="Calibri" w:cs="Calibri"/>
          <w:color w:val="000000"/>
        </w:rPr>
      </w:pPr>
      <w:bookmarkStart w:id="9" w:name="_1t3h5sf" w:colFirst="0" w:colLast="0"/>
      <w:bookmarkEnd w:id="9"/>
      <w:r>
        <w:rPr>
          <w:vertAlign w:val="superscript"/>
        </w:rPr>
        <w:footnoteRef/>
      </w:r>
      <w:r>
        <w:rPr>
          <w:rFonts w:ascii="Calibri" w:eastAsia="Calibri" w:hAnsi="Calibri" w:cs="Calibri"/>
          <w:color w:val="000000"/>
        </w:rPr>
        <w:t xml:space="preserve"> Tratado de Marrakech. Disponible en: </w:t>
      </w:r>
      <w:hyperlink r:id="rId27">
        <w:r>
          <w:rPr>
            <w:rFonts w:ascii="Calibri" w:eastAsia="Calibri" w:hAnsi="Calibri" w:cs="Calibri"/>
            <w:color w:val="0000FF"/>
            <w:u w:val="single"/>
          </w:rPr>
          <w:t>https://www.ipclick.com.ve/2016/10/tratado-marrakech-preguntas-respuestas/</w:t>
        </w:r>
      </w:hyperlink>
    </w:p>
  </w:footnote>
  <w:footnote w:id="24">
    <w:p w14:paraId="1B1AA8E2"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Solicitud de adhesión al Tratado de Marrakech de la Sociedad de Ciegos de Venezuela. Disponible en. </w:t>
      </w:r>
      <w:hyperlink r:id="rId28">
        <w:r>
          <w:rPr>
            <w:rFonts w:ascii="Calibri" w:eastAsia="Calibri" w:hAnsi="Calibri" w:cs="Calibri"/>
            <w:color w:val="0000FF"/>
            <w:u w:val="single"/>
          </w:rPr>
          <w:t>https://www.ciegosvenezuela.com/2016/adhesion-de-venezuela-a-tratado-de-marrakech-espera-por-la-procuraduria/</w:t>
        </w:r>
      </w:hyperlink>
    </w:p>
  </w:footnote>
  <w:footnote w:id="25">
    <w:p w14:paraId="68CD9AED"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Adhesión de Venezuela al Tratado de Marrakech. Disponible en: </w:t>
      </w:r>
      <w:hyperlink r:id="rId29">
        <w:r>
          <w:rPr>
            <w:rFonts w:ascii="Calibri" w:eastAsia="Calibri" w:hAnsi="Calibri" w:cs="Calibri"/>
            <w:color w:val="0000FF"/>
            <w:u w:val="single"/>
          </w:rPr>
          <w:t>https://www.eluniversal.com/el-universal/37346/la-accesibilidad-en-el-informe-del-2015</w:t>
        </w:r>
      </w:hyperlink>
    </w:p>
  </w:footnote>
  <w:footnote w:id="26">
    <w:p w14:paraId="32BD521C"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Adhesión de Venezuela al Tratado de Marrakech. Disponible en: </w:t>
      </w:r>
      <w:hyperlink r:id="rId30">
        <w:r>
          <w:rPr>
            <w:rFonts w:ascii="Calibri" w:eastAsia="Calibri" w:hAnsi="Calibri" w:cs="Calibri"/>
            <w:color w:val="0000FF"/>
            <w:u w:val="single"/>
          </w:rPr>
          <w:t>https://ecosdeltorbes.net/consorven-celebra-adhesion-de-venezuela-al-tratado-de-marrakech/</w:t>
        </w:r>
      </w:hyperlink>
    </w:p>
  </w:footnote>
  <w:footnote w:id="27">
    <w:p w14:paraId="2403D81C"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Adhesión de Venezuela al Tratado de Marrakech. Disponible en: </w:t>
      </w:r>
      <w:hyperlink r:id="rId31">
        <w:r>
          <w:rPr>
            <w:rFonts w:ascii="Calibri" w:eastAsia="Calibri" w:hAnsi="Calibri" w:cs="Calibri"/>
            <w:color w:val="0000FF"/>
            <w:u w:val="single"/>
          </w:rPr>
          <w:t>http://www.ultimasnoticias.com.ve/noticias/economia/venezuela-se-adhiere-al-tratado-de-marrakech-de-la-ompi/</w:t>
        </w:r>
      </w:hyperlink>
    </w:p>
  </w:footnote>
  <w:footnote w:id="28">
    <w:p w14:paraId="42867F24" w14:textId="77777777" w:rsidR="00565A9E" w:rsidRDefault="00565A9E">
      <w:pPr>
        <w:pBdr>
          <w:top w:val="nil"/>
          <w:left w:val="nil"/>
          <w:bottom w:val="nil"/>
          <w:right w:val="nil"/>
          <w:between w:val="nil"/>
        </w:pBdr>
        <w:rPr>
          <w:rFonts w:ascii="Calibri" w:eastAsia="Calibri" w:hAnsi="Calibri" w:cs="Calibri"/>
          <w:color w:val="000000"/>
        </w:rPr>
      </w:pPr>
      <w:bookmarkStart w:id="10" w:name="_4d34og8" w:colFirst="0" w:colLast="0"/>
      <w:bookmarkEnd w:id="10"/>
      <w:r>
        <w:rPr>
          <w:vertAlign w:val="superscript"/>
        </w:rPr>
        <w:footnoteRef/>
      </w:r>
      <w:r>
        <w:rPr>
          <w:rFonts w:ascii="Calibri" w:eastAsia="Calibri" w:hAnsi="Calibri" w:cs="Calibri"/>
          <w:color w:val="000000"/>
        </w:rPr>
        <w:t xml:space="preserve"> Tratados administrados por la OMPI. Disponible en: </w:t>
      </w:r>
      <w:hyperlink r:id="rId32">
        <w:r>
          <w:rPr>
            <w:rFonts w:ascii="Calibri" w:eastAsia="Calibri" w:hAnsi="Calibri" w:cs="Calibri"/>
            <w:color w:val="0000FF"/>
            <w:u w:val="single"/>
          </w:rPr>
          <w:t>https://www.wipo.int/treaties/es/ShowResults.jsp?treaty_id=843</w:t>
        </w:r>
      </w:hyperlink>
    </w:p>
  </w:footnote>
  <w:footnote w:id="29">
    <w:p w14:paraId="3CC8612B" w14:textId="77777777" w:rsidR="00565A9E" w:rsidRDefault="00565A9E">
      <w:pPr>
        <w:pBdr>
          <w:top w:val="nil"/>
          <w:left w:val="nil"/>
          <w:bottom w:val="nil"/>
          <w:right w:val="nil"/>
          <w:between w:val="nil"/>
        </w:pBdr>
        <w:rPr>
          <w:rFonts w:ascii="Calibri" w:eastAsia="Calibri" w:hAnsi="Calibri" w:cs="Calibri"/>
          <w:color w:val="000000"/>
        </w:rPr>
      </w:pPr>
      <w:bookmarkStart w:id="11" w:name="_2s8eyo1" w:colFirst="0" w:colLast="0"/>
      <w:bookmarkEnd w:id="11"/>
      <w:r>
        <w:rPr>
          <w:vertAlign w:val="superscript"/>
        </w:rPr>
        <w:footnoteRef/>
      </w:r>
      <w:r>
        <w:rPr>
          <w:rFonts w:ascii="Calibri" w:eastAsia="Calibri" w:hAnsi="Calibri" w:cs="Calibri"/>
          <w:color w:val="000000"/>
        </w:rPr>
        <w:t xml:space="preserve"> Servicios de SENACOA. Disponible en: </w:t>
      </w:r>
      <w:hyperlink r:id="rId33">
        <w:r>
          <w:rPr>
            <w:rFonts w:ascii="Calibri" w:eastAsia="Calibri" w:hAnsi="Calibri" w:cs="Calibri"/>
            <w:color w:val="0000FF"/>
            <w:u w:val="single"/>
          </w:rPr>
          <w:t>https://twitter.com/Conapdis/status/1222885469115092992</w:t>
        </w:r>
      </w:hyperlink>
    </w:p>
  </w:footnote>
  <w:footnote w:id="30">
    <w:p w14:paraId="6E448755" w14:textId="77777777" w:rsidR="00565A9E" w:rsidRDefault="00565A9E">
      <w:pPr>
        <w:pBdr>
          <w:top w:val="nil"/>
          <w:left w:val="nil"/>
          <w:bottom w:val="nil"/>
          <w:right w:val="nil"/>
          <w:between w:val="nil"/>
        </w:pBdr>
        <w:rPr>
          <w:rFonts w:ascii="Calibri" w:eastAsia="Calibri" w:hAnsi="Calibri" w:cs="Calibri"/>
          <w:color w:val="000000"/>
        </w:rPr>
      </w:pPr>
      <w:bookmarkStart w:id="12" w:name="_17dp8vu" w:colFirst="0" w:colLast="0"/>
      <w:bookmarkEnd w:id="12"/>
      <w:r>
        <w:rPr>
          <w:vertAlign w:val="superscript"/>
        </w:rPr>
        <w:footnoteRef/>
      </w:r>
      <w:r>
        <w:rPr>
          <w:rFonts w:ascii="Calibri" w:eastAsia="Calibri" w:hAnsi="Calibri" w:cs="Calibri"/>
          <w:color w:val="000000"/>
        </w:rPr>
        <w:t xml:space="preserve">Registro SENACOA. Disponible en: </w:t>
      </w:r>
      <w:hyperlink r:id="rId34">
        <w:r>
          <w:rPr>
            <w:rFonts w:ascii="Calibri" w:eastAsia="Calibri" w:hAnsi="Calibri" w:cs="Calibri"/>
            <w:color w:val="0000FF"/>
            <w:u w:val="single"/>
          </w:rPr>
          <w:t>http://www.conapdis.gob.ve/registro_senacoa/</w:t>
        </w:r>
      </w:hyperlink>
    </w:p>
  </w:footnote>
  <w:footnote w:id="31">
    <w:p w14:paraId="5608CA7A"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Resultados de sistematización de datos del Estudio de la Alianza sobre Accesibilidad y Derechos de las Personas con Discapacidad y Organizaciones no gubernamentales de </w:t>
      </w:r>
      <w:proofErr w:type="spellStart"/>
      <w:r>
        <w:rPr>
          <w:rFonts w:ascii="Calibri" w:eastAsia="Calibri" w:hAnsi="Calibri" w:cs="Calibri"/>
          <w:color w:val="000000"/>
        </w:rPr>
        <w:t>PcD</w:t>
      </w:r>
      <w:proofErr w:type="spellEnd"/>
      <w:r>
        <w:rPr>
          <w:rFonts w:ascii="Calibri" w:eastAsia="Calibri" w:hAnsi="Calibri" w:cs="Calibri"/>
          <w:color w:val="000000"/>
        </w:rPr>
        <w:t xml:space="preserve"> (EADH). Disponible en: </w:t>
      </w:r>
      <w:hyperlink r:id="rId35">
        <w:r>
          <w:rPr>
            <w:rFonts w:ascii="Calibri" w:eastAsia="Calibri" w:hAnsi="Calibri" w:cs="Calibri"/>
            <w:color w:val="0000FF"/>
            <w:u w:val="single"/>
          </w:rPr>
          <w:t>https://drive.google.com/file/d/1ofR0lbBNhTgmWUbaojhw-e7U-dkc78vR/view?usp=sharing</w:t>
        </w:r>
      </w:hyperlink>
    </w:p>
  </w:footnote>
  <w:footnote w:id="32">
    <w:p w14:paraId="2A4C9B3D"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Programa Ciencia en Señas. Disponible en: </w:t>
      </w:r>
      <w:hyperlink r:id="rId36">
        <w:r>
          <w:rPr>
            <w:rFonts w:ascii="Calibri" w:eastAsia="Calibri" w:hAnsi="Calibri" w:cs="Calibri"/>
            <w:color w:val="0000FF"/>
            <w:u w:val="single"/>
          </w:rPr>
          <w:t>http://www.cida.gob.ve/webcida/index.php/actividades-divulgativas/ciencia-en-senas</w:t>
        </w:r>
      </w:hyperlink>
    </w:p>
  </w:footnote>
  <w:footnote w:id="33">
    <w:p w14:paraId="57EC42BC"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Resultados de sistematización de datos del Estudio de la Alianza sobre Accesibilidad y Derechos de las Personas con Discapacidad y Organizaciones no gubernamentales de </w:t>
      </w:r>
      <w:proofErr w:type="spellStart"/>
      <w:r>
        <w:rPr>
          <w:rFonts w:ascii="Calibri" w:eastAsia="Calibri" w:hAnsi="Calibri" w:cs="Calibri"/>
          <w:color w:val="000000"/>
        </w:rPr>
        <w:t>PcD</w:t>
      </w:r>
      <w:proofErr w:type="spellEnd"/>
      <w:r>
        <w:rPr>
          <w:rFonts w:ascii="Calibri" w:eastAsia="Calibri" w:hAnsi="Calibri" w:cs="Calibri"/>
          <w:color w:val="000000"/>
        </w:rPr>
        <w:t xml:space="preserve"> (EADH). Disponible en: </w:t>
      </w:r>
      <w:hyperlink r:id="rId37">
        <w:r>
          <w:rPr>
            <w:rFonts w:ascii="Calibri" w:eastAsia="Calibri" w:hAnsi="Calibri" w:cs="Calibri"/>
            <w:color w:val="0000FF"/>
            <w:u w:val="single"/>
          </w:rPr>
          <w:t>https://drive.google.com/file/d/1ofR0lbBNhTgmWUbaojhw-e7U-dkc78vR/view?usp=sharing</w:t>
        </w:r>
      </w:hyperlink>
    </w:p>
  </w:footnote>
  <w:footnote w:id="34">
    <w:p w14:paraId="1DC8FC64" w14:textId="77777777" w:rsidR="00565A9E" w:rsidRDefault="00565A9E">
      <w:pPr>
        <w:pBdr>
          <w:top w:val="nil"/>
          <w:left w:val="nil"/>
          <w:bottom w:val="nil"/>
          <w:right w:val="nil"/>
          <w:between w:val="nil"/>
        </w:pBdr>
        <w:rPr>
          <w:rFonts w:ascii="Calibri" w:eastAsia="Calibri" w:hAnsi="Calibri" w:cs="Calibri"/>
          <w:color w:val="000000"/>
        </w:rPr>
      </w:pPr>
      <w:bookmarkStart w:id="13" w:name="_3rdcrjn" w:colFirst="0" w:colLast="0"/>
      <w:bookmarkEnd w:id="13"/>
      <w:r>
        <w:rPr>
          <w:vertAlign w:val="superscript"/>
        </w:rPr>
        <w:footnoteRef/>
      </w:r>
      <w:r>
        <w:rPr>
          <w:rFonts w:ascii="Calibri" w:eastAsia="Calibri" w:hAnsi="Calibri" w:cs="Calibri"/>
          <w:color w:val="000000"/>
        </w:rPr>
        <w:t xml:space="preserve"> Confederación de Sordos de Venezuela (2019). Monitoreo de la Convención Internacional sobre los Derechos de las Personas con Discapacidad. Caracas, Venezuela. Consultado en: abril, 2019. Disponible en: </w:t>
      </w:r>
      <w:hyperlink r:id="rId38">
        <w:r>
          <w:rPr>
            <w:rFonts w:ascii="Calibri" w:eastAsia="Calibri" w:hAnsi="Calibri" w:cs="Calibri"/>
            <w:color w:val="0000FF"/>
            <w:u w:val="single"/>
          </w:rPr>
          <w:t>https://drive.google.com/file/d/1ZylqVM9cRL3_TXMZ-GMTd_tGR9i99CGa/view?usp=sharing</w:t>
        </w:r>
      </w:hyperlink>
    </w:p>
  </w:footnote>
  <w:footnote w:id="35">
    <w:p w14:paraId="428756DA"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Allanamiento a sede de </w:t>
      </w:r>
      <w:proofErr w:type="spellStart"/>
      <w:r>
        <w:rPr>
          <w:rFonts w:ascii="Calibri" w:eastAsia="Calibri" w:hAnsi="Calibri" w:cs="Calibri"/>
          <w:color w:val="000000"/>
        </w:rPr>
        <w:t>Prepara</w:t>
      </w:r>
      <w:proofErr w:type="spellEnd"/>
      <w:r>
        <w:rPr>
          <w:rFonts w:ascii="Calibri" w:eastAsia="Calibri" w:hAnsi="Calibri" w:cs="Calibri"/>
          <w:color w:val="000000"/>
        </w:rPr>
        <w:t xml:space="preserve"> Familia. Disponible en: </w:t>
      </w:r>
      <w:hyperlink r:id="rId39">
        <w:r>
          <w:rPr>
            <w:rFonts w:ascii="Calibri" w:eastAsia="Calibri" w:hAnsi="Calibri" w:cs="Calibri"/>
            <w:color w:val="0000FF"/>
            <w:u w:val="single"/>
          </w:rPr>
          <w:t>https://www.elnacional.com/venezuela/funcionarios-que-allanaron-la-sede-de-prepara-familia-no-contaban-con-una-orden-judicial/</w:t>
        </w:r>
      </w:hyperlink>
      <w:r>
        <w:rPr>
          <w:rFonts w:ascii="Calibri" w:eastAsia="Calibri" w:hAnsi="Calibri" w:cs="Calibri"/>
          <w:color w:val="000000"/>
        </w:rPr>
        <w:t xml:space="preserve"> </w:t>
      </w:r>
    </w:p>
  </w:footnote>
  <w:footnote w:id="36">
    <w:p w14:paraId="5D1BD0D2"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Venezuela sufre el mayor aumento de malaria en el mundo. Disponible en: </w:t>
      </w:r>
      <w:hyperlink r:id="rId40">
        <w:r>
          <w:rPr>
            <w:rFonts w:ascii="Calibri" w:eastAsia="Calibri" w:hAnsi="Calibri" w:cs="Calibri"/>
            <w:color w:val="0000FF"/>
            <w:u w:val="single"/>
          </w:rPr>
          <w:t>https://elpais.com/elpais/2019/04/16/planeta_futuro/1555402255_653709.html</w:t>
        </w:r>
      </w:hyperlink>
      <w:r>
        <w:rPr>
          <w:rFonts w:ascii="Calibri" w:eastAsia="Calibri" w:hAnsi="Calibri" w:cs="Calibri"/>
          <w:color w:val="000000"/>
        </w:rPr>
        <w:t xml:space="preserve"> ; </w:t>
      </w:r>
      <w:hyperlink r:id="rId41">
        <w:r>
          <w:rPr>
            <w:rFonts w:ascii="Calibri" w:eastAsia="Calibri" w:hAnsi="Calibri" w:cs="Calibri"/>
            <w:color w:val="0000FF"/>
            <w:u w:val="single"/>
          </w:rPr>
          <w:t>http://factor.prodavinci.com/escalademalaria/index.html</w:t>
        </w:r>
      </w:hyperlink>
    </w:p>
  </w:footnote>
  <w:footnote w:id="37">
    <w:p w14:paraId="0F26EA26"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ab/>
        <w:t xml:space="preserve"> Publicada en Gaceta Oficial </w:t>
      </w:r>
      <w:proofErr w:type="spellStart"/>
      <w:r>
        <w:rPr>
          <w:rFonts w:ascii="Calibri" w:eastAsia="Calibri" w:hAnsi="Calibri" w:cs="Calibri"/>
          <w:color w:val="000000"/>
        </w:rPr>
        <w:t>Núm</w:t>
      </w:r>
      <w:proofErr w:type="spellEnd"/>
      <w:r>
        <w:rPr>
          <w:rFonts w:ascii="Calibri" w:eastAsia="Calibri" w:hAnsi="Calibri" w:cs="Calibri"/>
          <w:color w:val="000000"/>
        </w:rPr>
        <w:t xml:space="preserve"> 2.818 Extra. de 1º de julio de 1981.</w:t>
      </w:r>
    </w:p>
  </w:footnote>
  <w:footnote w:id="38">
    <w:p w14:paraId="62F16FD2"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ab/>
        <w:t xml:space="preserve"> Publicada en Gaceta Oficial </w:t>
      </w:r>
      <w:proofErr w:type="spellStart"/>
      <w:r>
        <w:rPr>
          <w:rFonts w:ascii="Calibri" w:eastAsia="Calibri" w:hAnsi="Calibri" w:cs="Calibri"/>
          <w:color w:val="000000"/>
        </w:rPr>
        <w:t>Núm</w:t>
      </w:r>
      <w:proofErr w:type="spellEnd"/>
      <w:r>
        <w:rPr>
          <w:rFonts w:ascii="Calibri" w:eastAsia="Calibri" w:hAnsi="Calibri" w:cs="Calibri"/>
          <w:color w:val="000000"/>
        </w:rPr>
        <w:t xml:space="preserve"> 39.451 de fecha 22 de junio de 2010.</w:t>
      </w:r>
    </w:p>
  </w:footnote>
  <w:footnote w:id="39">
    <w:p w14:paraId="635BB815"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ab/>
        <w:t xml:space="preserve"> Publicada en Gaceta Oficial </w:t>
      </w:r>
      <w:proofErr w:type="spellStart"/>
      <w:r>
        <w:rPr>
          <w:rFonts w:ascii="Calibri" w:eastAsia="Calibri" w:hAnsi="Calibri" w:cs="Calibri"/>
          <w:color w:val="000000"/>
        </w:rPr>
        <w:t>Núm</w:t>
      </w:r>
      <w:proofErr w:type="spellEnd"/>
      <w:r>
        <w:rPr>
          <w:rFonts w:ascii="Calibri" w:eastAsia="Calibri" w:hAnsi="Calibri" w:cs="Calibri"/>
          <w:color w:val="000000"/>
        </w:rPr>
        <w:t xml:space="preserve"> 37.504 Extra. del 13 de agosto de 2011.</w:t>
      </w:r>
    </w:p>
  </w:footnote>
  <w:footnote w:id="40">
    <w:p w14:paraId="50B1F3F1"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Foro Penal. Detenciones arbitrarias. Disponible en: </w:t>
      </w:r>
      <w:r w:rsidRPr="007D53A0">
        <w:rPr>
          <w:rFonts w:ascii="Calibri" w:eastAsia="Calibri" w:hAnsi="Calibri" w:cs="Calibri"/>
          <w:color w:val="000000"/>
        </w:rPr>
        <w:t xml:space="preserve">https://drive.google.com/file/d/1DwfG6ovNNAsfRCEwrNA4fmcxIQFzaHCo/view?usp=sharing   </w:t>
      </w:r>
    </w:p>
  </w:footnote>
  <w:footnote w:id="41">
    <w:p w14:paraId="55E8371F" w14:textId="77777777" w:rsidR="00565A9E" w:rsidRDefault="00565A9E">
      <w:pPr>
        <w:pBdr>
          <w:top w:val="nil"/>
          <w:left w:val="nil"/>
          <w:bottom w:val="nil"/>
          <w:right w:val="nil"/>
          <w:between w:val="nil"/>
        </w:pBdr>
        <w:jc w:val="both"/>
        <w:rPr>
          <w:rFonts w:ascii="Calibri" w:eastAsia="Calibri" w:hAnsi="Calibri" w:cs="Calibri"/>
          <w:color w:val="000000"/>
        </w:rPr>
      </w:pPr>
      <w:r>
        <w:rPr>
          <w:vertAlign w:val="superscript"/>
        </w:rPr>
        <w:footnoteRef/>
      </w:r>
      <w:r>
        <w:rPr>
          <w:rFonts w:ascii="Calibri" w:eastAsia="Calibri" w:hAnsi="Calibri" w:cs="Calibri"/>
          <w:color w:val="000000"/>
        </w:rPr>
        <w:tab/>
        <w:t xml:space="preserve">CIDH. Informe Institucionalidad democrática, Estado de derecho y derechos humanos en Venezuela INFORME DE PAÍS. Doc. 209 de fecha 31 diciembre de 2017. Original en </w:t>
      </w:r>
      <w:proofErr w:type="gramStart"/>
      <w:r>
        <w:rPr>
          <w:rFonts w:ascii="Calibri" w:eastAsia="Calibri" w:hAnsi="Calibri" w:cs="Calibri"/>
          <w:color w:val="000000"/>
        </w:rPr>
        <w:t>Español</w:t>
      </w:r>
      <w:proofErr w:type="gramEnd"/>
      <w:r>
        <w:rPr>
          <w:rFonts w:ascii="Calibri" w:eastAsia="Calibri" w:hAnsi="Calibri" w:cs="Calibri"/>
          <w:color w:val="000000"/>
        </w:rPr>
        <w:t xml:space="preserve">. Disponible en: </w:t>
      </w:r>
      <w:hyperlink r:id="rId42">
        <w:r>
          <w:rPr>
            <w:rFonts w:ascii="Calibri" w:eastAsia="Calibri" w:hAnsi="Calibri" w:cs="Calibri"/>
            <w:color w:val="0000FF"/>
            <w:u w:val="single"/>
          </w:rPr>
          <w:t>https://www.oas.org/es/cidh/informes/pdfs/Venezuela2018-es.pdf</w:t>
        </w:r>
      </w:hyperlink>
      <w:r>
        <w:rPr>
          <w:rFonts w:ascii="Calibri" w:eastAsia="Calibri" w:hAnsi="Calibri" w:cs="Calibri"/>
          <w:color w:val="000000"/>
        </w:rPr>
        <w:t xml:space="preserve"> </w:t>
      </w:r>
    </w:p>
  </w:footnote>
  <w:footnote w:id="42">
    <w:p w14:paraId="4897808B" w14:textId="77777777" w:rsidR="00565A9E" w:rsidRDefault="00565A9E">
      <w:pPr>
        <w:pBdr>
          <w:top w:val="nil"/>
          <w:left w:val="nil"/>
          <w:bottom w:val="nil"/>
          <w:right w:val="nil"/>
          <w:between w:val="nil"/>
        </w:pBdr>
        <w:jc w:val="both"/>
        <w:rPr>
          <w:rFonts w:ascii="Calibri" w:eastAsia="Calibri" w:hAnsi="Calibri" w:cs="Calibri"/>
          <w:color w:val="000000"/>
        </w:rPr>
      </w:pPr>
      <w:r>
        <w:rPr>
          <w:vertAlign w:val="superscript"/>
        </w:rPr>
        <w:footnoteRef/>
      </w:r>
      <w:r>
        <w:rPr>
          <w:rFonts w:ascii="Calibri" w:eastAsia="Calibri" w:hAnsi="Calibri" w:cs="Calibri"/>
          <w:color w:val="000000"/>
        </w:rPr>
        <w:tab/>
        <w:t xml:space="preserve">ACNUDH. Informe de la Alta Comisionada de las Naciones Unidas para los Derechos Humanos sobre la situación de los derechos humanos en la República Bolivariana de Venezuela. Publicado el 4 de julio de 2019. Disponible en: </w:t>
      </w:r>
      <w:hyperlink r:id="rId43">
        <w:r>
          <w:rPr>
            <w:rFonts w:ascii="Calibri" w:eastAsia="Calibri" w:hAnsi="Calibri" w:cs="Calibri"/>
            <w:color w:val="0000FF"/>
            <w:u w:val="single"/>
          </w:rPr>
          <w:t>https://www.ohchr.org/sp/newsevents/pages/DisplayNews.aspx?NewsID=24788&amp;LangID=S</w:t>
        </w:r>
      </w:hyperlink>
      <w:r>
        <w:rPr>
          <w:rFonts w:ascii="Calibri" w:eastAsia="Calibri" w:hAnsi="Calibri" w:cs="Calibri"/>
          <w:color w:val="000000"/>
        </w:rPr>
        <w:t xml:space="preserve"> </w:t>
      </w:r>
    </w:p>
  </w:footnote>
  <w:footnote w:id="43">
    <w:p w14:paraId="772B3DFE"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44">
        <w:r>
          <w:rPr>
            <w:rFonts w:ascii="Calibri" w:eastAsia="Calibri" w:hAnsi="Calibri" w:cs="Calibri"/>
            <w:color w:val="000000"/>
          </w:rPr>
          <w:t>http://www.misionnegrahipolita.gob.ve/index.php/noticias/blog/873-viceministerio-de-la-suprema-felicidad-social-atendio-a-mas-de-90-mil-personas-en-todo-el-pais.html</w:t>
        </w:r>
      </w:hyperlink>
    </w:p>
  </w:footnote>
  <w:footnote w:id="44">
    <w:p w14:paraId="50F62FE2"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Informe de Consorven sobre espacios públicos</w:t>
      </w:r>
    </w:p>
  </w:footnote>
  <w:footnote w:id="45">
    <w:p w14:paraId="0F97DFA0"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45">
        <w:r>
          <w:rPr>
            <w:rFonts w:ascii="Calibri" w:eastAsia="Calibri" w:hAnsi="Calibri" w:cs="Calibri"/>
            <w:color w:val="0000FF"/>
            <w:u w:val="single"/>
          </w:rPr>
          <w:t>http://www.el-nacional.com/noticias/bbc-mundo/crisis-venezuela-como-deterioro-metro-caracas_285785</w:t>
        </w:r>
      </w:hyperlink>
    </w:p>
  </w:footnote>
  <w:footnote w:id="46">
    <w:p w14:paraId="506AAD87"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Mesa técnica Educación</w:t>
      </w:r>
    </w:p>
  </w:footnote>
  <w:footnote w:id="47">
    <w:p w14:paraId="278FFAEC"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Informe Consorven</w:t>
      </w:r>
    </w:p>
  </w:footnote>
  <w:footnote w:id="48">
    <w:p w14:paraId="5999F245"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Declaración de Sociedad civil en Cumbre Global d </w:t>
      </w:r>
      <w:proofErr w:type="spellStart"/>
      <w:r>
        <w:rPr>
          <w:rFonts w:ascii="Calibri" w:eastAsia="Calibri" w:hAnsi="Calibri" w:cs="Calibri"/>
          <w:color w:val="000000"/>
        </w:rPr>
        <w:t>ela</w:t>
      </w:r>
      <w:proofErr w:type="spellEnd"/>
      <w:r>
        <w:rPr>
          <w:rFonts w:ascii="Calibri" w:eastAsia="Calibri" w:hAnsi="Calibri" w:cs="Calibri"/>
          <w:color w:val="000000"/>
        </w:rPr>
        <w:t xml:space="preserve"> Discapacidad. Disponible en:  </w:t>
      </w:r>
      <w:hyperlink r:id="rId46">
        <w:r>
          <w:rPr>
            <w:rFonts w:ascii="Calibri" w:eastAsia="Calibri" w:hAnsi="Calibri" w:cs="Calibri"/>
            <w:color w:val="0000FF"/>
            <w:u w:val="single"/>
          </w:rPr>
          <w:t>https://sid.usal.es/noticias/discapacidad/60811/1-1/declaracion-de-la-sociedad-civil-de-la-cumbre-global-de-la-discapacidad-celebrada-en-argentina.aspx</w:t>
        </w:r>
      </w:hyperlink>
    </w:p>
  </w:footnote>
  <w:footnote w:id="49">
    <w:p w14:paraId="01F0264C"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Conceptualización y Política de Educación Especial: </w:t>
      </w:r>
      <w:hyperlink r:id="rId47">
        <w:r>
          <w:rPr>
            <w:rFonts w:ascii="Calibri" w:eastAsia="Calibri" w:hAnsi="Calibri" w:cs="Calibri"/>
            <w:color w:val="0000FF"/>
            <w:u w:val="single"/>
          </w:rPr>
          <w:t>https://www.docsity.com/es/conceptualizacion-y-politica-de-educacion-especial-en-venezuela-2017/2504937/</w:t>
        </w:r>
      </w:hyperlink>
    </w:p>
  </w:footnote>
  <w:footnote w:id="50">
    <w:p w14:paraId="74F9F44B"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Documentación bibliográfica sobre las causas a este rechazo se recogen y detallan en Aramayo, M. (2013) p. 214-233.</w:t>
      </w:r>
    </w:p>
  </w:footnote>
  <w:footnote w:id="51">
    <w:p w14:paraId="341DD46A"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Noticias en redes: </w:t>
      </w:r>
      <w:hyperlink r:id="rId48" w:history="1">
        <w:r>
          <w:rPr>
            <w:rStyle w:val="Hipervnculo"/>
          </w:rPr>
          <w:t>https://elestimulo.com/fe-y-alegria-25-de-los-maestros-han-desertado-de-las-aulas/</w:t>
        </w:r>
      </w:hyperlink>
    </w:p>
  </w:footnote>
  <w:footnote w:id="52">
    <w:p w14:paraId="776AB7F4"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Situación docente en Venezuela. Disponible en: </w:t>
      </w:r>
      <w:hyperlink r:id="rId49">
        <w:r>
          <w:rPr>
            <w:rFonts w:ascii="Calibri" w:eastAsia="Calibri" w:hAnsi="Calibri" w:cs="Calibri"/>
            <w:color w:val="0000FF"/>
            <w:u w:val="single"/>
          </w:rPr>
          <w:t>https://observatorioeducativo.wordpress.com/category/docentes/</w:t>
        </w:r>
      </w:hyperlink>
      <w:r>
        <w:rPr>
          <w:rFonts w:ascii="Calibri" w:eastAsia="Calibri" w:hAnsi="Calibri" w:cs="Calibri"/>
          <w:color w:val="000000"/>
        </w:rPr>
        <w:t xml:space="preserve"> ; </w:t>
      </w:r>
      <w:hyperlink r:id="rId50">
        <w:r>
          <w:rPr>
            <w:rFonts w:ascii="Calibri" w:eastAsia="Calibri" w:hAnsi="Calibri" w:cs="Calibri"/>
            <w:color w:val="0000FF"/>
            <w:u w:val="single"/>
          </w:rPr>
          <w:t>https://prodavinci.com/por-que-protestan-los-maestros-en-venezuela-testimonios/</w:t>
        </w:r>
      </w:hyperlink>
    </w:p>
  </w:footnote>
  <w:footnote w:id="53">
    <w:p w14:paraId="541FF67D" w14:textId="77777777" w:rsidR="00565A9E" w:rsidRDefault="00565A9E">
      <w:pPr>
        <w:pBdr>
          <w:top w:val="nil"/>
          <w:left w:val="nil"/>
          <w:bottom w:val="nil"/>
          <w:right w:val="nil"/>
          <w:between w:val="nil"/>
        </w:pBdr>
        <w:rPr>
          <w:rFonts w:ascii="Calibri" w:eastAsia="Calibri" w:hAnsi="Calibri" w:cs="Calibri"/>
          <w:color w:val="000000"/>
        </w:rPr>
      </w:pPr>
      <w:r w:rsidRPr="004E002F">
        <w:rPr>
          <w:vertAlign w:val="superscript"/>
        </w:rPr>
        <w:footnoteRef/>
      </w:r>
      <w:r w:rsidRPr="004E002F">
        <w:rPr>
          <w:rFonts w:ascii="Calibri" w:eastAsia="Calibri" w:hAnsi="Calibri" w:cs="Calibri"/>
          <w:color w:val="000000"/>
        </w:rPr>
        <w:t xml:space="preserve"> CONSORVEN 2020</w:t>
      </w:r>
    </w:p>
  </w:footnote>
  <w:footnote w:id="54">
    <w:p w14:paraId="693FF425"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Migración de médicos venezolanos. Disponible en:</w:t>
      </w:r>
      <w:hyperlink r:id="rId51">
        <w:r>
          <w:rPr>
            <w:rFonts w:ascii="Calibri" w:eastAsia="Calibri" w:hAnsi="Calibri" w:cs="Calibri"/>
            <w:color w:val="0000FF"/>
            <w:u w:val="single"/>
          </w:rPr>
          <w:t>https://es.panampost.com/sabrina-martin/2017/12/12/medicos-venezolanos-migro/</w:t>
        </w:r>
      </w:hyperlink>
      <w:r>
        <w:rPr>
          <w:rFonts w:ascii="Calibri" w:eastAsia="Calibri" w:hAnsi="Calibri" w:cs="Calibri"/>
          <w:color w:val="000000"/>
        </w:rPr>
        <w:t xml:space="preserve"> ; </w:t>
      </w:r>
      <w:hyperlink r:id="rId52">
        <w:r>
          <w:rPr>
            <w:rFonts w:ascii="Calibri" w:eastAsia="Calibri" w:hAnsi="Calibri" w:cs="Calibri"/>
            <w:color w:val="0000FF"/>
            <w:u w:val="single"/>
          </w:rPr>
          <w:t>https://www.lavanguardia.com/vida/20190827/464276067145/la-migracion-de-medicos-venezolanos-refuerza-la-sanidad-argentina-segun-oim.html</w:t>
        </w:r>
      </w:hyperlink>
    </w:p>
  </w:footnote>
  <w:footnote w:id="55">
    <w:p w14:paraId="55862E5E"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Crisis de salud. Disponible en: </w:t>
      </w:r>
      <w:hyperlink r:id="rId53">
        <w:r>
          <w:rPr>
            <w:rFonts w:ascii="Calibri" w:eastAsia="Calibri" w:hAnsi="Calibri" w:cs="Calibri"/>
            <w:color w:val="0000FF"/>
            <w:u w:val="single"/>
          </w:rPr>
          <w:t>https://www.hrw.org/es/news/2018/11/15/venezuela-las-cifras-evidencian-una-crisis-de-salud</w:t>
        </w:r>
      </w:hyperlink>
      <w:r>
        <w:rPr>
          <w:rFonts w:ascii="Calibri" w:eastAsia="Calibri" w:hAnsi="Calibri" w:cs="Calibri"/>
          <w:color w:val="000000"/>
        </w:rPr>
        <w:t xml:space="preserve"> ; </w:t>
      </w:r>
      <w:hyperlink r:id="rId54">
        <w:r>
          <w:rPr>
            <w:rFonts w:ascii="Calibri" w:eastAsia="Calibri" w:hAnsi="Calibri" w:cs="Calibri"/>
            <w:color w:val="0000FF"/>
            <w:u w:val="single"/>
          </w:rPr>
          <w:t>https://www.bbc.com/mundo/noticias-america-latina-47358064</w:t>
        </w:r>
      </w:hyperlink>
    </w:p>
  </w:footnote>
  <w:footnote w:id="56">
    <w:p w14:paraId="17ADC0D1"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r w:rsidRPr="004E002F">
        <w:rPr>
          <w:rFonts w:ascii="Calibri" w:eastAsia="Calibri" w:hAnsi="Calibri" w:cs="Calibri"/>
          <w:color w:val="000000"/>
        </w:rPr>
        <w:t>CONSORVEN - 2020</w:t>
      </w:r>
    </w:p>
  </w:footnote>
  <w:footnote w:id="57">
    <w:p w14:paraId="7FCABE48"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Incremento de índices de pobreza en Venezuela. Disponible en: </w:t>
      </w:r>
      <w:hyperlink r:id="rId55">
        <w:r>
          <w:rPr>
            <w:rFonts w:ascii="Calibri" w:eastAsia="Calibri" w:hAnsi="Calibri" w:cs="Calibri"/>
            <w:color w:val="0000FF"/>
            <w:u w:val="single"/>
          </w:rPr>
          <w:t>http://www.bancaynegocios.com/cepal-estima-que-la-pobreza-en-venezuela-seguira-aumentando/</w:t>
        </w:r>
      </w:hyperlink>
      <w:r>
        <w:rPr>
          <w:rFonts w:ascii="Calibri" w:eastAsia="Calibri" w:hAnsi="Calibri" w:cs="Calibri"/>
          <w:color w:val="000000"/>
        </w:rPr>
        <w:t xml:space="preserve"> ; </w:t>
      </w:r>
      <w:hyperlink r:id="rId56">
        <w:r>
          <w:rPr>
            <w:rFonts w:ascii="Calibri" w:eastAsia="Calibri" w:hAnsi="Calibri" w:cs="Calibri"/>
            <w:color w:val="0000FF"/>
            <w:u w:val="single"/>
          </w:rPr>
          <w:t>https://www.elimpulso.com/2019/10/23/francisco-rodriguez-el-638-de-la-poblacion-venezolana-vive-en-pobreza-y-el-181-en-pobreza-extrema-23oct/</w:t>
        </w:r>
      </w:hyperlink>
    </w:p>
  </w:footnote>
  <w:footnote w:id="58">
    <w:p w14:paraId="1FF2BE61" w14:textId="77777777" w:rsidR="00565A9E" w:rsidRDefault="00565A9E">
      <w:pPr>
        <w:pBdr>
          <w:top w:val="nil"/>
          <w:left w:val="nil"/>
          <w:bottom w:val="nil"/>
          <w:right w:val="nil"/>
          <w:between w:val="nil"/>
        </w:pBdr>
        <w:tabs>
          <w:tab w:val="right" w:pos="0"/>
        </w:tabs>
        <w:ind w:left="54" w:right="1134" w:hanging="54"/>
        <w:rPr>
          <w:rFonts w:ascii="Calibri" w:eastAsia="Calibri" w:hAnsi="Calibri" w:cs="Calibri"/>
          <w:color w:val="000000"/>
        </w:rPr>
      </w:pPr>
      <w:r>
        <w:rPr>
          <w:vertAlign w:val="superscript"/>
        </w:rPr>
        <w:footnoteRef/>
      </w:r>
      <w:r>
        <w:rPr>
          <w:rFonts w:ascii="Calibri" w:eastAsia="Calibri" w:hAnsi="Calibri" w:cs="Calibri"/>
          <w:color w:val="000000"/>
        </w:rPr>
        <w:t xml:space="preserve"> Reto de vivir con discapacidad en Venezuela. Disponible en: </w:t>
      </w:r>
      <w:hyperlink r:id="rId57">
        <w:r>
          <w:rPr>
            <w:rFonts w:ascii="Calibri" w:eastAsia="Calibri" w:hAnsi="Calibri" w:cs="Calibri"/>
            <w:color w:val="0000FF"/>
            <w:u w:val="single"/>
          </w:rPr>
          <w:t>https://www.voanoticias.com/a/el-reto-de-vivir-con-discapacidad-en-venezuela/5104044.html</w:t>
        </w:r>
      </w:hyperlink>
    </w:p>
  </w:footnote>
  <w:footnote w:id="59">
    <w:p w14:paraId="3E7E4A35"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Bonos que generan miseria. Disponible en: </w:t>
      </w:r>
      <w:hyperlink r:id="rId58">
        <w:r>
          <w:rPr>
            <w:rFonts w:ascii="Calibri" w:eastAsia="Calibri" w:hAnsi="Calibri" w:cs="Calibri"/>
            <w:color w:val="0000FF"/>
            <w:u w:val="single"/>
          </w:rPr>
          <w:t>https://transparencia.org.ve/bonos-que-generan-miseria/</w:t>
        </w:r>
      </w:hyperlink>
    </w:p>
  </w:footnote>
  <w:footnote w:id="60">
    <w:p w14:paraId="0DF1AB39" w14:textId="77777777" w:rsidR="00565A9E" w:rsidRDefault="00565A9E">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59">
        <w:r>
          <w:rPr>
            <w:rFonts w:ascii="Calibri" w:eastAsia="Calibri" w:hAnsi="Calibri" w:cs="Calibri"/>
            <w:color w:val="0000FF"/>
            <w:u w:val="single"/>
          </w:rPr>
          <w:t>https://www.derechos.org.ve/opinion/poblacion-con-discapacidad-conapdis</w:t>
        </w:r>
      </w:hyperlink>
    </w:p>
    <w:p w14:paraId="0B4266A1" w14:textId="77777777" w:rsidR="00565A9E" w:rsidRDefault="00565A9E">
      <w:pPr>
        <w:pBdr>
          <w:top w:val="nil"/>
          <w:left w:val="nil"/>
          <w:bottom w:val="nil"/>
          <w:right w:val="nil"/>
          <w:between w:val="nil"/>
        </w:pBdr>
        <w:rPr>
          <w:rFonts w:ascii="Calibri" w:eastAsia="Calibri" w:hAnsi="Calibri" w:cs="Calibri"/>
          <w:color w:val="000000"/>
        </w:rPr>
      </w:pPr>
    </w:p>
    <w:p w14:paraId="0D67D574" w14:textId="77777777" w:rsidR="00565A9E" w:rsidRDefault="00565A9E">
      <w:pPr>
        <w:pBdr>
          <w:top w:val="nil"/>
          <w:left w:val="nil"/>
          <w:bottom w:val="nil"/>
          <w:right w:val="nil"/>
          <w:between w:val="nil"/>
        </w:pBdr>
        <w:rPr>
          <w:rFonts w:ascii="Calibri" w:eastAsia="Calibri" w:hAnsi="Calibri" w:cs="Calibri"/>
          <w:color w:val="000000"/>
        </w:rPr>
      </w:pPr>
    </w:p>
    <w:p w14:paraId="637487FF" w14:textId="77777777" w:rsidR="00565A9E" w:rsidRDefault="00565A9E">
      <w:pPr>
        <w:pBdr>
          <w:top w:val="nil"/>
          <w:left w:val="nil"/>
          <w:bottom w:val="nil"/>
          <w:right w:val="nil"/>
          <w:between w:val="nil"/>
        </w:pBdr>
        <w:rPr>
          <w:rFonts w:ascii="Calibri" w:eastAsia="Calibri" w:hAnsi="Calibri" w:cs="Calibri"/>
          <w:color w:val="000000"/>
        </w:rPr>
      </w:pPr>
    </w:p>
    <w:p w14:paraId="08923F12" w14:textId="77777777" w:rsidR="00565A9E" w:rsidRDefault="00565A9E">
      <w:pPr>
        <w:pBdr>
          <w:top w:val="nil"/>
          <w:left w:val="nil"/>
          <w:bottom w:val="nil"/>
          <w:right w:val="nil"/>
          <w:between w:val="nil"/>
        </w:pBdr>
        <w:rPr>
          <w:rFonts w:ascii="Calibri" w:eastAsia="Calibri" w:hAnsi="Calibri" w:cs="Calibri"/>
          <w:color w:val="000000"/>
        </w:rPr>
      </w:pPr>
    </w:p>
    <w:p w14:paraId="6D8A4B8F" w14:textId="77777777" w:rsidR="00565A9E" w:rsidRDefault="00565A9E">
      <w:pPr>
        <w:pBdr>
          <w:top w:val="nil"/>
          <w:left w:val="nil"/>
          <w:bottom w:val="nil"/>
          <w:right w:val="nil"/>
          <w:between w:val="nil"/>
        </w:pBdr>
        <w:rPr>
          <w:rFonts w:ascii="Calibri" w:eastAsia="Calibri" w:hAnsi="Calibri" w:cs="Calibri"/>
          <w:color w:val="000000"/>
        </w:rPr>
      </w:pPr>
    </w:p>
    <w:p w14:paraId="6D81ABBA" w14:textId="77777777" w:rsidR="00565A9E" w:rsidRDefault="00565A9E">
      <w:pPr>
        <w:pBdr>
          <w:top w:val="nil"/>
          <w:left w:val="nil"/>
          <w:bottom w:val="nil"/>
          <w:right w:val="nil"/>
          <w:between w:val="nil"/>
        </w:pBdr>
        <w:rPr>
          <w:rFonts w:ascii="Calibri" w:eastAsia="Calibri" w:hAnsi="Calibri" w:cs="Calibri"/>
          <w:color w:val="00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CC9D8" w14:textId="77777777" w:rsidR="00565A9E" w:rsidRDefault="00565A9E">
    <w:pPr>
      <w:pBdr>
        <w:top w:val="nil"/>
        <w:left w:val="nil"/>
        <w:bottom w:val="single" w:sz="4" w:space="4" w:color="000000"/>
        <w:right w:val="nil"/>
        <w:between w:val="nil"/>
      </w:pBdr>
      <w:rPr>
        <w:b/>
        <w:color w:val="000000"/>
        <w:sz w:val="18"/>
        <w:szCs w:val="18"/>
      </w:rPr>
    </w:pPr>
    <w:r>
      <w:rPr>
        <w:b/>
        <w:color w:val="000000"/>
        <w:sz w:val="18"/>
        <w:szCs w:val="18"/>
      </w:rPr>
      <w:t>CRPD/C/VEN/Q/1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28D1C" w14:textId="48CB16B8" w:rsidR="00565A9E" w:rsidRDefault="00FD6636" w:rsidP="00FD6636">
    <w:pPr>
      <w:pBdr>
        <w:top w:val="nil"/>
        <w:left w:val="nil"/>
        <w:bottom w:val="none" w:sz="0" w:space="0" w:color="000000"/>
        <w:right w:val="nil"/>
        <w:between w:val="nil"/>
      </w:pBdr>
      <w:rPr>
        <w:b/>
        <w:color w:val="000000"/>
        <w:sz w:val="18"/>
        <w:szCs w:val="18"/>
      </w:rPr>
    </w:pPr>
    <w:r>
      <w:rPr>
        <w:b/>
        <w:noProof/>
        <w:color w:val="000000"/>
        <w:sz w:val="18"/>
        <w:szCs w:val="18"/>
      </w:rPr>
      <w:t xml:space="preserve">   </w:t>
    </w:r>
    <w:r>
      <w:rPr>
        <w:b/>
        <w:noProof/>
        <w:color w:val="000000"/>
        <w:sz w:val="18"/>
        <w:szCs w:val="18"/>
      </w:rPr>
      <w:drawing>
        <wp:inline distT="0" distB="0" distL="0" distR="0" wp14:anchorId="741CFD5C" wp14:editId="5A4F30D0">
          <wp:extent cx="685800" cy="6858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confederación-de-sordos-de-venezuela.jpg"/>
                  <pic:cNvPicPr/>
                </pic:nvPicPr>
                <pic:blipFill>
                  <a:blip r:embed="rId1">
                    <a:extLst>
                      <a:ext uri="{28A0092B-C50C-407E-A947-70E740481C1C}">
                        <a14:useLocalDpi xmlns:a14="http://schemas.microsoft.com/office/drawing/2010/main" val="0"/>
                      </a:ext>
                    </a:extLst>
                  </a:blip>
                  <a:stretch>
                    <a:fillRect/>
                  </a:stretch>
                </pic:blipFill>
                <pic:spPr>
                  <a:xfrm>
                    <a:off x="0" y="0"/>
                    <a:ext cx="700397" cy="700397"/>
                  </a:xfrm>
                  <a:prstGeom prst="rect">
                    <a:avLst/>
                  </a:prstGeom>
                </pic:spPr>
              </pic:pic>
            </a:graphicData>
          </a:graphic>
        </wp:inline>
      </w:drawing>
    </w:r>
    <w:r>
      <w:rPr>
        <w:b/>
        <w:noProof/>
        <w:color w:val="000000"/>
        <w:sz w:val="18"/>
        <w:szCs w:val="18"/>
      </w:rPr>
      <w:t xml:space="preserve">                                                                                                                                                                               </w:t>
    </w:r>
    <w:r>
      <w:rPr>
        <w:b/>
        <w:noProof/>
        <w:color w:val="000000"/>
        <w:sz w:val="18"/>
        <w:szCs w:val="18"/>
      </w:rPr>
      <w:drawing>
        <wp:inline distT="0" distB="0" distL="0" distR="0" wp14:anchorId="4D4AB107" wp14:editId="318EE44E">
          <wp:extent cx="589280" cy="635231"/>
          <wp:effectExtent l="0" t="0" r="127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507" cy="64517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15B84"/>
    <w:multiLevelType w:val="hybridMultilevel"/>
    <w:tmpl w:val="2BB65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3A264E"/>
    <w:multiLevelType w:val="multilevel"/>
    <w:tmpl w:val="6BB8003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5840528A"/>
    <w:multiLevelType w:val="multilevel"/>
    <w:tmpl w:val="A22260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65EE2F21"/>
    <w:multiLevelType w:val="hybridMultilevel"/>
    <w:tmpl w:val="6F3CD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842"/>
    <w:rsid w:val="000435C4"/>
    <w:rsid w:val="00045F74"/>
    <w:rsid w:val="000A568A"/>
    <w:rsid w:val="000F3A62"/>
    <w:rsid w:val="000F7C75"/>
    <w:rsid w:val="001208EE"/>
    <w:rsid w:val="001D0A3F"/>
    <w:rsid w:val="00237751"/>
    <w:rsid w:val="0024074B"/>
    <w:rsid w:val="00250C2F"/>
    <w:rsid w:val="002762A9"/>
    <w:rsid w:val="00394D6A"/>
    <w:rsid w:val="003B36C7"/>
    <w:rsid w:val="00487D65"/>
    <w:rsid w:val="00497E34"/>
    <w:rsid w:val="004A1E28"/>
    <w:rsid w:val="004E002F"/>
    <w:rsid w:val="00565A9E"/>
    <w:rsid w:val="005C6842"/>
    <w:rsid w:val="005D0759"/>
    <w:rsid w:val="006116E1"/>
    <w:rsid w:val="00647287"/>
    <w:rsid w:val="00655E48"/>
    <w:rsid w:val="00664995"/>
    <w:rsid w:val="00667AB2"/>
    <w:rsid w:val="00695C5E"/>
    <w:rsid w:val="006B189C"/>
    <w:rsid w:val="006D7F0B"/>
    <w:rsid w:val="006F19DA"/>
    <w:rsid w:val="00740DED"/>
    <w:rsid w:val="00772EA5"/>
    <w:rsid w:val="007A2C8E"/>
    <w:rsid w:val="007D53A0"/>
    <w:rsid w:val="0083046E"/>
    <w:rsid w:val="00837F76"/>
    <w:rsid w:val="008462BA"/>
    <w:rsid w:val="008627DB"/>
    <w:rsid w:val="00876CA3"/>
    <w:rsid w:val="00881DD4"/>
    <w:rsid w:val="008F126D"/>
    <w:rsid w:val="00921092"/>
    <w:rsid w:val="009C3C22"/>
    <w:rsid w:val="009D3281"/>
    <w:rsid w:val="009E3B99"/>
    <w:rsid w:val="009F464F"/>
    <w:rsid w:val="00A215A9"/>
    <w:rsid w:val="00A36373"/>
    <w:rsid w:val="00A4140F"/>
    <w:rsid w:val="00A73B3F"/>
    <w:rsid w:val="00AA6AAC"/>
    <w:rsid w:val="00AB1AD6"/>
    <w:rsid w:val="00AF06E0"/>
    <w:rsid w:val="00B10731"/>
    <w:rsid w:val="00B11456"/>
    <w:rsid w:val="00B51383"/>
    <w:rsid w:val="00B62993"/>
    <w:rsid w:val="00BA36DB"/>
    <w:rsid w:val="00C66878"/>
    <w:rsid w:val="00C71967"/>
    <w:rsid w:val="00C817FB"/>
    <w:rsid w:val="00CE4A5D"/>
    <w:rsid w:val="00DA766E"/>
    <w:rsid w:val="00DF6ECB"/>
    <w:rsid w:val="00E041AE"/>
    <w:rsid w:val="00E10CB8"/>
    <w:rsid w:val="00E210C5"/>
    <w:rsid w:val="00EA3F7A"/>
    <w:rsid w:val="00EA4939"/>
    <w:rsid w:val="00EA5DF1"/>
    <w:rsid w:val="00F621AF"/>
    <w:rsid w:val="00FD6636"/>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22201"/>
  <w15:docId w15:val="{8B5CC17A-4388-4BEA-9DF0-9D8C9F07B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VE"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72E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2EA5"/>
    <w:rPr>
      <w:rFonts w:ascii="Segoe UI" w:hAnsi="Segoe UI" w:cs="Segoe UI"/>
      <w:sz w:val="18"/>
      <w:szCs w:val="18"/>
    </w:rPr>
  </w:style>
  <w:style w:type="character" w:styleId="Refdecomentario">
    <w:name w:val="annotation reference"/>
    <w:basedOn w:val="Fuentedeprrafopredeter"/>
    <w:uiPriority w:val="99"/>
    <w:semiHidden/>
    <w:unhideWhenUsed/>
    <w:rsid w:val="00BA36DB"/>
    <w:rPr>
      <w:sz w:val="16"/>
      <w:szCs w:val="16"/>
    </w:rPr>
  </w:style>
  <w:style w:type="paragraph" w:styleId="Textocomentario">
    <w:name w:val="annotation text"/>
    <w:basedOn w:val="Normal"/>
    <w:link w:val="TextocomentarioCar"/>
    <w:uiPriority w:val="99"/>
    <w:semiHidden/>
    <w:unhideWhenUsed/>
    <w:rsid w:val="00BA36DB"/>
  </w:style>
  <w:style w:type="character" w:customStyle="1" w:styleId="TextocomentarioCar">
    <w:name w:val="Texto comentario Car"/>
    <w:basedOn w:val="Fuentedeprrafopredeter"/>
    <w:link w:val="Textocomentario"/>
    <w:uiPriority w:val="99"/>
    <w:semiHidden/>
    <w:rsid w:val="00BA36DB"/>
  </w:style>
  <w:style w:type="paragraph" w:styleId="Asuntodelcomentario">
    <w:name w:val="annotation subject"/>
    <w:basedOn w:val="Textocomentario"/>
    <w:next w:val="Textocomentario"/>
    <w:link w:val="AsuntodelcomentarioCar"/>
    <w:uiPriority w:val="99"/>
    <w:semiHidden/>
    <w:unhideWhenUsed/>
    <w:rsid w:val="00BA36DB"/>
    <w:rPr>
      <w:b/>
      <w:bCs/>
    </w:rPr>
  </w:style>
  <w:style w:type="character" w:customStyle="1" w:styleId="AsuntodelcomentarioCar">
    <w:name w:val="Asunto del comentario Car"/>
    <w:basedOn w:val="TextocomentarioCar"/>
    <w:link w:val="Asuntodelcomentario"/>
    <w:uiPriority w:val="99"/>
    <w:semiHidden/>
    <w:rsid w:val="00BA36DB"/>
    <w:rPr>
      <w:b/>
      <w:bCs/>
    </w:rPr>
  </w:style>
  <w:style w:type="paragraph" w:styleId="Encabezado">
    <w:name w:val="header"/>
    <w:basedOn w:val="Normal"/>
    <w:link w:val="EncabezadoCar"/>
    <w:uiPriority w:val="99"/>
    <w:unhideWhenUsed/>
    <w:rsid w:val="00A4140F"/>
    <w:pPr>
      <w:tabs>
        <w:tab w:val="center" w:pos="4680"/>
        <w:tab w:val="right" w:pos="9360"/>
      </w:tabs>
    </w:pPr>
  </w:style>
  <w:style w:type="character" w:customStyle="1" w:styleId="EncabezadoCar">
    <w:name w:val="Encabezado Car"/>
    <w:basedOn w:val="Fuentedeprrafopredeter"/>
    <w:link w:val="Encabezado"/>
    <w:uiPriority w:val="99"/>
    <w:rsid w:val="00A4140F"/>
  </w:style>
  <w:style w:type="character" w:styleId="Hipervnculo">
    <w:name w:val="Hyperlink"/>
    <w:basedOn w:val="Fuentedeprrafopredeter"/>
    <w:uiPriority w:val="99"/>
    <w:semiHidden/>
    <w:unhideWhenUsed/>
    <w:rsid w:val="00AF06E0"/>
    <w:rPr>
      <w:color w:val="0000FF"/>
      <w:u w:val="single"/>
    </w:rPr>
  </w:style>
  <w:style w:type="paragraph" w:styleId="Textonotaalfinal">
    <w:name w:val="endnote text"/>
    <w:basedOn w:val="Normal"/>
    <w:link w:val="TextonotaalfinalCar"/>
    <w:uiPriority w:val="99"/>
    <w:unhideWhenUsed/>
    <w:rsid w:val="00A215A9"/>
  </w:style>
  <w:style w:type="character" w:customStyle="1" w:styleId="TextonotaalfinalCar">
    <w:name w:val="Texto nota al final Car"/>
    <w:basedOn w:val="Fuentedeprrafopredeter"/>
    <w:link w:val="Textonotaalfinal"/>
    <w:uiPriority w:val="99"/>
    <w:rsid w:val="00A215A9"/>
  </w:style>
  <w:style w:type="character" w:styleId="Refdenotaalfinal">
    <w:name w:val="endnote reference"/>
    <w:basedOn w:val="Fuentedeprrafopredeter"/>
    <w:uiPriority w:val="99"/>
    <w:semiHidden/>
    <w:unhideWhenUsed/>
    <w:rsid w:val="00A215A9"/>
    <w:rPr>
      <w:vertAlign w:val="superscript"/>
    </w:rPr>
  </w:style>
  <w:style w:type="paragraph" w:styleId="Textonotapie">
    <w:name w:val="footnote text"/>
    <w:basedOn w:val="Normal"/>
    <w:link w:val="TextonotapieCar"/>
    <w:uiPriority w:val="99"/>
    <w:semiHidden/>
    <w:unhideWhenUsed/>
    <w:rsid w:val="00497E34"/>
  </w:style>
  <w:style w:type="character" w:customStyle="1" w:styleId="TextonotapieCar">
    <w:name w:val="Texto nota pie Car"/>
    <w:basedOn w:val="Fuentedeprrafopredeter"/>
    <w:link w:val="Textonotapie"/>
    <w:uiPriority w:val="99"/>
    <w:semiHidden/>
    <w:rsid w:val="00497E34"/>
  </w:style>
  <w:style w:type="character" w:styleId="Refdenotaalpie">
    <w:name w:val="footnote reference"/>
    <w:basedOn w:val="Fuentedeprrafopredeter"/>
    <w:uiPriority w:val="99"/>
    <w:semiHidden/>
    <w:unhideWhenUsed/>
    <w:rsid w:val="00497E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image" Target="media/image21.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image" Target="media/image19.tiff"/><Relationship Id="rId37" Type="http://schemas.openxmlformats.org/officeDocument/2006/relationships/image" Target="media/image24.jpe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jpe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jpg"/><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twitter.com/inspeccionc?lang=es" TargetMode="External"/><Relationship Id="rId18" Type="http://schemas.openxmlformats.org/officeDocument/2006/relationships/hyperlink" Target="http://www.mp.gob.ve/web/guest/buscador?p_p_id=77&amp;p_p_lifecycle=0&amp;p_p_state=maximized&amp;p_p_mode=view&amp;p_p_col_id=column-1&amp;p_p_col_count=1&amp;_77_struts_action=%2Fjournal_content_search%2Fsearch" TargetMode="External"/><Relationship Id="rId26" Type="http://schemas.openxmlformats.org/officeDocument/2006/relationships/hyperlink" Target="http://www.conapdis.gob.ve/" TargetMode="External"/><Relationship Id="rId39" Type="http://schemas.openxmlformats.org/officeDocument/2006/relationships/hyperlink" Target="https://www.elnacional.com/venezuela/funcionarios-que-allanaron-la-sede-de-prepara-familia-no-contaban-con-una-orden-judicial/" TargetMode="External"/><Relationship Id="rId21" Type="http://schemas.openxmlformats.org/officeDocument/2006/relationships/hyperlink" Target="http://www.defensoria.gob.ve/zona-informativa/noticias/12-centrales/1194-enddhh-certifico-a-50-participantes-de-cursos-y-diplomados-en-ddhh-de-las-personas-con-discapacidad.html" TargetMode="External"/><Relationship Id="rId34" Type="http://schemas.openxmlformats.org/officeDocument/2006/relationships/hyperlink" Target="http://www.conapdis.gob.ve/registro_senacoa/" TargetMode="External"/><Relationship Id="rId42" Type="http://schemas.openxmlformats.org/officeDocument/2006/relationships/hyperlink" Target="https://www.oas.org/es/cidh/informes/pdfs/Venezuela2018-es.pdf" TargetMode="External"/><Relationship Id="rId47" Type="http://schemas.openxmlformats.org/officeDocument/2006/relationships/hyperlink" Target="https://www.docsity.com/es/conceptualizacion-y-politica-de-educacion-especial-en-venezuela-2017/2504937/" TargetMode="External"/><Relationship Id="rId50" Type="http://schemas.openxmlformats.org/officeDocument/2006/relationships/hyperlink" Target="https://prodavinci.com/por-que-protestan-los-maestros-en-venezuela-testimonios/" TargetMode="External"/><Relationship Id="rId55" Type="http://schemas.openxmlformats.org/officeDocument/2006/relationships/hyperlink" Target="http://www.bancaynegocios.com/cepal-estima-que-la-pobreza-en-venezuela-seguira-aumentando/" TargetMode="External"/><Relationship Id="rId7" Type="http://schemas.openxmlformats.org/officeDocument/2006/relationships/hyperlink" Target="https://prodavinci.com/david-cedeno-nos-dieron-visibilidad-pero-no-hay-inclusion-real/" TargetMode="External"/><Relationship Id="rId2" Type="http://schemas.openxmlformats.org/officeDocument/2006/relationships/hyperlink" Target="https://prodavinci.com/que-ha-pasado-con-la-ayuda-humanitaria/" TargetMode="External"/><Relationship Id="rId16" Type="http://schemas.openxmlformats.org/officeDocument/2006/relationships/hyperlink" Target="https://twitter.com/Defensoria_Vzla/status/1222526818160300033" TargetMode="External"/><Relationship Id="rId29" Type="http://schemas.openxmlformats.org/officeDocument/2006/relationships/hyperlink" Target="https://www.eluniversal.com/el-universal/37346/la-accesibilidad-en-el-informe-del-2015" TargetMode="External"/><Relationship Id="rId11" Type="http://schemas.openxmlformats.org/officeDocument/2006/relationships/hyperlink" Target="http://www.radiomundial.com.ve/article/consejo-presidencial-para-personas-con-discapacidad-se-instalar%C3%A1-el-25-de-febrero" TargetMode="External"/><Relationship Id="rId24" Type="http://schemas.openxmlformats.org/officeDocument/2006/relationships/hyperlink" Target="https://www.vtv.gob.ve/inclusion-social-personas-discapacidad/" TargetMode="External"/><Relationship Id="rId32" Type="http://schemas.openxmlformats.org/officeDocument/2006/relationships/hyperlink" Target="https://www.wipo.int/treaties/es/ShowResults.jsp?treaty_id=843" TargetMode="External"/><Relationship Id="rId37" Type="http://schemas.openxmlformats.org/officeDocument/2006/relationships/hyperlink" Target="https://drive.google.com/file/d/1ofR0lbBNhTgmWUbaojhw-e7U-dkc78vR/view?usp=sharing" TargetMode="External"/><Relationship Id="rId40" Type="http://schemas.openxmlformats.org/officeDocument/2006/relationships/hyperlink" Target="https://elpais.com/elpais/2019/04/16/planeta_futuro/1555402255_653709.html" TargetMode="External"/><Relationship Id="rId45" Type="http://schemas.openxmlformats.org/officeDocument/2006/relationships/hyperlink" Target="http://www.el-nacional.com/noticias/bbc-mundo/crisis-venezuela-como-deterioro-metro-caracas_285785" TargetMode="External"/><Relationship Id="rId53" Type="http://schemas.openxmlformats.org/officeDocument/2006/relationships/hyperlink" Target="https://www.hrw.org/es/news/2018/11/15/venezuela-las-cifras-evidencian-una-crisis-de-salud" TargetMode="External"/><Relationship Id="rId58" Type="http://schemas.openxmlformats.org/officeDocument/2006/relationships/hyperlink" Target="https://transparencia.org.ve/bonos-que-generan-miseria/" TargetMode="External"/><Relationship Id="rId5" Type="http://schemas.openxmlformats.org/officeDocument/2006/relationships/hyperlink" Target="https://www.telesurtv.net/news/venezuela-denuncia-onu-informe-bachelet-onu-20190910-0011.html" TargetMode="External"/><Relationship Id="rId19" Type="http://schemas.openxmlformats.org/officeDocument/2006/relationships/hyperlink" Target="http://www.presidencia.gob.ve/Site/Web/Principal/paginas/classMostrarEvento3.php?id_evento=13452" TargetMode="External"/><Relationship Id="rId4" Type="http://schemas.openxmlformats.org/officeDocument/2006/relationships/hyperlink" Target="https://www.americaeconomia.com/politica-sociedad/politica/maduro-vuelve-cuestionar-informe-de-bachelet-sobre-venezuela-deberia" TargetMode="External"/><Relationship Id="rId9" Type="http://schemas.openxmlformats.org/officeDocument/2006/relationships/hyperlink" Target="https://elpitazo.net/salud/politicas-de-inclusion-para-personas-con-discapacidad-no-han-avanzado-en-12-anos/" TargetMode="External"/><Relationship Id="rId14" Type="http://schemas.openxmlformats.org/officeDocument/2006/relationships/hyperlink" Target="https://www.facebook.com/Conapdis/photos/tienes-alguna-queja-consulta-o-denuncia-ahora-puedes-hacerlo-a-trav%C3%A9s-de-la-cuen/1344709902286982/" TargetMode="External"/><Relationship Id="rId22" Type="http://schemas.openxmlformats.org/officeDocument/2006/relationships/hyperlink" Target="https://soynuevaprensadigital.com/npd/realizan-diplomado-de-educacion-especial-en-el-c-a-i-p-a/" TargetMode="External"/><Relationship Id="rId27" Type="http://schemas.openxmlformats.org/officeDocument/2006/relationships/hyperlink" Target="https://www.ipclick.com.ve/2016/10/tratado-marrakech-preguntas-respuestas/" TargetMode="External"/><Relationship Id="rId30" Type="http://schemas.openxmlformats.org/officeDocument/2006/relationships/hyperlink" Target="https://ecosdeltorbes.net/consorven-celebra-adhesion-de-venezuela-al-tratado-de-marrakech/" TargetMode="External"/><Relationship Id="rId35" Type="http://schemas.openxmlformats.org/officeDocument/2006/relationships/hyperlink" Target="https://drive.google.com/file/d/1ofR0lbBNhTgmWUbaojhw-e7U-dkc78vR/view?usp=sharing" TargetMode="External"/><Relationship Id="rId43" Type="http://schemas.openxmlformats.org/officeDocument/2006/relationships/hyperlink" Target="https://www.ohchr.org/sp/newsevents/pages/DisplayNews.aspx?NewsID=24788&amp;LangID=S" TargetMode="External"/><Relationship Id="rId48" Type="http://schemas.openxmlformats.org/officeDocument/2006/relationships/hyperlink" Target="https://elestimulo.com/fe-y-alegria-25-de-los-maestros-han-desertado-de-las-aulas/" TargetMode="External"/><Relationship Id="rId56" Type="http://schemas.openxmlformats.org/officeDocument/2006/relationships/hyperlink" Target="https://www.elimpulso.com/2019/10/23/francisco-rodriguez-el-638-de-la-poblacion-venezolana-vive-en-pobreza-y-el-181-en-pobreza-extrema-23oct/" TargetMode="External"/><Relationship Id="rId8" Type="http://schemas.openxmlformats.org/officeDocument/2006/relationships/hyperlink" Target="http://discapacidad0.co/blog/caracas-ciudad-intransitable-para-personas-con-discapacidad-motora/" TargetMode="External"/><Relationship Id="rId51" Type="http://schemas.openxmlformats.org/officeDocument/2006/relationships/hyperlink" Target="https://es.panampost.com/sabrina-martin/2017/12/12/medicos-venezolanos-migro/" TargetMode="External"/><Relationship Id="rId3" Type="http://schemas.openxmlformats.org/officeDocument/2006/relationships/hyperlink" Target="https://www.elmostrador.cl/dia/2019/01/10/venezuela-maduro-jura-para-un-segundo-mandato-en-medio-de-cuestionamientos-de-ilegitimidad/" TargetMode="External"/><Relationship Id="rId12" Type="http://schemas.openxmlformats.org/officeDocument/2006/relationships/hyperlink" Target="https://drive.google.com/file/d/13uqaYjWZ-QCaECB3T1L_-o7KSnJUZMlR/view?usp=sharing" TargetMode="External"/><Relationship Id="rId17" Type="http://schemas.openxmlformats.org/officeDocument/2006/relationships/hyperlink" Target="https://www.facebook.com/Conapdis/photos/a.131768143581170/2498394406918520/?type=3&amp;theater" TargetMode="External"/><Relationship Id="rId25" Type="http://schemas.openxmlformats.org/officeDocument/2006/relationships/hyperlink" Target="https://talcualdigital.com/como-sacar-el-certificado-de-discapacidad-para-cobrar-los-bonos-de-la-patria/" TargetMode="External"/><Relationship Id="rId33" Type="http://schemas.openxmlformats.org/officeDocument/2006/relationships/hyperlink" Target="https://twitter.com/Conapdis/status/1222885469115092992" TargetMode="External"/><Relationship Id="rId38" Type="http://schemas.openxmlformats.org/officeDocument/2006/relationships/hyperlink" Target="https://drive.google.com/file/d/1ZylqVM9cRL3_TXMZ-GMTd_tGR9i99CGa/view?usp=sharing" TargetMode="External"/><Relationship Id="rId46" Type="http://schemas.openxmlformats.org/officeDocument/2006/relationships/hyperlink" Target="https://sid.usal.es/noticias/discapacidad/60811/1-1/declaracion-de-la-sociedad-civil-de-la-cumbre-global-de-la-discapacidad-celebrada-en-argentina.aspx" TargetMode="External"/><Relationship Id="rId59" Type="http://schemas.openxmlformats.org/officeDocument/2006/relationships/hyperlink" Target="https://www.derechos.org.ve/opinion/poblacion-con-discapacidad-conapdis" TargetMode="External"/><Relationship Id="rId20" Type="http://schemas.openxmlformats.org/officeDocument/2006/relationships/hyperlink" Target="https://espromedbio.gob.ve/taller-trato-adecuado-a-personas-con-discapacidad/" TargetMode="External"/><Relationship Id="rId41" Type="http://schemas.openxmlformats.org/officeDocument/2006/relationships/hyperlink" Target="http://factor.prodavinci.com/escalademalaria/index.html" TargetMode="External"/><Relationship Id="rId54" Type="http://schemas.openxmlformats.org/officeDocument/2006/relationships/hyperlink" Target="https://www.bbc.com/mundo/noticias-america-latina-47358064" TargetMode="External"/><Relationship Id="rId1" Type="http://schemas.openxmlformats.org/officeDocument/2006/relationships/hyperlink" Target="https://www.vtv.gob.ve/victimas-guerra-economica-merida-la-milagrosa/" TargetMode="External"/><Relationship Id="rId6" Type="http://schemas.openxmlformats.org/officeDocument/2006/relationships/hyperlink" Target="https://www.eluniversal.com/el-universal/35336/el-proyecto-de-ley-organica-pcd" TargetMode="External"/><Relationship Id="rId15" Type="http://schemas.openxmlformats.org/officeDocument/2006/relationships/hyperlink" Target="http://www.leyresorte.gob.ve/wp-content/uploads/2017/03/MinMujer-Publicaciones-2014-10-07-05_12_04-Plan-para-la-Igualdad-y-Equidad-de-G%C3%A9nero-quotMam%C3%A1-Rosaquot-2013-2019.pdf" TargetMode="External"/><Relationship Id="rId23" Type="http://schemas.openxmlformats.org/officeDocument/2006/relationships/hyperlink" Target="http://www.ine.gov.ve/index.php?option=com_content&amp;view=article&amp;id=1450:dia-internacional-de-las-personas-con-discapacidad-3-de-diciembre&amp;catid=154:efemerides" TargetMode="External"/><Relationship Id="rId28" Type="http://schemas.openxmlformats.org/officeDocument/2006/relationships/hyperlink" Target="https://www.ciegosvenezuela.com/2016/adhesion-de-venezuela-a-tratado-de-marrakech-espera-por-la-procuraduria/" TargetMode="External"/><Relationship Id="rId36" Type="http://schemas.openxmlformats.org/officeDocument/2006/relationships/hyperlink" Target="http://www.cida.gob.ve/webcida/index.php/actividades-divulgativas/ciencia-en-senas" TargetMode="External"/><Relationship Id="rId49" Type="http://schemas.openxmlformats.org/officeDocument/2006/relationships/hyperlink" Target="https://observatorioeducativo.wordpress.com/category/docentes/" TargetMode="External"/><Relationship Id="rId57" Type="http://schemas.openxmlformats.org/officeDocument/2006/relationships/hyperlink" Target="https://www.voanoticias.com/a/el-reto-de-vivir-con-discapacidad-en-venezuela/5104044.html" TargetMode="External"/><Relationship Id="rId10" Type="http://schemas.openxmlformats.org/officeDocument/2006/relationships/hyperlink" Target="https://www.facebook.com/Conapdis/photos/a.796407810450530/796410570450254/?type=3&amp;theater" TargetMode="External"/><Relationship Id="rId31" Type="http://schemas.openxmlformats.org/officeDocument/2006/relationships/hyperlink" Target="http://www.ultimasnoticias.com.ve/noticias/economia/venezuela-se-adhiere-al-tratado-de-marrakech-de-la-ompi/" TargetMode="External"/><Relationship Id="rId44" Type="http://schemas.openxmlformats.org/officeDocument/2006/relationships/hyperlink" Target="http://www.misionnegrahipolita.gob.ve/index.php/noticias/blog/873-viceministerio-de-la-suprema-felicidad-social-atendio-a-mas-de-90-mil-personas-en-todo-el-pais.html" TargetMode="External"/><Relationship Id="rId52" Type="http://schemas.openxmlformats.org/officeDocument/2006/relationships/hyperlink" Target="https://www.lavanguardia.com/vida/20190827/464276067145/la-migracion-de-medicos-venezolanos-refuerza-la-sanidad-argentina-segun-oim.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23DA5-128F-4B82-81EE-00C3E1860F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92F920-AD74-4569-A37C-8FBC3679FB2E}"/>
</file>

<file path=customXml/itemProps3.xml><?xml version="1.0" encoding="utf-8"?>
<ds:datastoreItem xmlns:ds="http://schemas.openxmlformats.org/officeDocument/2006/customXml" ds:itemID="{8A36BD21-37B2-4EA3-82CB-A2501FB4F383}">
  <ds:schemaRefs>
    <ds:schemaRef ds:uri="http://schemas.microsoft.com/sharepoint/v3/contenttype/forms"/>
  </ds:schemaRefs>
</ds:datastoreItem>
</file>

<file path=customXml/itemProps4.xml><?xml version="1.0" encoding="utf-8"?>
<ds:datastoreItem xmlns:ds="http://schemas.openxmlformats.org/officeDocument/2006/customXml" ds:itemID="{4D4CAC2A-7E43-4225-BB48-728EA24C9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15166</Words>
  <Characters>83417</Characters>
  <Application>Microsoft Office Word</Application>
  <DocSecurity>0</DocSecurity>
  <Lines>695</Lines>
  <Paragraphs>196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Peretti</dc:creator>
  <cp:lastModifiedBy>Vanessa Peretti</cp:lastModifiedBy>
  <cp:revision>2</cp:revision>
  <dcterms:created xsi:type="dcterms:W3CDTF">2020-02-07T16:02:00Z</dcterms:created>
  <dcterms:modified xsi:type="dcterms:W3CDTF">2020-02-07T16:02:00Z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